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31910">
      <w:pPr>
        <w:spacing w:line="360" w:lineRule="auto"/>
        <w:jc w:val="center"/>
        <w:rPr>
          <w:rFonts w:ascii="宋体" w:hAnsi="宋体" w:cs="宋体"/>
          <w:b/>
          <w:color w:val="auto"/>
          <w:sz w:val="24"/>
          <w:highlight w:val="none"/>
        </w:rPr>
      </w:pPr>
    </w:p>
    <w:p w14:paraId="320B9562">
      <w:pPr>
        <w:spacing w:line="360" w:lineRule="auto"/>
        <w:jc w:val="center"/>
        <w:rPr>
          <w:rFonts w:ascii="宋体" w:hAnsi="宋体" w:cs="宋体"/>
          <w:b/>
          <w:color w:val="auto"/>
          <w:sz w:val="24"/>
          <w:highlight w:val="none"/>
        </w:rPr>
      </w:pPr>
    </w:p>
    <w:p w14:paraId="4940EF6D">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2025年钱塘江省管海塘零星维修工程监理</w:t>
      </w:r>
    </w:p>
    <w:p w14:paraId="26E6E54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38163C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1BF930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ZJZJ20250525</w:t>
      </w:r>
    </w:p>
    <w:p w14:paraId="0C9C4C60">
      <w:pPr>
        <w:adjustRightInd/>
        <w:spacing w:line="360" w:lineRule="auto"/>
        <w:rPr>
          <w:rFonts w:ascii="宋体" w:hAnsi="宋体" w:cs="宋体"/>
          <w:color w:val="auto"/>
          <w:sz w:val="28"/>
          <w:szCs w:val="20"/>
          <w:highlight w:val="none"/>
        </w:rPr>
      </w:pPr>
    </w:p>
    <w:p w14:paraId="29D5EA73">
      <w:pPr>
        <w:spacing w:line="360" w:lineRule="auto"/>
        <w:jc w:val="center"/>
        <w:rPr>
          <w:rFonts w:ascii="宋体" w:hAnsi="宋体" w:cs="宋体"/>
          <w:b/>
          <w:color w:val="auto"/>
          <w:sz w:val="44"/>
          <w:szCs w:val="44"/>
          <w:highlight w:val="none"/>
        </w:rPr>
      </w:pPr>
    </w:p>
    <w:p w14:paraId="6273773B">
      <w:pPr>
        <w:spacing w:line="360" w:lineRule="auto"/>
        <w:jc w:val="center"/>
        <w:rPr>
          <w:rFonts w:ascii="宋体" w:hAnsi="宋体" w:cs="宋体"/>
          <w:b/>
          <w:color w:val="auto"/>
          <w:sz w:val="44"/>
          <w:szCs w:val="44"/>
          <w:highlight w:val="none"/>
        </w:rPr>
      </w:pPr>
    </w:p>
    <w:p w14:paraId="35121A4F">
      <w:pPr>
        <w:spacing w:line="360" w:lineRule="auto"/>
        <w:jc w:val="center"/>
        <w:rPr>
          <w:rFonts w:ascii="宋体" w:hAnsi="宋体" w:cs="宋体"/>
          <w:b/>
          <w:color w:val="auto"/>
          <w:sz w:val="44"/>
          <w:szCs w:val="44"/>
          <w:highlight w:val="none"/>
        </w:rPr>
      </w:pPr>
    </w:p>
    <w:p w14:paraId="0081A722">
      <w:pPr>
        <w:spacing w:line="360" w:lineRule="auto"/>
        <w:jc w:val="center"/>
        <w:rPr>
          <w:rFonts w:ascii="宋体" w:hAnsi="宋体" w:cs="宋体"/>
          <w:color w:val="auto"/>
          <w:sz w:val="24"/>
          <w:highlight w:val="none"/>
        </w:rPr>
      </w:pPr>
    </w:p>
    <w:p w14:paraId="42C04C4A">
      <w:pPr>
        <w:spacing w:line="360" w:lineRule="auto"/>
        <w:jc w:val="center"/>
        <w:rPr>
          <w:rFonts w:ascii="宋体" w:hAnsi="宋体" w:cs="宋体"/>
          <w:color w:val="auto"/>
          <w:sz w:val="24"/>
          <w:highlight w:val="none"/>
        </w:rPr>
      </w:pPr>
    </w:p>
    <w:p w14:paraId="2FCB3C5C">
      <w:pPr>
        <w:spacing w:line="360" w:lineRule="auto"/>
        <w:jc w:val="center"/>
        <w:rPr>
          <w:rFonts w:ascii="宋体" w:hAnsi="宋体" w:cs="宋体"/>
          <w:color w:val="auto"/>
          <w:sz w:val="24"/>
          <w:highlight w:val="none"/>
        </w:rPr>
      </w:pPr>
    </w:p>
    <w:p w14:paraId="27F3108E">
      <w:pPr>
        <w:spacing w:line="360" w:lineRule="auto"/>
        <w:jc w:val="center"/>
        <w:rPr>
          <w:rFonts w:ascii="宋体" w:hAnsi="宋体" w:cs="宋体"/>
          <w:color w:val="auto"/>
          <w:sz w:val="24"/>
          <w:highlight w:val="none"/>
        </w:rPr>
      </w:pPr>
    </w:p>
    <w:p w14:paraId="6ED28B20">
      <w:pPr>
        <w:spacing w:line="360" w:lineRule="auto"/>
        <w:jc w:val="center"/>
        <w:rPr>
          <w:rFonts w:ascii="宋体" w:hAnsi="宋体" w:cs="宋体"/>
          <w:color w:val="auto"/>
          <w:sz w:val="24"/>
          <w:highlight w:val="none"/>
        </w:rPr>
      </w:pPr>
    </w:p>
    <w:p w14:paraId="7F9303A5">
      <w:pPr>
        <w:spacing w:line="360" w:lineRule="auto"/>
        <w:jc w:val="center"/>
        <w:rPr>
          <w:rFonts w:ascii="宋体" w:hAnsi="宋体" w:cs="宋体"/>
          <w:color w:val="auto"/>
          <w:sz w:val="24"/>
          <w:highlight w:val="none"/>
        </w:rPr>
      </w:pPr>
    </w:p>
    <w:p w14:paraId="06CE8C0A">
      <w:pPr>
        <w:spacing w:line="360" w:lineRule="auto"/>
        <w:rPr>
          <w:rFonts w:ascii="宋体" w:hAnsi="宋体" w:cs="宋体"/>
          <w:color w:val="auto"/>
          <w:sz w:val="32"/>
          <w:szCs w:val="32"/>
          <w:highlight w:val="none"/>
        </w:rPr>
      </w:pPr>
    </w:p>
    <w:p w14:paraId="19A43AC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浙江省钱塘江流域中心</w:t>
      </w:r>
    </w:p>
    <w:p w14:paraId="472F1AB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浙江中际工程项目管理有限公司</w:t>
      </w:r>
    </w:p>
    <w:p w14:paraId="235EC7B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p>
    <w:p w14:paraId="78EB9B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9F0E6A5">
      <w:pPr>
        <w:pStyle w:val="638"/>
        <w:rPr>
          <w:color w:val="auto"/>
          <w:highlight w:val="none"/>
        </w:rPr>
      </w:pPr>
    </w:p>
    <w:p w14:paraId="449293D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556B7FE">
      <w:pPr>
        <w:spacing w:line="360" w:lineRule="auto"/>
        <w:rPr>
          <w:rFonts w:ascii="宋体" w:hAnsi="宋体" w:cs="宋体"/>
          <w:color w:val="auto"/>
          <w:sz w:val="32"/>
          <w:szCs w:val="32"/>
          <w:highlight w:val="none"/>
        </w:rPr>
      </w:pPr>
    </w:p>
    <w:p w14:paraId="29C29CFA">
      <w:pPr>
        <w:spacing w:line="360" w:lineRule="auto"/>
        <w:rPr>
          <w:rFonts w:ascii="宋体" w:hAnsi="宋体" w:cs="宋体"/>
          <w:color w:val="auto"/>
          <w:sz w:val="32"/>
          <w:szCs w:val="32"/>
          <w:highlight w:val="none"/>
        </w:rPr>
      </w:pPr>
    </w:p>
    <w:p w14:paraId="4E7008A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C76CE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FDEF3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C857F7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114A2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A5C6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56D8DA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C8143D0">
      <w:pPr>
        <w:spacing w:line="360" w:lineRule="auto"/>
        <w:ind w:firstLine="549" w:firstLineChars="229"/>
        <w:rPr>
          <w:rFonts w:ascii="宋体" w:hAnsi="宋体" w:cs="宋体"/>
          <w:color w:val="auto"/>
          <w:sz w:val="24"/>
          <w:highlight w:val="none"/>
        </w:rPr>
      </w:pPr>
    </w:p>
    <w:p w14:paraId="490EC4BC">
      <w:pPr>
        <w:spacing w:line="360" w:lineRule="auto"/>
        <w:ind w:firstLine="549" w:firstLineChars="229"/>
        <w:rPr>
          <w:rFonts w:ascii="宋体" w:hAnsi="宋体" w:cs="宋体"/>
          <w:color w:val="auto"/>
          <w:sz w:val="24"/>
          <w:highlight w:val="none"/>
        </w:rPr>
      </w:pPr>
    </w:p>
    <w:p w14:paraId="2D1EF393">
      <w:pPr>
        <w:spacing w:line="360" w:lineRule="auto"/>
        <w:ind w:firstLine="549" w:firstLineChars="229"/>
        <w:rPr>
          <w:rFonts w:ascii="宋体" w:hAnsi="宋体" w:cs="宋体"/>
          <w:color w:val="auto"/>
          <w:sz w:val="24"/>
          <w:highlight w:val="none"/>
        </w:rPr>
      </w:pPr>
    </w:p>
    <w:p w14:paraId="1682EDE7">
      <w:pPr>
        <w:spacing w:line="360" w:lineRule="auto"/>
        <w:ind w:firstLine="549" w:firstLineChars="229"/>
        <w:rPr>
          <w:rFonts w:ascii="宋体" w:hAnsi="宋体" w:cs="宋体"/>
          <w:color w:val="auto"/>
          <w:sz w:val="24"/>
          <w:highlight w:val="none"/>
        </w:rPr>
      </w:pPr>
    </w:p>
    <w:p w14:paraId="2FF9F706">
      <w:pPr>
        <w:spacing w:line="360" w:lineRule="auto"/>
        <w:ind w:firstLine="549" w:firstLineChars="229"/>
        <w:rPr>
          <w:rFonts w:ascii="宋体" w:hAnsi="宋体" w:cs="宋体"/>
          <w:color w:val="auto"/>
          <w:sz w:val="24"/>
          <w:highlight w:val="none"/>
        </w:rPr>
      </w:pPr>
    </w:p>
    <w:p w14:paraId="5E2C0F2F">
      <w:pPr>
        <w:spacing w:line="360" w:lineRule="auto"/>
        <w:ind w:firstLine="549" w:firstLineChars="229"/>
        <w:rPr>
          <w:rFonts w:ascii="宋体" w:hAnsi="宋体" w:cs="宋体"/>
          <w:color w:val="auto"/>
          <w:sz w:val="24"/>
          <w:highlight w:val="none"/>
        </w:rPr>
      </w:pPr>
    </w:p>
    <w:p w14:paraId="6C8DEDBB">
      <w:pPr>
        <w:spacing w:line="360" w:lineRule="auto"/>
        <w:ind w:firstLine="549" w:firstLineChars="229"/>
        <w:rPr>
          <w:rFonts w:ascii="宋体" w:hAnsi="宋体" w:cs="宋体"/>
          <w:color w:val="auto"/>
          <w:sz w:val="24"/>
          <w:highlight w:val="none"/>
        </w:rPr>
      </w:pPr>
    </w:p>
    <w:p w14:paraId="3E0BAD69">
      <w:pPr>
        <w:spacing w:line="360" w:lineRule="auto"/>
        <w:ind w:firstLine="549" w:firstLineChars="229"/>
        <w:rPr>
          <w:rFonts w:ascii="宋体" w:hAnsi="宋体" w:cs="宋体"/>
          <w:color w:val="auto"/>
          <w:sz w:val="24"/>
          <w:highlight w:val="none"/>
        </w:rPr>
      </w:pPr>
    </w:p>
    <w:p w14:paraId="6478110E">
      <w:pPr>
        <w:spacing w:line="360" w:lineRule="auto"/>
        <w:ind w:firstLine="549" w:firstLineChars="229"/>
        <w:rPr>
          <w:rFonts w:ascii="宋体" w:hAnsi="宋体" w:cs="宋体"/>
          <w:color w:val="auto"/>
          <w:sz w:val="24"/>
          <w:highlight w:val="none"/>
        </w:rPr>
      </w:pPr>
    </w:p>
    <w:p w14:paraId="7C0AB05B">
      <w:pPr>
        <w:spacing w:line="360" w:lineRule="auto"/>
        <w:ind w:firstLine="549" w:firstLineChars="229"/>
        <w:rPr>
          <w:rFonts w:ascii="宋体" w:hAnsi="宋体" w:cs="宋体"/>
          <w:color w:val="auto"/>
          <w:sz w:val="24"/>
          <w:highlight w:val="none"/>
        </w:rPr>
      </w:pPr>
    </w:p>
    <w:p w14:paraId="68C39FE5">
      <w:pPr>
        <w:spacing w:line="360" w:lineRule="auto"/>
        <w:ind w:firstLine="549" w:firstLineChars="229"/>
        <w:rPr>
          <w:rFonts w:ascii="宋体" w:hAnsi="宋体" w:cs="宋体"/>
          <w:color w:val="auto"/>
          <w:sz w:val="24"/>
          <w:highlight w:val="none"/>
        </w:rPr>
      </w:pPr>
    </w:p>
    <w:p w14:paraId="6E0728E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1FF55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A19EB8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2025年钱塘江省管海塘零星维修工程监理</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4771D7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730D80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ZJZJ20250525</w:t>
      </w:r>
    </w:p>
    <w:p w14:paraId="54B182B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2025年钱塘江省管海塘零星维修工程监理</w:t>
      </w:r>
    </w:p>
    <w:p w14:paraId="29F116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207500</w:t>
      </w:r>
    </w:p>
    <w:p w14:paraId="25570482">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207500</w:t>
      </w:r>
    </w:p>
    <w:p w14:paraId="54271E17">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bCs/>
          <w:snapToGrid w:val="0"/>
          <w:color w:val="auto"/>
          <w:kern w:val="28"/>
          <w:sz w:val="24"/>
          <w:szCs w:val="20"/>
          <w:highlight w:val="none"/>
          <w:lang w:val="en-US" w:eastAsia="zh-CN" w:bidi="ar-SA"/>
        </w:rPr>
      </w:pPr>
      <w:r>
        <w:rPr>
          <w:rFonts w:hint="eastAsia" w:ascii="宋体" w:hAnsi="宋体" w:eastAsia="宋体" w:cs="宋体"/>
          <w:b/>
          <w:bCs/>
          <w:snapToGrid w:val="0"/>
          <w:color w:val="auto"/>
          <w:kern w:val="28"/>
          <w:sz w:val="24"/>
          <w:szCs w:val="20"/>
          <w:highlight w:val="none"/>
          <w:lang w:val="en-US" w:eastAsia="zh-CN" w:bidi="ar-SA"/>
        </w:rPr>
        <w:t>采购需求：</w:t>
      </w:r>
    </w:p>
    <w:p w14:paraId="7728AA7B">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标项名称:</w:t>
      </w:r>
      <w:r>
        <w:rPr>
          <w:rFonts w:hint="eastAsia" w:ascii="宋体" w:hAnsi="宋体" w:cs="宋体"/>
          <w:snapToGrid w:val="0"/>
          <w:color w:val="auto"/>
          <w:kern w:val="28"/>
          <w:sz w:val="24"/>
          <w:szCs w:val="20"/>
          <w:highlight w:val="none"/>
          <w:lang w:val="en-US" w:eastAsia="zh-CN" w:bidi="ar-SA"/>
        </w:rPr>
        <w:t>2025年钱塘江省管海塘零星维修工程监理</w:t>
      </w:r>
    </w:p>
    <w:p w14:paraId="0DA99591">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数量:1项</w:t>
      </w:r>
    </w:p>
    <w:p w14:paraId="57E6D8BD">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 xml:space="preserve">    预算金额（元）: </w:t>
      </w:r>
      <w:r>
        <w:rPr>
          <w:rFonts w:hint="eastAsia" w:ascii="宋体" w:hAnsi="宋体" w:cs="宋体"/>
          <w:color w:val="auto"/>
          <w:kern w:val="0"/>
          <w:szCs w:val="21"/>
          <w:highlight w:val="none"/>
          <w:lang w:val="en-US" w:eastAsia="zh-CN"/>
        </w:rPr>
        <w:t>207500</w:t>
      </w:r>
    </w:p>
    <w:p w14:paraId="4DC83810">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 xml:space="preserve">    简要规格描述或项目基本概况介绍、用途：</w:t>
      </w:r>
      <w:bookmarkStart w:id="11" w:name="OLE_LINK4"/>
      <w:r>
        <w:rPr>
          <w:rFonts w:hint="eastAsia" w:ascii="宋体" w:hAnsi="宋体" w:eastAsia="宋体" w:cs="宋体"/>
          <w:snapToGrid w:val="0"/>
          <w:color w:val="auto"/>
          <w:kern w:val="28"/>
          <w:sz w:val="24"/>
          <w:szCs w:val="20"/>
          <w:highlight w:val="none"/>
          <w:lang w:val="en-US" w:eastAsia="zh-CN" w:bidi="ar-SA"/>
        </w:rPr>
        <w:t>详见采购文件第三部分要求。</w:t>
      </w:r>
      <w:bookmarkEnd w:id="11"/>
    </w:p>
    <w:p w14:paraId="3EA9E29A">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 xml:space="preserve">    备注： </w:t>
      </w:r>
    </w:p>
    <w:p w14:paraId="03F75F98">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合同履约期限：</w:t>
      </w:r>
      <w:r>
        <w:rPr>
          <w:rFonts w:hint="eastAsia" w:ascii="宋体" w:hAnsi="宋体" w:cs="宋体"/>
          <w:snapToGrid w:val="0"/>
          <w:color w:val="auto"/>
          <w:kern w:val="28"/>
          <w:sz w:val="24"/>
          <w:szCs w:val="20"/>
          <w:highlight w:val="none"/>
          <w:lang w:val="en-US" w:eastAsia="zh-CN" w:bidi="ar-SA"/>
        </w:rPr>
        <w:t>合同签订之日起至</w:t>
      </w:r>
      <w:r>
        <w:rPr>
          <w:rFonts w:hint="eastAsia" w:ascii="宋体" w:hAnsi="宋体" w:eastAsia="宋体" w:cs="宋体"/>
          <w:snapToGrid w:val="0"/>
          <w:color w:val="auto"/>
          <w:kern w:val="28"/>
          <w:sz w:val="24"/>
          <w:szCs w:val="20"/>
          <w:highlight w:val="none"/>
          <w:lang w:val="en-US" w:eastAsia="zh-CN" w:bidi="ar-SA"/>
        </w:rPr>
        <w:t>下一年度中标供应商进场服务并实现交接为止。</w:t>
      </w:r>
    </w:p>
    <w:p w14:paraId="6DF7A0C3">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9310BF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4CB8AC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4BDBE6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5D426B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ACDC4D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FDEBB2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7B55DB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CF0066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9BAB20E">
      <w:pPr>
        <w:rPr>
          <w:rFonts w:ascii="宋体" w:hAnsi="宋体" w:cs="宋体"/>
          <w:color w:val="auto"/>
          <w:highlight w:val="none"/>
        </w:rPr>
      </w:pPr>
    </w:p>
    <w:p w14:paraId="540C73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19A28C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9117746">
      <w:pPr>
        <w:widowControl/>
        <w:adjustRightInd w:val="0"/>
        <w:snapToGrid w:val="0"/>
        <w:spacing w:line="360" w:lineRule="auto"/>
        <w:ind w:firstLine="405"/>
        <w:jc w:val="left"/>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投标供应商应具备</w:t>
      </w:r>
      <w:r>
        <w:rPr>
          <w:rFonts w:hint="eastAsia" w:ascii="宋体" w:hAnsi="宋体" w:cs="宋体"/>
          <w:color w:val="auto"/>
          <w:sz w:val="24"/>
          <w:highlight w:val="none"/>
        </w:rPr>
        <w:t>（1）投标</w:t>
      </w:r>
      <w:bookmarkStart w:id="406" w:name="_GoBack"/>
      <w:bookmarkEnd w:id="406"/>
      <w:r>
        <w:rPr>
          <w:rFonts w:hint="eastAsia" w:ascii="宋体" w:hAnsi="宋体" w:cs="宋体"/>
          <w:color w:val="auto"/>
          <w:sz w:val="24"/>
          <w:highlight w:val="none"/>
        </w:rPr>
        <w:t>供应商应具有水利部颁发的水利工程施工监理甲级资质；（2）拟派项目总监具有注册在投标人单位的建设部颁发的水利水电工程国家注册监理工程师执业资格证书或具有注册在投标人单位的水利部（或中国水利工程协会）颁发的水利工程建设监理工程师资格证书，同时具有高级及以上职称证书；（3）拟派项目总监在磋商响应截止日存在在其他任何在建合同工程上担任总监理工程师的，不得以拟派总监理工程师的身份参加本次投标。在建合同工程的开始时间为合同工程中标通知书发出日期（不通过招标方式的，开始时间为合同签订日期），结束时间为该合同工程通过验收或合同解除日期</w:t>
      </w:r>
      <w:r>
        <w:rPr>
          <w:rFonts w:hint="eastAsia" w:ascii="宋体" w:hAnsi="宋体" w:cs="宋体"/>
          <w:color w:val="auto"/>
          <w:sz w:val="24"/>
          <w:highlight w:val="none"/>
          <w:lang w:eastAsia="zh-CN"/>
        </w:rPr>
        <w:t>。</w:t>
      </w:r>
    </w:p>
    <w:p w14:paraId="62546B9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60C1F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3E0D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CB2B7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492D2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A4D38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E3A5C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C5C0A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86DDD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4D6AC0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p>
    <w:p w14:paraId="49D70A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139441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F5269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65469C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8C5B3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04354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EE2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CFB9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DB191B">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DABB64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290B7F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 xml:space="preserve">  名    称：浙江省钱塘江流域中心 </w:t>
      </w:r>
    </w:p>
    <w:p w14:paraId="3D39276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地    址：浙江省杭州市清江路185号      </w:t>
      </w:r>
    </w:p>
    <w:p w14:paraId="556EBE99">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赵</w:t>
      </w:r>
      <w:r>
        <w:rPr>
          <w:rFonts w:hint="eastAsia" w:ascii="宋体" w:hAnsi="宋体" w:cs="宋体"/>
          <w:color w:val="auto"/>
          <w:sz w:val="24"/>
          <w:highlight w:val="none"/>
        </w:rPr>
        <w:t xml:space="preserve">工  </w:t>
      </w:r>
    </w:p>
    <w:p w14:paraId="187E4888">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 </w:t>
      </w:r>
      <w:r>
        <w:rPr>
          <w:rFonts w:hint="eastAsia" w:ascii="宋体" w:hAnsi="宋体" w:cs="宋体"/>
          <w:color w:val="auto"/>
          <w:sz w:val="24"/>
          <w:highlight w:val="none"/>
          <w:lang w:val="en-US" w:eastAsia="zh-CN"/>
        </w:rPr>
        <w:t>86535318</w:t>
      </w:r>
    </w:p>
    <w:p w14:paraId="29BC541B">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金工</w:t>
      </w:r>
      <w:r>
        <w:rPr>
          <w:rFonts w:hint="eastAsia" w:ascii="宋体" w:hAnsi="宋体" w:cs="宋体"/>
          <w:color w:val="auto"/>
          <w:sz w:val="24"/>
          <w:highlight w:val="none"/>
        </w:rPr>
        <w:t xml:space="preserve"> </w:t>
      </w:r>
    </w:p>
    <w:p w14:paraId="5D6C516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571-</w:t>
      </w:r>
      <w:r>
        <w:rPr>
          <w:rFonts w:hint="eastAsia" w:ascii="宋体" w:hAnsi="宋体" w:cs="宋体"/>
          <w:color w:val="auto"/>
          <w:sz w:val="24"/>
          <w:highlight w:val="none"/>
          <w:lang w:val="en-US" w:eastAsia="zh-CN"/>
        </w:rPr>
        <w:t>86535318</w:t>
      </w:r>
    </w:p>
    <w:p w14:paraId="5CE21924">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E0C687F">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浙江中际工程项目管理有限公司</w:t>
      </w:r>
    </w:p>
    <w:p w14:paraId="0E3116C9">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地    址：浙江省杭州市上城区华成国际发展大厦8楼</w:t>
      </w:r>
    </w:p>
    <w:p w14:paraId="0C1F339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4BB28C54">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项目联系人（询问）：吴素均</w:t>
      </w:r>
    </w:p>
    <w:p w14:paraId="6351770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项目联系方式（询问）：15824491413</w:t>
      </w:r>
    </w:p>
    <w:p w14:paraId="1B3E844C">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质疑联系人：来女士</w:t>
      </w:r>
    </w:p>
    <w:p w14:paraId="5D0CE26C">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17366611194</w:t>
      </w:r>
    </w:p>
    <w:p w14:paraId="08A5531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F5F257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名称：浙江省政府采购行政裁决服务中心（杭州市上城区清泰街549号城建综合大楼11楼）</w:t>
      </w:r>
    </w:p>
    <w:p w14:paraId="14BBCD8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w:t>
      </w:r>
    </w:p>
    <w:p w14:paraId="104D65E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传真：/</w:t>
      </w:r>
    </w:p>
    <w:p w14:paraId="79B978C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联系人：朱老师、王老师、匡老师</w:t>
      </w:r>
    </w:p>
    <w:p w14:paraId="0082CB9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监督投诉电话：057187800218、87227671、87227986</w:t>
      </w:r>
    </w:p>
    <w:p w14:paraId="6262342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243A484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310215A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A86EF0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B4EE1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189C69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3C2A7C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D73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C2A4E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77C6B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778CB4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18E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tblHeader/>
        </w:trPr>
        <w:tc>
          <w:tcPr>
            <w:tcW w:w="629" w:type="dxa"/>
            <w:vAlign w:val="center"/>
          </w:tcPr>
          <w:p w14:paraId="42EEEA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7699A21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1ECA7AC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A02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6" w:hRule="atLeast"/>
          <w:tblHeader/>
        </w:trPr>
        <w:tc>
          <w:tcPr>
            <w:tcW w:w="629" w:type="dxa"/>
            <w:vAlign w:val="center"/>
          </w:tcPr>
          <w:p w14:paraId="32CE35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170E28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2553946A">
            <w:pPr>
              <w:adjustRightInd/>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szCs w:val="32"/>
                <w:highlight w:val="none"/>
                <w:u w:val="single"/>
                <w:lang w:eastAsia="zh-CN"/>
              </w:rPr>
              <w:t>2025年钱塘江省管海塘零星维修工程监理</w:t>
            </w:r>
            <w:r>
              <w:rPr>
                <w:rFonts w:hint="eastAsia" w:ascii="宋体" w:hAnsi="宋体" w:cs="宋体"/>
                <w:color w:val="auto"/>
                <w:kern w:val="0"/>
                <w:sz w:val="24"/>
                <w:highlight w:val="none"/>
              </w:rPr>
              <w:t>，属于</w:t>
            </w:r>
            <w:r>
              <w:rPr>
                <w:rFonts w:hint="eastAsia" w:cs="Calibri"/>
                <w:color w:val="auto"/>
                <w:sz w:val="24"/>
                <w:szCs w:val="32"/>
                <w:highlight w:val="none"/>
                <w:u w:val="single"/>
                <w:lang w:eastAsia="zh-CN"/>
              </w:rPr>
              <w:t>其他未列明</w:t>
            </w:r>
            <w:r>
              <w:rPr>
                <w:rFonts w:hint="eastAsia" w:ascii="宋体" w:hAnsi="宋体" w:cs="宋体"/>
                <w:color w:val="auto"/>
                <w:kern w:val="0"/>
                <w:sz w:val="24"/>
                <w:highlight w:val="none"/>
              </w:rPr>
              <w:t>行业；</w:t>
            </w:r>
          </w:p>
          <w:p w14:paraId="1CE53BEE">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cs="Calibri"/>
                <w:color w:val="auto"/>
                <w:sz w:val="24"/>
                <w:szCs w:val="32"/>
                <w:highlight w:val="none"/>
                <w:u w:val="none"/>
                <w:lang w:eastAsia="zh-CN"/>
              </w:rPr>
              <w:t>其他未列明</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bCs/>
                <w:color w:val="auto"/>
                <w:sz w:val="24"/>
                <w:szCs w:val="24"/>
                <w:highlight w:val="none"/>
                <w:lang w:val="en-US"/>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kern w:val="0"/>
                <w:sz w:val="24"/>
                <w:szCs w:val="24"/>
                <w:highlight w:val="none"/>
                <w:lang w:val="en-US" w:eastAsia="zh-CN" w:bidi="ar-SA"/>
              </w:rPr>
              <w:t>。</w:t>
            </w:r>
          </w:p>
        </w:tc>
      </w:tr>
      <w:tr w14:paraId="3857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3" w:hRule="atLeast"/>
          <w:tblHeader/>
        </w:trPr>
        <w:tc>
          <w:tcPr>
            <w:tcW w:w="629" w:type="dxa"/>
            <w:vAlign w:val="center"/>
          </w:tcPr>
          <w:p w14:paraId="7CD5C2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9EB74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204AE7E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30DBD7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4B7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9" w:hRule="atLeast"/>
          <w:tblHeader/>
        </w:trPr>
        <w:tc>
          <w:tcPr>
            <w:tcW w:w="629" w:type="dxa"/>
            <w:vAlign w:val="center"/>
          </w:tcPr>
          <w:p w14:paraId="15DE87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6A98315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4150490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w:t>
            </w:r>
            <w:r>
              <w:rPr>
                <w:rFonts w:hint="eastAsia" w:ascii="宋体" w:hAnsi="宋体" w:eastAsia="宋体" w:cs="宋体"/>
                <w:color w:val="auto"/>
                <w:sz w:val="24"/>
                <w:highlight w:val="none"/>
              </w:rPr>
              <w:t>将非主体、非关键性的工作分</w:t>
            </w:r>
            <w:r>
              <w:rPr>
                <w:rFonts w:hint="eastAsia" w:ascii="宋体" w:hAnsi="宋体" w:cs="宋体"/>
                <w:color w:val="auto"/>
                <w:sz w:val="24"/>
                <w:highlight w:val="none"/>
              </w:rPr>
              <w:t>包。</w:t>
            </w:r>
          </w:p>
          <w:p w14:paraId="58A8045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C8EFD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54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5" w:hRule="atLeast"/>
          <w:tblHeader/>
        </w:trPr>
        <w:tc>
          <w:tcPr>
            <w:tcW w:w="629" w:type="dxa"/>
            <w:vAlign w:val="center"/>
          </w:tcPr>
          <w:p w14:paraId="6729E4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27E442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61E5944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6FA5FD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BA95C58">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0AB4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23" w:hRule="atLeast"/>
          <w:tblHeader/>
        </w:trPr>
        <w:tc>
          <w:tcPr>
            <w:tcW w:w="629" w:type="dxa"/>
            <w:vAlign w:val="center"/>
          </w:tcPr>
          <w:p w14:paraId="775156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0843C1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16BE5B5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C54D9E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0C17A1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57521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597D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D7D0AE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0CC2CD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33850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6A195A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B35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8" w:hRule="atLeast"/>
          <w:tblHeader/>
        </w:trPr>
        <w:tc>
          <w:tcPr>
            <w:tcW w:w="629" w:type="dxa"/>
            <w:vAlign w:val="top"/>
          </w:tcPr>
          <w:p w14:paraId="65CEB068">
            <w:pPr>
              <w:snapToGrid w:val="0"/>
              <w:spacing w:line="360" w:lineRule="auto"/>
              <w:jc w:val="center"/>
              <w:rPr>
                <w:rFonts w:ascii="宋体" w:hAnsi="宋体" w:cs="宋体"/>
                <w:color w:val="auto"/>
                <w:sz w:val="24"/>
                <w:highlight w:val="none"/>
              </w:rPr>
            </w:pPr>
          </w:p>
          <w:p w14:paraId="683F16DD">
            <w:pPr>
              <w:snapToGrid w:val="0"/>
              <w:spacing w:line="360" w:lineRule="auto"/>
              <w:jc w:val="center"/>
              <w:rPr>
                <w:rFonts w:ascii="宋体" w:hAnsi="宋体" w:cs="宋体"/>
                <w:color w:val="auto"/>
                <w:sz w:val="24"/>
                <w:highlight w:val="none"/>
              </w:rPr>
            </w:pPr>
          </w:p>
          <w:p w14:paraId="2A4EA574">
            <w:pPr>
              <w:snapToGrid w:val="0"/>
              <w:spacing w:line="360" w:lineRule="auto"/>
              <w:jc w:val="center"/>
              <w:rPr>
                <w:rFonts w:ascii="宋体" w:hAnsi="宋体" w:cs="宋体"/>
                <w:color w:val="auto"/>
                <w:sz w:val="24"/>
                <w:highlight w:val="none"/>
              </w:rPr>
            </w:pPr>
          </w:p>
          <w:p w14:paraId="4376D4F8">
            <w:pPr>
              <w:snapToGrid w:val="0"/>
              <w:spacing w:line="360" w:lineRule="auto"/>
              <w:jc w:val="center"/>
              <w:rPr>
                <w:rFonts w:ascii="宋体" w:hAnsi="宋体" w:cs="宋体"/>
                <w:color w:val="auto"/>
                <w:sz w:val="24"/>
                <w:highlight w:val="none"/>
              </w:rPr>
            </w:pPr>
          </w:p>
          <w:p w14:paraId="5C2A17FE">
            <w:pPr>
              <w:snapToGrid w:val="0"/>
              <w:spacing w:line="360" w:lineRule="auto"/>
              <w:jc w:val="center"/>
              <w:rPr>
                <w:rFonts w:ascii="宋体" w:hAnsi="宋体" w:cs="宋体"/>
                <w:color w:val="auto"/>
                <w:sz w:val="24"/>
                <w:highlight w:val="none"/>
              </w:rPr>
            </w:pPr>
          </w:p>
          <w:p w14:paraId="691B27E4">
            <w:pPr>
              <w:snapToGrid w:val="0"/>
              <w:spacing w:line="360" w:lineRule="auto"/>
              <w:jc w:val="center"/>
              <w:rPr>
                <w:rFonts w:ascii="宋体" w:hAnsi="宋体" w:cs="宋体"/>
                <w:color w:val="auto"/>
                <w:sz w:val="24"/>
                <w:highlight w:val="none"/>
              </w:rPr>
            </w:pPr>
          </w:p>
          <w:p w14:paraId="2C2672E0">
            <w:pPr>
              <w:snapToGrid w:val="0"/>
              <w:spacing w:line="360" w:lineRule="auto"/>
              <w:jc w:val="center"/>
              <w:rPr>
                <w:rFonts w:ascii="宋体" w:hAnsi="宋体" w:cs="宋体"/>
                <w:color w:val="auto"/>
                <w:sz w:val="24"/>
                <w:highlight w:val="none"/>
              </w:rPr>
            </w:pPr>
          </w:p>
          <w:p w14:paraId="786F3668">
            <w:pPr>
              <w:snapToGrid w:val="0"/>
              <w:spacing w:line="360" w:lineRule="auto"/>
              <w:jc w:val="center"/>
              <w:rPr>
                <w:rFonts w:ascii="宋体" w:hAnsi="宋体" w:cs="宋体"/>
                <w:color w:val="auto"/>
                <w:sz w:val="24"/>
                <w:highlight w:val="none"/>
              </w:rPr>
            </w:pPr>
          </w:p>
          <w:p w14:paraId="1BB5737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7019224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41EF271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817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0DB9EA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44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FD21A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3ED77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AA92C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1C8C9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B6CEE00">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46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tcPr>
          <w:p w14:paraId="640C7178">
            <w:pPr>
              <w:snapToGrid w:val="0"/>
              <w:spacing w:line="360" w:lineRule="auto"/>
              <w:jc w:val="center"/>
              <w:rPr>
                <w:rFonts w:ascii="宋体" w:hAnsi="宋体" w:cs="宋体"/>
                <w:color w:val="auto"/>
                <w:sz w:val="24"/>
                <w:highlight w:val="none"/>
              </w:rPr>
            </w:pPr>
          </w:p>
          <w:p w14:paraId="3B1D70EB">
            <w:pPr>
              <w:snapToGrid w:val="0"/>
              <w:spacing w:line="360" w:lineRule="auto"/>
              <w:jc w:val="center"/>
              <w:rPr>
                <w:rFonts w:ascii="宋体" w:hAnsi="宋体" w:cs="宋体"/>
                <w:color w:val="auto"/>
                <w:sz w:val="24"/>
                <w:highlight w:val="none"/>
              </w:rPr>
            </w:pPr>
          </w:p>
          <w:p w14:paraId="2B8B43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06EA09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5A42936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72A871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C1C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tblHeader/>
        </w:trPr>
        <w:tc>
          <w:tcPr>
            <w:tcW w:w="629" w:type="dxa"/>
            <w:vMerge w:val="continue"/>
          </w:tcPr>
          <w:p w14:paraId="060E2C49">
            <w:pPr>
              <w:snapToGrid w:val="0"/>
              <w:spacing w:line="360" w:lineRule="auto"/>
              <w:jc w:val="center"/>
              <w:rPr>
                <w:rFonts w:ascii="宋体" w:hAnsi="宋体" w:cs="宋体"/>
                <w:color w:val="auto"/>
                <w:sz w:val="24"/>
                <w:highlight w:val="none"/>
              </w:rPr>
            </w:pPr>
          </w:p>
        </w:tc>
        <w:tc>
          <w:tcPr>
            <w:tcW w:w="1843" w:type="dxa"/>
            <w:vMerge w:val="continue"/>
            <w:vAlign w:val="center"/>
          </w:tcPr>
          <w:p w14:paraId="0C706326">
            <w:pPr>
              <w:snapToGrid w:val="0"/>
              <w:spacing w:line="360" w:lineRule="auto"/>
              <w:jc w:val="center"/>
              <w:rPr>
                <w:rFonts w:ascii="宋体" w:hAnsi="宋体" w:cs="宋体"/>
                <w:b/>
                <w:color w:val="auto"/>
                <w:sz w:val="24"/>
                <w:highlight w:val="none"/>
              </w:rPr>
            </w:pPr>
          </w:p>
        </w:tc>
        <w:tc>
          <w:tcPr>
            <w:tcW w:w="6095" w:type="dxa"/>
            <w:vAlign w:val="center"/>
          </w:tcPr>
          <w:p w14:paraId="22D2229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DAF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83FC96C">
            <w:pPr>
              <w:snapToGrid w:val="0"/>
              <w:spacing w:line="360" w:lineRule="auto"/>
              <w:jc w:val="center"/>
              <w:rPr>
                <w:rFonts w:ascii="宋体" w:hAnsi="宋体" w:cs="宋体"/>
                <w:color w:val="auto"/>
                <w:sz w:val="24"/>
                <w:highlight w:val="none"/>
              </w:rPr>
            </w:pPr>
          </w:p>
          <w:p w14:paraId="681182F2">
            <w:pPr>
              <w:snapToGrid w:val="0"/>
              <w:spacing w:line="360" w:lineRule="auto"/>
              <w:jc w:val="center"/>
              <w:rPr>
                <w:rFonts w:ascii="宋体" w:hAnsi="宋体" w:cs="宋体"/>
                <w:color w:val="auto"/>
                <w:sz w:val="24"/>
                <w:highlight w:val="none"/>
              </w:rPr>
            </w:pPr>
          </w:p>
          <w:p w14:paraId="1E84A1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32E501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46FA0EA4">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1F698B5">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B2AE321">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F0B65B7">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544D8E90">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8AB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34AC45AB">
            <w:pPr>
              <w:snapToGrid w:val="0"/>
              <w:spacing w:line="360" w:lineRule="auto"/>
              <w:jc w:val="center"/>
              <w:rPr>
                <w:rFonts w:ascii="宋体" w:hAnsi="宋体" w:cs="宋体"/>
                <w:color w:val="auto"/>
                <w:sz w:val="24"/>
                <w:highlight w:val="none"/>
              </w:rPr>
            </w:pPr>
          </w:p>
          <w:p w14:paraId="0417226B">
            <w:pPr>
              <w:snapToGrid w:val="0"/>
              <w:spacing w:line="360" w:lineRule="auto"/>
              <w:jc w:val="center"/>
              <w:rPr>
                <w:rFonts w:ascii="宋体" w:hAnsi="宋体" w:cs="宋体"/>
                <w:color w:val="auto"/>
                <w:sz w:val="24"/>
                <w:highlight w:val="none"/>
              </w:rPr>
            </w:pPr>
          </w:p>
          <w:p w14:paraId="195A3D83">
            <w:pPr>
              <w:snapToGrid w:val="0"/>
              <w:spacing w:line="360" w:lineRule="auto"/>
              <w:jc w:val="center"/>
              <w:rPr>
                <w:rFonts w:ascii="宋体" w:hAnsi="宋体" w:cs="宋体"/>
                <w:color w:val="auto"/>
                <w:sz w:val="24"/>
                <w:highlight w:val="none"/>
              </w:rPr>
            </w:pPr>
          </w:p>
          <w:p w14:paraId="197DFFAB">
            <w:pPr>
              <w:snapToGrid w:val="0"/>
              <w:spacing w:line="360" w:lineRule="auto"/>
              <w:jc w:val="center"/>
              <w:rPr>
                <w:rFonts w:ascii="宋体" w:hAnsi="宋体" w:cs="宋体"/>
                <w:color w:val="auto"/>
                <w:sz w:val="24"/>
                <w:highlight w:val="none"/>
              </w:rPr>
            </w:pPr>
          </w:p>
          <w:p w14:paraId="05242412">
            <w:pPr>
              <w:snapToGrid w:val="0"/>
              <w:spacing w:line="360" w:lineRule="auto"/>
              <w:jc w:val="center"/>
              <w:rPr>
                <w:rFonts w:ascii="宋体" w:hAnsi="宋体" w:cs="宋体"/>
                <w:color w:val="auto"/>
                <w:sz w:val="24"/>
                <w:highlight w:val="none"/>
              </w:rPr>
            </w:pPr>
          </w:p>
          <w:p w14:paraId="13C1BB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3A41B6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E81A51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BAB0B5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A32F99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D7E8A2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73585D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3F832C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AF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0E5BAF8F">
            <w:pPr>
              <w:snapToGrid w:val="0"/>
              <w:spacing w:line="360" w:lineRule="auto"/>
              <w:jc w:val="center"/>
              <w:rPr>
                <w:rFonts w:ascii="宋体" w:hAnsi="宋体" w:cs="宋体"/>
                <w:color w:val="auto"/>
                <w:sz w:val="24"/>
                <w:highlight w:val="none"/>
              </w:rPr>
            </w:pPr>
          </w:p>
          <w:p w14:paraId="2BCC0C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455133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40EADA2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DC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2" w:hRule="atLeast"/>
          <w:tblHeader/>
        </w:trPr>
        <w:tc>
          <w:tcPr>
            <w:tcW w:w="629" w:type="dxa"/>
            <w:vAlign w:val="center"/>
          </w:tcPr>
          <w:p w14:paraId="6AFFF7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39BE80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4A87088C">
            <w:pPr>
              <w:pStyle w:val="33"/>
              <w:spacing w:line="360" w:lineRule="auto"/>
              <w:rPr>
                <w:rFonts w:hint="eastAsia" w:hAnsi="宋体" w:cs="宋体"/>
                <w:color w:val="auto"/>
                <w:kern w:val="28"/>
                <w:sz w:val="24"/>
                <w:highlight w:val="none"/>
              </w:rPr>
            </w:pPr>
            <w:r>
              <w:rPr>
                <w:rFonts w:hint="eastAsia" w:hAnsi="宋体" w:cs="宋体"/>
                <w:color w:val="auto"/>
                <w:kern w:val="28"/>
                <w:sz w:val="24"/>
                <w:highlight w:val="none"/>
              </w:rPr>
              <w:t>备份投标文件送达地点：浙江省杭州市上城区华成国际发展大厦8楼319室；</w:t>
            </w:r>
          </w:p>
          <w:p w14:paraId="26732E65">
            <w:pPr>
              <w:pStyle w:val="33"/>
              <w:spacing w:line="360" w:lineRule="auto"/>
              <w:rPr>
                <w:rFonts w:hint="eastAsia" w:hAnsi="宋体" w:cs="宋体"/>
                <w:color w:val="auto"/>
                <w:kern w:val="28"/>
                <w:sz w:val="24"/>
                <w:highlight w:val="none"/>
              </w:rPr>
            </w:pPr>
            <w:r>
              <w:rPr>
                <w:rFonts w:hint="eastAsia" w:hAnsi="宋体" w:cs="宋体"/>
                <w:color w:val="auto"/>
                <w:kern w:val="28"/>
                <w:sz w:val="24"/>
                <w:highlight w:val="none"/>
              </w:rPr>
              <w:t>备份投标文件签收联系人：吴素均；联系电话： 15824491413 。</w:t>
            </w:r>
          </w:p>
          <w:p w14:paraId="1CFA8BF4">
            <w:pPr>
              <w:pStyle w:val="33"/>
              <w:spacing w:line="360" w:lineRule="auto"/>
              <w:rPr>
                <w:rFonts w:hAnsi="宋体" w:cs="宋体"/>
                <w:color w:val="auto"/>
                <w:kern w:val="28"/>
                <w:sz w:val="24"/>
                <w:highlight w:val="none"/>
              </w:rPr>
            </w:pPr>
            <w:r>
              <w:rPr>
                <w:rFonts w:hint="eastAsia" w:hAnsi="宋体" w:cs="宋体"/>
                <w:b/>
                <w:bCs/>
                <w:color w:val="auto"/>
                <w:kern w:val="28"/>
                <w:sz w:val="24"/>
                <w:highlight w:val="none"/>
              </w:rPr>
              <w:t>采购人、采购代理机构不强制或变相强制投标人提交备份投标文件。</w:t>
            </w:r>
          </w:p>
        </w:tc>
      </w:tr>
      <w:tr w14:paraId="1753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16647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1647C1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vAlign w:val="center"/>
          </w:tcPr>
          <w:p w14:paraId="2602DEC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2F2F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7A3F673D">
            <w:pPr>
              <w:snapToGrid w:val="0"/>
              <w:spacing w:line="360" w:lineRule="auto"/>
              <w:jc w:val="center"/>
              <w:rPr>
                <w:rFonts w:ascii="宋体" w:hAnsi="宋体" w:cs="宋体"/>
                <w:color w:val="auto"/>
                <w:sz w:val="24"/>
                <w:highlight w:val="none"/>
              </w:rPr>
            </w:pPr>
          </w:p>
        </w:tc>
        <w:tc>
          <w:tcPr>
            <w:tcW w:w="1843" w:type="dxa"/>
            <w:vMerge w:val="continue"/>
            <w:vAlign w:val="center"/>
          </w:tcPr>
          <w:p w14:paraId="2877A4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szCs w:val="24"/>
                <w:highlight w:val="none"/>
              </w:rPr>
            </w:pPr>
          </w:p>
        </w:tc>
        <w:tc>
          <w:tcPr>
            <w:tcW w:w="6095" w:type="dxa"/>
            <w:vAlign w:val="center"/>
          </w:tcPr>
          <w:p w14:paraId="013B04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szCs w:val="24"/>
                <w:highlight w:val="none"/>
              </w:rPr>
            </w:pPr>
            <w:sdt>
              <w:sdtPr>
                <w:rPr>
                  <w:rFonts w:hint="eastAsia" w:cs="Arial" w:asciiTheme="minorEastAsia" w:hAnsiTheme="minorEastAsia" w:eastAsiaTheme="minorEastAsia"/>
                  <w:color w:val="auto"/>
                  <w:kern w:val="0"/>
                  <w:sz w:val="24"/>
                  <w:szCs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ascii="宋体" w:hAnsi="宋体" w:cs="宋体"/>
                <w:snapToGrid w:val="0"/>
                <w:color w:val="auto"/>
                <w:kern w:val="28"/>
                <w:sz w:val="24"/>
                <w:szCs w:val="24"/>
                <w:highlight w:val="none"/>
              </w:rPr>
              <w:t>联合体投标的，联合体各方均需按招标文件第四部分评标标准要求提供资信证明文件，否则视为不符合相关要求。</w:t>
            </w:r>
          </w:p>
          <w:p w14:paraId="6224E32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Arial" w:asciiTheme="minorEastAsia" w:hAnsiTheme="minorEastAsia" w:eastAsiaTheme="minorEastAsia"/>
                <w:color w:val="auto"/>
                <w:kern w:val="0"/>
                <w:sz w:val="24"/>
                <w:szCs w:val="24"/>
                <w:highlight w:val="none"/>
              </w:rPr>
            </w:pPr>
            <w:sdt>
              <w:sdtPr>
                <w:rPr>
                  <w:rFonts w:hint="eastAsia" w:cs="Arial" w:asciiTheme="minorEastAsia" w:hAnsiTheme="minorEastAsia" w:eastAsiaTheme="minorEastAsia"/>
                  <w:color w:val="auto"/>
                  <w:kern w:val="0"/>
                  <w:sz w:val="24"/>
                  <w:szCs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szCs w:val="24"/>
                  <w:highlight w:val="none"/>
                </w:rPr>
              </w:sdtEndPr>
              <w:sdtContent>
                <w:r>
                  <w:rPr>
                    <w:rFonts w:hint="eastAsia" w:cs="Arial" w:asciiTheme="minorEastAsia" w:hAnsiTheme="minorEastAsia" w:eastAsiaTheme="minorEastAsia"/>
                    <w:color w:val="auto"/>
                    <w:kern w:val="0"/>
                    <w:sz w:val="24"/>
                    <w:szCs w:val="24"/>
                    <w:highlight w:val="none"/>
                  </w:rPr>
                  <w:sym w:font="Wingdings" w:char="F0FE"/>
                </w:r>
              </w:sdtContent>
            </w:sdt>
            <w:r>
              <w:rPr>
                <w:rFonts w:hint="eastAsia" w:ascii="宋体" w:hAnsi="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6B8B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4C7B87EB">
            <w:pPr>
              <w:snapToGrid w:val="0"/>
              <w:spacing w:line="360" w:lineRule="auto"/>
              <w:jc w:val="center"/>
              <w:rPr>
                <w:rFonts w:ascii="宋体" w:hAnsi="宋体" w:cs="宋体"/>
                <w:color w:val="auto"/>
                <w:sz w:val="24"/>
                <w:highlight w:val="none"/>
              </w:rPr>
            </w:pPr>
          </w:p>
        </w:tc>
        <w:tc>
          <w:tcPr>
            <w:tcW w:w="1843" w:type="dxa"/>
            <w:vMerge w:val="continue"/>
            <w:vAlign w:val="center"/>
          </w:tcPr>
          <w:p w14:paraId="62125E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szCs w:val="24"/>
                <w:highlight w:val="none"/>
              </w:rPr>
            </w:pPr>
          </w:p>
        </w:tc>
        <w:tc>
          <w:tcPr>
            <w:tcW w:w="6095" w:type="dxa"/>
            <w:vAlign w:val="center"/>
          </w:tcPr>
          <w:p w14:paraId="34BFD26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Arial" w:asciiTheme="minorEastAsia" w:hAnsiTheme="minorEastAsia" w:eastAsiaTheme="minorEastAsia"/>
                <w:color w:val="auto"/>
                <w:kern w:val="0"/>
                <w:sz w:val="24"/>
                <w:szCs w:val="24"/>
                <w:highlight w:val="none"/>
              </w:rPr>
            </w:pPr>
            <w:r>
              <w:rPr>
                <w:rFonts w:hint="eastAsia"/>
                <w:color w:val="auto"/>
                <w:sz w:val="24"/>
                <w:szCs w:val="24"/>
                <w:highlight w:val="none"/>
                <w:lang w:val="en-US" w:eastAsia="zh-CN"/>
              </w:rPr>
              <w:t>鉴于零星维修项目实施的连续性，开标前发包人已委托上一年度中标供应商继续实施监理，因此此次中标供应商中标后，须向上一年度中标供应商支付该段时间内发生的监理服务款。该部分费用按本年度已完成的维修工程结算金额占比进行结算，由本年度中标供应商支付。同样，中标供应商需继续服务2025年12月31日以后至下一年度中标供应商进场服务并实现交接为止。费用结算原则同上。</w:t>
            </w:r>
          </w:p>
        </w:tc>
      </w:tr>
      <w:tr w14:paraId="3C52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2FFCE82">
            <w:pPr>
              <w:snapToGrid w:val="0"/>
              <w:spacing w:line="360" w:lineRule="auto"/>
              <w:jc w:val="center"/>
              <w:rPr>
                <w:rFonts w:ascii="宋体" w:hAnsi="宋体" w:cs="宋体"/>
                <w:color w:val="auto"/>
                <w:sz w:val="24"/>
                <w:highlight w:val="none"/>
              </w:rPr>
            </w:pPr>
          </w:p>
        </w:tc>
        <w:tc>
          <w:tcPr>
            <w:tcW w:w="1843" w:type="dxa"/>
            <w:vMerge w:val="continue"/>
            <w:vAlign w:val="center"/>
          </w:tcPr>
          <w:p w14:paraId="03EA26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szCs w:val="24"/>
                <w:highlight w:val="none"/>
              </w:rPr>
            </w:pPr>
          </w:p>
        </w:tc>
        <w:tc>
          <w:tcPr>
            <w:tcW w:w="6095" w:type="dxa"/>
            <w:vAlign w:val="center"/>
          </w:tcPr>
          <w:p w14:paraId="60E50D5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Arial" w:asciiTheme="minorEastAsia" w:hAnsiTheme="minorEastAsia" w:eastAsiaTheme="minorEastAsia"/>
                <w:color w:val="auto"/>
                <w:kern w:val="0"/>
                <w:sz w:val="24"/>
                <w:szCs w:val="24"/>
                <w:highlight w:val="none"/>
              </w:rPr>
            </w:pPr>
            <w:r>
              <w:rPr>
                <w:rFonts w:hint="eastAsia"/>
                <w:color w:val="auto"/>
                <w:sz w:val="24"/>
                <w:szCs w:val="24"/>
                <w:highlight w:val="none"/>
              </w:rPr>
              <w:t>如发现供应商之间IP地址、MAC地址或设备硬件号信息相同的，相关供应商均投标无效。</w:t>
            </w:r>
          </w:p>
        </w:tc>
      </w:tr>
      <w:tr w14:paraId="7070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7D83ACCA">
            <w:pPr>
              <w:snapToGrid w:val="0"/>
              <w:spacing w:line="360" w:lineRule="auto"/>
              <w:jc w:val="center"/>
              <w:rPr>
                <w:rFonts w:ascii="宋体" w:hAnsi="宋体" w:cs="宋体"/>
                <w:color w:val="auto"/>
                <w:sz w:val="24"/>
                <w:highlight w:val="none"/>
              </w:rPr>
            </w:pPr>
          </w:p>
        </w:tc>
        <w:tc>
          <w:tcPr>
            <w:tcW w:w="1843" w:type="dxa"/>
            <w:vMerge w:val="continue"/>
            <w:vAlign w:val="center"/>
          </w:tcPr>
          <w:p w14:paraId="0B6A27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szCs w:val="24"/>
                <w:highlight w:val="none"/>
              </w:rPr>
            </w:pPr>
          </w:p>
        </w:tc>
        <w:tc>
          <w:tcPr>
            <w:tcW w:w="6095" w:type="dxa"/>
            <w:vAlign w:val="center"/>
          </w:tcPr>
          <w:p w14:paraId="71A4D5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szCs w:val="24"/>
                <w:highlight w:val="none"/>
              </w:rPr>
            </w:pPr>
            <w:r>
              <w:rPr>
                <w:rFonts w:hint="eastAsia"/>
                <w:color w:val="auto"/>
                <w:sz w:val="24"/>
                <w:szCs w:val="24"/>
                <w:highlight w:val="none"/>
              </w:rPr>
              <w:t>中标候选人因各种原因被取消中标候选人资格的，推荐的中标候选人不再递补，采购人重新组织招标。</w:t>
            </w:r>
          </w:p>
        </w:tc>
      </w:tr>
      <w:tr w14:paraId="5752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18480F9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Align w:val="center"/>
          </w:tcPr>
          <w:p w14:paraId="15BA7FE6">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vAlign w:val="center"/>
          </w:tcPr>
          <w:p w14:paraId="478D4786">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557B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2F7244A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Align w:val="center"/>
          </w:tcPr>
          <w:p w14:paraId="2D22CD6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vAlign w:val="center"/>
          </w:tcPr>
          <w:p w14:paraId="50BD9002">
            <w:pPr>
              <w:spacing w:line="360" w:lineRule="auto"/>
              <w:rPr>
                <w:rFonts w:hint="eastAsia" w:ascii="宋体" w:hAnsi="宋体" w:cs="宋体"/>
                <w:b w:val="0"/>
                <w:bCs w:val="0"/>
                <w:color w:val="auto"/>
                <w:sz w:val="24"/>
                <w:highlight w:val="none"/>
              </w:rPr>
            </w:pPr>
            <w:bookmarkStart w:id="12" w:name="OLE_LINK24"/>
            <w:r>
              <w:rPr>
                <w:rFonts w:hint="eastAsia" w:ascii="宋体" w:hAnsi="宋体" w:cs="宋体"/>
                <w:b w:val="0"/>
                <w:bCs w:val="0"/>
                <w:color w:val="auto"/>
                <w:sz w:val="24"/>
                <w:highlight w:val="none"/>
              </w:rPr>
              <w:t>本项目的采购代理费由中标人支付。计费标准：</w:t>
            </w:r>
          </w:p>
          <w:p w14:paraId="10F24C2C">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1、中标服务费以</w:t>
            </w:r>
            <w:r>
              <w:rPr>
                <w:rFonts w:hint="eastAsia" w:ascii="宋体" w:hAnsi="宋体" w:cs="宋体"/>
                <w:b w:val="0"/>
                <w:bCs w:val="0"/>
                <w:color w:val="auto"/>
                <w:sz w:val="24"/>
                <w:highlight w:val="none"/>
                <w:lang w:val="en-US" w:eastAsia="zh-CN"/>
              </w:rPr>
              <w:t>中标</w:t>
            </w:r>
            <w:r>
              <w:rPr>
                <w:rFonts w:hint="eastAsia" w:ascii="宋体" w:hAnsi="宋体" w:cs="宋体"/>
                <w:b w:val="0"/>
                <w:bCs w:val="0"/>
                <w:color w:val="auto"/>
                <w:sz w:val="24"/>
                <w:highlight w:val="none"/>
              </w:rPr>
              <w:t>金额为计费基准，按《计价格［2002］1980号》及《发改办价格［2003］857号》规定的服务类收费标准</w:t>
            </w:r>
            <w:r>
              <w:rPr>
                <w:rFonts w:hint="eastAsia" w:ascii="宋体" w:hAnsi="宋体" w:cs="宋体"/>
                <w:b w:val="0"/>
                <w:bCs w:val="0"/>
                <w:color w:val="auto"/>
                <w:sz w:val="24"/>
                <w:highlight w:val="none"/>
                <w:lang w:val="en-US" w:eastAsia="zh-CN"/>
              </w:rPr>
              <w:t>的80%</w:t>
            </w:r>
            <w:r>
              <w:rPr>
                <w:rFonts w:hint="eastAsia" w:ascii="宋体" w:hAnsi="宋体" w:cs="宋体"/>
                <w:b w:val="0"/>
                <w:bCs w:val="0"/>
                <w:color w:val="auto"/>
                <w:sz w:val="24"/>
                <w:highlight w:val="none"/>
              </w:rPr>
              <w:t>计取。</w:t>
            </w:r>
            <w:bookmarkEnd w:id="12"/>
          </w:p>
          <w:p w14:paraId="67B0C321">
            <w:pPr>
              <w:spacing w:line="360" w:lineRule="auto"/>
              <w:rPr>
                <w:rFonts w:hint="eastAsia" w:ascii="宋体" w:hAnsi="宋体" w:cs="宋体"/>
                <w:b w:val="0"/>
                <w:bCs w:val="0"/>
                <w:color w:val="auto"/>
                <w:sz w:val="24"/>
                <w:highlight w:val="none"/>
              </w:rPr>
            </w:pPr>
            <w:bookmarkStart w:id="13" w:name="OLE_LINK25"/>
            <w:r>
              <w:rPr>
                <w:rFonts w:hint="eastAsia" w:ascii="宋体" w:hAnsi="宋体" w:cs="宋体"/>
                <w:b w:val="0"/>
                <w:bCs w:val="0"/>
                <w:color w:val="auto"/>
                <w:sz w:val="24"/>
                <w:highlight w:val="none"/>
              </w:rPr>
              <w:t>2、结算方式及时间为：中标结果公告发出后5个工作日内，中标人将中标服务费缴纳至如下账号：</w:t>
            </w:r>
          </w:p>
          <w:p w14:paraId="373FD808">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（1）收 款 人：浙江中际工程项目管理有限公司</w:t>
            </w:r>
          </w:p>
          <w:p w14:paraId="553EF91F">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（2）开户银行：中国银行杭州城东支行</w:t>
            </w:r>
          </w:p>
          <w:p w14:paraId="2739F39B">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（3）账    号：</w:t>
            </w:r>
            <w:bookmarkEnd w:id="13"/>
            <w:r>
              <w:rPr>
                <w:rFonts w:hint="eastAsia" w:ascii="宋体" w:hAnsi="宋体" w:cs="宋体"/>
                <w:b w:val="0"/>
                <w:bCs w:val="0"/>
                <w:color w:val="auto"/>
                <w:sz w:val="24"/>
                <w:highlight w:val="none"/>
              </w:rPr>
              <w:t>4013 5832 7200</w:t>
            </w:r>
          </w:p>
          <w:p w14:paraId="1F360ECB">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）联 行 号104331050285</w:t>
            </w:r>
          </w:p>
        </w:tc>
      </w:tr>
      <w:bookmarkEnd w:id="10"/>
    </w:tbl>
    <w:p w14:paraId="1468ED72">
      <w:pPr>
        <w:adjustRightInd/>
        <w:spacing w:line="360" w:lineRule="auto"/>
        <w:ind w:firstLine="3845" w:firstLineChars="1197"/>
        <w:outlineLvl w:val="0"/>
        <w:rPr>
          <w:rFonts w:hint="eastAsia" w:ascii="宋体" w:hAnsi="宋体" w:cs="宋体"/>
          <w:b/>
          <w:color w:val="auto"/>
          <w:sz w:val="32"/>
          <w:szCs w:val="20"/>
          <w:highlight w:val="none"/>
        </w:rPr>
      </w:pPr>
      <w:bookmarkStart w:id="14" w:name="_Toc164416483"/>
      <w:bookmarkStart w:id="15" w:name="第三部分"/>
    </w:p>
    <w:p w14:paraId="6E25D4A4">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cols w:space="720" w:num="1"/>
          <w:titlePg/>
          <w:docGrid w:linePitch="312" w:charSpace="0"/>
        </w:sectPr>
      </w:pPr>
    </w:p>
    <w:p w14:paraId="7023463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717DDC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90B50F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F962A4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E9833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3901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D07F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4647F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052B5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E41A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8C3E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B99055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3E5899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D252E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5A4429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6D1C7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B289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900DEB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29BA46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8C29F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DCE4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DCFAF8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60F141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8221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FE23E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3394D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2FB9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D6625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EAA50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D49D4F8">
      <w:p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5AC9FB4">
      <w:p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1D366C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554567E">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60E1AF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9FB0F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A20E2B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2B726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E02098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3982F1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117E75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C020A84">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EC3B03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981A30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BDFB5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F66519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0238AB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1C0E85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900665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5C9ABC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FAEB30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E05422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6EE788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703CDFB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06D5ADA">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2B311F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0B169D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E85839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78F7C8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CC35B43">
      <w:pPr>
        <w:pStyle w:val="890"/>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rPr>
        <w:t>4.4.5</w:t>
      </w:r>
      <w:r>
        <w:rPr>
          <w:rFonts w:hint="eastAsia"/>
          <w:color w:val="auto"/>
          <w:highlight w:val="none"/>
          <w:lang w:val="zh-CN"/>
        </w:rPr>
        <w:t>投诉材料可寄送浙江省政府采购行政裁决服务中心（杭州市上城区清泰街549号城建综合大楼11楼），地址：杭州市上城区清泰街549号城建综合大楼11楼，收件人：朱老师、王老师、匡老师，电话：057187800218、87227671、87227986。</w:t>
      </w:r>
    </w:p>
    <w:p w14:paraId="799EAE52">
      <w:pPr>
        <w:pStyle w:val="890"/>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投诉书范本及制作说明详见附件3。</w:t>
      </w:r>
    </w:p>
    <w:p w14:paraId="0A92401D">
      <w:pPr>
        <w:pStyle w:val="131"/>
        <w:snapToGrid w:val="0"/>
        <w:spacing w:before="0"/>
        <w:ind w:firstLine="360"/>
        <w:rPr>
          <w:rFonts w:ascii="宋体" w:hAnsi="宋体" w:cs="宋体"/>
          <w:color w:val="auto"/>
          <w:sz w:val="18"/>
          <w:szCs w:val="18"/>
          <w:highlight w:val="none"/>
        </w:rPr>
        <w:sectPr>
          <w:pgSz w:w="11906" w:h="16838"/>
          <w:pgMar w:top="1417" w:right="1418" w:bottom="1417" w:left="1418" w:header="851" w:footer="992" w:gutter="0"/>
          <w:pgNumType w:fmt="decimal"/>
          <w:cols w:space="720" w:num="1"/>
          <w:titlePg/>
          <w:docGrid w:linePitch="312" w:charSpace="0"/>
        </w:sectPr>
      </w:pPr>
    </w:p>
    <w:p w14:paraId="3121868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0BC08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DF7FE8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3D2A0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BA483E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1D23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188DAA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71A221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FE4B6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CF340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334445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DFF29B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740099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C185A3">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9C5DF2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5DBB0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40A4EF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000648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1C6FBA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1A5798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C8E9E97">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EF2E47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30503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C3E4B4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A7394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B8F91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CFAF4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76C74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80C9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5CEF6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4DF4DF2">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1CB335E">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F9E5F27">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60A1EB">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2E2A132">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BFEC868">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06235EAC">
      <w:pPr>
        <w:snapToGrid w:val="0"/>
        <w:spacing w:line="360" w:lineRule="auto"/>
        <w:ind w:left="0" w:leftChars="0" w:firstLine="1058" w:firstLineChars="441"/>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056A94E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2300AE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84DCEB3">
      <w:pPr>
        <w:pStyle w:val="3"/>
        <w:ind w:firstLine="960" w:firstLineChars="400"/>
        <w:rPr>
          <w:rFonts w:hint="eastAsia"/>
          <w:color w:val="auto"/>
          <w:highlight w:val="none"/>
        </w:rPr>
      </w:pPr>
      <w:r>
        <w:rPr>
          <w:rFonts w:hint="eastAsia" w:ascii="宋体" w:hAnsi="宋体" w:cs="宋体"/>
          <w:color w:val="auto"/>
          <w:sz w:val="24"/>
          <w:highlight w:val="none"/>
        </w:rPr>
        <w:t>11.3.</w:t>
      </w:r>
      <w:r>
        <w:rPr>
          <w:rFonts w:hint="eastAsia" w:hAnsi="宋体" w:cs="宋体"/>
          <w:color w:val="auto"/>
          <w:sz w:val="24"/>
          <w:highlight w:val="none"/>
          <w:lang w:val="en-US" w:eastAsia="zh-CN"/>
        </w:rPr>
        <w:t xml:space="preserve">2 </w:t>
      </w:r>
      <w:r>
        <w:rPr>
          <w:rFonts w:hint="eastAsia" w:ascii="宋体" w:hAnsi="宋体" w:cs="宋体"/>
          <w:color w:val="auto"/>
          <w:sz w:val="24"/>
          <w:highlight w:val="none"/>
          <w:lang w:val="en-US" w:eastAsia="zh-CN"/>
        </w:rPr>
        <w:t>投标价格组成明细表；</w:t>
      </w:r>
    </w:p>
    <w:p w14:paraId="27EE8939">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BEC769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B81859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7C3980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D44F378">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DE207C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BA6D6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C201D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B31468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81946CF">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CDAF51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ADDA838">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D9E14C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8E6A265">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51693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0EE9C7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6B8938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34F5524">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50392C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4A89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508CAD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4D94046">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5678B5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28E9B7D">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44352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BFA0CB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0EF7E4E">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FCDA696">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2056A5B">
      <w:pPr>
        <w:pStyle w:val="131"/>
        <w:spacing w:before="0"/>
        <w:ind w:firstLine="643"/>
        <w:rPr>
          <w:rFonts w:ascii="宋体" w:hAnsi="宋体" w:cs="宋体"/>
          <w:b/>
          <w:color w:val="auto"/>
          <w:sz w:val="32"/>
          <w:highlight w:val="none"/>
        </w:rPr>
      </w:pPr>
    </w:p>
    <w:p w14:paraId="79B8D214">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0A82749">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D0B53A6">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8200559">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AA388CE">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C08B0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9514F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335E94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B8CD96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3AB70E4">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E38694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E47A4A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9B5D0E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76AFBD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9A6BC9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9AB28A0">
      <w:pPr>
        <w:pStyle w:val="131"/>
        <w:spacing w:before="0"/>
        <w:ind w:firstLine="0" w:firstLineChars="0"/>
        <w:rPr>
          <w:rFonts w:ascii="宋体" w:hAnsi="宋体" w:cs="宋体"/>
          <w:color w:val="auto"/>
          <w:kern w:val="0"/>
          <w:szCs w:val="24"/>
          <w:highlight w:val="none"/>
        </w:rPr>
      </w:pPr>
    </w:p>
    <w:p w14:paraId="49F4EFE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2C3C525">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DBF5BB5">
      <w:pPr>
        <w:spacing w:line="360" w:lineRule="auto"/>
        <w:rPr>
          <w:rFonts w:ascii="宋体" w:hAnsi="宋体" w:cs="宋体"/>
          <w:b/>
          <w:color w:val="auto"/>
          <w:sz w:val="24"/>
          <w:highlight w:val="none"/>
        </w:rPr>
      </w:pPr>
    </w:p>
    <w:p w14:paraId="71B3E8A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6BD512">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BC63E74">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4D822B8">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6C79D4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E9616C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7" w:name="_Hlk101184471"/>
      <w:r>
        <w:rPr>
          <w:rFonts w:hint="eastAsia" w:ascii="宋体" w:hAnsi="宋体" w:cs="宋体"/>
          <w:color w:val="auto"/>
          <w:sz w:val="24"/>
          <w:highlight w:val="none"/>
        </w:rPr>
        <w:t>资格审查情况、评审专家抽取规则、符合性审查情况、</w:t>
      </w:r>
      <w:bookmarkEnd w:id="17"/>
      <w:r>
        <w:rPr>
          <w:rFonts w:hint="eastAsia" w:ascii="宋体" w:hAnsi="宋体" w:cs="宋体"/>
          <w:color w:val="auto"/>
          <w:sz w:val="24"/>
          <w:highlight w:val="none"/>
        </w:rPr>
        <w:t>未中标情况说明、中标公告期限以及评审专家名单、评分汇总及明细。</w:t>
      </w:r>
    </w:p>
    <w:p w14:paraId="30540AF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892387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cs="宋体"/>
          <w:color w:val="auto"/>
          <w:sz w:val="24"/>
          <w:highlight w:val="none"/>
        </w:rPr>
        <w:t>由于中标、成交供应商原因导致重新采购的，应当承担支付代理费和专家评审费等费用在内的赔偿责任。</w:t>
      </w:r>
    </w:p>
    <w:p w14:paraId="4681612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681A3F4">
      <w:pPr>
        <w:pStyle w:val="25"/>
        <w:spacing w:line="360" w:lineRule="auto"/>
        <w:ind w:left="479" w:hanging="479" w:hangingChars="199"/>
        <w:rPr>
          <w:rFonts w:hint="eastAsia" w:cs="宋体"/>
          <w:b/>
          <w:color w:val="auto"/>
          <w:highlight w:val="none"/>
        </w:rPr>
      </w:pPr>
      <w:r>
        <w:rPr>
          <w:rFonts w:hint="eastAsia" w:cs="宋体"/>
          <w:b/>
          <w:color w:val="auto"/>
          <w:highlight w:val="none"/>
        </w:rPr>
        <w:t>24.合同授予</w:t>
      </w:r>
    </w:p>
    <w:p w14:paraId="1D1FBFD4">
      <w:pPr>
        <w:pStyle w:val="25"/>
        <w:spacing w:line="360" w:lineRule="auto"/>
        <w:ind w:left="479" w:leftChars="228" w:firstLine="0" w:firstLineChars="0"/>
        <w:rPr>
          <w:rFonts w:cs="宋体"/>
          <w:b/>
          <w:color w:val="auto"/>
          <w:highlight w:val="none"/>
        </w:rPr>
      </w:pPr>
      <w:r>
        <w:rPr>
          <w:rFonts w:hint="eastAsia" w:cs="宋体"/>
          <w:color w:val="auto"/>
          <w:highlight w:val="none"/>
        </w:rPr>
        <w:t>合同主要条款详见第五部分拟签订的合同文本。</w:t>
      </w:r>
    </w:p>
    <w:p w14:paraId="04485583">
      <w:pPr>
        <w:pStyle w:val="25"/>
        <w:spacing w:line="360" w:lineRule="auto"/>
        <w:ind w:left="479" w:hanging="479" w:hangingChars="199"/>
        <w:rPr>
          <w:rFonts w:cs="宋体"/>
          <w:b/>
          <w:color w:val="auto"/>
          <w:highlight w:val="none"/>
        </w:rPr>
      </w:pPr>
      <w:r>
        <w:rPr>
          <w:rFonts w:hint="eastAsia" w:cs="宋体"/>
          <w:b/>
          <w:color w:val="auto"/>
          <w:highlight w:val="none"/>
        </w:rPr>
        <w:t>25.合同的签订</w:t>
      </w:r>
    </w:p>
    <w:p w14:paraId="125DA34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032DA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21134B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6973FF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3FC9C5A">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4BDFBB4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7422A2">
      <w:pPr>
        <w:pStyle w:val="131"/>
        <w:snapToGrid w:val="0"/>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78665ED">
      <w:pPr>
        <w:pStyle w:val="25"/>
        <w:spacing w:line="360" w:lineRule="auto"/>
        <w:ind w:left="479" w:hanging="479" w:hangingChars="199"/>
        <w:rPr>
          <w:rFonts w:hint="eastAsia" w:cs="宋体"/>
          <w:b/>
          <w:color w:val="auto"/>
          <w:highlight w:val="none"/>
          <w:lang w:val="en-US" w:eastAsia="zh-CN"/>
        </w:rPr>
      </w:pPr>
      <w:r>
        <w:rPr>
          <w:rFonts w:hint="eastAsia" w:cs="宋体"/>
          <w:b/>
          <w:color w:val="auto"/>
          <w:highlight w:val="none"/>
          <w:lang w:val="en-US" w:eastAsia="zh-CN"/>
        </w:rPr>
        <w:t>27.预付款</w:t>
      </w:r>
    </w:p>
    <w:p w14:paraId="7B1DF97D">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5F2FB05">
      <w:pPr>
        <w:rPr>
          <w:color w:val="auto"/>
          <w:highlight w:val="none"/>
        </w:rPr>
      </w:pPr>
    </w:p>
    <w:p w14:paraId="341FD36F">
      <w:pPr>
        <w:snapToGrid w:val="0"/>
        <w:spacing w:line="360" w:lineRule="auto"/>
        <w:ind w:firstLine="3357" w:firstLineChars="1045"/>
        <w:rPr>
          <w:rFonts w:ascii="宋体" w:hAnsi="宋体" w:cs="宋体"/>
          <w:b/>
          <w:color w:val="auto"/>
          <w:sz w:val="32"/>
          <w:highlight w:val="none"/>
        </w:rPr>
      </w:pPr>
    </w:p>
    <w:p w14:paraId="2AFE4B8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992253">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F6C26F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CB82C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912D7D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2381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6646B5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6C4F1A5">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231F1EE">
      <w:pPr>
        <w:tabs>
          <w:tab w:val="left" w:pos="0"/>
        </w:tabs>
        <w:spacing w:line="360" w:lineRule="auto"/>
        <w:ind w:firstLine="480"/>
        <w:rPr>
          <w:rFonts w:ascii="宋体" w:hAnsi="宋体" w:cs="宋体"/>
          <w:color w:val="auto"/>
          <w:sz w:val="24"/>
          <w:highlight w:val="none"/>
        </w:rPr>
      </w:pPr>
    </w:p>
    <w:p w14:paraId="17DF7E8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4CB58A0">
      <w:pPr>
        <w:pStyle w:val="25"/>
        <w:spacing w:line="360" w:lineRule="auto"/>
        <w:ind w:firstLine="0" w:firstLineChars="0"/>
        <w:rPr>
          <w:rFonts w:cs="宋体"/>
          <w:b/>
          <w:color w:val="auto"/>
          <w:highlight w:val="none"/>
        </w:rPr>
      </w:pPr>
      <w:r>
        <w:rPr>
          <w:rFonts w:hint="eastAsia" w:cs="宋体"/>
          <w:b/>
          <w:color w:val="auto"/>
          <w:highlight w:val="none"/>
        </w:rPr>
        <w:t>30.验收</w:t>
      </w:r>
    </w:p>
    <w:p w14:paraId="780FBFE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99138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7A6F85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FE378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DB59E2">
      <w:pPr>
        <w:tabs>
          <w:tab w:val="left" w:pos="0"/>
        </w:tabs>
        <w:spacing w:line="360" w:lineRule="auto"/>
        <w:ind w:firstLine="480"/>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6"/>
    <w:p w14:paraId="3F3ED7AE">
      <w:pPr>
        <w:tabs>
          <w:tab w:val="left" w:pos="0"/>
        </w:tabs>
        <w:spacing w:line="360" w:lineRule="auto"/>
        <w:ind w:firstLine="480"/>
        <w:rPr>
          <w:rFonts w:ascii="宋体" w:hAnsi="宋体" w:cs="宋体"/>
          <w:color w:val="auto"/>
          <w:kern w:val="0"/>
          <w:sz w:val="24"/>
          <w:highlight w:val="none"/>
        </w:rPr>
        <w:sectPr>
          <w:pgSz w:w="11906" w:h="16838"/>
          <w:pgMar w:top="1417" w:right="1418" w:bottom="1417" w:left="1418" w:header="851" w:footer="992" w:gutter="0"/>
          <w:pgNumType w:fmt="decimal"/>
          <w:cols w:space="720" w:num="1"/>
          <w:titlePg/>
          <w:docGrid w:linePitch="312" w:charSpace="0"/>
        </w:sectPr>
      </w:pPr>
      <w:bookmarkStart w:id="18" w:name="_Hlt75236101"/>
      <w:bookmarkEnd w:id="18"/>
      <w:bookmarkStart w:id="19" w:name="_Hlt74714665"/>
      <w:bookmarkEnd w:id="19"/>
      <w:bookmarkStart w:id="20" w:name="_Hlt75236290"/>
      <w:bookmarkEnd w:id="20"/>
      <w:bookmarkStart w:id="21" w:name="_Hlt68072990"/>
      <w:bookmarkEnd w:id="21"/>
      <w:bookmarkStart w:id="22" w:name="_Hlt74707468"/>
      <w:bookmarkEnd w:id="22"/>
      <w:bookmarkStart w:id="23" w:name="_Hlt74729768"/>
      <w:bookmarkEnd w:id="23"/>
      <w:bookmarkStart w:id="24" w:name="_Hlt74730295"/>
      <w:bookmarkEnd w:id="24"/>
      <w:bookmarkStart w:id="25" w:name="_Hlt75236011"/>
      <w:bookmarkEnd w:id="25"/>
      <w:bookmarkStart w:id="26" w:name="_Hlt68403820"/>
      <w:bookmarkEnd w:id="26"/>
      <w:bookmarkStart w:id="27" w:name="_Hlt68057669"/>
      <w:bookmarkEnd w:id="27"/>
      <w:bookmarkStart w:id="28" w:name="_Hlt68073093"/>
      <w:bookmarkEnd w:id="28"/>
      <w:bookmarkStart w:id="29" w:name="_Hlt68072998"/>
      <w:bookmarkEnd w:id="29"/>
    </w:p>
    <w:bookmarkEnd w:id="14"/>
    <w:bookmarkEnd w:id="15"/>
    <w:p w14:paraId="018FB8A1">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37B0B125">
      <w:pPr>
        <w:keepNext w:val="0"/>
        <w:keepLines w:val="0"/>
        <w:widowControl/>
        <w:suppressLineNumbers w:val="0"/>
        <w:autoSpaceDE/>
        <w:autoSpaceDN/>
        <w:adjustRightInd/>
        <w:snapToGrid/>
        <w:spacing w:before="0" w:beforeAutospacing="0" w:after="0" w:afterAutospacing="0" w:line="240" w:lineRule="auto"/>
        <w:ind w:left="0" w:leftChars="0" w:right="0" w:firstLine="441" w:firstLineChars="183"/>
        <w:jc w:val="left"/>
        <w:rPr>
          <w:rFonts w:hint="eastAsia" w:ascii="宋体..璂.." w:hAnsi="宋体..璂.." w:eastAsia="宋体..璂.." w:cs="宋体..璂.."/>
          <w:color w:val="auto"/>
          <w:kern w:val="0"/>
          <w:sz w:val="21"/>
          <w:szCs w:val="21"/>
          <w:highlight w:val="none"/>
          <w:lang w:val="en-US" w:eastAsia="zh-CN" w:bidi="ar"/>
        </w:rPr>
      </w:pPr>
      <w:r>
        <w:rPr>
          <w:b/>
          <w:i w:val="0"/>
          <w:iCs w:val="0"/>
          <w:color w:val="auto"/>
          <w:sz w:val="24"/>
          <w:szCs w:val="24"/>
          <w:highlight w:val="none"/>
        </w:rPr>
        <w:t>一、项目概况</w:t>
      </w:r>
    </w:p>
    <w:p w14:paraId="167F8E50">
      <w:pPr>
        <w:pStyle w:val="3"/>
        <w:spacing w:before="151"/>
        <w:ind w:left="0" w:leftChars="0" w:firstLine="439" w:firstLineChars="183"/>
        <w:rPr>
          <w:rFonts w:hint="eastAsia" w:ascii="Times New Roman" w:hAnsi="Times New Roman" w:eastAsia="宋体" w:cs="Times New Roman"/>
          <w:i w:val="0"/>
          <w:color w:val="auto"/>
          <w:sz w:val="24"/>
          <w:szCs w:val="24"/>
          <w:highlight w:val="none"/>
        </w:rPr>
      </w:pPr>
      <w:r>
        <w:rPr>
          <w:rFonts w:hint="eastAsia" w:ascii="Times New Roman" w:hAnsi="Times New Roman" w:eastAsia="宋体" w:cs="Times New Roman"/>
          <w:i w:val="0"/>
          <w:color w:val="auto"/>
          <w:kern w:val="2"/>
          <w:sz w:val="24"/>
          <w:szCs w:val="24"/>
          <w:highlight w:val="none"/>
          <w:lang w:val="en-US" w:eastAsia="zh-CN" w:bidi="ar"/>
        </w:rPr>
        <w:t>钱塘江省管海塘位于钱塘江南北两岸</w:t>
      </w:r>
      <w:r>
        <w:rPr>
          <w:rFonts w:hint="eastAsia" w:ascii="Times New Roman" w:hAnsi="Times New Roman" w:eastAsia="宋体" w:cs="Times New Roman"/>
          <w:i w:val="0"/>
          <w:color w:val="auto"/>
          <w:kern w:val="2"/>
          <w:sz w:val="24"/>
          <w:szCs w:val="24"/>
          <w:highlight w:val="none"/>
          <w:lang w:eastAsia="zh-CN" w:bidi="ar"/>
        </w:rPr>
        <w:t>、</w:t>
      </w:r>
      <w:r>
        <w:rPr>
          <w:rFonts w:hint="eastAsia" w:ascii="Times New Roman" w:hAnsi="Times New Roman" w:eastAsia="宋体" w:cs="Times New Roman"/>
          <w:i w:val="0"/>
          <w:color w:val="auto"/>
          <w:kern w:val="2"/>
          <w:sz w:val="24"/>
          <w:szCs w:val="24"/>
          <w:highlight w:val="none"/>
          <w:lang w:val="en-US" w:eastAsia="zh-CN" w:bidi="ar"/>
        </w:rPr>
        <w:t>杭州、嘉兴、绍兴三</w:t>
      </w:r>
      <w:r>
        <w:rPr>
          <w:rFonts w:hint="eastAsia" w:ascii="Times New Roman" w:hAnsi="Times New Roman" w:eastAsia="宋体" w:cs="Times New Roman"/>
          <w:i w:val="0"/>
          <w:color w:val="auto"/>
          <w:kern w:val="2"/>
          <w:sz w:val="24"/>
          <w:szCs w:val="24"/>
          <w:highlight w:val="none"/>
          <w:lang w:eastAsia="zh-CN" w:bidi="ar"/>
        </w:rPr>
        <w:t>地</w:t>
      </w:r>
      <w:r>
        <w:rPr>
          <w:rFonts w:hint="eastAsia" w:ascii="Times New Roman" w:hAnsi="Times New Roman" w:eastAsia="宋体" w:cs="Times New Roman"/>
          <w:i w:val="0"/>
          <w:color w:val="auto"/>
          <w:kern w:val="2"/>
          <w:sz w:val="24"/>
          <w:szCs w:val="24"/>
          <w:highlight w:val="none"/>
          <w:lang w:val="en-US" w:eastAsia="zh-CN" w:bidi="ar"/>
        </w:rPr>
        <w:t>，</w:t>
      </w:r>
      <w:r>
        <w:rPr>
          <w:rFonts w:hint="eastAsia" w:ascii="Times New Roman" w:hAnsi="Times New Roman" w:eastAsia="宋体" w:cs="Times New Roman"/>
          <w:i w:val="0"/>
          <w:color w:val="auto"/>
          <w:kern w:val="2"/>
          <w:sz w:val="24"/>
          <w:szCs w:val="24"/>
          <w:highlight w:val="none"/>
          <w:lang w:eastAsia="zh-CN" w:bidi="ar"/>
        </w:rPr>
        <w:t>零星维修项目</w:t>
      </w:r>
      <w:r>
        <w:rPr>
          <w:rFonts w:hint="eastAsia" w:ascii="Times New Roman" w:hAnsi="Times New Roman" w:eastAsia="宋体" w:cs="Times New Roman"/>
          <w:i w:val="0"/>
          <w:color w:val="auto"/>
          <w:kern w:val="2"/>
          <w:sz w:val="24"/>
          <w:szCs w:val="24"/>
          <w:highlight w:val="none"/>
          <w:lang w:val="en-US" w:eastAsia="zh-CN" w:bidi="ar"/>
        </w:rPr>
        <w:t>主要是</w:t>
      </w:r>
      <w:r>
        <w:rPr>
          <w:rFonts w:hint="eastAsia" w:ascii="Times New Roman" w:hAnsi="Times New Roman" w:eastAsia="宋体" w:cs="Times New Roman"/>
          <w:i w:val="0"/>
          <w:color w:val="auto"/>
          <w:kern w:val="2"/>
          <w:sz w:val="24"/>
          <w:szCs w:val="24"/>
          <w:highlight w:val="none"/>
          <w:lang w:eastAsia="zh-CN" w:bidi="ar"/>
        </w:rPr>
        <w:t>对省管</w:t>
      </w:r>
      <w:r>
        <w:rPr>
          <w:rFonts w:hint="eastAsia" w:ascii="Times New Roman" w:hAnsi="Times New Roman" w:eastAsia="宋体" w:cs="Times New Roman"/>
          <w:i w:val="0"/>
          <w:color w:val="auto"/>
          <w:kern w:val="2"/>
          <w:sz w:val="24"/>
          <w:szCs w:val="24"/>
          <w:highlight w:val="none"/>
          <w:lang w:val="en-US" w:eastAsia="zh-CN" w:bidi="ar"/>
        </w:rPr>
        <w:t>海塘工程运行过程中出现的海塘损坏</w:t>
      </w:r>
      <w:r>
        <w:rPr>
          <w:rFonts w:hint="eastAsia" w:ascii="Times New Roman" w:hAnsi="Times New Roman" w:eastAsia="宋体" w:cs="Times New Roman"/>
          <w:i w:val="0"/>
          <w:color w:val="auto"/>
          <w:kern w:val="2"/>
          <w:sz w:val="24"/>
          <w:szCs w:val="24"/>
          <w:highlight w:val="none"/>
          <w:lang w:eastAsia="zh-CN" w:bidi="ar"/>
        </w:rPr>
        <w:t>进行</w:t>
      </w:r>
      <w:r>
        <w:rPr>
          <w:rFonts w:hint="eastAsia" w:ascii="Times New Roman" w:hAnsi="Times New Roman" w:eastAsia="宋体" w:cs="Times New Roman"/>
          <w:i w:val="0"/>
          <w:color w:val="auto"/>
          <w:kern w:val="2"/>
          <w:sz w:val="24"/>
          <w:szCs w:val="24"/>
          <w:highlight w:val="none"/>
          <w:lang w:val="en-US" w:eastAsia="zh-CN" w:bidi="ar"/>
        </w:rPr>
        <w:t>维修或提升局部塘段面貌等。省管海塘情况具体如下：</w:t>
      </w:r>
    </w:p>
    <w:p w14:paraId="21E78B2F">
      <w:pPr>
        <w:pStyle w:val="3"/>
        <w:spacing w:before="151"/>
        <w:ind w:left="0" w:leftChars="0" w:firstLine="439" w:firstLineChars="183"/>
        <w:rPr>
          <w:rFonts w:hint="eastAsia" w:ascii="Times New Roman" w:hAnsi="Times New Roman" w:eastAsia="宋体" w:cs="Times New Roman"/>
          <w:i w:val="0"/>
          <w:color w:val="auto"/>
          <w:kern w:val="2"/>
          <w:sz w:val="24"/>
          <w:szCs w:val="24"/>
          <w:highlight w:val="none"/>
          <w:lang w:val="en-US" w:eastAsia="zh-CN" w:bidi="ar"/>
        </w:rPr>
      </w:pPr>
      <w:r>
        <w:rPr>
          <w:rFonts w:hint="eastAsia" w:ascii="Times New Roman" w:hAnsi="Times New Roman" w:eastAsia="宋体" w:cs="Times New Roman"/>
          <w:i w:val="0"/>
          <w:color w:val="auto"/>
          <w:kern w:val="2"/>
          <w:sz w:val="24"/>
          <w:szCs w:val="24"/>
          <w:highlight w:val="none"/>
          <w:lang w:val="en-US" w:eastAsia="zh-CN" w:bidi="ar"/>
        </w:rPr>
        <w:t>1、杭州段</w:t>
      </w:r>
    </w:p>
    <w:p w14:paraId="1EB8FB53">
      <w:pPr>
        <w:pStyle w:val="3"/>
        <w:spacing w:before="151"/>
        <w:ind w:left="0" w:leftChars="0" w:firstLine="439" w:firstLineChars="183"/>
        <w:rPr>
          <w:rFonts w:hint="eastAsia" w:ascii="Times New Roman" w:hAnsi="Times New Roman" w:eastAsia="宋体" w:cs="Times New Roman"/>
          <w:i w:val="0"/>
          <w:color w:val="auto"/>
          <w:kern w:val="2"/>
          <w:sz w:val="24"/>
          <w:szCs w:val="24"/>
          <w:highlight w:val="none"/>
          <w:lang w:eastAsia="zh-CN" w:bidi="ar"/>
        </w:rPr>
      </w:pPr>
      <w:r>
        <w:rPr>
          <w:rFonts w:hint="eastAsia" w:ascii="Times New Roman" w:hAnsi="Times New Roman" w:eastAsia="宋体" w:cs="Times New Roman"/>
          <w:i w:val="0"/>
          <w:color w:val="auto"/>
          <w:kern w:val="2"/>
          <w:sz w:val="24"/>
          <w:szCs w:val="24"/>
          <w:highlight w:val="none"/>
          <w:lang w:val="en-US" w:eastAsia="zh-CN" w:bidi="ar"/>
        </w:rPr>
        <w:t>钱塘江杭州段省管临江海塘位于钱塘江沿江两岸，总长52.95km，其中北岸自西湖区珊瑚沙新闸起至下沙标准塘起点结束，累计长22.396km，南岸自西江塘0+000起至乌龟山结束，累计长30.554km。省管临江塘段达到100年一遇防御标准。</w:t>
      </w:r>
    </w:p>
    <w:p w14:paraId="2A9CD770">
      <w:pPr>
        <w:pStyle w:val="3"/>
        <w:spacing w:before="151"/>
        <w:ind w:left="0" w:leftChars="0" w:firstLine="439" w:firstLineChars="183"/>
        <w:rPr>
          <w:rFonts w:hint="eastAsia" w:ascii="Times New Roman" w:hAnsi="Times New Roman" w:eastAsia="宋体" w:cs="Times New Roman"/>
          <w:i w:val="0"/>
          <w:color w:val="auto"/>
          <w:sz w:val="24"/>
          <w:szCs w:val="24"/>
          <w:highlight w:val="none"/>
        </w:rPr>
      </w:pPr>
      <w:r>
        <w:rPr>
          <w:rFonts w:hint="eastAsia" w:ascii="Times New Roman" w:hAnsi="Times New Roman" w:eastAsia="宋体" w:cs="Times New Roman"/>
          <w:i w:val="0"/>
          <w:color w:val="auto"/>
          <w:kern w:val="2"/>
          <w:sz w:val="24"/>
          <w:szCs w:val="24"/>
          <w:highlight w:val="none"/>
          <w:lang w:val="en-US" w:eastAsia="zh-CN" w:bidi="ar"/>
        </w:rPr>
        <w:t>钱塘江杭州段省管海塘包括南岸：西江塘、南沙支堤临江段、江边围堤、西兴五号坝围堤、九上顺坝、九乌大堤；北岸：之江防洪堤、城市防洪堤、六堡围堤、北沙支堤临江段、四格围堤、乔司三号大堤延伸段；二线塘：南沙支堤非临江段、北岸老海塘、乔司三号大堤非临江段。</w:t>
      </w:r>
    </w:p>
    <w:p w14:paraId="5556B21B">
      <w:pPr>
        <w:pStyle w:val="3"/>
        <w:spacing w:before="151"/>
        <w:ind w:left="0" w:leftChars="0" w:firstLine="439" w:firstLineChars="183"/>
        <w:rPr>
          <w:rFonts w:hint="eastAsia" w:ascii="Times New Roman" w:hAnsi="Times New Roman" w:eastAsia="宋体" w:cs="Times New Roman"/>
          <w:i w:val="0"/>
          <w:color w:val="auto"/>
          <w:kern w:val="2"/>
          <w:sz w:val="24"/>
          <w:szCs w:val="24"/>
          <w:highlight w:val="none"/>
          <w:lang w:eastAsia="zh-CN" w:bidi="ar"/>
        </w:rPr>
      </w:pPr>
      <w:r>
        <w:rPr>
          <w:rFonts w:hint="eastAsia" w:ascii="Times New Roman" w:hAnsi="Times New Roman" w:eastAsia="宋体" w:cs="Times New Roman"/>
          <w:i w:val="0"/>
          <w:color w:val="auto"/>
          <w:kern w:val="2"/>
          <w:sz w:val="24"/>
          <w:szCs w:val="24"/>
          <w:highlight w:val="none"/>
          <w:lang w:val="en-US" w:eastAsia="zh-CN" w:bidi="ar"/>
        </w:rPr>
        <w:t>2、嘉兴段</w:t>
      </w:r>
    </w:p>
    <w:p w14:paraId="6E966639">
      <w:pPr>
        <w:pStyle w:val="3"/>
        <w:spacing w:before="151"/>
        <w:ind w:left="0" w:leftChars="0" w:firstLine="439" w:firstLineChars="183"/>
        <w:rPr>
          <w:rFonts w:hint="eastAsia" w:ascii="Times New Roman" w:hAnsi="Times New Roman" w:eastAsia="宋体" w:cs="Times New Roman"/>
          <w:i w:val="0"/>
          <w:color w:val="auto"/>
          <w:sz w:val="24"/>
          <w:szCs w:val="24"/>
          <w:highlight w:val="none"/>
        </w:rPr>
      </w:pPr>
      <w:r>
        <w:rPr>
          <w:rFonts w:hint="eastAsia" w:ascii="Times New Roman" w:hAnsi="Times New Roman" w:eastAsia="宋体" w:cs="Times New Roman"/>
          <w:i w:val="0"/>
          <w:color w:val="auto"/>
          <w:kern w:val="2"/>
          <w:sz w:val="24"/>
          <w:szCs w:val="24"/>
          <w:highlight w:val="none"/>
          <w:lang w:val="en-US" w:eastAsia="zh-CN" w:bidi="ar"/>
        </w:rPr>
        <w:t>钱塘江嘉兴段省管临江海塘位于钱塘江北岸，总长43.56 km，分布在嘉兴海宁市、海盐县和平湖市行政区域。省管临江塘段均达到100年一遇防御标准。</w:t>
      </w:r>
    </w:p>
    <w:p w14:paraId="53CCB4A1">
      <w:pPr>
        <w:pStyle w:val="3"/>
        <w:spacing w:before="151"/>
        <w:ind w:left="0" w:leftChars="0" w:firstLine="439" w:firstLineChars="183"/>
        <w:rPr>
          <w:rFonts w:hint="eastAsia" w:ascii="Times New Roman" w:hAnsi="Times New Roman" w:eastAsia="宋体" w:cs="Times New Roman"/>
          <w:i w:val="0"/>
          <w:color w:val="auto"/>
          <w:sz w:val="24"/>
          <w:szCs w:val="24"/>
          <w:highlight w:val="none"/>
        </w:rPr>
      </w:pPr>
      <w:r>
        <w:rPr>
          <w:rFonts w:hint="eastAsia" w:ascii="Times New Roman" w:hAnsi="Times New Roman" w:eastAsia="宋体" w:cs="Times New Roman"/>
          <w:i w:val="0"/>
          <w:color w:val="auto"/>
          <w:kern w:val="2"/>
          <w:sz w:val="24"/>
          <w:szCs w:val="24"/>
          <w:highlight w:val="none"/>
          <w:lang w:val="en-US" w:eastAsia="zh-CN" w:bidi="ar"/>
        </w:rPr>
        <w:t>钱塘江嘉兴段省管非临江海塘包括位于海宁市的老盐仓段老海塘、小山圩、大山圩、头二圩段省管二线备塘，位于海盐县的南北湖大堤、葫芦山至长山海塘、五团海塘、五团至八团海塘和位于平湖市的独山至水口海塘、白沙湾至金丝娘桥</w:t>
      </w:r>
      <w:r>
        <w:rPr>
          <w:rFonts w:hint="eastAsia" w:ascii="Times New Roman" w:hAnsi="Times New Roman" w:eastAsia="宋体" w:cs="Times New Roman"/>
          <w:i w:val="0"/>
          <w:color w:val="auto"/>
          <w:kern w:val="2"/>
          <w:sz w:val="24"/>
          <w:szCs w:val="24"/>
          <w:highlight w:val="none"/>
          <w:lang w:eastAsia="zh-CN" w:bidi="ar"/>
        </w:rPr>
        <w:t>段</w:t>
      </w:r>
      <w:r>
        <w:rPr>
          <w:rFonts w:hint="eastAsia" w:ascii="Times New Roman" w:hAnsi="Times New Roman" w:eastAsia="宋体" w:cs="Times New Roman"/>
          <w:i w:val="0"/>
          <w:color w:val="auto"/>
          <w:kern w:val="2"/>
          <w:sz w:val="24"/>
          <w:szCs w:val="24"/>
          <w:highlight w:val="none"/>
          <w:lang w:val="en-US" w:eastAsia="zh-CN" w:bidi="ar"/>
        </w:rPr>
        <w:t>海塘等省管二线备塘，共长55.93 km.</w:t>
      </w:r>
    </w:p>
    <w:p w14:paraId="20D75643">
      <w:pPr>
        <w:pStyle w:val="3"/>
        <w:spacing w:before="151"/>
        <w:ind w:left="0" w:leftChars="0" w:firstLine="439" w:firstLineChars="183"/>
        <w:rPr>
          <w:rFonts w:hint="eastAsia" w:ascii="Times New Roman" w:hAnsi="Times New Roman" w:eastAsia="宋体" w:cs="Times New Roman"/>
          <w:i w:val="0"/>
          <w:color w:val="auto"/>
          <w:kern w:val="2"/>
          <w:sz w:val="24"/>
          <w:szCs w:val="24"/>
          <w:highlight w:val="none"/>
          <w:lang w:val="en-US" w:eastAsia="zh-CN" w:bidi="ar"/>
        </w:rPr>
      </w:pPr>
      <w:r>
        <w:rPr>
          <w:rFonts w:hint="eastAsia" w:ascii="Times New Roman" w:hAnsi="Times New Roman" w:eastAsia="宋体" w:cs="Times New Roman"/>
          <w:i w:val="0"/>
          <w:color w:val="auto"/>
          <w:kern w:val="2"/>
          <w:sz w:val="24"/>
          <w:szCs w:val="24"/>
          <w:highlight w:val="none"/>
          <w:lang w:val="en-US" w:eastAsia="zh-CN" w:bidi="ar"/>
        </w:rPr>
        <w:t>3、宁绍段</w:t>
      </w:r>
    </w:p>
    <w:p w14:paraId="73291F12">
      <w:pPr>
        <w:pStyle w:val="3"/>
        <w:spacing w:before="151"/>
        <w:ind w:left="0" w:leftChars="0" w:firstLine="439" w:firstLineChars="183"/>
        <w:rPr>
          <w:rFonts w:hint="eastAsia" w:ascii="Times New Roman" w:hAnsi="Times New Roman" w:eastAsia="宋体" w:cs="Times New Roman"/>
          <w:i w:val="0"/>
          <w:color w:val="auto"/>
          <w:sz w:val="24"/>
          <w:szCs w:val="24"/>
          <w:highlight w:val="none"/>
        </w:rPr>
      </w:pPr>
      <w:r>
        <w:rPr>
          <w:rFonts w:hint="eastAsia" w:ascii="Times New Roman" w:hAnsi="Times New Roman" w:eastAsia="宋体" w:cs="Times New Roman"/>
          <w:i w:val="0"/>
          <w:color w:val="auto"/>
          <w:kern w:val="2"/>
          <w:sz w:val="24"/>
          <w:szCs w:val="24"/>
          <w:highlight w:val="none"/>
          <w:lang w:val="en-US" w:eastAsia="zh-CN" w:bidi="ar"/>
        </w:rPr>
        <w:t>钱塘江宁绍段省管海塘，其中：一线海塘19.69km：包括百沥海塘1（3.06公里）、百沥海塘2（7.15公里）、萧绍海塘（7.77公里）、曹娥石塘（1.1公里）、蒿坝海塘（0.61公里），二线海塘54.33公里，包括百沥二线海塘19.73公里，萧绍二线海塘34.6公里。经维修养护后达原堤防标准，即一线海塘达百年一遇标准。</w:t>
      </w:r>
    </w:p>
    <w:p w14:paraId="3E767427">
      <w:pPr>
        <w:spacing w:before="0" w:line="304" w:lineRule="exact"/>
        <w:ind w:right="0" w:firstLine="482" w:firstLineChars="200"/>
        <w:jc w:val="left"/>
        <w:rPr>
          <w:b/>
          <w:i w:val="0"/>
          <w:iCs w:val="0"/>
          <w:color w:val="auto"/>
          <w:sz w:val="24"/>
          <w:szCs w:val="24"/>
          <w:highlight w:val="none"/>
        </w:rPr>
      </w:pPr>
      <w:r>
        <w:rPr>
          <w:b/>
          <w:i w:val="0"/>
          <w:iCs w:val="0"/>
          <w:color w:val="auto"/>
          <w:sz w:val="24"/>
          <w:szCs w:val="24"/>
          <w:highlight w:val="none"/>
        </w:rPr>
        <w:t>二、本合同监理服务内容</w:t>
      </w:r>
    </w:p>
    <w:p w14:paraId="32D9DF52">
      <w:pPr>
        <w:pStyle w:val="3"/>
        <w:spacing w:before="151"/>
        <w:ind w:firstLine="480" w:firstLineChars="200"/>
        <w:rPr>
          <w:rFonts w:hint="default" w:ascii="Times New Roman" w:hAnsi="Times New Roman" w:eastAsia="宋体" w:cs="Times New Roman"/>
          <w:i w:val="0"/>
          <w:iCs w:val="0"/>
          <w:color w:val="auto"/>
          <w:sz w:val="24"/>
          <w:szCs w:val="24"/>
          <w:highlight w:val="none"/>
          <w:lang w:val="en-US" w:eastAsia="zh-CN"/>
        </w:rPr>
      </w:pPr>
      <w:r>
        <w:rPr>
          <w:rFonts w:hint="eastAsia"/>
          <w:i w:val="0"/>
          <w:iCs w:val="0"/>
          <w:color w:val="auto"/>
          <w:sz w:val="24"/>
          <w:szCs w:val="24"/>
          <w:highlight w:val="none"/>
          <w:lang w:val="en-US" w:eastAsia="zh-CN"/>
        </w:rPr>
        <w:t>2025年本合同监理服务内容为</w:t>
      </w:r>
      <w:r>
        <w:rPr>
          <w:rFonts w:hint="eastAsia" w:ascii="Times New Roman" w:hAnsi="Times New Roman" w:eastAsia="宋体" w:cs="Times New Roman"/>
          <w:i w:val="0"/>
          <w:color w:val="auto"/>
          <w:kern w:val="2"/>
          <w:sz w:val="24"/>
          <w:szCs w:val="24"/>
          <w:highlight w:val="none"/>
          <w:lang w:val="en-US" w:eastAsia="zh-CN" w:bidi="ar"/>
        </w:rPr>
        <w:t>钱塘江省管海塘</w:t>
      </w:r>
      <w:r>
        <w:rPr>
          <w:rFonts w:hint="eastAsia" w:ascii="Times New Roman" w:hAnsi="Times New Roman" w:eastAsia="宋体" w:cs="Times New Roman"/>
          <w:i w:val="0"/>
          <w:color w:val="auto"/>
          <w:kern w:val="2"/>
          <w:sz w:val="24"/>
          <w:szCs w:val="24"/>
          <w:highlight w:val="none"/>
          <w:lang w:eastAsia="zh-CN" w:bidi="ar"/>
        </w:rPr>
        <w:t>零星维修项目</w:t>
      </w:r>
      <w:r>
        <w:rPr>
          <w:rFonts w:hint="eastAsia" w:ascii="Times New Roman" w:hAnsi="Times New Roman" w:eastAsia="宋体" w:cs="Times New Roman"/>
          <w:i w:val="0"/>
          <w:color w:val="auto"/>
          <w:kern w:val="2"/>
          <w:sz w:val="24"/>
          <w:szCs w:val="24"/>
          <w:highlight w:val="none"/>
          <w:lang w:val="en-US" w:eastAsia="zh-CN" w:bidi="ar"/>
        </w:rPr>
        <w:t>。</w:t>
      </w:r>
    </w:p>
    <w:p w14:paraId="27F7466E">
      <w:pPr>
        <w:pStyle w:val="3"/>
        <w:spacing w:before="151"/>
        <w:ind w:firstLine="480" w:firstLineChars="200"/>
        <w:rPr>
          <w:i w:val="0"/>
          <w:iCs w:val="0"/>
          <w:color w:val="auto"/>
          <w:sz w:val="24"/>
          <w:szCs w:val="24"/>
          <w:highlight w:val="none"/>
        </w:rPr>
      </w:pPr>
      <w:r>
        <w:rPr>
          <w:i w:val="0"/>
          <w:iCs w:val="0"/>
          <w:color w:val="auto"/>
          <w:sz w:val="24"/>
          <w:szCs w:val="24"/>
          <w:highlight w:val="none"/>
        </w:rPr>
        <w:t>（一）人员配备方面</w:t>
      </w:r>
    </w:p>
    <w:p w14:paraId="5BDB26AA">
      <w:pPr>
        <w:pStyle w:val="3"/>
        <w:spacing w:before="151"/>
        <w:ind w:left="0" w:leftChars="0" w:firstLine="439" w:firstLineChars="183"/>
        <w:rPr>
          <w:rFonts w:hint="default"/>
          <w:i w:val="0"/>
          <w:iCs w:val="0"/>
          <w:color w:val="auto"/>
          <w:sz w:val="24"/>
          <w:szCs w:val="24"/>
          <w:highlight w:val="none"/>
        </w:rPr>
      </w:pPr>
      <w:r>
        <w:rPr>
          <w:i w:val="0"/>
          <w:iCs w:val="0"/>
          <w:color w:val="auto"/>
          <w:sz w:val="24"/>
          <w:szCs w:val="24"/>
          <w:highlight w:val="none"/>
        </w:rPr>
        <w:t>1、要求</w:t>
      </w:r>
      <w:r>
        <w:rPr>
          <w:rFonts w:hint="eastAsia"/>
          <w:i w:val="0"/>
          <w:iCs w:val="0"/>
          <w:color w:val="auto"/>
          <w:sz w:val="24"/>
          <w:szCs w:val="24"/>
          <w:highlight w:val="none"/>
          <w:lang w:eastAsia="zh-CN"/>
        </w:rPr>
        <w:t>杭州、嘉兴、宁绍三地各安排监理人员</w:t>
      </w:r>
      <w:r>
        <w:rPr>
          <w:i w:val="0"/>
          <w:iCs w:val="0"/>
          <w:color w:val="auto"/>
          <w:sz w:val="24"/>
          <w:szCs w:val="24"/>
          <w:highlight w:val="none"/>
        </w:rPr>
        <w:t>1人，并由总监负责协调处理整个项目监理工作的有关事项。</w:t>
      </w:r>
    </w:p>
    <w:p w14:paraId="38FEABD5">
      <w:pPr>
        <w:pStyle w:val="3"/>
        <w:spacing w:before="151"/>
        <w:ind w:left="0" w:leftChars="0" w:firstLine="439" w:firstLineChars="183"/>
        <w:rPr>
          <w:i w:val="0"/>
          <w:iCs w:val="0"/>
          <w:color w:val="auto"/>
          <w:sz w:val="24"/>
          <w:szCs w:val="24"/>
          <w:highlight w:val="none"/>
        </w:rPr>
      </w:pPr>
      <w:r>
        <w:rPr>
          <w:i w:val="0"/>
          <w:iCs w:val="0"/>
          <w:color w:val="auto"/>
          <w:sz w:val="24"/>
          <w:szCs w:val="24"/>
          <w:highlight w:val="none"/>
        </w:rPr>
        <w:t>（二）设计方面</w:t>
      </w:r>
    </w:p>
    <w:p w14:paraId="4428FCB4">
      <w:pPr>
        <w:pStyle w:val="3"/>
        <w:spacing w:before="153"/>
        <w:ind w:left="0" w:leftChars="0" w:firstLine="439" w:firstLineChars="183"/>
        <w:rPr>
          <w:i w:val="0"/>
          <w:iCs w:val="0"/>
          <w:color w:val="auto"/>
          <w:sz w:val="24"/>
          <w:szCs w:val="24"/>
          <w:highlight w:val="none"/>
        </w:rPr>
      </w:pPr>
      <w:r>
        <w:rPr>
          <w:i w:val="0"/>
          <w:iCs w:val="0"/>
          <w:color w:val="auto"/>
          <w:sz w:val="24"/>
          <w:szCs w:val="24"/>
          <w:highlight w:val="none"/>
        </w:rPr>
        <w:t>1、主持或参与设计技术交底会议，编写会议纪要。</w:t>
      </w:r>
    </w:p>
    <w:p w14:paraId="565EDD6B">
      <w:pPr>
        <w:pStyle w:val="3"/>
        <w:spacing w:before="153"/>
        <w:ind w:left="0" w:leftChars="0" w:firstLine="439" w:firstLineChars="183"/>
        <w:rPr>
          <w:i w:val="0"/>
          <w:iCs w:val="0"/>
          <w:color w:val="auto"/>
          <w:sz w:val="24"/>
          <w:szCs w:val="24"/>
          <w:highlight w:val="none"/>
        </w:rPr>
      </w:pPr>
      <w:r>
        <w:rPr>
          <w:i w:val="0"/>
          <w:iCs w:val="0"/>
          <w:color w:val="auto"/>
          <w:sz w:val="24"/>
          <w:szCs w:val="24"/>
          <w:highlight w:val="none"/>
        </w:rPr>
        <w:t>2、协助委托人会同设计人对重大技术问题和优化设计进行专题讨论。</w:t>
      </w:r>
    </w:p>
    <w:p w14:paraId="48D14485">
      <w:pPr>
        <w:pStyle w:val="3"/>
        <w:spacing w:before="152"/>
        <w:ind w:left="0" w:leftChars="0" w:firstLine="439" w:firstLineChars="183"/>
        <w:rPr>
          <w:i w:val="0"/>
          <w:iCs w:val="0"/>
          <w:color w:val="auto"/>
          <w:sz w:val="24"/>
          <w:szCs w:val="24"/>
          <w:highlight w:val="none"/>
        </w:rPr>
      </w:pPr>
      <w:r>
        <w:rPr>
          <w:i w:val="0"/>
          <w:iCs w:val="0"/>
          <w:color w:val="auto"/>
          <w:sz w:val="24"/>
          <w:szCs w:val="24"/>
          <w:highlight w:val="none"/>
        </w:rPr>
        <w:t>3、其他相关业务。</w:t>
      </w:r>
    </w:p>
    <w:p w14:paraId="48ED6FE2">
      <w:pPr>
        <w:pStyle w:val="3"/>
        <w:spacing w:before="153"/>
        <w:ind w:left="0" w:leftChars="0" w:firstLine="439" w:firstLineChars="183"/>
        <w:rPr>
          <w:i w:val="0"/>
          <w:iCs w:val="0"/>
          <w:color w:val="auto"/>
          <w:sz w:val="24"/>
          <w:szCs w:val="24"/>
          <w:highlight w:val="none"/>
        </w:rPr>
      </w:pPr>
      <w:r>
        <w:rPr>
          <w:i w:val="0"/>
          <w:iCs w:val="0"/>
          <w:color w:val="auto"/>
          <w:sz w:val="24"/>
          <w:szCs w:val="24"/>
          <w:highlight w:val="none"/>
        </w:rPr>
        <w:t>（三）采购方面</w:t>
      </w:r>
    </w:p>
    <w:p w14:paraId="5FB7776C">
      <w:pPr>
        <w:pStyle w:val="3"/>
        <w:spacing w:before="153"/>
        <w:ind w:left="0" w:leftChars="0" w:firstLine="439" w:firstLineChars="183"/>
        <w:rPr>
          <w:i w:val="0"/>
          <w:iCs w:val="0"/>
          <w:color w:val="auto"/>
          <w:sz w:val="24"/>
          <w:szCs w:val="24"/>
          <w:highlight w:val="none"/>
        </w:rPr>
      </w:pPr>
      <w:r>
        <w:rPr>
          <w:i w:val="0"/>
          <w:iCs w:val="0"/>
          <w:color w:val="auto"/>
          <w:sz w:val="24"/>
          <w:szCs w:val="24"/>
          <w:highlight w:val="none"/>
        </w:rPr>
        <w:t>1、协助委托人对进场的永久工程设备进行质量检验与到货验收。</w:t>
      </w:r>
    </w:p>
    <w:p w14:paraId="18096230">
      <w:pPr>
        <w:pStyle w:val="3"/>
        <w:spacing w:before="151"/>
        <w:ind w:left="0" w:leftChars="0" w:firstLine="439" w:firstLineChars="183"/>
        <w:rPr>
          <w:i w:val="0"/>
          <w:iCs w:val="0"/>
          <w:color w:val="auto"/>
          <w:sz w:val="24"/>
          <w:szCs w:val="24"/>
          <w:highlight w:val="none"/>
        </w:rPr>
      </w:pPr>
      <w:r>
        <w:rPr>
          <w:i w:val="0"/>
          <w:iCs w:val="0"/>
          <w:color w:val="auto"/>
          <w:sz w:val="24"/>
          <w:szCs w:val="24"/>
          <w:highlight w:val="none"/>
        </w:rPr>
        <w:t>2、其他相关业务。</w:t>
      </w:r>
    </w:p>
    <w:p w14:paraId="26A50EE0">
      <w:pPr>
        <w:pStyle w:val="3"/>
        <w:spacing w:before="154"/>
        <w:ind w:left="0" w:leftChars="0" w:firstLine="439" w:firstLineChars="183"/>
        <w:rPr>
          <w:i w:val="0"/>
          <w:iCs w:val="0"/>
          <w:color w:val="auto"/>
          <w:sz w:val="24"/>
          <w:szCs w:val="24"/>
          <w:highlight w:val="none"/>
        </w:rPr>
      </w:pPr>
      <w:r>
        <w:rPr>
          <w:i w:val="0"/>
          <w:iCs w:val="0"/>
          <w:color w:val="auto"/>
          <w:sz w:val="24"/>
          <w:szCs w:val="24"/>
          <w:highlight w:val="none"/>
        </w:rPr>
        <w:t>（四）施工方面</w:t>
      </w:r>
    </w:p>
    <w:p w14:paraId="4774F645">
      <w:pPr>
        <w:pStyle w:val="3"/>
        <w:spacing w:before="153" w:line="357" w:lineRule="auto"/>
        <w:ind w:left="0" w:leftChars="0" w:right="400" w:firstLine="439" w:firstLineChars="183"/>
        <w:rPr>
          <w:i w:val="0"/>
          <w:iCs w:val="0"/>
          <w:color w:val="auto"/>
          <w:sz w:val="24"/>
          <w:szCs w:val="24"/>
          <w:highlight w:val="none"/>
        </w:rPr>
      </w:pPr>
      <w:r>
        <w:rPr>
          <w:i w:val="0"/>
          <w:iCs w:val="0"/>
          <w:color w:val="auto"/>
          <w:sz w:val="24"/>
          <w:szCs w:val="24"/>
          <w:highlight w:val="none"/>
        </w:rPr>
        <w:t>1、督促委托人按工程施工合同的约定，落实必须提供的施工条件；检查承包人的开工准备工作。</w:t>
      </w:r>
    </w:p>
    <w:p w14:paraId="12771669">
      <w:pPr>
        <w:pStyle w:val="3"/>
        <w:spacing w:before="3" w:line="360" w:lineRule="auto"/>
        <w:ind w:left="0" w:leftChars="0" w:right="445" w:firstLine="439" w:firstLineChars="183"/>
        <w:rPr>
          <w:i w:val="0"/>
          <w:iCs w:val="0"/>
          <w:color w:val="auto"/>
          <w:sz w:val="24"/>
          <w:szCs w:val="24"/>
          <w:highlight w:val="none"/>
        </w:rPr>
      </w:pPr>
      <w:r>
        <w:rPr>
          <w:i w:val="0"/>
          <w:iCs w:val="0"/>
          <w:color w:val="auto"/>
          <w:sz w:val="24"/>
          <w:szCs w:val="24"/>
          <w:highlight w:val="none"/>
        </w:rPr>
        <w:t>2</w:t>
      </w:r>
      <w:r>
        <w:rPr>
          <w:i w:val="0"/>
          <w:iCs w:val="0"/>
          <w:color w:val="auto"/>
          <w:spacing w:val="-7"/>
          <w:sz w:val="24"/>
          <w:szCs w:val="24"/>
          <w:highlight w:val="none"/>
        </w:rPr>
        <w:t>、审查承包人提交的施工组织设计、施工进度计划、施工措施计划；审核工艺试验</w:t>
      </w:r>
      <w:r>
        <w:rPr>
          <w:i w:val="0"/>
          <w:iCs w:val="0"/>
          <w:color w:val="auto"/>
          <w:sz w:val="24"/>
          <w:szCs w:val="24"/>
          <w:highlight w:val="none"/>
        </w:rPr>
        <w:t>成果等。</w:t>
      </w:r>
    </w:p>
    <w:p w14:paraId="4BB6B23A">
      <w:pPr>
        <w:pStyle w:val="3"/>
        <w:spacing w:line="360" w:lineRule="auto"/>
        <w:ind w:left="0" w:leftChars="0" w:right="321" w:firstLine="439" w:firstLineChars="183"/>
        <w:rPr>
          <w:i w:val="0"/>
          <w:iCs w:val="0"/>
          <w:color w:val="auto"/>
          <w:sz w:val="24"/>
          <w:szCs w:val="24"/>
          <w:highlight w:val="none"/>
        </w:rPr>
      </w:pPr>
      <w:r>
        <w:rPr>
          <w:i w:val="0"/>
          <w:iCs w:val="0"/>
          <w:color w:val="auto"/>
          <w:sz w:val="24"/>
          <w:szCs w:val="24"/>
          <w:highlight w:val="none"/>
        </w:rPr>
        <w:t>3、进度控制。审批承包人编制的进度计划：检查实施情况，督促承包人采取措施，实现合同工期目标。当实施进度发生较大偏差时，要求承包人调整进度计划：向委托人提出调整控制性进度计划的建议意见。</w:t>
      </w:r>
    </w:p>
    <w:p w14:paraId="36A6EA5D">
      <w:pPr>
        <w:pStyle w:val="3"/>
        <w:spacing w:line="360" w:lineRule="auto"/>
        <w:ind w:left="0" w:leftChars="0" w:right="321" w:firstLine="439" w:firstLineChars="183"/>
        <w:rPr>
          <w:i w:val="0"/>
          <w:iCs w:val="0"/>
          <w:color w:val="auto"/>
          <w:sz w:val="24"/>
          <w:szCs w:val="24"/>
          <w:highlight w:val="none"/>
        </w:rPr>
      </w:pPr>
      <w:r>
        <w:rPr>
          <w:i w:val="0"/>
          <w:iCs w:val="0"/>
          <w:color w:val="auto"/>
          <w:sz w:val="24"/>
          <w:szCs w:val="24"/>
          <w:highlight w:val="none"/>
        </w:rPr>
        <w:t>4、施工质量控制。审查承包人的质量保证体系和措施；审查承包人的实验室条件；依据工程施工合同文件、设计文件、技术标准，对施工全过程进行检杳，对重要部位、关键工序进行旁站监理；按照有关规定，对承包人进场的工程设备、建筑材料、建筑构配件、中间产品进行检验和验收，复核承包人自评的工程质量等级；审核承包人提出的工程质量缺陷处理方案，参与调查质量事故。</w:t>
      </w:r>
    </w:p>
    <w:p w14:paraId="6A1A3A6C">
      <w:pPr>
        <w:pStyle w:val="3"/>
        <w:spacing w:before="153" w:line="357" w:lineRule="auto"/>
        <w:ind w:left="0" w:leftChars="0" w:right="441" w:firstLine="435" w:firstLineChars="183"/>
        <w:jc w:val="left"/>
        <w:rPr>
          <w:i w:val="0"/>
          <w:iCs w:val="0"/>
          <w:color w:val="auto"/>
          <w:spacing w:val="-12"/>
          <w:sz w:val="24"/>
          <w:szCs w:val="24"/>
          <w:highlight w:val="none"/>
        </w:rPr>
      </w:pPr>
      <w:r>
        <w:rPr>
          <w:i w:val="0"/>
          <w:iCs w:val="0"/>
          <w:color w:val="auto"/>
          <w:spacing w:val="-1"/>
          <w:sz w:val="24"/>
          <w:szCs w:val="24"/>
          <w:highlight w:val="none"/>
        </w:rPr>
        <w:t>5</w:t>
      </w:r>
      <w:r>
        <w:rPr>
          <w:i w:val="0"/>
          <w:iCs w:val="0"/>
          <w:color w:val="auto"/>
          <w:spacing w:val="-8"/>
          <w:sz w:val="24"/>
          <w:szCs w:val="24"/>
          <w:highlight w:val="none"/>
        </w:rPr>
        <w:t>、资金控制。审查承包人提交的资金流计划；核定承包人完成的工程量，审核承包</w:t>
      </w:r>
      <w:r>
        <w:rPr>
          <w:i w:val="0"/>
          <w:iCs w:val="0"/>
          <w:color w:val="auto"/>
          <w:spacing w:val="-12"/>
          <w:sz w:val="24"/>
          <w:szCs w:val="24"/>
          <w:highlight w:val="none"/>
        </w:rPr>
        <w:t>人提交支付申请，签发付款凭证；受理索赔申请，提出处理建议意见；处理工程变更。</w:t>
      </w:r>
    </w:p>
    <w:p w14:paraId="6F69BB86">
      <w:pPr>
        <w:pStyle w:val="3"/>
        <w:spacing w:before="153" w:line="357" w:lineRule="auto"/>
        <w:ind w:left="0" w:leftChars="0" w:right="441" w:firstLine="435" w:firstLineChars="183"/>
        <w:jc w:val="both"/>
        <w:rPr>
          <w:i w:val="0"/>
          <w:iCs w:val="0"/>
          <w:color w:val="auto"/>
          <w:sz w:val="24"/>
          <w:szCs w:val="24"/>
          <w:highlight w:val="none"/>
        </w:rPr>
      </w:pPr>
      <w:r>
        <w:rPr>
          <w:i w:val="0"/>
          <w:iCs w:val="0"/>
          <w:color w:val="auto"/>
          <w:spacing w:val="-1"/>
          <w:sz w:val="24"/>
          <w:szCs w:val="24"/>
          <w:highlight w:val="none"/>
        </w:rPr>
        <w:t>6</w:t>
      </w:r>
      <w:r>
        <w:rPr>
          <w:i w:val="0"/>
          <w:iCs w:val="0"/>
          <w:color w:val="auto"/>
          <w:spacing w:val="-6"/>
          <w:sz w:val="24"/>
          <w:szCs w:val="24"/>
          <w:highlight w:val="none"/>
        </w:rPr>
        <w:t>、施工安全控制。审查承包人提出的安全技术措施、专项施工方案，并检查实施情</w:t>
      </w:r>
      <w:r>
        <w:rPr>
          <w:i w:val="0"/>
          <w:iCs w:val="0"/>
          <w:color w:val="auto"/>
          <w:sz w:val="24"/>
          <w:szCs w:val="24"/>
          <w:highlight w:val="none"/>
        </w:rPr>
        <w:t>况；检查防洪度汛措施落实情况；参与安全事故调查。</w:t>
      </w:r>
    </w:p>
    <w:p w14:paraId="69DC11A0">
      <w:pPr>
        <w:pStyle w:val="3"/>
        <w:spacing w:before="5" w:line="357" w:lineRule="auto"/>
        <w:ind w:left="0" w:leftChars="0" w:right="3885" w:firstLine="439" w:firstLineChars="183"/>
        <w:rPr>
          <w:i w:val="0"/>
          <w:iCs w:val="0"/>
          <w:color w:val="auto"/>
          <w:sz w:val="24"/>
          <w:szCs w:val="24"/>
          <w:highlight w:val="none"/>
        </w:rPr>
      </w:pPr>
      <w:r>
        <w:rPr>
          <w:i w:val="0"/>
          <w:iCs w:val="0"/>
          <w:color w:val="auto"/>
          <w:sz w:val="24"/>
          <w:szCs w:val="24"/>
          <w:highlight w:val="none"/>
        </w:rPr>
        <w:t>7、协调施工合同各方之间的关系。</w:t>
      </w:r>
    </w:p>
    <w:p w14:paraId="33539D81">
      <w:pPr>
        <w:pStyle w:val="3"/>
        <w:spacing w:before="3" w:line="360" w:lineRule="auto"/>
        <w:ind w:left="0" w:leftChars="0" w:right="441" w:firstLine="439" w:firstLineChars="183"/>
        <w:jc w:val="both"/>
        <w:rPr>
          <w:i w:val="0"/>
          <w:iCs w:val="0"/>
          <w:color w:val="auto"/>
          <w:sz w:val="24"/>
          <w:szCs w:val="24"/>
          <w:highlight w:val="none"/>
        </w:rPr>
      </w:pPr>
      <w:r>
        <w:rPr>
          <w:i w:val="0"/>
          <w:iCs w:val="0"/>
          <w:color w:val="auto"/>
          <w:sz w:val="24"/>
          <w:szCs w:val="24"/>
          <w:highlight w:val="none"/>
        </w:rPr>
        <w:t>8</w:t>
      </w:r>
      <w:r>
        <w:rPr>
          <w:i w:val="0"/>
          <w:iCs w:val="0"/>
          <w:color w:val="auto"/>
          <w:spacing w:val="-7"/>
          <w:sz w:val="24"/>
          <w:szCs w:val="24"/>
          <w:highlight w:val="none"/>
        </w:rPr>
        <w:t>、按有关规定参加工程验收，负责完成监理资料的汇总、整理，协助委托人检查承</w:t>
      </w:r>
      <w:r>
        <w:rPr>
          <w:i w:val="0"/>
          <w:iCs w:val="0"/>
          <w:color w:val="auto"/>
          <w:sz w:val="24"/>
          <w:szCs w:val="24"/>
          <w:highlight w:val="none"/>
        </w:rPr>
        <w:t>包人的合同执行情况；做好验收的各项准备工作或者配合工作，提供工程监理资料，提交监理工作报告。</w:t>
      </w:r>
    </w:p>
    <w:p w14:paraId="0DEB74E1">
      <w:pPr>
        <w:pStyle w:val="3"/>
        <w:spacing w:line="357" w:lineRule="auto"/>
        <w:ind w:left="0" w:leftChars="0" w:right="440" w:firstLine="439" w:firstLineChars="183"/>
        <w:jc w:val="both"/>
        <w:rPr>
          <w:i w:val="0"/>
          <w:iCs w:val="0"/>
          <w:color w:val="auto"/>
          <w:sz w:val="24"/>
          <w:szCs w:val="24"/>
          <w:highlight w:val="none"/>
        </w:rPr>
      </w:pPr>
      <w:r>
        <w:rPr>
          <w:i w:val="0"/>
          <w:iCs w:val="0"/>
          <w:color w:val="auto"/>
          <w:sz w:val="24"/>
          <w:szCs w:val="24"/>
          <w:highlight w:val="none"/>
        </w:rPr>
        <w:t>9</w:t>
      </w:r>
      <w:r>
        <w:rPr>
          <w:i w:val="0"/>
          <w:iCs w:val="0"/>
          <w:color w:val="auto"/>
          <w:spacing w:val="-8"/>
          <w:sz w:val="24"/>
          <w:szCs w:val="24"/>
          <w:highlight w:val="none"/>
        </w:rPr>
        <w:t>、档案管理。做好施工现场的监理记录与信息反馈，做好监理文档管理工作，合同</w:t>
      </w:r>
      <w:r>
        <w:rPr>
          <w:i w:val="0"/>
          <w:iCs w:val="0"/>
          <w:color w:val="auto"/>
          <w:sz w:val="24"/>
          <w:szCs w:val="24"/>
          <w:highlight w:val="none"/>
        </w:rPr>
        <w:t>期限届满时按照档案管理要求整理、归档并移交委托人。监理人应对承包人提交的档案资料进行审核并出具监理意见。</w:t>
      </w:r>
    </w:p>
    <w:p w14:paraId="51589F0C">
      <w:pPr>
        <w:pStyle w:val="3"/>
        <w:spacing w:before="2" w:line="360" w:lineRule="auto"/>
        <w:ind w:left="0" w:leftChars="0" w:right="438" w:firstLine="439" w:firstLineChars="183"/>
        <w:rPr>
          <w:i w:val="0"/>
          <w:iCs w:val="0"/>
          <w:color w:val="auto"/>
          <w:sz w:val="24"/>
          <w:szCs w:val="24"/>
          <w:highlight w:val="none"/>
        </w:rPr>
      </w:pPr>
      <w:r>
        <w:rPr>
          <w:i w:val="0"/>
          <w:iCs w:val="0"/>
          <w:color w:val="auto"/>
          <w:sz w:val="24"/>
          <w:szCs w:val="24"/>
          <w:highlight w:val="none"/>
        </w:rPr>
        <w:t>10、监督承包人执行缺陷责任期工作计划，检查和验收尾工项目，对已移交工程中出现的质量缺陷等调查原因并提出处理意见。</w:t>
      </w:r>
    </w:p>
    <w:p w14:paraId="2819B32E">
      <w:pPr>
        <w:pStyle w:val="3"/>
        <w:spacing w:line="360" w:lineRule="auto"/>
        <w:ind w:left="0" w:leftChars="0" w:right="439" w:firstLine="439" w:firstLineChars="183"/>
        <w:rPr>
          <w:i w:val="0"/>
          <w:iCs w:val="0"/>
          <w:color w:val="auto"/>
          <w:sz w:val="24"/>
          <w:szCs w:val="24"/>
          <w:highlight w:val="none"/>
        </w:rPr>
      </w:pPr>
      <w:r>
        <w:rPr>
          <w:i w:val="0"/>
          <w:iCs w:val="0"/>
          <w:color w:val="auto"/>
          <w:sz w:val="24"/>
          <w:szCs w:val="24"/>
          <w:highlight w:val="none"/>
        </w:rPr>
        <w:t>11、监督承包人执行上级行业主管部门（或委托人）制订的水利工程建设领域的安全文明标准化工地创建要求。</w:t>
      </w:r>
    </w:p>
    <w:p w14:paraId="503C5053">
      <w:pPr>
        <w:pStyle w:val="3"/>
        <w:spacing w:line="307" w:lineRule="exact"/>
        <w:ind w:left="0" w:leftChars="0" w:firstLine="439" w:firstLineChars="183"/>
        <w:rPr>
          <w:i w:val="0"/>
          <w:iCs w:val="0"/>
          <w:color w:val="auto"/>
          <w:sz w:val="24"/>
          <w:szCs w:val="24"/>
          <w:highlight w:val="none"/>
        </w:rPr>
      </w:pPr>
      <w:r>
        <w:rPr>
          <w:i w:val="0"/>
          <w:iCs w:val="0"/>
          <w:color w:val="auto"/>
          <w:sz w:val="24"/>
          <w:szCs w:val="24"/>
          <w:highlight w:val="none"/>
        </w:rPr>
        <w:t>12、其他相关工作。</w:t>
      </w:r>
    </w:p>
    <w:p w14:paraId="6A9F363A">
      <w:pPr>
        <w:spacing w:before="148"/>
        <w:ind w:left="0" w:leftChars="0" w:right="0" w:firstLine="441" w:firstLineChars="183"/>
        <w:jc w:val="left"/>
        <w:rPr>
          <w:b/>
          <w:i w:val="0"/>
          <w:iCs w:val="0"/>
          <w:color w:val="auto"/>
          <w:sz w:val="24"/>
          <w:szCs w:val="24"/>
          <w:highlight w:val="none"/>
        </w:rPr>
      </w:pPr>
      <w:r>
        <w:rPr>
          <w:b/>
          <w:i w:val="0"/>
          <w:iCs w:val="0"/>
          <w:color w:val="auto"/>
          <w:sz w:val="24"/>
          <w:szCs w:val="24"/>
          <w:highlight w:val="none"/>
        </w:rPr>
        <w:t>三、监理机构应向委托人提供的信息和文件</w:t>
      </w:r>
    </w:p>
    <w:p w14:paraId="081C8CF1">
      <w:pPr>
        <w:pStyle w:val="3"/>
        <w:spacing w:before="154"/>
        <w:ind w:left="0" w:leftChars="0" w:firstLine="439" w:firstLineChars="183"/>
        <w:rPr>
          <w:i w:val="0"/>
          <w:iCs w:val="0"/>
          <w:color w:val="auto"/>
          <w:sz w:val="24"/>
          <w:szCs w:val="24"/>
          <w:highlight w:val="none"/>
        </w:rPr>
      </w:pPr>
      <w:r>
        <w:rPr>
          <w:i w:val="0"/>
          <w:iCs w:val="0"/>
          <w:color w:val="auto"/>
          <w:sz w:val="24"/>
          <w:szCs w:val="24"/>
          <w:highlight w:val="none"/>
        </w:rPr>
        <w:t>（一）不定期的监理工作报告</w:t>
      </w:r>
    </w:p>
    <w:p w14:paraId="451BB546">
      <w:pPr>
        <w:pStyle w:val="3"/>
        <w:spacing w:before="153"/>
        <w:ind w:left="0" w:leftChars="0" w:firstLine="439" w:firstLineChars="183"/>
        <w:rPr>
          <w:i w:val="0"/>
          <w:iCs w:val="0"/>
          <w:color w:val="auto"/>
          <w:sz w:val="24"/>
          <w:szCs w:val="24"/>
          <w:highlight w:val="none"/>
        </w:rPr>
      </w:pPr>
      <w:r>
        <w:rPr>
          <w:i w:val="0"/>
          <w:iCs w:val="0"/>
          <w:color w:val="auto"/>
          <w:sz w:val="24"/>
          <w:szCs w:val="24"/>
          <w:highlight w:val="none"/>
        </w:rPr>
        <w:t>1、关于工程优化设计、工程变更的建议。</w:t>
      </w:r>
    </w:p>
    <w:p w14:paraId="2A104F50">
      <w:pPr>
        <w:pStyle w:val="3"/>
        <w:spacing w:before="151"/>
        <w:ind w:left="0" w:leftChars="0" w:firstLine="439" w:firstLineChars="183"/>
        <w:rPr>
          <w:i w:val="0"/>
          <w:iCs w:val="0"/>
          <w:color w:val="auto"/>
          <w:sz w:val="24"/>
          <w:szCs w:val="24"/>
          <w:highlight w:val="none"/>
        </w:rPr>
      </w:pPr>
      <w:r>
        <w:rPr>
          <w:i w:val="0"/>
          <w:iCs w:val="0"/>
          <w:color w:val="auto"/>
          <w:sz w:val="24"/>
          <w:szCs w:val="24"/>
          <w:highlight w:val="none"/>
        </w:rPr>
        <w:t>2、投资情况分析预测及资金、资源的合理配置和投入的建议。</w:t>
      </w:r>
    </w:p>
    <w:p w14:paraId="2ABA2F24">
      <w:pPr>
        <w:pStyle w:val="3"/>
        <w:spacing w:before="154"/>
        <w:ind w:left="0" w:leftChars="0" w:firstLine="439" w:firstLineChars="183"/>
        <w:rPr>
          <w:i w:val="0"/>
          <w:iCs w:val="0"/>
          <w:color w:val="auto"/>
          <w:sz w:val="24"/>
          <w:szCs w:val="24"/>
          <w:highlight w:val="none"/>
        </w:rPr>
      </w:pPr>
      <w:r>
        <w:rPr>
          <w:i w:val="0"/>
          <w:iCs w:val="0"/>
          <w:color w:val="auto"/>
          <w:sz w:val="24"/>
          <w:szCs w:val="24"/>
          <w:highlight w:val="none"/>
        </w:rPr>
        <w:t>3、工程进度预测分析报告。</w:t>
      </w:r>
    </w:p>
    <w:p w14:paraId="57CDB15F">
      <w:pPr>
        <w:pStyle w:val="3"/>
        <w:spacing w:before="153"/>
        <w:ind w:left="0" w:leftChars="0" w:firstLine="439" w:firstLineChars="183"/>
        <w:rPr>
          <w:i w:val="0"/>
          <w:iCs w:val="0"/>
          <w:color w:val="auto"/>
          <w:sz w:val="24"/>
          <w:szCs w:val="24"/>
          <w:highlight w:val="none"/>
        </w:rPr>
      </w:pPr>
      <w:r>
        <w:rPr>
          <w:i w:val="0"/>
          <w:iCs w:val="0"/>
          <w:color w:val="auto"/>
          <w:sz w:val="24"/>
          <w:szCs w:val="24"/>
          <w:highlight w:val="none"/>
        </w:rPr>
        <w:t>（二）日常监理文件</w:t>
      </w:r>
    </w:p>
    <w:p w14:paraId="71A15C5F">
      <w:pPr>
        <w:pStyle w:val="3"/>
        <w:spacing w:before="151"/>
        <w:ind w:left="0" w:leftChars="0" w:firstLine="439" w:firstLineChars="183"/>
        <w:rPr>
          <w:i w:val="0"/>
          <w:iCs w:val="0"/>
          <w:color w:val="auto"/>
          <w:sz w:val="24"/>
          <w:szCs w:val="24"/>
          <w:highlight w:val="none"/>
        </w:rPr>
      </w:pPr>
      <w:r>
        <w:rPr>
          <w:i w:val="0"/>
          <w:iCs w:val="0"/>
          <w:color w:val="auto"/>
          <w:sz w:val="24"/>
          <w:szCs w:val="24"/>
          <w:highlight w:val="none"/>
        </w:rPr>
        <w:t>1、监理日记及施工大事记。</w:t>
      </w:r>
    </w:p>
    <w:p w14:paraId="5EE2041D">
      <w:pPr>
        <w:pStyle w:val="3"/>
        <w:spacing w:before="153"/>
        <w:ind w:left="0" w:leftChars="0" w:firstLine="435" w:firstLineChars="183"/>
        <w:rPr>
          <w:i w:val="0"/>
          <w:iCs w:val="0"/>
          <w:color w:val="auto"/>
          <w:sz w:val="24"/>
          <w:szCs w:val="24"/>
          <w:highlight w:val="none"/>
        </w:rPr>
      </w:pPr>
      <w:r>
        <w:rPr>
          <w:i w:val="0"/>
          <w:iCs w:val="0"/>
          <w:color w:val="auto"/>
          <w:spacing w:val="-1"/>
          <w:sz w:val="24"/>
          <w:szCs w:val="24"/>
          <w:highlight w:val="none"/>
        </w:rPr>
        <w:t>2</w:t>
      </w:r>
      <w:r>
        <w:rPr>
          <w:i w:val="0"/>
          <w:iCs w:val="0"/>
          <w:color w:val="auto"/>
          <w:sz w:val="24"/>
          <w:szCs w:val="24"/>
          <w:highlight w:val="none"/>
        </w:rPr>
        <w:t>、施工计划批复文件。</w:t>
      </w:r>
    </w:p>
    <w:p w14:paraId="3606473A">
      <w:pPr>
        <w:pStyle w:val="3"/>
        <w:spacing w:before="154"/>
        <w:ind w:left="0" w:leftChars="0" w:firstLine="435" w:firstLineChars="183"/>
        <w:rPr>
          <w:i w:val="0"/>
          <w:iCs w:val="0"/>
          <w:color w:val="auto"/>
          <w:sz w:val="24"/>
          <w:szCs w:val="24"/>
          <w:highlight w:val="none"/>
        </w:rPr>
      </w:pPr>
      <w:r>
        <w:rPr>
          <w:i w:val="0"/>
          <w:iCs w:val="0"/>
          <w:color w:val="auto"/>
          <w:spacing w:val="-1"/>
          <w:sz w:val="24"/>
          <w:szCs w:val="24"/>
          <w:highlight w:val="none"/>
        </w:rPr>
        <w:t>3</w:t>
      </w:r>
      <w:r>
        <w:rPr>
          <w:i w:val="0"/>
          <w:iCs w:val="0"/>
          <w:color w:val="auto"/>
          <w:sz w:val="24"/>
          <w:szCs w:val="24"/>
          <w:highlight w:val="none"/>
        </w:rPr>
        <w:t>、施工措施批复文件。</w:t>
      </w:r>
    </w:p>
    <w:p w14:paraId="5B187921">
      <w:pPr>
        <w:pStyle w:val="3"/>
        <w:spacing w:before="151"/>
        <w:ind w:left="0" w:leftChars="0" w:firstLine="439" w:firstLineChars="183"/>
        <w:rPr>
          <w:i w:val="0"/>
          <w:iCs w:val="0"/>
          <w:color w:val="auto"/>
          <w:sz w:val="24"/>
          <w:szCs w:val="24"/>
          <w:highlight w:val="none"/>
        </w:rPr>
      </w:pPr>
      <w:r>
        <w:rPr>
          <w:i w:val="0"/>
          <w:iCs w:val="0"/>
          <w:color w:val="auto"/>
          <w:sz w:val="24"/>
          <w:szCs w:val="24"/>
          <w:highlight w:val="none"/>
        </w:rPr>
        <w:t>4、施工进度调整批复文件。</w:t>
      </w:r>
    </w:p>
    <w:p w14:paraId="41DE6B22">
      <w:pPr>
        <w:pStyle w:val="3"/>
        <w:spacing w:before="153"/>
        <w:ind w:left="0" w:leftChars="0" w:firstLine="439" w:firstLineChars="183"/>
        <w:rPr>
          <w:i w:val="0"/>
          <w:iCs w:val="0"/>
          <w:color w:val="auto"/>
          <w:sz w:val="24"/>
          <w:szCs w:val="24"/>
          <w:highlight w:val="none"/>
        </w:rPr>
      </w:pPr>
      <w:r>
        <w:rPr>
          <w:i w:val="0"/>
          <w:iCs w:val="0"/>
          <w:color w:val="auto"/>
          <w:sz w:val="24"/>
          <w:szCs w:val="24"/>
          <w:highlight w:val="none"/>
        </w:rPr>
        <w:t>5、进度款支付确认文件。</w:t>
      </w:r>
    </w:p>
    <w:p w14:paraId="23CCEFA8">
      <w:pPr>
        <w:pStyle w:val="3"/>
        <w:spacing w:before="154"/>
        <w:ind w:left="0" w:leftChars="0" w:firstLine="439" w:firstLineChars="183"/>
        <w:rPr>
          <w:i w:val="0"/>
          <w:iCs w:val="0"/>
          <w:color w:val="auto"/>
          <w:sz w:val="24"/>
          <w:szCs w:val="24"/>
          <w:highlight w:val="none"/>
        </w:rPr>
      </w:pPr>
      <w:r>
        <w:rPr>
          <w:i w:val="0"/>
          <w:iCs w:val="0"/>
          <w:color w:val="auto"/>
          <w:sz w:val="24"/>
          <w:szCs w:val="24"/>
          <w:highlight w:val="none"/>
        </w:rPr>
        <w:t>6、索赔受理、调查及处理文件。</w:t>
      </w:r>
    </w:p>
    <w:p w14:paraId="09FA7CA9">
      <w:pPr>
        <w:pStyle w:val="3"/>
        <w:spacing w:before="150"/>
        <w:ind w:left="0" w:leftChars="0" w:firstLine="439" w:firstLineChars="183"/>
        <w:rPr>
          <w:i w:val="0"/>
          <w:iCs w:val="0"/>
          <w:color w:val="auto"/>
          <w:sz w:val="24"/>
          <w:szCs w:val="24"/>
          <w:highlight w:val="none"/>
        </w:rPr>
      </w:pPr>
      <w:r>
        <w:rPr>
          <w:i w:val="0"/>
          <w:iCs w:val="0"/>
          <w:color w:val="auto"/>
          <w:sz w:val="24"/>
          <w:szCs w:val="24"/>
          <w:highlight w:val="none"/>
        </w:rPr>
        <w:t>7、监理协调会议纪要文件。</w:t>
      </w:r>
    </w:p>
    <w:p w14:paraId="00C5F385">
      <w:pPr>
        <w:spacing w:before="43" w:line="360" w:lineRule="auto"/>
        <w:ind w:left="0" w:leftChars="0" w:right="5362" w:rightChars="0" w:firstLine="439" w:firstLineChars="183"/>
        <w:jc w:val="left"/>
        <w:rPr>
          <w:i w:val="0"/>
          <w:iCs w:val="0"/>
          <w:color w:val="auto"/>
          <w:sz w:val="24"/>
          <w:szCs w:val="24"/>
          <w:highlight w:val="none"/>
        </w:rPr>
      </w:pPr>
      <w:r>
        <w:rPr>
          <w:i w:val="0"/>
          <w:iCs w:val="0"/>
          <w:color w:val="auto"/>
          <w:sz w:val="24"/>
          <w:szCs w:val="24"/>
          <w:highlight w:val="none"/>
        </w:rPr>
        <w:t>8、其他监理业务往来文件。</w:t>
      </w:r>
    </w:p>
    <w:p w14:paraId="7BFBB3DD">
      <w:pPr>
        <w:spacing w:before="43" w:line="360" w:lineRule="auto"/>
        <w:ind w:left="0" w:leftChars="0" w:right="6165" w:firstLine="441" w:firstLineChars="183"/>
        <w:jc w:val="left"/>
        <w:rPr>
          <w:b/>
          <w:i w:val="0"/>
          <w:iCs w:val="0"/>
          <w:color w:val="auto"/>
          <w:sz w:val="24"/>
          <w:szCs w:val="24"/>
          <w:highlight w:val="none"/>
        </w:rPr>
      </w:pPr>
      <w:r>
        <w:rPr>
          <w:b/>
          <w:i w:val="0"/>
          <w:iCs w:val="0"/>
          <w:color w:val="auto"/>
          <w:sz w:val="24"/>
          <w:szCs w:val="24"/>
          <w:highlight w:val="none"/>
        </w:rPr>
        <w:t>四、监理服务期</w:t>
      </w:r>
    </w:p>
    <w:p w14:paraId="5BAF0611">
      <w:pPr>
        <w:widowControl/>
        <w:ind w:left="0" w:leftChars="0" w:firstLine="439" w:firstLineChars="183"/>
        <w:jc w:val="left"/>
        <w:rPr>
          <w:rFonts w:ascii="宋体" w:hAnsi="宋体" w:cs="宋体"/>
          <w:bCs/>
          <w:color w:val="auto"/>
          <w:sz w:val="24"/>
          <w:highlight w:val="none"/>
        </w:rPr>
      </w:pPr>
      <w:r>
        <w:rPr>
          <w:i w:val="0"/>
          <w:iCs w:val="0"/>
          <w:color w:val="auto"/>
          <w:sz w:val="24"/>
          <w:szCs w:val="24"/>
          <w:highlight w:val="none"/>
        </w:rPr>
        <w:t>自合同签订之日起至</w:t>
      </w:r>
      <w:r>
        <w:rPr>
          <w:rFonts w:hint="eastAsia" w:ascii="宋体" w:hAnsi="宋体" w:eastAsia="宋体" w:cs="宋体"/>
          <w:snapToGrid w:val="0"/>
          <w:color w:val="auto"/>
          <w:kern w:val="28"/>
          <w:sz w:val="24"/>
          <w:szCs w:val="20"/>
          <w:highlight w:val="none"/>
          <w:lang w:val="en-US" w:eastAsia="zh-CN" w:bidi="ar-SA"/>
        </w:rPr>
        <w:t>下一年度中标供应商进场服务并实现交接为止。</w:t>
      </w:r>
    </w:p>
    <w:p w14:paraId="3D9BEC45">
      <w:pPr>
        <w:rPr>
          <w:rFonts w:ascii="宋体" w:hAnsi="宋体" w:cs="宋体"/>
          <w:snapToGrid w:val="0"/>
          <w:color w:val="auto"/>
          <w:kern w:val="0"/>
          <w:sz w:val="24"/>
          <w:highlight w:val="none"/>
        </w:rPr>
      </w:pPr>
    </w:p>
    <w:p w14:paraId="6B3E187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4452"/>
      <w:bookmarkEnd w:id="31"/>
      <w:bookmarkStart w:id="32" w:name="_Toc184310301"/>
      <w:bookmarkEnd w:id="32"/>
      <w:bookmarkStart w:id="33" w:name="_Toc184312118"/>
      <w:bookmarkEnd w:id="33"/>
      <w:bookmarkStart w:id="34" w:name="_Toc184314428"/>
      <w:bookmarkEnd w:id="34"/>
      <w:bookmarkStart w:id="35" w:name="_Toc184312127"/>
      <w:bookmarkEnd w:id="35"/>
      <w:bookmarkStart w:id="36" w:name="_Toc184310294"/>
      <w:bookmarkEnd w:id="36"/>
      <w:bookmarkStart w:id="37" w:name="_Toc184313266"/>
      <w:bookmarkEnd w:id="37"/>
      <w:bookmarkStart w:id="38" w:name="_Toc184308076"/>
      <w:bookmarkEnd w:id="38"/>
      <w:bookmarkStart w:id="39" w:name="_Toc184312122"/>
      <w:bookmarkEnd w:id="39"/>
      <w:bookmarkStart w:id="40" w:name="_Toc184312078"/>
      <w:bookmarkEnd w:id="40"/>
      <w:bookmarkStart w:id="41" w:name="_Toc184310311"/>
      <w:bookmarkEnd w:id="41"/>
      <w:bookmarkStart w:id="42" w:name="_Toc184310334"/>
      <w:bookmarkEnd w:id="42"/>
      <w:bookmarkStart w:id="43" w:name="_Toc184313255"/>
      <w:bookmarkEnd w:id="43"/>
      <w:bookmarkStart w:id="44" w:name="_Toc184312107"/>
      <w:bookmarkEnd w:id="44"/>
      <w:bookmarkStart w:id="45" w:name="_Toc184312081"/>
      <w:bookmarkEnd w:id="45"/>
      <w:bookmarkStart w:id="46" w:name="_Toc184313288"/>
      <w:bookmarkEnd w:id="46"/>
      <w:bookmarkStart w:id="47" w:name="_Toc184313265"/>
      <w:bookmarkEnd w:id="47"/>
      <w:bookmarkStart w:id="48" w:name="_Toc184314478"/>
      <w:bookmarkEnd w:id="48"/>
      <w:bookmarkStart w:id="49" w:name="_Toc184312112"/>
      <w:bookmarkEnd w:id="49"/>
      <w:bookmarkStart w:id="50" w:name="_Toc184308071"/>
      <w:bookmarkEnd w:id="50"/>
      <w:bookmarkStart w:id="51" w:name="_Toc184314410"/>
      <w:bookmarkEnd w:id="51"/>
      <w:bookmarkStart w:id="52" w:name="_Toc184312131"/>
      <w:bookmarkEnd w:id="52"/>
      <w:bookmarkStart w:id="53" w:name="_Toc184310274"/>
      <w:bookmarkEnd w:id="53"/>
      <w:bookmarkStart w:id="54" w:name="_Toc184308051"/>
      <w:bookmarkEnd w:id="54"/>
      <w:bookmarkStart w:id="55" w:name="_Toc184314474"/>
      <w:bookmarkEnd w:id="55"/>
      <w:bookmarkStart w:id="56" w:name="_Toc184308040"/>
      <w:bookmarkEnd w:id="56"/>
      <w:bookmarkStart w:id="57" w:name="_Toc184313301"/>
      <w:bookmarkEnd w:id="57"/>
      <w:bookmarkStart w:id="58" w:name="_Toc184313292"/>
      <w:bookmarkEnd w:id="58"/>
      <w:bookmarkStart w:id="59" w:name="_Toc184310322"/>
      <w:bookmarkEnd w:id="59"/>
      <w:bookmarkStart w:id="60" w:name="_Toc184312103"/>
      <w:bookmarkEnd w:id="60"/>
      <w:bookmarkStart w:id="61" w:name="_Toc184314482"/>
      <w:bookmarkEnd w:id="61"/>
      <w:bookmarkStart w:id="62" w:name="_Toc184310289"/>
      <w:bookmarkEnd w:id="62"/>
      <w:bookmarkStart w:id="63" w:name="_Toc184314429"/>
      <w:bookmarkEnd w:id="63"/>
      <w:bookmarkStart w:id="64" w:name="_Toc184312129"/>
      <w:bookmarkEnd w:id="64"/>
      <w:bookmarkStart w:id="65" w:name="_Toc184308092"/>
      <w:bookmarkEnd w:id="65"/>
      <w:bookmarkStart w:id="66" w:name="_Toc184312110"/>
      <w:bookmarkEnd w:id="66"/>
      <w:bookmarkStart w:id="67" w:name="_Toc184310320"/>
      <w:bookmarkEnd w:id="67"/>
      <w:bookmarkStart w:id="68" w:name="_Toc184308090"/>
      <w:bookmarkEnd w:id="68"/>
      <w:bookmarkStart w:id="69" w:name="_Toc184310323"/>
      <w:bookmarkEnd w:id="69"/>
      <w:bookmarkStart w:id="70" w:name="_Toc184310295"/>
      <w:bookmarkEnd w:id="70"/>
      <w:bookmarkStart w:id="71" w:name="_Toc184308108"/>
      <w:bookmarkEnd w:id="71"/>
      <w:bookmarkStart w:id="72" w:name="_Toc184313244"/>
      <w:bookmarkEnd w:id="72"/>
      <w:bookmarkStart w:id="73" w:name="_Toc184312109"/>
      <w:bookmarkEnd w:id="73"/>
      <w:bookmarkStart w:id="74" w:name="_Toc184314423"/>
      <w:bookmarkEnd w:id="74"/>
      <w:bookmarkStart w:id="75" w:name="_Toc184310281"/>
      <w:bookmarkEnd w:id="75"/>
      <w:bookmarkStart w:id="76" w:name="_Toc184313250"/>
      <w:bookmarkEnd w:id="76"/>
      <w:bookmarkStart w:id="77" w:name="_Toc184312124"/>
      <w:bookmarkEnd w:id="77"/>
      <w:bookmarkStart w:id="78" w:name="_Toc184313282"/>
      <w:bookmarkEnd w:id="78"/>
      <w:bookmarkStart w:id="79" w:name="_Toc184312074"/>
      <w:bookmarkEnd w:id="79"/>
      <w:bookmarkStart w:id="80" w:name="_Toc184308058"/>
      <w:bookmarkEnd w:id="80"/>
      <w:bookmarkStart w:id="81" w:name="_Toc184310286"/>
      <w:bookmarkEnd w:id="81"/>
      <w:bookmarkStart w:id="82" w:name="_Toc184314436"/>
      <w:bookmarkEnd w:id="82"/>
      <w:bookmarkStart w:id="83" w:name="_Toc184308055"/>
      <w:bookmarkEnd w:id="83"/>
      <w:bookmarkStart w:id="84" w:name="_Toc184313299"/>
      <w:bookmarkEnd w:id="84"/>
      <w:bookmarkStart w:id="85" w:name="_Toc184314422"/>
      <w:bookmarkEnd w:id="85"/>
      <w:bookmarkStart w:id="86" w:name="_Toc184308094"/>
      <w:bookmarkEnd w:id="86"/>
      <w:bookmarkStart w:id="87" w:name="_Toc184310278"/>
      <w:bookmarkEnd w:id="87"/>
      <w:bookmarkStart w:id="88" w:name="_Toc184313259"/>
      <w:bookmarkEnd w:id="88"/>
      <w:bookmarkStart w:id="89" w:name="_Toc184313287"/>
      <w:bookmarkEnd w:id="89"/>
      <w:bookmarkStart w:id="90" w:name="_Toc184312126"/>
      <w:bookmarkEnd w:id="90"/>
      <w:bookmarkStart w:id="91" w:name="_Toc184314444"/>
      <w:bookmarkEnd w:id="91"/>
      <w:bookmarkStart w:id="92" w:name="_Toc184310304"/>
      <w:bookmarkEnd w:id="92"/>
      <w:bookmarkStart w:id="93" w:name="_Toc184314473"/>
      <w:bookmarkEnd w:id="93"/>
      <w:bookmarkStart w:id="94" w:name="_Toc184314427"/>
      <w:bookmarkEnd w:id="94"/>
      <w:bookmarkStart w:id="95" w:name="_Toc184313284"/>
      <w:bookmarkEnd w:id="95"/>
      <w:bookmarkStart w:id="96" w:name="_Toc184313261"/>
      <w:bookmarkEnd w:id="96"/>
      <w:bookmarkStart w:id="97" w:name="_Toc184310315"/>
      <w:bookmarkEnd w:id="97"/>
      <w:bookmarkStart w:id="98" w:name="_Toc184312076"/>
      <w:bookmarkEnd w:id="98"/>
      <w:bookmarkStart w:id="99" w:name="_Toc184312069"/>
      <w:bookmarkEnd w:id="99"/>
      <w:bookmarkStart w:id="100" w:name="_Toc184310316"/>
      <w:bookmarkEnd w:id="100"/>
      <w:bookmarkStart w:id="101" w:name="_Toc184314479"/>
      <w:bookmarkEnd w:id="101"/>
      <w:bookmarkStart w:id="102" w:name="_Toc184308101"/>
      <w:bookmarkEnd w:id="102"/>
      <w:bookmarkStart w:id="103" w:name="_Toc184308089"/>
      <w:bookmarkEnd w:id="103"/>
      <w:bookmarkStart w:id="104" w:name="_Toc184308056"/>
      <w:bookmarkEnd w:id="104"/>
      <w:bookmarkStart w:id="105" w:name="_Toc184312075"/>
      <w:bookmarkEnd w:id="105"/>
      <w:bookmarkStart w:id="106" w:name="_Toc184310293"/>
      <w:bookmarkEnd w:id="106"/>
      <w:bookmarkStart w:id="107" w:name="_Toc184308081"/>
      <w:bookmarkEnd w:id="107"/>
      <w:bookmarkStart w:id="108" w:name="_Toc184312073"/>
      <w:bookmarkEnd w:id="108"/>
      <w:bookmarkStart w:id="109" w:name="_Toc184310299"/>
      <w:bookmarkEnd w:id="109"/>
      <w:bookmarkStart w:id="110" w:name="_Toc184312085"/>
      <w:bookmarkEnd w:id="110"/>
      <w:bookmarkStart w:id="111" w:name="_Toc184313247"/>
      <w:bookmarkEnd w:id="111"/>
      <w:bookmarkStart w:id="112" w:name="_Toc184312084"/>
      <w:bookmarkEnd w:id="112"/>
      <w:bookmarkStart w:id="113" w:name="_Toc184313279"/>
      <w:bookmarkEnd w:id="113"/>
      <w:bookmarkStart w:id="114" w:name="_Toc184313285"/>
      <w:bookmarkEnd w:id="114"/>
      <w:bookmarkStart w:id="115" w:name="_Toc184314426"/>
      <w:bookmarkEnd w:id="115"/>
      <w:bookmarkStart w:id="116" w:name="_Toc184312088"/>
      <w:bookmarkEnd w:id="116"/>
      <w:bookmarkStart w:id="117" w:name="_Toc184308043"/>
      <w:bookmarkEnd w:id="117"/>
      <w:bookmarkStart w:id="118" w:name="_Toc184312128"/>
      <w:bookmarkEnd w:id="118"/>
      <w:bookmarkStart w:id="119" w:name="_Toc184314455"/>
      <w:bookmarkEnd w:id="119"/>
      <w:bookmarkStart w:id="120" w:name="_Toc184313308"/>
      <w:bookmarkEnd w:id="120"/>
      <w:bookmarkStart w:id="121" w:name="_Toc184308104"/>
      <w:bookmarkEnd w:id="121"/>
      <w:bookmarkStart w:id="122" w:name="_Toc184313271"/>
      <w:bookmarkEnd w:id="122"/>
      <w:bookmarkStart w:id="123" w:name="_Toc184310339"/>
      <w:bookmarkEnd w:id="123"/>
      <w:bookmarkStart w:id="124" w:name="_Toc184308054"/>
      <w:bookmarkEnd w:id="124"/>
      <w:bookmarkStart w:id="125" w:name="_Toc184310272"/>
      <w:bookmarkEnd w:id="125"/>
      <w:bookmarkStart w:id="126" w:name="_Toc184313290"/>
      <w:bookmarkEnd w:id="126"/>
      <w:bookmarkStart w:id="127" w:name="_Toc184314411"/>
      <w:bookmarkEnd w:id="127"/>
      <w:bookmarkStart w:id="128" w:name="_Toc184314477"/>
      <w:bookmarkEnd w:id="128"/>
      <w:bookmarkStart w:id="129" w:name="_Toc184314461"/>
      <w:bookmarkEnd w:id="129"/>
      <w:bookmarkStart w:id="130" w:name="_Toc184312117"/>
      <w:bookmarkEnd w:id="130"/>
      <w:bookmarkStart w:id="131" w:name="_Toc184313274"/>
      <w:bookmarkEnd w:id="131"/>
      <w:bookmarkStart w:id="132" w:name="_Toc184310279"/>
      <w:bookmarkEnd w:id="132"/>
      <w:bookmarkStart w:id="133" w:name="_Toc184314431"/>
      <w:bookmarkEnd w:id="133"/>
      <w:bookmarkStart w:id="134" w:name="_Toc184312134"/>
      <w:bookmarkEnd w:id="134"/>
      <w:bookmarkStart w:id="135" w:name="_Toc184312123"/>
      <w:bookmarkEnd w:id="135"/>
      <w:bookmarkStart w:id="136" w:name="_Toc184312133"/>
      <w:bookmarkEnd w:id="136"/>
      <w:bookmarkStart w:id="137" w:name="_Toc184308103"/>
      <w:bookmarkEnd w:id="137"/>
      <w:bookmarkStart w:id="138" w:name="_Toc184310285"/>
      <w:bookmarkEnd w:id="138"/>
      <w:bookmarkStart w:id="139" w:name="_Toc184312068"/>
      <w:bookmarkEnd w:id="139"/>
      <w:bookmarkStart w:id="140" w:name="_Toc184314475"/>
      <w:bookmarkEnd w:id="140"/>
      <w:bookmarkStart w:id="141" w:name="_Toc184313276"/>
      <w:bookmarkEnd w:id="141"/>
      <w:bookmarkStart w:id="142" w:name="_Toc184310325"/>
      <w:bookmarkEnd w:id="142"/>
      <w:bookmarkStart w:id="143" w:name="_Toc184308105"/>
      <w:bookmarkEnd w:id="143"/>
      <w:bookmarkStart w:id="144" w:name="_Toc184310341"/>
      <w:bookmarkEnd w:id="144"/>
      <w:bookmarkStart w:id="145" w:name="_Toc184312086"/>
      <w:bookmarkEnd w:id="145"/>
      <w:bookmarkStart w:id="146" w:name="_Toc184310307"/>
      <w:bookmarkEnd w:id="146"/>
      <w:bookmarkStart w:id="147" w:name="_Toc184308063"/>
      <w:bookmarkEnd w:id="147"/>
      <w:bookmarkStart w:id="148" w:name="_Toc184314430"/>
      <w:bookmarkEnd w:id="148"/>
      <w:bookmarkStart w:id="149" w:name="_Toc184314415"/>
      <w:bookmarkEnd w:id="149"/>
      <w:bookmarkStart w:id="150" w:name="_Toc184308066"/>
      <w:bookmarkEnd w:id="150"/>
      <w:bookmarkStart w:id="151" w:name="_Toc184312132"/>
      <w:bookmarkEnd w:id="151"/>
      <w:bookmarkStart w:id="152" w:name="_Toc184312120"/>
      <w:bookmarkEnd w:id="152"/>
      <w:bookmarkStart w:id="153" w:name="_Toc184312102"/>
      <w:bookmarkEnd w:id="153"/>
      <w:bookmarkStart w:id="154" w:name="_Toc184312094"/>
      <w:bookmarkEnd w:id="154"/>
      <w:bookmarkStart w:id="155" w:name="_Toc184308048"/>
      <w:bookmarkEnd w:id="155"/>
      <w:bookmarkStart w:id="156" w:name="_Toc184310283"/>
      <w:bookmarkEnd w:id="156"/>
      <w:bookmarkStart w:id="157" w:name="_Toc184312111"/>
      <w:bookmarkEnd w:id="157"/>
      <w:bookmarkStart w:id="158" w:name="_Toc184310275"/>
      <w:bookmarkEnd w:id="158"/>
      <w:bookmarkStart w:id="159" w:name="_Toc184314460"/>
      <w:bookmarkEnd w:id="159"/>
      <w:bookmarkStart w:id="160" w:name="_Toc184310336"/>
      <w:bookmarkEnd w:id="160"/>
      <w:bookmarkStart w:id="161" w:name="_Toc184310324"/>
      <w:bookmarkEnd w:id="161"/>
      <w:bookmarkStart w:id="162" w:name="_Toc184308075"/>
      <w:bookmarkEnd w:id="162"/>
      <w:bookmarkStart w:id="163" w:name="_Toc184313275"/>
      <w:bookmarkEnd w:id="163"/>
      <w:bookmarkStart w:id="164" w:name="_Toc184314417"/>
      <w:bookmarkEnd w:id="164"/>
      <w:bookmarkStart w:id="165" w:name="_Toc184313297"/>
      <w:bookmarkEnd w:id="165"/>
      <w:bookmarkStart w:id="166" w:name="_Toc184313281"/>
      <w:bookmarkEnd w:id="166"/>
      <w:bookmarkStart w:id="167" w:name="_Toc184308050"/>
      <w:bookmarkEnd w:id="167"/>
      <w:bookmarkStart w:id="168" w:name="_Toc184312100"/>
      <w:bookmarkEnd w:id="168"/>
      <w:bookmarkStart w:id="169" w:name="_Toc184312072"/>
      <w:bookmarkEnd w:id="169"/>
      <w:bookmarkStart w:id="170" w:name="_Toc184310335"/>
      <w:bookmarkEnd w:id="170"/>
      <w:bookmarkStart w:id="171" w:name="_Toc184310343"/>
      <w:bookmarkEnd w:id="171"/>
      <w:bookmarkStart w:id="172" w:name="_Toc184314481"/>
      <w:bookmarkEnd w:id="172"/>
      <w:bookmarkStart w:id="173" w:name="_Toc184310276"/>
      <w:bookmarkEnd w:id="173"/>
      <w:bookmarkStart w:id="174" w:name="_Toc184308079"/>
      <w:bookmarkEnd w:id="174"/>
      <w:bookmarkStart w:id="175" w:name="_Toc184308082"/>
      <w:bookmarkEnd w:id="175"/>
      <w:bookmarkStart w:id="176" w:name="_Toc184308073"/>
      <w:bookmarkEnd w:id="176"/>
      <w:bookmarkStart w:id="177" w:name="_Toc184310333"/>
      <w:bookmarkEnd w:id="177"/>
      <w:bookmarkStart w:id="178" w:name="_Toc184313240"/>
      <w:bookmarkEnd w:id="178"/>
      <w:bookmarkStart w:id="179" w:name="_Toc184308096"/>
      <w:bookmarkEnd w:id="179"/>
      <w:bookmarkStart w:id="180" w:name="_Toc184313283"/>
      <w:bookmarkEnd w:id="180"/>
      <w:bookmarkStart w:id="181" w:name="_Toc184313262"/>
      <w:bookmarkEnd w:id="181"/>
      <w:bookmarkStart w:id="182" w:name="_Toc184310306"/>
      <w:bookmarkEnd w:id="182"/>
      <w:bookmarkStart w:id="183" w:name="_Toc184308057"/>
      <w:bookmarkEnd w:id="183"/>
      <w:bookmarkStart w:id="184" w:name="_Toc184310312"/>
      <w:bookmarkEnd w:id="184"/>
      <w:bookmarkStart w:id="185" w:name="_Toc184308044"/>
      <w:bookmarkEnd w:id="185"/>
      <w:bookmarkStart w:id="186" w:name="_Toc184314416"/>
      <w:bookmarkEnd w:id="186"/>
      <w:bookmarkStart w:id="187" w:name="_Toc184312097"/>
      <w:bookmarkEnd w:id="187"/>
      <w:bookmarkStart w:id="188" w:name="_Toc184310292"/>
      <w:bookmarkEnd w:id="188"/>
      <w:bookmarkStart w:id="189" w:name="_Toc184310338"/>
      <w:bookmarkEnd w:id="189"/>
      <w:bookmarkStart w:id="190" w:name="_Toc184314437"/>
      <w:bookmarkEnd w:id="190"/>
      <w:bookmarkStart w:id="191" w:name="_Toc184312115"/>
      <w:bookmarkEnd w:id="191"/>
      <w:bookmarkStart w:id="192" w:name="_Toc184313289"/>
      <w:bookmarkEnd w:id="192"/>
      <w:bookmarkStart w:id="193" w:name="_Toc184314459"/>
      <w:bookmarkEnd w:id="193"/>
      <w:bookmarkStart w:id="194" w:name="_Toc184308099"/>
      <w:bookmarkEnd w:id="194"/>
      <w:bookmarkStart w:id="195" w:name="_Toc184310288"/>
      <w:bookmarkEnd w:id="195"/>
      <w:bookmarkStart w:id="196" w:name="_Toc184313270"/>
      <w:bookmarkEnd w:id="196"/>
      <w:bookmarkStart w:id="197" w:name="_Toc184312105"/>
      <w:bookmarkEnd w:id="197"/>
      <w:bookmarkStart w:id="198" w:name="_Toc184310300"/>
      <w:bookmarkEnd w:id="198"/>
      <w:bookmarkStart w:id="199" w:name="_Toc184312092"/>
      <w:bookmarkEnd w:id="199"/>
      <w:bookmarkStart w:id="200" w:name="_Toc184312098"/>
      <w:bookmarkEnd w:id="200"/>
      <w:bookmarkStart w:id="201" w:name="_Toc184312080"/>
      <w:bookmarkEnd w:id="201"/>
      <w:bookmarkStart w:id="202" w:name="_Toc184312071"/>
      <w:bookmarkEnd w:id="202"/>
      <w:bookmarkStart w:id="203" w:name="_Toc184313298"/>
      <w:bookmarkEnd w:id="203"/>
      <w:bookmarkStart w:id="204" w:name="_Toc184310313"/>
      <w:bookmarkEnd w:id="204"/>
      <w:bookmarkStart w:id="205" w:name="_Toc184312125"/>
      <w:bookmarkEnd w:id="205"/>
      <w:bookmarkStart w:id="206" w:name="_Toc184312116"/>
      <w:bookmarkEnd w:id="206"/>
      <w:bookmarkStart w:id="207" w:name="_Toc184313278"/>
      <w:bookmarkEnd w:id="207"/>
      <w:bookmarkStart w:id="208" w:name="_Toc184312121"/>
      <w:bookmarkEnd w:id="208"/>
      <w:bookmarkStart w:id="209" w:name="_Toc184313256"/>
      <w:bookmarkEnd w:id="209"/>
      <w:bookmarkStart w:id="210" w:name="_Toc184310317"/>
      <w:bookmarkEnd w:id="210"/>
      <w:bookmarkStart w:id="211" w:name="_Toc184314424"/>
      <w:bookmarkEnd w:id="211"/>
      <w:bookmarkStart w:id="212" w:name="_Toc184308067"/>
      <w:bookmarkEnd w:id="212"/>
      <w:bookmarkStart w:id="213" w:name="_Toc184314466"/>
      <w:bookmarkEnd w:id="213"/>
      <w:bookmarkStart w:id="214" w:name="_Toc184310309"/>
      <w:bookmarkEnd w:id="214"/>
      <w:bookmarkStart w:id="215" w:name="_Toc184312137"/>
      <w:bookmarkEnd w:id="215"/>
      <w:bookmarkStart w:id="216" w:name="_Toc184313302"/>
      <w:bookmarkEnd w:id="216"/>
      <w:bookmarkStart w:id="217" w:name="_Toc184313295"/>
      <w:bookmarkEnd w:id="217"/>
      <w:bookmarkStart w:id="218" w:name="_Toc184313277"/>
      <w:bookmarkEnd w:id="218"/>
      <w:bookmarkStart w:id="219" w:name="_Toc184308053"/>
      <w:bookmarkEnd w:id="219"/>
      <w:bookmarkStart w:id="220" w:name="_Toc184308039"/>
      <w:bookmarkEnd w:id="220"/>
      <w:bookmarkStart w:id="221" w:name="_Toc184313280"/>
      <w:bookmarkEnd w:id="221"/>
      <w:bookmarkStart w:id="222" w:name="_Toc184313305"/>
      <w:bookmarkEnd w:id="222"/>
      <w:bookmarkStart w:id="223" w:name="_Toc184313260"/>
      <w:bookmarkEnd w:id="223"/>
      <w:bookmarkStart w:id="224" w:name="_Toc184310287"/>
      <w:bookmarkEnd w:id="224"/>
      <w:bookmarkStart w:id="225" w:name="_Toc184310282"/>
      <w:bookmarkEnd w:id="225"/>
      <w:bookmarkStart w:id="226" w:name="_Toc184314480"/>
      <w:bookmarkEnd w:id="226"/>
      <w:bookmarkStart w:id="227" w:name="_Toc184310302"/>
      <w:bookmarkEnd w:id="227"/>
      <w:bookmarkStart w:id="228" w:name="_Toc184308062"/>
      <w:bookmarkEnd w:id="228"/>
      <w:bookmarkStart w:id="229" w:name="_Toc184310340"/>
      <w:bookmarkEnd w:id="229"/>
      <w:bookmarkStart w:id="230" w:name="_Toc184312096"/>
      <w:bookmarkEnd w:id="230"/>
      <w:bookmarkStart w:id="231" w:name="_Toc184308086"/>
      <w:bookmarkEnd w:id="231"/>
      <w:bookmarkStart w:id="232" w:name="_Toc184312119"/>
      <w:bookmarkEnd w:id="232"/>
      <w:bookmarkStart w:id="233" w:name="_Toc184313264"/>
      <w:bookmarkEnd w:id="233"/>
      <w:bookmarkStart w:id="234" w:name="_Toc184310291"/>
      <w:bookmarkEnd w:id="234"/>
      <w:bookmarkStart w:id="235" w:name="_Toc184312099"/>
      <w:bookmarkEnd w:id="235"/>
      <w:bookmarkStart w:id="236" w:name="_Toc184313243"/>
      <w:bookmarkEnd w:id="236"/>
      <w:bookmarkStart w:id="237" w:name="_Toc184308083"/>
      <w:bookmarkEnd w:id="237"/>
      <w:bookmarkStart w:id="238" w:name="_Toc184308049"/>
      <w:bookmarkEnd w:id="238"/>
      <w:bookmarkStart w:id="239" w:name="_Toc184314470"/>
      <w:bookmarkEnd w:id="239"/>
      <w:bookmarkStart w:id="240" w:name="_Toc184314450"/>
      <w:bookmarkEnd w:id="240"/>
      <w:bookmarkStart w:id="241" w:name="_Toc184308037"/>
      <w:bookmarkEnd w:id="241"/>
      <w:bookmarkStart w:id="242" w:name="_Toc184312079"/>
      <w:bookmarkEnd w:id="242"/>
      <w:bookmarkStart w:id="243" w:name="_Toc184312104"/>
      <w:bookmarkEnd w:id="243"/>
      <w:bookmarkStart w:id="244" w:name="_Toc184310326"/>
      <w:bookmarkEnd w:id="244"/>
      <w:bookmarkStart w:id="245" w:name="_Toc184313303"/>
      <w:bookmarkEnd w:id="245"/>
      <w:bookmarkStart w:id="246" w:name="_Toc184310308"/>
      <w:bookmarkEnd w:id="246"/>
      <w:bookmarkStart w:id="247" w:name="_Toc184314413"/>
      <w:bookmarkEnd w:id="247"/>
      <w:bookmarkStart w:id="248" w:name="_Toc184314472"/>
      <w:bookmarkEnd w:id="248"/>
      <w:bookmarkStart w:id="249" w:name="_Toc184310305"/>
      <w:bookmarkEnd w:id="249"/>
      <w:bookmarkStart w:id="250" w:name="_Toc184313304"/>
      <w:bookmarkEnd w:id="250"/>
      <w:bookmarkStart w:id="251" w:name="_Toc184313253"/>
      <w:bookmarkEnd w:id="251"/>
      <w:bookmarkStart w:id="252" w:name="_Toc184308087"/>
      <w:bookmarkEnd w:id="252"/>
      <w:bookmarkStart w:id="253" w:name="_Toc184308093"/>
      <w:bookmarkEnd w:id="253"/>
      <w:bookmarkStart w:id="254" w:name="_Toc184313245"/>
      <w:bookmarkEnd w:id="254"/>
      <w:bookmarkStart w:id="255" w:name="_Toc184314456"/>
      <w:bookmarkEnd w:id="255"/>
      <w:bookmarkStart w:id="256" w:name="_Toc184314458"/>
      <w:bookmarkEnd w:id="256"/>
      <w:bookmarkStart w:id="257" w:name="_Toc184310332"/>
      <w:bookmarkEnd w:id="257"/>
      <w:bookmarkStart w:id="258" w:name="_Toc184313238"/>
      <w:bookmarkEnd w:id="258"/>
      <w:bookmarkStart w:id="259" w:name="_Toc184312114"/>
      <w:bookmarkEnd w:id="259"/>
      <w:bookmarkStart w:id="260" w:name="_Toc184308068"/>
      <w:bookmarkEnd w:id="260"/>
      <w:bookmarkStart w:id="261" w:name="_Toc184308098"/>
      <w:bookmarkEnd w:id="261"/>
      <w:bookmarkStart w:id="262" w:name="_Toc184312093"/>
      <w:bookmarkEnd w:id="262"/>
      <w:bookmarkStart w:id="263" w:name="_Toc184312130"/>
      <w:bookmarkEnd w:id="263"/>
      <w:bookmarkStart w:id="264" w:name="_Toc184312089"/>
      <w:bookmarkEnd w:id="264"/>
      <w:bookmarkStart w:id="265" w:name="_Toc184313241"/>
      <w:bookmarkEnd w:id="265"/>
      <w:bookmarkStart w:id="266" w:name="_Toc184310344"/>
      <w:bookmarkEnd w:id="266"/>
      <w:bookmarkStart w:id="267" w:name="_Toc184310297"/>
      <w:bookmarkEnd w:id="267"/>
      <w:bookmarkStart w:id="268" w:name="_Toc184308052"/>
      <w:bookmarkEnd w:id="268"/>
      <w:bookmarkStart w:id="269" w:name="_Toc184312067"/>
      <w:bookmarkEnd w:id="269"/>
      <w:bookmarkStart w:id="270" w:name="_Toc184313254"/>
      <w:bookmarkEnd w:id="270"/>
      <w:bookmarkStart w:id="271" w:name="_Toc184314435"/>
      <w:bookmarkEnd w:id="271"/>
      <w:bookmarkStart w:id="272" w:name="_Toc184310337"/>
      <w:bookmarkEnd w:id="272"/>
      <w:bookmarkStart w:id="273" w:name="_Toc184308065"/>
      <w:bookmarkEnd w:id="273"/>
      <w:bookmarkStart w:id="274" w:name="_Toc184314433"/>
      <w:bookmarkEnd w:id="274"/>
      <w:bookmarkStart w:id="275" w:name="_Toc184308091"/>
      <w:bookmarkEnd w:id="275"/>
      <w:bookmarkStart w:id="276" w:name="_Toc184313296"/>
      <w:bookmarkEnd w:id="276"/>
      <w:bookmarkStart w:id="277" w:name="_Toc184313293"/>
      <w:bookmarkEnd w:id="277"/>
      <w:bookmarkStart w:id="278" w:name="_Toc184314420"/>
      <w:bookmarkEnd w:id="278"/>
      <w:bookmarkStart w:id="279" w:name="_Toc184313307"/>
      <w:bookmarkEnd w:id="279"/>
      <w:bookmarkStart w:id="280" w:name="_Toc184308069"/>
      <w:bookmarkEnd w:id="280"/>
      <w:bookmarkStart w:id="281" w:name="_Toc184314421"/>
      <w:bookmarkEnd w:id="281"/>
      <w:bookmarkStart w:id="282" w:name="_Toc184310273"/>
      <w:bookmarkEnd w:id="282"/>
      <w:bookmarkStart w:id="283" w:name="_Toc184308046"/>
      <w:bookmarkEnd w:id="283"/>
      <w:bookmarkStart w:id="284" w:name="_Toc184314471"/>
      <w:bookmarkEnd w:id="284"/>
      <w:bookmarkStart w:id="285" w:name="_Toc184312135"/>
      <w:bookmarkEnd w:id="285"/>
      <w:bookmarkStart w:id="286" w:name="_Toc184308041"/>
      <w:bookmarkEnd w:id="286"/>
      <w:bookmarkStart w:id="287" w:name="_Toc184308060"/>
      <w:bookmarkEnd w:id="287"/>
      <w:bookmarkStart w:id="288" w:name="_Toc184308045"/>
      <w:bookmarkEnd w:id="288"/>
      <w:bookmarkStart w:id="289" w:name="_Toc184313268"/>
      <w:bookmarkEnd w:id="289"/>
      <w:bookmarkStart w:id="290" w:name="_Toc184308074"/>
      <w:bookmarkEnd w:id="290"/>
      <w:bookmarkStart w:id="291" w:name="_Toc184313310"/>
      <w:bookmarkEnd w:id="291"/>
      <w:bookmarkStart w:id="292" w:name="_Toc184313309"/>
      <w:bookmarkEnd w:id="292"/>
      <w:bookmarkStart w:id="293" w:name="_Toc184312091"/>
      <w:bookmarkEnd w:id="293"/>
      <w:bookmarkStart w:id="294" w:name="_Toc184313272"/>
      <w:bookmarkEnd w:id="294"/>
      <w:bookmarkStart w:id="295" w:name="_Toc184308061"/>
      <w:bookmarkEnd w:id="295"/>
      <w:bookmarkStart w:id="296" w:name="_Toc184310319"/>
      <w:bookmarkEnd w:id="296"/>
      <w:bookmarkStart w:id="297" w:name="_Toc184313294"/>
      <w:bookmarkEnd w:id="297"/>
      <w:bookmarkStart w:id="298" w:name="_Toc184314425"/>
      <w:bookmarkEnd w:id="298"/>
      <w:bookmarkStart w:id="299" w:name="_Toc184308080"/>
      <w:bookmarkEnd w:id="299"/>
      <w:bookmarkStart w:id="300" w:name="_Toc184312113"/>
      <w:bookmarkEnd w:id="300"/>
      <w:bookmarkStart w:id="301" w:name="_Toc184312070"/>
      <w:bookmarkEnd w:id="301"/>
      <w:bookmarkStart w:id="302" w:name="_Toc184314447"/>
      <w:bookmarkEnd w:id="302"/>
      <w:bookmarkStart w:id="303" w:name="_Toc184313246"/>
      <w:bookmarkEnd w:id="303"/>
      <w:bookmarkStart w:id="304" w:name="_Toc184314439"/>
      <w:bookmarkEnd w:id="304"/>
      <w:bookmarkStart w:id="305" w:name="_Toc184310303"/>
      <w:bookmarkEnd w:id="305"/>
      <w:bookmarkStart w:id="306" w:name="_Toc184312077"/>
      <w:bookmarkEnd w:id="306"/>
      <w:bookmarkStart w:id="307" w:name="_Toc184312101"/>
      <w:bookmarkEnd w:id="307"/>
      <w:bookmarkStart w:id="308" w:name="_Toc184313286"/>
      <w:bookmarkEnd w:id="308"/>
      <w:bookmarkStart w:id="309" w:name="_Toc184308070"/>
      <w:bookmarkEnd w:id="309"/>
      <w:bookmarkStart w:id="310" w:name="_Toc184314453"/>
      <w:bookmarkEnd w:id="310"/>
      <w:bookmarkStart w:id="311" w:name="_Toc184314432"/>
      <w:bookmarkEnd w:id="311"/>
      <w:bookmarkStart w:id="312" w:name="_Toc184308100"/>
      <w:bookmarkEnd w:id="312"/>
      <w:bookmarkStart w:id="313" w:name="_Toc184314446"/>
      <w:bookmarkEnd w:id="313"/>
      <w:bookmarkStart w:id="314" w:name="_Toc184313251"/>
      <w:bookmarkEnd w:id="314"/>
      <w:bookmarkStart w:id="315" w:name="_Toc184308038"/>
      <w:bookmarkEnd w:id="315"/>
      <w:bookmarkStart w:id="316" w:name="_Toc184312139"/>
      <w:bookmarkEnd w:id="316"/>
      <w:bookmarkStart w:id="317" w:name="_Toc184313306"/>
      <w:bookmarkEnd w:id="317"/>
      <w:bookmarkStart w:id="318" w:name="_Toc184310280"/>
      <w:bookmarkEnd w:id="318"/>
      <w:bookmarkStart w:id="319" w:name="_Toc184313300"/>
      <w:bookmarkEnd w:id="319"/>
      <w:bookmarkStart w:id="320" w:name="_Toc184313239"/>
      <w:bookmarkEnd w:id="320"/>
      <w:bookmarkStart w:id="321" w:name="_Toc184308106"/>
      <w:bookmarkEnd w:id="321"/>
      <w:bookmarkStart w:id="322" w:name="_Toc184312095"/>
      <w:bookmarkEnd w:id="322"/>
      <w:bookmarkStart w:id="323" w:name="_Toc184313273"/>
      <w:bookmarkEnd w:id="323"/>
      <w:bookmarkStart w:id="324" w:name="_Toc184314465"/>
      <w:bookmarkEnd w:id="324"/>
      <w:bookmarkStart w:id="325" w:name="_Toc184313258"/>
      <w:bookmarkEnd w:id="325"/>
      <w:bookmarkStart w:id="326" w:name="_Toc184314414"/>
      <w:bookmarkEnd w:id="326"/>
      <w:bookmarkStart w:id="327" w:name="_Toc184308047"/>
      <w:bookmarkEnd w:id="327"/>
      <w:bookmarkStart w:id="328" w:name="_Toc184308088"/>
      <w:bookmarkEnd w:id="328"/>
      <w:bookmarkStart w:id="329" w:name="_Toc184310290"/>
      <w:bookmarkEnd w:id="329"/>
      <w:bookmarkStart w:id="330" w:name="_Toc184313267"/>
      <w:bookmarkEnd w:id="330"/>
      <w:bookmarkStart w:id="331" w:name="_Toc184314467"/>
      <w:bookmarkEnd w:id="331"/>
      <w:bookmarkStart w:id="332" w:name="_Toc184314418"/>
      <w:bookmarkEnd w:id="332"/>
      <w:bookmarkStart w:id="333" w:name="_Toc184312087"/>
      <w:bookmarkEnd w:id="333"/>
      <w:bookmarkStart w:id="334" w:name="_Toc184312106"/>
      <w:bookmarkEnd w:id="334"/>
      <w:bookmarkStart w:id="335" w:name="_Toc184308077"/>
      <w:bookmarkEnd w:id="335"/>
      <w:bookmarkStart w:id="336" w:name="_Toc184308102"/>
      <w:bookmarkEnd w:id="336"/>
      <w:bookmarkStart w:id="337" w:name="_Toc184313291"/>
      <w:bookmarkEnd w:id="337"/>
      <w:bookmarkStart w:id="338" w:name="_Toc184310298"/>
      <w:bookmarkEnd w:id="338"/>
      <w:bookmarkStart w:id="339" w:name="_Toc184313257"/>
      <w:bookmarkEnd w:id="339"/>
      <w:bookmarkStart w:id="340" w:name="_Toc184313252"/>
      <w:bookmarkEnd w:id="340"/>
      <w:bookmarkStart w:id="341" w:name="_Toc184308084"/>
      <w:bookmarkEnd w:id="341"/>
      <w:bookmarkStart w:id="342" w:name="_Toc184314412"/>
      <w:bookmarkEnd w:id="342"/>
      <w:bookmarkStart w:id="343" w:name="_Toc184310296"/>
      <w:bookmarkEnd w:id="343"/>
      <w:bookmarkStart w:id="344" w:name="_Toc184310330"/>
      <w:bookmarkEnd w:id="344"/>
      <w:bookmarkStart w:id="345" w:name="_Toc184314443"/>
      <w:bookmarkEnd w:id="345"/>
      <w:bookmarkStart w:id="346" w:name="_Toc184308095"/>
      <w:bookmarkEnd w:id="346"/>
      <w:bookmarkStart w:id="347" w:name="_Toc184310318"/>
      <w:bookmarkEnd w:id="347"/>
      <w:bookmarkStart w:id="348" w:name="_Toc184313249"/>
      <w:bookmarkEnd w:id="348"/>
      <w:bookmarkStart w:id="349" w:name="_Toc184314442"/>
      <w:bookmarkEnd w:id="349"/>
      <w:bookmarkStart w:id="350" w:name="_Toc184314464"/>
      <w:bookmarkEnd w:id="350"/>
      <w:bookmarkStart w:id="351" w:name="_Toc184308085"/>
      <w:bookmarkEnd w:id="351"/>
      <w:bookmarkStart w:id="352" w:name="_Toc184314451"/>
      <w:bookmarkEnd w:id="352"/>
      <w:bookmarkStart w:id="353" w:name="_Toc184308072"/>
      <w:bookmarkEnd w:id="353"/>
      <w:bookmarkStart w:id="354" w:name="_Toc184310329"/>
      <w:bookmarkEnd w:id="354"/>
      <w:bookmarkStart w:id="355" w:name="_Toc184310314"/>
      <w:bookmarkEnd w:id="355"/>
      <w:bookmarkStart w:id="356" w:name="_Toc184308042"/>
      <w:bookmarkEnd w:id="356"/>
      <w:bookmarkStart w:id="357" w:name="_Toc184308036"/>
      <w:bookmarkEnd w:id="357"/>
      <w:bookmarkStart w:id="358" w:name="_Toc184314440"/>
      <w:bookmarkEnd w:id="358"/>
      <w:bookmarkStart w:id="359" w:name="_Toc184314454"/>
      <w:bookmarkEnd w:id="359"/>
      <w:bookmarkStart w:id="360" w:name="_Toc184310277"/>
      <w:bookmarkEnd w:id="360"/>
      <w:bookmarkStart w:id="361" w:name="_Toc184312083"/>
      <w:bookmarkEnd w:id="361"/>
      <w:bookmarkStart w:id="362" w:name="_Toc184308107"/>
      <w:bookmarkEnd w:id="362"/>
      <w:bookmarkStart w:id="363" w:name="_Toc184314468"/>
      <w:bookmarkEnd w:id="363"/>
      <w:bookmarkStart w:id="364" w:name="_Toc184314434"/>
      <w:bookmarkEnd w:id="364"/>
      <w:bookmarkStart w:id="365" w:name="_Toc184314419"/>
      <w:bookmarkEnd w:id="365"/>
      <w:bookmarkStart w:id="366" w:name="_Toc184310310"/>
      <w:bookmarkEnd w:id="366"/>
      <w:bookmarkStart w:id="367" w:name="_Toc184314441"/>
      <w:bookmarkEnd w:id="367"/>
      <w:bookmarkStart w:id="368" w:name="_Toc184312136"/>
      <w:bookmarkEnd w:id="368"/>
      <w:bookmarkStart w:id="369" w:name="_Toc184314469"/>
      <w:bookmarkEnd w:id="369"/>
      <w:bookmarkStart w:id="370" w:name="_Toc184314448"/>
      <w:bookmarkEnd w:id="370"/>
      <w:bookmarkStart w:id="371" w:name="_Toc184312082"/>
      <w:bookmarkEnd w:id="371"/>
      <w:bookmarkStart w:id="372" w:name="_Toc184314462"/>
      <w:bookmarkEnd w:id="372"/>
      <w:bookmarkStart w:id="373" w:name="_Toc184313248"/>
      <w:bookmarkEnd w:id="373"/>
      <w:bookmarkStart w:id="374" w:name="_Toc184312138"/>
      <w:bookmarkEnd w:id="374"/>
      <w:bookmarkStart w:id="375" w:name="_Toc184310342"/>
      <w:bookmarkEnd w:id="375"/>
      <w:bookmarkStart w:id="376" w:name="_Toc184314438"/>
      <w:bookmarkEnd w:id="376"/>
      <w:bookmarkStart w:id="377" w:name="_Toc184310321"/>
      <w:bookmarkEnd w:id="377"/>
      <w:bookmarkStart w:id="378" w:name="_Toc184310327"/>
      <w:bookmarkEnd w:id="378"/>
      <w:bookmarkStart w:id="379" w:name="_Toc184314445"/>
      <w:bookmarkEnd w:id="379"/>
      <w:bookmarkStart w:id="380" w:name="_Toc184314449"/>
      <w:bookmarkEnd w:id="380"/>
      <w:bookmarkStart w:id="381" w:name="_Toc184312108"/>
      <w:bookmarkEnd w:id="381"/>
      <w:bookmarkStart w:id="382" w:name="_Toc184314463"/>
      <w:bookmarkEnd w:id="382"/>
      <w:bookmarkStart w:id="383" w:name="_Toc184310284"/>
      <w:bookmarkEnd w:id="383"/>
      <w:bookmarkStart w:id="384" w:name="_Toc184308064"/>
      <w:bookmarkEnd w:id="384"/>
      <w:bookmarkStart w:id="385" w:name="_Toc184312090"/>
      <w:bookmarkEnd w:id="385"/>
      <w:bookmarkStart w:id="386" w:name="_Toc184310331"/>
      <w:bookmarkEnd w:id="386"/>
      <w:bookmarkStart w:id="387" w:name="_Toc184310328"/>
      <w:bookmarkEnd w:id="387"/>
      <w:bookmarkStart w:id="388" w:name="_Toc184308078"/>
      <w:bookmarkEnd w:id="388"/>
      <w:bookmarkStart w:id="389" w:name="_Toc184313263"/>
      <w:bookmarkEnd w:id="389"/>
      <w:bookmarkStart w:id="390" w:name="_Toc184314476"/>
      <w:bookmarkEnd w:id="390"/>
      <w:bookmarkStart w:id="391" w:name="_Toc184313242"/>
      <w:bookmarkEnd w:id="391"/>
      <w:bookmarkStart w:id="392" w:name="_Toc184308097"/>
      <w:bookmarkEnd w:id="392"/>
      <w:bookmarkStart w:id="393" w:name="_Toc184314457"/>
      <w:bookmarkEnd w:id="393"/>
      <w:bookmarkStart w:id="394" w:name="_Toc184313269"/>
      <w:bookmarkEnd w:id="394"/>
      <w:bookmarkStart w:id="395" w:name="_Toc184308059"/>
      <w:bookmarkEnd w:id="395"/>
      <w:r>
        <w:rPr>
          <w:rFonts w:hint="eastAsia" w:ascii="宋体" w:hAnsi="宋体" w:cs="宋体"/>
          <w:b/>
          <w:color w:val="auto"/>
          <w:sz w:val="36"/>
          <w:szCs w:val="36"/>
          <w:highlight w:val="none"/>
        </w:rPr>
        <w:t>评标办法</w:t>
      </w:r>
    </w:p>
    <w:p w14:paraId="17A7C8E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788"/>
        <w:gridCol w:w="579"/>
        <w:gridCol w:w="1008"/>
        <w:gridCol w:w="1427"/>
      </w:tblGrid>
      <w:tr w14:paraId="0D5B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16" w:type="dxa"/>
            <w:noWrap w:val="0"/>
            <w:vAlign w:val="center"/>
          </w:tcPr>
          <w:p w14:paraId="32B8CF0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5788" w:type="dxa"/>
            <w:noWrap w:val="0"/>
            <w:vAlign w:val="center"/>
          </w:tcPr>
          <w:p w14:paraId="43CB5EC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579" w:type="dxa"/>
            <w:noWrap w:val="0"/>
            <w:vAlign w:val="center"/>
          </w:tcPr>
          <w:p w14:paraId="66945ED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1008" w:type="dxa"/>
            <w:noWrap w:val="0"/>
            <w:vAlign w:val="center"/>
          </w:tcPr>
          <w:p w14:paraId="25031BFD">
            <w:pPr>
              <w:snapToGrid w:val="0"/>
              <w:spacing w:line="288"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427" w:type="dxa"/>
            <w:noWrap w:val="0"/>
            <w:vAlign w:val="top"/>
          </w:tcPr>
          <w:p w14:paraId="28A283A2">
            <w:pPr>
              <w:snapToGrid w:val="0"/>
              <w:spacing w:line="288"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3057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518" w:type="dxa"/>
            <w:gridSpan w:val="5"/>
            <w:noWrap w:val="0"/>
            <w:vAlign w:val="center"/>
          </w:tcPr>
          <w:p w14:paraId="0FCE12FA">
            <w:pPr>
              <w:snapToGrid w:val="0"/>
              <w:spacing w:line="288" w:lineRule="auto"/>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商务部分</w:t>
            </w:r>
          </w:p>
        </w:tc>
      </w:tr>
      <w:tr w14:paraId="39CF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05D144A3">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788" w:type="dxa"/>
            <w:noWrap w:val="0"/>
            <w:vAlign w:val="top"/>
          </w:tcPr>
          <w:p w14:paraId="06121577">
            <w:pPr>
              <w:pStyle w:val="958"/>
              <w:spacing w:before="67" w:line="307" w:lineRule="auto"/>
              <w:ind w:left="107" w:right="85"/>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项目负责人</w:t>
            </w:r>
            <w:r>
              <w:rPr>
                <w:rFonts w:hint="eastAsia" w:asciiTheme="minorEastAsia" w:hAnsiTheme="minorEastAsia" w:eastAsiaTheme="minorEastAsia" w:cstheme="minorEastAsia"/>
                <w:color w:val="auto"/>
                <w:spacing w:val="-3"/>
                <w:sz w:val="24"/>
                <w:szCs w:val="24"/>
                <w:highlight w:val="none"/>
              </w:rPr>
              <w:t>完成过防潮（洪）标准为百年一遇及以上或工程等别为 I 等或主要建筑物级别为 1 级海塘（堤防）工程施工监理业绩的，每个得</w:t>
            </w:r>
            <w:r>
              <w:rPr>
                <w:rFonts w:hint="eastAsia" w:asciiTheme="minorEastAsia" w:hAnsiTheme="minorEastAsia" w:eastAsiaTheme="minorEastAsia" w:cstheme="minorEastAsia"/>
                <w:color w:val="auto"/>
                <w:spacing w:val="-3"/>
                <w:sz w:val="24"/>
                <w:szCs w:val="24"/>
                <w:highlight w:val="none"/>
                <w:lang w:val="en-US" w:eastAsia="zh-CN"/>
              </w:rPr>
              <w:t>0.2</w:t>
            </w:r>
            <w:r>
              <w:rPr>
                <w:rFonts w:hint="eastAsia" w:asciiTheme="minorEastAsia" w:hAnsiTheme="minorEastAsia" w:eastAsiaTheme="minorEastAsia" w:cstheme="minorEastAsia"/>
                <w:color w:val="auto"/>
                <w:spacing w:val="-3"/>
                <w:sz w:val="24"/>
                <w:szCs w:val="24"/>
                <w:highlight w:val="none"/>
              </w:rPr>
              <w:t>分，</w:t>
            </w:r>
          </w:p>
          <w:p w14:paraId="6224C5D0">
            <w:pPr>
              <w:pStyle w:val="958"/>
              <w:spacing w:before="67" w:line="307" w:lineRule="auto"/>
              <w:ind w:left="107" w:leftChars="0" w:right="85"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最多得</w:t>
            </w:r>
            <w:r>
              <w:rPr>
                <w:rFonts w:hint="eastAsia" w:asciiTheme="minorEastAsia" w:hAnsiTheme="minorEastAsia" w:eastAsiaTheme="minorEastAsia" w:cstheme="minorEastAsia"/>
                <w:color w:val="auto"/>
                <w:spacing w:val="-3"/>
                <w:sz w:val="24"/>
                <w:szCs w:val="24"/>
                <w:highlight w:val="none"/>
                <w:lang w:val="en-US" w:eastAsia="zh-CN"/>
              </w:rPr>
              <w:t>0.6</w:t>
            </w:r>
            <w:r>
              <w:rPr>
                <w:rFonts w:hint="eastAsia" w:asciiTheme="minorEastAsia" w:hAnsiTheme="minorEastAsia" w:eastAsiaTheme="minorEastAsia" w:cstheme="minorEastAsia"/>
                <w:color w:val="auto"/>
                <w:spacing w:val="-3"/>
                <w:sz w:val="24"/>
                <w:szCs w:val="24"/>
                <w:highlight w:val="none"/>
              </w:rPr>
              <w:t>分。注：同一项目仅计一次分。</w:t>
            </w:r>
            <w:r>
              <w:rPr>
                <w:rFonts w:hint="eastAsia" w:asciiTheme="minorEastAsia" w:hAnsiTheme="minorEastAsia" w:eastAsiaTheme="minorEastAsia" w:cstheme="minorEastAsia"/>
                <w:b/>
                <w:color w:val="auto"/>
                <w:sz w:val="24"/>
                <w:szCs w:val="24"/>
                <w:highlight w:val="none"/>
              </w:rPr>
              <w:t>【证明材料：①监理合同，② 项目法人或行政主管部门出具的完（竣）工验收鉴定书或质量监督机构出具的完（竣）工质量评定报告。①、②均需提供，上述业绩证明材料无法直接认定工程规模的，还应提供有关部门的初步设计批复的复印件为依据。】</w:t>
            </w:r>
          </w:p>
        </w:tc>
        <w:tc>
          <w:tcPr>
            <w:tcW w:w="579" w:type="dxa"/>
            <w:noWrap w:val="0"/>
            <w:vAlign w:val="center"/>
          </w:tcPr>
          <w:p w14:paraId="7EA2ABEF">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0.6</w:t>
            </w:r>
          </w:p>
        </w:tc>
        <w:tc>
          <w:tcPr>
            <w:tcW w:w="1008" w:type="dxa"/>
            <w:noWrap w:val="0"/>
            <w:vAlign w:val="center"/>
          </w:tcPr>
          <w:p w14:paraId="7830CA2C">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1427" w:type="dxa"/>
            <w:noWrap w:val="0"/>
            <w:vAlign w:val="top"/>
          </w:tcPr>
          <w:p w14:paraId="1556DD4B">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099D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3F59F56C">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788" w:type="dxa"/>
            <w:noWrap w:val="0"/>
            <w:vAlign w:val="top"/>
          </w:tcPr>
          <w:p w14:paraId="42E3E486">
            <w:pPr>
              <w:pStyle w:val="958"/>
              <w:spacing w:before="67" w:line="307" w:lineRule="auto"/>
              <w:ind w:left="107" w:right="8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投标人完成过防潮</w:t>
            </w:r>
            <w:r>
              <w:rPr>
                <w:rFonts w:hint="eastAsia" w:asciiTheme="minorEastAsia" w:hAnsiTheme="minorEastAsia" w:eastAsiaTheme="minorEastAsia" w:cstheme="minorEastAsia"/>
                <w:color w:val="auto"/>
                <w:sz w:val="24"/>
                <w:szCs w:val="24"/>
                <w:highlight w:val="none"/>
              </w:rPr>
              <w:t>（洪</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pacing w:val="-6"/>
                <w:sz w:val="24"/>
                <w:szCs w:val="24"/>
                <w:highlight w:val="none"/>
              </w:rPr>
              <w:t xml:space="preserve">标准为百年一遇及以上或工程等别为 </w:t>
            </w:r>
            <w:r>
              <w:rPr>
                <w:rFonts w:hint="eastAsia" w:asciiTheme="minorEastAsia" w:hAnsiTheme="minorEastAsia" w:eastAsiaTheme="minorEastAsia" w:cstheme="minorEastAsia"/>
                <w:color w:val="auto"/>
                <w:sz w:val="24"/>
                <w:szCs w:val="24"/>
                <w:highlight w:val="none"/>
              </w:rPr>
              <w:t>I</w:t>
            </w:r>
            <w:r>
              <w:rPr>
                <w:rFonts w:hint="eastAsia" w:asciiTheme="minorEastAsia" w:hAnsiTheme="minorEastAsia" w:eastAsiaTheme="minorEastAsia" w:cstheme="minorEastAsia"/>
                <w:color w:val="auto"/>
                <w:spacing w:val="-12"/>
                <w:sz w:val="24"/>
                <w:szCs w:val="24"/>
                <w:highlight w:val="none"/>
              </w:rPr>
              <w:t xml:space="preserve"> 等或主要建筑物级别为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pacing w:val="-14"/>
                <w:sz w:val="24"/>
                <w:szCs w:val="24"/>
                <w:highlight w:val="none"/>
              </w:rPr>
              <w:t xml:space="preserve"> 级海塘</w:t>
            </w:r>
            <w:r>
              <w:rPr>
                <w:rFonts w:hint="eastAsia" w:asciiTheme="minorEastAsia" w:hAnsiTheme="minorEastAsia" w:eastAsiaTheme="minorEastAsia" w:cstheme="minorEastAsia"/>
                <w:color w:val="auto"/>
                <w:sz w:val="24"/>
                <w:szCs w:val="24"/>
                <w:highlight w:val="none"/>
              </w:rPr>
              <w:t>（堤防</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7"/>
                <w:sz w:val="24"/>
                <w:szCs w:val="24"/>
                <w:highlight w:val="none"/>
              </w:rPr>
              <w:t>工程施工监理业绩的，每个得</w:t>
            </w:r>
            <w:r>
              <w:rPr>
                <w:rFonts w:hint="eastAsia" w:asciiTheme="minorEastAsia" w:hAnsiTheme="minorEastAsia" w:eastAsiaTheme="minorEastAsia" w:cstheme="minorEastAsia"/>
                <w:color w:val="auto"/>
                <w:spacing w:val="-7"/>
                <w:sz w:val="24"/>
                <w:szCs w:val="24"/>
                <w:highlight w:val="none"/>
                <w:lang w:val="en-US" w:eastAsia="zh-CN"/>
              </w:rPr>
              <w:t>0.2</w:t>
            </w:r>
            <w:r>
              <w:rPr>
                <w:rFonts w:hint="eastAsia" w:asciiTheme="minorEastAsia" w:hAnsiTheme="minorEastAsia" w:eastAsiaTheme="minorEastAsia" w:cstheme="minorEastAsia"/>
                <w:color w:val="auto"/>
                <w:spacing w:val="-18"/>
                <w:sz w:val="24"/>
                <w:szCs w:val="24"/>
                <w:highlight w:val="none"/>
              </w:rPr>
              <w:t>分，</w:t>
            </w:r>
          </w:p>
          <w:p w14:paraId="7C4F6F1A">
            <w:pPr>
              <w:pStyle w:val="958"/>
              <w:spacing w:line="307" w:lineRule="auto"/>
              <w:ind w:left="107" w:leftChars="0" w:right="93"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最多得</w:t>
            </w:r>
            <w:r>
              <w:rPr>
                <w:rFonts w:hint="eastAsia" w:asciiTheme="minorEastAsia" w:hAnsiTheme="minorEastAsia" w:eastAsiaTheme="minorEastAsia" w:cstheme="minorEastAsia"/>
                <w:color w:val="auto"/>
                <w:spacing w:val="-12"/>
                <w:sz w:val="24"/>
                <w:szCs w:val="24"/>
                <w:highlight w:val="none"/>
                <w:lang w:val="en-US" w:eastAsia="zh-CN"/>
              </w:rPr>
              <w:t>0.4</w:t>
            </w:r>
            <w:r>
              <w:rPr>
                <w:rFonts w:hint="eastAsia" w:asciiTheme="minorEastAsia" w:hAnsiTheme="minorEastAsia" w:eastAsiaTheme="minorEastAsia" w:cstheme="minorEastAsia"/>
                <w:color w:val="auto"/>
                <w:spacing w:val="-16"/>
                <w:sz w:val="24"/>
                <w:szCs w:val="24"/>
                <w:highlight w:val="none"/>
              </w:rPr>
              <w:t>分。注：同一项目仅计一次分。</w:t>
            </w:r>
            <w:r>
              <w:rPr>
                <w:rFonts w:hint="eastAsia" w:asciiTheme="minorEastAsia" w:hAnsiTheme="minorEastAsia" w:eastAsiaTheme="minorEastAsia" w:cstheme="minorEastAsia"/>
                <w:b/>
                <w:color w:val="auto"/>
                <w:spacing w:val="-4"/>
                <w:sz w:val="24"/>
                <w:szCs w:val="24"/>
                <w:highlight w:val="none"/>
              </w:rPr>
              <w:t xml:space="preserve">【证明材料：①监理合同，② </w:t>
            </w:r>
            <w:r>
              <w:rPr>
                <w:rFonts w:hint="eastAsia" w:asciiTheme="minorEastAsia" w:hAnsiTheme="minorEastAsia" w:eastAsiaTheme="minorEastAsia" w:cstheme="minorEastAsia"/>
                <w:b/>
                <w:color w:val="auto"/>
                <w:spacing w:val="-2"/>
                <w:sz w:val="24"/>
                <w:szCs w:val="24"/>
                <w:highlight w:val="none"/>
              </w:rPr>
              <w:t>项目法人或行政主管部门出具的完</w:t>
            </w:r>
            <w:r>
              <w:rPr>
                <w:rFonts w:hint="eastAsia" w:asciiTheme="minorEastAsia" w:hAnsiTheme="minorEastAsia" w:eastAsiaTheme="minorEastAsia" w:cstheme="minorEastAsia"/>
                <w:b/>
                <w:color w:val="auto"/>
                <w:sz w:val="24"/>
                <w:szCs w:val="24"/>
                <w:highlight w:val="none"/>
              </w:rPr>
              <w:t>（竣</w:t>
            </w:r>
            <w:r>
              <w:rPr>
                <w:rFonts w:hint="eastAsia" w:asciiTheme="minorEastAsia" w:hAnsiTheme="minorEastAsia" w:eastAsiaTheme="minorEastAsia" w:cstheme="minorEastAsia"/>
                <w:b/>
                <w:color w:val="auto"/>
                <w:spacing w:val="-17"/>
                <w:sz w:val="24"/>
                <w:szCs w:val="24"/>
                <w:highlight w:val="none"/>
              </w:rPr>
              <w:t>）</w:t>
            </w:r>
            <w:r>
              <w:rPr>
                <w:rFonts w:hint="eastAsia" w:asciiTheme="minorEastAsia" w:hAnsiTheme="minorEastAsia" w:eastAsiaTheme="minorEastAsia" w:cstheme="minorEastAsia"/>
                <w:b/>
                <w:color w:val="auto"/>
                <w:spacing w:val="-1"/>
                <w:sz w:val="24"/>
                <w:szCs w:val="24"/>
                <w:highlight w:val="none"/>
              </w:rPr>
              <w:t>工验收鉴定书或质量监督机构</w:t>
            </w:r>
            <w:r>
              <w:rPr>
                <w:rFonts w:hint="eastAsia" w:asciiTheme="minorEastAsia" w:hAnsiTheme="minorEastAsia" w:eastAsiaTheme="minorEastAsia" w:cstheme="minorEastAsia"/>
                <w:b/>
                <w:color w:val="auto"/>
                <w:spacing w:val="-2"/>
                <w:sz w:val="24"/>
                <w:szCs w:val="24"/>
                <w:highlight w:val="none"/>
              </w:rPr>
              <w:t>出具的完</w:t>
            </w:r>
            <w:r>
              <w:rPr>
                <w:rFonts w:hint="eastAsia" w:asciiTheme="minorEastAsia" w:hAnsiTheme="minorEastAsia" w:eastAsiaTheme="minorEastAsia" w:cstheme="minorEastAsia"/>
                <w:b/>
                <w:color w:val="auto"/>
                <w:sz w:val="24"/>
                <w:szCs w:val="24"/>
                <w:highlight w:val="none"/>
              </w:rPr>
              <w:t>（竣</w:t>
            </w:r>
            <w:r>
              <w:rPr>
                <w:rFonts w:hint="eastAsia" w:asciiTheme="minorEastAsia" w:hAnsiTheme="minorEastAsia" w:eastAsiaTheme="minorEastAsia" w:cstheme="minorEastAsia"/>
                <w:b/>
                <w:color w:val="auto"/>
                <w:spacing w:val="-8"/>
                <w:sz w:val="24"/>
                <w:szCs w:val="24"/>
                <w:highlight w:val="none"/>
              </w:rPr>
              <w:t>）</w:t>
            </w:r>
            <w:r>
              <w:rPr>
                <w:rFonts w:hint="eastAsia" w:asciiTheme="minorEastAsia" w:hAnsiTheme="minorEastAsia" w:eastAsiaTheme="minorEastAsia" w:cstheme="minorEastAsia"/>
                <w:b/>
                <w:color w:val="auto"/>
                <w:spacing w:val="-4"/>
                <w:sz w:val="24"/>
                <w:szCs w:val="24"/>
                <w:highlight w:val="none"/>
              </w:rPr>
              <w:t>工质量评定报告。①、②均需提供，上述业绩证明材料</w:t>
            </w:r>
            <w:r>
              <w:rPr>
                <w:rFonts w:hint="eastAsia" w:asciiTheme="minorEastAsia" w:hAnsiTheme="minorEastAsia" w:eastAsiaTheme="minorEastAsia" w:cstheme="minorEastAsia"/>
                <w:b/>
                <w:color w:val="auto"/>
                <w:spacing w:val="-4"/>
                <w:w w:val="95"/>
                <w:sz w:val="24"/>
                <w:szCs w:val="24"/>
                <w:highlight w:val="none"/>
              </w:rPr>
              <w:t>无法直接认定工程规模的，还应提供有关部门的初步设计批复的复印件</w:t>
            </w:r>
            <w:r>
              <w:rPr>
                <w:rFonts w:hint="eastAsia" w:asciiTheme="minorEastAsia" w:hAnsiTheme="minorEastAsia" w:eastAsiaTheme="minorEastAsia" w:cstheme="minorEastAsia"/>
                <w:b/>
                <w:color w:val="auto"/>
                <w:sz w:val="24"/>
                <w:szCs w:val="24"/>
                <w:highlight w:val="none"/>
              </w:rPr>
              <w:t>为依据。】</w:t>
            </w:r>
          </w:p>
        </w:tc>
        <w:tc>
          <w:tcPr>
            <w:tcW w:w="579" w:type="dxa"/>
            <w:noWrap w:val="0"/>
            <w:vAlign w:val="center"/>
          </w:tcPr>
          <w:p w14:paraId="7341063E">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0.4</w:t>
            </w:r>
          </w:p>
        </w:tc>
        <w:tc>
          <w:tcPr>
            <w:tcW w:w="1008" w:type="dxa"/>
            <w:noWrap w:val="0"/>
            <w:vAlign w:val="center"/>
          </w:tcPr>
          <w:p w14:paraId="4FDD8A5F">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1427" w:type="dxa"/>
            <w:noWrap w:val="0"/>
            <w:vAlign w:val="top"/>
          </w:tcPr>
          <w:p w14:paraId="0DD99E9F">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1649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4A35C928">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5788" w:type="dxa"/>
            <w:noWrap w:val="0"/>
            <w:vAlign w:val="top"/>
          </w:tcPr>
          <w:p w14:paraId="591304AE">
            <w:pPr>
              <w:pStyle w:val="958"/>
              <w:spacing w:before="37" w:line="273" w:lineRule="auto"/>
              <w:ind w:left="107" w:leftChars="0" w:right="92"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拟派项目监理人员</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
                <w:sz w:val="24"/>
                <w:szCs w:val="24"/>
                <w:highlight w:val="none"/>
              </w:rPr>
              <w:t>除项目总监外</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3"/>
                <w:sz w:val="24"/>
                <w:szCs w:val="24"/>
                <w:highlight w:val="none"/>
              </w:rPr>
              <w:t>配置水工专业、</w:t>
            </w:r>
            <w:r>
              <w:rPr>
                <w:rFonts w:hint="eastAsia" w:asciiTheme="minorEastAsia" w:hAnsiTheme="minorEastAsia" w:eastAsiaTheme="minorEastAsia" w:cstheme="minorEastAsia"/>
                <w:b/>
                <w:color w:val="auto"/>
                <w:spacing w:val="-5"/>
                <w:sz w:val="24"/>
                <w:szCs w:val="24"/>
                <w:highlight w:val="none"/>
              </w:rPr>
              <w:t>水利工程造价专业、</w:t>
            </w:r>
            <w:r>
              <w:rPr>
                <w:rFonts w:hint="eastAsia" w:asciiTheme="minorEastAsia" w:hAnsiTheme="minorEastAsia" w:eastAsiaTheme="minorEastAsia" w:cstheme="minorEastAsia"/>
                <w:color w:val="auto"/>
                <w:spacing w:val="-3"/>
                <w:sz w:val="24"/>
                <w:szCs w:val="24"/>
                <w:highlight w:val="none"/>
              </w:rPr>
              <w:t>地质</w:t>
            </w:r>
            <w:r>
              <w:rPr>
                <w:rFonts w:hint="eastAsia" w:asciiTheme="minorEastAsia" w:hAnsiTheme="minorEastAsia" w:eastAsiaTheme="minorEastAsia" w:cstheme="minorEastAsia"/>
                <w:color w:val="auto"/>
                <w:spacing w:val="-2"/>
                <w:sz w:val="24"/>
                <w:szCs w:val="24"/>
                <w:highlight w:val="none"/>
              </w:rPr>
              <w:t>专业、工程测量专业监理工程师的，每个专业得</w:t>
            </w:r>
            <w:r>
              <w:rPr>
                <w:rFonts w:hint="eastAsia" w:asciiTheme="minorEastAsia" w:hAnsiTheme="minorEastAsia" w:eastAsiaTheme="minorEastAsia" w:cstheme="minorEastAsia"/>
                <w:color w:val="auto"/>
                <w:spacing w:val="-2"/>
                <w:sz w:val="24"/>
                <w:szCs w:val="24"/>
                <w:highlight w:val="none"/>
                <w:lang w:val="en-US" w:eastAsia="zh-CN"/>
              </w:rPr>
              <w:t>1</w:t>
            </w:r>
            <w:r>
              <w:rPr>
                <w:rFonts w:hint="eastAsia" w:asciiTheme="minorEastAsia" w:hAnsiTheme="minorEastAsia" w:eastAsiaTheme="minorEastAsia" w:cstheme="minorEastAsia"/>
                <w:color w:val="auto"/>
                <w:spacing w:val="-2"/>
                <w:sz w:val="24"/>
                <w:szCs w:val="24"/>
                <w:highlight w:val="none"/>
              </w:rPr>
              <w:t>分；本项最高得</w:t>
            </w: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分。（注：每个人员只计 1 次分。）</w:t>
            </w:r>
            <w:r>
              <w:rPr>
                <w:rFonts w:hint="eastAsia" w:asciiTheme="minorEastAsia" w:hAnsiTheme="minorEastAsia" w:eastAsiaTheme="minorEastAsia" w:cstheme="minorEastAsia"/>
                <w:b/>
                <w:color w:val="auto"/>
                <w:spacing w:val="-4"/>
                <w:sz w:val="24"/>
                <w:szCs w:val="24"/>
                <w:highlight w:val="none"/>
              </w:rPr>
              <w:t>【证明材料：监理工程师以全国水利工程建设监理工</w:t>
            </w:r>
            <w:r>
              <w:rPr>
                <w:rFonts w:hint="eastAsia" w:asciiTheme="minorEastAsia" w:hAnsiTheme="minorEastAsia" w:eastAsiaTheme="minorEastAsia" w:cstheme="minorEastAsia"/>
                <w:b/>
                <w:color w:val="auto"/>
                <w:spacing w:val="-5"/>
                <w:sz w:val="24"/>
                <w:szCs w:val="24"/>
                <w:highlight w:val="none"/>
              </w:rPr>
              <w:t>程师资格证书为准，水利工程造价工程师以全国水利工程造价工程师资</w:t>
            </w:r>
            <w:r>
              <w:rPr>
                <w:rFonts w:hint="eastAsia" w:asciiTheme="minorEastAsia" w:hAnsiTheme="minorEastAsia" w:eastAsiaTheme="minorEastAsia" w:cstheme="minorEastAsia"/>
                <w:b/>
                <w:color w:val="auto"/>
                <w:sz w:val="24"/>
                <w:szCs w:val="24"/>
                <w:highlight w:val="none"/>
              </w:rPr>
              <w:t>格证书为准。】</w:t>
            </w:r>
          </w:p>
        </w:tc>
        <w:tc>
          <w:tcPr>
            <w:tcW w:w="579" w:type="dxa"/>
            <w:noWrap w:val="0"/>
            <w:vAlign w:val="center"/>
          </w:tcPr>
          <w:p w14:paraId="7EFE7BB2">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008" w:type="dxa"/>
            <w:noWrap w:val="0"/>
            <w:vAlign w:val="center"/>
          </w:tcPr>
          <w:p w14:paraId="425D22BE">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1427" w:type="dxa"/>
            <w:noWrap w:val="0"/>
            <w:vAlign w:val="top"/>
          </w:tcPr>
          <w:p w14:paraId="1899D601">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53E2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8" w:type="dxa"/>
            <w:gridSpan w:val="5"/>
            <w:noWrap w:val="0"/>
            <w:vAlign w:val="center"/>
          </w:tcPr>
          <w:p w14:paraId="09A330DE">
            <w:pPr>
              <w:snapToGrid w:val="0"/>
              <w:spacing w:line="288"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技术部分</w:t>
            </w:r>
          </w:p>
        </w:tc>
      </w:tr>
      <w:tr w14:paraId="22CE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16" w:type="dxa"/>
            <w:noWrap w:val="0"/>
            <w:vAlign w:val="center"/>
          </w:tcPr>
          <w:p w14:paraId="31C5B5AB">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788" w:type="dxa"/>
            <w:shd w:val="clear" w:color="auto" w:fill="auto"/>
            <w:noWrap w:val="0"/>
            <w:vAlign w:val="center"/>
          </w:tcPr>
          <w:p w14:paraId="20035184">
            <w:pPr>
              <w:spacing w:line="340" w:lineRule="exact"/>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rPr>
              <w:t>监理大纲整体情况</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监理大纲内容的针对性、完整性、可行性。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分，评分范围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,5,4,3,2,1,0)</w:t>
            </w:r>
          </w:p>
        </w:tc>
        <w:tc>
          <w:tcPr>
            <w:tcW w:w="579" w:type="dxa"/>
            <w:noWrap w:val="0"/>
            <w:vAlign w:val="center"/>
          </w:tcPr>
          <w:p w14:paraId="065F6ABD">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008" w:type="dxa"/>
            <w:noWrap w:val="0"/>
            <w:vAlign w:val="center"/>
          </w:tcPr>
          <w:p w14:paraId="66DD8165">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3A26D43A">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053E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4FF3C0FB">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788" w:type="dxa"/>
            <w:shd w:val="clear" w:color="auto" w:fill="auto"/>
            <w:noWrap w:val="0"/>
            <w:vAlign w:val="center"/>
          </w:tcPr>
          <w:p w14:paraId="0F831C13">
            <w:pPr>
              <w:spacing w:line="340" w:lineRule="exact"/>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rPr>
              <w:t>监理组织机构及资源配置</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项目监理机构和人员配置情况。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分，评分范围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,5,4,3,2,1,0)</w:t>
            </w:r>
          </w:p>
        </w:tc>
        <w:tc>
          <w:tcPr>
            <w:tcW w:w="579" w:type="dxa"/>
            <w:noWrap w:val="0"/>
            <w:vAlign w:val="center"/>
          </w:tcPr>
          <w:p w14:paraId="5FD8242C">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008" w:type="dxa"/>
            <w:noWrap w:val="0"/>
            <w:vAlign w:val="center"/>
          </w:tcPr>
          <w:p w14:paraId="685ED776">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48FB3E14">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0CD3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66D2A3DF">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5788" w:type="dxa"/>
            <w:noWrap w:val="0"/>
            <w:vAlign w:val="center"/>
          </w:tcPr>
          <w:p w14:paraId="40357DD1">
            <w:pPr>
              <w:spacing w:line="3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检测仪器和工具的配备情况：</w:t>
            </w:r>
            <w:r>
              <w:rPr>
                <w:rFonts w:hint="eastAsia" w:asciiTheme="minorEastAsia" w:hAnsiTheme="minorEastAsia" w:eastAsiaTheme="minorEastAsia" w:cstheme="minorEastAsia"/>
                <w:color w:val="auto"/>
                <w:sz w:val="24"/>
                <w:szCs w:val="24"/>
                <w:highlight w:val="none"/>
              </w:rPr>
              <w:t>检测仪器和工具配备是否适用、满足工程需要。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3E917ACC">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67FF2D21">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025F74C1">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4D40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2820BF97">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5788" w:type="dxa"/>
            <w:noWrap w:val="0"/>
            <w:vAlign w:val="center"/>
          </w:tcPr>
          <w:p w14:paraId="41C0FB8A">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监理日常各项工作制度、监理人员工作纪律</w:t>
            </w:r>
            <w:r>
              <w:rPr>
                <w:rFonts w:hint="eastAsia" w:asciiTheme="minorEastAsia" w:hAnsiTheme="minorEastAsia" w:eastAsiaTheme="minorEastAsia" w:cstheme="minorEastAsia"/>
                <w:color w:val="auto"/>
                <w:sz w:val="24"/>
                <w:szCs w:val="24"/>
                <w:highlight w:val="none"/>
              </w:rPr>
              <w:t>：制度、纪律是否合法、规范、完整、合理。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56939587">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08" w:type="dxa"/>
            <w:noWrap w:val="0"/>
            <w:vAlign w:val="center"/>
          </w:tcPr>
          <w:p w14:paraId="756698F8">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13DAC112">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275B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281CCAF1">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5788" w:type="dxa"/>
            <w:noWrap w:val="0"/>
            <w:vAlign w:val="center"/>
          </w:tcPr>
          <w:p w14:paraId="5408CCAA">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施工各阶段监理工作程序：</w:t>
            </w:r>
            <w:r>
              <w:rPr>
                <w:rFonts w:hint="eastAsia" w:asciiTheme="minorEastAsia" w:hAnsiTheme="minorEastAsia" w:eastAsiaTheme="minorEastAsia" w:cstheme="minorEastAsia"/>
                <w:color w:val="auto"/>
                <w:sz w:val="24"/>
                <w:szCs w:val="24"/>
                <w:highlight w:val="none"/>
              </w:rPr>
              <w:t>流程是否合法、规范、完整、合理。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7803CF6B">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5A8F3FDD">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74399D69">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72B0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462C39BF">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5788" w:type="dxa"/>
            <w:shd w:val="clear" w:color="auto" w:fill="auto"/>
            <w:noWrap w:val="0"/>
            <w:vAlign w:val="center"/>
          </w:tcPr>
          <w:p w14:paraId="5ECC1846">
            <w:pPr>
              <w:spacing w:line="340" w:lineRule="exact"/>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rPr>
              <w:t>整体监理服务方案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服务方案是否具有一定的前瞻性，对项目建设思路、原则、特点、技术要求的理解和监理要点情况，对技术方案的表述是否详细准确，条理是否合理可行。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分，评分范围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,5,4,3,2,1,0)</w:t>
            </w:r>
          </w:p>
        </w:tc>
        <w:tc>
          <w:tcPr>
            <w:tcW w:w="579" w:type="dxa"/>
            <w:shd w:val="clear" w:color="auto" w:fill="auto"/>
            <w:noWrap w:val="0"/>
            <w:vAlign w:val="center"/>
          </w:tcPr>
          <w:p w14:paraId="2C141E43">
            <w:pPr>
              <w:snapToGrid w:val="0"/>
              <w:spacing w:line="288"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1008" w:type="dxa"/>
            <w:shd w:val="clear" w:color="auto" w:fill="auto"/>
            <w:noWrap w:val="0"/>
            <w:vAlign w:val="center"/>
          </w:tcPr>
          <w:p w14:paraId="51609331">
            <w:pPr>
              <w:snapToGrid w:val="0"/>
              <w:spacing w:line="288"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0BAABDA6">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0490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23AD15C2">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5788" w:type="dxa"/>
            <w:noWrap w:val="0"/>
            <w:vAlign w:val="center"/>
          </w:tcPr>
          <w:p w14:paraId="1217D797">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质量控制方案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根据供应商提供的质量控制方案内容的全面性、完整性，以及提出的质量控制方法和措施的合理性和可行性。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5DFCAF38">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3476770F">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4D0EA49C">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3C45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7A2073B5">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5788" w:type="dxa"/>
            <w:noWrap w:val="0"/>
            <w:vAlign w:val="center"/>
          </w:tcPr>
          <w:p w14:paraId="14680209">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进度控制方案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根据供应商提供的进度控制方案内容的全面性、完整性，针对施工进度提供的进度控制措施是否合理可行。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1BB767B8">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0E8EEDEB">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6D90E6DA">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4228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4D5459E9">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5788" w:type="dxa"/>
            <w:noWrap w:val="0"/>
            <w:vAlign w:val="center"/>
          </w:tcPr>
          <w:p w14:paraId="5DF049AB">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投资控制方案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根据供应商提供的投资控制方案内容全面性、完整性，以及针对本项目有可能存在的投资风险分析和制定防范性对策的合理性、可行性。</w:t>
            </w:r>
          </w:p>
          <w:p w14:paraId="3B7ED3A7">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3CFFFAAA">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4AED3D83">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1427" w:type="dxa"/>
            <w:noWrap w:val="0"/>
            <w:vAlign w:val="top"/>
          </w:tcPr>
          <w:p w14:paraId="78D185C4">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6290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04832FB7">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5788" w:type="dxa"/>
            <w:noWrap w:val="0"/>
            <w:vAlign w:val="center"/>
          </w:tcPr>
          <w:p w14:paraId="5C02D899">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变更控制方案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根据供应商对工作范围进行严格把关和控制，对合理变更进行规范化管理，管理措施得当并能提供合理化建议等内容。</w:t>
            </w:r>
          </w:p>
          <w:p w14:paraId="1E08E703">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28FA2502">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527F043A">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318E7AEF">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12E0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6" w:type="dxa"/>
            <w:noWrap w:val="0"/>
            <w:vAlign w:val="center"/>
          </w:tcPr>
          <w:p w14:paraId="09987052">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5788" w:type="dxa"/>
            <w:noWrap w:val="0"/>
            <w:vAlign w:val="center"/>
          </w:tcPr>
          <w:p w14:paraId="0AD1654F">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合同管理方案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根据供应商违约的处理及日常合同的管理，配合业主办理申报手续和专项验收手续措施。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0E7B9B10">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08" w:type="dxa"/>
            <w:noWrap w:val="0"/>
            <w:vAlign w:val="center"/>
          </w:tcPr>
          <w:p w14:paraId="37DB03DA">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4935D78B">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7EEF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03CCF30C">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5788" w:type="dxa"/>
            <w:noWrap w:val="0"/>
            <w:vAlign w:val="center"/>
          </w:tcPr>
          <w:p w14:paraId="2680E4BF">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档案、信息管理方案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根据供应商提供的针对本项目档案、数据信息安全控制措施的合理性和可行性。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6A2A7028">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0332DF5E">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30B928AB">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772B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6" w:type="dxa"/>
            <w:noWrap w:val="0"/>
            <w:vAlign w:val="center"/>
          </w:tcPr>
          <w:p w14:paraId="137B8C12">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5788" w:type="dxa"/>
            <w:noWrap w:val="0"/>
            <w:vAlign w:val="center"/>
          </w:tcPr>
          <w:p w14:paraId="10100D86">
            <w:pPr>
              <w:spacing w:line="3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现场安全、文明施工控制方案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根据供应商提供的现场安全、文明施工控制方案内容全面性、完整性，控制手段和措施的合理性和可行性。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4FCCF541">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1AFA3148">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w:t>
            </w:r>
            <w:r>
              <w:rPr>
                <w:rFonts w:hint="eastAsia" w:asciiTheme="minorEastAsia" w:hAnsiTheme="minorEastAsia" w:eastAsiaTheme="minorEastAsia" w:cstheme="minorEastAsia"/>
                <w:color w:val="auto"/>
                <w:sz w:val="24"/>
                <w:szCs w:val="24"/>
                <w:highlight w:val="none"/>
              </w:rPr>
              <w:t>观分</w:t>
            </w:r>
          </w:p>
        </w:tc>
        <w:tc>
          <w:tcPr>
            <w:tcW w:w="1427" w:type="dxa"/>
            <w:noWrap w:val="0"/>
            <w:vAlign w:val="top"/>
          </w:tcPr>
          <w:p w14:paraId="10E50F46">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05EA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716" w:type="dxa"/>
            <w:noWrap w:val="0"/>
            <w:vAlign w:val="center"/>
          </w:tcPr>
          <w:p w14:paraId="5703227F">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5788" w:type="dxa"/>
            <w:noWrap w:val="0"/>
            <w:vAlign w:val="center"/>
          </w:tcPr>
          <w:p w14:paraId="2E59E420">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应急响应方案</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根据供应商针对本项目采购单位提出的应急响应方案，包括应急响应时效、人员应急安排等应急保障措施情况的合理程度及完备程度进行综合打分。</w:t>
            </w:r>
          </w:p>
          <w:p w14:paraId="774F13C6">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分，评分范围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,5,4,3,2,1,0)</w:t>
            </w:r>
          </w:p>
        </w:tc>
        <w:tc>
          <w:tcPr>
            <w:tcW w:w="579" w:type="dxa"/>
            <w:noWrap w:val="0"/>
            <w:vAlign w:val="center"/>
          </w:tcPr>
          <w:p w14:paraId="27EFF871">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008" w:type="dxa"/>
            <w:noWrap w:val="0"/>
            <w:vAlign w:val="center"/>
          </w:tcPr>
          <w:p w14:paraId="46327D17">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w:t>
            </w:r>
            <w:r>
              <w:rPr>
                <w:rFonts w:hint="eastAsia" w:asciiTheme="minorEastAsia" w:hAnsiTheme="minorEastAsia" w:eastAsiaTheme="minorEastAsia" w:cstheme="minorEastAsia"/>
                <w:color w:val="auto"/>
                <w:sz w:val="24"/>
                <w:szCs w:val="24"/>
                <w:highlight w:val="none"/>
              </w:rPr>
              <w:t>观分</w:t>
            </w:r>
          </w:p>
        </w:tc>
        <w:tc>
          <w:tcPr>
            <w:tcW w:w="1427" w:type="dxa"/>
            <w:noWrap w:val="0"/>
            <w:vAlign w:val="top"/>
          </w:tcPr>
          <w:p w14:paraId="4F5D3984">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23C1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30B633BC">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p>
        </w:tc>
        <w:tc>
          <w:tcPr>
            <w:tcW w:w="5788" w:type="dxa"/>
            <w:noWrap w:val="0"/>
            <w:vAlign w:val="center"/>
          </w:tcPr>
          <w:p w14:paraId="4C458ABD">
            <w:pPr>
              <w:spacing w:line="340" w:lineRule="exact"/>
              <w:jc w:val="lef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b/>
                <w:bCs/>
                <w:color w:val="auto"/>
                <w:sz w:val="24"/>
                <w:szCs w:val="24"/>
                <w:highlight w:val="none"/>
                <w:lang w:bidi="ar"/>
              </w:rPr>
              <w:t>工程施工重、难点监理</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color w:val="auto"/>
                <w:sz w:val="24"/>
                <w:szCs w:val="24"/>
                <w:highlight w:val="none"/>
              </w:rPr>
              <w:t>根据供应商针对</w:t>
            </w:r>
            <w:r>
              <w:rPr>
                <w:rFonts w:hint="eastAsia" w:asciiTheme="minorEastAsia" w:hAnsiTheme="minorEastAsia" w:eastAsiaTheme="minorEastAsia" w:cstheme="minorEastAsia"/>
                <w:color w:val="auto"/>
                <w:sz w:val="24"/>
                <w:szCs w:val="24"/>
                <w:highlight w:val="none"/>
                <w:lang w:bidi="ar"/>
              </w:rPr>
              <w:t>工程施工的重、难点，施工关键部位的监理阐明情况。</w:t>
            </w:r>
          </w:p>
          <w:p w14:paraId="357BE43C">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分，评分范围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,5,4,3,2,1,0)</w:t>
            </w:r>
          </w:p>
        </w:tc>
        <w:tc>
          <w:tcPr>
            <w:tcW w:w="579" w:type="dxa"/>
            <w:noWrap w:val="0"/>
            <w:vAlign w:val="center"/>
          </w:tcPr>
          <w:p w14:paraId="102D217A">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008" w:type="dxa"/>
            <w:noWrap w:val="0"/>
            <w:vAlign w:val="center"/>
          </w:tcPr>
          <w:p w14:paraId="0A6CE1BE">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7627020D">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2F24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216A5325">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5788" w:type="dxa"/>
            <w:noWrap w:val="0"/>
            <w:vAlign w:val="center"/>
          </w:tcPr>
          <w:p w14:paraId="4729BBA1">
            <w:pPr>
              <w:spacing w:line="3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合理化建议</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供应商提供的建议针对性强，符合项目实际情况，可操作性强。</w:t>
            </w:r>
          </w:p>
          <w:p w14:paraId="01E211F2">
            <w:pPr>
              <w:spacing w:line="340" w:lineRule="exact"/>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满分5分，评分范围5,4,3,2,1,0)</w:t>
            </w:r>
          </w:p>
        </w:tc>
        <w:tc>
          <w:tcPr>
            <w:tcW w:w="579" w:type="dxa"/>
            <w:noWrap w:val="0"/>
            <w:vAlign w:val="center"/>
          </w:tcPr>
          <w:p w14:paraId="209BFB3D">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32334266">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0683CC39">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7360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8" w:type="dxa"/>
            <w:gridSpan w:val="5"/>
            <w:noWrap w:val="0"/>
            <w:vAlign w:val="center"/>
          </w:tcPr>
          <w:p w14:paraId="0E0963CD">
            <w:pPr>
              <w:snapToGrid w:val="0"/>
              <w:spacing w:line="288"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报价部分</w:t>
            </w:r>
          </w:p>
        </w:tc>
      </w:tr>
      <w:tr w14:paraId="3FD0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58047AAC">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5788" w:type="dxa"/>
            <w:noWrap w:val="0"/>
            <w:vAlign w:val="top"/>
          </w:tcPr>
          <w:p w14:paraId="27EA5FA7">
            <w:pPr>
              <w:snapToGrid w:val="0"/>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］的计算公式计算。</w:t>
            </w:r>
          </w:p>
          <w:p w14:paraId="52F116AA">
            <w:pPr>
              <w:snapToGrid w:val="0"/>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tc>
        <w:tc>
          <w:tcPr>
            <w:tcW w:w="579" w:type="dxa"/>
            <w:noWrap w:val="0"/>
            <w:vAlign w:val="center"/>
          </w:tcPr>
          <w:p w14:paraId="78BB02E3">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008" w:type="dxa"/>
            <w:noWrap w:val="0"/>
            <w:vAlign w:val="center"/>
          </w:tcPr>
          <w:p w14:paraId="520ECBCA">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427" w:type="dxa"/>
            <w:noWrap w:val="0"/>
            <w:vAlign w:val="center"/>
          </w:tcPr>
          <w:p w14:paraId="1DA2BC16">
            <w:pPr>
              <w:spacing w:line="288"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14:paraId="7FFD5AEA">
      <w:pPr>
        <w:rPr>
          <w:color w:val="auto"/>
          <w:highlight w:val="none"/>
        </w:rPr>
      </w:pPr>
    </w:p>
    <w:p w14:paraId="6CD7B35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3D3FCEE4">
      <w:pPr>
        <w:pStyle w:val="5"/>
        <w:tabs>
          <w:tab w:val="left" w:pos="720"/>
          <w:tab w:val="clear" w:pos="432"/>
        </w:tabs>
        <w:rPr>
          <w:color w:val="auto"/>
          <w:highlight w:val="none"/>
        </w:rPr>
      </w:pPr>
      <w:bookmarkStart w:id="396" w:name="_Toc22077"/>
      <w:bookmarkStart w:id="397" w:name="_Toc5955"/>
    </w:p>
    <w:p w14:paraId="1B8A1CB1">
      <w:pPr>
        <w:pStyle w:val="5"/>
        <w:tabs>
          <w:tab w:val="left" w:pos="720"/>
          <w:tab w:val="clear" w:pos="432"/>
        </w:tabs>
        <w:rPr>
          <w:color w:val="auto"/>
          <w:highlight w:val="none"/>
        </w:rPr>
        <w:sectPr>
          <w:pgSz w:w="11910" w:h="16840"/>
          <w:pgMar w:top="1540" w:right="840" w:bottom="1180" w:left="1080" w:header="0" w:footer="919" w:gutter="0"/>
          <w:cols w:space="720" w:num="1"/>
        </w:sectPr>
      </w:pPr>
    </w:p>
    <w:p w14:paraId="4F6EF3EB">
      <w:pPr>
        <w:pStyle w:val="5"/>
        <w:tabs>
          <w:tab w:val="left" w:pos="720"/>
          <w:tab w:val="clear" w:pos="432"/>
        </w:tabs>
        <w:rPr>
          <w:color w:val="auto"/>
          <w:highlight w:val="none"/>
        </w:rPr>
      </w:pPr>
      <w:r>
        <w:rPr>
          <w:color w:val="auto"/>
          <w:highlight w:val="none"/>
        </w:rPr>
        <w:t>评标组织</w:t>
      </w:r>
      <w:bookmarkEnd w:id="396"/>
      <w:bookmarkEnd w:id="397"/>
    </w:p>
    <w:p w14:paraId="265A9616">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评标工作由评标委员会负责。</w:t>
      </w:r>
    </w:p>
    <w:p w14:paraId="753ABE80">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评标委员会成员为</w:t>
      </w:r>
      <w:r>
        <w:rPr>
          <w:rFonts w:hint="eastAsia" w:ascii="宋体" w:hAnsi="宋体" w:eastAsia="宋体" w:cs="宋体"/>
          <w:color w:val="auto"/>
          <w:kern w:val="0"/>
          <w:sz w:val="24"/>
          <w:highlight w:val="none"/>
          <w:lang w:eastAsia="zh-CN"/>
        </w:rPr>
        <w:t>五</w:t>
      </w:r>
      <w:r>
        <w:rPr>
          <w:rFonts w:hint="eastAsia" w:ascii="宋体" w:hAnsi="宋体" w:eastAsia="宋体" w:cs="宋体"/>
          <w:color w:val="auto"/>
          <w:kern w:val="0"/>
          <w:sz w:val="24"/>
          <w:highlight w:val="none"/>
        </w:rPr>
        <w:t>人，由采购人代表和有关技术、经济等方面的专家组成。其中</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技术、经济等方面的专家不得少于成员总数的三分之二。评标专家从省级财政部门设立的政府采购评审专家库中，通过随机方式抽取。</w:t>
      </w:r>
    </w:p>
    <w:p w14:paraId="20DF6C2E">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A8BF835">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82F12D0">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变更、重新组建评标委员会的情况予以书面记录，并随采购文件一并存档。</w:t>
      </w:r>
    </w:p>
    <w:p w14:paraId="7E1CEC33">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对投标文件进行审查、评估和比较。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49AC3AE3">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询标期间，投标供应商所留联系方式无法联系上、在规定的时限内投标供应商不予答复的，由评标委员会决定是否继续评审。 </w:t>
      </w:r>
    </w:p>
    <w:p w14:paraId="6DC0C2A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860E5A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0B239C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29AF6C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BFC78C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8E7CA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DF55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2FB24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0B9C7C8">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7D0A782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9F1B117">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E791CB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EF6164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B879C3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7A7813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37E8A2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D002A1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1B281E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FD5F3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FCAFE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w:t>
      </w:r>
      <w:r>
        <w:rPr>
          <w:rFonts w:hint="eastAsia" w:ascii="仿宋" w:hAnsi="仿宋" w:cs="仿宋"/>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color w:val="auto"/>
          <w:kern w:val="0"/>
          <w:highlight w:val="none"/>
        </w:rPr>
        <w:t>10%</w:t>
      </w:r>
      <w:r>
        <w:rPr>
          <w:rFonts w:hint="eastAsia" w:ascii="仿宋" w:hAnsi="仿宋" w:cs="仿宋"/>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color w:val="auto"/>
          <w:kern w:val="0"/>
          <w:highlight w:val="none"/>
        </w:rPr>
        <w:t>4%</w:t>
      </w:r>
      <w:r>
        <w:rPr>
          <w:rFonts w:hint="eastAsia" w:ascii="仿宋" w:hAnsi="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14:paraId="621AF78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48BE24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9EEC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61A00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E13DA9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7A527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3E091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3C962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0B664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D80E2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89ED6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F1E1D4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468313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F8246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F3CC264">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984412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16AEBB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DD30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A8D84CB">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 xml:space="preserve"> 投标文件不满足招标文件的其它实质性要求的；</w:t>
      </w:r>
    </w:p>
    <w:p w14:paraId="71BC30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95A78A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8F32384">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DF8FFC9">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51B8745">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564EFF9">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65F62CF8">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C691008">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3BE1FF8">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BCB760B">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3731F2A">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A8D5E73">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7A8E407">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2F86523">
      <w:pPr>
        <w:pStyle w:val="25"/>
        <w:snapToGrid w:val="0"/>
        <w:spacing w:line="360" w:lineRule="auto"/>
        <w:rPr>
          <w:rFonts w:hint="eastAsia" w:cs="宋体"/>
          <w:color w:val="auto"/>
          <w:highlight w:val="none"/>
        </w:rPr>
        <w:sectPr>
          <w:pgSz w:w="11910" w:h="16840"/>
          <w:pgMar w:top="1540" w:right="840" w:bottom="1180" w:left="1080" w:header="0" w:footer="919" w:gutter="0"/>
          <w:cols w:space="720" w:num="1"/>
        </w:sect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3E197CB3">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14:paraId="394354F2">
      <w:pPr>
        <w:tabs>
          <w:tab w:val="left" w:pos="5194"/>
        </w:tabs>
        <w:spacing w:before="0" w:line="360" w:lineRule="auto"/>
        <w:ind w:left="818" w:right="3720" w:firstLine="2796"/>
        <w:jc w:val="both"/>
        <w:rPr>
          <w:rFonts w:hint="eastAsia" w:ascii="宋体" w:hAnsi="宋体" w:eastAsia="宋体" w:cs="宋体"/>
          <w:i w:val="0"/>
          <w:iCs w:val="0"/>
          <w:color w:val="auto"/>
          <w:sz w:val="24"/>
          <w:szCs w:val="24"/>
          <w:highlight w:val="none"/>
        </w:rPr>
      </w:pPr>
      <w:r>
        <w:rPr>
          <w:b/>
          <w:color w:val="auto"/>
          <w:sz w:val="24"/>
          <w:highlight w:val="none"/>
        </w:rPr>
        <w:t>水利工程建设监理合同</w:t>
      </w:r>
      <w:r>
        <w:rPr>
          <w:b/>
          <w:color w:val="auto"/>
          <w:spacing w:val="-16"/>
          <w:sz w:val="24"/>
          <w:highlight w:val="none"/>
        </w:rPr>
        <w:t>书</w:t>
      </w:r>
      <w:r>
        <w:rPr>
          <w:rFonts w:hint="eastAsia" w:ascii="宋体" w:hAnsi="宋体" w:eastAsia="宋体" w:cs="宋体"/>
          <w:i w:val="0"/>
          <w:iCs w:val="0"/>
          <w:color w:val="auto"/>
          <w:sz w:val="24"/>
          <w:szCs w:val="24"/>
          <w:highlight w:val="none"/>
        </w:rPr>
        <w:t>委</w:t>
      </w:r>
      <w:r>
        <w:rPr>
          <w:rFonts w:hint="eastAsia" w:ascii="宋体" w:hAnsi="宋体" w:eastAsia="宋体" w:cs="宋体"/>
          <w:i w:val="0"/>
          <w:iCs w:val="0"/>
          <w:color w:val="auto"/>
          <w:spacing w:val="-1"/>
          <w:sz w:val="24"/>
          <w:szCs w:val="24"/>
          <w:highlight w:val="none"/>
        </w:rPr>
        <w:t xml:space="preserve"> </w:t>
      </w:r>
      <w:r>
        <w:rPr>
          <w:rFonts w:hint="eastAsia" w:ascii="宋体" w:hAnsi="宋体" w:eastAsia="宋体" w:cs="宋体"/>
          <w:i w:val="0"/>
          <w:iCs w:val="0"/>
          <w:color w:val="auto"/>
          <w:sz w:val="24"/>
          <w:szCs w:val="24"/>
          <w:highlight w:val="none"/>
        </w:rPr>
        <w:t>托 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276E1CF7">
      <w:pPr>
        <w:pStyle w:val="3"/>
        <w:tabs>
          <w:tab w:val="left" w:pos="5194"/>
        </w:tabs>
        <w:spacing w:line="357" w:lineRule="auto"/>
        <w:ind w:left="818" w:right="479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 理</w:t>
      </w:r>
      <w:r>
        <w:rPr>
          <w:rFonts w:hint="eastAsia" w:ascii="宋体" w:hAnsi="宋体" w:eastAsia="宋体" w:cs="宋体"/>
          <w:i w:val="0"/>
          <w:iCs w:val="0"/>
          <w:color w:val="auto"/>
          <w:spacing w:val="-1"/>
          <w:sz w:val="24"/>
          <w:szCs w:val="24"/>
          <w:highlight w:val="none"/>
        </w:rPr>
        <w:t xml:space="preserve"> </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pacing w:val="-1"/>
          <w:sz w:val="24"/>
          <w:szCs w:val="24"/>
          <w:highlight w:val="none"/>
          <w:u w:val="single"/>
        </w:rPr>
        <w:t xml:space="preserve">                        </w:t>
      </w:r>
      <w:r>
        <w:rPr>
          <w:rFonts w:hint="eastAsia" w:ascii="宋体" w:hAnsi="宋体" w:eastAsia="宋体" w:cs="宋体"/>
          <w:i w:val="0"/>
          <w:iCs w:val="0"/>
          <w:color w:val="auto"/>
          <w:spacing w:val="24"/>
          <w:sz w:val="24"/>
          <w:szCs w:val="24"/>
          <w:highlight w:val="none"/>
          <w:u w:val="single"/>
        </w:rPr>
        <w:t xml:space="preserve"> </w:t>
      </w:r>
      <w:r>
        <w:rPr>
          <w:rFonts w:hint="eastAsia" w:ascii="宋体" w:hAnsi="宋体" w:eastAsia="宋体" w:cs="宋体"/>
          <w:i w:val="0"/>
          <w:iCs w:val="0"/>
          <w:color w:val="auto"/>
          <w:spacing w:val="-1"/>
          <w:sz w:val="24"/>
          <w:szCs w:val="24"/>
          <w:highlight w:val="none"/>
        </w:rPr>
        <w:t>合</w:t>
      </w:r>
      <w:r>
        <w:rPr>
          <w:rFonts w:hint="eastAsia" w:ascii="宋体" w:hAnsi="宋体" w:eastAsia="宋体" w:cs="宋体"/>
          <w:i w:val="0"/>
          <w:iCs w:val="0"/>
          <w:color w:val="auto"/>
          <w:sz w:val="24"/>
          <w:szCs w:val="24"/>
          <w:highlight w:val="none"/>
        </w:rPr>
        <w:t>同编号：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pacing w:val="-1"/>
          <w:sz w:val="24"/>
          <w:szCs w:val="24"/>
          <w:highlight w:val="none"/>
          <w:u w:val="single"/>
        </w:rPr>
        <w:t xml:space="preserve">                        </w:t>
      </w:r>
      <w:r>
        <w:rPr>
          <w:rFonts w:hint="eastAsia" w:ascii="宋体" w:hAnsi="宋体" w:eastAsia="宋体" w:cs="宋体"/>
          <w:i w:val="0"/>
          <w:iCs w:val="0"/>
          <w:color w:val="auto"/>
          <w:spacing w:val="24"/>
          <w:sz w:val="24"/>
          <w:szCs w:val="24"/>
          <w:highlight w:val="none"/>
          <w:u w:val="single"/>
        </w:rPr>
        <w:t xml:space="preserve"> </w:t>
      </w:r>
      <w:r>
        <w:rPr>
          <w:rFonts w:hint="eastAsia" w:ascii="宋体" w:hAnsi="宋体" w:eastAsia="宋体" w:cs="宋体"/>
          <w:i w:val="0"/>
          <w:iCs w:val="0"/>
          <w:color w:val="auto"/>
          <w:spacing w:val="-1"/>
          <w:sz w:val="24"/>
          <w:szCs w:val="24"/>
          <w:highlight w:val="none"/>
        </w:rPr>
        <w:t>合</w:t>
      </w:r>
      <w:r>
        <w:rPr>
          <w:rFonts w:hint="eastAsia" w:ascii="宋体" w:hAnsi="宋体" w:eastAsia="宋体" w:cs="宋体"/>
          <w:i w:val="0"/>
          <w:iCs w:val="0"/>
          <w:color w:val="auto"/>
          <w:sz w:val="24"/>
          <w:szCs w:val="24"/>
          <w:highlight w:val="none"/>
        </w:rPr>
        <w:t>同名称：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7FF6D98E">
      <w:pPr>
        <w:pStyle w:val="3"/>
        <w:tabs>
          <w:tab w:val="left" w:pos="4299"/>
          <w:tab w:val="left" w:pos="4820"/>
          <w:tab w:val="left" w:pos="8821"/>
        </w:tabs>
        <w:spacing w:before="5" w:line="357" w:lineRule="auto"/>
        <w:ind w:left="338" w:right="435"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rPr>
        <w:t>依据国家有</w:t>
      </w:r>
      <w:r>
        <w:rPr>
          <w:rFonts w:hint="eastAsia" w:ascii="宋体" w:hAnsi="宋体" w:eastAsia="宋体" w:cs="宋体"/>
          <w:i w:val="0"/>
          <w:iCs w:val="0"/>
          <w:color w:val="auto"/>
          <w:sz w:val="24"/>
          <w:szCs w:val="24"/>
          <w:highlight w:val="none"/>
        </w:rPr>
        <w:t>关</w:t>
      </w:r>
      <w:r>
        <w:rPr>
          <w:rFonts w:hint="eastAsia" w:ascii="宋体" w:hAnsi="宋体" w:eastAsia="宋体" w:cs="宋体"/>
          <w:i w:val="0"/>
          <w:iCs w:val="0"/>
          <w:color w:val="auto"/>
          <w:spacing w:val="2"/>
          <w:sz w:val="24"/>
          <w:szCs w:val="24"/>
          <w:highlight w:val="none"/>
        </w:rPr>
        <w:t>法律、</w:t>
      </w:r>
      <w:r>
        <w:rPr>
          <w:rFonts w:hint="eastAsia" w:ascii="宋体" w:hAnsi="宋体" w:eastAsia="宋体" w:cs="宋体"/>
          <w:i w:val="0"/>
          <w:iCs w:val="0"/>
          <w:color w:val="auto"/>
          <w:sz w:val="24"/>
          <w:szCs w:val="24"/>
          <w:highlight w:val="none"/>
        </w:rPr>
        <w:t>法</w:t>
      </w:r>
      <w:r>
        <w:rPr>
          <w:rFonts w:hint="eastAsia" w:ascii="宋体" w:hAnsi="宋体" w:eastAsia="宋体" w:cs="宋体"/>
          <w:i w:val="0"/>
          <w:iCs w:val="0"/>
          <w:color w:val="auto"/>
          <w:spacing w:val="2"/>
          <w:sz w:val="24"/>
          <w:szCs w:val="24"/>
          <w:highlight w:val="none"/>
        </w:rPr>
        <w:t>规</w:t>
      </w:r>
      <w:r>
        <w:rPr>
          <w:rFonts w:hint="eastAsia" w:ascii="宋体" w:hAnsi="宋体" w:eastAsia="宋体" w:cs="宋体"/>
          <w:i w:val="0"/>
          <w:iCs w:val="0"/>
          <w:color w:val="auto"/>
          <w:spacing w:val="5"/>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pacing w:val="2"/>
          <w:sz w:val="24"/>
          <w:szCs w:val="24"/>
          <w:highlight w:val="none"/>
        </w:rPr>
        <w:t>（以</w:t>
      </w:r>
      <w:r>
        <w:rPr>
          <w:rFonts w:hint="eastAsia" w:ascii="宋体" w:hAnsi="宋体" w:eastAsia="宋体" w:cs="宋体"/>
          <w:i w:val="0"/>
          <w:iCs w:val="0"/>
          <w:color w:val="auto"/>
          <w:sz w:val="24"/>
          <w:szCs w:val="24"/>
          <w:highlight w:val="none"/>
        </w:rPr>
        <w:t>下</w:t>
      </w:r>
      <w:r>
        <w:rPr>
          <w:rFonts w:hint="eastAsia" w:ascii="宋体" w:hAnsi="宋体" w:eastAsia="宋体" w:cs="宋体"/>
          <w:i w:val="0"/>
          <w:iCs w:val="0"/>
          <w:color w:val="auto"/>
          <w:spacing w:val="2"/>
          <w:sz w:val="24"/>
          <w:szCs w:val="24"/>
          <w:highlight w:val="none"/>
        </w:rPr>
        <w:t>简称委托人</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pacing w:val="2"/>
          <w:sz w:val="24"/>
          <w:szCs w:val="24"/>
          <w:highlight w:val="none"/>
        </w:rPr>
        <w:t>，委</w:t>
      </w:r>
      <w:r>
        <w:rPr>
          <w:rFonts w:hint="eastAsia" w:ascii="宋体" w:hAnsi="宋体" w:eastAsia="宋体" w:cs="宋体"/>
          <w:i w:val="0"/>
          <w:iCs w:val="0"/>
          <w:color w:val="auto"/>
          <w:spacing w:val="4"/>
          <w:sz w:val="24"/>
          <w:szCs w:val="24"/>
          <w:highlight w:val="none"/>
        </w:rPr>
        <w:t>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pacing w:val="2"/>
          <w:sz w:val="24"/>
          <w:szCs w:val="24"/>
          <w:highlight w:val="none"/>
        </w:rPr>
        <w:t>（以</w:t>
      </w:r>
      <w:r>
        <w:rPr>
          <w:rFonts w:hint="eastAsia" w:ascii="宋体" w:hAnsi="宋体" w:eastAsia="宋体" w:cs="宋体"/>
          <w:i w:val="0"/>
          <w:iCs w:val="0"/>
          <w:color w:val="auto"/>
          <w:spacing w:val="-14"/>
          <w:sz w:val="24"/>
          <w:szCs w:val="24"/>
          <w:highlight w:val="none"/>
        </w:rPr>
        <w:t>下</w:t>
      </w:r>
      <w:r>
        <w:rPr>
          <w:rFonts w:hint="eastAsia" w:ascii="宋体" w:hAnsi="宋体" w:eastAsia="宋体" w:cs="宋体"/>
          <w:i w:val="0"/>
          <w:iCs w:val="0"/>
          <w:color w:val="auto"/>
          <w:sz w:val="24"/>
          <w:szCs w:val="24"/>
          <w:highlight w:val="none"/>
        </w:rPr>
        <w:t>简称监理人</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z w:val="24"/>
          <w:szCs w:val="24"/>
          <w:highlight w:val="none"/>
        </w:rPr>
        <w:t>，提</w:t>
      </w:r>
      <w:r>
        <w:rPr>
          <w:rFonts w:hint="eastAsia" w:ascii="宋体" w:hAnsi="宋体" w:eastAsia="宋体" w:cs="宋体"/>
          <w:i w:val="0"/>
          <w:iCs w:val="0"/>
          <w:color w:val="auto"/>
          <w:spacing w:val="-1"/>
          <w:sz w:val="24"/>
          <w:szCs w:val="24"/>
          <w:highlight w:val="none"/>
        </w:rPr>
        <w:t>供</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服务，经双方协商一致，订立本合同。</w:t>
      </w:r>
    </w:p>
    <w:p w14:paraId="383C3E58">
      <w:pPr>
        <w:pStyle w:val="3"/>
        <w:spacing w:before="3"/>
        <w:ind w:left="33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一、工程概况</w:t>
      </w:r>
    </w:p>
    <w:p w14:paraId="3248235C">
      <w:pPr>
        <w:pStyle w:val="3"/>
        <w:tabs>
          <w:tab w:val="left" w:pos="5554"/>
        </w:tabs>
        <w:spacing w:before="15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1</w:t>
      </w:r>
      <w:r>
        <w:rPr>
          <w:rFonts w:hint="eastAsia" w:ascii="宋体" w:hAnsi="宋体" w:eastAsia="宋体" w:cs="宋体"/>
          <w:i w:val="0"/>
          <w:iCs w:val="0"/>
          <w:color w:val="auto"/>
          <w:sz w:val="24"/>
          <w:szCs w:val="24"/>
          <w:highlight w:val="none"/>
        </w:rPr>
        <w:t>、工程名称：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624B26F4">
      <w:pPr>
        <w:pStyle w:val="3"/>
        <w:tabs>
          <w:tab w:val="left" w:pos="5554"/>
        </w:tabs>
        <w:spacing w:before="151"/>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2</w:t>
      </w:r>
      <w:r>
        <w:rPr>
          <w:rFonts w:hint="eastAsia" w:ascii="宋体" w:hAnsi="宋体" w:eastAsia="宋体" w:cs="宋体"/>
          <w:i w:val="0"/>
          <w:iCs w:val="0"/>
          <w:color w:val="auto"/>
          <w:sz w:val="24"/>
          <w:szCs w:val="24"/>
          <w:highlight w:val="none"/>
        </w:rPr>
        <w:t>、建设地点：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54C5A84B">
      <w:pPr>
        <w:pStyle w:val="3"/>
        <w:tabs>
          <w:tab w:val="left" w:pos="5554"/>
        </w:tabs>
        <w:spacing w:before="154"/>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3</w:t>
      </w:r>
      <w:r>
        <w:rPr>
          <w:rFonts w:hint="eastAsia" w:ascii="宋体" w:hAnsi="宋体" w:eastAsia="宋体" w:cs="宋体"/>
          <w:i w:val="0"/>
          <w:iCs w:val="0"/>
          <w:color w:val="auto"/>
          <w:sz w:val="24"/>
          <w:szCs w:val="24"/>
          <w:highlight w:val="none"/>
        </w:rPr>
        <w:t>、工程等别：</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0C9C7350">
      <w:pPr>
        <w:pStyle w:val="3"/>
        <w:tabs>
          <w:tab w:val="left" w:pos="5554"/>
        </w:tabs>
        <w:spacing w:before="15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4</w:t>
      </w:r>
      <w:r>
        <w:rPr>
          <w:rFonts w:hint="eastAsia" w:ascii="宋体" w:hAnsi="宋体" w:eastAsia="宋体" w:cs="宋体"/>
          <w:i w:val="0"/>
          <w:iCs w:val="0"/>
          <w:color w:val="auto"/>
          <w:sz w:val="24"/>
          <w:szCs w:val="24"/>
          <w:highlight w:val="none"/>
        </w:rPr>
        <w:t>、总投资（万元</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69E77B5F">
      <w:pPr>
        <w:pStyle w:val="3"/>
        <w:tabs>
          <w:tab w:val="left" w:pos="5554"/>
        </w:tabs>
        <w:spacing w:before="151" w:line="360" w:lineRule="auto"/>
        <w:ind w:left="338" w:right="4429"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5</w:t>
      </w:r>
      <w:r>
        <w:rPr>
          <w:rFonts w:hint="eastAsia" w:ascii="宋体" w:hAnsi="宋体" w:eastAsia="宋体" w:cs="宋体"/>
          <w:i w:val="0"/>
          <w:iCs w:val="0"/>
          <w:color w:val="auto"/>
          <w:sz w:val="24"/>
          <w:szCs w:val="24"/>
          <w:highlight w:val="none"/>
        </w:rPr>
        <w:t>、工期：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二、监理范围</w:t>
      </w:r>
    </w:p>
    <w:p w14:paraId="52E84392">
      <w:pPr>
        <w:pStyle w:val="3"/>
        <w:tabs>
          <w:tab w:val="left" w:pos="4059"/>
        </w:tabs>
        <w:spacing w:line="307" w:lineRule="exact"/>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1、监理项目名称：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w:t>
      </w:r>
    </w:p>
    <w:p w14:paraId="3D74C646">
      <w:pPr>
        <w:pStyle w:val="3"/>
        <w:tabs>
          <w:tab w:val="left" w:pos="5739"/>
        </w:tabs>
        <w:spacing w:before="151"/>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2、监理项目内容及主要特性参数：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w:t>
      </w:r>
    </w:p>
    <w:p w14:paraId="79371FED">
      <w:pPr>
        <w:pStyle w:val="3"/>
        <w:tabs>
          <w:tab w:val="left" w:pos="4299"/>
        </w:tabs>
        <w:spacing w:before="15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3、监理项目投资：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w:t>
      </w:r>
    </w:p>
    <w:p w14:paraId="37FE0288">
      <w:pPr>
        <w:pStyle w:val="3"/>
        <w:tabs>
          <w:tab w:val="left" w:pos="4299"/>
        </w:tabs>
        <w:spacing w:before="154" w:line="357" w:lineRule="auto"/>
        <w:ind w:left="338" w:right="5445"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4、监理阶段：</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pacing w:val="-18"/>
          <w:sz w:val="24"/>
          <w:szCs w:val="24"/>
          <w:highlight w:val="none"/>
        </w:rPr>
        <w:t>。</w:t>
      </w:r>
      <w:r>
        <w:rPr>
          <w:rFonts w:hint="eastAsia" w:ascii="宋体" w:hAnsi="宋体" w:eastAsia="宋体" w:cs="宋体"/>
          <w:i w:val="0"/>
          <w:iCs w:val="0"/>
          <w:color w:val="auto"/>
          <w:sz w:val="24"/>
          <w:szCs w:val="24"/>
          <w:highlight w:val="none"/>
        </w:rPr>
        <w:t>三、监理服务内容和期限</w:t>
      </w:r>
    </w:p>
    <w:p w14:paraId="635DAAC5">
      <w:pPr>
        <w:pStyle w:val="3"/>
        <w:spacing w:before="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1、监理服务内容：按专用合同条款约定。</w:t>
      </w:r>
    </w:p>
    <w:p w14:paraId="769D8023">
      <w:pPr>
        <w:pStyle w:val="3"/>
        <w:tabs>
          <w:tab w:val="left" w:pos="4179"/>
        </w:tabs>
        <w:spacing w:before="154" w:line="357" w:lineRule="auto"/>
        <w:ind w:left="338" w:right="5565"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2、监理服务期限：</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pacing w:val="-18"/>
          <w:sz w:val="24"/>
          <w:szCs w:val="24"/>
          <w:highlight w:val="none"/>
        </w:rPr>
        <w:t>。</w:t>
      </w:r>
      <w:r>
        <w:rPr>
          <w:rFonts w:hint="eastAsia" w:ascii="宋体" w:hAnsi="宋体" w:eastAsia="宋体" w:cs="宋体"/>
          <w:i w:val="0"/>
          <w:iCs w:val="0"/>
          <w:color w:val="auto"/>
          <w:sz w:val="24"/>
          <w:szCs w:val="24"/>
          <w:highlight w:val="none"/>
        </w:rPr>
        <w:t>四、监理服务酬金</w:t>
      </w:r>
    </w:p>
    <w:p w14:paraId="54226141">
      <w:pPr>
        <w:pStyle w:val="3"/>
        <w:tabs>
          <w:tab w:val="left" w:pos="5072"/>
        </w:tabs>
        <w:spacing w:before="2" w:line="360" w:lineRule="auto"/>
        <w:ind w:left="338" w:right="443"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监理正常服务酬</w:t>
      </w:r>
      <w:r>
        <w:rPr>
          <w:rFonts w:hint="eastAsia" w:ascii="宋体" w:hAnsi="宋体" w:eastAsia="宋体" w:cs="宋体"/>
          <w:i w:val="0"/>
          <w:iCs w:val="0"/>
          <w:snapToGrid w:val="0"/>
          <w:color w:val="auto"/>
          <w:kern w:val="0"/>
          <w:sz w:val="24"/>
          <w:szCs w:val="24"/>
          <w:highlight w:val="none"/>
        </w:rPr>
        <w:t>金</w:t>
      </w:r>
      <w:r>
        <w:rPr>
          <w:rFonts w:hint="eastAsia" w:ascii="宋体" w:hAnsi="宋体" w:eastAsia="宋体" w:cs="宋体"/>
          <w:i w:val="0"/>
          <w:iCs w:val="0"/>
          <w:snapToGrid w:val="0"/>
          <w:color w:val="auto"/>
          <w:kern w:val="0"/>
          <w:sz w:val="24"/>
          <w:szCs w:val="24"/>
          <w:highlight w:val="none"/>
          <w:lang w:eastAsia="zh-CN"/>
        </w:rPr>
        <w:t>为（大</w:t>
      </w:r>
      <w:r>
        <w:rPr>
          <w:rFonts w:hint="eastAsia" w:ascii="宋体" w:hAnsi="宋体" w:eastAsia="宋体" w:cs="宋体"/>
          <w:i w:val="0"/>
          <w:iCs w:val="0"/>
          <w:snapToGrid w:val="0"/>
          <w:color w:val="auto"/>
          <w:kern w:val="0"/>
          <w:sz w:val="24"/>
          <w:szCs w:val="24"/>
          <w:highlight w:val="none"/>
        </w:rPr>
        <w:t>写</w:t>
      </w:r>
      <w:r>
        <w:rPr>
          <w:rFonts w:hint="eastAsia" w:ascii="宋体" w:hAnsi="宋体" w:eastAsia="宋体" w:cs="宋体"/>
          <w:i w:val="0"/>
          <w:iCs w:val="0"/>
          <w:snapToGrid w:val="0"/>
          <w:color w:val="auto"/>
          <w:kern w:val="0"/>
          <w:sz w:val="24"/>
          <w:szCs w:val="24"/>
          <w:highlight w:val="none"/>
          <w:u w:val="single"/>
        </w:rPr>
        <w:t>）</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元</w:t>
      </w:r>
      <w:r>
        <w:rPr>
          <w:rFonts w:hint="eastAsia" w:ascii="宋体" w:hAnsi="宋体" w:eastAsia="宋体" w:cs="宋体"/>
          <w:i w:val="0"/>
          <w:iCs w:val="0"/>
          <w:color w:val="auto"/>
          <w:spacing w:val="-92"/>
          <w:sz w:val="24"/>
          <w:szCs w:val="24"/>
          <w:highlight w:val="none"/>
        </w:rPr>
        <w:t>，</w:t>
      </w:r>
      <w:r>
        <w:rPr>
          <w:rFonts w:hint="eastAsia" w:ascii="宋体" w:hAnsi="宋体" w:eastAsia="宋体" w:cs="宋体"/>
          <w:i w:val="0"/>
          <w:iCs w:val="0"/>
          <w:color w:val="auto"/>
          <w:sz w:val="24"/>
          <w:szCs w:val="24"/>
          <w:highlight w:val="none"/>
        </w:rPr>
        <w:t>由委托人按专用合同条款约定的方式</w:t>
      </w:r>
      <w:r>
        <w:rPr>
          <w:rFonts w:hint="eastAsia" w:ascii="宋体" w:hAnsi="宋体" w:eastAsia="宋体" w:cs="宋体"/>
          <w:i w:val="0"/>
          <w:iCs w:val="0"/>
          <w:color w:val="auto"/>
          <w:spacing w:val="-17"/>
          <w:sz w:val="24"/>
          <w:szCs w:val="24"/>
          <w:highlight w:val="none"/>
        </w:rPr>
        <w:t>、</w:t>
      </w:r>
      <w:r>
        <w:rPr>
          <w:rFonts w:hint="eastAsia" w:ascii="宋体" w:hAnsi="宋体" w:eastAsia="宋体" w:cs="宋体"/>
          <w:i w:val="0"/>
          <w:iCs w:val="0"/>
          <w:color w:val="auto"/>
          <w:sz w:val="24"/>
          <w:szCs w:val="24"/>
          <w:highlight w:val="none"/>
        </w:rPr>
        <w:t>时间向监理人结算支付。</w:t>
      </w:r>
    </w:p>
    <w:p w14:paraId="7D3681BB">
      <w:pPr>
        <w:pStyle w:val="3"/>
        <w:spacing w:line="360" w:lineRule="auto"/>
        <w:ind w:left="818" w:right="5805" w:hanging="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
          <w:sz w:val="24"/>
          <w:szCs w:val="24"/>
          <w:highlight w:val="none"/>
        </w:rPr>
        <w:t>五、监理合同的组成文件及解释顺序</w:t>
      </w:r>
      <w:r>
        <w:rPr>
          <w:rFonts w:hint="eastAsia" w:ascii="宋体" w:hAnsi="宋体" w:eastAsia="宋体" w:cs="宋体"/>
          <w:i w:val="0"/>
          <w:iCs w:val="0"/>
          <w:color w:val="auto"/>
          <w:spacing w:val="-1"/>
          <w:sz w:val="24"/>
          <w:szCs w:val="24"/>
          <w:highlight w:val="none"/>
        </w:rPr>
        <w:t>1</w:t>
      </w:r>
      <w:r>
        <w:rPr>
          <w:rFonts w:hint="eastAsia" w:ascii="宋体" w:hAnsi="宋体" w:eastAsia="宋体" w:cs="宋体"/>
          <w:i w:val="0"/>
          <w:iCs w:val="0"/>
          <w:color w:val="auto"/>
          <w:sz w:val="24"/>
          <w:szCs w:val="24"/>
          <w:highlight w:val="none"/>
        </w:rPr>
        <w:t>、监理合同书（含</w:t>
      </w:r>
      <w:r>
        <w:rPr>
          <w:rFonts w:hint="eastAsia" w:ascii="宋体" w:hAnsi="宋体" w:eastAsia="宋体" w:cs="宋体"/>
          <w:i w:val="0"/>
          <w:iCs w:val="0"/>
          <w:color w:val="auto"/>
          <w:spacing w:val="-2"/>
          <w:sz w:val="24"/>
          <w:szCs w:val="24"/>
          <w:highlight w:val="none"/>
        </w:rPr>
        <w:t>补充协议）；</w:t>
      </w:r>
    </w:p>
    <w:p w14:paraId="52AFF0B8">
      <w:pPr>
        <w:pStyle w:val="3"/>
        <w:spacing w:line="307" w:lineRule="exact"/>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2</w:t>
      </w:r>
      <w:r>
        <w:rPr>
          <w:rFonts w:hint="eastAsia" w:ascii="宋体" w:hAnsi="宋体" w:eastAsia="宋体" w:cs="宋体"/>
          <w:i w:val="0"/>
          <w:iCs w:val="0"/>
          <w:color w:val="auto"/>
          <w:sz w:val="24"/>
          <w:szCs w:val="24"/>
          <w:highlight w:val="none"/>
        </w:rPr>
        <w:t>、中标通知书；</w:t>
      </w:r>
    </w:p>
    <w:p w14:paraId="518AD701">
      <w:pPr>
        <w:pStyle w:val="3"/>
        <w:spacing w:before="148"/>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3</w:t>
      </w:r>
      <w:r>
        <w:rPr>
          <w:rFonts w:hint="eastAsia" w:ascii="宋体" w:hAnsi="宋体" w:eastAsia="宋体" w:cs="宋体"/>
          <w:i w:val="0"/>
          <w:iCs w:val="0"/>
          <w:color w:val="auto"/>
          <w:sz w:val="24"/>
          <w:szCs w:val="24"/>
          <w:highlight w:val="none"/>
        </w:rPr>
        <w:t>、投标报价书；</w:t>
      </w:r>
    </w:p>
    <w:p w14:paraId="20F4D816">
      <w:pPr>
        <w:pStyle w:val="3"/>
        <w:spacing w:before="4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4</w:t>
      </w:r>
      <w:r>
        <w:rPr>
          <w:rFonts w:hint="eastAsia" w:ascii="宋体" w:hAnsi="宋体" w:eastAsia="宋体" w:cs="宋体"/>
          <w:i w:val="0"/>
          <w:iCs w:val="0"/>
          <w:color w:val="auto"/>
          <w:sz w:val="24"/>
          <w:szCs w:val="24"/>
          <w:highlight w:val="none"/>
        </w:rPr>
        <w:t>、专用合同条款；</w:t>
      </w:r>
    </w:p>
    <w:p w14:paraId="3983418C">
      <w:pPr>
        <w:pStyle w:val="3"/>
        <w:spacing w:before="15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5</w:t>
      </w:r>
      <w:r>
        <w:rPr>
          <w:rFonts w:hint="eastAsia" w:ascii="宋体" w:hAnsi="宋体" w:eastAsia="宋体" w:cs="宋体"/>
          <w:i w:val="0"/>
          <w:iCs w:val="0"/>
          <w:color w:val="auto"/>
          <w:sz w:val="24"/>
          <w:szCs w:val="24"/>
          <w:highlight w:val="none"/>
        </w:rPr>
        <w:t>、通用合同条款；</w:t>
      </w:r>
    </w:p>
    <w:p w14:paraId="6A195C04">
      <w:pPr>
        <w:pStyle w:val="3"/>
        <w:spacing w:before="151"/>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6、监理大纲；</w:t>
      </w:r>
    </w:p>
    <w:p w14:paraId="57578170">
      <w:pPr>
        <w:pStyle w:val="3"/>
        <w:spacing w:before="15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7、双方确认需进入合同的其他文件。</w:t>
      </w:r>
    </w:p>
    <w:p w14:paraId="0DEB0F54">
      <w:pPr>
        <w:pStyle w:val="3"/>
        <w:spacing w:before="153" w:line="357" w:lineRule="auto"/>
        <w:ind w:right="441"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六、本合同书经双方法定代表人签章或其授权代表人签署全姓名并加盖本单位公章后生效。</w:t>
      </w:r>
    </w:p>
    <w:p w14:paraId="7D401FC0">
      <w:pPr>
        <w:pStyle w:val="3"/>
        <w:spacing w:before="3" w:line="360" w:lineRule="auto"/>
        <w:ind w:right="437"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七、本合同书正本一式贰份，具有同等法律效力，由双方各执一份；副本</w:t>
      </w:r>
      <w:r>
        <w:rPr>
          <w:rFonts w:hint="eastAsia" w:ascii="宋体" w:hAnsi="宋体" w:eastAsia="宋体" w:cs="宋体"/>
          <w:i w:val="0"/>
          <w:iCs w:val="0"/>
          <w:color w:val="auto"/>
          <w:sz w:val="24"/>
          <w:szCs w:val="24"/>
          <w:highlight w:val="none"/>
          <w:u w:val="single"/>
        </w:rPr>
        <w:t xml:space="preserve"> 陆 </w:t>
      </w:r>
      <w:r>
        <w:rPr>
          <w:rFonts w:hint="eastAsia" w:ascii="宋体" w:hAnsi="宋体" w:eastAsia="宋体" w:cs="宋体"/>
          <w:i w:val="0"/>
          <w:iCs w:val="0"/>
          <w:color w:val="auto"/>
          <w:sz w:val="24"/>
          <w:szCs w:val="24"/>
          <w:highlight w:val="none"/>
        </w:rPr>
        <w:t>份，委托人执</w:t>
      </w:r>
      <w:r>
        <w:rPr>
          <w:rFonts w:hint="eastAsia" w:ascii="宋体" w:hAnsi="宋体" w:eastAsia="宋体" w:cs="宋体"/>
          <w:i w:val="0"/>
          <w:iCs w:val="0"/>
          <w:color w:val="auto"/>
          <w:sz w:val="24"/>
          <w:szCs w:val="24"/>
          <w:highlight w:val="none"/>
          <w:u w:val="single"/>
        </w:rPr>
        <w:t xml:space="preserve"> 肆 </w:t>
      </w:r>
      <w:r>
        <w:rPr>
          <w:rFonts w:hint="eastAsia" w:ascii="宋体" w:hAnsi="宋体" w:eastAsia="宋体" w:cs="宋体"/>
          <w:i w:val="0"/>
          <w:iCs w:val="0"/>
          <w:color w:val="auto"/>
          <w:sz w:val="24"/>
          <w:szCs w:val="24"/>
          <w:highlight w:val="none"/>
        </w:rPr>
        <w:t>份，监理人执</w:t>
      </w:r>
      <w:r>
        <w:rPr>
          <w:rFonts w:hint="eastAsia" w:ascii="宋体" w:hAnsi="宋体" w:eastAsia="宋体" w:cs="宋体"/>
          <w:i w:val="0"/>
          <w:iCs w:val="0"/>
          <w:color w:val="auto"/>
          <w:sz w:val="24"/>
          <w:szCs w:val="24"/>
          <w:highlight w:val="none"/>
          <w:u w:val="single"/>
        </w:rPr>
        <w:t xml:space="preserve"> 贰 </w:t>
      </w:r>
      <w:r>
        <w:rPr>
          <w:rFonts w:hint="eastAsia" w:ascii="宋体" w:hAnsi="宋体" w:eastAsia="宋体" w:cs="宋体"/>
          <w:i w:val="0"/>
          <w:iCs w:val="0"/>
          <w:color w:val="auto"/>
          <w:sz w:val="24"/>
          <w:szCs w:val="24"/>
          <w:highlight w:val="none"/>
        </w:rPr>
        <w:t>份。</w:t>
      </w:r>
    </w:p>
    <w:p w14:paraId="723DEB8D">
      <w:pPr>
        <w:pStyle w:val="3"/>
        <w:spacing w:before="10"/>
        <w:rPr>
          <w:rFonts w:hint="eastAsia" w:ascii="宋体" w:hAnsi="宋体" w:eastAsia="宋体" w:cs="宋体"/>
          <w:i w:val="0"/>
          <w:iCs w:val="0"/>
          <w:color w:val="auto"/>
          <w:sz w:val="24"/>
          <w:szCs w:val="24"/>
          <w:highlight w:val="none"/>
        </w:rPr>
      </w:pPr>
    </w:p>
    <w:p w14:paraId="4A678677">
      <w:pPr>
        <w:pStyle w:val="3"/>
        <w:tabs>
          <w:tab w:val="left" w:pos="5139"/>
        </w:tabs>
        <w:ind w:left="33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监理人：</w:t>
      </w:r>
    </w:p>
    <w:p w14:paraId="595811BF">
      <w:pPr>
        <w:pStyle w:val="3"/>
        <w:tabs>
          <w:tab w:val="left" w:pos="2138"/>
          <w:tab w:val="left" w:pos="2378"/>
          <w:tab w:val="left" w:pos="2618"/>
          <w:tab w:val="left" w:pos="3634"/>
          <w:tab w:val="left" w:pos="3699"/>
          <w:tab w:val="left" w:pos="3939"/>
          <w:tab w:val="left" w:pos="4179"/>
          <w:tab w:val="left" w:pos="5139"/>
          <w:tab w:val="left" w:pos="6939"/>
          <w:tab w:val="left" w:pos="7179"/>
          <w:tab w:val="left" w:pos="7419"/>
          <w:tab w:val="left" w:pos="8435"/>
          <w:tab w:val="left" w:pos="8500"/>
          <w:tab w:val="left" w:pos="8740"/>
          <w:tab w:val="left" w:pos="8980"/>
        </w:tabs>
        <w:spacing w:before="153" w:line="360" w:lineRule="auto"/>
        <w:ind w:left="338" w:right="1004"/>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委 托</w:t>
      </w:r>
      <w:r>
        <w:rPr>
          <w:rFonts w:hint="eastAsia" w:ascii="宋体" w:hAnsi="宋体" w:eastAsia="宋体" w:cs="宋体"/>
          <w:i w:val="0"/>
          <w:iCs w:val="0"/>
          <w:color w:val="auto"/>
          <w:spacing w:val="-1"/>
          <w:sz w:val="24"/>
          <w:szCs w:val="24"/>
          <w:highlight w:val="none"/>
        </w:rPr>
        <w:t xml:space="preserve"> </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（盖章）</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监 理 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（盖章）</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 xml:space="preserve">   法定代表人：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（签名）</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法定代表人：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（签名）</w:t>
      </w:r>
      <w:r>
        <w:rPr>
          <w:rFonts w:hint="eastAsia" w:ascii="宋体" w:hAnsi="宋体" w:eastAsia="宋体" w:cs="宋体"/>
          <w:i w:val="0"/>
          <w:iCs w:val="0"/>
          <w:color w:val="auto"/>
          <w:sz w:val="24"/>
          <w:szCs w:val="24"/>
          <w:highlight w:val="none"/>
        </w:rPr>
        <w:t xml:space="preserve"> 或授权代表人：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（签名）</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或授权代表人：</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（签名）</w:t>
      </w:r>
    </w:p>
    <w:p w14:paraId="3A349964">
      <w:pPr>
        <w:pStyle w:val="3"/>
        <w:tabs>
          <w:tab w:val="left" w:pos="2138"/>
          <w:tab w:val="left" w:pos="2378"/>
          <w:tab w:val="left" w:pos="2618"/>
          <w:tab w:val="left" w:pos="3634"/>
          <w:tab w:val="left" w:pos="3699"/>
          <w:tab w:val="left" w:pos="3939"/>
          <w:tab w:val="left" w:pos="4179"/>
          <w:tab w:val="left" w:pos="5139"/>
          <w:tab w:val="left" w:pos="6939"/>
          <w:tab w:val="left" w:pos="7179"/>
          <w:tab w:val="left" w:pos="7419"/>
          <w:tab w:val="left" w:pos="8435"/>
          <w:tab w:val="left" w:pos="8500"/>
          <w:tab w:val="left" w:pos="8740"/>
          <w:tab w:val="left" w:pos="8980"/>
        </w:tabs>
        <w:spacing w:before="153" w:line="360" w:lineRule="auto"/>
        <w:ind w:left="338" w:right="100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单位地址：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单位地址：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p>
    <w:p w14:paraId="529BDA70">
      <w:pPr>
        <w:pStyle w:val="3"/>
        <w:tabs>
          <w:tab w:val="left" w:pos="3634"/>
          <w:tab w:val="left" w:pos="5139"/>
          <w:tab w:val="left" w:pos="8435"/>
        </w:tabs>
        <w:spacing w:line="360" w:lineRule="auto"/>
        <w:ind w:left="338" w:right="1549"/>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邮政编码：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邮政编码：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电  </w:t>
      </w:r>
      <w:r>
        <w:rPr>
          <w:rFonts w:hint="eastAsia" w:ascii="宋体" w:hAnsi="宋体" w:eastAsia="宋体" w:cs="宋体"/>
          <w:i w:val="0"/>
          <w:iCs w:val="0"/>
          <w:color w:val="auto"/>
          <w:spacing w:val="119"/>
          <w:sz w:val="24"/>
          <w:szCs w:val="24"/>
          <w:highlight w:val="none"/>
        </w:rPr>
        <w:t xml:space="preserve"> </w:t>
      </w:r>
      <w:r>
        <w:rPr>
          <w:rFonts w:hint="eastAsia" w:ascii="宋体" w:hAnsi="宋体" w:eastAsia="宋体" w:cs="宋体"/>
          <w:i w:val="0"/>
          <w:iCs w:val="0"/>
          <w:color w:val="auto"/>
          <w:sz w:val="24"/>
          <w:szCs w:val="24"/>
          <w:highlight w:val="none"/>
        </w:rPr>
        <w:t>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 xml:space="preserve">电  </w:t>
      </w:r>
      <w:r>
        <w:rPr>
          <w:rFonts w:hint="eastAsia" w:ascii="宋体" w:hAnsi="宋体" w:eastAsia="宋体" w:cs="宋体"/>
          <w:i w:val="0"/>
          <w:iCs w:val="0"/>
          <w:color w:val="auto"/>
          <w:spacing w:val="120"/>
          <w:sz w:val="24"/>
          <w:szCs w:val="24"/>
          <w:highlight w:val="none"/>
        </w:rPr>
        <w:t xml:space="preserve"> </w:t>
      </w:r>
      <w:r>
        <w:rPr>
          <w:rFonts w:hint="eastAsia" w:ascii="宋体" w:hAnsi="宋体" w:eastAsia="宋体" w:cs="宋体"/>
          <w:i w:val="0"/>
          <w:iCs w:val="0"/>
          <w:color w:val="auto"/>
          <w:sz w:val="24"/>
          <w:szCs w:val="24"/>
          <w:highlight w:val="none"/>
        </w:rPr>
        <w:t>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电子信箱：</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电子信箱：</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传  </w:t>
      </w:r>
      <w:r>
        <w:rPr>
          <w:rFonts w:hint="eastAsia" w:ascii="宋体" w:hAnsi="宋体" w:eastAsia="宋体" w:cs="宋体"/>
          <w:i w:val="0"/>
          <w:iCs w:val="0"/>
          <w:color w:val="auto"/>
          <w:spacing w:val="119"/>
          <w:sz w:val="24"/>
          <w:szCs w:val="24"/>
          <w:highlight w:val="none"/>
        </w:rPr>
        <w:t xml:space="preserve"> </w:t>
      </w:r>
      <w:r>
        <w:rPr>
          <w:rFonts w:hint="eastAsia" w:ascii="宋体" w:hAnsi="宋体" w:eastAsia="宋体" w:cs="宋体"/>
          <w:i w:val="0"/>
          <w:iCs w:val="0"/>
          <w:color w:val="auto"/>
          <w:sz w:val="24"/>
          <w:szCs w:val="24"/>
          <w:highlight w:val="none"/>
        </w:rPr>
        <w:t>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 xml:space="preserve">传  </w:t>
      </w:r>
      <w:r>
        <w:rPr>
          <w:rFonts w:hint="eastAsia" w:ascii="宋体" w:hAnsi="宋体" w:eastAsia="宋体" w:cs="宋体"/>
          <w:i w:val="0"/>
          <w:iCs w:val="0"/>
          <w:color w:val="auto"/>
          <w:spacing w:val="120"/>
          <w:sz w:val="24"/>
          <w:szCs w:val="24"/>
          <w:highlight w:val="none"/>
        </w:rPr>
        <w:t xml:space="preserve"> </w:t>
      </w:r>
      <w:r>
        <w:rPr>
          <w:rFonts w:hint="eastAsia" w:ascii="宋体" w:hAnsi="宋体" w:eastAsia="宋体" w:cs="宋体"/>
          <w:i w:val="0"/>
          <w:iCs w:val="0"/>
          <w:color w:val="auto"/>
          <w:sz w:val="24"/>
          <w:szCs w:val="24"/>
          <w:highlight w:val="none"/>
        </w:rPr>
        <w:t>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开户银行：</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开户银行：</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账  </w:t>
      </w:r>
      <w:r>
        <w:rPr>
          <w:rFonts w:hint="eastAsia" w:ascii="宋体" w:hAnsi="宋体" w:eastAsia="宋体" w:cs="宋体"/>
          <w:i w:val="0"/>
          <w:iCs w:val="0"/>
          <w:color w:val="auto"/>
          <w:spacing w:val="119"/>
          <w:sz w:val="24"/>
          <w:szCs w:val="24"/>
          <w:highlight w:val="none"/>
        </w:rPr>
        <w:t xml:space="preserve"> </w:t>
      </w:r>
      <w:r>
        <w:rPr>
          <w:rFonts w:hint="eastAsia" w:ascii="宋体" w:hAnsi="宋体" w:eastAsia="宋体" w:cs="宋体"/>
          <w:i w:val="0"/>
          <w:iCs w:val="0"/>
          <w:color w:val="auto"/>
          <w:sz w:val="24"/>
          <w:szCs w:val="24"/>
          <w:highlight w:val="none"/>
        </w:rPr>
        <w:t>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 xml:space="preserve">账  </w:t>
      </w:r>
      <w:r>
        <w:rPr>
          <w:rFonts w:hint="eastAsia" w:ascii="宋体" w:hAnsi="宋体" w:eastAsia="宋体" w:cs="宋体"/>
          <w:i w:val="0"/>
          <w:iCs w:val="0"/>
          <w:color w:val="auto"/>
          <w:spacing w:val="120"/>
          <w:sz w:val="24"/>
          <w:szCs w:val="24"/>
          <w:highlight w:val="none"/>
        </w:rPr>
        <w:t xml:space="preserve"> </w:t>
      </w:r>
      <w:r>
        <w:rPr>
          <w:rFonts w:hint="eastAsia" w:ascii="宋体" w:hAnsi="宋体" w:eastAsia="宋体" w:cs="宋体"/>
          <w:i w:val="0"/>
          <w:iCs w:val="0"/>
          <w:color w:val="auto"/>
          <w:sz w:val="24"/>
          <w:szCs w:val="24"/>
          <w:highlight w:val="none"/>
        </w:rPr>
        <w:t>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pacing w:val="-1"/>
          <w:sz w:val="24"/>
          <w:szCs w:val="24"/>
          <w:highlight w:val="none"/>
          <w:u w:val="single"/>
        </w:rPr>
        <w:t xml:space="preserve">               </w:t>
      </w:r>
      <w:r>
        <w:rPr>
          <w:rFonts w:hint="eastAsia" w:ascii="宋体" w:hAnsi="宋体" w:eastAsia="宋体" w:cs="宋体"/>
          <w:i w:val="0"/>
          <w:iCs w:val="0"/>
          <w:color w:val="auto"/>
          <w:spacing w:val="15"/>
          <w:sz w:val="24"/>
          <w:szCs w:val="24"/>
          <w:highlight w:val="none"/>
          <w:u w:val="single"/>
        </w:rPr>
        <w:t xml:space="preserve"> </w:t>
      </w:r>
      <w:r>
        <w:rPr>
          <w:rFonts w:hint="eastAsia" w:ascii="宋体" w:hAnsi="宋体" w:eastAsia="宋体" w:cs="宋体"/>
          <w:i w:val="0"/>
          <w:iCs w:val="0"/>
          <w:color w:val="auto"/>
          <w:spacing w:val="-1"/>
          <w:sz w:val="24"/>
          <w:szCs w:val="24"/>
          <w:highlight w:val="none"/>
        </w:rPr>
        <w:t>签</w:t>
      </w:r>
      <w:r>
        <w:rPr>
          <w:rFonts w:hint="eastAsia" w:ascii="宋体" w:hAnsi="宋体" w:eastAsia="宋体" w:cs="宋体"/>
          <w:i w:val="0"/>
          <w:iCs w:val="0"/>
          <w:color w:val="auto"/>
          <w:sz w:val="24"/>
          <w:szCs w:val="24"/>
          <w:highlight w:val="none"/>
        </w:rPr>
        <w:t>订地点：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0210080D">
      <w:pPr>
        <w:pStyle w:val="3"/>
        <w:tabs>
          <w:tab w:val="left" w:pos="2138"/>
          <w:tab w:val="left" w:pos="2859"/>
          <w:tab w:val="left" w:pos="3459"/>
        </w:tabs>
        <w:spacing w:line="300" w:lineRule="exact"/>
        <w:ind w:left="33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日</w:t>
      </w:r>
    </w:p>
    <w:p w14:paraId="191BA770">
      <w:pPr>
        <w:spacing w:after="0" w:line="300" w:lineRule="exact"/>
        <w:rPr>
          <w:rFonts w:hint="eastAsia" w:ascii="宋体" w:hAnsi="宋体" w:eastAsia="宋体" w:cs="宋体"/>
          <w:i w:val="0"/>
          <w:iCs w:val="0"/>
          <w:color w:val="auto"/>
          <w:sz w:val="24"/>
          <w:szCs w:val="24"/>
          <w:highlight w:val="none"/>
        </w:rPr>
        <w:sectPr>
          <w:pgSz w:w="11910" w:h="16840"/>
          <w:pgMar w:top="1540" w:right="840" w:bottom="1180" w:left="1080" w:header="0" w:footer="919" w:gutter="0"/>
          <w:cols w:space="720" w:num="1"/>
        </w:sectPr>
      </w:pPr>
    </w:p>
    <w:p w14:paraId="648ED5CB">
      <w:pPr>
        <w:tabs>
          <w:tab w:val="left" w:pos="4880"/>
        </w:tabs>
        <w:spacing w:before="43" w:line="355" w:lineRule="auto"/>
        <w:ind w:left="3855" w:right="3659" w:hanging="303"/>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第一部分</w:t>
      </w:r>
      <w:r>
        <w:rPr>
          <w:rFonts w:hint="eastAsia" w:ascii="宋体" w:hAnsi="宋体" w:eastAsia="宋体" w:cs="宋体"/>
          <w:b/>
          <w:i w:val="0"/>
          <w:iCs w:val="0"/>
          <w:color w:val="auto"/>
          <w:sz w:val="24"/>
          <w:szCs w:val="24"/>
          <w:highlight w:val="none"/>
        </w:rPr>
        <w:tab/>
      </w:r>
      <w:r>
        <w:rPr>
          <w:rFonts w:hint="eastAsia" w:ascii="宋体" w:hAnsi="宋体" w:eastAsia="宋体" w:cs="宋体"/>
          <w:b/>
          <w:i w:val="0"/>
          <w:iCs w:val="0"/>
          <w:color w:val="auto"/>
          <w:sz w:val="24"/>
          <w:szCs w:val="24"/>
          <w:highlight w:val="none"/>
        </w:rPr>
        <w:t>通用合同条</w:t>
      </w:r>
      <w:r>
        <w:rPr>
          <w:rFonts w:hint="eastAsia" w:ascii="宋体" w:hAnsi="宋体" w:eastAsia="宋体" w:cs="宋体"/>
          <w:b/>
          <w:i w:val="0"/>
          <w:iCs w:val="0"/>
          <w:color w:val="auto"/>
          <w:spacing w:val="-17"/>
          <w:sz w:val="24"/>
          <w:szCs w:val="24"/>
          <w:highlight w:val="none"/>
        </w:rPr>
        <w:t>款</w:t>
      </w:r>
      <w:r>
        <w:rPr>
          <w:rFonts w:hint="eastAsia" w:ascii="宋体" w:hAnsi="宋体" w:eastAsia="宋体" w:cs="宋体"/>
          <w:b/>
          <w:i w:val="0"/>
          <w:iCs w:val="0"/>
          <w:color w:val="auto"/>
          <w:sz w:val="24"/>
          <w:szCs w:val="24"/>
          <w:highlight w:val="none"/>
        </w:rPr>
        <w:t>词语涵义及适用语言</w:t>
      </w:r>
    </w:p>
    <w:p w14:paraId="16BE88AB">
      <w:pPr>
        <w:pStyle w:val="3"/>
        <w:spacing w:line="300" w:lineRule="exact"/>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第一条 下列名词和用语，除上下文另有规定外，具有本条所赋予的涵义：</w:t>
      </w:r>
    </w:p>
    <w:p w14:paraId="01D94C7A">
      <w:pPr>
        <w:pStyle w:val="3"/>
        <w:spacing w:before="143" w:line="350" w:lineRule="auto"/>
        <w:ind w:left="338" w:right="445"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3"/>
          <w:sz w:val="24"/>
          <w:szCs w:val="24"/>
          <w:highlight w:val="none"/>
        </w:rPr>
        <w:t>一、“委托人”指承担工程建设项目直接建设管理责任，委托监理业务的法人或其</w:t>
      </w:r>
      <w:r>
        <w:rPr>
          <w:rFonts w:hint="eastAsia" w:ascii="宋体" w:hAnsi="宋体" w:eastAsia="宋体" w:cs="宋体"/>
          <w:i w:val="0"/>
          <w:iCs w:val="0"/>
          <w:color w:val="auto"/>
          <w:sz w:val="24"/>
          <w:szCs w:val="24"/>
          <w:highlight w:val="none"/>
        </w:rPr>
        <w:t>合法继承人。</w:t>
      </w:r>
    </w:p>
    <w:p w14:paraId="2FD456E5">
      <w:pPr>
        <w:pStyle w:val="3"/>
        <w:spacing w:before="2"/>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二、“监理人”指受委托人委托，提供监理服务的法人或其合法继承人。</w:t>
      </w:r>
    </w:p>
    <w:p w14:paraId="5951C241">
      <w:pPr>
        <w:pStyle w:val="3"/>
        <w:spacing w:before="142" w:line="352" w:lineRule="auto"/>
        <w:ind w:left="338" w:right="371"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三、“承包人”指与委托人（委托人）签订了施工合同，承担工程施工的法人或其合法继承人。</w:t>
      </w:r>
    </w:p>
    <w:p w14:paraId="65E7EC6E">
      <w:pPr>
        <w:pStyle w:val="3"/>
        <w:spacing w:line="352" w:lineRule="auto"/>
        <w:ind w:left="338" w:right="445"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3"/>
          <w:sz w:val="24"/>
          <w:szCs w:val="24"/>
          <w:highlight w:val="none"/>
        </w:rPr>
        <w:t>四、“监理机构”指监理人派驻工程现场直接开展监理业务的组织，由总监理工程</w:t>
      </w:r>
      <w:r>
        <w:rPr>
          <w:rFonts w:hint="eastAsia" w:ascii="宋体" w:hAnsi="宋体" w:eastAsia="宋体" w:cs="宋体"/>
          <w:i w:val="0"/>
          <w:iCs w:val="0"/>
          <w:color w:val="auto"/>
          <w:sz w:val="24"/>
          <w:szCs w:val="24"/>
          <w:highlight w:val="none"/>
        </w:rPr>
        <w:t>师、监理工程师和监理员以及其他人员组成。</w:t>
      </w:r>
    </w:p>
    <w:p w14:paraId="1D7512DF">
      <w:pPr>
        <w:pStyle w:val="3"/>
        <w:spacing w:line="303" w:lineRule="exact"/>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五、“监理项目”是指委托人委托监理人实施建设监理的工程建设项目。</w:t>
      </w:r>
    </w:p>
    <w:p w14:paraId="0DD7BCBA">
      <w:pPr>
        <w:pStyle w:val="3"/>
        <w:spacing w:before="140" w:line="350" w:lineRule="auto"/>
        <w:ind w:left="338" w:right="445"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3"/>
          <w:sz w:val="24"/>
          <w:szCs w:val="24"/>
          <w:highlight w:val="none"/>
        </w:rPr>
        <w:t>六、“服务”是指监理人根据监理合同约定所承担的各项工作，包括正常服务和附</w:t>
      </w:r>
      <w:r>
        <w:rPr>
          <w:rFonts w:hint="eastAsia" w:ascii="宋体" w:hAnsi="宋体" w:eastAsia="宋体" w:cs="宋体"/>
          <w:i w:val="0"/>
          <w:iCs w:val="0"/>
          <w:color w:val="auto"/>
          <w:sz w:val="24"/>
          <w:szCs w:val="24"/>
          <w:highlight w:val="none"/>
        </w:rPr>
        <w:t>加服务。</w:t>
      </w:r>
    </w:p>
    <w:p w14:paraId="72E3551D">
      <w:pPr>
        <w:pStyle w:val="3"/>
        <w:spacing w:before="2" w:line="350" w:lineRule="auto"/>
        <w:ind w:left="974" w:right="489"/>
        <w:rPr>
          <w:rFonts w:hint="eastAsia" w:ascii="宋体" w:hAnsi="宋体" w:eastAsia="宋体" w:cs="宋体"/>
          <w:i w:val="0"/>
          <w:iCs w:val="0"/>
          <w:color w:val="auto"/>
          <w:spacing w:val="-13"/>
          <w:sz w:val="24"/>
          <w:szCs w:val="24"/>
          <w:highlight w:val="none"/>
        </w:rPr>
      </w:pPr>
      <w:r>
        <w:rPr>
          <w:rFonts w:hint="eastAsia" w:ascii="宋体" w:hAnsi="宋体" w:eastAsia="宋体" w:cs="宋体"/>
          <w:i w:val="0"/>
          <w:iCs w:val="0"/>
          <w:color w:val="auto"/>
          <w:spacing w:val="-13"/>
          <w:sz w:val="24"/>
          <w:szCs w:val="24"/>
          <w:highlight w:val="none"/>
        </w:rPr>
        <w:t>七、“正常服务”指监理人按照合同约定的监理范围、内容和期限所提供的服务。</w:t>
      </w:r>
    </w:p>
    <w:p w14:paraId="6F61C3E9">
      <w:pPr>
        <w:pStyle w:val="3"/>
        <w:spacing w:before="2" w:line="350" w:lineRule="auto"/>
        <w:ind w:left="974" w:right="48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2"/>
          <w:sz w:val="24"/>
          <w:szCs w:val="24"/>
          <w:highlight w:val="none"/>
        </w:rPr>
        <w:t>八、“附加服务”指监理人为委托人提供正常服务以外的服务。</w:t>
      </w:r>
    </w:p>
    <w:p w14:paraId="58BC1597">
      <w:pPr>
        <w:pStyle w:val="3"/>
        <w:spacing w:before="2" w:line="350" w:lineRule="auto"/>
        <w:ind w:left="338" w:right="445"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22"/>
          <w:sz w:val="24"/>
          <w:szCs w:val="24"/>
          <w:highlight w:val="none"/>
        </w:rPr>
        <w:t>九、“服务酬金”指本合同中监理人完成“正常服务”、“附加服务”应得到的正常</w:t>
      </w:r>
      <w:r>
        <w:rPr>
          <w:rFonts w:hint="eastAsia" w:ascii="宋体" w:hAnsi="宋体" w:eastAsia="宋体" w:cs="宋体"/>
          <w:i w:val="0"/>
          <w:iCs w:val="0"/>
          <w:color w:val="auto"/>
          <w:sz w:val="24"/>
          <w:szCs w:val="24"/>
          <w:highlight w:val="none"/>
        </w:rPr>
        <w:t>服务酬金和附加服务酬金。</w:t>
      </w:r>
    </w:p>
    <w:p w14:paraId="7F482B35">
      <w:pPr>
        <w:pStyle w:val="3"/>
        <w:spacing w:before="3"/>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4"/>
          <w:sz w:val="24"/>
          <w:szCs w:val="24"/>
          <w:highlight w:val="none"/>
        </w:rPr>
        <w:t>十、“天”指日历天。</w:t>
      </w:r>
    </w:p>
    <w:p w14:paraId="15BB92AA">
      <w:pPr>
        <w:pStyle w:val="3"/>
        <w:spacing w:before="141"/>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十一、“现场”指监理项目实施的场所。</w:t>
      </w:r>
    </w:p>
    <w:p w14:paraId="64DF13E0">
      <w:pPr>
        <w:pStyle w:val="3"/>
        <w:spacing w:before="144"/>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第二条 本合同适用的语言文字为汉语文字。</w:t>
      </w:r>
    </w:p>
    <w:p w14:paraId="7AEFAE7E">
      <w:pPr>
        <w:spacing w:before="141"/>
        <w:ind w:left="4457"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监理依据</w:t>
      </w:r>
    </w:p>
    <w:p w14:paraId="68FCCFE8">
      <w:pPr>
        <w:pStyle w:val="3"/>
        <w:spacing w:before="144"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第三条 监理的依据是有关工程建设的法律、法规、规章和规范性文件；工程建设</w:t>
      </w:r>
      <w:r>
        <w:rPr>
          <w:rFonts w:hint="eastAsia" w:ascii="宋体" w:hAnsi="宋体" w:eastAsia="宋体" w:cs="宋体"/>
          <w:i w:val="0"/>
          <w:iCs w:val="0"/>
          <w:color w:val="auto"/>
          <w:spacing w:val="-14"/>
          <w:sz w:val="24"/>
          <w:szCs w:val="24"/>
          <w:highlight w:val="none"/>
        </w:rPr>
        <w:t>强制性条文、有关技术标准；经批准的工程建设项目设计文件及其相关文件；监理合同、</w:t>
      </w:r>
      <w:r>
        <w:rPr>
          <w:rFonts w:hint="eastAsia" w:ascii="宋体" w:hAnsi="宋体" w:eastAsia="宋体" w:cs="宋体"/>
          <w:i w:val="0"/>
          <w:iCs w:val="0"/>
          <w:color w:val="auto"/>
          <w:sz w:val="24"/>
          <w:szCs w:val="24"/>
          <w:highlight w:val="none"/>
        </w:rPr>
        <w:t>施工合同等合同文件。具体内容在专用合同条款中约定。</w:t>
      </w:r>
    </w:p>
    <w:p w14:paraId="599D0D34">
      <w:pPr>
        <w:spacing w:before="2"/>
        <w:ind w:left="466" w:right="570"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通知和联系</w:t>
      </w:r>
    </w:p>
    <w:p w14:paraId="65F2BD6F">
      <w:pPr>
        <w:pStyle w:val="3"/>
        <w:spacing w:before="144"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第四条 委托人应指定一名联系人，负责与监理机构联系。更换联系人时，应提前通知监理人。</w:t>
      </w:r>
    </w:p>
    <w:p w14:paraId="4786B6FF">
      <w:pPr>
        <w:pStyle w:val="3"/>
        <w:spacing w:before="2" w:line="350" w:lineRule="auto"/>
        <w:ind w:left="338" w:right="440"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第五条 在监理合同实施过程中，双方的联系均应以书面函件为准。在不做出紧急</w:t>
      </w:r>
      <w:r>
        <w:rPr>
          <w:rFonts w:hint="eastAsia" w:ascii="宋体" w:hAnsi="宋体" w:eastAsia="宋体" w:cs="宋体"/>
          <w:i w:val="0"/>
          <w:iCs w:val="0"/>
          <w:color w:val="auto"/>
          <w:spacing w:val="-6"/>
          <w:sz w:val="24"/>
          <w:szCs w:val="24"/>
          <w:highlight w:val="none"/>
        </w:rPr>
        <w:t xml:space="preserve">处理即可能导致安全、质量事故的情况下，可先以口头形式通知，并在 </w:t>
      </w:r>
      <w:r>
        <w:rPr>
          <w:rFonts w:hint="eastAsia" w:ascii="宋体" w:hAnsi="宋体" w:eastAsia="宋体" w:cs="宋体"/>
          <w:i w:val="0"/>
          <w:iCs w:val="0"/>
          <w:color w:val="auto"/>
          <w:sz w:val="24"/>
          <w:szCs w:val="24"/>
          <w:highlight w:val="none"/>
        </w:rPr>
        <w:t>48</w:t>
      </w:r>
      <w:r>
        <w:rPr>
          <w:rFonts w:hint="eastAsia" w:ascii="宋体" w:hAnsi="宋体" w:eastAsia="宋体" w:cs="宋体"/>
          <w:i w:val="0"/>
          <w:iCs w:val="0"/>
          <w:color w:val="auto"/>
          <w:spacing w:val="-11"/>
          <w:sz w:val="24"/>
          <w:szCs w:val="24"/>
          <w:highlight w:val="none"/>
        </w:rPr>
        <w:t xml:space="preserve"> 小时内补做书</w:t>
      </w:r>
      <w:r>
        <w:rPr>
          <w:rFonts w:hint="eastAsia" w:ascii="宋体" w:hAnsi="宋体" w:eastAsia="宋体" w:cs="宋体"/>
          <w:i w:val="0"/>
          <w:iCs w:val="0"/>
          <w:color w:val="auto"/>
          <w:sz w:val="24"/>
          <w:szCs w:val="24"/>
          <w:highlight w:val="none"/>
        </w:rPr>
        <w:t>面通知。</w:t>
      </w:r>
    </w:p>
    <w:p w14:paraId="347333BB">
      <w:pPr>
        <w:pStyle w:val="3"/>
        <w:spacing w:before="144"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第六条 委托人对委托监理范围内工程项目实施的意见和决策，应通过监理机构下达；法律、法规另有规定的除外。</w:t>
      </w:r>
    </w:p>
    <w:p w14:paraId="4EADF790">
      <w:pPr>
        <w:pStyle w:val="3"/>
        <w:ind w:left="17" w:leftChars="8" w:firstLine="402" w:firstLineChars="167"/>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委托人的权利</w:t>
      </w:r>
    </w:p>
    <w:p w14:paraId="2A2E7D5C">
      <w:pPr>
        <w:pStyle w:val="3"/>
        <w:numPr>
          <w:ilvl w:val="0"/>
          <w:numId w:val="0"/>
        </w:numPr>
        <w:spacing w:before="144" w:line="350" w:lineRule="auto"/>
        <w:ind w:right="444" w:rightChars="0" w:firstLine="960" w:firstLineChars="400"/>
        <w:rPr>
          <w:rFonts w:hint="eastAsia" w:ascii="宋体" w:hAnsi="宋体" w:eastAsia="宋体" w:cs="宋体"/>
          <w:i w:val="0"/>
          <w:iCs w:val="0"/>
          <w:color w:val="auto"/>
          <w:spacing w:val="-19"/>
          <w:sz w:val="24"/>
          <w:szCs w:val="24"/>
          <w:highlight w:val="none"/>
        </w:rPr>
      </w:pPr>
      <w:r>
        <w:rPr>
          <w:rFonts w:hint="eastAsia" w:ascii="宋体" w:hAnsi="宋体" w:eastAsia="宋体" w:cs="宋体"/>
          <w:i w:val="0"/>
          <w:iCs w:val="0"/>
          <w:color w:val="auto"/>
          <w:sz w:val="24"/>
          <w:szCs w:val="24"/>
          <w:highlight w:val="none"/>
        </w:rPr>
        <w:t>第七条 委托人享有如下权利：</w:t>
      </w:r>
    </w:p>
    <w:p w14:paraId="7F559949">
      <w:pPr>
        <w:pStyle w:val="3"/>
        <w:spacing w:before="144"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一、</w:t>
      </w:r>
      <w:r>
        <w:rPr>
          <w:rFonts w:hint="eastAsia" w:ascii="宋体" w:hAnsi="宋体" w:eastAsia="宋体" w:cs="宋体"/>
          <w:i w:val="0"/>
          <w:iCs w:val="0"/>
          <w:color w:val="auto"/>
          <w:sz w:val="24"/>
          <w:szCs w:val="24"/>
          <w:highlight w:val="none"/>
        </w:rPr>
        <w:t xml:space="preserve">对监理工作进行监督、检查，并提出撤换不能胜任监理工作人员的建议或要求； </w:t>
      </w:r>
    </w:p>
    <w:p w14:paraId="3FE16C4B">
      <w:pPr>
        <w:pStyle w:val="3"/>
        <w:spacing w:before="144"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二、对工程建设中质量、安全、投资、进度方面的重大问题的决策权；</w:t>
      </w:r>
    </w:p>
    <w:p w14:paraId="2CAA8119">
      <w:pPr>
        <w:pStyle w:val="3"/>
        <w:spacing w:before="144"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三、核定监理人签发的工程计量、付款凭证；</w:t>
      </w:r>
    </w:p>
    <w:p w14:paraId="3CC3C075">
      <w:pPr>
        <w:pStyle w:val="3"/>
        <w:spacing w:before="144" w:line="350" w:lineRule="auto"/>
        <w:ind w:left="338" w:right="443" w:firstLine="635"/>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四、要求监理人提交监理月报、监理专题报告、监理工作报告和监理工作总结报告；</w:t>
      </w:r>
    </w:p>
    <w:p w14:paraId="205D551B">
      <w:pPr>
        <w:pStyle w:val="3"/>
        <w:spacing w:before="144"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五、当监理人发生本合同专用条款约定的违约情形时，有权解除本合同。</w:t>
      </w:r>
    </w:p>
    <w:p w14:paraId="1FE4232D">
      <w:pPr>
        <w:spacing w:before="0" w:line="352" w:lineRule="auto"/>
        <w:ind w:left="974" w:right="4322" w:firstLine="3243"/>
        <w:jc w:val="left"/>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监理人的权利</w:t>
      </w:r>
      <w:r>
        <w:rPr>
          <w:rFonts w:hint="eastAsia" w:ascii="宋体" w:hAnsi="宋体" w:eastAsia="宋体" w:cs="宋体"/>
          <w:i w:val="0"/>
          <w:iCs w:val="0"/>
          <w:color w:val="auto"/>
          <w:sz w:val="24"/>
          <w:szCs w:val="24"/>
          <w:highlight w:val="none"/>
        </w:rPr>
        <w:t>第八条 委托人赋予监理人如下工作权利：</w:t>
      </w:r>
    </w:p>
    <w:p w14:paraId="635E6CB6">
      <w:pPr>
        <w:pStyle w:val="3"/>
        <w:spacing w:line="303" w:lineRule="exact"/>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一、审查承包人拟选择的分包项目和分包人，报委托人批准；</w:t>
      </w:r>
    </w:p>
    <w:p w14:paraId="2AC5D9E0">
      <w:pPr>
        <w:pStyle w:val="3"/>
        <w:spacing w:before="140" w:line="350" w:lineRule="auto"/>
        <w:ind w:left="974" w:right="33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二、审查承包人提交的施工组织设计、安全技术措施及专项施工方案等各类文件； 三、核查并签发施工图纸；</w:t>
      </w:r>
    </w:p>
    <w:p w14:paraId="22341B74">
      <w:pPr>
        <w:pStyle w:val="3"/>
        <w:spacing w:before="2" w:line="350" w:lineRule="auto"/>
        <w:ind w:left="338" w:right="444"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四、签发合同项目开工令、暂停施工指示，但应事先征得委托人同意；签发进场通</w:t>
      </w:r>
      <w:r>
        <w:rPr>
          <w:rFonts w:hint="eastAsia" w:ascii="宋体" w:hAnsi="宋体" w:eastAsia="宋体" w:cs="宋体"/>
          <w:i w:val="0"/>
          <w:iCs w:val="0"/>
          <w:color w:val="auto"/>
          <w:sz w:val="24"/>
          <w:szCs w:val="24"/>
          <w:highlight w:val="none"/>
        </w:rPr>
        <w:t>知、复工通知；</w:t>
      </w:r>
    </w:p>
    <w:p w14:paraId="4A296C5F">
      <w:pPr>
        <w:pStyle w:val="3"/>
        <w:spacing w:before="2"/>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五、审核和签发工程计量、付款凭证；</w:t>
      </w:r>
    </w:p>
    <w:p w14:paraId="6DEF49EF">
      <w:pPr>
        <w:pStyle w:val="3"/>
        <w:spacing w:before="142" w:line="352" w:lineRule="auto"/>
        <w:ind w:left="338" w:right="441"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9"/>
          <w:sz w:val="24"/>
          <w:szCs w:val="24"/>
          <w:highlight w:val="none"/>
        </w:rPr>
        <w:t>六、核查承包人现场工作人员数量及相应岗位资格，有权要求承包人撤换不称职的</w:t>
      </w:r>
      <w:r>
        <w:rPr>
          <w:rFonts w:hint="eastAsia" w:ascii="宋体" w:hAnsi="宋体" w:eastAsia="宋体" w:cs="宋体"/>
          <w:i w:val="0"/>
          <w:iCs w:val="0"/>
          <w:color w:val="auto"/>
          <w:sz w:val="24"/>
          <w:szCs w:val="24"/>
          <w:highlight w:val="none"/>
        </w:rPr>
        <w:t>现场工作人员；</w:t>
      </w:r>
    </w:p>
    <w:p w14:paraId="082C2771">
      <w:pPr>
        <w:pStyle w:val="3"/>
        <w:spacing w:line="352" w:lineRule="auto"/>
        <w:ind w:left="338" w:right="441"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9"/>
          <w:sz w:val="24"/>
          <w:szCs w:val="24"/>
          <w:highlight w:val="none"/>
        </w:rPr>
        <w:t>七、发现承包人使用的施工设备影响工程质量或进度时，有权要求承包人增加或更</w:t>
      </w:r>
      <w:r>
        <w:rPr>
          <w:rFonts w:hint="eastAsia" w:ascii="宋体" w:hAnsi="宋体" w:eastAsia="宋体" w:cs="宋体"/>
          <w:i w:val="0"/>
          <w:iCs w:val="0"/>
          <w:color w:val="auto"/>
          <w:sz w:val="24"/>
          <w:szCs w:val="24"/>
          <w:highlight w:val="none"/>
        </w:rPr>
        <w:t>换施工设备；</w:t>
      </w:r>
    </w:p>
    <w:p w14:paraId="0E301731">
      <w:pPr>
        <w:pStyle w:val="3"/>
        <w:spacing w:line="352" w:lineRule="auto"/>
        <w:ind w:left="974" w:right="132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八、当委托人发生本合同专用条款约定的违约情形时，有权解除本合同； 九、专用合同条款约定的其他权利。</w:t>
      </w:r>
    </w:p>
    <w:p w14:paraId="230F53FE">
      <w:pPr>
        <w:spacing w:before="0" w:line="352" w:lineRule="auto"/>
        <w:ind w:left="974" w:right="4322" w:firstLine="3243"/>
        <w:jc w:val="left"/>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委托人的义务</w:t>
      </w:r>
      <w:r>
        <w:rPr>
          <w:rFonts w:hint="eastAsia" w:ascii="宋体" w:hAnsi="宋体" w:eastAsia="宋体" w:cs="宋体"/>
          <w:i w:val="0"/>
          <w:iCs w:val="0"/>
          <w:color w:val="auto"/>
          <w:sz w:val="24"/>
          <w:szCs w:val="24"/>
          <w:highlight w:val="none"/>
        </w:rPr>
        <w:t>第九条 工程建设外部环境的协调工作。</w:t>
      </w:r>
    </w:p>
    <w:p w14:paraId="28F1DA71">
      <w:pPr>
        <w:pStyle w:val="3"/>
        <w:spacing w:line="352"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第十条 按专用合同条款约定的时间、数量、方式，免费向监理机构提供开展监理服务的有关本工程建设的资料。</w:t>
      </w:r>
    </w:p>
    <w:p w14:paraId="4C99CE84">
      <w:pPr>
        <w:pStyle w:val="3"/>
        <w:spacing w:line="352" w:lineRule="auto"/>
        <w:ind w:left="338" w:right="441"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第十一条 在专用合同条款约定的时间内，就监理机构书面提交并要求作出决定的问题作出书面决定，并及时送达监理机构。超过约定的时间，监理机构未收到委托人的</w:t>
      </w:r>
      <w:r>
        <w:rPr>
          <w:rFonts w:hint="eastAsia" w:ascii="宋体" w:hAnsi="宋体" w:eastAsia="宋体" w:cs="宋体"/>
          <w:i w:val="0"/>
          <w:iCs w:val="0"/>
          <w:color w:val="auto"/>
          <w:spacing w:val="-14"/>
          <w:sz w:val="24"/>
          <w:szCs w:val="24"/>
          <w:highlight w:val="none"/>
        </w:rPr>
        <w:t xml:space="preserve">书面决定，且委托人未说明理由，监理机构可认为委托人对其提出的事宜已无不同意见， </w:t>
      </w:r>
      <w:r>
        <w:rPr>
          <w:rFonts w:hint="eastAsia" w:ascii="宋体" w:hAnsi="宋体" w:eastAsia="宋体" w:cs="宋体"/>
          <w:i w:val="0"/>
          <w:iCs w:val="0"/>
          <w:color w:val="auto"/>
          <w:sz w:val="24"/>
          <w:szCs w:val="24"/>
          <w:highlight w:val="none"/>
        </w:rPr>
        <w:t>无须再作确认。</w:t>
      </w:r>
    </w:p>
    <w:p w14:paraId="176A8176">
      <w:pPr>
        <w:pStyle w:val="3"/>
        <w:spacing w:line="300" w:lineRule="exact"/>
        <w:ind w:left="974"/>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第十二条 与承包人签订的施工合同中明确其赋予监理人的权限，并在工程开工前</w:t>
      </w:r>
    </w:p>
    <w:p w14:paraId="5C109A2F">
      <w:pPr>
        <w:pStyle w:val="3"/>
        <w:spacing w:before="55"/>
        <w:ind w:left="33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将监理单位、总监理工程师通知承包人。</w:t>
      </w:r>
    </w:p>
    <w:p w14:paraId="71BC3287">
      <w:pPr>
        <w:pStyle w:val="3"/>
        <w:spacing w:before="144" w:line="350" w:lineRule="auto"/>
        <w:ind w:left="338" w:right="443"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第十三条 提供监理人员在现场的工作和生活条件，具体内容在专用合同条款中明确。如果委托人不能提供上述条件时，应按实际发生费用给予监理人补偿。</w:t>
      </w:r>
    </w:p>
    <w:p w14:paraId="0B0D88DE">
      <w:pPr>
        <w:pStyle w:val="3"/>
        <w:spacing w:before="2"/>
        <w:ind w:left="97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第十四条 按本合同约定及时、足额支付监理服务酬金。</w:t>
      </w:r>
    </w:p>
    <w:p w14:paraId="116C0443">
      <w:pPr>
        <w:pStyle w:val="3"/>
        <w:spacing w:before="141" w:line="352" w:lineRule="auto"/>
        <w:ind w:left="974" w:right="43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第十五条 为监理人指定具有检验、试验资质的机构并承担检验、试验相关费用。第十六条 当维护监理机构工作的独立性，不干涉监理机构正常开展监理业务，不</w:t>
      </w:r>
    </w:p>
    <w:p w14:paraId="20B70B5B">
      <w:pPr>
        <w:pStyle w:val="3"/>
        <w:spacing w:line="352" w:lineRule="auto"/>
        <w:ind w:left="338" w:right="441"/>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擅自作出有悖于监理机构在合同授权范围内所作出的指示和决定；未经监理机构签字确认，不得支付工程款。</w:t>
      </w:r>
    </w:p>
    <w:p w14:paraId="606384AF">
      <w:pPr>
        <w:pStyle w:val="3"/>
        <w:spacing w:line="352" w:lineRule="auto"/>
        <w:ind w:left="338" w:right="443"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第十七条 为监理人员投保人身意外伤害险和第三者责任险。如要求监理人自己投保，则应同意监理人将投保的费用计入报价中。</w:t>
      </w:r>
    </w:p>
    <w:p w14:paraId="58C921AD">
      <w:pPr>
        <w:pStyle w:val="3"/>
        <w:spacing w:line="352" w:lineRule="auto"/>
        <w:ind w:left="974" w:right="44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第十八条 将投保工程险的保险合同提供给监理人作为工程合同管理的一部分。第十九条 未经监理人同意，不得将监理人用于本工程监理服务的任何文件直接或</w:t>
      </w:r>
    </w:p>
    <w:p w14:paraId="6176410A">
      <w:pPr>
        <w:pStyle w:val="3"/>
        <w:spacing w:line="303" w:lineRule="exact"/>
        <w:ind w:left="33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间接用于其他工程建设之中。</w:t>
      </w:r>
    </w:p>
    <w:p w14:paraId="2FC4B29D">
      <w:pPr>
        <w:spacing w:before="133"/>
        <w:ind w:left="466" w:right="570"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监理人的义务</w:t>
      </w:r>
    </w:p>
    <w:p w14:paraId="04DFB000">
      <w:pPr>
        <w:pStyle w:val="3"/>
        <w:spacing w:before="141" w:line="352"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第二十条 本着“守法、诚信、公正、科学”的原则，按照专用合同条款约定的监理服务内容为委托人提供优质服务。</w:t>
      </w:r>
    </w:p>
    <w:p w14:paraId="7DCC64CB">
      <w:pPr>
        <w:pStyle w:val="3"/>
        <w:spacing w:line="350" w:lineRule="auto"/>
        <w:ind w:left="338" w:right="441"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第二十一条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1D77FBD3">
      <w:pPr>
        <w:pStyle w:val="3"/>
        <w:ind w:left="974"/>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第二十二条 发现设计文件不符合有关规定或合同约定时，应向委托人报告。</w:t>
      </w:r>
    </w:p>
    <w:p w14:paraId="615D8516">
      <w:pPr>
        <w:pStyle w:val="3"/>
        <w:spacing w:before="144" w:line="350" w:lineRule="auto"/>
        <w:ind w:left="338" w:right="441"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第二十三条 核验建筑材料、建筑构配件和设备质量，检查、检验并确认工程的施</w:t>
      </w:r>
      <w:r>
        <w:rPr>
          <w:rFonts w:hint="eastAsia" w:ascii="宋体" w:hAnsi="宋体" w:eastAsia="宋体" w:cs="宋体"/>
          <w:i w:val="0"/>
          <w:iCs w:val="0"/>
          <w:color w:val="auto"/>
          <w:sz w:val="24"/>
          <w:szCs w:val="24"/>
          <w:highlight w:val="none"/>
        </w:rPr>
        <w:t>工质量；检查施工安全生产情况。发现存在质量、安全事故隐患，或发生质量、安全事故，应按有关规定及时采取相应的监理措施。</w:t>
      </w:r>
    </w:p>
    <w:p w14:paraId="76538D04">
      <w:pPr>
        <w:pStyle w:val="3"/>
        <w:spacing w:before="3"/>
        <w:ind w:left="974"/>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第二十四条 监督、检查工程施工进度。</w:t>
      </w:r>
    </w:p>
    <w:p w14:paraId="1C506B8C">
      <w:pPr>
        <w:pStyle w:val="3"/>
        <w:spacing w:before="143" w:line="350" w:lineRule="auto"/>
        <w:ind w:left="338" w:right="325"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第二十五条 按照委托人签订的工程保险合同，做好施工现场工程保险合同的管理。</w:t>
      </w:r>
      <w:r>
        <w:rPr>
          <w:rFonts w:hint="eastAsia" w:ascii="宋体" w:hAnsi="宋体" w:eastAsia="宋体" w:cs="宋体"/>
          <w:i w:val="0"/>
          <w:iCs w:val="0"/>
          <w:color w:val="auto"/>
          <w:sz w:val="24"/>
          <w:szCs w:val="24"/>
          <w:highlight w:val="none"/>
        </w:rPr>
        <w:t>协助委托人向保险公司及时提供一切必要的材料和证据。</w:t>
      </w:r>
    </w:p>
    <w:p w14:paraId="63890516">
      <w:pPr>
        <w:pStyle w:val="3"/>
        <w:spacing w:before="2"/>
        <w:ind w:left="974"/>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第二十六条 协调施工合同各方之间的关系。</w:t>
      </w:r>
    </w:p>
    <w:p w14:paraId="7EEDC018">
      <w:pPr>
        <w:pStyle w:val="3"/>
        <w:spacing w:before="142" w:line="352"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第二十七条 按照施工作业程序，采取旁站、巡视、跟踪检验和平行检验等方法实施监理。需要旁站的重要部位和关键工序在专用合同条款中约定。</w:t>
      </w:r>
    </w:p>
    <w:p w14:paraId="5D4A6C93">
      <w:pPr>
        <w:pStyle w:val="3"/>
        <w:spacing w:before="142" w:line="352"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第二十八条 及时做好工程施工过程中各种监理信息的收集、整理和归档，并保证现场记录、试验、检验、检查等资料的完整和真实。</w:t>
      </w:r>
    </w:p>
    <w:p w14:paraId="4A0EE33D">
      <w:pPr>
        <w:pStyle w:val="3"/>
        <w:spacing w:before="144" w:line="350" w:lineRule="auto"/>
        <w:ind w:left="338" w:right="446"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5"/>
          <w:sz w:val="24"/>
          <w:szCs w:val="24"/>
          <w:highlight w:val="none"/>
        </w:rPr>
        <w:t>第二十九条 编制《监理日志》，并应向委托人提交监理月报、监理专题报告、监理</w:t>
      </w:r>
      <w:r>
        <w:rPr>
          <w:rFonts w:hint="eastAsia" w:ascii="宋体" w:hAnsi="宋体" w:eastAsia="宋体" w:cs="宋体"/>
          <w:i w:val="0"/>
          <w:iCs w:val="0"/>
          <w:color w:val="auto"/>
          <w:sz w:val="24"/>
          <w:szCs w:val="24"/>
          <w:highlight w:val="none"/>
        </w:rPr>
        <w:t>工作报告和监理工作总结报告。</w:t>
      </w:r>
    </w:p>
    <w:p w14:paraId="027464FD">
      <w:pPr>
        <w:pStyle w:val="3"/>
        <w:spacing w:before="2" w:line="350" w:lineRule="auto"/>
        <w:ind w:left="338" w:right="443"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第三十条 按有关规定参加工程验收，做好相关配合工作。委托人委托监理人主持的分部工程验收由专用合同条款约定。</w:t>
      </w:r>
    </w:p>
    <w:p w14:paraId="38A9DFEA">
      <w:pPr>
        <w:pStyle w:val="3"/>
        <w:spacing w:before="2" w:line="350" w:lineRule="auto"/>
        <w:ind w:left="338" w:right="325"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4"/>
          <w:sz w:val="24"/>
          <w:szCs w:val="24"/>
          <w:highlight w:val="none"/>
        </w:rPr>
        <w:t>第三十一条 妥善做好委托人所提供的工程建设文件资料的保存、回收及保密工作。</w:t>
      </w:r>
      <w:r>
        <w:rPr>
          <w:rFonts w:hint="eastAsia" w:ascii="宋体" w:hAnsi="宋体" w:eastAsia="宋体" w:cs="宋体"/>
          <w:i w:val="0"/>
          <w:iCs w:val="0"/>
          <w:color w:val="auto"/>
          <w:sz w:val="24"/>
          <w:szCs w:val="24"/>
          <w:highlight w:val="none"/>
        </w:rPr>
        <w:t>在本合同期限内或专用合同条款约定的合同终止后的一定期限内，未征得委托人同意， 不得公开涉及委托人的专利、专有技术或其他需保密的资料，不得泄露与本合同业务有关的技术、商务等秘密。</w:t>
      </w:r>
    </w:p>
    <w:p w14:paraId="550BA9DA">
      <w:pPr>
        <w:spacing w:before="5"/>
        <w:ind w:left="4217"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监理服务酬金</w:t>
      </w:r>
    </w:p>
    <w:p w14:paraId="7B0D7B7B">
      <w:pPr>
        <w:pStyle w:val="3"/>
        <w:spacing w:before="141" w:line="352" w:lineRule="auto"/>
        <w:ind w:left="974" w:right="20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第三十二条 监理正常服务监理酬金的支付时间和支付方式在专用合同条款中约定。第三十三条 除不可抗力外，有下列情形之一且由此引起监理工作量增加或服务期</w:t>
      </w:r>
    </w:p>
    <w:p w14:paraId="4DCE18A2">
      <w:pPr>
        <w:pStyle w:val="3"/>
        <w:spacing w:line="303" w:lineRule="exact"/>
        <w:ind w:left="33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限延长，均应视为监理机构的附加服务，监理人应得到监理附加服务酬金。</w:t>
      </w:r>
    </w:p>
    <w:p w14:paraId="28FCB623">
      <w:pPr>
        <w:pStyle w:val="3"/>
        <w:spacing w:before="144" w:line="350" w:lineRule="auto"/>
        <w:ind w:left="338" w:right="441"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1"/>
          <w:sz w:val="24"/>
          <w:szCs w:val="24"/>
          <w:highlight w:val="none"/>
        </w:rPr>
        <w:t>一、由于委托人、第三方责任、设计变更及不良地质条件等非监理人原因致使正常</w:t>
      </w:r>
      <w:r>
        <w:rPr>
          <w:rFonts w:hint="eastAsia" w:ascii="宋体" w:hAnsi="宋体" w:eastAsia="宋体" w:cs="宋体"/>
          <w:i w:val="0"/>
          <w:iCs w:val="0"/>
          <w:color w:val="auto"/>
          <w:sz w:val="24"/>
          <w:szCs w:val="24"/>
          <w:highlight w:val="none"/>
        </w:rPr>
        <w:t>的监理服务受到阻碍或延误；</w:t>
      </w:r>
    </w:p>
    <w:p w14:paraId="4AACB9F8">
      <w:pPr>
        <w:pStyle w:val="3"/>
        <w:spacing w:before="3" w:line="350" w:lineRule="auto"/>
        <w:ind w:left="338" w:right="441"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0"/>
          <w:sz w:val="24"/>
          <w:szCs w:val="24"/>
          <w:highlight w:val="none"/>
        </w:rPr>
        <w:t>二、在本合同履行过程中，委托人要求监理机构完成监理合同约定范围和内容以外</w:t>
      </w:r>
      <w:r>
        <w:rPr>
          <w:rFonts w:hint="eastAsia" w:ascii="宋体" w:hAnsi="宋体" w:eastAsia="宋体" w:cs="宋体"/>
          <w:i w:val="0"/>
          <w:iCs w:val="0"/>
          <w:color w:val="auto"/>
          <w:sz w:val="24"/>
          <w:szCs w:val="24"/>
          <w:highlight w:val="none"/>
        </w:rPr>
        <w:t>的服务；</w:t>
      </w:r>
    </w:p>
    <w:p w14:paraId="7BB8DB44">
      <w:pPr>
        <w:pStyle w:val="3"/>
        <w:spacing w:before="2" w:line="350" w:lineRule="auto"/>
        <w:ind w:left="338" w:right="441"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9"/>
          <w:sz w:val="24"/>
          <w:szCs w:val="24"/>
          <w:highlight w:val="none"/>
        </w:rPr>
        <w:t>三、由于非监理人原因暂停或终止监理业务时，其善后工作或恢复执行监理业务的</w:t>
      </w:r>
      <w:r>
        <w:rPr>
          <w:rFonts w:hint="eastAsia" w:ascii="宋体" w:hAnsi="宋体" w:eastAsia="宋体" w:cs="宋体"/>
          <w:i w:val="0"/>
          <w:iCs w:val="0"/>
          <w:color w:val="auto"/>
          <w:sz w:val="24"/>
          <w:szCs w:val="24"/>
          <w:highlight w:val="none"/>
        </w:rPr>
        <w:t>工作。</w:t>
      </w:r>
    </w:p>
    <w:p w14:paraId="46502DAB">
      <w:pPr>
        <w:pStyle w:val="3"/>
        <w:spacing w:before="2" w:line="350" w:lineRule="auto"/>
        <w:ind w:left="338" w:right="370"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监理人完成附加服务应得到的酬金，按专用合同条款约定的方法或监理补充协议计取和支付。</w:t>
      </w:r>
    </w:p>
    <w:p w14:paraId="0059BFBA">
      <w:pPr>
        <w:pStyle w:val="3"/>
        <w:spacing w:before="2" w:line="350" w:lineRule="auto"/>
        <w:ind w:left="338" w:right="443"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第三十四条 国家有关法律、法规、规章和监理酬金标准发生变化时，应按有关规定调整监理服务酬金。</w:t>
      </w:r>
    </w:p>
    <w:p w14:paraId="552FC032">
      <w:pPr>
        <w:pStyle w:val="3"/>
        <w:spacing w:before="2" w:line="350" w:lineRule="auto"/>
        <w:ind w:left="338" w:right="440"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第三十五条 委托人对监理人申请支付的监理酬金项目及金额有异议时，应当在收</w:t>
      </w:r>
      <w:r>
        <w:rPr>
          <w:rFonts w:hint="eastAsia" w:ascii="宋体" w:hAnsi="宋体" w:eastAsia="宋体" w:cs="宋体"/>
          <w:i w:val="0"/>
          <w:iCs w:val="0"/>
          <w:color w:val="auto"/>
          <w:spacing w:val="-7"/>
          <w:sz w:val="24"/>
          <w:szCs w:val="24"/>
          <w:highlight w:val="none"/>
        </w:rPr>
        <w:t xml:space="preserve">到监理人支付申请书 </w:t>
      </w: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pacing w:val="-13"/>
          <w:sz w:val="24"/>
          <w:szCs w:val="24"/>
          <w:highlight w:val="none"/>
        </w:rPr>
        <w:t xml:space="preserve"> 天内向监理人发出异议通知，由双方协商解决。</w:t>
      </w: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pacing w:val="-10"/>
          <w:sz w:val="24"/>
          <w:szCs w:val="24"/>
          <w:highlight w:val="none"/>
        </w:rPr>
        <w:t xml:space="preserve"> 天内未发出异议</w:t>
      </w:r>
      <w:r>
        <w:rPr>
          <w:rFonts w:hint="eastAsia" w:ascii="宋体" w:hAnsi="宋体" w:eastAsia="宋体" w:cs="宋体"/>
          <w:i w:val="0"/>
          <w:iCs w:val="0"/>
          <w:color w:val="auto"/>
          <w:sz w:val="24"/>
          <w:szCs w:val="24"/>
          <w:highlight w:val="none"/>
        </w:rPr>
        <w:t>通知，则按通用合同条款第三十二条、第三十三条、三十四条的约定支付。</w:t>
      </w:r>
    </w:p>
    <w:p w14:paraId="2E6BAD1F">
      <w:pPr>
        <w:spacing w:before="2"/>
        <w:ind w:left="464" w:right="571"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合同变更与终止</w:t>
      </w:r>
    </w:p>
    <w:p w14:paraId="5C90588B">
      <w:pPr>
        <w:pStyle w:val="3"/>
        <w:spacing w:before="144" w:line="350" w:lineRule="auto"/>
        <w:ind w:left="338" w:right="442"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第三十六条 因工程建设计划调整、较大的工程设计变更、不良地质条件等非监理人原因导致本合同约定的服务范围、内容和服务形式发生较大变化时，双方对监理服务酬金计取、监理服务期限等有关合同条款应当充分协商，签订监理补充协议。</w:t>
      </w:r>
    </w:p>
    <w:p w14:paraId="1AAFE26E">
      <w:pPr>
        <w:pStyle w:val="3"/>
        <w:spacing w:before="5" w:line="350" w:lineRule="auto"/>
        <w:ind w:left="338" w:right="443" w:firstLine="635"/>
        <w:jc w:val="both"/>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1"/>
          <w:sz w:val="24"/>
          <w:szCs w:val="24"/>
          <w:highlight w:val="none"/>
        </w:rPr>
        <w:t>第三十七条 当发生法律或本合同约定的解除合同的情形时，有权解除合同的一方要求解除合同的，应书面通知对方；若通知送达后 28 天内未收到对方的答复，可发出终止监理合同的通知，本合同即行终止。因解除合同遭受损失的，除依法可以免除责任的外，应由责任方赔偿损失。</w:t>
      </w:r>
    </w:p>
    <w:p w14:paraId="1011C056">
      <w:pPr>
        <w:pStyle w:val="3"/>
        <w:spacing w:before="5"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第三十八条 在监理服务期内，由于国家政策致使工程建设计划重大调整，或不可</w:t>
      </w:r>
      <w:r>
        <w:rPr>
          <w:rFonts w:hint="eastAsia" w:ascii="宋体" w:hAnsi="宋体" w:eastAsia="宋体" w:cs="宋体"/>
          <w:i w:val="0"/>
          <w:iCs w:val="0"/>
          <w:color w:val="auto"/>
          <w:sz w:val="24"/>
          <w:szCs w:val="24"/>
          <w:highlight w:val="none"/>
        </w:rPr>
        <w:t>抗力致使合同不能履行时，双方协商解决因合同终止所产生的遗留问题。</w:t>
      </w:r>
    </w:p>
    <w:p w14:paraId="1DD7CCA0">
      <w:pPr>
        <w:pStyle w:val="3"/>
        <w:spacing w:before="2"/>
        <w:ind w:left="974"/>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第三十九条 本合同在监理期限届满并结清监理服务酬金后即终止。</w:t>
      </w:r>
    </w:p>
    <w:p w14:paraId="4BCECAFA">
      <w:pPr>
        <w:spacing w:before="141"/>
        <w:ind w:left="466" w:right="570"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违约责任</w:t>
      </w:r>
    </w:p>
    <w:p w14:paraId="6997DD9F">
      <w:pPr>
        <w:pStyle w:val="3"/>
        <w:spacing w:before="144" w:line="350" w:lineRule="auto"/>
        <w:ind w:left="338" w:right="441"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第四十条 委托人未履行合同条款第十条、第十一条、第十三条、第十四条、第十五条、第十七条、第十九条约定的义务和责任，除按专用合同条款约定向监理人支付违约金外，还应继续履行合同约定的义务和责任。</w:t>
      </w:r>
    </w:p>
    <w:p w14:paraId="1327543E">
      <w:pPr>
        <w:pStyle w:val="3"/>
        <w:spacing w:before="2" w:line="350" w:lineRule="auto"/>
        <w:ind w:left="338" w:right="441"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第四十一条 委托人未按合同条款第三十二条、第三十三条、第三十四条约定支付监理服务酬金，除按专用合同条款约定向监理人支付逾期付款违约金外，还应继续履行合同约定的支付义务。</w:t>
      </w:r>
    </w:p>
    <w:p w14:paraId="4E8F4BD6">
      <w:pPr>
        <w:pStyle w:val="3"/>
        <w:spacing w:before="5" w:line="350" w:lineRule="auto"/>
        <w:ind w:left="338" w:right="441"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第四十二条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5D2B7C29">
      <w:pPr>
        <w:spacing w:before="4"/>
        <w:ind w:left="466" w:right="570"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争议的解决</w:t>
      </w:r>
    </w:p>
    <w:p w14:paraId="218EBD5E">
      <w:pPr>
        <w:pStyle w:val="3"/>
        <w:spacing w:before="142" w:line="350" w:lineRule="auto"/>
        <w:ind w:left="338" w:right="441"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第四十三条 本合同发生争议，由当事人双方协商解决；也可由工程项目主管部门或合同争议调解机构调解；协商或调解未果时，经当事人双方同意可由仲裁机构仲裁； 或向人民法院起诉。争议调解机构、仲裁机构在专用合同条款中约定。</w:t>
      </w:r>
    </w:p>
    <w:p w14:paraId="4E64CA19">
      <w:pPr>
        <w:pStyle w:val="3"/>
        <w:spacing w:before="4" w:line="350" w:lineRule="auto"/>
        <w:ind w:left="338" w:right="443" w:firstLine="635"/>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第四十四条 在争议协商、调解、仲裁或起诉过程中，双方仍应继续履行本合同约定的责任和义务。</w:t>
      </w:r>
    </w:p>
    <w:p w14:paraId="27C5466E">
      <w:pPr>
        <w:spacing w:before="3"/>
        <w:ind w:left="4697"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其他</w:t>
      </w:r>
    </w:p>
    <w:p w14:paraId="4DD6E386">
      <w:pPr>
        <w:pStyle w:val="3"/>
        <w:spacing w:before="141" w:line="352" w:lineRule="auto"/>
        <w:ind w:left="338" w:right="443" w:firstLine="6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第四十五条 委托人可以对监理人提出并落实的合理化建议给予奖励。奖励办法在专用合同条款中约定。</w:t>
      </w:r>
    </w:p>
    <w:p w14:paraId="5E5B5E2E">
      <w:pPr>
        <w:spacing w:after="0" w:line="352" w:lineRule="auto"/>
        <w:rPr>
          <w:rFonts w:hint="eastAsia" w:ascii="宋体" w:hAnsi="宋体" w:eastAsia="宋体" w:cs="宋体"/>
          <w:i w:val="0"/>
          <w:iCs w:val="0"/>
          <w:color w:val="auto"/>
          <w:sz w:val="24"/>
          <w:szCs w:val="24"/>
          <w:highlight w:val="none"/>
        </w:rPr>
        <w:sectPr>
          <w:pgSz w:w="11910" w:h="16840"/>
          <w:pgMar w:top="1520" w:right="840" w:bottom="1180" w:left="1080" w:header="0" w:footer="919" w:gutter="0"/>
          <w:cols w:space="720" w:num="1"/>
        </w:sectPr>
      </w:pPr>
    </w:p>
    <w:p w14:paraId="0F198F48">
      <w:pPr>
        <w:tabs>
          <w:tab w:val="left" w:pos="4880"/>
        </w:tabs>
        <w:spacing w:before="43" w:line="360" w:lineRule="auto"/>
        <w:ind w:left="4457" w:right="3659" w:hanging="905"/>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第二部分</w:t>
      </w:r>
      <w:r>
        <w:rPr>
          <w:rFonts w:hint="eastAsia" w:ascii="宋体" w:hAnsi="宋体" w:eastAsia="宋体" w:cs="宋体"/>
          <w:b/>
          <w:i w:val="0"/>
          <w:iCs w:val="0"/>
          <w:color w:val="auto"/>
          <w:sz w:val="24"/>
          <w:szCs w:val="24"/>
          <w:highlight w:val="none"/>
        </w:rPr>
        <w:tab/>
      </w:r>
      <w:r>
        <w:rPr>
          <w:rFonts w:hint="eastAsia" w:ascii="宋体" w:hAnsi="宋体" w:eastAsia="宋体" w:cs="宋体"/>
          <w:b/>
          <w:i w:val="0"/>
          <w:iCs w:val="0"/>
          <w:color w:val="auto"/>
          <w:sz w:val="24"/>
          <w:szCs w:val="24"/>
          <w:highlight w:val="none"/>
        </w:rPr>
        <w:t>专用合同条</w:t>
      </w:r>
      <w:r>
        <w:rPr>
          <w:rFonts w:hint="eastAsia" w:ascii="宋体" w:hAnsi="宋体" w:eastAsia="宋体" w:cs="宋体"/>
          <w:b/>
          <w:i w:val="0"/>
          <w:iCs w:val="0"/>
          <w:color w:val="auto"/>
          <w:spacing w:val="-17"/>
          <w:sz w:val="24"/>
          <w:szCs w:val="24"/>
          <w:highlight w:val="none"/>
        </w:rPr>
        <w:t>款</w:t>
      </w:r>
      <w:r>
        <w:rPr>
          <w:rFonts w:hint="eastAsia" w:ascii="宋体" w:hAnsi="宋体" w:eastAsia="宋体" w:cs="宋体"/>
          <w:b/>
          <w:i w:val="0"/>
          <w:iCs w:val="0"/>
          <w:color w:val="auto"/>
          <w:sz w:val="24"/>
          <w:szCs w:val="24"/>
          <w:highlight w:val="none"/>
        </w:rPr>
        <w:t>监理依据</w:t>
      </w:r>
    </w:p>
    <w:p w14:paraId="446DF0B9">
      <w:pPr>
        <w:pStyle w:val="3"/>
        <w:spacing w:line="304" w:lineRule="exact"/>
        <w:ind w:left="821"/>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第三条 </w:t>
      </w:r>
      <w:r>
        <w:rPr>
          <w:rFonts w:hint="eastAsia" w:ascii="宋体" w:hAnsi="宋体" w:eastAsia="宋体" w:cs="宋体"/>
          <w:i w:val="0"/>
          <w:iCs w:val="0"/>
          <w:color w:val="auto"/>
          <w:sz w:val="24"/>
          <w:szCs w:val="24"/>
          <w:highlight w:val="none"/>
        </w:rPr>
        <w:t>本合同的监理依据为：</w:t>
      </w:r>
    </w:p>
    <w:p w14:paraId="19A97B19">
      <w:pPr>
        <w:pStyle w:val="259"/>
        <w:numPr>
          <w:ilvl w:val="0"/>
          <w:numId w:val="1"/>
        </w:numPr>
        <w:tabs>
          <w:tab w:val="left" w:pos="1059"/>
          <w:tab w:val="clear" w:pos="-420"/>
        </w:tabs>
        <w:spacing w:before="151" w:after="0" w:line="240" w:lineRule="auto"/>
        <w:ind w:left="638" w:leftChars="0" w:right="0" w:hanging="24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t>国家法律、法规、规章及技术标准；</w:t>
      </w:r>
    </w:p>
    <w:p w14:paraId="50287E8D">
      <w:pPr>
        <w:pStyle w:val="259"/>
        <w:numPr>
          <w:ilvl w:val="0"/>
          <w:numId w:val="1"/>
        </w:numPr>
        <w:tabs>
          <w:tab w:val="left" w:pos="1059"/>
          <w:tab w:val="clear" w:pos="-420"/>
        </w:tabs>
        <w:spacing w:before="151" w:after="0" w:line="240" w:lineRule="auto"/>
        <w:ind w:left="638" w:leftChars="0" w:right="0" w:hanging="24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t>《水利工程施工监理规范》SL288-2014；</w:t>
      </w:r>
    </w:p>
    <w:p w14:paraId="53896BFC">
      <w:pPr>
        <w:pStyle w:val="259"/>
        <w:numPr>
          <w:ilvl w:val="0"/>
          <w:numId w:val="1"/>
        </w:numPr>
        <w:tabs>
          <w:tab w:val="left" w:pos="1059"/>
          <w:tab w:val="clear" w:pos="-420"/>
        </w:tabs>
        <w:spacing w:before="151" w:after="0" w:line="240" w:lineRule="auto"/>
        <w:ind w:left="638" w:leftChars="0" w:right="0" w:hanging="24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lang w:eastAsia="zh-CN"/>
        </w:rPr>
        <w:t>钱塘江省管海塘维修养护</w:t>
      </w:r>
      <w:r>
        <w:rPr>
          <w:rFonts w:hint="eastAsia" w:ascii="宋体" w:hAnsi="宋体" w:eastAsia="宋体" w:cs="宋体"/>
          <w:i w:val="0"/>
          <w:iCs w:val="0"/>
          <w:color w:val="auto"/>
          <w:sz w:val="24"/>
          <w:szCs w:val="24"/>
          <w:highlight w:val="none"/>
          <w:u w:val="single"/>
        </w:rPr>
        <w:t>合同、零星维</w:t>
      </w:r>
      <w:r>
        <w:rPr>
          <w:rFonts w:hint="eastAsia" w:ascii="宋体" w:hAnsi="宋体" w:eastAsia="宋体" w:cs="宋体"/>
          <w:i w:val="0"/>
          <w:iCs w:val="0"/>
          <w:color w:val="auto"/>
          <w:sz w:val="24"/>
          <w:szCs w:val="24"/>
          <w:highlight w:val="none"/>
          <w:u w:val="single"/>
          <w:lang w:eastAsia="zh-CN"/>
        </w:rPr>
        <w:t>修</w:t>
      </w:r>
      <w:r>
        <w:rPr>
          <w:rFonts w:hint="eastAsia" w:ascii="宋体" w:hAnsi="宋体" w:eastAsia="宋体" w:cs="宋体"/>
          <w:i w:val="0"/>
          <w:iCs w:val="0"/>
          <w:color w:val="auto"/>
          <w:sz w:val="24"/>
          <w:szCs w:val="24"/>
          <w:highlight w:val="none"/>
          <w:u w:val="single"/>
        </w:rPr>
        <w:t>设计合同</w:t>
      </w:r>
      <w:r>
        <w:rPr>
          <w:rFonts w:hint="eastAsia" w:ascii="宋体" w:hAnsi="宋体" w:eastAsia="宋体" w:cs="宋体"/>
          <w:i w:val="0"/>
          <w:iCs w:val="0"/>
          <w:color w:val="auto"/>
          <w:sz w:val="24"/>
          <w:szCs w:val="24"/>
          <w:highlight w:val="none"/>
          <w:u w:val="single"/>
          <w:lang w:eastAsia="zh-CN"/>
        </w:rPr>
        <w:t>、场地使用协议</w:t>
      </w:r>
      <w:r>
        <w:rPr>
          <w:rFonts w:hint="eastAsia" w:ascii="宋体" w:hAnsi="宋体" w:eastAsia="宋体" w:cs="宋体"/>
          <w:i w:val="0"/>
          <w:iCs w:val="0"/>
          <w:color w:val="auto"/>
          <w:sz w:val="24"/>
          <w:szCs w:val="24"/>
          <w:highlight w:val="none"/>
          <w:u w:val="single"/>
        </w:rPr>
        <w:t>及监理合同；</w:t>
      </w:r>
    </w:p>
    <w:p w14:paraId="644649E9">
      <w:pPr>
        <w:pStyle w:val="259"/>
        <w:numPr>
          <w:ilvl w:val="0"/>
          <w:numId w:val="1"/>
        </w:numPr>
        <w:tabs>
          <w:tab w:val="left" w:pos="1059"/>
          <w:tab w:val="clear" w:pos="-420"/>
        </w:tabs>
        <w:spacing w:before="151" w:after="0" w:line="240" w:lineRule="auto"/>
        <w:ind w:left="638" w:leftChars="0" w:right="0" w:hanging="24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t xml:space="preserve">上级有关主管部门对本工程的有关指示文件或批件； </w:t>
      </w:r>
    </w:p>
    <w:p w14:paraId="55949D3E">
      <w:pPr>
        <w:pStyle w:val="259"/>
        <w:numPr>
          <w:ilvl w:val="0"/>
          <w:numId w:val="1"/>
        </w:numPr>
        <w:tabs>
          <w:tab w:val="left" w:pos="1059"/>
          <w:tab w:val="clear" w:pos="-420"/>
        </w:tabs>
        <w:spacing w:before="151" w:after="0" w:line="240" w:lineRule="auto"/>
        <w:ind w:left="638" w:leftChars="0" w:right="0" w:hanging="24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t>设计文件、技术要求和图纸；</w:t>
      </w:r>
    </w:p>
    <w:p w14:paraId="75621FEC">
      <w:pPr>
        <w:pStyle w:val="259"/>
        <w:numPr>
          <w:ilvl w:val="0"/>
          <w:numId w:val="1"/>
        </w:numPr>
        <w:tabs>
          <w:tab w:val="left" w:pos="1059"/>
          <w:tab w:val="clear" w:pos="-420"/>
        </w:tabs>
        <w:spacing w:before="151" w:after="0" w:line="240" w:lineRule="auto"/>
        <w:ind w:left="638" w:leftChars="0" w:right="0" w:hanging="24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t>委托人制定的适合本工程的有关制度、办法和规定。</w:t>
      </w:r>
    </w:p>
    <w:p w14:paraId="3F5DA987">
      <w:pPr>
        <w:spacing w:before="151"/>
        <w:ind w:left="4217"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委托人的权利</w:t>
      </w:r>
    </w:p>
    <w:p w14:paraId="279A40DC">
      <w:pPr>
        <w:spacing w:before="153"/>
        <w:ind w:left="82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第七条</w:t>
      </w:r>
    </w:p>
    <w:p w14:paraId="128097DF">
      <w:pPr>
        <w:pStyle w:val="3"/>
        <w:spacing w:before="154"/>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五、当监理人发生下列违约情形时，委托人有权解除合同：</w:t>
      </w:r>
    </w:p>
    <w:p w14:paraId="3E6625AB">
      <w:pPr>
        <w:pStyle w:val="259"/>
        <w:numPr>
          <w:ilvl w:val="0"/>
          <w:numId w:val="0"/>
        </w:numPr>
        <w:tabs>
          <w:tab w:val="left" w:pos="1059"/>
        </w:tabs>
        <w:spacing w:before="151" w:after="0" w:line="240" w:lineRule="auto"/>
        <w:ind w:leftChars="20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lang w:val="en-US" w:eastAsia="zh-CN"/>
        </w:rPr>
        <w:t>1</w:t>
      </w:r>
      <w:r>
        <w:rPr>
          <w:rFonts w:hint="eastAsia" w:ascii="宋体" w:hAnsi="宋体" w:eastAsia="宋体" w:cs="宋体"/>
          <w:i w:val="0"/>
          <w:iCs w:val="0"/>
          <w:color w:val="auto"/>
          <w:sz w:val="24"/>
          <w:szCs w:val="24"/>
          <w:highlight w:val="none"/>
          <w:u w:val="single"/>
        </w:rPr>
        <w:t>、未经委托人同意，入驻工地的总监及监理工程师与投标文件不一致。</w:t>
      </w:r>
    </w:p>
    <w:p w14:paraId="0AE748A9">
      <w:pPr>
        <w:pStyle w:val="259"/>
        <w:numPr>
          <w:ilvl w:val="0"/>
          <w:numId w:val="0"/>
        </w:numPr>
        <w:tabs>
          <w:tab w:val="left" w:pos="1059"/>
        </w:tabs>
        <w:spacing w:before="153" w:after="0" w:line="240" w:lineRule="auto"/>
        <w:ind w:leftChars="20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lang w:val="en-US" w:eastAsia="zh-CN"/>
        </w:rPr>
        <w:t>2</w:t>
      </w:r>
      <w:r>
        <w:rPr>
          <w:rFonts w:hint="eastAsia" w:ascii="宋体" w:hAnsi="宋体" w:eastAsia="宋体" w:cs="宋体"/>
          <w:i w:val="0"/>
          <w:iCs w:val="0"/>
          <w:color w:val="auto"/>
          <w:sz w:val="24"/>
          <w:szCs w:val="24"/>
          <w:highlight w:val="none"/>
          <w:u w:val="single"/>
        </w:rPr>
        <w:t>、未经委托人同意，擅自更换总监理工程师；</w:t>
      </w:r>
      <w:r>
        <w:rPr>
          <w:rFonts w:hint="eastAsia" w:ascii="宋体" w:hAnsi="宋体" w:eastAsia="宋体" w:cs="宋体"/>
          <w:i w:val="0"/>
          <w:iCs w:val="0"/>
          <w:color w:val="auto"/>
          <w:spacing w:val="1"/>
          <w:sz w:val="24"/>
          <w:szCs w:val="24"/>
          <w:highlight w:val="none"/>
          <w:u w:val="single"/>
        </w:rPr>
        <w:t xml:space="preserve"> </w:t>
      </w:r>
    </w:p>
    <w:p w14:paraId="37381ECA">
      <w:pPr>
        <w:pStyle w:val="259"/>
        <w:numPr>
          <w:ilvl w:val="0"/>
          <w:numId w:val="0"/>
        </w:numPr>
        <w:tabs>
          <w:tab w:val="left" w:pos="1059"/>
        </w:tabs>
        <w:spacing w:before="153" w:after="0" w:line="240" w:lineRule="auto"/>
        <w:ind w:leftChars="20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rPr>
        <w:t>、因监理人原因给工程造成损失或工期延误的；</w:t>
      </w:r>
    </w:p>
    <w:p w14:paraId="53C408FE">
      <w:pPr>
        <w:pStyle w:val="259"/>
        <w:numPr>
          <w:ilvl w:val="0"/>
          <w:numId w:val="0"/>
        </w:numPr>
        <w:tabs>
          <w:tab w:val="left" w:pos="1059"/>
        </w:tabs>
        <w:spacing w:before="151" w:after="0" w:line="240" w:lineRule="auto"/>
        <w:ind w:leftChars="200" w:right="0" w:rightChars="0" w:firstLine="684"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6"/>
          <w:sz w:val="24"/>
          <w:szCs w:val="24"/>
          <w:highlight w:val="none"/>
          <w:u w:val="single"/>
          <w:lang w:val="en-US" w:eastAsia="zh-CN"/>
        </w:rPr>
        <w:t>4</w:t>
      </w:r>
      <w:r>
        <w:rPr>
          <w:rFonts w:hint="eastAsia" w:ascii="宋体" w:hAnsi="宋体" w:eastAsia="宋体" w:cs="宋体"/>
          <w:i w:val="0"/>
          <w:iCs w:val="0"/>
          <w:color w:val="auto"/>
          <w:spacing w:val="-6"/>
          <w:sz w:val="24"/>
          <w:szCs w:val="24"/>
          <w:highlight w:val="none"/>
          <w:u w:val="single"/>
        </w:rPr>
        <w:t xml:space="preserve">、总监驻点到位率连续 </w:t>
      </w:r>
      <w:r>
        <w:rPr>
          <w:rFonts w:hint="eastAsia" w:ascii="宋体" w:hAnsi="宋体" w:eastAsia="宋体" w:cs="宋体"/>
          <w:i w:val="0"/>
          <w:iCs w:val="0"/>
          <w:color w:val="auto"/>
          <w:sz w:val="24"/>
          <w:szCs w:val="24"/>
          <w:highlight w:val="none"/>
          <w:u w:val="single"/>
        </w:rPr>
        <w:t>3</w:t>
      </w:r>
      <w:r>
        <w:rPr>
          <w:rFonts w:hint="eastAsia" w:ascii="宋体" w:hAnsi="宋体" w:eastAsia="宋体" w:cs="宋体"/>
          <w:i w:val="0"/>
          <w:iCs w:val="0"/>
          <w:color w:val="auto"/>
          <w:spacing w:val="-8"/>
          <w:sz w:val="24"/>
          <w:szCs w:val="24"/>
          <w:highlight w:val="none"/>
          <w:u w:val="single"/>
        </w:rPr>
        <w:t xml:space="preserve"> 个月达不到合同要求且对工程进度造成影响的；</w:t>
      </w:r>
    </w:p>
    <w:p w14:paraId="70B471F9">
      <w:pPr>
        <w:pStyle w:val="259"/>
        <w:numPr>
          <w:ilvl w:val="0"/>
          <w:numId w:val="0"/>
        </w:numPr>
        <w:tabs>
          <w:tab w:val="left" w:pos="1059"/>
        </w:tabs>
        <w:spacing w:before="154" w:after="0" w:line="240" w:lineRule="auto"/>
        <w:ind w:leftChars="20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lang w:val="en-US" w:eastAsia="zh-CN"/>
        </w:rPr>
        <w:t>5</w:t>
      </w:r>
      <w:r>
        <w:rPr>
          <w:rFonts w:hint="eastAsia" w:ascii="宋体" w:hAnsi="宋体" w:eastAsia="宋体" w:cs="宋体"/>
          <w:i w:val="0"/>
          <w:iCs w:val="0"/>
          <w:color w:val="auto"/>
          <w:sz w:val="24"/>
          <w:szCs w:val="24"/>
          <w:highlight w:val="none"/>
          <w:u w:val="single"/>
        </w:rPr>
        <w:t>、因监理人工作失职，发生重大质量或安全事故的；</w:t>
      </w:r>
    </w:p>
    <w:p w14:paraId="6CB87135">
      <w:pPr>
        <w:pStyle w:val="259"/>
        <w:numPr>
          <w:ilvl w:val="0"/>
          <w:numId w:val="0"/>
        </w:numPr>
        <w:tabs>
          <w:tab w:val="left" w:pos="1059"/>
        </w:tabs>
        <w:spacing w:before="154" w:after="0" w:line="240" w:lineRule="auto"/>
        <w:ind w:leftChars="20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lang w:val="en-US" w:eastAsia="zh-CN"/>
        </w:rPr>
        <w:t>6</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pacing w:val="-2"/>
          <w:sz w:val="24"/>
          <w:szCs w:val="24"/>
          <w:highlight w:val="none"/>
          <w:u w:val="single"/>
        </w:rPr>
        <w:t>发生吃拿卡要等廉洁问题的。</w:t>
      </w:r>
    </w:p>
    <w:p w14:paraId="2E0080A2">
      <w:pPr>
        <w:pStyle w:val="259"/>
        <w:numPr>
          <w:ilvl w:val="0"/>
          <w:numId w:val="0"/>
        </w:numPr>
        <w:tabs>
          <w:tab w:val="left" w:pos="1059"/>
        </w:tabs>
        <w:spacing w:before="154" w:after="0" w:line="240" w:lineRule="auto"/>
        <w:ind w:leftChars="200" w:right="0" w:right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补充条款：</w:t>
      </w:r>
    </w:p>
    <w:p w14:paraId="50B399F6">
      <w:pPr>
        <w:pStyle w:val="3"/>
        <w:spacing w:before="3" w:line="360" w:lineRule="auto"/>
        <w:ind w:left="338" w:right="441"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1</w:t>
      </w:r>
      <w:r>
        <w:rPr>
          <w:rFonts w:hint="eastAsia" w:ascii="宋体" w:hAnsi="宋体" w:eastAsia="宋体" w:cs="宋体"/>
          <w:i w:val="0"/>
          <w:iCs w:val="0"/>
          <w:color w:val="auto"/>
          <w:spacing w:val="-7"/>
          <w:sz w:val="24"/>
          <w:szCs w:val="24"/>
          <w:highlight w:val="none"/>
          <w:u w:val="single"/>
        </w:rPr>
        <w:t>、施工过程中，若委托人认为监理人员和专业不能满足监理服务要求，有权要求监</w:t>
      </w:r>
      <w:r>
        <w:rPr>
          <w:rFonts w:hint="eastAsia" w:ascii="宋体" w:hAnsi="宋体" w:eastAsia="宋体" w:cs="宋体"/>
          <w:i w:val="0"/>
          <w:iCs w:val="0"/>
          <w:color w:val="auto"/>
          <w:sz w:val="24"/>
          <w:szCs w:val="24"/>
          <w:highlight w:val="none"/>
          <w:u w:val="single"/>
        </w:rPr>
        <w:t>理人增加相应专业人员，但不增加费用。</w:t>
      </w:r>
    </w:p>
    <w:p w14:paraId="7AF2593F">
      <w:pPr>
        <w:spacing w:before="0" w:line="304" w:lineRule="exact"/>
        <w:ind w:left="4217"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监理人的权利</w:t>
      </w:r>
    </w:p>
    <w:p w14:paraId="4B81369B">
      <w:pPr>
        <w:spacing w:before="154"/>
        <w:ind w:left="82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第八条</w:t>
      </w:r>
    </w:p>
    <w:p w14:paraId="22AA93C2">
      <w:pPr>
        <w:pStyle w:val="3"/>
        <w:spacing w:before="15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八、当委托人发生下列违约情形时，监理人有权解除合同：</w:t>
      </w:r>
    </w:p>
    <w:p w14:paraId="48972B66">
      <w:pPr>
        <w:pStyle w:val="3"/>
        <w:tabs>
          <w:tab w:val="left" w:pos="5259"/>
          <w:tab w:val="left" w:pos="6099"/>
        </w:tabs>
        <w:spacing w:before="151" w:line="360" w:lineRule="auto"/>
        <w:ind w:left="818" w:right="886"/>
        <w:rPr>
          <w:rFonts w:hint="eastAsia" w:ascii="宋体" w:hAnsi="宋体" w:eastAsia="宋体" w:cs="宋体"/>
          <w:i w:val="0"/>
          <w:iCs w:val="0"/>
          <w:color w:val="auto"/>
          <w:spacing w:val="-17"/>
          <w:sz w:val="24"/>
          <w:szCs w:val="24"/>
          <w:highlight w:val="none"/>
          <w:u w:val="single"/>
        </w:rPr>
      </w:pPr>
      <w:r>
        <w:rPr>
          <w:rFonts w:hint="eastAsia" w:ascii="宋体" w:hAnsi="宋体" w:eastAsia="宋体" w:cs="宋体"/>
          <w:i w:val="0"/>
          <w:iCs w:val="0"/>
          <w:color w:val="auto"/>
          <w:sz w:val="24"/>
          <w:szCs w:val="24"/>
          <w:highlight w:val="none"/>
          <w:u w:val="single"/>
        </w:rPr>
        <w:t>1、支付监理服务费超过合同规定时间</w:t>
      </w:r>
      <w:r>
        <w:rPr>
          <w:rFonts w:hint="eastAsia" w:ascii="宋体" w:hAnsi="宋体" w:eastAsia="宋体" w:cs="宋体"/>
          <w:i w:val="0"/>
          <w:iCs w:val="0"/>
          <w:color w:val="auto"/>
          <w:spacing w:val="-61"/>
          <w:sz w:val="24"/>
          <w:szCs w:val="24"/>
          <w:highlight w:val="none"/>
          <w:u w:val="single"/>
        </w:rPr>
        <w:t xml:space="preserve"> </w:t>
      </w:r>
      <w:r>
        <w:rPr>
          <w:rFonts w:hint="eastAsia" w:ascii="宋体" w:hAnsi="宋体" w:eastAsia="宋体" w:cs="宋体"/>
          <w:i w:val="0"/>
          <w:iCs w:val="0"/>
          <w:color w:val="auto"/>
          <w:sz w:val="24"/>
          <w:szCs w:val="24"/>
          <w:highlight w:val="none"/>
          <w:u w:val="single"/>
        </w:rPr>
        <w:t>6</w:t>
      </w:r>
      <w:r>
        <w:rPr>
          <w:rFonts w:hint="eastAsia" w:ascii="宋体" w:hAnsi="宋体" w:eastAsia="宋体" w:cs="宋体"/>
          <w:i w:val="0"/>
          <w:iCs w:val="0"/>
          <w:color w:val="auto"/>
          <w:spacing w:val="-60"/>
          <w:sz w:val="24"/>
          <w:szCs w:val="24"/>
          <w:highlight w:val="none"/>
          <w:u w:val="single"/>
        </w:rPr>
        <w:t xml:space="preserve"> </w:t>
      </w:r>
      <w:r>
        <w:rPr>
          <w:rFonts w:hint="eastAsia" w:ascii="宋体" w:hAnsi="宋体" w:eastAsia="宋体" w:cs="宋体"/>
          <w:i w:val="0"/>
          <w:iCs w:val="0"/>
          <w:color w:val="auto"/>
          <w:sz w:val="24"/>
          <w:szCs w:val="24"/>
          <w:highlight w:val="none"/>
          <w:u w:val="single"/>
        </w:rPr>
        <w:t>个月以上，也未向监理人作任何说明</w:t>
      </w:r>
      <w:r>
        <w:rPr>
          <w:rFonts w:hint="eastAsia" w:ascii="宋体" w:hAnsi="宋体" w:eastAsia="宋体" w:cs="宋体"/>
          <w:i w:val="0"/>
          <w:iCs w:val="0"/>
          <w:color w:val="auto"/>
          <w:spacing w:val="-17"/>
          <w:sz w:val="24"/>
          <w:szCs w:val="24"/>
          <w:highlight w:val="none"/>
          <w:u w:val="single"/>
        </w:rPr>
        <w:t>；</w:t>
      </w:r>
    </w:p>
    <w:p w14:paraId="6650753E">
      <w:pPr>
        <w:pStyle w:val="3"/>
        <w:tabs>
          <w:tab w:val="left" w:pos="5259"/>
          <w:tab w:val="left" w:pos="6099"/>
        </w:tabs>
        <w:spacing w:before="151" w:line="360" w:lineRule="auto"/>
        <w:ind w:left="818" w:right="88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九、委托人赋予监理人的其他权利：</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无</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w:t>
      </w:r>
    </w:p>
    <w:tbl>
      <w:tblPr>
        <w:tblStyle w:val="62"/>
        <w:tblW w:w="0" w:type="auto"/>
        <w:tblInd w:w="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856"/>
        <w:gridCol w:w="569"/>
        <w:gridCol w:w="1558"/>
        <w:gridCol w:w="2127"/>
        <w:gridCol w:w="2298"/>
      </w:tblGrid>
      <w:tr w14:paraId="3CB02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593" w:type="dxa"/>
            <w:noWrap w:val="0"/>
            <w:vAlign w:val="top"/>
          </w:tcPr>
          <w:p w14:paraId="27D03279">
            <w:pPr>
              <w:pStyle w:val="958"/>
              <w:spacing w:before="11"/>
              <w:rPr>
                <w:rFonts w:hint="eastAsia" w:ascii="仿宋_GB2312" w:hAnsi="仿宋_GB2312" w:eastAsia="仿宋_GB2312" w:cs="仿宋_GB2312"/>
                <w:color w:val="auto"/>
                <w:sz w:val="21"/>
                <w:szCs w:val="21"/>
                <w:highlight w:val="none"/>
              </w:rPr>
            </w:pPr>
          </w:p>
          <w:p w14:paraId="5FC55B61">
            <w:pPr>
              <w:pStyle w:val="958"/>
              <w:spacing w:before="1"/>
              <w:ind w:left="7" w:leftChars="0"/>
              <w:jc w:val="center"/>
              <w:rPr>
                <w:rFonts w:hint="eastAsia" w:ascii="仿宋_GB2312" w:hAnsi="仿宋_GB2312" w:eastAsia="仿宋_GB2312" w:cs="仿宋_GB2312"/>
                <w:color w:val="auto"/>
                <w:kern w:val="2"/>
                <w:sz w:val="21"/>
                <w:szCs w:val="21"/>
                <w:highlight w:val="none"/>
                <w:lang w:val="zh-CN" w:eastAsia="zh-CN" w:bidi="zh-CN"/>
              </w:rPr>
            </w:pPr>
            <w:r>
              <w:rPr>
                <w:rFonts w:hint="eastAsia" w:ascii="仿宋_GB2312" w:hAnsi="仿宋_GB2312" w:eastAsia="仿宋_GB2312" w:cs="仿宋_GB2312"/>
                <w:color w:val="auto"/>
                <w:sz w:val="21"/>
                <w:szCs w:val="21"/>
                <w:highlight w:val="none"/>
              </w:rPr>
              <w:t>1</w:t>
            </w:r>
          </w:p>
        </w:tc>
        <w:tc>
          <w:tcPr>
            <w:tcW w:w="1856" w:type="dxa"/>
            <w:noWrap w:val="0"/>
            <w:vAlign w:val="top"/>
          </w:tcPr>
          <w:p w14:paraId="7D9AC8D3">
            <w:pPr>
              <w:pStyle w:val="958"/>
              <w:keepNext w:val="0"/>
              <w:keepLines w:val="0"/>
              <w:pageBreakBefore w:val="0"/>
              <w:widowControl w:val="0"/>
              <w:kinsoku/>
              <w:wordWrap/>
              <w:overflowPunct/>
              <w:topLinePunct w:val="0"/>
              <w:autoSpaceDE/>
              <w:autoSpaceDN/>
              <w:bidi w:val="0"/>
              <w:adjustRightInd w:val="0"/>
              <w:snapToGrid w:val="0"/>
              <w:spacing w:before="1" w:line="240" w:lineRule="auto"/>
              <w:ind w:right="49" w:rightChars="0"/>
              <w:textAlignment w:val="auto"/>
              <w:rPr>
                <w:rFonts w:hint="eastAsia" w:ascii="仿宋_GB2312" w:hAnsi="仿宋_GB2312" w:eastAsia="仿宋_GB2312" w:cs="仿宋_GB2312"/>
                <w:color w:val="auto"/>
                <w:kern w:val="2"/>
                <w:sz w:val="21"/>
                <w:szCs w:val="21"/>
                <w:highlight w:val="none"/>
                <w:lang w:val="zh-CN" w:eastAsia="zh-CN" w:bidi="zh-CN"/>
              </w:rPr>
            </w:pPr>
            <w:r>
              <w:rPr>
                <w:rFonts w:hint="eastAsia" w:ascii="仿宋_GB2312" w:hAnsi="仿宋_GB2312" w:eastAsia="仿宋_GB2312" w:cs="仿宋_GB2312"/>
                <w:color w:val="auto"/>
                <w:sz w:val="21"/>
                <w:szCs w:val="21"/>
                <w:highlight w:val="none"/>
                <w:lang w:eastAsia="zh-CN"/>
              </w:rPr>
              <w:t>钱塘江省管海塘维修养护</w:t>
            </w:r>
            <w:r>
              <w:rPr>
                <w:rFonts w:hint="eastAsia" w:ascii="仿宋_GB2312" w:hAnsi="仿宋_GB2312" w:eastAsia="仿宋_GB2312" w:cs="仿宋_GB2312"/>
                <w:color w:val="auto"/>
                <w:sz w:val="21"/>
                <w:szCs w:val="21"/>
                <w:highlight w:val="none"/>
              </w:rPr>
              <w:t>采购</w:t>
            </w:r>
            <w:r>
              <w:rPr>
                <w:rFonts w:hint="eastAsia" w:ascii="仿宋_GB2312" w:hAnsi="仿宋_GB2312" w:eastAsia="仿宋_GB2312" w:cs="仿宋_GB2312"/>
                <w:color w:val="auto"/>
                <w:sz w:val="21"/>
                <w:szCs w:val="21"/>
                <w:highlight w:val="none"/>
                <w:lang w:eastAsia="zh-CN"/>
              </w:rPr>
              <w:t>文件</w:t>
            </w:r>
          </w:p>
        </w:tc>
        <w:tc>
          <w:tcPr>
            <w:tcW w:w="569" w:type="dxa"/>
            <w:noWrap w:val="0"/>
            <w:vAlign w:val="top"/>
          </w:tcPr>
          <w:p w14:paraId="314B988F">
            <w:pPr>
              <w:pStyle w:val="958"/>
              <w:keepNext w:val="0"/>
              <w:keepLines w:val="0"/>
              <w:pageBreakBefore w:val="0"/>
              <w:widowControl w:val="0"/>
              <w:kinsoku/>
              <w:wordWrap/>
              <w:overflowPunct/>
              <w:topLinePunct w:val="0"/>
              <w:autoSpaceDE/>
              <w:autoSpaceDN/>
              <w:bidi w:val="0"/>
              <w:adjustRightInd w:val="0"/>
              <w:snapToGrid w:val="0"/>
              <w:spacing w:before="1" w:line="240" w:lineRule="auto"/>
              <w:ind w:left="536" w:right="49" w:hanging="480"/>
              <w:textAlignment w:val="auto"/>
              <w:rPr>
                <w:rFonts w:hint="eastAsia" w:ascii="仿宋_GB2312" w:hAnsi="仿宋_GB2312" w:eastAsia="仿宋_GB2312" w:cs="仿宋_GB2312"/>
                <w:color w:val="auto"/>
                <w:sz w:val="21"/>
                <w:szCs w:val="21"/>
                <w:highlight w:val="none"/>
              </w:rPr>
            </w:pPr>
          </w:p>
          <w:p w14:paraId="228BCE35">
            <w:pPr>
              <w:pStyle w:val="958"/>
              <w:keepNext w:val="0"/>
              <w:keepLines w:val="0"/>
              <w:pageBreakBefore w:val="0"/>
              <w:widowControl w:val="0"/>
              <w:kinsoku/>
              <w:wordWrap/>
              <w:overflowPunct/>
              <w:topLinePunct w:val="0"/>
              <w:autoSpaceDE/>
              <w:autoSpaceDN/>
              <w:bidi w:val="0"/>
              <w:adjustRightInd w:val="0"/>
              <w:snapToGrid w:val="0"/>
              <w:spacing w:before="1" w:line="240" w:lineRule="auto"/>
              <w:ind w:left="536" w:leftChars="0" w:right="49" w:rightChars="0" w:hanging="480" w:firstLineChars="0"/>
              <w:jc w:val="center"/>
              <w:textAlignment w:val="auto"/>
              <w:rPr>
                <w:rFonts w:hint="eastAsia" w:ascii="仿宋_GB2312" w:hAnsi="仿宋_GB2312" w:eastAsia="仿宋_GB2312" w:cs="仿宋_GB2312"/>
                <w:color w:val="auto"/>
                <w:kern w:val="2"/>
                <w:sz w:val="21"/>
                <w:szCs w:val="21"/>
                <w:highlight w:val="none"/>
                <w:lang w:val="zh-CN" w:eastAsia="zh-CN" w:bidi="zh-CN"/>
              </w:rPr>
            </w:pPr>
            <w:r>
              <w:rPr>
                <w:rFonts w:hint="eastAsia" w:ascii="仿宋_GB2312" w:hAnsi="仿宋_GB2312" w:eastAsia="仿宋_GB2312" w:cs="仿宋_GB2312"/>
                <w:color w:val="auto"/>
                <w:sz w:val="21"/>
                <w:szCs w:val="21"/>
                <w:highlight w:val="none"/>
              </w:rPr>
              <w:t>1</w:t>
            </w:r>
          </w:p>
        </w:tc>
        <w:tc>
          <w:tcPr>
            <w:tcW w:w="1558" w:type="dxa"/>
            <w:noWrap w:val="0"/>
            <w:vAlign w:val="top"/>
          </w:tcPr>
          <w:p w14:paraId="368BF972">
            <w:pPr>
              <w:pStyle w:val="958"/>
              <w:keepNext w:val="0"/>
              <w:keepLines w:val="0"/>
              <w:pageBreakBefore w:val="0"/>
              <w:widowControl w:val="0"/>
              <w:kinsoku/>
              <w:wordWrap/>
              <w:overflowPunct/>
              <w:topLinePunct w:val="0"/>
              <w:autoSpaceDE/>
              <w:autoSpaceDN/>
              <w:bidi w:val="0"/>
              <w:adjustRightInd w:val="0"/>
              <w:snapToGrid w:val="0"/>
              <w:spacing w:before="1" w:line="240" w:lineRule="auto"/>
              <w:ind w:left="536" w:leftChars="0" w:right="49" w:rightChars="0" w:hanging="480" w:firstLineChars="0"/>
              <w:textAlignment w:val="auto"/>
              <w:rPr>
                <w:rFonts w:hint="eastAsia" w:ascii="仿宋_GB2312" w:hAnsi="仿宋_GB2312" w:eastAsia="仿宋_GB2312" w:cs="仿宋_GB2312"/>
                <w:color w:val="auto"/>
                <w:kern w:val="2"/>
                <w:sz w:val="21"/>
                <w:szCs w:val="21"/>
                <w:highlight w:val="none"/>
                <w:lang w:val="zh-CN" w:eastAsia="zh-CN" w:bidi="zh-CN"/>
              </w:rPr>
            </w:pPr>
            <w:r>
              <w:rPr>
                <w:rFonts w:hint="eastAsia" w:ascii="仿宋_GB2312" w:hAnsi="仿宋_GB2312" w:eastAsia="仿宋_GB2312" w:cs="仿宋_GB2312"/>
                <w:color w:val="auto"/>
                <w:sz w:val="21"/>
                <w:szCs w:val="21"/>
                <w:highlight w:val="none"/>
              </w:rPr>
              <w:t>根据招标进度提供</w:t>
            </w:r>
          </w:p>
        </w:tc>
        <w:tc>
          <w:tcPr>
            <w:tcW w:w="2127" w:type="dxa"/>
            <w:noWrap w:val="0"/>
            <w:vAlign w:val="top"/>
          </w:tcPr>
          <w:p w14:paraId="51A6DCBB">
            <w:pPr>
              <w:pStyle w:val="958"/>
              <w:keepNext w:val="0"/>
              <w:keepLines w:val="0"/>
              <w:pageBreakBefore w:val="0"/>
              <w:widowControl w:val="0"/>
              <w:kinsoku/>
              <w:wordWrap/>
              <w:overflowPunct/>
              <w:topLinePunct w:val="0"/>
              <w:autoSpaceDE/>
              <w:autoSpaceDN/>
              <w:bidi w:val="0"/>
              <w:adjustRightInd w:val="0"/>
              <w:snapToGrid w:val="0"/>
              <w:spacing w:before="11" w:line="240" w:lineRule="auto"/>
              <w:textAlignment w:val="auto"/>
              <w:rPr>
                <w:rFonts w:hint="eastAsia" w:ascii="仿宋_GB2312" w:hAnsi="仿宋_GB2312" w:eastAsia="仿宋_GB2312" w:cs="仿宋_GB2312"/>
                <w:color w:val="auto"/>
                <w:sz w:val="21"/>
                <w:szCs w:val="21"/>
                <w:highlight w:val="none"/>
              </w:rPr>
            </w:pPr>
          </w:p>
          <w:p w14:paraId="3788AC7F">
            <w:pPr>
              <w:pStyle w:val="958"/>
              <w:keepNext w:val="0"/>
              <w:keepLines w:val="0"/>
              <w:pageBreakBefore w:val="0"/>
              <w:widowControl w:val="0"/>
              <w:kinsoku/>
              <w:wordWrap/>
              <w:overflowPunct/>
              <w:topLinePunct w:val="0"/>
              <w:autoSpaceDE/>
              <w:autoSpaceDN/>
              <w:bidi w:val="0"/>
              <w:adjustRightInd w:val="0"/>
              <w:snapToGrid w:val="0"/>
              <w:spacing w:before="1" w:line="240" w:lineRule="auto"/>
              <w:ind w:left="81" w:leftChars="0" w:right="75" w:rightChars="0"/>
              <w:jc w:val="center"/>
              <w:textAlignment w:val="auto"/>
              <w:rPr>
                <w:rFonts w:hint="eastAsia" w:ascii="仿宋_GB2312" w:hAnsi="仿宋_GB2312" w:eastAsia="仿宋_GB2312" w:cs="仿宋_GB2312"/>
                <w:color w:val="auto"/>
                <w:kern w:val="2"/>
                <w:sz w:val="21"/>
                <w:szCs w:val="21"/>
                <w:highlight w:val="none"/>
                <w:lang w:val="zh-CN" w:eastAsia="zh-CN" w:bidi="zh-CN"/>
              </w:rPr>
            </w:pPr>
            <w:r>
              <w:rPr>
                <w:rFonts w:hint="eastAsia" w:ascii="仿宋_GB2312" w:hAnsi="仿宋_GB2312" w:eastAsia="仿宋_GB2312" w:cs="仿宋_GB2312"/>
                <w:color w:val="auto"/>
                <w:sz w:val="21"/>
                <w:szCs w:val="21"/>
                <w:highlight w:val="none"/>
              </w:rPr>
              <w:t>按第十七条的规定</w:t>
            </w:r>
          </w:p>
        </w:tc>
        <w:tc>
          <w:tcPr>
            <w:tcW w:w="2298" w:type="dxa"/>
            <w:noWrap w:val="0"/>
            <w:vAlign w:val="top"/>
          </w:tcPr>
          <w:p w14:paraId="7B3B8EE6">
            <w:pPr>
              <w:pStyle w:val="958"/>
              <w:keepNext w:val="0"/>
              <w:keepLines w:val="0"/>
              <w:pageBreakBefore w:val="0"/>
              <w:widowControl w:val="0"/>
              <w:kinsoku/>
              <w:wordWrap/>
              <w:overflowPunct/>
              <w:topLinePunct w:val="0"/>
              <w:autoSpaceDE/>
              <w:autoSpaceDN/>
              <w:bidi w:val="0"/>
              <w:adjustRightInd w:val="0"/>
              <w:snapToGrid w:val="0"/>
              <w:spacing w:before="11" w:line="240" w:lineRule="auto"/>
              <w:textAlignment w:val="auto"/>
              <w:rPr>
                <w:rFonts w:hint="eastAsia" w:ascii="仿宋_GB2312" w:hAnsi="仿宋_GB2312" w:eastAsia="仿宋_GB2312" w:cs="仿宋_GB2312"/>
                <w:color w:val="auto"/>
                <w:sz w:val="21"/>
                <w:szCs w:val="21"/>
                <w:highlight w:val="none"/>
              </w:rPr>
            </w:pPr>
          </w:p>
          <w:p w14:paraId="649E8D83">
            <w:pPr>
              <w:pStyle w:val="958"/>
              <w:keepNext w:val="0"/>
              <w:keepLines w:val="0"/>
              <w:pageBreakBefore w:val="0"/>
              <w:widowControl w:val="0"/>
              <w:kinsoku/>
              <w:wordWrap/>
              <w:overflowPunct/>
              <w:topLinePunct w:val="0"/>
              <w:autoSpaceDE/>
              <w:autoSpaceDN/>
              <w:bidi w:val="0"/>
              <w:adjustRightInd w:val="0"/>
              <w:snapToGrid w:val="0"/>
              <w:spacing w:before="1" w:line="240" w:lineRule="auto"/>
              <w:ind w:left="43" w:leftChars="0" w:right="44" w:rightChars="0"/>
              <w:jc w:val="center"/>
              <w:textAlignment w:val="auto"/>
              <w:rPr>
                <w:rFonts w:hint="eastAsia" w:ascii="仿宋_GB2312" w:hAnsi="仿宋_GB2312" w:eastAsia="仿宋_GB2312" w:cs="仿宋_GB2312"/>
                <w:color w:val="auto"/>
                <w:kern w:val="2"/>
                <w:sz w:val="21"/>
                <w:szCs w:val="21"/>
                <w:highlight w:val="none"/>
                <w:lang w:val="zh-CN" w:eastAsia="zh-CN" w:bidi="zh-CN"/>
              </w:rPr>
            </w:pPr>
            <w:r>
              <w:rPr>
                <w:rFonts w:hint="eastAsia" w:ascii="仿宋_GB2312" w:hAnsi="仿宋_GB2312" w:eastAsia="仿宋_GB2312" w:cs="仿宋_GB2312"/>
                <w:color w:val="auto"/>
                <w:sz w:val="21"/>
                <w:szCs w:val="21"/>
                <w:highlight w:val="none"/>
              </w:rPr>
              <w:t>保存完整，不得泄露</w:t>
            </w:r>
          </w:p>
        </w:tc>
      </w:tr>
      <w:tr w14:paraId="6997D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593" w:type="dxa"/>
            <w:noWrap w:val="0"/>
            <w:vAlign w:val="top"/>
          </w:tcPr>
          <w:p w14:paraId="3E895ECD">
            <w:pPr>
              <w:pStyle w:val="958"/>
              <w:spacing w:before="6"/>
              <w:rPr>
                <w:rFonts w:hint="eastAsia" w:ascii="仿宋_GB2312" w:hAnsi="仿宋_GB2312" w:eastAsia="仿宋_GB2312" w:cs="仿宋_GB2312"/>
                <w:i w:val="0"/>
                <w:iCs w:val="0"/>
                <w:color w:val="auto"/>
                <w:sz w:val="21"/>
                <w:szCs w:val="21"/>
                <w:highlight w:val="none"/>
              </w:rPr>
            </w:pPr>
          </w:p>
          <w:p w14:paraId="53B0923A">
            <w:pPr>
              <w:pStyle w:val="958"/>
              <w:ind w:left="7"/>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2</w:t>
            </w:r>
          </w:p>
        </w:tc>
        <w:tc>
          <w:tcPr>
            <w:tcW w:w="1856" w:type="dxa"/>
            <w:noWrap w:val="0"/>
            <w:vAlign w:val="top"/>
          </w:tcPr>
          <w:p w14:paraId="38EC1BDC">
            <w:pPr>
              <w:pStyle w:val="958"/>
              <w:keepNext w:val="0"/>
              <w:keepLines w:val="0"/>
              <w:pageBreakBefore w:val="0"/>
              <w:widowControl w:val="0"/>
              <w:kinsoku/>
              <w:wordWrap/>
              <w:overflowPunct/>
              <w:topLinePunct w:val="0"/>
              <w:autoSpaceDE/>
              <w:autoSpaceDN/>
              <w:bidi w:val="0"/>
              <w:adjustRightInd w:val="0"/>
              <w:snapToGrid w:val="0"/>
              <w:spacing w:before="6" w:line="240" w:lineRule="auto"/>
              <w:textAlignment w:val="auto"/>
              <w:rPr>
                <w:rFonts w:hint="eastAsia" w:ascii="仿宋_GB2312" w:hAnsi="仿宋_GB2312" w:eastAsia="仿宋_GB2312" w:cs="仿宋_GB2312"/>
                <w:i w:val="0"/>
                <w:iCs w:val="0"/>
                <w:color w:val="auto"/>
                <w:sz w:val="21"/>
                <w:szCs w:val="21"/>
                <w:highlight w:val="none"/>
              </w:rPr>
            </w:pPr>
          </w:p>
          <w:p w14:paraId="265ADE80">
            <w:pPr>
              <w:pStyle w:val="958"/>
              <w:keepNext w:val="0"/>
              <w:keepLines w:val="0"/>
              <w:pageBreakBefore w:val="0"/>
              <w:widowControl w:val="0"/>
              <w:kinsoku/>
              <w:wordWrap/>
              <w:overflowPunct/>
              <w:topLinePunct w:val="0"/>
              <w:autoSpaceDE/>
              <w:autoSpaceDN/>
              <w:bidi w:val="0"/>
              <w:adjustRightInd w:val="0"/>
              <w:snapToGrid w:val="0"/>
              <w:spacing w:line="240" w:lineRule="auto"/>
              <w:ind w:left="425" w:right="420"/>
              <w:jc w:val="center"/>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竞标文件</w:t>
            </w:r>
          </w:p>
        </w:tc>
        <w:tc>
          <w:tcPr>
            <w:tcW w:w="569" w:type="dxa"/>
            <w:noWrap w:val="0"/>
            <w:vAlign w:val="top"/>
          </w:tcPr>
          <w:p w14:paraId="4BF35887">
            <w:pPr>
              <w:pStyle w:val="958"/>
              <w:keepNext w:val="0"/>
              <w:keepLines w:val="0"/>
              <w:pageBreakBefore w:val="0"/>
              <w:widowControl w:val="0"/>
              <w:kinsoku/>
              <w:wordWrap/>
              <w:overflowPunct/>
              <w:topLinePunct w:val="0"/>
              <w:autoSpaceDE/>
              <w:autoSpaceDN/>
              <w:bidi w:val="0"/>
              <w:adjustRightInd w:val="0"/>
              <w:snapToGrid w:val="0"/>
              <w:spacing w:before="6" w:line="240" w:lineRule="auto"/>
              <w:textAlignment w:val="auto"/>
              <w:rPr>
                <w:rFonts w:hint="eastAsia" w:ascii="仿宋_GB2312" w:hAnsi="仿宋_GB2312" w:eastAsia="仿宋_GB2312" w:cs="仿宋_GB2312"/>
                <w:i w:val="0"/>
                <w:iCs w:val="0"/>
                <w:color w:val="auto"/>
                <w:sz w:val="21"/>
                <w:szCs w:val="21"/>
                <w:highlight w:val="none"/>
              </w:rPr>
            </w:pPr>
          </w:p>
          <w:p w14:paraId="1B4775D2">
            <w:pPr>
              <w:pStyle w:val="958"/>
              <w:keepNext w:val="0"/>
              <w:keepLines w:val="0"/>
              <w:pageBreakBefore w:val="0"/>
              <w:widowControl w:val="0"/>
              <w:kinsoku/>
              <w:wordWrap/>
              <w:overflowPunct/>
              <w:topLinePunct w:val="0"/>
              <w:autoSpaceDE/>
              <w:autoSpaceDN/>
              <w:bidi w:val="0"/>
              <w:adjustRightInd w:val="0"/>
              <w:snapToGrid w:val="0"/>
              <w:spacing w:line="240" w:lineRule="auto"/>
              <w:ind w:left="222"/>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1</w:t>
            </w:r>
          </w:p>
        </w:tc>
        <w:tc>
          <w:tcPr>
            <w:tcW w:w="1558" w:type="dxa"/>
            <w:noWrap w:val="0"/>
            <w:vAlign w:val="top"/>
          </w:tcPr>
          <w:p w14:paraId="44FC5305">
            <w:pPr>
              <w:pStyle w:val="958"/>
              <w:keepNext w:val="0"/>
              <w:keepLines w:val="0"/>
              <w:pageBreakBefore w:val="0"/>
              <w:widowControl w:val="0"/>
              <w:kinsoku/>
              <w:wordWrap/>
              <w:overflowPunct/>
              <w:topLinePunct w:val="0"/>
              <w:autoSpaceDE/>
              <w:autoSpaceDN/>
              <w:bidi w:val="0"/>
              <w:adjustRightInd w:val="0"/>
              <w:snapToGrid w:val="0"/>
              <w:spacing w:before="122" w:line="240" w:lineRule="auto"/>
              <w:ind w:left="34" w:right="28"/>
              <w:jc w:val="center"/>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根据招标进度</w:t>
            </w:r>
          </w:p>
          <w:p w14:paraId="43C1D84C">
            <w:pPr>
              <w:pStyle w:val="958"/>
              <w:keepNext w:val="0"/>
              <w:keepLines w:val="0"/>
              <w:pageBreakBefore w:val="0"/>
              <w:widowControl w:val="0"/>
              <w:kinsoku/>
              <w:wordWrap/>
              <w:overflowPunct/>
              <w:topLinePunct w:val="0"/>
              <w:autoSpaceDE/>
              <w:autoSpaceDN/>
              <w:bidi w:val="0"/>
              <w:adjustRightInd w:val="0"/>
              <w:snapToGrid w:val="0"/>
              <w:spacing w:before="153" w:line="240" w:lineRule="auto"/>
              <w:ind w:left="34" w:right="28"/>
              <w:jc w:val="center"/>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提供</w:t>
            </w:r>
          </w:p>
        </w:tc>
        <w:tc>
          <w:tcPr>
            <w:tcW w:w="2127" w:type="dxa"/>
            <w:noWrap w:val="0"/>
            <w:vAlign w:val="top"/>
          </w:tcPr>
          <w:p w14:paraId="423644F1">
            <w:pPr>
              <w:pStyle w:val="958"/>
              <w:keepNext w:val="0"/>
              <w:keepLines w:val="0"/>
              <w:pageBreakBefore w:val="0"/>
              <w:widowControl w:val="0"/>
              <w:kinsoku/>
              <w:wordWrap/>
              <w:overflowPunct/>
              <w:topLinePunct w:val="0"/>
              <w:autoSpaceDE/>
              <w:autoSpaceDN/>
              <w:bidi w:val="0"/>
              <w:adjustRightInd w:val="0"/>
              <w:snapToGrid w:val="0"/>
              <w:spacing w:before="6" w:line="240" w:lineRule="auto"/>
              <w:textAlignment w:val="auto"/>
              <w:rPr>
                <w:rFonts w:hint="eastAsia" w:ascii="仿宋_GB2312" w:hAnsi="仿宋_GB2312" w:eastAsia="仿宋_GB2312" w:cs="仿宋_GB2312"/>
                <w:i w:val="0"/>
                <w:iCs w:val="0"/>
                <w:color w:val="auto"/>
                <w:sz w:val="21"/>
                <w:szCs w:val="21"/>
                <w:highlight w:val="none"/>
              </w:rPr>
            </w:pPr>
          </w:p>
          <w:p w14:paraId="20997E85">
            <w:pPr>
              <w:pStyle w:val="958"/>
              <w:keepNext w:val="0"/>
              <w:keepLines w:val="0"/>
              <w:pageBreakBefore w:val="0"/>
              <w:widowControl w:val="0"/>
              <w:kinsoku/>
              <w:wordWrap/>
              <w:overflowPunct/>
              <w:topLinePunct w:val="0"/>
              <w:autoSpaceDE/>
              <w:autoSpaceDN/>
              <w:bidi w:val="0"/>
              <w:adjustRightInd w:val="0"/>
              <w:snapToGrid w:val="0"/>
              <w:spacing w:line="240" w:lineRule="auto"/>
              <w:ind w:right="93"/>
              <w:jc w:val="right"/>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按第十七条的规定</w:t>
            </w:r>
          </w:p>
        </w:tc>
        <w:tc>
          <w:tcPr>
            <w:tcW w:w="2298" w:type="dxa"/>
            <w:noWrap w:val="0"/>
            <w:vAlign w:val="top"/>
          </w:tcPr>
          <w:p w14:paraId="6763FC46">
            <w:pPr>
              <w:pStyle w:val="958"/>
              <w:keepNext w:val="0"/>
              <w:keepLines w:val="0"/>
              <w:pageBreakBefore w:val="0"/>
              <w:widowControl w:val="0"/>
              <w:kinsoku/>
              <w:wordWrap/>
              <w:overflowPunct/>
              <w:topLinePunct w:val="0"/>
              <w:autoSpaceDE/>
              <w:autoSpaceDN/>
              <w:bidi w:val="0"/>
              <w:adjustRightInd w:val="0"/>
              <w:snapToGrid w:val="0"/>
              <w:spacing w:before="6" w:line="240" w:lineRule="auto"/>
              <w:textAlignment w:val="auto"/>
              <w:rPr>
                <w:rFonts w:hint="eastAsia" w:ascii="仿宋_GB2312" w:hAnsi="仿宋_GB2312" w:eastAsia="仿宋_GB2312" w:cs="仿宋_GB2312"/>
                <w:i w:val="0"/>
                <w:iCs w:val="0"/>
                <w:color w:val="auto"/>
                <w:sz w:val="21"/>
                <w:szCs w:val="21"/>
                <w:highlight w:val="none"/>
              </w:rPr>
            </w:pPr>
          </w:p>
          <w:p w14:paraId="08EF49D3">
            <w:pPr>
              <w:pStyle w:val="958"/>
              <w:keepNext w:val="0"/>
              <w:keepLines w:val="0"/>
              <w:pageBreakBefore w:val="0"/>
              <w:widowControl w:val="0"/>
              <w:kinsoku/>
              <w:wordWrap/>
              <w:overflowPunct/>
              <w:topLinePunct w:val="0"/>
              <w:autoSpaceDE/>
              <w:autoSpaceDN/>
              <w:bidi w:val="0"/>
              <w:adjustRightInd w:val="0"/>
              <w:snapToGrid w:val="0"/>
              <w:spacing w:line="240" w:lineRule="auto"/>
              <w:ind w:left="43" w:right="44"/>
              <w:jc w:val="center"/>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保存完整，不得泄露</w:t>
            </w:r>
          </w:p>
        </w:tc>
      </w:tr>
      <w:tr w14:paraId="15C3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93" w:type="dxa"/>
            <w:noWrap w:val="0"/>
            <w:vAlign w:val="top"/>
          </w:tcPr>
          <w:p w14:paraId="0CA2AE1E">
            <w:pPr>
              <w:pStyle w:val="958"/>
              <w:spacing w:before="6"/>
              <w:rPr>
                <w:rFonts w:hint="eastAsia" w:ascii="仿宋_GB2312" w:hAnsi="仿宋_GB2312" w:eastAsia="仿宋_GB2312" w:cs="仿宋_GB2312"/>
                <w:i w:val="0"/>
                <w:iCs w:val="0"/>
                <w:color w:val="auto"/>
                <w:sz w:val="21"/>
                <w:szCs w:val="21"/>
                <w:highlight w:val="none"/>
              </w:rPr>
            </w:pPr>
          </w:p>
          <w:p w14:paraId="3BFDF163">
            <w:pPr>
              <w:pStyle w:val="958"/>
              <w:ind w:left="7"/>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3</w:t>
            </w:r>
          </w:p>
        </w:tc>
        <w:tc>
          <w:tcPr>
            <w:tcW w:w="1856" w:type="dxa"/>
            <w:noWrap w:val="0"/>
            <w:vAlign w:val="top"/>
          </w:tcPr>
          <w:p w14:paraId="6A1C2F83">
            <w:pPr>
              <w:pStyle w:val="958"/>
              <w:keepNext w:val="0"/>
              <w:keepLines w:val="0"/>
              <w:pageBreakBefore w:val="0"/>
              <w:widowControl w:val="0"/>
              <w:kinsoku/>
              <w:wordWrap/>
              <w:overflowPunct/>
              <w:topLinePunct w:val="0"/>
              <w:autoSpaceDE/>
              <w:autoSpaceDN/>
              <w:bidi w:val="0"/>
              <w:adjustRightInd w:val="0"/>
              <w:snapToGrid w:val="0"/>
              <w:spacing w:before="6" w:line="240" w:lineRule="auto"/>
              <w:textAlignment w:val="auto"/>
              <w:rPr>
                <w:rFonts w:hint="eastAsia" w:ascii="仿宋_GB2312" w:hAnsi="仿宋_GB2312" w:eastAsia="仿宋_GB2312" w:cs="仿宋_GB2312"/>
                <w:i w:val="0"/>
                <w:iCs w:val="0"/>
                <w:color w:val="auto"/>
                <w:sz w:val="21"/>
                <w:szCs w:val="21"/>
                <w:highlight w:val="none"/>
              </w:rPr>
            </w:pPr>
          </w:p>
          <w:p w14:paraId="53DDBF66">
            <w:pPr>
              <w:pStyle w:val="958"/>
              <w:keepNext w:val="0"/>
              <w:keepLines w:val="0"/>
              <w:pageBreakBefore w:val="0"/>
              <w:widowControl w:val="0"/>
              <w:kinsoku/>
              <w:wordWrap/>
              <w:overflowPunct/>
              <w:topLinePunct w:val="0"/>
              <w:autoSpaceDE/>
              <w:autoSpaceDN/>
              <w:bidi w:val="0"/>
              <w:adjustRightInd w:val="0"/>
              <w:snapToGrid w:val="0"/>
              <w:spacing w:line="240" w:lineRule="auto"/>
              <w:ind w:left="425" w:right="420"/>
              <w:jc w:val="center"/>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施工图</w:t>
            </w:r>
          </w:p>
        </w:tc>
        <w:tc>
          <w:tcPr>
            <w:tcW w:w="569" w:type="dxa"/>
            <w:noWrap w:val="0"/>
            <w:vAlign w:val="top"/>
          </w:tcPr>
          <w:p w14:paraId="75203FAD">
            <w:pPr>
              <w:pStyle w:val="958"/>
              <w:keepNext w:val="0"/>
              <w:keepLines w:val="0"/>
              <w:pageBreakBefore w:val="0"/>
              <w:widowControl w:val="0"/>
              <w:kinsoku/>
              <w:wordWrap/>
              <w:overflowPunct/>
              <w:topLinePunct w:val="0"/>
              <w:autoSpaceDE/>
              <w:autoSpaceDN/>
              <w:bidi w:val="0"/>
              <w:adjustRightInd w:val="0"/>
              <w:snapToGrid w:val="0"/>
              <w:spacing w:before="6" w:line="240" w:lineRule="auto"/>
              <w:textAlignment w:val="auto"/>
              <w:rPr>
                <w:rFonts w:hint="eastAsia" w:ascii="仿宋_GB2312" w:hAnsi="仿宋_GB2312" w:eastAsia="仿宋_GB2312" w:cs="仿宋_GB2312"/>
                <w:i w:val="0"/>
                <w:iCs w:val="0"/>
                <w:color w:val="auto"/>
                <w:sz w:val="21"/>
                <w:szCs w:val="21"/>
                <w:highlight w:val="none"/>
              </w:rPr>
            </w:pPr>
          </w:p>
          <w:p w14:paraId="251F82D8">
            <w:pPr>
              <w:pStyle w:val="958"/>
              <w:keepNext w:val="0"/>
              <w:keepLines w:val="0"/>
              <w:pageBreakBefore w:val="0"/>
              <w:widowControl w:val="0"/>
              <w:kinsoku/>
              <w:wordWrap/>
              <w:overflowPunct/>
              <w:topLinePunct w:val="0"/>
              <w:autoSpaceDE/>
              <w:autoSpaceDN/>
              <w:bidi w:val="0"/>
              <w:adjustRightInd w:val="0"/>
              <w:snapToGrid w:val="0"/>
              <w:spacing w:line="240" w:lineRule="auto"/>
              <w:ind w:left="222"/>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4</w:t>
            </w:r>
          </w:p>
        </w:tc>
        <w:tc>
          <w:tcPr>
            <w:tcW w:w="1558" w:type="dxa"/>
            <w:noWrap w:val="0"/>
            <w:vAlign w:val="top"/>
          </w:tcPr>
          <w:p w14:paraId="288CE032">
            <w:pPr>
              <w:pStyle w:val="958"/>
              <w:keepNext w:val="0"/>
              <w:keepLines w:val="0"/>
              <w:pageBreakBefore w:val="0"/>
              <w:widowControl w:val="0"/>
              <w:kinsoku/>
              <w:wordWrap/>
              <w:overflowPunct/>
              <w:topLinePunct w:val="0"/>
              <w:autoSpaceDE/>
              <w:autoSpaceDN/>
              <w:bidi w:val="0"/>
              <w:adjustRightInd w:val="0"/>
              <w:snapToGrid w:val="0"/>
              <w:spacing w:before="124" w:line="240" w:lineRule="auto"/>
              <w:ind w:left="35" w:right="30"/>
              <w:jc w:val="center"/>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根据工程进</w:t>
            </w:r>
          </w:p>
          <w:p w14:paraId="65D77E33">
            <w:pPr>
              <w:pStyle w:val="958"/>
              <w:keepNext w:val="0"/>
              <w:keepLines w:val="0"/>
              <w:pageBreakBefore w:val="0"/>
              <w:widowControl w:val="0"/>
              <w:kinsoku/>
              <w:wordWrap/>
              <w:overflowPunct/>
              <w:topLinePunct w:val="0"/>
              <w:autoSpaceDE/>
              <w:autoSpaceDN/>
              <w:bidi w:val="0"/>
              <w:adjustRightInd w:val="0"/>
              <w:snapToGrid w:val="0"/>
              <w:spacing w:before="151" w:line="240" w:lineRule="auto"/>
              <w:ind w:left="35" w:right="30"/>
              <w:jc w:val="center"/>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度，逐步提供</w:t>
            </w:r>
          </w:p>
        </w:tc>
        <w:tc>
          <w:tcPr>
            <w:tcW w:w="2127" w:type="dxa"/>
            <w:noWrap w:val="0"/>
            <w:vAlign w:val="top"/>
          </w:tcPr>
          <w:p w14:paraId="7BDC7ED7">
            <w:pPr>
              <w:pStyle w:val="958"/>
              <w:keepNext w:val="0"/>
              <w:keepLines w:val="0"/>
              <w:pageBreakBefore w:val="0"/>
              <w:widowControl w:val="0"/>
              <w:kinsoku/>
              <w:wordWrap/>
              <w:overflowPunct/>
              <w:topLinePunct w:val="0"/>
              <w:autoSpaceDE/>
              <w:autoSpaceDN/>
              <w:bidi w:val="0"/>
              <w:adjustRightInd w:val="0"/>
              <w:snapToGrid w:val="0"/>
              <w:spacing w:before="6" w:line="240" w:lineRule="auto"/>
              <w:textAlignment w:val="auto"/>
              <w:rPr>
                <w:rFonts w:hint="eastAsia" w:ascii="仿宋_GB2312" w:hAnsi="仿宋_GB2312" w:eastAsia="仿宋_GB2312" w:cs="仿宋_GB2312"/>
                <w:i w:val="0"/>
                <w:iCs w:val="0"/>
                <w:color w:val="auto"/>
                <w:sz w:val="21"/>
                <w:szCs w:val="21"/>
                <w:highlight w:val="none"/>
              </w:rPr>
            </w:pPr>
          </w:p>
          <w:p w14:paraId="089CE944">
            <w:pPr>
              <w:pStyle w:val="958"/>
              <w:keepNext w:val="0"/>
              <w:keepLines w:val="0"/>
              <w:pageBreakBefore w:val="0"/>
              <w:widowControl w:val="0"/>
              <w:kinsoku/>
              <w:wordWrap/>
              <w:overflowPunct/>
              <w:topLinePunct w:val="0"/>
              <w:autoSpaceDE/>
              <w:autoSpaceDN/>
              <w:bidi w:val="0"/>
              <w:adjustRightInd w:val="0"/>
              <w:snapToGrid w:val="0"/>
              <w:spacing w:line="240" w:lineRule="auto"/>
              <w:ind w:right="93"/>
              <w:jc w:val="right"/>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按第十七条的规定</w:t>
            </w:r>
          </w:p>
        </w:tc>
        <w:tc>
          <w:tcPr>
            <w:tcW w:w="2298" w:type="dxa"/>
            <w:noWrap w:val="0"/>
            <w:vAlign w:val="top"/>
          </w:tcPr>
          <w:p w14:paraId="4C171138">
            <w:pPr>
              <w:pStyle w:val="958"/>
              <w:keepNext w:val="0"/>
              <w:keepLines w:val="0"/>
              <w:pageBreakBefore w:val="0"/>
              <w:widowControl w:val="0"/>
              <w:kinsoku/>
              <w:wordWrap/>
              <w:overflowPunct/>
              <w:topLinePunct w:val="0"/>
              <w:autoSpaceDE/>
              <w:autoSpaceDN/>
              <w:bidi w:val="0"/>
              <w:adjustRightInd w:val="0"/>
              <w:snapToGrid w:val="0"/>
              <w:spacing w:before="6" w:line="240" w:lineRule="auto"/>
              <w:textAlignment w:val="auto"/>
              <w:rPr>
                <w:rFonts w:hint="eastAsia" w:ascii="仿宋_GB2312" w:hAnsi="仿宋_GB2312" w:eastAsia="仿宋_GB2312" w:cs="仿宋_GB2312"/>
                <w:i w:val="0"/>
                <w:iCs w:val="0"/>
                <w:color w:val="auto"/>
                <w:sz w:val="21"/>
                <w:szCs w:val="21"/>
                <w:highlight w:val="none"/>
              </w:rPr>
            </w:pPr>
          </w:p>
          <w:p w14:paraId="4BD809FE">
            <w:pPr>
              <w:pStyle w:val="958"/>
              <w:keepNext w:val="0"/>
              <w:keepLines w:val="0"/>
              <w:pageBreakBefore w:val="0"/>
              <w:widowControl w:val="0"/>
              <w:kinsoku/>
              <w:wordWrap/>
              <w:overflowPunct/>
              <w:topLinePunct w:val="0"/>
              <w:autoSpaceDE/>
              <w:autoSpaceDN/>
              <w:bidi w:val="0"/>
              <w:adjustRightInd w:val="0"/>
              <w:snapToGrid w:val="0"/>
              <w:spacing w:line="240" w:lineRule="auto"/>
              <w:ind w:left="43" w:right="44"/>
              <w:jc w:val="center"/>
              <w:textAlignment w:val="auto"/>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21"/>
                <w:szCs w:val="21"/>
                <w:highlight w:val="none"/>
              </w:rPr>
              <w:t>保存完整，不得泄露</w:t>
            </w:r>
          </w:p>
        </w:tc>
      </w:tr>
    </w:tbl>
    <w:p w14:paraId="6E67BEE9">
      <w:pPr>
        <w:pStyle w:val="3"/>
        <w:spacing w:before="123" w:line="357" w:lineRule="auto"/>
        <w:ind w:left="338" w:right="451"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第十一条 委托人对监理机构书面提交并要求作出决定的事宜作出书面决定并送达的时限：</w:t>
      </w:r>
    </w:p>
    <w:p w14:paraId="32DD0C0C">
      <w:pPr>
        <w:pStyle w:val="3"/>
        <w:spacing w:before="3" w:line="360" w:lineRule="auto"/>
        <w:ind w:left="338" w:right="388"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一般文件</w:t>
      </w:r>
      <w:r>
        <w:rPr>
          <w:rFonts w:hint="eastAsia" w:ascii="宋体" w:hAnsi="宋体" w:eastAsia="宋体" w:cs="宋体"/>
          <w:i w:val="0"/>
          <w:iCs w:val="0"/>
          <w:color w:val="auto"/>
          <w:sz w:val="24"/>
          <w:szCs w:val="24"/>
          <w:highlight w:val="none"/>
          <w:u w:val="single"/>
        </w:rPr>
        <w:t xml:space="preserve"> 7 天</w:t>
      </w:r>
      <w:r>
        <w:rPr>
          <w:rFonts w:hint="eastAsia" w:ascii="宋体" w:hAnsi="宋体" w:eastAsia="宋体" w:cs="宋体"/>
          <w:i w:val="0"/>
          <w:iCs w:val="0"/>
          <w:color w:val="auto"/>
          <w:sz w:val="24"/>
          <w:szCs w:val="24"/>
          <w:highlight w:val="none"/>
        </w:rPr>
        <w:t>；紧急事项、变更文件委托人应在签收后一个经双方协商的能满足工程要求的更短时间内予以回复 。</w:t>
      </w:r>
    </w:p>
    <w:p w14:paraId="5B47A742">
      <w:pPr>
        <w:spacing w:before="0" w:line="304" w:lineRule="exact"/>
        <w:ind w:left="821"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第十三条</w:t>
      </w:r>
      <w:r>
        <w:rPr>
          <w:rFonts w:hint="eastAsia" w:ascii="宋体" w:hAnsi="宋体" w:eastAsia="宋体" w:cs="宋体"/>
          <w:i w:val="0"/>
          <w:iCs w:val="0"/>
          <w:color w:val="auto"/>
          <w:sz w:val="24"/>
          <w:szCs w:val="24"/>
          <w:highlight w:val="none"/>
        </w:rPr>
        <w:t>本条款改为：</w:t>
      </w:r>
    </w:p>
    <w:p w14:paraId="752042ED">
      <w:pPr>
        <w:pStyle w:val="3"/>
        <w:spacing w:before="153" w:line="360" w:lineRule="auto"/>
        <w:ind w:left="338" w:right="439"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委托人不提供任何工作、生活设施，监理期间监理机构的工作、生活设施等费用均由监理人自行承担，并已包含在监理报酬报价中。</w:t>
      </w:r>
    </w:p>
    <w:p w14:paraId="34A20C78">
      <w:pPr>
        <w:pStyle w:val="3"/>
        <w:spacing w:line="305" w:lineRule="exact"/>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监理人应在项目现场设立独立的监理项目部，费用由监理人自行承担。</w:t>
      </w:r>
    </w:p>
    <w:p w14:paraId="4F064C49">
      <w:pPr>
        <w:pStyle w:val="3"/>
        <w:spacing w:before="153" w:line="360" w:lineRule="auto"/>
        <w:ind w:left="338" w:right="382" w:firstLine="482"/>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第十七条 </w:t>
      </w:r>
      <w:r>
        <w:rPr>
          <w:rFonts w:hint="eastAsia" w:ascii="宋体" w:hAnsi="宋体" w:eastAsia="宋体" w:cs="宋体"/>
          <w:i w:val="0"/>
          <w:iCs w:val="0"/>
          <w:color w:val="auto"/>
          <w:sz w:val="24"/>
          <w:szCs w:val="24"/>
          <w:highlight w:val="none"/>
        </w:rPr>
        <w:t>监理人员的人身意外伤害险和第三者责任险由监理人投保，投保的费用应已计入报价中。</w:t>
      </w:r>
    </w:p>
    <w:p w14:paraId="5FE1ED39">
      <w:pPr>
        <w:spacing w:before="0" w:line="305" w:lineRule="exact"/>
        <w:ind w:left="466" w:right="570"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监理人的义务</w:t>
      </w:r>
    </w:p>
    <w:p w14:paraId="1B72F3E1">
      <w:pPr>
        <w:tabs>
          <w:tab w:val="left" w:pos="7546"/>
        </w:tabs>
        <w:spacing w:before="153"/>
        <w:ind w:left="821" w:right="0" w:firstLine="0"/>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第二十条</w:t>
      </w:r>
      <w:r>
        <w:rPr>
          <w:rFonts w:hint="eastAsia" w:ascii="宋体" w:hAnsi="宋体" w:eastAsia="宋体" w:cs="宋体"/>
          <w:b/>
          <w:i w:val="0"/>
          <w:iCs w:val="0"/>
          <w:color w:val="auto"/>
          <w:spacing w:val="1"/>
          <w:sz w:val="24"/>
          <w:szCs w:val="24"/>
          <w:highlight w:val="none"/>
        </w:rPr>
        <w:t xml:space="preserve"> </w:t>
      </w:r>
      <w:r>
        <w:rPr>
          <w:rFonts w:hint="eastAsia" w:ascii="宋体" w:hAnsi="宋体" w:eastAsia="宋体" w:cs="宋体"/>
          <w:i w:val="0"/>
          <w:iCs w:val="0"/>
          <w:color w:val="auto"/>
          <w:sz w:val="24"/>
          <w:szCs w:val="24"/>
          <w:highlight w:val="none"/>
        </w:rPr>
        <w:t>监理服务</w:t>
      </w:r>
      <w:r>
        <w:rPr>
          <w:rFonts w:hint="eastAsia" w:ascii="宋体" w:hAnsi="宋体" w:eastAsia="宋体" w:cs="宋体"/>
          <w:i w:val="0"/>
          <w:iCs w:val="0"/>
          <w:color w:val="auto"/>
          <w:spacing w:val="-3"/>
          <w:sz w:val="24"/>
          <w:szCs w:val="24"/>
          <w:highlight w:val="none"/>
        </w:rPr>
        <w:t>内</w:t>
      </w:r>
      <w:r>
        <w:rPr>
          <w:rFonts w:hint="eastAsia" w:ascii="宋体" w:hAnsi="宋体" w:eastAsia="宋体" w:cs="宋体"/>
          <w:i w:val="0"/>
          <w:iCs w:val="0"/>
          <w:color w:val="auto"/>
          <w:sz w:val="24"/>
          <w:szCs w:val="24"/>
          <w:highlight w:val="none"/>
        </w:rPr>
        <w:t>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w:t>
      </w:r>
    </w:p>
    <w:p w14:paraId="52E82889">
      <w:pPr>
        <w:pStyle w:val="3"/>
        <w:spacing w:before="153" w:line="357" w:lineRule="auto"/>
        <w:ind w:left="338" w:right="444" w:firstLine="482"/>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第二十一条 </w:t>
      </w:r>
      <w:r>
        <w:rPr>
          <w:rFonts w:hint="eastAsia" w:ascii="宋体" w:hAnsi="宋体" w:eastAsia="宋体" w:cs="宋体"/>
          <w:i w:val="0"/>
          <w:iCs w:val="0"/>
          <w:color w:val="auto"/>
          <w:spacing w:val="-3"/>
          <w:sz w:val="24"/>
          <w:szCs w:val="24"/>
          <w:highlight w:val="none"/>
        </w:rPr>
        <w:t xml:space="preserve">监理人应当在本合同生效后 </w:t>
      </w:r>
      <w:r>
        <w:rPr>
          <w:rFonts w:hint="eastAsia" w:ascii="宋体" w:hAnsi="宋体" w:eastAsia="宋体" w:cs="宋体"/>
          <w:i w:val="0"/>
          <w:iCs w:val="0"/>
          <w:color w:val="auto"/>
          <w:sz w:val="24"/>
          <w:szCs w:val="24"/>
          <w:highlight w:val="none"/>
        </w:rPr>
        <w:t>15</w:t>
      </w:r>
      <w:r>
        <w:rPr>
          <w:rFonts w:hint="eastAsia" w:ascii="宋体" w:hAnsi="宋体" w:eastAsia="宋体" w:cs="宋体"/>
          <w:i w:val="0"/>
          <w:iCs w:val="0"/>
          <w:color w:val="auto"/>
          <w:spacing w:val="-6"/>
          <w:sz w:val="24"/>
          <w:szCs w:val="24"/>
          <w:highlight w:val="none"/>
        </w:rPr>
        <w:t xml:space="preserve"> 天内组建监理机构，并进驻现场。各专</w:t>
      </w:r>
      <w:r>
        <w:rPr>
          <w:rFonts w:hint="eastAsia" w:ascii="宋体" w:hAnsi="宋体" w:eastAsia="宋体" w:cs="宋体"/>
          <w:i w:val="0"/>
          <w:iCs w:val="0"/>
          <w:color w:val="auto"/>
          <w:sz w:val="24"/>
          <w:szCs w:val="24"/>
          <w:highlight w:val="none"/>
        </w:rPr>
        <w:t>业监理人员必须按监理规范要求配备齐全。</w:t>
      </w:r>
    </w:p>
    <w:p w14:paraId="5D9A337F">
      <w:pPr>
        <w:pStyle w:val="3"/>
        <w:keepNext w:val="0"/>
        <w:keepLines w:val="0"/>
        <w:pageBreakBefore w:val="0"/>
        <w:widowControl w:val="0"/>
        <w:kinsoku/>
        <w:wordWrap/>
        <w:overflowPunct/>
        <w:topLinePunct w:val="0"/>
        <w:autoSpaceDE w:val="0"/>
        <w:autoSpaceDN w:val="0"/>
        <w:bidi w:val="0"/>
        <w:adjustRightInd w:val="0"/>
        <w:snapToGrid w:val="0"/>
        <w:spacing w:before="4" w:line="240" w:lineRule="auto"/>
        <w:ind w:left="818"/>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在工程施工期间（停工除外</w:t>
      </w:r>
      <w:r>
        <w:rPr>
          <w:rFonts w:hint="eastAsia" w:hAnsi="宋体" w:cs="宋体"/>
          <w:i w:val="0"/>
          <w:iCs w:val="0"/>
          <w:color w:val="auto"/>
          <w:sz w:val="24"/>
          <w:szCs w:val="24"/>
          <w:highlight w:val="none"/>
          <w:lang w:eastAsia="zh-CN"/>
        </w:rPr>
        <w:t>）</w:t>
      </w:r>
      <w:r>
        <w:rPr>
          <w:rFonts w:hint="eastAsia" w:ascii="宋体" w:hAnsi="宋体" w:eastAsia="宋体" w:cs="宋体"/>
          <w:i w:val="0"/>
          <w:iCs w:val="0"/>
          <w:color w:val="auto"/>
          <w:spacing w:val="-2"/>
          <w:sz w:val="24"/>
          <w:szCs w:val="24"/>
          <w:highlight w:val="none"/>
        </w:rPr>
        <w:t xml:space="preserve">，监理工程师每月驻工地时间不得少于 </w:t>
      </w:r>
      <w:r>
        <w:rPr>
          <w:rFonts w:hint="eastAsia" w:ascii="宋体" w:hAnsi="宋体" w:eastAsia="宋体" w:cs="宋体"/>
          <w:i w:val="0"/>
          <w:iCs w:val="0"/>
          <w:color w:val="auto"/>
          <w:sz w:val="24"/>
          <w:szCs w:val="24"/>
          <w:highlight w:val="none"/>
        </w:rPr>
        <w:t>15</w:t>
      </w:r>
      <w:r>
        <w:rPr>
          <w:rFonts w:hint="eastAsia" w:ascii="宋体" w:hAnsi="宋体" w:eastAsia="宋体" w:cs="宋体"/>
          <w:i w:val="0"/>
          <w:iCs w:val="0"/>
          <w:color w:val="auto"/>
          <w:spacing w:val="-5"/>
          <w:sz w:val="24"/>
          <w:szCs w:val="24"/>
          <w:highlight w:val="none"/>
        </w:rPr>
        <w:t xml:space="preserve"> 天，监理到</w:t>
      </w:r>
    </w:p>
    <w:p w14:paraId="1642ACD4">
      <w:pPr>
        <w:pStyle w:val="3"/>
        <w:keepNext w:val="0"/>
        <w:keepLines w:val="0"/>
        <w:pageBreakBefore w:val="0"/>
        <w:widowControl w:val="0"/>
        <w:kinsoku/>
        <w:wordWrap/>
        <w:overflowPunct/>
        <w:topLinePunct w:val="0"/>
        <w:autoSpaceDE w:val="0"/>
        <w:autoSpaceDN w:val="0"/>
        <w:bidi w:val="0"/>
        <w:adjustRightInd w:val="0"/>
        <w:snapToGrid w:val="0"/>
        <w:spacing w:before="153" w:line="240" w:lineRule="auto"/>
        <w:ind w:left="338"/>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考核人员处进行报道，每缺少一天扣 300 元。</w:t>
      </w:r>
    </w:p>
    <w:p w14:paraId="4A26AED3">
      <w:pPr>
        <w:pStyle w:val="3"/>
        <w:keepNext w:val="0"/>
        <w:keepLines w:val="0"/>
        <w:pageBreakBefore w:val="0"/>
        <w:widowControl w:val="0"/>
        <w:kinsoku/>
        <w:wordWrap/>
        <w:overflowPunct/>
        <w:topLinePunct w:val="0"/>
        <w:autoSpaceDE w:val="0"/>
        <w:autoSpaceDN w:val="0"/>
        <w:bidi w:val="0"/>
        <w:adjustRightInd w:val="0"/>
        <w:snapToGrid w:val="0"/>
        <w:spacing w:before="151" w:line="240" w:lineRule="auto"/>
        <w:ind w:left="338" w:right="439" w:firstLine="48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由于监理人员管理不力或不及时落实有关管理措施，影响施工质量、进度等，经建设单位或其他管理部门提醒，仍未改观，委托人或管理部门发出书面督促函要求监理单</w:t>
      </w:r>
      <w:r>
        <w:rPr>
          <w:rFonts w:hint="eastAsia" w:ascii="宋体" w:hAnsi="宋体" w:eastAsia="宋体" w:cs="宋体"/>
          <w:i w:val="0"/>
          <w:iCs w:val="0"/>
          <w:color w:val="auto"/>
          <w:spacing w:val="-1"/>
          <w:sz w:val="24"/>
          <w:szCs w:val="24"/>
          <w:highlight w:val="none"/>
        </w:rPr>
        <w:t xml:space="preserve">位进一步落实，则每发一份督促函扣监理费 </w:t>
      </w:r>
      <w:r>
        <w:rPr>
          <w:rFonts w:hint="eastAsia" w:ascii="宋体" w:hAnsi="宋体" w:eastAsia="宋体" w:cs="宋体"/>
          <w:i w:val="0"/>
          <w:iCs w:val="0"/>
          <w:color w:val="auto"/>
          <w:sz w:val="24"/>
          <w:szCs w:val="24"/>
          <w:highlight w:val="none"/>
        </w:rPr>
        <w:t>500</w:t>
      </w:r>
      <w:r>
        <w:rPr>
          <w:rFonts w:hint="eastAsia" w:ascii="宋体" w:hAnsi="宋体" w:eastAsia="宋体" w:cs="宋体"/>
          <w:i w:val="0"/>
          <w:iCs w:val="0"/>
          <w:color w:val="auto"/>
          <w:spacing w:val="-10"/>
          <w:sz w:val="24"/>
          <w:szCs w:val="24"/>
          <w:highlight w:val="none"/>
        </w:rPr>
        <w:t xml:space="preserve"> 元</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pacing w:val="-1"/>
          <w:sz w:val="24"/>
          <w:szCs w:val="24"/>
          <w:highlight w:val="none"/>
        </w:rPr>
        <w:t>同一事件每加发一份督促函罚款额</w:t>
      </w:r>
      <w:r>
        <w:rPr>
          <w:rFonts w:hint="eastAsia" w:ascii="宋体" w:hAnsi="宋体" w:eastAsia="宋体" w:cs="宋体"/>
          <w:i w:val="0"/>
          <w:iCs w:val="0"/>
          <w:color w:val="auto"/>
          <w:sz w:val="24"/>
          <w:szCs w:val="24"/>
          <w:highlight w:val="none"/>
        </w:rPr>
        <w:t>较前一份作翻倍处理</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z w:val="24"/>
          <w:szCs w:val="24"/>
          <w:highlight w:val="none"/>
        </w:rPr>
        <w:t>。</w:t>
      </w:r>
    </w:p>
    <w:p w14:paraId="4BA123DD">
      <w:pPr>
        <w:pStyle w:val="3"/>
        <w:spacing w:line="360" w:lineRule="auto"/>
        <w:ind w:left="338" w:right="442" w:firstLine="48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7"/>
          <w:sz w:val="24"/>
          <w:szCs w:val="24"/>
          <w:highlight w:val="none"/>
        </w:rPr>
        <w:t xml:space="preserve">注：本条第 </w:t>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pacing w:val="-17"/>
          <w:sz w:val="24"/>
          <w:szCs w:val="24"/>
          <w:highlight w:val="none"/>
        </w:rPr>
        <w:t xml:space="preserve"> 款和第 </w:t>
      </w: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pacing w:val="-8"/>
          <w:sz w:val="24"/>
          <w:szCs w:val="24"/>
          <w:highlight w:val="none"/>
        </w:rPr>
        <w:t xml:space="preserve"> 款累计扣款</w:t>
      </w:r>
      <w:r>
        <w:rPr>
          <w:rFonts w:hint="eastAsia" w:ascii="宋体" w:hAnsi="宋体" w:eastAsia="宋体" w:cs="宋体"/>
          <w:i w:val="0"/>
          <w:iCs w:val="0"/>
          <w:color w:val="auto"/>
          <w:sz w:val="24"/>
          <w:szCs w:val="24"/>
          <w:highlight w:val="none"/>
        </w:rPr>
        <w:t>（不包括总监及监理工程师更换产生的扣款）</w:t>
      </w:r>
      <w:r>
        <w:rPr>
          <w:rFonts w:hint="eastAsia" w:ascii="宋体" w:hAnsi="宋体" w:eastAsia="宋体" w:cs="宋体"/>
          <w:i w:val="0"/>
          <w:iCs w:val="0"/>
          <w:color w:val="auto"/>
          <w:spacing w:val="-16"/>
          <w:sz w:val="24"/>
          <w:szCs w:val="24"/>
          <w:highlight w:val="none"/>
        </w:rPr>
        <w:t>不</w:t>
      </w:r>
      <w:r>
        <w:rPr>
          <w:rFonts w:hint="eastAsia" w:ascii="宋体" w:hAnsi="宋体" w:eastAsia="宋体" w:cs="宋体"/>
          <w:i w:val="0"/>
          <w:iCs w:val="0"/>
          <w:color w:val="auto"/>
          <w:spacing w:val="-7"/>
          <w:sz w:val="24"/>
          <w:szCs w:val="24"/>
          <w:highlight w:val="none"/>
        </w:rPr>
        <w:t xml:space="preserve">超过签约合同价的 </w:t>
      </w:r>
      <w:r>
        <w:rPr>
          <w:rFonts w:hint="eastAsia" w:ascii="宋体" w:hAnsi="宋体" w:eastAsia="宋体" w:cs="宋体"/>
          <w:i w:val="0"/>
          <w:iCs w:val="0"/>
          <w:color w:val="auto"/>
          <w:sz w:val="24"/>
          <w:szCs w:val="24"/>
          <w:highlight w:val="none"/>
        </w:rPr>
        <w:t>5%。</w:t>
      </w:r>
    </w:p>
    <w:p w14:paraId="6D0A12A6">
      <w:pPr>
        <w:pStyle w:val="3"/>
        <w:spacing w:line="305" w:lineRule="exact"/>
        <w:ind w:left="821"/>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第二十七条 </w:t>
      </w:r>
      <w:r>
        <w:rPr>
          <w:rFonts w:hint="eastAsia" w:ascii="宋体" w:hAnsi="宋体" w:eastAsia="宋体" w:cs="宋体"/>
          <w:i w:val="0"/>
          <w:iCs w:val="0"/>
          <w:color w:val="auto"/>
          <w:sz w:val="24"/>
          <w:szCs w:val="24"/>
          <w:highlight w:val="none"/>
        </w:rPr>
        <w:t>需旁站监理的工程重要部位是：</w:t>
      </w:r>
      <w:r>
        <w:rPr>
          <w:rFonts w:hint="eastAsia" w:ascii="宋体" w:hAnsi="宋体" w:eastAsia="宋体" w:cs="宋体"/>
          <w:i w:val="0"/>
          <w:iCs w:val="0"/>
          <w:color w:val="auto"/>
          <w:sz w:val="24"/>
          <w:szCs w:val="24"/>
          <w:highlight w:val="none"/>
          <w:u w:val="single"/>
        </w:rPr>
        <w:t>满足监理规范和质量监督部门的要求，包括重要隐蔽工程或关键部位等工程所含的主要单元工程</w:t>
      </w:r>
      <w:r>
        <w:rPr>
          <w:rFonts w:hint="eastAsia" w:ascii="宋体" w:hAnsi="宋体" w:eastAsia="宋体" w:cs="宋体"/>
          <w:i w:val="0"/>
          <w:iCs w:val="0"/>
          <w:color w:val="auto"/>
          <w:sz w:val="24"/>
          <w:szCs w:val="24"/>
          <w:highlight w:val="none"/>
        </w:rPr>
        <w:t>。</w:t>
      </w:r>
    </w:p>
    <w:p w14:paraId="56B9F8DC">
      <w:pPr>
        <w:pStyle w:val="3"/>
        <w:spacing w:before="153" w:line="357" w:lineRule="auto"/>
        <w:ind w:left="338" w:right="443"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需旁站监理的工程关键部位是</w:t>
      </w:r>
      <w:r>
        <w:rPr>
          <w:rFonts w:hint="eastAsia" w:ascii="宋体" w:hAnsi="宋体" w:eastAsia="宋体" w:cs="宋体"/>
          <w:i w:val="0"/>
          <w:iCs w:val="0"/>
          <w:color w:val="auto"/>
          <w:sz w:val="24"/>
          <w:szCs w:val="24"/>
          <w:highlight w:val="none"/>
        </w:rPr>
        <w:t>（包括但不限于</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pacing w:val="-7"/>
          <w:sz w:val="24"/>
          <w:szCs w:val="24"/>
          <w:highlight w:val="none"/>
          <w:lang w:eastAsia="zh-CN"/>
        </w:rPr>
        <w:t>）</w:t>
      </w:r>
      <w:r>
        <w:rPr>
          <w:rFonts w:hint="eastAsia" w:ascii="宋体" w:hAnsi="宋体" w:eastAsia="宋体" w:cs="宋体"/>
          <w:i w:val="0"/>
          <w:iCs w:val="0"/>
          <w:color w:val="auto"/>
          <w:spacing w:val="-7"/>
          <w:sz w:val="24"/>
          <w:szCs w:val="24"/>
          <w:highlight w:val="none"/>
        </w:rPr>
        <w:t>关键部位、关键工序、其他隐蔽工</w:t>
      </w:r>
      <w:r>
        <w:rPr>
          <w:rFonts w:hint="eastAsia" w:ascii="宋体" w:hAnsi="宋体" w:eastAsia="宋体" w:cs="宋体"/>
          <w:i w:val="0"/>
          <w:iCs w:val="0"/>
          <w:color w:val="auto"/>
          <w:sz w:val="24"/>
          <w:szCs w:val="24"/>
          <w:highlight w:val="none"/>
        </w:rPr>
        <w:t>程。</w:t>
      </w:r>
    </w:p>
    <w:p w14:paraId="0B609533">
      <w:pPr>
        <w:pStyle w:val="3"/>
        <w:tabs>
          <w:tab w:val="left" w:pos="2028"/>
        </w:tabs>
        <w:spacing w:before="3"/>
        <w:ind w:left="821"/>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第三十条</w:t>
      </w:r>
      <w:r>
        <w:rPr>
          <w:rFonts w:hint="eastAsia" w:ascii="宋体" w:hAnsi="宋体" w:eastAsia="宋体" w:cs="宋体"/>
          <w:b/>
          <w:i w:val="0"/>
          <w:iCs w:val="0"/>
          <w:color w:val="auto"/>
          <w:sz w:val="24"/>
          <w:szCs w:val="24"/>
          <w:highlight w:val="none"/>
        </w:rPr>
        <w:tab/>
      </w:r>
      <w:r>
        <w:rPr>
          <w:rFonts w:hint="eastAsia" w:ascii="宋体" w:hAnsi="宋体" w:eastAsia="宋体" w:cs="宋体"/>
          <w:i w:val="0"/>
          <w:iCs w:val="0"/>
          <w:color w:val="auto"/>
          <w:sz w:val="24"/>
          <w:szCs w:val="24"/>
          <w:highlight w:val="none"/>
        </w:rPr>
        <w:t>委托人委</w:t>
      </w:r>
      <w:r>
        <w:rPr>
          <w:rFonts w:hint="eastAsia" w:ascii="宋体" w:hAnsi="宋体" w:eastAsia="宋体" w:cs="宋体"/>
          <w:i w:val="0"/>
          <w:iCs w:val="0"/>
          <w:color w:val="auto"/>
          <w:spacing w:val="-3"/>
          <w:sz w:val="24"/>
          <w:szCs w:val="24"/>
          <w:highlight w:val="none"/>
        </w:rPr>
        <w:t>托</w:t>
      </w:r>
      <w:r>
        <w:rPr>
          <w:rFonts w:hint="eastAsia" w:ascii="宋体" w:hAnsi="宋体" w:eastAsia="宋体" w:cs="宋体"/>
          <w:i w:val="0"/>
          <w:iCs w:val="0"/>
          <w:color w:val="auto"/>
          <w:sz w:val="24"/>
          <w:szCs w:val="24"/>
          <w:highlight w:val="none"/>
        </w:rPr>
        <w:t>监理人主持的分部工程验收：</w:t>
      </w:r>
      <w:r>
        <w:rPr>
          <w:rFonts w:hint="eastAsia" w:ascii="宋体" w:hAnsi="宋体" w:eastAsia="宋体" w:cs="宋体"/>
          <w:i w:val="0"/>
          <w:iCs w:val="0"/>
          <w:color w:val="auto"/>
          <w:sz w:val="24"/>
          <w:szCs w:val="24"/>
          <w:highlight w:val="none"/>
          <w:u w:val="single"/>
        </w:rPr>
        <w:t>无</w:t>
      </w:r>
      <w:r>
        <w:rPr>
          <w:rFonts w:hint="eastAsia" w:ascii="宋体" w:hAnsi="宋体" w:eastAsia="宋体" w:cs="宋体"/>
          <w:i w:val="0"/>
          <w:iCs w:val="0"/>
          <w:color w:val="auto"/>
          <w:sz w:val="24"/>
          <w:szCs w:val="24"/>
          <w:highlight w:val="none"/>
        </w:rPr>
        <w:t>。</w:t>
      </w:r>
    </w:p>
    <w:p w14:paraId="0725408E">
      <w:pPr>
        <w:pStyle w:val="3"/>
        <w:tabs>
          <w:tab w:val="left" w:pos="2268"/>
        </w:tabs>
        <w:spacing w:before="153" w:line="357" w:lineRule="auto"/>
        <w:ind w:left="338" w:right="443" w:firstLine="482"/>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第三十一条</w:t>
      </w:r>
      <w:r>
        <w:rPr>
          <w:rFonts w:hint="eastAsia" w:ascii="宋体" w:hAnsi="宋体" w:eastAsia="宋体" w:cs="宋体"/>
          <w:b/>
          <w:i w:val="0"/>
          <w:iCs w:val="0"/>
          <w:color w:val="auto"/>
          <w:sz w:val="24"/>
          <w:szCs w:val="24"/>
          <w:highlight w:val="none"/>
        </w:rPr>
        <w:tab/>
      </w:r>
      <w:r>
        <w:rPr>
          <w:rFonts w:hint="eastAsia" w:ascii="宋体" w:hAnsi="宋体" w:eastAsia="宋体" w:cs="宋体"/>
          <w:i w:val="0"/>
          <w:iCs w:val="0"/>
          <w:color w:val="auto"/>
          <w:sz w:val="24"/>
          <w:szCs w:val="24"/>
          <w:highlight w:val="none"/>
        </w:rPr>
        <w:t>在本合</w:t>
      </w:r>
      <w:r>
        <w:rPr>
          <w:rFonts w:hint="eastAsia" w:ascii="宋体" w:hAnsi="宋体" w:eastAsia="宋体" w:cs="宋体"/>
          <w:i w:val="0"/>
          <w:iCs w:val="0"/>
          <w:color w:val="auto"/>
          <w:spacing w:val="-3"/>
          <w:sz w:val="24"/>
          <w:szCs w:val="24"/>
          <w:highlight w:val="none"/>
        </w:rPr>
        <w:t>同</w:t>
      </w:r>
      <w:r>
        <w:rPr>
          <w:rFonts w:hint="eastAsia" w:ascii="宋体" w:hAnsi="宋体" w:eastAsia="宋体" w:cs="宋体"/>
          <w:i w:val="0"/>
          <w:iCs w:val="0"/>
          <w:color w:val="auto"/>
          <w:sz w:val="24"/>
          <w:szCs w:val="24"/>
          <w:highlight w:val="none"/>
        </w:rPr>
        <w:t>终止后</w:t>
      </w:r>
      <w:r>
        <w:rPr>
          <w:rFonts w:hint="eastAsia" w:ascii="宋体" w:hAnsi="宋体" w:eastAsia="宋体" w:cs="宋体"/>
          <w:i w:val="0"/>
          <w:iCs w:val="0"/>
          <w:color w:val="auto"/>
          <w:spacing w:val="-21"/>
          <w:sz w:val="24"/>
          <w:szCs w:val="24"/>
          <w:highlight w:val="none"/>
        </w:rPr>
        <w:t xml:space="preserve"> </w:t>
      </w:r>
      <w:r>
        <w:rPr>
          <w:rFonts w:hint="eastAsia" w:ascii="宋体" w:hAnsi="宋体" w:eastAsia="宋体" w:cs="宋体"/>
          <w:i w:val="0"/>
          <w:iCs w:val="0"/>
          <w:color w:val="auto"/>
          <w:sz w:val="24"/>
          <w:szCs w:val="24"/>
          <w:highlight w:val="none"/>
        </w:rPr>
        <w:t>365</w:t>
      </w:r>
      <w:r>
        <w:rPr>
          <w:rFonts w:hint="eastAsia" w:ascii="宋体" w:hAnsi="宋体" w:eastAsia="宋体" w:cs="宋体"/>
          <w:i w:val="0"/>
          <w:iCs w:val="0"/>
          <w:color w:val="auto"/>
          <w:spacing w:val="-22"/>
          <w:sz w:val="24"/>
          <w:szCs w:val="24"/>
          <w:highlight w:val="none"/>
        </w:rPr>
        <w:t xml:space="preserve"> </w:t>
      </w:r>
      <w:r>
        <w:rPr>
          <w:rFonts w:hint="eastAsia" w:ascii="宋体" w:hAnsi="宋体" w:eastAsia="宋体" w:cs="宋体"/>
          <w:i w:val="0"/>
          <w:iCs w:val="0"/>
          <w:color w:val="auto"/>
          <w:sz w:val="24"/>
          <w:szCs w:val="24"/>
          <w:highlight w:val="none"/>
        </w:rPr>
        <w:t>天内，</w:t>
      </w:r>
      <w:r>
        <w:rPr>
          <w:rFonts w:hint="eastAsia" w:ascii="宋体" w:hAnsi="宋体" w:eastAsia="宋体" w:cs="宋体"/>
          <w:i w:val="0"/>
          <w:iCs w:val="0"/>
          <w:color w:val="auto"/>
          <w:spacing w:val="-3"/>
          <w:sz w:val="24"/>
          <w:szCs w:val="24"/>
          <w:highlight w:val="none"/>
        </w:rPr>
        <w:t>未</w:t>
      </w:r>
      <w:r>
        <w:rPr>
          <w:rFonts w:hint="eastAsia" w:ascii="宋体" w:hAnsi="宋体" w:eastAsia="宋体" w:cs="宋体"/>
          <w:i w:val="0"/>
          <w:iCs w:val="0"/>
          <w:color w:val="auto"/>
          <w:sz w:val="24"/>
          <w:szCs w:val="24"/>
          <w:highlight w:val="none"/>
        </w:rPr>
        <w:t>征得委托人同意，不得泄露与本合同</w:t>
      </w:r>
      <w:r>
        <w:rPr>
          <w:rFonts w:hint="eastAsia" w:ascii="宋体" w:hAnsi="宋体" w:eastAsia="宋体" w:cs="宋体"/>
          <w:i w:val="0"/>
          <w:iCs w:val="0"/>
          <w:color w:val="auto"/>
          <w:spacing w:val="-16"/>
          <w:sz w:val="24"/>
          <w:szCs w:val="24"/>
          <w:highlight w:val="none"/>
        </w:rPr>
        <w:t>业</w:t>
      </w:r>
      <w:r>
        <w:rPr>
          <w:rFonts w:hint="eastAsia" w:ascii="宋体" w:hAnsi="宋体" w:eastAsia="宋体" w:cs="宋体"/>
          <w:i w:val="0"/>
          <w:iCs w:val="0"/>
          <w:color w:val="auto"/>
          <w:sz w:val="24"/>
          <w:szCs w:val="24"/>
          <w:highlight w:val="none"/>
        </w:rPr>
        <w:t>务有关的技术、商务等秘密。</w:t>
      </w:r>
    </w:p>
    <w:p w14:paraId="253FE3E6">
      <w:pPr>
        <w:spacing w:before="3"/>
        <w:ind w:left="466" w:right="570"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监理服务酬金</w:t>
      </w:r>
    </w:p>
    <w:p w14:paraId="3C4C3E34">
      <w:pPr>
        <w:numPr>
          <w:ilvl w:val="0"/>
          <w:numId w:val="0"/>
        </w:numPr>
        <w:spacing w:line="400" w:lineRule="exact"/>
        <w:ind w:left="405" w:leftChars="193" w:right="330" w:rightChars="157" w:firstLine="424" w:firstLineChars="176"/>
        <w:jc w:val="left"/>
        <w:outlineLvl w:val="0"/>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第三十二条 </w:t>
      </w:r>
      <w:r>
        <w:rPr>
          <w:rFonts w:hint="eastAsia" w:ascii="宋体" w:hAnsi="宋体" w:eastAsia="宋体" w:cs="宋体"/>
          <w:i w:val="0"/>
          <w:iCs w:val="0"/>
          <w:color w:val="auto"/>
          <w:sz w:val="24"/>
          <w:szCs w:val="24"/>
          <w:highlight w:val="none"/>
        </w:rPr>
        <w:t>监理正常服务酬金的支付时间和支付方式： 监理服务费采用固定总价承包，一次包干，与工程实施中造价的调整以及标段划分无关。</w:t>
      </w:r>
      <w:r>
        <w:rPr>
          <w:rFonts w:hint="eastAsia" w:ascii="宋体" w:hAnsi="宋体" w:eastAsia="宋体" w:cs="宋体"/>
          <w:bCs/>
          <w:color w:val="auto"/>
          <w:kern w:val="0"/>
          <w:sz w:val="24"/>
          <w:szCs w:val="24"/>
          <w:highlight w:val="none"/>
        </w:rPr>
        <w:t>合同签订后支付合同价款的50%，</w:t>
      </w:r>
      <w:r>
        <w:rPr>
          <w:rFonts w:hint="eastAsia" w:ascii="宋体" w:hAnsi="宋体" w:cs="宋体"/>
          <w:bCs/>
          <w:color w:val="auto"/>
          <w:kern w:val="0"/>
          <w:sz w:val="24"/>
          <w:szCs w:val="24"/>
          <w:highlight w:val="none"/>
          <w:lang w:val="en-US" w:eastAsia="zh-CN"/>
        </w:rPr>
        <w:t>10月底支付</w:t>
      </w:r>
      <w:r>
        <w:rPr>
          <w:rFonts w:hint="eastAsia" w:ascii="宋体" w:hAnsi="宋体" w:eastAsia="宋体" w:cs="宋体"/>
          <w:bCs/>
          <w:color w:val="auto"/>
          <w:kern w:val="0"/>
          <w:sz w:val="24"/>
          <w:szCs w:val="24"/>
          <w:highlight w:val="none"/>
        </w:rPr>
        <w:t>合同价款的</w:t>
      </w:r>
      <w:r>
        <w:rPr>
          <w:rFonts w:hint="eastAsia" w:ascii="宋体" w:hAnsi="宋体" w:cs="宋体"/>
          <w:bCs/>
          <w:color w:val="auto"/>
          <w:kern w:val="0"/>
          <w:sz w:val="24"/>
          <w:szCs w:val="24"/>
          <w:highlight w:val="none"/>
          <w:lang w:val="en-US" w:eastAsia="zh-CN"/>
        </w:rPr>
        <w:t>40%；</w:t>
      </w:r>
      <w:r>
        <w:rPr>
          <w:rFonts w:hint="eastAsia" w:ascii="宋体" w:hAnsi="宋体" w:eastAsia="宋体" w:cs="宋体"/>
          <w:bCs/>
          <w:color w:val="auto"/>
          <w:kern w:val="0"/>
          <w:sz w:val="24"/>
          <w:szCs w:val="24"/>
          <w:highlight w:val="none"/>
        </w:rPr>
        <w:t>施工期满工程通过完工验收后支付剩余合同价款。</w:t>
      </w:r>
    </w:p>
    <w:p w14:paraId="27E6C131">
      <w:pPr>
        <w:pStyle w:val="3"/>
        <w:spacing w:before="151" w:line="360" w:lineRule="auto"/>
        <w:ind w:left="405" w:leftChars="193" w:right="330" w:rightChars="157" w:firstLine="422" w:firstLineChars="176"/>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鉴于零星维修项目实施的连续性，开标前发包人已委托上一年度中标供应商继续实施</w:t>
      </w:r>
      <w:r>
        <w:rPr>
          <w:rFonts w:hint="default" w:ascii="宋体" w:hAnsi="宋体" w:eastAsia="宋体" w:cs="宋体"/>
          <w:i w:val="0"/>
          <w:iCs w:val="0"/>
          <w:color w:val="auto"/>
          <w:sz w:val="24"/>
          <w:szCs w:val="24"/>
          <w:highlight w:val="none"/>
          <w:lang w:val="en-US" w:eastAsia="zh-CN"/>
        </w:rPr>
        <w:t>监理</w:t>
      </w:r>
      <w:r>
        <w:rPr>
          <w:rFonts w:hint="eastAsia" w:ascii="宋体" w:hAnsi="宋体" w:eastAsia="宋体" w:cs="宋体"/>
          <w:i w:val="0"/>
          <w:iCs w:val="0"/>
          <w:color w:val="auto"/>
          <w:sz w:val="24"/>
          <w:szCs w:val="24"/>
          <w:highlight w:val="none"/>
          <w:lang w:val="en-US" w:eastAsia="zh-CN"/>
        </w:rPr>
        <w:t>，因此此次中标供应商中标后，须向上一年度中标供应商支付该段时间内发生的</w:t>
      </w:r>
      <w:r>
        <w:rPr>
          <w:rFonts w:hint="default" w:ascii="宋体" w:hAnsi="宋体" w:eastAsia="宋体" w:cs="宋体"/>
          <w:i w:val="0"/>
          <w:iCs w:val="0"/>
          <w:color w:val="auto"/>
          <w:sz w:val="24"/>
          <w:szCs w:val="24"/>
          <w:highlight w:val="none"/>
          <w:lang w:val="en-US" w:eastAsia="zh-CN"/>
        </w:rPr>
        <w:t>监理服务</w:t>
      </w:r>
      <w:r>
        <w:rPr>
          <w:rFonts w:hint="eastAsia" w:ascii="宋体" w:hAnsi="宋体" w:eastAsia="宋体" w:cs="宋体"/>
          <w:i w:val="0"/>
          <w:iCs w:val="0"/>
          <w:color w:val="auto"/>
          <w:sz w:val="24"/>
          <w:szCs w:val="24"/>
          <w:highlight w:val="none"/>
          <w:lang w:val="en-US" w:eastAsia="zh-CN"/>
        </w:rPr>
        <w:t>款。该部分费用按</w:t>
      </w:r>
      <w:r>
        <w:rPr>
          <w:rFonts w:hint="default" w:ascii="宋体" w:hAnsi="宋体" w:eastAsia="宋体" w:cs="宋体"/>
          <w:i w:val="0"/>
          <w:iCs w:val="0"/>
          <w:color w:val="auto"/>
          <w:sz w:val="24"/>
          <w:szCs w:val="24"/>
          <w:highlight w:val="none"/>
          <w:lang w:val="en-US" w:eastAsia="zh-CN"/>
        </w:rPr>
        <w:t>本</w:t>
      </w:r>
      <w:r>
        <w:rPr>
          <w:rFonts w:hint="eastAsia" w:ascii="宋体" w:hAnsi="宋体" w:eastAsia="宋体" w:cs="宋体"/>
          <w:i w:val="0"/>
          <w:iCs w:val="0"/>
          <w:color w:val="auto"/>
          <w:sz w:val="24"/>
          <w:szCs w:val="24"/>
          <w:highlight w:val="none"/>
          <w:lang w:val="en-US" w:eastAsia="zh-CN"/>
        </w:rPr>
        <w:t>年度</w:t>
      </w:r>
      <w:r>
        <w:rPr>
          <w:rFonts w:hint="default" w:ascii="宋体" w:hAnsi="宋体" w:eastAsia="宋体" w:cs="宋体"/>
          <w:i w:val="0"/>
          <w:iCs w:val="0"/>
          <w:color w:val="auto"/>
          <w:sz w:val="24"/>
          <w:szCs w:val="24"/>
          <w:highlight w:val="none"/>
          <w:lang w:val="en-US" w:eastAsia="zh-CN"/>
        </w:rPr>
        <w:t>已完成的维修工程结算金额占比进行</w:t>
      </w:r>
      <w:r>
        <w:rPr>
          <w:rFonts w:hint="eastAsia" w:ascii="宋体" w:hAnsi="宋体" w:eastAsia="宋体" w:cs="宋体"/>
          <w:i w:val="0"/>
          <w:iCs w:val="0"/>
          <w:color w:val="auto"/>
          <w:sz w:val="24"/>
          <w:szCs w:val="24"/>
          <w:highlight w:val="none"/>
          <w:lang w:val="en-US" w:eastAsia="zh-CN"/>
        </w:rPr>
        <w:t>结算。</w:t>
      </w:r>
      <w:r>
        <w:rPr>
          <w:rFonts w:hint="default" w:ascii="宋体" w:hAnsi="宋体" w:eastAsia="宋体" w:cs="宋体"/>
          <w:i w:val="0"/>
          <w:iCs w:val="0"/>
          <w:color w:val="auto"/>
          <w:sz w:val="24"/>
          <w:szCs w:val="24"/>
          <w:highlight w:val="none"/>
          <w:lang w:val="en-US" w:eastAsia="zh-CN"/>
        </w:rPr>
        <w:t>并由本年度中标供应商支付。</w:t>
      </w:r>
      <w:r>
        <w:rPr>
          <w:rFonts w:hint="eastAsia" w:ascii="宋体" w:hAnsi="宋体" w:eastAsia="宋体" w:cs="宋体"/>
          <w:i w:val="0"/>
          <w:iCs w:val="0"/>
          <w:color w:val="auto"/>
          <w:sz w:val="24"/>
          <w:szCs w:val="24"/>
          <w:highlight w:val="none"/>
          <w:lang w:val="en-US" w:eastAsia="zh-CN"/>
        </w:rPr>
        <w:t>同样，中标供应商需继续服务202</w:t>
      </w:r>
      <w:r>
        <w:rPr>
          <w:rFonts w:hint="eastAsia"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年12月31日以后至下一年度中标供应商进场服务并实现交接为止。费用结算原则同上。</w:t>
      </w:r>
    </w:p>
    <w:p w14:paraId="5DD7C537">
      <w:pPr>
        <w:spacing w:before="5" w:line="357" w:lineRule="auto"/>
        <w:ind w:left="818" w:right="3645" w:firstLine="2"/>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第三十三条 监理附加服务酬金的计取与支付方法： </w:t>
      </w:r>
      <w:r>
        <w:rPr>
          <w:rFonts w:hint="eastAsia" w:ascii="宋体" w:hAnsi="宋体" w:eastAsia="宋体" w:cs="宋体"/>
          <w:i w:val="0"/>
          <w:iCs w:val="0"/>
          <w:color w:val="auto"/>
          <w:sz w:val="24"/>
          <w:szCs w:val="24"/>
          <w:highlight w:val="none"/>
        </w:rPr>
        <w:t>/</w:t>
      </w:r>
    </w:p>
    <w:p w14:paraId="175DED6A">
      <w:pPr>
        <w:spacing w:before="3"/>
        <w:ind w:left="4457"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违约责任</w:t>
      </w:r>
    </w:p>
    <w:p w14:paraId="7661543A">
      <w:pPr>
        <w:pStyle w:val="3"/>
        <w:tabs>
          <w:tab w:val="left" w:pos="2138"/>
          <w:tab w:val="left" w:pos="2618"/>
        </w:tabs>
        <w:spacing w:before="153" w:line="357" w:lineRule="auto"/>
        <w:ind w:left="818" w:right="3998" w:firstLine="2"/>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第四十条</w:t>
      </w:r>
      <w:r>
        <w:rPr>
          <w:rFonts w:hint="eastAsia" w:ascii="宋体" w:hAnsi="宋体" w:eastAsia="宋体" w:cs="宋体"/>
          <w:b/>
          <w:i w:val="0"/>
          <w:iCs w:val="0"/>
          <w:color w:val="auto"/>
          <w:spacing w:val="1"/>
          <w:sz w:val="24"/>
          <w:szCs w:val="24"/>
          <w:highlight w:val="none"/>
        </w:rPr>
        <w:t xml:space="preserve"> </w:t>
      </w:r>
      <w:r>
        <w:rPr>
          <w:rFonts w:hint="eastAsia" w:ascii="宋体" w:hAnsi="宋体" w:eastAsia="宋体" w:cs="宋体"/>
          <w:i w:val="0"/>
          <w:iCs w:val="0"/>
          <w:color w:val="auto"/>
          <w:sz w:val="24"/>
          <w:szCs w:val="24"/>
          <w:highlight w:val="none"/>
        </w:rPr>
        <w:t>委托人违</w:t>
      </w:r>
      <w:r>
        <w:rPr>
          <w:rFonts w:hint="eastAsia" w:ascii="宋体" w:hAnsi="宋体" w:eastAsia="宋体" w:cs="宋体"/>
          <w:i w:val="0"/>
          <w:iCs w:val="0"/>
          <w:color w:val="auto"/>
          <w:spacing w:val="-3"/>
          <w:sz w:val="24"/>
          <w:szCs w:val="24"/>
          <w:highlight w:val="none"/>
        </w:rPr>
        <w:t>约</w:t>
      </w:r>
      <w:r>
        <w:rPr>
          <w:rFonts w:hint="eastAsia" w:ascii="宋体" w:hAnsi="宋体" w:eastAsia="宋体" w:cs="宋体"/>
          <w:i w:val="0"/>
          <w:iCs w:val="0"/>
          <w:color w:val="auto"/>
          <w:sz w:val="24"/>
          <w:szCs w:val="24"/>
          <w:highlight w:val="none"/>
        </w:rPr>
        <w:t>，应支付给监理人违约金</w:t>
      </w:r>
      <w:r>
        <w:rPr>
          <w:rFonts w:hint="eastAsia" w:ascii="宋体" w:hAnsi="宋体" w:eastAsia="宋体" w:cs="宋体"/>
          <w:i w:val="0"/>
          <w:iCs w:val="0"/>
          <w:color w:val="auto"/>
          <w:spacing w:val="-15"/>
          <w:sz w:val="24"/>
          <w:szCs w:val="24"/>
          <w:highlight w:val="none"/>
        </w:rPr>
        <w:t>。</w:t>
      </w:r>
      <w:r>
        <w:rPr>
          <w:rFonts w:hint="eastAsia" w:ascii="宋体" w:hAnsi="宋体" w:eastAsia="宋体" w:cs="宋体"/>
          <w:i w:val="0"/>
          <w:iCs w:val="0"/>
          <w:color w:val="auto"/>
          <w:sz w:val="24"/>
          <w:szCs w:val="24"/>
          <w:highlight w:val="none"/>
        </w:rPr>
        <w:t>违约金：</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w:t>
      </w:r>
    </w:p>
    <w:p w14:paraId="1B557B3A">
      <w:pPr>
        <w:pStyle w:val="3"/>
        <w:tabs>
          <w:tab w:val="left" w:pos="2143"/>
          <w:tab w:val="left" w:pos="2744"/>
        </w:tabs>
        <w:spacing w:before="4" w:line="360" w:lineRule="auto"/>
        <w:ind w:left="338" w:right="638" w:firstLine="482"/>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第四十一条 </w:t>
      </w:r>
      <w:r>
        <w:rPr>
          <w:rFonts w:hint="eastAsia" w:ascii="宋体" w:hAnsi="宋体" w:eastAsia="宋体" w:cs="宋体"/>
          <w:i w:val="0"/>
          <w:iCs w:val="0"/>
          <w:color w:val="auto"/>
          <w:sz w:val="24"/>
          <w:szCs w:val="24"/>
          <w:highlight w:val="none"/>
        </w:rPr>
        <w:t>因委托</w:t>
      </w:r>
      <w:r>
        <w:rPr>
          <w:rFonts w:hint="eastAsia" w:ascii="宋体" w:hAnsi="宋体" w:eastAsia="宋体" w:cs="宋体"/>
          <w:i w:val="0"/>
          <w:iCs w:val="0"/>
          <w:color w:val="auto"/>
          <w:spacing w:val="-3"/>
          <w:sz w:val="24"/>
          <w:szCs w:val="24"/>
          <w:highlight w:val="none"/>
        </w:rPr>
        <w:t>人</w:t>
      </w:r>
      <w:r>
        <w:rPr>
          <w:rFonts w:hint="eastAsia" w:ascii="宋体" w:hAnsi="宋体" w:eastAsia="宋体" w:cs="宋体"/>
          <w:i w:val="0"/>
          <w:iCs w:val="0"/>
          <w:color w:val="auto"/>
          <w:sz w:val="24"/>
          <w:szCs w:val="24"/>
          <w:highlight w:val="none"/>
        </w:rPr>
        <w:t>延期支付监理服务酬金而向监理人支付逾期付款违约金的</w:t>
      </w:r>
      <w:r>
        <w:rPr>
          <w:rFonts w:hint="eastAsia" w:ascii="宋体" w:hAnsi="宋体" w:eastAsia="宋体" w:cs="宋体"/>
          <w:i w:val="0"/>
          <w:iCs w:val="0"/>
          <w:color w:val="auto"/>
          <w:spacing w:val="-15"/>
          <w:sz w:val="24"/>
          <w:szCs w:val="24"/>
          <w:highlight w:val="none"/>
        </w:rPr>
        <w:t>计</w:t>
      </w:r>
      <w:r>
        <w:rPr>
          <w:rFonts w:hint="eastAsia" w:ascii="宋体" w:hAnsi="宋体" w:eastAsia="宋体" w:cs="宋体"/>
          <w:i w:val="0"/>
          <w:iCs w:val="0"/>
          <w:color w:val="auto"/>
          <w:sz w:val="24"/>
          <w:szCs w:val="24"/>
          <w:highlight w:val="none"/>
        </w:rPr>
        <w:t>算办法：</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rPr>
        <w:tab/>
      </w:r>
      <w:r>
        <w:rPr>
          <w:rFonts w:hint="eastAsia" w:ascii="宋体" w:hAnsi="宋体" w:eastAsia="宋体" w:cs="宋体"/>
          <w:b/>
          <w:i w:val="0"/>
          <w:iCs w:val="0"/>
          <w:color w:val="auto"/>
          <w:sz w:val="24"/>
          <w:szCs w:val="24"/>
          <w:highlight w:val="none"/>
          <w:u w:val="single"/>
        </w:rPr>
        <w:t>。</w:t>
      </w:r>
    </w:p>
    <w:p w14:paraId="3E30721C">
      <w:pPr>
        <w:spacing w:before="0" w:line="304" w:lineRule="exact"/>
        <w:ind w:left="821"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第四十二条 </w:t>
      </w:r>
      <w:r>
        <w:rPr>
          <w:rFonts w:hint="eastAsia" w:ascii="宋体" w:hAnsi="宋体" w:eastAsia="宋体" w:cs="宋体"/>
          <w:i w:val="0"/>
          <w:iCs w:val="0"/>
          <w:color w:val="auto"/>
          <w:sz w:val="24"/>
          <w:szCs w:val="24"/>
          <w:highlight w:val="none"/>
        </w:rPr>
        <w:t>监理人违约，应支付给委托人违约金。</w:t>
      </w:r>
    </w:p>
    <w:p w14:paraId="3FEEE6CC">
      <w:pPr>
        <w:pStyle w:val="3"/>
        <w:spacing w:before="153"/>
        <w:ind w:left="81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违约金：</w:t>
      </w:r>
      <w:r>
        <w:rPr>
          <w:rFonts w:hint="eastAsia" w:ascii="宋体" w:hAnsi="宋体" w:eastAsia="宋体" w:cs="宋体"/>
          <w:i w:val="0"/>
          <w:iCs w:val="0"/>
          <w:color w:val="auto"/>
          <w:sz w:val="24"/>
          <w:szCs w:val="24"/>
          <w:highlight w:val="none"/>
          <w:u w:val="single"/>
        </w:rPr>
        <w:t>最终监理正常服务费的 1%/每次（除专用条款第二十一条另行规定之外）。</w:t>
      </w:r>
    </w:p>
    <w:p w14:paraId="39603B5B">
      <w:pPr>
        <w:spacing w:before="153" w:line="357" w:lineRule="auto"/>
        <w:ind w:left="821" w:right="4442" w:firstLine="3516"/>
        <w:jc w:val="left"/>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争议的解决第四十三条 </w:t>
      </w:r>
      <w:r>
        <w:rPr>
          <w:rFonts w:hint="eastAsia" w:ascii="宋体" w:hAnsi="宋体" w:eastAsia="宋体" w:cs="宋体"/>
          <w:i w:val="0"/>
          <w:iCs w:val="0"/>
          <w:color w:val="auto"/>
          <w:sz w:val="24"/>
          <w:szCs w:val="24"/>
          <w:highlight w:val="none"/>
        </w:rPr>
        <w:t>争议的调解、仲裁机构：</w:t>
      </w:r>
    </w:p>
    <w:p w14:paraId="0F8865FE">
      <w:pPr>
        <w:pStyle w:val="3"/>
        <w:spacing w:before="4" w:line="360" w:lineRule="auto"/>
        <w:ind w:left="818" w:right="388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一、争议调解机构为：</w:t>
      </w:r>
      <w:r>
        <w:rPr>
          <w:rFonts w:hint="eastAsia" w:ascii="宋体" w:hAnsi="宋体" w:eastAsia="宋体" w:cs="宋体"/>
          <w:i w:val="0"/>
          <w:iCs w:val="0"/>
          <w:color w:val="auto"/>
          <w:sz w:val="24"/>
          <w:szCs w:val="24"/>
          <w:highlight w:val="none"/>
          <w:u w:val="single"/>
        </w:rPr>
        <w:t>工程所在地上级主管部门</w:t>
      </w:r>
      <w:r>
        <w:rPr>
          <w:rFonts w:hint="eastAsia" w:ascii="宋体" w:hAnsi="宋体" w:eastAsia="宋体" w:cs="宋体"/>
          <w:i w:val="0"/>
          <w:iCs w:val="0"/>
          <w:color w:val="auto"/>
          <w:sz w:val="24"/>
          <w:szCs w:val="24"/>
          <w:highlight w:val="none"/>
        </w:rPr>
        <w:t>。二、仲裁机构为：</w:t>
      </w:r>
      <w:r>
        <w:rPr>
          <w:rFonts w:hint="eastAsia" w:ascii="宋体" w:hAnsi="宋体" w:eastAsia="宋体" w:cs="宋体"/>
          <w:i w:val="0"/>
          <w:iCs w:val="0"/>
          <w:color w:val="auto"/>
          <w:sz w:val="24"/>
          <w:szCs w:val="24"/>
          <w:highlight w:val="none"/>
          <w:u w:val="single"/>
        </w:rPr>
        <w:t>提请</w:t>
      </w:r>
      <w:r>
        <w:rPr>
          <w:rFonts w:hint="eastAsia" w:ascii="宋体" w:hAnsi="宋体" w:eastAsia="宋体" w:cs="宋体"/>
          <w:i w:val="0"/>
          <w:iCs w:val="0"/>
          <w:color w:val="auto"/>
          <w:sz w:val="24"/>
          <w:szCs w:val="24"/>
          <w:highlight w:val="none"/>
          <w:u w:val="single"/>
          <w:lang w:val="en-US" w:eastAsia="zh-CN"/>
        </w:rPr>
        <w:t>杭州</w:t>
      </w:r>
      <w:r>
        <w:rPr>
          <w:rFonts w:hint="eastAsia" w:ascii="宋体" w:hAnsi="宋体" w:eastAsia="宋体" w:cs="宋体"/>
          <w:i w:val="0"/>
          <w:iCs w:val="0"/>
          <w:color w:val="auto"/>
          <w:sz w:val="24"/>
          <w:szCs w:val="24"/>
          <w:highlight w:val="none"/>
          <w:u w:val="single"/>
        </w:rPr>
        <w:t>仲裁委员会进行仲裁</w:t>
      </w:r>
      <w:r>
        <w:rPr>
          <w:rFonts w:hint="eastAsia" w:ascii="宋体" w:hAnsi="宋体" w:eastAsia="宋体" w:cs="宋体"/>
          <w:i w:val="0"/>
          <w:iCs w:val="0"/>
          <w:color w:val="auto"/>
          <w:sz w:val="24"/>
          <w:szCs w:val="24"/>
          <w:highlight w:val="none"/>
        </w:rPr>
        <w:t>。</w:t>
      </w:r>
    </w:p>
    <w:p w14:paraId="50EEB7F3">
      <w:pPr>
        <w:spacing w:before="0" w:line="304" w:lineRule="exact"/>
        <w:ind w:left="4697"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其他</w:t>
      </w:r>
    </w:p>
    <w:p w14:paraId="6500143E">
      <w:pPr>
        <w:pStyle w:val="3"/>
        <w:spacing w:before="135"/>
        <w:ind w:left="338"/>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第四十五条 </w:t>
      </w:r>
      <w:r>
        <w:rPr>
          <w:rFonts w:hint="eastAsia" w:ascii="宋体" w:hAnsi="宋体" w:eastAsia="宋体" w:cs="宋体"/>
          <w:i w:val="0"/>
          <w:iCs w:val="0"/>
          <w:color w:val="auto"/>
          <w:sz w:val="24"/>
          <w:szCs w:val="24"/>
          <w:highlight w:val="none"/>
        </w:rPr>
        <w:t>委托人对监理人提出并落实的合理化建议的奖励方法为：</w:t>
      </w:r>
      <w:r>
        <w:rPr>
          <w:rFonts w:hint="eastAsia" w:ascii="宋体" w:hAnsi="宋体" w:eastAsia="宋体" w:cs="宋体"/>
          <w:i w:val="0"/>
          <w:iCs w:val="0"/>
          <w:color w:val="auto"/>
          <w:sz w:val="24"/>
          <w:szCs w:val="24"/>
          <w:highlight w:val="none"/>
          <w:u w:val="single"/>
        </w:rPr>
        <w:t>双方另行协商</w:t>
      </w:r>
      <w:r>
        <w:rPr>
          <w:rFonts w:hint="eastAsia" w:ascii="宋体" w:hAnsi="宋体" w:eastAsia="宋体" w:cs="宋体"/>
          <w:i w:val="0"/>
          <w:iCs w:val="0"/>
          <w:color w:val="auto"/>
          <w:sz w:val="24"/>
          <w:szCs w:val="24"/>
          <w:highlight w:val="none"/>
        </w:rPr>
        <w:t>。</w:t>
      </w:r>
    </w:p>
    <w:p w14:paraId="69192116">
      <w:pPr>
        <w:tabs>
          <w:tab w:val="left" w:pos="1665"/>
          <w:tab w:val="left" w:pos="2268"/>
        </w:tabs>
        <w:spacing w:before="55"/>
        <w:ind w:left="338" w:right="0"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第三部分</w:t>
      </w:r>
      <w:r>
        <w:rPr>
          <w:rFonts w:hint="eastAsia" w:ascii="宋体" w:hAnsi="宋体" w:eastAsia="宋体" w:cs="宋体"/>
          <w:b/>
          <w:i w:val="0"/>
          <w:iCs w:val="0"/>
          <w:color w:val="auto"/>
          <w:sz w:val="24"/>
          <w:szCs w:val="24"/>
          <w:highlight w:val="none"/>
        </w:rPr>
        <w:tab/>
      </w:r>
      <w:r>
        <w:rPr>
          <w:rFonts w:hint="eastAsia" w:ascii="宋体" w:hAnsi="宋体" w:eastAsia="宋体" w:cs="宋体"/>
          <w:b/>
          <w:i w:val="0"/>
          <w:iCs w:val="0"/>
          <w:color w:val="auto"/>
          <w:sz w:val="24"/>
          <w:szCs w:val="24"/>
          <w:highlight w:val="none"/>
        </w:rPr>
        <w:t>附</w:t>
      </w:r>
      <w:r>
        <w:rPr>
          <w:rFonts w:hint="eastAsia" w:ascii="宋体" w:hAnsi="宋体" w:eastAsia="宋体" w:cs="宋体"/>
          <w:b/>
          <w:i w:val="0"/>
          <w:iCs w:val="0"/>
          <w:color w:val="auto"/>
          <w:sz w:val="24"/>
          <w:szCs w:val="24"/>
          <w:highlight w:val="none"/>
        </w:rPr>
        <w:tab/>
      </w:r>
      <w:r>
        <w:rPr>
          <w:rFonts w:hint="eastAsia" w:ascii="宋体" w:hAnsi="宋体" w:eastAsia="宋体" w:cs="宋体"/>
          <w:b/>
          <w:i w:val="0"/>
          <w:iCs w:val="0"/>
          <w:color w:val="auto"/>
          <w:sz w:val="24"/>
          <w:szCs w:val="24"/>
          <w:highlight w:val="none"/>
        </w:rPr>
        <w:t>件</w:t>
      </w:r>
    </w:p>
    <w:p w14:paraId="626B1D1B">
      <w:pPr>
        <w:spacing w:before="162"/>
        <w:ind w:left="76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一、本合同监理服务内容：</w:t>
      </w:r>
    </w:p>
    <w:p w14:paraId="1CA4540F">
      <w:pPr>
        <w:spacing w:before="139"/>
        <w:ind w:left="466" w:right="7175"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（一）设计方面</w:t>
      </w:r>
    </w:p>
    <w:p w14:paraId="4B6EAB2F">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1、主持或参与设计技术交底会议，编写会议纪要。</w:t>
      </w:r>
    </w:p>
    <w:p w14:paraId="052496DE">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2、协助委托人会同设计人对重大技术问题和优化设计进行专题讨论。</w:t>
      </w:r>
    </w:p>
    <w:p w14:paraId="1190402D">
      <w:pPr>
        <w:spacing w:before="141"/>
        <w:ind w:left="466" w:right="7144" w:firstLine="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3、其他相关业务。</w:t>
      </w:r>
    </w:p>
    <w:p w14:paraId="12AB0B4B">
      <w:pPr>
        <w:spacing w:before="139"/>
        <w:ind w:left="76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（二）采购方面</w:t>
      </w:r>
    </w:p>
    <w:p w14:paraId="1B691A0D">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1、协助委托人对进场的永久工程设备进行质量检验与到货验收。</w:t>
      </w:r>
    </w:p>
    <w:p w14:paraId="5BEEDF5E">
      <w:pPr>
        <w:spacing w:before="140"/>
        <w:ind w:left="466" w:right="7144" w:firstLine="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2、其他相关业务。</w:t>
      </w:r>
    </w:p>
    <w:p w14:paraId="706CDA61">
      <w:pPr>
        <w:spacing w:before="139"/>
        <w:ind w:left="76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（三）施工方面</w:t>
      </w:r>
    </w:p>
    <w:p w14:paraId="3FB5A713">
      <w:pPr>
        <w:spacing w:before="139" w:line="364" w:lineRule="auto"/>
        <w:ind w:left="338" w:right="439" w:firstLine="420"/>
        <w:jc w:val="both"/>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1"/>
          <w:sz w:val="24"/>
          <w:szCs w:val="24"/>
          <w:highlight w:val="none"/>
        </w:rPr>
        <w:t>1、督促委托人按工程施工合同的约定，落实必须提供的施工条件；检查承包人的开工准备工作。</w:t>
      </w:r>
    </w:p>
    <w:p w14:paraId="0D20045B">
      <w:pPr>
        <w:spacing w:before="139" w:line="364" w:lineRule="auto"/>
        <w:ind w:left="338" w:right="439" w:firstLine="420"/>
        <w:jc w:val="both"/>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1"/>
          <w:sz w:val="24"/>
          <w:szCs w:val="24"/>
          <w:highlight w:val="none"/>
        </w:rPr>
        <w:t>2、审查承包人提交的施工组织设计、施工进度计划、施工措施计划；审核工艺试验成果等。</w:t>
      </w:r>
    </w:p>
    <w:p w14:paraId="2E638FD2">
      <w:pPr>
        <w:spacing w:before="139" w:line="364" w:lineRule="auto"/>
        <w:ind w:left="338" w:right="439" w:firstLine="42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pacing w:val="-1"/>
          <w:sz w:val="24"/>
          <w:szCs w:val="24"/>
          <w:highlight w:val="none"/>
        </w:rPr>
        <w:t>、进度控制。审批承包人编制的进度计划：检查实施情况，督促承包人采取措施，实现合同工</w:t>
      </w:r>
      <w:r>
        <w:rPr>
          <w:rFonts w:hint="eastAsia" w:ascii="宋体" w:hAnsi="宋体" w:eastAsia="宋体" w:cs="宋体"/>
          <w:i w:val="0"/>
          <w:iCs w:val="0"/>
          <w:color w:val="auto"/>
          <w:spacing w:val="-6"/>
          <w:sz w:val="24"/>
          <w:szCs w:val="24"/>
          <w:highlight w:val="none"/>
        </w:rPr>
        <w:t>期目标。当实施进度发生较大偏差时，要求承包人调整进度计划：向委托人提出调整控制性进度计划</w:t>
      </w:r>
      <w:r>
        <w:rPr>
          <w:rFonts w:hint="eastAsia" w:ascii="宋体" w:hAnsi="宋体" w:eastAsia="宋体" w:cs="宋体"/>
          <w:i w:val="0"/>
          <w:iCs w:val="0"/>
          <w:color w:val="auto"/>
          <w:spacing w:val="-4"/>
          <w:sz w:val="24"/>
          <w:szCs w:val="24"/>
          <w:highlight w:val="none"/>
        </w:rPr>
        <w:t>的建议意见。</w:t>
      </w:r>
    </w:p>
    <w:p w14:paraId="5ED241CF">
      <w:pPr>
        <w:spacing w:before="0" w:line="364" w:lineRule="auto"/>
        <w:ind w:left="338" w:right="335" w:firstLine="42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4、施工质量控制。审查承包人的质量保证体系和措施；审查承包人的实验室条件；依据工程施</w:t>
      </w:r>
      <w:r>
        <w:rPr>
          <w:rFonts w:hint="eastAsia" w:ascii="宋体" w:hAnsi="宋体" w:eastAsia="宋体" w:cs="宋体"/>
          <w:i w:val="0"/>
          <w:iCs w:val="0"/>
          <w:color w:val="auto"/>
          <w:spacing w:val="-1"/>
          <w:sz w:val="24"/>
          <w:szCs w:val="24"/>
          <w:highlight w:val="none"/>
        </w:rPr>
        <w:t xml:space="preserve">工合同文件、设计文件、技术标准，对施工全过程进行检杳，对重要部位、关键工序进行旁站监理； </w:t>
      </w:r>
      <w:r>
        <w:rPr>
          <w:rFonts w:hint="eastAsia" w:ascii="宋体" w:hAnsi="宋体" w:eastAsia="宋体" w:cs="宋体"/>
          <w:i w:val="0"/>
          <w:iCs w:val="0"/>
          <w:color w:val="auto"/>
          <w:spacing w:val="-8"/>
          <w:sz w:val="24"/>
          <w:szCs w:val="24"/>
          <w:highlight w:val="none"/>
        </w:rPr>
        <w:t>按照有关规定，对承包人进场的工程设备、建筑材料、建筑构配件、中间产品进行检验和验收，复核</w:t>
      </w:r>
      <w:r>
        <w:rPr>
          <w:rFonts w:hint="eastAsia" w:ascii="宋体" w:hAnsi="宋体" w:eastAsia="宋体" w:cs="宋体"/>
          <w:i w:val="0"/>
          <w:iCs w:val="0"/>
          <w:color w:val="auto"/>
          <w:spacing w:val="-5"/>
          <w:sz w:val="24"/>
          <w:szCs w:val="24"/>
          <w:highlight w:val="none"/>
        </w:rPr>
        <w:t>承包人自评的工程质量等级；审核承包人提出的工程质量缺陷处理方案，参与调查质量事故。</w:t>
      </w:r>
    </w:p>
    <w:p w14:paraId="31B6D05D">
      <w:pPr>
        <w:spacing w:before="0" w:line="364" w:lineRule="auto"/>
        <w:ind w:left="338" w:right="441" w:firstLine="42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5、资金控制。审查承包人提交的资金流计划；核定承包人完成的工程量，审核承包人提交的支付申请，签发付款凭证；受理索赔申请，提出处理建议意见；处理工程变更。</w:t>
      </w:r>
    </w:p>
    <w:p w14:paraId="1205FE10">
      <w:pPr>
        <w:spacing w:before="0" w:line="364" w:lineRule="auto"/>
        <w:ind w:left="338" w:right="437" w:firstLine="42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6、施工安全控制。审查承包人提出的安全技术措施、专项施工方案，并检查实施情况；检查防洪度汛措施落实情况；参与安全事故调查。</w:t>
      </w:r>
    </w:p>
    <w:p w14:paraId="56423982">
      <w:pPr>
        <w:spacing w:before="0" w:line="267" w:lineRule="exact"/>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7、协调施工合同各方之间的关系。</w:t>
      </w:r>
    </w:p>
    <w:p w14:paraId="18E3B46A">
      <w:pPr>
        <w:spacing w:before="138" w:line="364" w:lineRule="auto"/>
        <w:ind w:left="338" w:right="441" w:firstLine="42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8、按有关规定参加工程验收，负责完成监理资料的汇总、整理，协助委托人检查承包人的合同执行情况；做好验收的各项准备工作或者配合工作，提供工程监理资料，提交监理工作报告。</w:t>
      </w:r>
    </w:p>
    <w:p w14:paraId="70D65FA8">
      <w:pPr>
        <w:spacing w:before="0" w:line="364" w:lineRule="auto"/>
        <w:ind w:left="338" w:right="437" w:firstLine="42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pacing w:val="-1"/>
          <w:sz w:val="24"/>
          <w:szCs w:val="24"/>
          <w:highlight w:val="none"/>
        </w:rPr>
        <w:t>、档案管理。做好施工现场的监理记录与信息反馈，做好监理文档管理工作，合同期限届满时</w:t>
      </w:r>
      <w:r>
        <w:rPr>
          <w:rFonts w:hint="eastAsia" w:ascii="宋体" w:hAnsi="宋体" w:eastAsia="宋体" w:cs="宋体"/>
          <w:i w:val="0"/>
          <w:iCs w:val="0"/>
          <w:color w:val="auto"/>
          <w:spacing w:val="-6"/>
          <w:sz w:val="24"/>
          <w:szCs w:val="24"/>
          <w:highlight w:val="none"/>
        </w:rPr>
        <w:t>按照档案管理要求整理、归档并移交委托人。监理人应对承包人提交的档案资料进行审核并出具监理意见。</w:t>
      </w:r>
    </w:p>
    <w:p w14:paraId="5C484E81">
      <w:pPr>
        <w:spacing w:before="0" w:line="364" w:lineRule="auto"/>
        <w:ind w:left="338" w:right="440" w:firstLine="42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10</w:t>
      </w:r>
      <w:r>
        <w:rPr>
          <w:rFonts w:hint="eastAsia" w:ascii="宋体" w:hAnsi="宋体" w:eastAsia="宋体" w:cs="宋体"/>
          <w:i w:val="0"/>
          <w:iCs w:val="0"/>
          <w:color w:val="auto"/>
          <w:spacing w:val="-7"/>
          <w:sz w:val="24"/>
          <w:szCs w:val="24"/>
          <w:highlight w:val="none"/>
        </w:rPr>
        <w:t>、监督承包人执行缺陷责任期工作计划，检查和验收尾工项目，对已移交工程中出现的质量缺</w:t>
      </w:r>
      <w:r>
        <w:rPr>
          <w:rFonts w:hint="eastAsia" w:ascii="宋体" w:hAnsi="宋体" w:eastAsia="宋体" w:cs="宋体"/>
          <w:i w:val="0"/>
          <w:iCs w:val="0"/>
          <w:color w:val="auto"/>
          <w:spacing w:val="-5"/>
          <w:sz w:val="24"/>
          <w:szCs w:val="24"/>
          <w:highlight w:val="none"/>
        </w:rPr>
        <w:t>陷等调查原因并提出处理意见。</w:t>
      </w:r>
    </w:p>
    <w:p w14:paraId="224E39B4">
      <w:pPr>
        <w:spacing w:before="0" w:line="364" w:lineRule="auto"/>
        <w:ind w:left="338" w:right="397" w:firstLine="42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11、监督承包人执行上级行业主管部门（或委托人）制订的水利工程建设领域的安全文明标准化工地创建要求。</w:t>
      </w:r>
    </w:p>
    <w:p w14:paraId="6D9DFAD1">
      <w:pPr>
        <w:spacing w:before="0"/>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12、其他相关工作。</w:t>
      </w:r>
    </w:p>
    <w:p w14:paraId="62C016B5">
      <w:pPr>
        <w:spacing w:before="57"/>
        <w:ind w:left="898"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二、监理机构应向委托人提供的信息和文件</w:t>
      </w:r>
    </w:p>
    <w:p w14:paraId="7F595C5D">
      <w:pPr>
        <w:spacing w:before="137"/>
        <w:ind w:left="82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（一）不定期的监理工作报告</w:t>
      </w:r>
    </w:p>
    <w:p w14:paraId="036BF19E">
      <w:pPr>
        <w:spacing w:before="162"/>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1、关于工程优化设计、工程变更的建议。</w:t>
      </w:r>
    </w:p>
    <w:p w14:paraId="141A8DCE">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2、投资情况分析预测及资金、资源的合理配置和投入的建议。</w:t>
      </w:r>
    </w:p>
    <w:p w14:paraId="0D1AB1CD">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3、工程进度预测分析报告。</w:t>
      </w:r>
    </w:p>
    <w:p w14:paraId="062C3298">
      <w:pPr>
        <w:spacing w:before="140"/>
        <w:ind w:left="82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（二）日常监理文件</w:t>
      </w:r>
    </w:p>
    <w:p w14:paraId="68F17B41">
      <w:pPr>
        <w:spacing w:before="15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1、监理日记及施工大事记。</w:t>
      </w:r>
    </w:p>
    <w:p w14:paraId="370B90F1">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pacing w:val="-3"/>
          <w:sz w:val="24"/>
          <w:szCs w:val="24"/>
          <w:highlight w:val="none"/>
        </w:rPr>
        <w:t>、施工计划批复文件。</w:t>
      </w:r>
    </w:p>
    <w:p w14:paraId="69FD8851">
      <w:pPr>
        <w:spacing w:before="142"/>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pacing w:val="-3"/>
          <w:sz w:val="24"/>
          <w:szCs w:val="24"/>
          <w:highlight w:val="none"/>
        </w:rPr>
        <w:t>、施工措施批复文件。</w:t>
      </w:r>
    </w:p>
    <w:p w14:paraId="60385C00">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4、施工进度调整批复文件。</w:t>
      </w:r>
    </w:p>
    <w:p w14:paraId="1932302A">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5、进度款支付确认文件。</w:t>
      </w:r>
    </w:p>
    <w:p w14:paraId="47A11469">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6、索赔受理、调查及处理文件。</w:t>
      </w:r>
    </w:p>
    <w:p w14:paraId="05C8CED9">
      <w:pPr>
        <w:spacing w:before="139"/>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pacing w:val="-3"/>
          <w:sz w:val="24"/>
          <w:szCs w:val="24"/>
          <w:highlight w:val="none"/>
        </w:rPr>
        <w:t>、监理协调会议纪要文件。</w:t>
      </w:r>
    </w:p>
    <w:p w14:paraId="34835FE2">
      <w:pPr>
        <w:spacing w:before="141"/>
        <w:ind w:left="758"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w:t>
      </w:r>
      <w:r>
        <w:rPr>
          <w:rFonts w:hint="eastAsia" w:ascii="宋体" w:hAnsi="宋体" w:eastAsia="宋体" w:cs="宋体"/>
          <w:i w:val="0"/>
          <w:iCs w:val="0"/>
          <w:color w:val="auto"/>
          <w:spacing w:val="-3"/>
          <w:sz w:val="24"/>
          <w:szCs w:val="24"/>
          <w:highlight w:val="none"/>
        </w:rPr>
        <w:t>、其他监理业务往来文件。</w:t>
      </w:r>
    </w:p>
    <w:p w14:paraId="13369BC3">
      <w:pPr>
        <w:spacing w:after="0"/>
        <w:jc w:val="left"/>
        <w:rPr>
          <w:rFonts w:hint="eastAsia" w:ascii="宋体" w:hAnsi="宋体" w:eastAsia="宋体" w:cs="宋体"/>
          <w:i w:val="0"/>
          <w:iCs w:val="0"/>
          <w:color w:val="auto"/>
          <w:sz w:val="24"/>
          <w:szCs w:val="24"/>
          <w:highlight w:val="none"/>
        </w:rPr>
        <w:sectPr>
          <w:pgSz w:w="11910" w:h="16840"/>
          <w:pgMar w:top="1400" w:right="840" w:bottom="1180" w:left="1080" w:header="0" w:footer="919" w:gutter="0"/>
          <w:cols w:space="720" w:num="1"/>
        </w:sectPr>
      </w:pPr>
    </w:p>
    <w:p w14:paraId="1A6F905F">
      <w:pPr>
        <w:spacing w:before="43"/>
        <w:ind w:left="338"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二、廉政合同</w:t>
      </w:r>
    </w:p>
    <w:p w14:paraId="4FA4D5CF">
      <w:pPr>
        <w:pStyle w:val="3"/>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br w:type="column"/>
      </w:r>
    </w:p>
    <w:p w14:paraId="41E769DD">
      <w:pPr>
        <w:spacing w:before="196" w:line="357" w:lineRule="auto"/>
        <w:ind w:left="2317" w:right="2164" w:hanging="1979"/>
        <w:jc w:val="left"/>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 xml:space="preserve">（本格式为廉政合同标准格式，投标人不需填写） </w:t>
      </w:r>
      <w:r>
        <w:rPr>
          <w:rFonts w:hint="eastAsia" w:ascii="宋体" w:hAnsi="宋体" w:eastAsia="宋体" w:cs="宋体"/>
          <w:b/>
          <w:i w:val="0"/>
          <w:iCs w:val="0"/>
          <w:color w:val="auto"/>
          <w:sz w:val="24"/>
          <w:szCs w:val="24"/>
          <w:highlight w:val="none"/>
        </w:rPr>
        <w:t>廉 政 合 同</w:t>
      </w:r>
    </w:p>
    <w:p w14:paraId="502C6C88">
      <w:pPr>
        <w:spacing w:after="0" w:line="357" w:lineRule="auto"/>
        <w:jc w:val="left"/>
        <w:rPr>
          <w:rFonts w:hint="eastAsia" w:ascii="宋体" w:hAnsi="宋体" w:eastAsia="宋体" w:cs="宋体"/>
          <w:i w:val="0"/>
          <w:iCs w:val="0"/>
          <w:color w:val="auto"/>
          <w:sz w:val="24"/>
          <w:szCs w:val="24"/>
          <w:highlight w:val="none"/>
        </w:rPr>
        <w:sectPr>
          <w:pgSz w:w="11910" w:h="16840"/>
          <w:pgMar w:top="1540" w:right="840" w:bottom="1180" w:left="1080" w:header="0" w:footer="919" w:gutter="0"/>
          <w:cols w:equalWidth="0" w:num="2">
            <w:col w:w="1824" w:space="377"/>
            <w:col w:w="7789"/>
          </w:cols>
        </w:sectPr>
      </w:pPr>
    </w:p>
    <w:p w14:paraId="50AEC3FE">
      <w:pPr>
        <w:pStyle w:val="3"/>
        <w:keepNext w:val="0"/>
        <w:keepLines w:val="0"/>
        <w:pageBreakBefore w:val="0"/>
        <w:widowControl w:val="0"/>
        <w:tabs>
          <w:tab w:val="left" w:pos="6080"/>
          <w:tab w:val="left" w:pos="8740"/>
        </w:tabs>
        <w:kinsoku/>
        <w:wordWrap/>
        <w:overflowPunct/>
        <w:topLinePunct w:val="0"/>
        <w:bidi w:val="0"/>
        <w:adjustRightInd w:val="0"/>
        <w:snapToGrid/>
        <w:spacing w:line="400" w:lineRule="exact"/>
        <w:ind w:left="338" w:right="443" w:firstLine="63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为做好工程建设中的党风廉政建设</w:t>
      </w:r>
      <w:r>
        <w:rPr>
          <w:rFonts w:hint="eastAsia" w:ascii="宋体" w:hAnsi="宋体" w:eastAsia="宋体" w:cs="宋体"/>
          <w:i w:val="0"/>
          <w:iCs w:val="0"/>
          <w:color w:val="auto"/>
          <w:spacing w:val="-39"/>
          <w:sz w:val="24"/>
          <w:szCs w:val="24"/>
          <w:highlight w:val="none"/>
        </w:rPr>
        <w:t>，</w:t>
      </w:r>
      <w:r>
        <w:rPr>
          <w:rFonts w:hint="eastAsia" w:ascii="宋体" w:hAnsi="宋体" w:eastAsia="宋体" w:cs="宋体"/>
          <w:i w:val="0"/>
          <w:iCs w:val="0"/>
          <w:color w:val="auto"/>
          <w:sz w:val="24"/>
          <w:szCs w:val="24"/>
          <w:highlight w:val="none"/>
        </w:rPr>
        <w:t>保证工程建设高效优质</w:t>
      </w:r>
      <w:r>
        <w:rPr>
          <w:rFonts w:hint="eastAsia" w:ascii="宋体" w:hAnsi="宋体" w:eastAsia="宋体" w:cs="宋体"/>
          <w:i w:val="0"/>
          <w:iCs w:val="0"/>
          <w:color w:val="auto"/>
          <w:spacing w:val="-39"/>
          <w:sz w:val="24"/>
          <w:szCs w:val="24"/>
          <w:highlight w:val="none"/>
        </w:rPr>
        <w:t>，</w:t>
      </w:r>
      <w:r>
        <w:rPr>
          <w:rFonts w:hint="eastAsia" w:ascii="宋体" w:hAnsi="宋体" w:eastAsia="宋体" w:cs="宋体"/>
          <w:i w:val="0"/>
          <w:iCs w:val="0"/>
          <w:color w:val="auto"/>
          <w:sz w:val="24"/>
          <w:szCs w:val="24"/>
          <w:highlight w:val="none"/>
        </w:rPr>
        <w:t>保证建设资金的安</w:t>
      </w:r>
      <w:r>
        <w:rPr>
          <w:rFonts w:hint="eastAsia" w:ascii="宋体" w:hAnsi="宋体" w:eastAsia="宋体" w:cs="宋体"/>
          <w:i w:val="0"/>
          <w:iCs w:val="0"/>
          <w:color w:val="auto"/>
          <w:spacing w:val="-15"/>
          <w:sz w:val="24"/>
          <w:szCs w:val="24"/>
          <w:highlight w:val="none"/>
        </w:rPr>
        <w:t>全</w:t>
      </w:r>
      <w:r>
        <w:rPr>
          <w:rFonts w:hint="eastAsia" w:ascii="宋体" w:hAnsi="宋体" w:eastAsia="宋体" w:cs="宋体"/>
          <w:i w:val="0"/>
          <w:iCs w:val="0"/>
          <w:color w:val="auto"/>
          <w:sz w:val="24"/>
          <w:szCs w:val="24"/>
          <w:highlight w:val="none"/>
        </w:rPr>
        <w:t>和有效使用以及投资效益，建设工程的项目法人</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（以下简</w:t>
      </w:r>
      <w:r>
        <w:rPr>
          <w:rFonts w:hint="eastAsia" w:ascii="宋体" w:hAnsi="宋体" w:eastAsia="宋体" w:cs="宋体"/>
          <w:i w:val="0"/>
          <w:iCs w:val="0"/>
          <w:color w:val="auto"/>
          <w:spacing w:val="-8"/>
          <w:sz w:val="24"/>
          <w:szCs w:val="24"/>
          <w:highlight w:val="none"/>
        </w:rPr>
        <w:t>称</w:t>
      </w:r>
      <w:r>
        <w:rPr>
          <w:rFonts w:hint="eastAsia" w:ascii="宋体" w:hAnsi="宋体" w:eastAsia="宋体" w:cs="宋体"/>
          <w:i w:val="0"/>
          <w:iCs w:val="0"/>
          <w:color w:val="auto"/>
          <w:sz w:val="24"/>
          <w:szCs w:val="24"/>
          <w:highlight w:val="none"/>
        </w:rPr>
        <w:t>“甲方</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pacing w:val="-8"/>
          <w:sz w:val="24"/>
          <w:szCs w:val="24"/>
          <w:highlight w:val="none"/>
        </w:rPr>
        <w:t>）</w:t>
      </w:r>
      <w:r>
        <w:rPr>
          <w:rFonts w:hint="eastAsia" w:ascii="宋体" w:hAnsi="宋体" w:eastAsia="宋体" w:cs="宋体"/>
          <w:i w:val="0"/>
          <w:iCs w:val="0"/>
          <w:color w:val="auto"/>
          <w:sz w:val="24"/>
          <w:szCs w:val="24"/>
          <w:highlight w:val="none"/>
        </w:rPr>
        <w:t>与监</w:t>
      </w:r>
      <w:r>
        <w:rPr>
          <w:rFonts w:hint="eastAsia" w:ascii="宋体" w:hAnsi="宋体" w:eastAsia="宋体" w:cs="宋体"/>
          <w:i w:val="0"/>
          <w:iCs w:val="0"/>
          <w:color w:val="auto"/>
          <w:spacing w:val="2"/>
          <w:sz w:val="24"/>
          <w:szCs w:val="24"/>
          <w:highlight w:val="none"/>
        </w:rPr>
        <w:t>理</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（全称</w:t>
      </w:r>
      <w:r>
        <w:rPr>
          <w:rFonts w:hint="eastAsia" w:ascii="宋体" w:hAnsi="宋体" w:eastAsia="宋体" w:cs="宋体"/>
          <w:i w:val="0"/>
          <w:iCs w:val="0"/>
          <w:color w:val="auto"/>
          <w:spacing w:val="-128"/>
          <w:sz w:val="24"/>
          <w:szCs w:val="24"/>
          <w:highlight w:val="none"/>
        </w:rPr>
        <w:t>）</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pacing w:val="2"/>
          <w:sz w:val="24"/>
          <w:szCs w:val="24"/>
          <w:highlight w:val="none"/>
        </w:rPr>
        <w:t>以</w:t>
      </w:r>
      <w:r>
        <w:rPr>
          <w:rFonts w:hint="eastAsia" w:ascii="宋体" w:hAnsi="宋体" w:eastAsia="宋体" w:cs="宋体"/>
          <w:i w:val="0"/>
          <w:iCs w:val="0"/>
          <w:color w:val="auto"/>
          <w:sz w:val="24"/>
          <w:szCs w:val="24"/>
          <w:highlight w:val="none"/>
        </w:rPr>
        <w:t>下简称“乙方”），特订立如下合同。</w:t>
      </w:r>
    </w:p>
    <w:p w14:paraId="29D89C66">
      <w:pPr>
        <w:pStyle w:val="3"/>
        <w:keepNext w:val="0"/>
        <w:keepLines w:val="0"/>
        <w:pageBreakBefore w:val="0"/>
        <w:widowControl w:val="0"/>
        <w:kinsoku/>
        <w:wordWrap/>
        <w:overflowPunct/>
        <w:topLinePunct w:val="0"/>
        <w:bidi w:val="0"/>
        <w:adjustRightInd w:val="0"/>
        <w:snapToGrid/>
        <w:spacing w:line="400" w:lineRule="exact"/>
        <w:ind w:left="97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1、甲乙双方的权利和义务</w:t>
      </w:r>
    </w:p>
    <w:p w14:paraId="4FF4549A">
      <w:pPr>
        <w:pStyle w:val="259"/>
        <w:keepNext w:val="0"/>
        <w:keepLines w:val="0"/>
        <w:pageBreakBefore w:val="0"/>
        <w:widowControl w:val="0"/>
        <w:numPr>
          <w:ilvl w:val="2"/>
          <w:numId w:val="2"/>
        </w:numPr>
        <w:tabs>
          <w:tab w:val="left" w:pos="420"/>
        </w:tabs>
        <w:kinsoku/>
        <w:wordWrap/>
        <w:overflowPunct/>
        <w:topLinePunct w:val="0"/>
        <w:bidi w:val="0"/>
        <w:adjustRightInd w:val="0"/>
        <w:snapToGrid/>
        <w:spacing w:before="123" w:after="0" w:line="400" w:lineRule="exact"/>
        <w:ind w:left="220" w:leftChars="0" w:right="0" w:firstLine="619" w:firstLineChars="258"/>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严格遵守党的政策规定和国家有关法律法规及水利部的有关规定。</w:t>
      </w:r>
    </w:p>
    <w:p w14:paraId="2C2EE43B">
      <w:pPr>
        <w:pStyle w:val="259"/>
        <w:keepNext w:val="0"/>
        <w:keepLines w:val="0"/>
        <w:pageBreakBefore w:val="0"/>
        <w:widowControl w:val="0"/>
        <w:numPr>
          <w:ilvl w:val="2"/>
          <w:numId w:val="2"/>
        </w:numPr>
        <w:tabs>
          <w:tab w:val="left" w:pos="1260"/>
          <w:tab w:val="left" w:pos="4937"/>
        </w:tabs>
        <w:kinsoku/>
        <w:wordWrap/>
        <w:overflowPunct/>
        <w:topLinePunct w:val="0"/>
        <w:bidi w:val="0"/>
        <w:adjustRightInd w:val="0"/>
        <w:snapToGrid/>
        <w:spacing w:before="132" w:after="0" w:line="400" w:lineRule="exact"/>
        <w:ind w:left="338" w:right="486" w:firstLine="63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严格执行</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（项目名称）工程的合同文件，自觉按合</w:t>
      </w:r>
      <w:r>
        <w:rPr>
          <w:rFonts w:hint="eastAsia" w:ascii="宋体" w:hAnsi="宋体" w:eastAsia="宋体" w:cs="宋体"/>
          <w:i w:val="0"/>
          <w:iCs w:val="0"/>
          <w:color w:val="auto"/>
          <w:spacing w:val="-17"/>
          <w:sz w:val="24"/>
          <w:szCs w:val="24"/>
          <w:highlight w:val="none"/>
        </w:rPr>
        <w:t>同</w:t>
      </w:r>
      <w:r>
        <w:rPr>
          <w:rFonts w:hint="eastAsia" w:ascii="宋体" w:hAnsi="宋体" w:eastAsia="宋体" w:cs="宋体"/>
          <w:i w:val="0"/>
          <w:iCs w:val="0"/>
          <w:color w:val="auto"/>
          <w:sz w:val="24"/>
          <w:szCs w:val="24"/>
          <w:highlight w:val="none"/>
        </w:rPr>
        <w:t>办事。</w:t>
      </w:r>
    </w:p>
    <w:p w14:paraId="7C57EA9A">
      <w:pPr>
        <w:pStyle w:val="259"/>
        <w:keepNext w:val="0"/>
        <w:keepLines w:val="0"/>
        <w:pageBreakBefore w:val="0"/>
        <w:widowControl w:val="0"/>
        <w:numPr>
          <w:ilvl w:val="2"/>
          <w:numId w:val="2"/>
        </w:numPr>
        <w:kinsoku/>
        <w:wordWrap/>
        <w:overflowPunct/>
        <w:topLinePunct w:val="0"/>
        <w:bidi w:val="0"/>
        <w:adjustRightInd w:val="0"/>
        <w:snapToGrid/>
        <w:spacing w:before="1" w:after="0" w:line="400" w:lineRule="exact"/>
        <w:ind w:left="338" w:right="487" w:firstLine="63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双方的业务活动坚持公开、公正、诚信、透明的原则（</w:t>
      </w:r>
      <w:r>
        <w:rPr>
          <w:rFonts w:hint="eastAsia" w:ascii="宋体" w:hAnsi="宋体" w:eastAsia="宋体" w:cs="宋体"/>
          <w:i w:val="0"/>
          <w:iCs w:val="0"/>
          <w:color w:val="auto"/>
          <w:spacing w:val="-2"/>
          <w:sz w:val="24"/>
          <w:szCs w:val="24"/>
          <w:highlight w:val="none"/>
        </w:rPr>
        <w:t>法律认定的商业秘密</w:t>
      </w:r>
      <w:r>
        <w:rPr>
          <w:rFonts w:hint="eastAsia" w:ascii="宋体" w:hAnsi="宋体" w:eastAsia="宋体" w:cs="宋体"/>
          <w:i w:val="0"/>
          <w:iCs w:val="0"/>
          <w:color w:val="auto"/>
          <w:sz w:val="24"/>
          <w:szCs w:val="24"/>
          <w:highlight w:val="none"/>
        </w:rPr>
        <w:t>和合同文件另有规定除外</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z w:val="24"/>
          <w:szCs w:val="24"/>
          <w:highlight w:val="none"/>
        </w:rPr>
        <w:t>，不得损害国家和集体利益，违反工程建设管理规章制度。</w:t>
      </w:r>
    </w:p>
    <w:p w14:paraId="621C6C6C">
      <w:pPr>
        <w:pStyle w:val="259"/>
        <w:keepNext w:val="0"/>
        <w:keepLines w:val="0"/>
        <w:pageBreakBefore w:val="0"/>
        <w:widowControl w:val="0"/>
        <w:numPr>
          <w:ilvl w:val="2"/>
          <w:numId w:val="2"/>
        </w:numPr>
        <w:kinsoku/>
        <w:wordWrap/>
        <w:overflowPunct/>
        <w:topLinePunct w:val="0"/>
        <w:bidi w:val="0"/>
        <w:adjustRightInd w:val="0"/>
        <w:snapToGrid/>
        <w:spacing w:before="0" w:after="0" w:line="400" w:lineRule="exact"/>
        <w:ind w:left="338" w:right="487" w:firstLine="63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建立健全廉政制度，开展廉政教育，设立告示牌，公布举报电话，监督并认</w:t>
      </w:r>
      <w:r>
        <w:rPr>
          <w:rFonts w:hint="eastAsia" w:ascii="宋体" w:hAnsi="宋体" w:eastAsia="宋体" w:cs="宋体"/>
          <w:i w:val="0"/>
          <w:iCs w:val="0"/>
          <w:color w:val="auto"/>
          <w:sz w:val="24"/>
          <w:szCs w:val="24"/>
          <w:highlight w:val="none"/>
        </w:rPr>
        <w:t>真查处违法违纪行为。</w:t>
      </w:r>
    </w:p>
    <w:p w14:paraId="37C4F132">
      <w:pPr>
        <w:pStyle w:val="259"/>
        <w:keepNext w:val="0"/>
        <w:keepLines w:val="0"/>
        <w:pageBreakBefore w:val="0"/>
        <w:widowControl w:val="0"/>
        <w:numPr>
          <w:ilvl w:val="2"/>
          <w:numId w:val="2"/>
        </w:numPr>
        <w:kinsoku/>
        <w:wordWrap/>
        <w:overflowPunct/>
        <w:topLinePunct w:val="0"/>
        <w:bidi w:val="0"/>
        <w:adjustRightInd w:val="0"/>
        <w:snapToGrid/>
        <w:spacing w:before="0" w:after="0" w:line="400" w:lineRule="exact"/>
        <w:ind w:left="338" w:right="487" w:firstLine="63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发现对方在业务活动中有违反廉政规定的行为，有即使提醒对方纠正的权利</w:t>
      </w:r>
      <w:r>
        <w:rPr>
          <w:rFonts w:hint="eastAsia" w:ascii="宋体" w:hAnsi="宋体" w:eastAsia="宋体" w:cs="宋体"/>
          <w:i w:val="0"/>
          <w:iCs w:val="0"/>
          <w:color w:val="auto"/>
          <w:sz w:val="24"/>
          <w:szCs w:val="24"/>
          <w:highlight w:val="none"/>
        </w:rPr>
        <w:t>和义务。</w:t>
      </w:r>
    </w:p>
    <w:p w14:paraId="7CE921C7">
      <w:pPr>
        <w:pStyle w:val="259"/>
        <w:keepNext w:val="0"/>
        <w:keepLines w:val="0"/>
        <w:pageBreakBefore w:val="0"/>
        <w:widowControl w:val="0"/>
        <w:numPr>
          <w:ilvl w:val="2"/>
          <w:numId w:val="2"/>
        </w:numPr>
        <w:kinsoku/>
        <w:wordWrap/>
        <w:overflowPunct/>
        <w:topLinePunct w:val="0"/>
        <w:bidi w:val="0"/>
        <w:adjustRightInd w:val="0"/>
        <w:snapToGrid/>
        <w:spacing w:before="0" w:after="0" w:line="400" w:lineRule="exact"/>
        <w:ind w:left="338" w:right="487" w:firstLine="63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发现对方严重违反本合同义务条款的行为，有向其上级有关部门举报、建议</w:t>
      </w:r>
      <w:r>
        <w:rPr>
          <w:rFonts w:hint="eastAsia" w:ascii="宋体" w:hAnsi="宋体" w:eastAsia="宋体" w:cs="宋体"/>
          <w:i w:val="0"/>
          <w:iCs w:val="0"/>
          <w:color w:val="auto"/>
          <w:sz w:val="24"/>
          <w:szCs w:val="24"/>
          <w:highlight w:val="none"/>
        </w:rPr>
        <w:t>给予处理并要求告知处理结果的权利。</w:t>
      </w:r>
    </w:p>
    <w:p w14:paraId="1C9426D3">
      <w:pPr>
        <w:pStyle w:val="3"/>
        <w:keepNext w:val="0"/>
        <w:keepLines w:val="0"/>
        <w:pageBreakBefore w:val="0"/>
        <w:widowControl w:val="0"/>
        <w:kinsoku/>
        <w:wordWrap/>
        <w:overflowPunct/>
        <w:topLinePunct w:val="0"/>
        <w:bidi w:val="0"/>
        <w:adjustRightInd w:val="0"/>
        <w:snapToGrid/>
        <w:spacing w:line="400" w:lineRule="exact"/>
        <w:ind w:left="97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2、甲方的义务</w:t>
      </w:r>
    </w:p>
    <w:p w14:paraId="4BC08099">
      <w:pPr>
        <w:pStyle w:val="259"/>
        <w:keepNext w:val="0"/>
        <w:keepLines w:val="0"/>
        <w:pageBreakBefore w:val="0"/>
        <w:widowControl w:val="0"/>
        <w:numPr>
          <w:ilvl w:val="0"/>
          <w:numId w:val="3"/>
        </w:numPr>
        <w:kinsoku/>
        <w:wordWrap/>
        <w:overflowPunct/>
        <w:topLinePunct w:val="0"/>
        <w:bidi w:val="0"/>
        <w:adjustRightInd w:val="0"/>
        <w:snapToGrid/>
        <w:spacing w:before="130" w:after="0" w:line="400" w:lineRule="exact"/>
        <w:ind w:left="336" w:leftChars="160" w:right="487" w:firstLine="502" w:firstLineChars="21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甲方及其工作人员不得索要或接受乙方的礼金、有价证券和贵重物品，不得</w:t>
      </w:r>
      <w:r>
        <w:rPr>
          <w:rFonts w:hint="eastAsia" w:ascii="宋体" w:hAnsi="宋体" w:eastAsia="宋体" w:cs="宋体"/>
          <w:i w:val="0"/>
          <w:iCs w:val="0"/>
          <w:color w:val="auto"/>
          <w:sz w:val="24"/>
          <w:szCs w:val="24"/>
          <w:highlight w:val="none"/>
        </w:rPr>
        <w:t>在乙方报销任何应由甲方或甲方工作人员个人支付的费用等。</w:t>
      </w:r>
    </w:p>
    <w:p w14:paraId="05328DF0">
      <w:pPr>
        <w:pStyle w:val="259"/>
        <w:keepNext w:val="0"/>
        <w:keepLines w:val="0"/>
        <w:pageBreakBefore w:val="0"/>
        <w:widowControl w:val="0"/>
        <w:numPr>
          <w:ilvl w:val="0"/>
          <w:numId w:val="3"/>
        </w:numPr>
        <w:kinsoku/>
        <w:wordWrap/>
        <w:overflowPunct/>
        <w:topLinePunct w:val="0"/>
        <w:bidi w:val="0"/>
        <w:adjustRightInd w:val="0"/>
        <w:snapToGrid/>
        <w:spacing w:before="0" w:after="0" w:line="400" w:lineRule="exact"/>
        <w:ind w:left="336" w:leftChars="160" w:right="487" w:firstLine="502" w:firstLineChars="21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甲方工作人员不得参加乙方安排的超标准宴请和娱乐活动；不得接受乙方提</w:t>
      </w:r>
      <w:r>
        <w:rPr>
          <w:rFonts w:hint="eastAsia" w:ascii="宋体" w:hAnsi="宋体" w:eastAsia="宋体" w:cs="宋体"/>
          <w:i w:val="0"/>
          <w:iCs w:val="0"/>
          <w:color w:val="auto"/>
          <w:sz w:val="24"/>
          <w:szCs w:val="24"/>
          <w:highlight w:val="none"/>
        </w:rPr>
        <w:t>供的通讯工具、交通工具和高档办公用品等。</w:t>
      </w:r>
    </w:p>
    <w:p w14:paraId="7177BC4F">
      <w:pPr>
        <w:pStyle w:val="259"/>
        <w:keepNext w:val="0"/>
        <w:keepLines w:val="0"/>
        <w:pageBreakBefore w:val="0"/>
        <w:widowControl w:val="0"/>
        <w:numPr>
          <w:ilvl w:val="0"/>
          <w:numId w:val="3"/>
        </w:numPr>
        <w:kinsoku/>
        <w:wordWrap/>
        <w:overflowPunct/>
        <w:topLinePunct w:val="0"/>
        <w:bidi w:val="0"/>
        <w:adjustRightInd w:val="0"/>
        <w:snapToGrid/>
        <w:spacing w:before="0" w:after="0" w:line="400" w:lineRule="exact"/>
        <w:ind w:left="336" w:leftChars="160" w:right="486" w:firstLine="502" w:firstLineChars="21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甲方及其工作人员不得要求或者接受乙方为其住房装修、婚丧嫁娶活动、配</w:t>
      </w:r>
      <w:r>
        <w:rPr>
          <w:rFonts w:hint="eastAsia" w:ascii="宋体" w:hAnsi="宋体" w:eastAsia="宋体" w:cs="宋体"/>
          <w:i w:val="0"/>
          <w:iCs w:val="0"/>
          <w:color w:val="auto"/>
          <w:sz w:val="24"/>
          <w:szCs w:val="24"/>
          <w:highlight w:val="none"/>
        </w:rPr>
        <w:t>偶子女的工作安排以及出国出境、旅游等提供方便等。</w:t>
      </w:r>
    </w:p>
    <w:p w14:paraId="33A17C2B">
      <w:pPr>
        <w:pStyle w:val="259"/>
        <w:keepNext w:val="0"/>
        <w:keepLines w:val="0"/>
        <w:pageBreakBefore w:val="0"/>
        <w:widowControl w:val="0"/>
        <w:numPr>
          <w:ilvl w:val="0"/>
          <w:numId w:val="3"/>
        </w:numPr>
        <w:kinsoku/>
        <w:wordWrap/>
        <w:overflowPunct/>
        <w:topLinePunct w:val="0"/>
        <w:bidi w:val="0"/>
        <w:adjustRightInd w:val="0"/>
        <w:snapToGrid/>
        <w:spacing w:before="0" w:after="0" w:line="400" w:lineRule="exact"/>
        <w:ind w:left="336" w:leftChars="160" w:right="487" w:firstLine="502" w:firstLineChars="21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甲方工作人员及其配偶、子女不得从事与甲方工程有关的材料设备供应、工</w:t>
      </w:r>
      <w:r>
        <w:rPr>
          <w:rFonts w:hint="eastAsia" w:ascii="宋体" w:hAnsi="宋体" w:eastAsia="宋体" w:cs="宋体"/>
          <w:i w:val="0"/>
          <w:iCs w:val="0"/>
          <w:color w:val="auto"/>
          <w:sz w:val="24"/>
          <w:szCs w:val="24"/>
          <w:highlight w:val="none"/>
        </w:rPr>
        <w:t>程分包、劳务等经济活动等。</w:t>
      </w:r>
    </w:p>
    <w:p w14:paraId="3720DC80">
      <w:pPr>
        <w:pStyle w:val="259"/>
        <w:keepNext w:val="0"/>
        <w:keepLines w:val="0"/>
        <w:pageBreakBefore w:val="0"/>
        <w:widowControl w:val="0"/>
        <w:numPr>
          <w:ilvl w:val="0"/>
          <w:numId w:val="3"/>
        </w:numPr>
        <w:kinsoku/>
        <w:wordWrap/>
        <w:overflowPunct/>
        <w:topLinePunct w:val="0"/>
        <w:bidi w:val="0"/>
        <w:adjustRightInd w:val="0"/>
        <w:snapToGrid/>
        <w:spacing w:before="0" w:after="0" w:line="400" w:lineRule="exact"/>
        <w:ind w:left="336" w:leftChars="160" w:right="487" w:firstLine="502" w:firstLineChars="21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甲方及其工作人员不得以任何理由向乙方推荐分包单位或推销材料，不得要</w:t>
      </w:r>
      <w:r>
        <w:rPr>
          <w:rFonts w:hint="eastAsia" w:ascii="宋体" w:hAnsi="宋体" w:eastAsia="宋体" w:cs="宋体"/>
          <w:i w:val="0"/>
          <w:iCs w:val="0"/>
          <w:color w:val="auto"/>
          <w:sz w:val="24"/>
          <w:szCs w:val="24"/>
          <w:highlight w:val="none"/>
        </w:rPr>
        <w:t>求乙方购买合同规定外的材料和设备。</w:t>
      </w:r>
    </w:p>
    <w:p w14:paraId="6F683465">
      <w:pPr>
        <w:keepNext w:val="0"/>
        <w:keepLines w:val="0"/>
        <w:pageBreakBefore w:val="0"/>
        <w:widowControl w:val="0"/>
        <w:kinsoku/>
        <w:wordWrap/>
        <w:overflowPunct/>
        <w:topLinePunct w:val="0"/>
        <w:bidi w:val="0"/>
        <w:adjustRightInd w:val="0"/>
        <w:snapToGrid/>
        <w:spacing w:after="0" w:line="400" w:lineRule="exact"/>
        <w:ind w:left="336" w:leftChars="160" w:firstLine="506" w:firstLineChars="211"/>
        <w:jc w:val="left"/>
        <w:textAlignment w:val="auto"/>
        <w:rPr>
          <w:rFonts w:hint="eastAsia" w:ascii="宋体" w:hAnsi="宋体" w:eastAsia="宋体" w:cs="宋体"/>
          <w:i w:val="0"/>
          <w:iCs w:val="0"/>
          <w:color w:val="auto"/>
          <w:sz w:val="24"/>
          <w:szCs w:val="24"/>
          <w:highlight w:val="none"/>
          <w:lang w:eastAsia="zh-CN"/>
        </w:rPr>
        <w:sectPr>
          <w:type w:val="continuous"/>
          <w:pgSz w:w="11910" w:h="16840"/>
          <w:pgMar w:top="1580" w:right="840" w:bottom="280" w:left="1080" w:header="720" w:footer="720" w:gutter="0"/>
          <w:cols w:space="720" w:num="1"/>
        </w:sectPr>
      </w:pPr>
    </w:p>
    <w:p w14:paraId="13C06BF8">
      <w:pPr>
        <w:pStyle w:val="259"/>
        <w:keepNext w:val="0"/>
        <w:keepLines w:val="0"/>
        <w:pageBreakBefore w:val="0"/>
        <w:widowControl w:val="0"/>
        <w:numPr>
          <w:ilvl w:val="0"/>
          <w:numId w:val="3"/>
        </w:numPr>
        <w:kinsoku/>
        <w:wordWrap/>
        <w:overflowPunct/>
        <w:topLinePunct w:val="0"/>
        <w:bidi w:val="0"/>
        <w:adjustRightInd w:val="0"/>
        <w:snapToGrid/>
        <w:spacing w:before="48" w:after="0" w:line="400" w:lineRule="exact"/>
        <w:ind w:left="336" w:leftChars="160" w:right="487" w:firstLine="502" w:firstLineChars="21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甲方工作人员要秉公办事，不准营私舞弊，不准利用职权从事各种个人有偿</w:t>
      </w:r>
      <w:r>
        <w:rPr>
          <w:rFonts w:hint="eastAsia" w:ascii="宋体" w:hAnsi="宋体" w:eastAsia="宋体" w:cs="宋体"/>
          <w:i w:val="0"/>
          <w:iCs w:val="0"/>
          <w:color w:val="auto"/>
          <w:sz w:val="24"/>
          <w:szCs w:val="24"/>
          <w:highlight w:val="none"/>
        </w:rPr>
        <w:t>中介活动和安排个人施工队伍。</w:t>
      </w:r>
    </w:p>
    <w:p w14:paraId="2A52AE75">
      <w:pPr>
        <w:pStyle w:val="3"/>
        <w:keepNext w:val="0"/>
        <w:keepLines w:val="0"/>
        <w:pageBreakBefore w:val="0"/>
        <w:widowControl w:val="0"/>
        <w:kinsoku/>
        <w:wordWrap/>
        <w:overflowPunct/>
        <w:topLinePunct w:val="0"/>
        <w:bidi w:val="0"/>
        <w:adjustRightInd w:val="0"/>
        <w:snapToGrid/>
        <w:spacing w:before="1" w:line="400" w:lineRule="exact"/>
        <w:ind w:left="97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3、乙方义务</w:t>
      </w:r>
    </w:p>
    <w:p w14:paraId="78A7CE5E">
      <w:pPr>
        <w:pStyle w:val="259"/>
        <w:keepNext w:val="0"/>
        <w:keepLines w:val="0"/>
        <w:pageBreakBefore w:val="0"/>
        <w:widowControl w:val="0"/>
        <w:numPr>
          <w:ilvl w:val="0"/>
          <w:numId w:val="4"/>
        </w:numPr>
        <w:tabs>
          <w:tab w:val="left" w:pos="1579"/>
        </w:tabs>
        <w:kinsoku/>
        <w:wordWrap/>
        <w:overflowPunct/>
        <w:topLinePunct w:val="0"/>
        <w:bidi w:val="0"/>
        <w:adjustRightInd w:val="0"/>
        <w:snapToGrid/>
        <w:spacing w:before="132" w:after="0" w:line="400" w:lineRule="exact"/>
        <w:ind w:left="338" w:leftChars="0" w:right="487" w:firstLine="638"/>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乙方不得以任何理由向甲方及其工作人员行贿或馈赠礼金、有价证券、贵重</w:t>
      </w:r>
      <w:r>
        <w:rPr>
          <w:rFonts w:hint="eastAsia" w:ascii="宋体" w:hAnsi="宋体" w:eastAsia="宋体" w:cs="宋体"/>
          <w:i w:val="0"/>
          <w:iCs w:val="0"/>
          <w:color w:val="auto"/>
          <w:sz w:val="24"/>
          <w:szCs w:val="24"/>
          <w:highlight w:val="none"/>
        </w:rPr>
        <w:t>礼品。</w:t>
      </w:r>
    </w:p>
    <w:p w14:paraId="38B08575">
      <w:pPr>
        <w:pStyle w:val="259"/>
        <w:keepNext w:val="0"/>
        <w:keepLines w:val="0"/>
        <w:pageBreakBefore w:val="0"/>
        <w:widowControl w:val="0"/>
        <w:numPr>
          <w:ilvl w:val="0"/>
          <w:numId w:val="4"/>
        </w:numPr>
        <w:tabs>
          <w:tab w:val="left" w:pos="1579"/>
        </w:tabs>
        <w:kinsoku/>
        <w:wordWrap/>
        <w:overflowPunct/>
        <w:topLinePunct w:val="0"/>
        <w:bidi w:val="0"/>
        <w:adjustRightInd w:val="0"/>
        <w:snapToGrid/>
        <w:spacing w:before="2" w:after="0" w:line="400" w:lineRule="exact"/>
        <w:ind w:left="338" w:leftChars="0" w:right="487" w:firstLine="638"/>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乙方不得以任何名义为甲方及其工作人员报销应由甲方单位或个人支付的任</w:t>
      </w:r>
      <w:r>
        <w:rPr>
          <w:rFonts w:hint="eastAsia" w:ascii="宋体" w:hAnsi="宋体" w:eastAsia="宋体" w:cs="宋体"/>
          <w:i w:val="0"/>
          <w:iCs w:val="0"/>
          <w:color w:val="auto"/>
          <w:sz w:val="24"/>
          <w:szCs w:val="24"/>
          <w:highlight w:val="none"/>
        </w:rPr>
        <w:t>何费用。</w:t>
      </w:r>
    </w:p>
    <w:p w14:paraId="133F4043">
      <w:pPr>
        <w:pStyle w:val="259"/>
        <w:keepNext w:val="0"/>
        <w:keepLines w:val="0"/>
        <w:pageBreakBefore w:val="0"/>
        <w:widowControl w:val="0"/>
        <w:numPr>
          <w:ilvl w:val="0"/>
          <w:numId w:val="4"/>
        </w:numPr>
        <w:tabs>
          <w:tab w:val="left" w:pos="1579"/>
        </w:tabs>
        <w:kinsoku/>
        <w:wordWrap/>
        <w:overflowPunct/>
        <w:topLinePunct w:val="0"/>
        <w:bidi w:val="0"/>
        <w:adjustRightInd w:val="0"/>
        <w:snapToGrid/>
        <w:spacing w:before="132" w:after="0" w:line="400" w:lineRule="exact"/>
        <w:ind w:left="338" w:leftChars="0" w:right="487" w:firstLine="638"/>
        <w:jc w:val="both"/>
        <w:textAlignment w:val="auto"/>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1"/>
          <w:sz w:val="24"/>
          <w:szCs w:val="24"/>
          <w:highlight w:val="none"/>
        </w:rPr>
        <w:t>乙方不得以任何理由安排甲方工作人员参加超标准宴请及娱乐活动。</w:t>
      </w:r>
    </w:p>
    <w:p w14:paraId="69952998">
      <w:pPr>
        <w:pStyle w:val="259"/>
        <w:keepNext w:val="0"/>
        <w:keepLines w:val="0"/>
        <w:pageBreakBefore w:val="0"/>
        <w:widowControl w:val="0"/>
        <w:numPr>
          <w:ilvl w:val="0"/>
          <w:numId w:val="4"/>
        </w:numPr>
        <w:tabs>
          <w:tab w:val="left" w:pos="1579"/>
        </w:tabs>
        <w:kinsoku/>
        <w:wordWrap/>
        <w:overflowPunct/>
        <w:topLinePunct w:val="0"/>
        <w:bidi w:val="0"/>
        <w:adjustRightInd w:val="0"/>
        <w:snapToGrid/>
        <w:spacing w:before="132" w:after="0" w:line="400" w:lineRule="exact"/>
        <w:ind w:left="338" w:leftChars="0" w:right="487" w:firstLine="638"/>
        <w:jc w:val="both"/>
        <w:textAlignment w:val="auto"/>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1"/>
          <w:sz w:val="24"/>
          <w:szCs w:val="24"/>
          <w:highlight w:val="none"/>
        </w:rPr>
        <w:t>乙方不得为甲方单位和个人购置或提供通讯工具、交通工具和高档办公用品</w:t>
      </w:r>
      <w:r>
        <w:rPr>
          <w:rFonts w:hint="eastAsia" w:ascii="宋体" w:hAnsi="宋体" w:eastAsia="宋体" w:cs="宋体"/>
          <w:i w:val="0"/>
          <w:iCs w:val="0"/>
          <w:color w:val="auto"/>
          <w:spacing w:val="-1"/>
          <w:sz w:val="24"/>
          <w:szCs w:val="24"/>
          <w:highlight w:val="none"/>
          <w:lang w:eastAsia="zh-CN"/>
        </w:rPr>
        <w:t>等</w:t>
      </w:r>
      <w:r>
        <w:rPr>
          <w:rFonts w:hint="eastAsia" w:ascii="宋体" w:hAnsi="宋体" w:eastAsia="宋体" w:cs="宋体"/>
          <w:i w:val="0"/>
          <w:iCs w:val="0"/>
          <w:color w:val="auto"/>
          <w:spacing w:val="-1"/>
          <w:sz w:val="24"/>
          <w:szCs w:val="24"/>
          <w:highlight w:val="none"/>
        </w:rPr>
        <w:t>。</w:t>
      </w:r>
    </w:p>
    <w:p w14:paraId="418CE2AB">
      <w:pPr>
        <w:pStyle w:val="3"/>
        <w:keepNext w:val="0"/>
        <w:keepLines w:val="0"/>
        <w:pageBreakBefore w:val="0"/>
        <w:widowControl w:val="0"/>
        <w:kinsoku/>
        <w:wordWrap/>
        <w:overflowPunct/>
        <w:topLinePunct w:val="0"/>
        <w:bidi w:val="0"/>
        <w:adjustRightInd w:val="0"/>
        <w:snapToGrid/>
        <w:spacing w:before="132" w:line="400" w:lineRule="exact"/>
        <w:ind w:left="97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4、违约责任</w:t>
      </w:r>
    </w:p>
    <w:p w14:paraId="4ED9FC50">
      <w:pPr>
        <w:pStyle w:val="259"/>
        <w:keepNext w:val="0"/>
        <w:keepLines w:val="0"/>
        <w:pageBreakBefore w:val="0"/>
        <w:widowControl w:val="0"/>
        <w:numPr>
          <w:ilvl w:val="0"/>
          <w:numId w:val="5"/>
        </w:numPr>
        <w:tabs>
          <w:tab w:val="left" w:pos="640"/>
        </w:tabs>
        <w:kinsoku/>
        <w:wordWrap/>
        <w:overflowPunct/>
        <w:topLinePunct w:val="0"/>
        <w:bidi w:val="0"/>
        <w:adjustRightInd w:val="0"/>
        <w:snapToGrid/>
        <w:spacing w:before="134" w:after="0" w:line="400" w:lineRule="exact"/>
        <w:ind w:left="420" w:leftChars="0" w:right="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甲方及其工作人员违反本合同第一、二条，按管理权限，依据有关规定给予</w:t>
      </w:r>
    </w:p>
    <w:p w14:paraId="738CF0B0">
      <w:pPr>
        <w:pStyle w:val="3"/>
        <w:keepNext w:val="0"/>
        <w:keepLines w:val="0"/>
        <w:pageBreakBefore w:val="0"/>
        <w:widowControl w:val="0"/>
        <w:kinsoku/>
        <w:wordWrap/>
        <w:overflowPunct/>
        <w:topLinePunct w:val="0"/>
        <w:bidi w:val="0"/>
        <w:adjustRightInd w:val="0"/>
        <w:snapToGrid/>
        <w:spacing w:before="132" w:line="400" w:lineRule="exact"/>
        <w:ind w:left="338" w:leftChars="0" w:right="52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党纪、政纪或组织处理；涉嫌犯罪的，移交司法机关追究刑事责任；给乙方单位造成经</w:t>
      </w:r>
      <w:r>
        <w:rPr>
          <w:rFonts w:hint="eastAsia" w:ascii="宋体" w:hAnsi="宋体" w:eastAsia="宋体" w:cs="宋体"/>
          <w:i w:val="0"/>
          <w:iCs w:val="0"/>
          <w:color w:val="auto"/>
          <w:sz w:val="24"/>
          <w:szCs w:val="24"/>
          <w:highlight w:val="none"/>
        </w:rPr>
        <w:t>济损失的，应予赔偿。</w:t>
      </w:r>
    </w:p>
    <w:p w14:paraId="7FF9684A">
      <w:pPr>
        <w:pStyle w:val="259"/>
        <w:keepNext w:val="0"/>
        <w:keepLines w:val="0"/>
        <w:pageBreakBefore w:val="0"/>
        <w:widowControl w:val="0"/>
        <w:numPr>
          <w:ilvl w:val="0"/>
          <w:numId w:val="5"/>
        </w:numPr>
        <w:tabs>
          <w:tab w:val="left" w:pos="1579"/>
        </w:tabs>
        <w:kinsoku/>
        <w:wordWrap/>
        <w:overflowPunct/>
        <w:topLinePunct w:val="0"/>
        <w:bidi w:val="0"/>
        <w:adjustRightInd w:val="0"/>
        <w:snapToGrid/>
        <w:spacing w:before="1" w:after="0" w:line="400" w:lineRule="exact"/>
        <w:ind w:left="338" w:leftChars="0" w:right="487" w:firstLine="638"/>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乙方及其工作人员违反本合同第一、三条，按管理权限，依据有关规定给予</w:t>
      </w:r>
      <w:r>
        <w:rPr>
          <w:rFonts w:hint="eastAsia" w:ascii="宋体" w:hAnsi="宋体" w:eastAsia="宋体" w:cs="宋体"/>
          <w:i w:val="0"/>
          <w:iCs w:val="0"/>
          <w:color w:val="auto"/>
          <w:sz w:val="24"/>
          <w:szCs w:val="24"/>
          <w:highlight w:val="none"/>
        </w:rPr>
        <w:t>党纪、政纪或组织处理；给甲方单位造成经济损失的，应予赔偿；情节严重的，甲方建议水利工程建设主管部门给予乙方一至三年内不得进入其主管的水利工程建设市场的处罚。</w:t>
      </w:r>
    </w:p>
    <w:p w14:paraId="69975E89">
      <w:pPr>
        <w:pStyle w:val="3"/>
        <w:keepNext w:val="0"/>
        <w:keepLines w:val="0"/>
        <w:pageBreakBefore w:val="0"/>
        <w:widowControl w:val="0"/>
        <w:kinsoku/>
        <w:wordWrap/>
        <w:overflowPunct/>
        <w:topLinePunct w:val="0"/>
        <w:bidi w:val="0"/>
        <w:adjustRightInd w:val="0"/>
        <w:snapToGrid/>
        <w:spacing w:before="1" w:line="400" w:lineRule="exact"/>
        <w:ind w:left="338" w:right="487" w:firstLine="638"/>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双方约定：本合同由双方或双方上级单位的纪检监察机关负责监督执行。由甲方或甲方上级单位纪检监察机关约请乙方或乙方上级单位纪检监察机关对本合同执行情况进行检查提出在按合同规定范围内的裁定意见。</w:t>
      </w:r>
    </w:p>
    <w:p w14:paraId="7B1783E8">
      <w:pPr>
        <w:pStyle w:val="3"/>
        <w:keepNext w:val="0"/>
        <w:keepLines w:val="0"/>
        <w:pageBreakBefore w:val="0"/>
        <w:widowControl w:val="0"/>
        <w:kinsoku/>
        <w:wordWrap/>
        <w:overflowPunct/>
        <w:topLinePunct w:val="0"/>
        <w:bidi w:val="0"/>
        <w:adjustRightInd w:val="0"/>
        <w:snapToGrid/>
        <w:spacing w:before="1" w:line="400" w:lineRule="exact"/>
        <w:ind w:left="97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6、本合同有效期为甲乙双方签署之日起至工程项目竣工验收后止。</w:t>
      </w:r>
    </w:p>
    <w:p w14:paraId="56EEB885">
      <w:pPr>
        <w:pStyle w:val="3"/>
        <w:keepNext w:val="0"/>
        <w:keepLines w:val="0"/>
        <w:pageBreakBefore w:val="0"/>
        <w:widowControl w:val="0"/>
        <w:tabs>
          <w:tab w:val="left" w:pos="4779"/>
        </w:tabs>
        <w:kinsoku/>
        <w:wordWrap/>
        <w:overflowPunct/>
        <w:topLinePunct w:val="0"/>
        <w:bidi w:val="0"/>
        <w:adjustRightInd w:val="0"/>
        <w:snapToGrid/>
        <w:spacing w:before="132" w:line="400" w:lineRule="exact"/>
        <w:ind w:left="338" w:right="444" w:firstLine="638"/>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pacing w:val="-20"/>
          <w:sz w:val="24"/>
          <w:szCs w:val="24"/>
          <w:highlight w:val="none"/>
        </w:rPr>
        <w:t>、</w:t>
      </w:r>
      <w:r>
        <w:rPr>
          <w:rFonts w:hint="eastAsia" w:ascii="宋体" w:hAnsi="宋体" w:eastAsia="宋体" w:cs="宋体"/>
          <w:i w:val="0"/>
          <w:iCs w:val="0"/>
          <w:color w:val="auto"/>
          <w:sz w:val="24"/>
          <w:szCs w:val="24"/>
          <w:highlight w:val="none"/>
        </w:rPr>
        <w:t>本合同作为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pacing w:val="-19"/>
          <w:sz w:val="24"/>
          <w:szCs w:val="24"/>
          <w:highlight w:val="none"/>
          <w:u w:val="single"/>
        </w:rPr>
        <w:t>）</w:t>
      </w:r>
      <w:r>
        <w:rPr>
          <w:rFonts w:hint="eastAsia" w:ascii="宋体" w:hAnsi="宋体" w:eastAsia="宋体" w:cs="宋体"/>
          <w:i w:val="0"/>
          <w:iCs w:val="0"/>
          <w:color w:val="auto"/>
          <w:sz w:val="24"/>
          <w:szCs w:val="24"/>
          <w:highlight w:val="none"/>
        </w:rPr>
        <w:t>施工合同的附件</w:t>
      </w:r>
      <w:r>
        <w:rPr>
          <w:rFonts w:hint="eastAsia" w:ascii="宋体" w:hAnsi="宋体" w:eastAsia="宋体" w:cs="宋体"/>
          <w:i w:val="0"/>
          <w:iCs w:val="0"/>
          <w:color w:val="auto"/>
          <w:spacing w:val="-20"/>
          <w:sz w:val="24"/>
          <w:szCs w:val="24"/>
          <w:highlight w:val="none"/>
        </w:rPr>
        <w:t>，</w:t>
      </w:r>
      <w:r>
        <w:rPr>
          <w:rFonts w:hint="eastAsia" w:ascii="宋体" w:hAnsi="宋体" w:eastAsia="宋体" w:cs="宋体"/>
          <w:i w:val="0"/>
          <w:iCs w:val="0"/>
          <w:color w:val="auto"/>
          <w:sz w:val="24"/>
          <w:szCs w:val="24"/>
          <w:highlight w:val="none"/>
        </w:rPr>
        <w:t>与施工合同</w:t>
      </w:r>
      <w:r>
        <w:rPr>
          <w:rFonts w:hint="eastAsia" w:ascii="宋体" w:hAnsi="宋体" w:eastAsia="宋体" w:cs="宋体"/>
          <w:i w:val="0"/>
          <w:iCs w:val="0"/>
          <w:color w:val="auto"/>
          <w:spacing w:val="-18"/>
          <w:sz w:val="24"/>
          <w:szCs w:val="24"/>
          <w:highlight w:val="none"/>
        </w:rPr>
        <w:t>具</w:t>
      </w:r>
      <w:r>
        <w:rPr>
          <w:rFonts w:hint="eastAsia" w:ascii="宋体" w:hAnsi="宋体" w:eastAsia="宋体" w:cs="宋体"/>
          <w:i w:val="0"/>
          <w:iCs w:val="0"/>
          <w:color w:val="auto"/>
          <w:sz w:val="24"/>
          <w:szCs w:val="24"/>
          <w:highlight w:val="none"/>
        </w:rPr>
        <w:t>有同等的法律效力，经合同双方签署立即生效。</w:t>
      </w:r>
    </w:p>
    <w:p w14:paraId="2DFA4B94">
      <w:pPr>
        <w:pStyle w:val="3"/>
        <w:keepNext w:val="0"/>
        <w:keepLines w:val="0"/>
        <w:pageBreakBefore w:val="0"/>
        <w:widowControl w:val="0"/>
        <w:tabs>
          <w:tab w:val="left" w:pos="1178"/>
          <w:tab w:val="left" w:pos="1658"/>
          <w:tab w:val="left" w:pos="2498"/>
          <w:tab w:val="left" w:pos="3819"/>
          <w:tab w:val="left" w:pos="5019"/>
          <w:tab w:val="left" w:pos="5499"/>
          <w:tab w:val="left" w:pos="5979"/>
          <w:tab w:val="left" w:pos="6819"/>
          <w:tab w:val="left" w:pos="8740"/>
          <w:tab w:val="left" w:pos="8860"/>
        </w:tabs>
        <w:kinsoku/>
        <w:wordWrap/>
        <w:overflowPunct/>
        <w:topLinePunct w:val="0"/>
        <w:bidi w:val="0"/>
        <w:adjustRightInd w:val="0"/>
        <w:snapToGrid/>
        <w:spacing w:line="400" w:lineRule="exact"/>
        <w:ind w:left="698" w:right="727" w:firstLine="278"/>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8、本合同一式四份，由甲乙双方各执一份，送交甲乙双方的监督单位各一份</w:t>
      </w:r>
      <w:r>
        <w:rPr>
          <w:rFonts w:hint="eastAsia" w:ascii="宋体" w:hAnsi="宋体" w:eastAsia="宋体" w:cs="宋体"/>
          <w:i w:val="0"/>
          <w:iCs w:val="0"/>
          <w:color w:val="auto"/>
          <w:spacing w:val="-17"/>
          <w:sz w:val="24"/>
          <w:szCs w:val="24"/>
          <w:highlight w:val="none"/>
        </w:rPr>
        <w:t>。</w:t>
      </w:r>
      <w:r>
        <w:rPr>
          <w:rFonts w:hint="eastAsia" w:ascii="宋体" w:hAnsi="宋体" w:eastAsia="宋体" w:cs="宋体"/>
          <w:i w:val="0"/>
          <w:iCs w:val="0"/>
          <w:color w:val="auto"/>
          <w:sz w:val="24"/>
          <w:szCs w:val="24"/>
          <w:highlight w:val="none"/>
        </w:rPr>
        <w:t>发</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包</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z w:val="24"/>
          <w:szCs w:val="24"/>
          <w:highlight w:val="none"/>
          <w:u w:val="single"/>
        </w:rPr>
        <w:t>（名称</w:t>
      </w:r>
      <w:r>
        <w:rPr>
          <w:rFonts w:hint="eastAsia" w:ascii="宋体" w:hAnsi="宋体" w:eastAsia="宋体" w:cs="宋体"/>
          <w:i w:val="0"/>
          <w:iCs w:val="0"/>
          <w:color w:val="auto"/>
          <w:spacing w:val="-120"/>
          <w:sz w:val="24"/>
          <w:szCs w:val="24"/>
          <w:highlight w:val="none"/>
          <w:u w:val="single"/>
        </w:rPr>
        <w:t>）</w:t>
      </w:r>
      <w:r>
        <w:rPr>
          <w:rFonts w:hint="eastAsia" w:ascii="宋体" w:hAnsi="宋体" w:eastAsia="宋体" w:cs="宋体"/>
          <w:i w:val="0"/>
          <w:iCs w:val="0"/>
          <w:color w:val="auto"/>
          <w:sz w:val="24"/>
          <w:szCs w:val="24"/>
          <w:highlight w:val="none"/>
          <w:u w:val="single"/>
        </w:rPr>
        <w:t>（盖单位章）</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承</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包</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pacing w:val="-120"/>
          <w:sz w:val="24"/>
          <w:szCs w:val="24"/>
          <w:highlight w:val="none"/>
        </w:rPr>
        <w:t>：</w:t>
      </w:r>
      <w:r>
        <w:rPr>
          <w:rFonts w:hint="eastAsia" w:ascii="宋体" w:hAnsi="宋体" w:eastAsia="宋体" w:cs="宋体"/>
          <w:i w:val="0"/>
          <w:iCs w:val="0"/>
          <w:color w:val="auto"/>
          <w:sz w:val="24"/>
          <w:szCs w:val="24"/>
          <w:highlight w:val="none"/>
          <w:u w:val="single"/>
        </w:rPr>
        <w:t>（名称</w:t>
      </w:r>
      <w:r>
        <w:rPr>
          <w:rFonts w:hint="eastAsia" w:ascii="宋体" w:hAnsi="宋体" w:eastAsia="宋体" w:cs="宋体"/>
          <w:i w:val="0"/>
          <w:iCs w:val="0"/>
          <w:color w:val="auto"/>
          <w:spacing w:val="-120"/>
          <w:sz w:val="24"/>
          <w:szCs w:val="24"/>
          <w:highlight w:val="none"/>
          <w:u w:val="single"/>
        </w:rPr>
        <w:t>）</w:t>
      </w:r>
      <w:r>
        <w:rPr>
          <w:rFonts w:hint="eastAsia" w:ascii="宋体" w:hAnsi="宋体" w:eastAsia="宋体" w:cs="宋体"/>
          <w:i w:val="0"/>
          <w:iCs w:val="0"/>
          <w:color w:val="auto"/>
          <w:sz w:val="24"/>
          <w:szCs w:val="24"/>
          <w:highlight w:val="none"/>
          <w:u w:val="single"/>
        </w:rPr>
        <w:t>（盖单位章）</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 xml:space="preserve">  法定代表人：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（姓名）</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法定代表人：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（姓名）</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 xml:space="preserve">   或委托代理人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（签名）</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或委托代理人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（签名）</w:t>
      </w:r>
    </w:p>
    <w:p w14:paraId="69D7AD39">
      <w:pPr>
        <w:pStyle w:val="3"/>
        <w:keepNext w:val="0"/>
        <w:keepLines w:val="0"/>
        <w:pageBreakBefore w:val="0"/>
        <w:widowControl w:val="0"/>
        <w:tabs>
          <w:tab w:val="left" w:pos="3994"/>
          <w:tab w:val="left" w:pos="5139"/>
          <w:tab w:val="left" w:pos="8915"/>
        </w:tabs>
        <w:kinsoku/>
        <w:wordWrap/>
        <w:overflowPunct/>
        <w:topLinePunct w:val="0"/>
        <w:bidi w:val="0"/>
        <w:adjustRightInd w:val="0"/>
        <w:snapToGrid/>
        <w:spacing w:line="400" w:lineRule="exact"/>
        <w:ind w:left="698" w:right="1069"/>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地      </w:t>
      </w:r>
      <w:r>
        <w:rPr>
          <w:rFonts w:hint="eastAsia" w:ascii="宋体" w:hAnsi="宋体" w:eastAsia="宋体" w:cs="宋体"/>
          <w:i w:val="0"/>
          <w:iCs w:val="0"/>
          <w:color w:val="auto"/>
          <w:spacing w:val="119"/>
          <w:sz w:val="24"/>
          <w:szCs w:val="24"/>
          <w:highlight w:val="none"/>
        </w:rPr>
        <w:t xml:space="preserve"> </w:t>
      </w:r>
      <w:r>
        <w:rPr>
          <w:rFonts w:hint="eastAsia" w:ascii="宋体" w:hAnsi="宋体" w:eastAsia="宋体" w:cs="宋体"/>
          <w:i w:val="0"/>
          <w:iCs w:val="0"/>
          <w:color w:val="auto"/>
          <w:sz w:val="24"/>
          <w:szCs w:val="24"/>
          <w:highlight w:val="none"/>
        </w:rPr>
        <w:t>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 xml:space="preserve">地      </w:t>
      </w:r>
      <w:r>
        <w:rPr>
          <w:rFonts w:hint="eastAsia" w:ascii="宋体" w:hAnsi="宋体" w:eastAsia="宋体" w:cs="宋体"/>
          <w:i w:val="0"/>
          <w:iCs w:val="0"/>
          <w:color w:val="auto"/>
          <w:spacing w:val="120"/>
          <w:sz w:val="24"/>
          <w:szCs w:val="24"/>
          <w:highlight w:val="none"/>
        </w:rPr>
        <w:t xml:space="preserve"> </w:t>
      </w:r>
      <w:r>
        <w:rPr>
          <w:rFonts w:hint="eastAsia" w:ascii="宋体" w:hAnsi="宋体" w:eastAsia="宋体" w:cs="宋体"/>
          <w:i w:val="0"/>
          <w:iCs w:val="0"/>
          <w:color w:val="auto"/>
          <w:sz w:val="24"/>
          <w:szCs w:val="24"/>
          <w:highlight w:val="none"/>
        </w:rPr>
        <w:t>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日      </w:t>
      </w:r>
      <w:r>
        <w:rPr>
          <w:rFonts w:hint="eastAsia" w:ascii="宋体" w:hAnsi="宋体" w:eastAsia="宋体" w:cs="宋体"/>
          <w:i w:val="0"/>
          <w:iCs w:val="0"/>
          <w:color w:val="auto"/>
          <w:spacing w:val="119"/>
          <w:sz w:val="24"/>
          <w:szCs w:val="24"/>
          <w:highlight w:val="none"/>
        </w:rPr>
        <w:t xml:space="preserve"> </w:t>
      </w:r>
      <w:r>
        <w:rPr>
          <w:rFonts w:hint="eastAsia" w:ascii="宋体" w:hAnsi="宋体" w:eastAsia="宋体" w:cs="宋体"/>
          <w:i w:val="0"/>
          <w:iCs w:val="0"/>
          <w:color w:val="auto"/>
          <w:sz w:val="24"/>
          <w:szCs w:val="24"/>
          <w:highlight w:val="none"/>
        </w:rPr>
        <w:t>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 xml:space="preserve">日      </w:t>
      </w:r>
      <w:r>
        <w:rPr>
          <w:rFonts w:hint="eastAsia" w:ascii="宋体" w:hAnsi="宋体" w:eastAsia="宋体" w:cs="宋体"/>
          <w:i w:val="0"/>
          <w:iCs w:val="0"/>
          <w:color w:val="auto"/>
          <w:spacing w:val="120"/>
          <w:sz w:val="24"/>
          <w:szCs w:val="24"/>
          <w:highlight w:val="none"/>
        </w:rPr>
        <w:t xml:space="preserve"> </w:t>
      </w:r>
      <w:r>
        <w:rPr>
          <w:rFonts w:hint="eastAsia" w:ascii="宋体" w:hAnsi="宋体" w:eastAsia="宋体" w:cs="宋体"/>
          <w:i w:val="0"/>
          <w:iCs w:val="0"/>
          <w:color w:val="auto"/>
          <w:sz w:val="24"/>
          <w:szCs w:val="24"/>
          <w:highlight w:val="none"/>
        </w:rPr>
        <w:t>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甲方监督单位：</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乙方监督单位：</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0B3AC4DF">
      <w:pPr>
        <w:spacing w:after="0" w:line="343" w:lineRule="auto"/>
        <w:jc w:val="both"/>
        <w:rPr>
          <w:rFonts w:hint="eastAsia" w:ascii="宋体" w:hAnsi="宋体" w:eastAsia="宋体" w:cs="宋体"/>
          <w:i w:val="0"/>
          <w:iCs w:val="0"/>
          <w:color w:val="auto"/>
          <w:sz w:val="24"/>
          <w:szCs w:val="24"/>
          <w:highlight w:val="none"/>
        </w:rPr>
        <w:sectPr>
          <w:pgSz w:w="11910" w:h="16840"/>
          <w:pgMar w:top="1520" w:right="840" w:bottom="1180" w:left="1080" w:header="0" w:footer="919" w:gutter="0"/>
          <w:cols w:space="720" w:num="1"/>
        </w:sectPr>
      </w:pPr>
    </w:p>
    <w:p w14:paraId="4E371F8B">
      <w:pPr>
        <w:spacing w:before="43"/>
        <w:ind w:left="338"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三、工程质量责任合同格式</w:t>
      </w:r>
    </w:p>
    <w:p w14:paraId="6B71BE59">
      <w:pPr>
        <w:spacing w:before="153" w:line="357" w:lineRule="auto"/>
        <w:ind w:left="3975" w:right="1924" w:hanging="2156"/>
        <w:jc w:val="left"/>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 xml:space="preserve">（本格式为工程质量责任合同标准格式，投标人不需填写） </w:t>
      </w:r>
      <w:r>
        <w:rPr>
          <w:rFonts w:hint="eastAsia" w:ascii="宋体" w:hAnsi="宋体" w:eastAsia="宋体" w:cs="宋体"/>
          <w:b/>
          <w:i w:val="0"/>
          <w:iCs w:val="0"/>
          <w:color w:val="auto"/>
          <w:sz w:val="24"/>
          <w:szCs w:val="24"/>
          <w:highlight w:val="none"/>
        </w:rPr>
        <w:t>工程质量责任合同</w:t>
      </w:r>
    </w:p>
    <w:p w14:paraId="3AB7B890">
      <w:pPr>
        <w:pStyle w:val="3"/>
        <w:tabs>
          <w:tab w:val="left" w:pos="1778"/>
          <w:tab w:val="left" w:pos="5165"/>
          <w:tab w:val="left" w:pos="9061"/>
        </w:tabs>
        <w:spacing w:before="3" w:line="357" w:lineRule="auto"/>
        <w:ind w:left="338" w:right="442" w:firstLine="451"/>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6"/>
          <w:sz w:val="24"/>
          <w:szCs w:val="24"/>
          <w:highlight w:val="none"/>
        </w:rPr>
        <w:t>根据国务院</w:t>
      </w:r>
      <w:r>
        <w:rPr>
          <w:rFonts w:hint="eastAsia" w:ascii="宋体" w:hAnsi="宋体" w:eastAsia="宋体" w:cs="宋体"/>
          <w:i w:val="0"/>
          <w:iCs w:val="0"/>
          <w:color w:val="auto"/>
          <w:spacing w:val="4"/>
          <w:sz w:val="24"/>
          <w:szCs w:val="24"/>
          <w:highlight w:val="none"/>
        </w:rPr>
        <w:t>《</w:t>
      </w:r>
      <w:r>
        <w:rPr>
          <w:rFonts w:hint="eastAsia" w:ascii="宋体" w:hAnsi="宋体" w:eastAsia="宋体" w:cs="宋体"/>
          <w:i w:val="0"/>
          <w:iCs w:val="0"/>
          <w:color w:val="auto"/>
          <w:spacing w:val="6"/>
          <w:sz w:val="24"/>
          <w:szCs w:val="24"/>
          <w:highlight w:val="none"/>
        </w:rPr>
        <w:t>建设</w:t>
      </w:r>
      <w:r>
        <w:rPr>
          <w:rFonts w:hint="eastAsia" w:ascii="宋体" w:hAnsi="宋体" w:eastAsia="宋体" w:cs="宋体"/>
          <w:i w:val="0"/>
          <w:iCs w:val="0"/>
          <w:color w:val="auto"/>
          <w:spacing w:val="4"/>
          <w:sz w:val="24"/>
          <w:szCs w:val="24"/>
          <w:highlight w:val="none"/>
        </w:rPr>
        <w:t>工</w:t>
      </w:r>
      <w:r>
        <w:rPr>
          <w:rFonts w:hint="eastAsia" w:ascii="宋体" w:hAnsi="宋体" w:eastAsia="宋体" w:cs="宋体"/>
          <w:i w:val="0"/>
          <w:iCs w:val="0"/>
          <w:color w:val="auto"/>
          <w:spacing w:val="6"/>
          <w:sz w:val="24"/>
          <w:szCs w:val="24"/>
          <w:highlight w:val="none"/>
        </w:rPr>
        <w:t>程质量管理</w:t>
      </w:r>
      <w:r>
        <w:rPr>
          <w:rFonts w:hint="eastAsia" w:ascii="宋体" w:hAnsi="宋体" w:eastAsia="宋体" w:cs="宋体"/>
          <w:i w:val="0"/>
          <w:iCs w:val="0"/>
          <w:color w:val="auto"/>
          <w:spacing w:val="4"/>
          <w:sz w:val="24"/>
          <w:szCs w:val="24"/>
          <w:highlight w:val="none"/>
        </w:rPr>
        <w:t>条</w:t>
      </w:r>
      <w:r>
        <w:rPr>
          <w:rFonts w:hint="eastAsia" w:ascii="宋体" w:hAnsi="宋体" w:eastAsia="宋体" w:cs="宋体"/>
          <w:i w:val="0"/>
          <w:iCs w:val="0"/>
          <w:color w:val="auto"/>
          <w:spacing w:val="6"/>
          <w:sz w:val="24"/>
          <w:szCs w:val="24"/>
          <w:highlight w:val="none"/>
        </w:rPr>
        <w:t>例</w:t>
      </w:r>
      <w:r>
        <w:rPr>
          <w:rFonts w:hint="eastAsia" w:ascii="宋体" w:hAnsi="宋体" w:eastAsia="宋体" w:cs="宋体"/>
          <w:i w:val="0"/>
          <w:iCs w:val="0"/>
          <w:color w:val="auto"/>
          <w:spacing w:val="-113"/>
          <w:sz w:val="24"/>
          <w:szCs w:val="24"/>
          <w:highlight w:val="none"/>
        </w:rPr>
        <w:t>》</w:t>
      </w:r>
      <w:r>
        <w:rPr>
          <w:rFonts w:hint="eastAsia" w:ascii="宋体" w:hAnsi="宋体" w:eastAsia="宋体" w:cs="宋体"/>
          <w:i w:val="0"/>
          <w:iCs w:val="0"/>
          <w:color w:val="auto"/>
          <w:spacing w:val="6"/>
          <w:sz w:val="24"/>
          <w:szCs w:val="24"/>
          <w:highlight w:val="none"/>
        </w:rPr>
        <w:t>，</w:t>
      </w:r>
      <w:r>
        <w:rPr>
          <w:rFonts w:hint="eastAsia" w:ascii="宋体" w:hAnsi="宋体" w:eastAsia="宋体" w:cs="宋体"/>
          <w:i w:val="0"/>
          <w:iCs w:val="0"/>
          <w:color w:val="auto"/>
          <w:spacing w:val="4"/>
          <w:sz w:val="24"/>
          <w:szCs w:val="24"/>
          <w:highlight w:val="none"/>
        </w:rPr>
        <w:t>为</w:t>
      </w:r>
      <w:r>
        <w:rPr>
          <w:rFonts w:hint="eastAsia" w:ascii="宋体" w:hAnsi="宋体" w:eastAsia="宋体" w:cs="宋体"/>
          <w:i w:val="0"/>
          <w:iCs w:val="0"/>
          <w:color w:val="auto"/>
          <w:spacing w:val="6"/>
          <w:sz w:val="24"/>
          <w:szCs w:val="24"/>
          <w:highlight w:val="none"/>
        </w:rPr>
        <w:t>保证在设计</w:t>
      </w:r>
      <w:r>
        <w:rPr>
          <w:rFonts w:hint="eastAsia" w:ascii="宋体" w:hAnsi="宋体" w:eastAsia="宋体" w:cs="宋体"/>
          <w:i w:val="0"/>
          <w:iCs w:val="0"/>
          <w:color w:val="auto"/>
          <w:spacing w:val="4"/>
          <w:sz w:val="24"/>
          <w:szCs w:val="24"/>
          <w:highlight w:val="none"/>
        </w:rPr>
        <w:t>使</w:t>
      </w:r>
      <w:r>
        <w:rPr>
          <w:rFonts w:hint="eastAsia" w:ascii="宋体" w:hAnsi="宋体" w:eastAsia="宋体" w:cs="宋体"/>
          <w:i w:val="0"/>
          <w:iCs w:val="0"/>
          <w:color w:val="auto"/>
          <w:spacing w:val="6"/>
          <w:sz w:val="24"/>
          <w:szCs w:val="24"/>
          <w:highlight w:val="none"/>
        </w:rPr>
        <w:t>用年</w:t>
      </w:r>
      <w:r>
        <w:rPr>
          <w:rFonts w:hint="eastAsia" w:ascii="宋体" w:hAnsi="宋体" w:eastAsia="宋体" w:cs="宋体"/>
          <w:i w:val="0"/>
          <w:iCs w:val="0"/>
          <w:color w:val="auto"/>
          <w:spacing w:val="4"/>
          <w:sz w:val="24"/>
          <w:szCs w:val="24"/>
          <w:highlight w:val="none"/>
        </w:rPr>
        <w:t>限</w:t>
      </w:r>
      <w:r>
        <w:rPr>
          <w:rFonts w:hint="eastAsia" w:ascii="宋体" w:hAnsi="宋体" w:eastAsia="宋体" w:cs="宋体"/>
          <w:i w:val="0"/>
          <w:iCs w:val="0"/>
          <w:color w:val="auto"/>
          <w:spacing w:val="6"/>
          <w:sz w:val="24"/>
          <w:szCs w:val="24"/>
          <w:highlight w:val="none"/>
        </w:rPr>
        <w:t>内建设工程</w:t>
      </w:r>
      <w:r>
        <w:rPr>
          <w:rFonts w:hint="eastAsia" w:ascii="宋体" w:hAnsi="宋体" w:eastAsia="宋体" w:cs="宋体"/>
          <w:i w:val="0"/>
          <w:iCs w:val="0"/>
          <w:color w:val="auto"/>
          <w:spacing w:val="4"/>
          <w:sz w:val="24"/>
          <w:szCs w:val="24"/>
          <w:highlight w:val="none"/>
        </w:rPr>
        <w:t>质量</w:t>
      </w:r>
      <w:r>
        <w:rPr>
          <w:rFonts w:hint="eastAsia" w:ascii="宋体" w:hAnsi="宋体" w:eastAsia="宋体" w:cs="宋体"/>
          <w:i w:val="0"/>
          <w:iCs w:val="0"/>
          <w:color w:val="auto"/>
          <w:sz w:val="24"/>
          <w:szCs w:val="24"/>
          <w:highlight w:val="none"/>
        </w:rPr>
        <w:t>， 项目</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工程的发包人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rPr>
        <w:t>以下称</w:t>
      </w:r>
      <w:r>
        <w:rPr>
          <w:rFonts w:hint="eastAsia" w:ascii="宋体" w:hAnsi="宋体" w:eastAsia="宋体" w:cs="宋体"/>
          <w:i w:val="0"/>
          <w:iCs w:val="0"/>
          <w:color w:val="auto"/>
          <w:spacing w:val="6"/>
          <w:sz w:val="24"/>
          <w:szCs w:val="24"/>
          <w:highlight w:val="none"/>
        </w:rPr>
        <w:t>甲方）与监理人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pacing w:val="-17"/>
          <w:sz w:val="24"/>
          <w:szCs w:val="24"/>
          <w:highlight w:val="none"/>
        </w:rPr>
        <w:t>以</w:t>
      </w:r>
      <w:r>
        <w:rPr>
          <w:rFonts w:hint="eastAsia" w:ascii="宋体" w:hAnsi="宋体" w:eastAsia="宋体" w:cs="宋体"/>
          <w:i w:val="0"/>
          <w:iCs w:val="0"/>
          <w:color w:val="auto"/>
          <w:sz w:val="24"/>
          <w:szCs w:val="24"/>
          <w:highlight w:val="none"/>
        </w:rPr>
        <w:t>下称乙</w:t>
      </w:r>
      <w:r>
        <w:rPr>
          <w:rFonts w:hint="eastAsia" w:ascii="宋体" w:hAnsi="宋体" w:eastAsia="宋体" w:cs="宋体"/>
          <w:i w:val="0"/>
          <w:iCs w:val="0"/>
          <w:color w:val="auto"/>
          <w:spacing w:val="6"/>
          <w:sz w:val="24"/>
          <w:szCs w:val="24"/>
          <w:highlight w:val="none"/>
        </w:rPr>
        <w:t>方），特订立如</w:t>
      </w:r>
      <w:r>
        <w:rPr>
          <w:rFonts w:hint="eastAsia" w:ascii="宋体" w:hAnsi="宋体" w:eastAsia="宋体" w:cs="宋体"/>
          <w:i w:val="0"/>
          <w:iCs w:val="0"/>
          <w:color w:val="auto"/>
          <w:sz w:val="24"/>
          <w:szCs w:val="24"/>
          <w:highlight w:val="none"/>
        </w:rPr>
        <w:t>下质量责任合同。</w:t>
      </w:r>
    </w:p>
    <w:p w14:paraId="5DD4EA54">
      <w:pPr>
        <w:pStyle w:val="3"/>
        <w:tabs>
          <w:tab w:val="left" w:pos="5941"/>
          <w:tab w:val="left" w:pos="6819"/>
        </w:tabs>
        <w:spacing w:before="5" w:line="360" w:lineRule="auto"/>
        <w:ind w:left="338" w:right="440" w:firstLine="434"/>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第一条</w:t>
      </w:r>
      <w:r>
        <w:rPr>
          <w:rFonts w:hint="eastAsia" w:ascii="宋体" w:hAnsi="宋体" w:eastAsia="宋体" w:cs="宋体"/>
          <w:b/>
          <w:i w:val="0"/>
          <w:iCs w:val="0"/>
          <w:color w:val="auto"/>
          <w:spacing w:val="120"/>
          <w:sz w:val="24"/>
          <w:szCs w:val="24"/>
          <w:highlight w:val="none"/>
        </w:rPr>
        <w:t xml:space="preserve"> </w:t>
      </w:r>
      <w:r>
        <w:rPr>
          <w:rFonts w:hint="eastAsia" w:ascii="宋体" w:hAnsi="宋体" w:eastAsia="宋体" w:cs="宋体"/>
          <w:i w:val="0"/>
          <w:iCs w:val="0"/>
          <w:color w:val="auto"/>
          <w:sz w:val="24"/>
          <w:szCs w:val="24"/>
          <w:highlight w:val="none"/>
        </w:rPr>
        <w:t>本建设项目的工程质量目标为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工程，监理人对本建设工程的监</w:t>
      </w:r>
      <w:r>
        <w:rPr>
          <w:rFonts w:hint="eastAsia" w:ascii="宋体" w:hAnsi="宋体" w:eastAsia="宋体" w:cs="宋体"/>
          <w:i w:val="0"/>
          <w:iCs w:val="0"/>
          <w:color w:val="auto"/>
          <w:spacing w:val="-17"/>
          <w:sz w:val="24"/>
          <w:szCs w:val="24"/>
          <w:highlight w:val="none"/>
        </w:rPr>
        <w:t>理</w:t>
      </w:r>
      <w:r>
        <w:rPr>
          <w:rFonts w:hint="eastAsia" w:ascii="宋体" w:hAnsi="宋体" w:eastAsia="宋体" w:cs="宋体"/>
          <w:i w:val="0"/>
          <w:iCs w:val="0"/>
          <w:color w:val="auto"/>
          <w:sz w:val="24"/>
          <w:szCs w:val="24"/>
          <w:highlight w:val="none"/>
        </w:rPr>
        <w:t>质量在设计使用年限内依法终身负责。监理责任人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w:t>
      </w:r>
    </w:p>
    <w:p w14:paraId="3484DEBF">
      <w:pPr>
        <w:spacing w:before="0" w:line="305" w:lineRule="exact"/>
        <w:ind w:left="773" w:right="0" w:firstLine="0"/>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第二条 </w:t>
      </w:r>
      <w:r>
        <w:rPr>
          <w:rFonts w:hint="eastAsia" w:ascii="宋体" w:hAnsi="宋体" w:eastAsia="宋体" w:cs="宋体"/>
          <w:i w:val="0"/>
          <w:iCs w:val="0"/>
          <w:color w:val="auto"/>
          <w:sz w:val="24"/>
          <w:szCs w:val="24"/>
          <w:highlight w:val="none"/>
        </w:rPr>
        <w:t>甲乙双方的权利和义务</w:t>
      </w:r>
    </w:p>
    <w:p w14:paraId="74C8BBDA">
      <w:pPr>
        <w:pStyle w:val="3"/>
        <w:spacing w:before="153"/>
        <w:ind w:left="77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（一）严格遵守国家有关法律法规及水利部的有关规定。</w:t>
      </w:r>
    </w:p>
    <w:p w14:paraId="484281E2">
      <w:pPr>
        <w:pStyle w:val="3"/>
        <w:spacing w:before="154"/>
        <w:ind w:left="77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（二）严格执行本工程合同协议书，自觉按协议书办事。</w:t>
      </w:r>
    </w:p>
    <w:p w14:paraId="6896A757">
      <w:pPr>
        <w:pStyle w:val="3"/>
        <w:spacing w:before="151" w:line="360" w:lineRule="auto"/>
        <w:ind w:left="338" w:right="441" w:firstLine="43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（三</w:t>
      </w:r>
      <w:r>
        <w:rPr>
          <w:rFonts w:hint="eastAsia" w:ascii="宋体" w:hAnsi="宋体" w:eastAsia="宋体" w:cs="宋体"/>
          <w:i w:val="0"/>
          <w:iCs w:val="0"/>
          <w:color w:val="auto"/>
          <w:spacing w:val="-70"/>
          <w:sz w:val="24"/>
          <w:szCs w:val="24"/>
          <w:highlight w:val="none"/>
        </w:rPr>
        <w:t>）</w:t>
      </w:r>
      <w:r>
        <w:rPr>
          <w:rFonts w:hint="eastAsia" w:ascii="宋体" w:hAnsi="宋体" w:eastAsia="宋体" w:cs="宋体"/>
          <w:i w:val="0"/>
          <w:iCs w:val="0"/>
          <w:color w:val="auto"/>
          <w:spacing w:val="-15"/>
          <w:sz w:val="24"/>
          <w:szCs w:val="24"/>
          <w:highlight w:val="none"/>
        </w:rPr>
        <w:t>双方的施工监理业务活动坚持科学、公正、诚信、平等的原则，不得损害国家、</w:t>
      </w:r>
      <w:r>
        <w:rPr>
          <w:rFonts w:hint="eastAsia" w:ascii="宋体" w:hAnsi="宋体" w:eastAsia="宋体" w:cs="宋体"/>
          <w:i w:val="0"/>
          <w:iCs w:val="0"/>
          <w:color w:val="auto"/>
          <w:sz w:val="24"/>
          <w:szCs w:val="24"/>
          <w:highlight w:val="none"/>
        </w:rPr>
        <w:t>集体的利益，不得违反工程建设管理规章制度。</w:t>
      </w:r>
    </w:p>
    <w:p w14:paraId="767E139A">
      <w:pPr>
        <w:pStyle w:val="3"/>
        <w:spacing w:line="357" w:lineRule="auto"/>
        <w:ind w:left="338" w:right="446" w:firstLine="43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（四</w:t>
      </w:r>
      <w:r>
        <w:rPr>
          <w:rFonts w:hint="eastAsia" w:ascii="宋体" w:hAnsi="宋体" w:eastAsia="宋体" w:cs="宋体"/>
          <w:i w:val="0"/>
          <w:iCs w:val="0"/>
          <w:color w:val="auto"/>
          <w:spacing w:val="-39"/>
          <w:sz w:val="24"/>
          <w:szCs w:val="24"/>
          <w:highlight w:val="none"/>
        </w:rPr>
        <w:t>）</w:t>
      </w:r>
      <w:r>
        <w:rPr>
          <w:rFonts w:hint="eastAsia" w:ascii="宋体" w:hAnsi="宋体" w:eastAsia="宋体" w:cs="宋体"/>
          <w:i w:val="0"/>
          <w:iCs w:val="0"/>
          <w:color w:val="auto"/>
          <w:spacing w:val="-6"/>
          <w:sz w:val="24"/>
          <w:szCs w:val="24"/>
          <w:highlight w:val="none"/>
        </w:rPr>
        <w:t>发现对方在施工监理业务活动中，有违反有关规定的行为，有及时提醒对方纠</w:t>
      </w:r>
      <w:r>
        <w:rPr>
          <w:rFonts w:hint="eastAsia" w:ascii="宋体" w:hAnsi="宋体" w:eastAsia="宋体" w:cs="宋体"/>
          <w:i w:val="0"/>
          <w:iCs w:val="0"/>
          <w:color w:val="auto"/>
          <w:sz w:val="24"/>
          <w:szCs w:val="24"/>
          <w:highlight w:val="none"/>
        </w:rPr>
        <w:t>正的权利和义务。</w:t>
      </w:r>
    </w:p>
    <w:p w14:paraId="770B512B">
      <w:pPr>
        <w:pStyle w:val="3"/>
        <w:spacing w:before="2" w:line="360" w:lineRule="auto"/>
        <w:ind w:left="338" w:right="446" w:firstLine="43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（五</w:t>
      </w:r>
      <w:r>
        <w:rPr>
          <w:rFonts w:hint="eastAsia" w:ascii="宋体" w:hAnsi="宋体" w:eastAsia="宋体" w:cs="宋体"/>
          <w:i w:val="0"/>
          <w:iCs w:val="0"/>
          <w:color w:val="auto"/>
          <w:spacing w:val="-39"/>
          <w:sz w:val="24"/>
          <w:szCs w:val="24"/>
          <w:highlight w:val="none"/>
        </w:rPr>
        <w:t>）</w:t>
      </w:r>
      <w:r>
        <w:rPr>
          <w:rFonts w:hint="eastAsia" w:ascii="宋体" w:hAnsi="宋体" w:eastAsia="宋体" w:cs="宋体"/>
          <w:i w:val="0"/>
          <w:iCs w:val="0"/>
          <w:color w:val="auto"/>
          <w:spacing w:val="-6"/>
          <w:sz w:val="24"/>
          <w:szCs w:val="24"/>
          <w:highlight w:val="none"/>
        </w:rPr>
        <w:t>发现对方严重违反监理合同文件的行为，有向其上级有关部门举报，建议给予</w:t>
      </w:r>
      <w:r>
        <w:rPr>
          <w:rFonts w:hint="eastAsia" w:ascii="宋体" w:hAnsi="宋体" w:eastAsia="宋体" w:cs="宋体"/>
          <w:i w:val="0"/>
          <w:iCs w:val="0"/>
          <w:color w:val="auto"/>
          <w:sz w:val="24"/>
          <w:szCs w:val="24"/>
          <w:highlight w:val="none"/>
        </w:rPr>
        <w:t>处理并要求告知处理结果的权利。</w:t>
      </w:r>
    </w:p>
    <w:p w14:paraId="2A3F9352">
      <w:pPr>
        <w:tabs>
          <w:tab w:val="left" w:pos="1737"/>
        </w:tabs>
        <w:spacing w:before="0" w:line="304" w:lineRule="exact"/>
        <w:ind w:left="773"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第三条</w:t>
      </w:r>
      <w:r>
        <w:rPr>
          <w:rFonts w:hint="eastAsia" w:ascii="宋体" w:hAnsi="宋体" w:eastAsia="宋体" w:cs="宋体"/>
          <w:b/>
          <w:i w:val="0"/>
          <w:iCs w:val="0"/>
          <w:color w:val="auto"/>
          <w:sz w:val="24"/>
          <w:szCs w:val="24"/>
          <w:highlight w:val="none"/>
        </w:rPr>
        <w:tab/>
      </w:r>
      <w:r>
        <w:rPr>
          <w:rFonts w:hint="eastAsia" w:ascii="宋体" w:hAnsi="宋体" w:eastAsia="宋体" w:cs="宋体"/>
          <w:i w:val="0"/>
          <w:iCs w:val="0"/>
          <w:color w:val="auto"/>
          <w:sz w:val="24"/>
          <w:szCs w:val="24"/>
          <w:highlight w:val="none"/>
        </w:rPr>
        <w:t>甲方的义务</w:t>
      </w:r>
    </w:p>
    <w:p w14:paraId="4F39C816">
      <w:pPr>
        <w:pStyle w:val="3"/>
        <w:spacing w:before="2" w:line="360" w:lineRule="auto"/>
        <w:ind w:left="338" w:right="446" w:firstLine="434"/>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sz w:val="24"/>
          <w:szCs w:val="24"/>
          <w:highlight w:val="none"/>
        </w:rPr>
        <w:t>（一）甲方向乙方及时提供与承包人签订的施工合同文件及有关资料（包括技术规范、工程量清单、施工图等）。</w:t>
      </w:r>
    </w:p>
    <w:p w14:paraId="65708931">
      <w:pPr>
        <w:pStyle w:val="3"/>
        <w:spacing w:before="2" w:line="360" w:lineRule="auto"/>
        <w:ind w:left="338" w:right="446" w:firstLine="43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6"/>
          <w:sz w:val="24"/>
          <w:szCs w:val="24"/>
          <w:highlight w:val="none"/>
        </w:rPr>
        <w:t>（二）甲方不得指使</w:t>
      </w:r>
      <w:r>
        <w:rPr>
          <w:rFonts w:hint="eastAsia" w:ascii="宋体" w:hAnsi="宋体" w:eastAsia="宋体" w:cs="宋体"/>
          <w:i w:val="0"/>
          <w:iCs w:val="0"/>
          <w:color w:val="auto"/>
          <w:spacing w:val="-7"/>
          <w:sz w:val="24"/>
          <w:szCs w:val="24"/>
          <w:highlight w:val="none"/>
        </w:rPr>
        <w:t>乙方不按法律、法规、工程建设强制性标准和监理规范进行现场</w:t>
      </w:r>
      <w:r>
        <w:rPr>
          <w:rFonts w:hint="eastAsia" w:ascii="宋体" w:hAnsi="宋体" w:eastAsia="宋体" w:cs="宋体"/>
          <w:i w:val="0"/>
          <w:iCs w:val="0"/>
          <w:color w:val="auto"/>
          <w:sz w:val="24"/>
          <w:szCs w:val="24"/>
          <w:highlight w:val="none"/>
        </w:rPr>
        <w:t>监理。</w:t>
      </w:r>
    </w:p>
    <w:p w14:paraId="30050E2B">
      <w:pPr>
        <w:pStyle w:val="3"/>
        <w:spacing w:before="2" w:line="360" w:lineRule="auto"/>
        <w:ind w:left="338" w:right="446" w:firstLine="434"/>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z w:val="24"/>
          <w:szCs w:val="24"/>
          <w:highlight w:val="none"/>
        </w:rPr>
        <w:t>（三</w:t>
      </w:r>
      <w:r>
        <w:rPr>
          <w:rFonts w:hint="eastAsia" w:ascii="宋体" w:hAnsi="宋体" w:eastAsia="宋体" w:cs="宋体"/>
          <w:i w:val="0"/>
          <w:iCs w:val="0"/>
          <w:color w:val="auto"/>
          <w:spacing w:val="-39"/>
          <w:sz w:val="24"/>
          <w:szCs w:val="24"/>
          <w:highlight w:val="none"/>
        </w:rPr>
        <w:t>）</w:t>
      </w:r>
      <w:r>
        <w:rPr>
          <w:rFonts w:hint="eastAsia" w:ascii="宋体" w:hAnsi="宋体" w:eastAsia="宋体" w:cs="宋体"/>
          <w:i w:val="0"/>
          <w:iCs w:val="0"/>
          <w:color w:val="auto"/>
          <w:spacing w:val="-5"/>
          <w:sz w:val="24"/>
          <w:szCs w:val="24"/>
          <w:highlight w:val="none"/>
        </w:rPr>
        <w:t>甲方应</w:t>
      </w:r>
      <w:r>
        <w:rPr>
          <w:rFonts w:hint="eastAsia" w:ascii="宋体" w:hAnsi="宋体" w:eastAsia="宋体" w:cs="宋体"/>
          <w:i w:val="0"/>
          <w:iCs w:val="0"/>
          <w:color w:val="auto"/>
          <w:spacing w:val="-6"/>
          <w:sz w:val="24"/>
          <w:szCs w:val="24"/>
          <w:highlight w:val="none"/>
        </w:rPr>
        <w:t>按施工监理合同的约定支付监理服务费，除施工监理合同的约定外，甲方不得以任何借口克扣监理服务费或拖延监理服务费的支付。</w:t>
      </w:r>
    </w:p>
    <w:p w14:paraId="22882796">
      <w:pPr>
        <w:pStyle w:val="3"/>
        <w:spacing w:before="2" w:line="360" w:lineRule="auto"/>
        <w:ind w:left="338" w:right="446" w:firstLine="434"/>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sz w:val="24"/>
          <w:szCs w:val="24"/>
          <w:highlight w:val="none"/>
        </w:rPr>
        <w:t>（四）甲方不得明示或暗示向乙方推荐单位或个人承包或分包本工程的施工监理任务。</w:t>
      </w:r>
    </w:p>
    <w:p w14:paraId="70BBF9BD">
      <w:pPr>
        <w:pStyle w:val="3"/>
        <w:spacing w:before="2" w:line="360" w:lineRule="auto"/>
        <w:ind w:left="338" w:right="446" w:firstLine="434"/>
        <w:rPr>
          <w:rFonts w:hint="eastAsia" w:ascii="宋体" w:hAnsi="宋体" w:eastAsia="宋体" w:cs="宋体"/>
          <w:i w:val="0"/>
          <w:iCs w:val="0"/>
          <w:color w:val="auto"/>
          <w:spacing w:val="-18"/>
          <w:sz w:val="24"/>
          <w:szCs w:val="24"/>
          <w:highlight w:val="none"/>
        </w:rPr>
      </w:pPr>
      <w:r>
        <w:rPr>
          <w:rFonts w:hint="eastAsia" w:ascii="宋体" w:hAnsi="宋体" w:eastAsia="宋体" w:cs="宋体"/>
          <w:i w:val="0"/>
          <w:iCs w:val="0"/>
          <w:color w:val="auto"/>
          <w:spacing w:val="-6"/>
          <w:sz w:val="24"/>
          <w:szCs w:val="24"/>
          <w:highlight w:val="none"/>
        </w:rPr>
        <w:t>（五）甲方不得以任何理由索取回扣或其它</w:t>
      </w:r>
      <w:r>
        <w:rPr>
          <w:rFonts w:hint="eastAsia" w:ascii="宋体" w:hAnsi="宋体" w:eastAsia="宋体" w:cs="宋体"/>
          <w:i w:val="0"/>
          <w:iCs w:val="0"/>
          <w:color w:val="auto"/>
          <w:sz w:val="24"/>
          <w:szCs w:val="24"/>
          <w:highlight w:val="none"/>
        </w:rPr>
        <w:t>好处</w:t>
      </w:r>
      <w:r>
        <w:rPr>
          <w:rFonts w:hint="eastAsia" w:ascii="宋体" w:hAnsi="宋体" w:eastAsia="宋体" w:cs="宋体"/>
          <w:i w:val="0"/>
          <w:iCs w:val="0"/>
          <w:color w:val="auto"/>
          <w:spacing w:val="-18"/>
          <w:sz w:val="24"/>
          <w:szCs w:val="24"/>
          <w:highlight w:val="none"/>
        </w:rPr>
        <w:t>。</w:t>
      </w:r>
    </w:p>
    <w:p w14:paraId="72399CFE">
      <w:pPr>
        <w:pStyle w:val="3"/>
        <w:spacing w:before="2" w:line="360" w:lineRule="auto"/>
        <w:ind w:left="338" w:right="446" w:firstLine="434"/>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第四条</w:t>
      </w:r>
      <w:r>
        <w:rPr>
          <w:rFonts w:hint="eastAsia" w:ascii="宋体" w:hAnsi="宋体" w:eastAsia="宋体" w:cs="宋体"/>
          <w:b/>
          <w:i w:val="0"/>
          <w:iCs w:val="0"/>
          <w:color w:val="auto"/>
          <w:sz w:val="24"/>
          <w:szCs w:val="24"/>
          <w:highlight w:val="none"/>
        </w:rPr>
        <w:tab/>
      </w:r>
      <w:r>
        <w:rPr>
          <w:rFonts w:hint="eastAsia" w:ascii="宋体" w:hAnsi="宋体" w:eastAsia="宋体" w:cs="宋体"/>
          <w:i w:val="0"/>
          <w:iCs w:val="0"/>
          <w:color w:val="auto"/>
          <w:sz w:val="24"/>
          <w:szCs w:val="24"/>
          <w:highlight w:val="none"/>
        </w:rPr>
        <w:t>乙方的义务</w:t>
      </w:r>
    </w:p>
    <w:p w14:paraId="5669DA35">
      <w:pPr>
        <w:pStyle w:val="3"/>
        <w:spacing w:before="3"/>
        <w:ind w:left="77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（一）乙方应具备与本工程相应等级的监理资质证书。</w:t>
      </w:r>
    </w:p>
    <w:p w14:paraId="37FCD9E7">
      <w:pPr>
        <w:pStyle w:val="3"/>
        <w:spacing w:before="153" w:line="357" w:lineRule="auto"/>
        <w:ind w:left="338" w:right="444" w:firstLine="43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w:t>
      </w:r>
      <w:r>
        <w:rPr>
          <w:rFonts w:hint="eastAsia" w:ascii="宋体" w:hAnsi="宋体" w:eastAsia="宋体" w:cs="宋体"/>
          <w:i w:val="0"/>
          <w:iCs w:val="0"/>
          <w:color w:val="auto"/>
          <w:spacing w:val="-58"/>
          <w:sz w:val="24"/>
          <w:szCs w:val="24"/>
          <w:highlight w:val="none"/>
        </w:rPr>
        <w:t>）</w:t>
      </w:r>
      <w:r>
        <w:rPr>
          <w:rFonts w:hint="eastAsia" w:ascii="宋体" w:hAnsi="宋体" w:eastAsia="宋体" w:cs="宋体"/>
          <w:i w:val="0"/>
          <w:iCs w:val="0"/>
          <w:color w:val="auto"/>
          <w:spacing w:val="-3"/>
          <w:sz w:val="24"/>
          <w:szCs w:val="24"/>
          <w:highlight w:val="none"/>
        </w:rPr>
        <w:t>乙方不得允许其它单位或个人以乙方的名义承揽本工程的施工监理任务，不得</w:t>
      </w:r>
      <w:r>
        <w:rPr>
          <w:rFonts w:hint="eastAsia" w:ascii="宋体" w:hAnsi="宋体" w:eastAsia="宋体" w:cs="宋体"/>
          <w:i w:val="0"/>
          <w:iCs w:val="0"/>
          <w:color w:val="auto"/>
          <w:sz w:val="24"/>
          <w:szCs w:val="24"/>
          <w:highlight w:val="none"/>
        </w:rPr>
        <w:t>转包或违法分包所承揽的本工程的施工监理任务。</w:t>
      </w:r>
    </w:p>
    <w:p w14:paraId="66FDF947">
      <w:pPr>
        <w:pStyle w:val="3"/>
        <w:spacing w:before="43" w:line="360" w:lineRule="auto"/>
        <w:ind w:left="338" w:right="446" w:firstLine="43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（三</w:t>
      </w:r>
      <w:r>
        <w:rPr>
          <w:rFonts w:hint="eastAsia" w:ascii="宋体" w:hAnsi="宋体" w:eastAsia="宋体" w:cs="宋体"/>
          <w:i w:val="0"/>
          <w:iCs w:val="0"/>
          <w:color w:val="auto"/>
          <w:spacing w:val="-39"/>
          <w:sz w:val="24"/>
          <w:szCs w:val="24"/>
          <w:highlight w:val="none"/>
        </w:rPr>
        <w:t>）</w:t>
      </w:r>
      <w:r>
        <w:rPr>
          <w:rFonts w:hint="eastAsia" w:ascii="宋体" w:hAnsi="宋体" w:eastAsia="宋体" w:cs="宋体"/>
          <w:i w:val="0"/>
          <w:iCs w:val="0"/>
          <w:color w:val="auto"/>
          <w:spacing w:val="-6"/>
          <w:sz w:val="24"/>
          <w:szCs w:val="24"/>
          <w:highlight w:val="none"/>
        </w:rPr>
        <w:t>乙方必须严格履行施工监理合同，按投标承诺的监理人员及时到位。监理人员</w:t>
      </w:r>
      <w:r>
        <w:rPr>
          <w:rFonts w:hint="eastAsia" w:ascii="宋体" w:hAnsi="宋体" w:eastAsia="宋体" w:cs="宋体"/>
          <w:i w:val="0"/>
          <w:iCs w:val="0"/>
          <w:color w:val="auto"/>
          <w:sz w:val="24"/>
          <w:szCs w:val="24"/>
          <w:highlight w:val="none"/>
        </w:rPr>
        <w:t>不能擅自调换，如有特殊原因确需调换的，须经甲方书面同意方能换人。</w:t>
      </w:r>
    </w:p>
    <w:p w14:paraId="72A78BA1">
      <w:pPr>
        <w:pStyle w:val="3"/>
        <w:spacing w:line="360" w:lineRule="auto"/>
        <w:ind w:left="338" w:right="442" w:firstLine="434"/>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（四</w:t>
      </w:r>
      <w:r>
        <w:rPr>
          <w:rFonts w:hint="eastAsia" w:ascii="宋体" w:hAnsi="宋体" w:eastAsia="宋体" w:cs="宋体"/>
          <w:i w:val="0"/>
          <w:iCs w:val="0"/>
          <w:color w:val="auto"/>
          <w:spacing w:val="-17"/>
          <w:sz w:val="24"/>
          <w:szCs w:val="24"/>
          <w:highlight w:val="none"/>
        </w:rPr>
        <w:t>）</w:t>
      </w:r>
      <w:r>
        <w:rPr>
          <w:rFonts w:hint="eastAsia" w:ascii="宋体" w:hAnsi="宋体" w:eastAsia="宋体" w:cs="宋体"/>
          <w:i w:val="0"/>
          <w:iCs w:val="0"/>
          <w:color w:val="auto"/>
          <w:spacing w:val="-10"/>
          <w:sz w:val="24"/>
          <w:szCs w:val="24"/>
          <w:highlight w:val="none"/>
        </w:rPr>
        <w:t>乙方必须按照“严格监理、热情服务、秉公办事、一丝不苟”的原则，认真贯</w:t>
      </w:r>
      <w:r>
        <w:rPr>
          <w:rFonts w:hint="eastAsia" w:ascii="宋体" w:hAnsi="宋体" w:eastAsia="宋体" w:cs="宋体"/>
          <w:i w:val="0"/>
          <w:iCs w:val="0"/>
          <w:color w:val="auto"/>
          <w:sz w:val="24"/>
          <w:szCs w:val="24"/>
          <w:highlight w:val="none"/>
        </w:rPr>
        <w:t>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14:paraId="0027866C">
      <w:pPr>
        <w:pStyle w:val="3"/>
        <w:spacing w:line="360" w:lineRule="auto"/>
        <w:ind w:left="338" w:right="444" w:firstLine="43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（五</w:t>
      </w:r>
      <w:r>
        <w:rPr>
          <w:rFonts w:hint="eastAsia" w:ascii="宋体" w:hAnsi="宋体" w:eastAsia="宋体" w:cs="宋体"/>
          <w:i w:val="0"/>
          <w:iCs w:val="0"/>
          <w:color w:val="auto"/>
          <w:spacing w:val="-39"/>
          <w:sz w:val="24"/>
          <w:szCs w:val="24"/>
          <w:highlight w:val="none"/>
        </w:rPr>
        <w:t>）</w:t>
      </w:r>
      <w:r>
        <w:rPr>
          <w:rFonts w:hint="eastAsia" w:ascii="宋体" w:hAnsi="宋体" w:eastAsia="宋体" w:cs="宋体"/>
          <w:i w:val="0"/>
          <w:iCs w:val="0"/>
          <w:color w:val="auto"/>
          <w:spacing w:val="-9"/>
          <w:sz w:val="24"/>
          <w:szCs w:val="24"/>
          <w:highlight w:val="none"/>
        </w:rPr>
        <w:t>乙方与甲方、承包人或指定分包人之间有关工程质量、进度和费用的一切往来</w:t>
      </w:r>
      <w:r>
        <w:rPr>
          <w:rFonts w:hint="eastAsia" w:ascii="宋体" w:hAnsi="宋体" w:eastAsia="宋体" w:cs="宋体"/>
          <w:i w:val="0"/>
          <w:iCs w:val="0"/>
          <w:color w:val="auto"/>
          <w:sz w:val="24"/>
          <w:szCs w:val="24"/>
          <w:highlight w:val="none"/>
        </w:rPr>
        <w:t>函件、报表均应分类编号归档保存；监理资料应真实、完整。</w:t>
      </w:r>
    </w:p>
    <w:p w14:paraId="39BA4C21">
      <w:pPr>
        <w:tabs>
          <w:tab w:val="left" w:pos="1737"/>
        </w:tabs>
        <w:spacing w:before="0" w:line="305" w:lineRule="exact"/>
        <w:ind w:left="773" w:right="0" w:firstLine="0"/>
        <w:jc w:val="left"/>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第五条</w:t>
      </w:r>
      <w:r>
        <w:rPr>
          <w:rFonts w:hint="eastAsia" w:ascii="宋体" w:hAnsi="宋体" w:eastAsia="宋体" w:cs="宋体"/>
          <w:b/>
          <w:i w:val="0"/>
          <w:iCs w:val="0"/>
          <w:color w:val="auto"/>
          <w:sz w:val="24"/>
          <w:szCs w:val="24"/>
          <w:highlight w:val="none"/>
        </w:rPr>
        <w:tab/>
      </w:r>
      <w:r>
        <w:rPr>
          <w:rFonts w:hint="eastAsia" w:ascii="宋体" w:hAnsi="宋体" w:eastAsia="宋体" w:cs="宋体"/>
          <w:i w:val="0"/>
          <w:iCs w:val="0"/>
          <w:color w:val="auto"/>
          <w:sz w:val="24"/>
          <w:szCs w:val="24"/>
          <w:highlight w:val="none"/>
        </w:rPr>
        <w:t>违约责任</w:t>
      </w:r>
    </w:p>
    <w:p w14:paraId="5985CAC0">
      <w:pPr>
        <w:pStyle w:val="3"/>
        <w:spacing w:before="145" w:line="357" w:lineRule="auto"/>
        <w:ind w:left="338" w:right="441" w:firstLine="434"/>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w:t>
      </w:r>
      <w:r>
        <w:rPr>
          <w:rFonts w:hint="eastAsia" w:ascii="宋体" w:hAnsi="宋体" w:eastAsia="宋体" w:cs="宋体"/>
          <w:i w:val="0"/>
          <w:iCs w:val="0"/>
          <w:color w:val="auto"/>
          <w:spacing w:val="-22"/>
          <w:sz w:val="24"/>
          <w:szCs w:val="24"/>
          <w:highlight w:val="none"/>
        </w:rPr>
        <w:t>）</w:t>
      </w:r>
      <w:r>
        <w:rPr>
          <w:rFonts w:hint="eastAsia" w:ascii="宋体" w:hAnsi="宋体" w:eastAsia="宋体" w:cs="宋体"/>
          <w:i w:val="0"/>
          <w:iCs w:val="0"/>
          <w:color w:val="auto"/>
          <w:spacing w:val="-7"/>
          <w:sz w:val="24"/>
          <w:szCs w:val="24"/>
          <w:highlight w:val="none"/>
        </w:rPr>
        <w:t>甲方及其工作人员违反本合同第二、三条，按管理权限，依据国务院《建设工</w:t>
      </w:r>
      <w:r>
        <w:rPr>
          <w:rFonts w:hint="eastAsia" w:ascii="宋体" w:hAnsi="宋体" w:eastAsia="宋体" w:cs="宋体"/>
          <w:i w:val="0"/>
          <w:iCs w:val="0"/>
          <w:color w:val="auto"/>
          <w:sz w:val="24"/>
          <w:szCs w:val="24"/>
          <w:highlight w:val="none"/>
        </w:rPr>
        <w:t>程质量管理条例》有关规定给予相应的处罚；涉嫌犯罪的，依法追究刑事责任；给乙方单位造成经济损失的，应予以赔偿。</w:t>
      </w:r>
    </w:p>
    <w:p w14:paraId="367FFDC7">
      <w:pPr>
        <w:pStyle w:val="3"/>
        <w:spacing w:before="6" w:line="360" w:lineRule="auto"/>
        <w:ind w:left="338" w:right="441" w:firstLine="434"/>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w:t>
      </w:r>
      <w:r>
        <w:rPr>
          <w:rFonts w:hint="eastAsia" w:ascii="宋体" w:hAnsi="宋体" w:eastAsia="宋体" w:cs="宋体"/>
          <w:i w:val="0"/>
          <w:iCs w:val="0"/>
          <w:color w:val="auto"/>
          <w:spacing w:val="-22"/>
          <w:sz w:val="24"/>
          <w:szCs w:val="24"/>
          <w:highlight w:val="none"/>
        </w:rPr>
        <w:t>）</w:t>
      </w:r>
      <w:r>
        <w:rPr>
          <w:rFonts w:hint="eastAsia" w:ascii="宋体" w:hAnsi="宋体" w:eastAsia="宋体" w:cs="宋体"/>
          <w:i w:val="0"/>
          <w:iCs w:val="0"/>
          <w:color w:val="auto"/>
          <w:spacing w:val="-7"/>
          <w:sz w:val="24"/>
          <w:szCs w:val="24"/>
          <w:highlight w:val="none"/>
        </w:rPr>
        <w:t>乙方及其工作人员违反本合同第二、四条，按管理权限，依国务院《建设工程</w:t>
      </w:r>
      <w:r>
        <w:rPr>
          <w:rFonts w:hint="eastAsia" w:ascii="宋体" w:hAnsi="宋体" w:eastAsia="宋体" w:cs="宋体"/>
          <w:i w:val="0"/>
          <w:iCs w:val="0"/>
          <w:color w:val="auto"/>
          <w:sz w:val="24"/>
          <w:szCs w:val="24"/>
          <w:highlight w:val="none"/>
        </w:rPr>
        <w:t>质量管理条例》有关规定给予相应的处罚；涉嫌犯罪的，依法追究刑事责任；给甲方单位造成经济损失的，应予以赔偿。</w:t>
      </w:r>
    </w:p>
    <w:p w14:paraId="2A85C66A">
      <w:pPr>
        <w:pStyle w:val="3"/>
        <w:spacing w:line="360" w:lineRule="auto"/>
        <w:ind w:left="773" w:right="201"/>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第六条 </w:t>
      </w:r>
      <w:r>
        <w:rPr>
          <w:rFonts w:hint="eastAsia" w:ascii="宋体" w:hAnsi="宋体" w:eastAsia="宋体" w:cs="宋体"/>
          <w:i w:val="0"/>
          <w:iCs w:val="0"/>
          <w:color w:val="auto"/>
          <w:sz w:val="24"/>
          <w:szCs w:val="24"/>
          <w:highlight w:val="none"/>
        </w:rPr>
        <w:t>本合同有效期 为甲乙双方自签署之日起至该工程项目设计使用年限之日止。</w:t>
      </w:r>
    </w:p>
    <w:p w14:paraId="0346B4C1">
      <w:pPr>
        <w:pStyle w:val="3"/>
        <w:spacing w:line="360" w:lineRule="auto"/>
        <w:ind w:left="773" w:right="201"/>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第七条 </w:t>
      </w:r>
      <w:r>
        <w:rPr>
          <w:rFonts w:hint="eastAsia" w:ascii="宋体" w:hAnsi="宋体" w:eastAsia="宋体" w:cs="宋体"/>
          <w:i w:val="0"/>
          <w:iCs w:val="0"/>
          <w:color w:val="auto"/>
          <w:sz w:val="24"/>
          <w:szCs w:val="24"/>
          <w:highlight w:val="none"/>
        </w:rPr>
        <w:t>本合同作为本工程合同协议书的附件。</w:t>
      </w:r>
    </w:p>
    <w:p w14:paraId="48062E81">
      <w:pPr>
        <w:pStyle w:val="3"/>
        <w:spacing w:line="304" w:lineRule="exact"/>
        <w:ind w:left="773"/>
        <w:jc w:val="both"/>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第八条 </w:t>
      </w:r>
      <w:r>
        <w:rPr>
          <w:rFonts w:hint="eastAsia" w:ascii="宋体" w:hAnsi="宋体" w:eastAsia="宋体" w:cs="宋体"/>
          <w:i w:val="0"/>
          <w:iCs w:val="0"/>
          <w:color w:val="auto"/>
          <w:sz w:val="24"/>
          <w:szCs w:val="24"/>
          <w:highlight w:val="none"/>
        </w:rPr>
        <w:t>本合同甲、乙双方各执一份，送交双方监督单位一份。</w:t>
      </w:r>
    </w:p>
    <w:p w14:paraId="1261AFB9">
      <w:pPr>
        <w:pStyle w:val="3"/>
        <w:spacing w:before="8"/>
        <w:rPr>
          <w:rFonts w:hint="eastAsia" w:ascii="宋体" w:hAnsi="宋体" w:eastAsia="宋体" w:cs="宋体"/>
          <w:i w:val="0"/>
          <w:iCs w:val="0"/>
          <w:color w:val="auto"/>
          <w:sz w:val="24"/>
          <w:szCs w:val="24"/>
          <w:highlight w:val="none"/>
        </w:rPr>
      </w:pPr>
    </w:p>
    <w:p w14:paraId="28595D07">
      <w:pPr>
        <w:pStyle w:val="3"/>
        <w:tabs>
          <w:tab w:val="left" w:pos="4296"/>
          <w:tab w:val="left" w:pos="5526"/>
          <w:tab w:val="left" w:pos="9064"/>
        </w:tabs>
        <w:spacing w:line="357" w:lineRule="auto"/>
        <w:ind w:left="758" w:right="4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甲方单位</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（盖章）</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乙方单位</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pacing w:val="-18"/>
          <w:sz w:val="24"/>
          <w:szCs w:val="24"/>
          <w:highlight w:val="none"/>
          <w:u w:val="single"/>
        </w:rPr>
        <w:t>盖</w:t>
      </w:r>
      <w:r>
        <w:rPr>
          <w:rFonts w:hint="eastAsia" w:ascii="宋体" w:hAnsi="宋体" w:eastAsia="宋体" w:cs="宋体"/>
          <w:i w:val="0"/>
          <w:iCs w:val="0"/>
          <w:color w:val="auto"/>
          <w:sz w:val="24"/>
          <w:szCs w:val="24"/>
          <w:highlight w:val="none"/>
          <w:u w:val="single"/>
        </w:rPr>
        <w:t>章）</w:t>
      </w:r>
    </w:p>
    <w:p w14:paraId="0B937E83">
      <w:pPr>
        <w:pStyle w:val="3"/>
        <w:tabs>
          <w:tab w:val="left" w:pos="5799"/>
        </w:tabs>
        <w:spacing w:before="4"/>
        <w:ind w:left="75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法定代表人或</w:t>
      </w:r>
    </w:p>
    <w:p w14:paraId="00D04A67">
      <w:pPr>
        <w:pStyle w:val="3"/>
        <w:tabs>
          <w:tab w:val="left" w:pos="4392"/>
          <w:tab w:val="left" w:pos="5670"/>
          <w:tab w:val="left" w:pos="9064"/>
        </w:tabs>
        <w:spacing w:before="153" w:line="357" w:lineRule="auto"/>
        <w:ind w:left="758" w:right="4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其授权的代理人</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（签名）</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其授权的代理人</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pacing w:val="-18"/>
          <w:sz w:val="24"/>
          <w:szCs w:val="24"/>
          <w:highlight w:val="none"/>
          <w:u w:val="single"/>
        </w:rPr>
        <w:t>签</w:t>
      </w:r>
      <w:r>
        <w:rPr>
          <w:rFonts w:hint="eastAsia" w:ascii="宋体" w:hAnsi="宋体" w:eastAsia="宋体" w:cs="宋体"/>
          <w:i w:val="0"/>
          <w:iCs w:val="0"/>
          <w:color w:val="auto"/>
          <w:sz w:val="24"/>
          <w:szCs w:val="24"/>
          <w:highlight w:val="none"/>
          <w:u w:val="single"/>
        </w:rPr>
        <w:t>名）</w:t>
      </w:r>
    </w:p>
    <w:p w14:paraId="6A4118FF">
      <w:pPr>
        <w:pStyle w:val="3"/>
        <w:tabs>
          <w:tab w:val="left" w:pos="5494"/>
          <w:tab w:val="left" w:pos="5799"/>
          <w:tab w:val="left" w:pos="9596"/>
        </w:tabs>
        <w:spacing w:before="3" w:line="360" w:lineRule="auto"/>
        <w:ind w:left="758" w:right="38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p>
    <w:p w14:paraId="5EF10C53">
      <w:pPr>
        <w:pStyle w:val="3"/>
        <w:tabs>
          <w:tab w:val="left" w:pos="2498"/>
          <w:tab w:val="left" w:pos="3219"/>
          <w:tab w:val="left" w:pos="3939"/>
          <w:tab w:val="left" w:pos="5979"/>
          <w:tab w:val="left" w:pos="7539"/>
          <w:tab w:val="left" w:pos="8260"/>
          <w:tab w:val="left" w:pos="8980"/>
        </w:tabs>
        <w:spacing w:line="304" w:lineRule="exact"/>
        <w:ind w:left="93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日</w:t>
      </w:r>
    </w:p>
    <w:p w14:paraId="7DBC1946">
      <w:pPr>
        <w:spacing w:after="0" w:line="304" w:lineRule="exact"/>
        <w:rPr>
          <w:rFonts w:hint="eastAsia" w:ascii="宋体" w:hAnsi="宋体" w:eastAsia="宋体" w:cs="宋体"/>
          <w:i w:val="0"/>
          <w:iCs w:val="0"/>
          <w:color w:val="auto"/>
          <w:sz w:val="24"/>
          <w:szCs w:val="24"/>
          <w:highlight w:val="none"/>
        </w:rPr>
        <w:sectPr>
          <w:pgSz w:w="11910" w:h="16840"/>
          <w:pgMar w:top="1540" w:right="840" w:bottom="1180" w:left="1080" w:header="0" w:footer="919" w:gutter="0"/>
          <w:cols w:space="720" w:num="1"/>
        </w:sectPr>
      </w:pPr>
    </w:p>
    <w:p w14:paraId="72A795B7">
      <w:pPr>
        <w:spacing w:before="123"/>
        <w:ind w:left="464" w:right="571" w:firstLine="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安全监理责任合同</w:t>
      </w:r>
    </w:p>
    <w:p w14:paraId="6D5E6DC4">
      <w:pPr>
        <w:pStyle w:val="3"/>
        <w:ind w:left="466" w:right="571"/>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（本格式为安全监理责任合同标准格式，投标人不需填写）</w:t>
      </w:r>
    </w:p>
    <w:p w14:paraId="7879762C">
      <w:pPr>
        <w:pStyle w:val="259"/>
        <w:numPr>
          <w:ilvl w:val="0"/>
          <w:numId w:val="0"/>
        </w:numPr>
        <w:tabs>
          <w:tab w:val="left" w:pos="1062"/>
        </w:tabs>
        <w:spacing w:line="300" w:lineRule="auto"/>
        <w:ind w:left="420" w:leftChars="200" w:right="437" w:firstLine="480" w:firstLineChars="200"/>
        <w:jc w:val="left"/>
        <w:rPr>
          <w:rFonts w:hint="eastAsia" w:ascii="宋体" w:hAnsi="宋体" w:eastAsia="宋体" w:cs="宋体"/>
          <w:i w:val="0"/>
          <w:iCs w:val="0"/>
          <w:snapToGrid/>
          <w:color w:val="auto"/>
          <w:kern w:val="2"/>
          <w:sz w:val="24"/>
          <w:szCs w:val="24"/>
          <w:highlight w:val="none"/>
        </w:rPr>
      </w:pPr>
    </w:p>
    <w:p w14:paraId="235501A0">
      <w:pPr>
        <w:pStyle w:val="259"/>
        <w:numPr>
          <w:ilvl w:val="0"/>
          <w:numId w:val="0"/>
        </w:numPr>
        <w:tabs>
          <w:tab w:val="left" w:pos="1062"/>
        </w:tabs>
        <w:spacing w:line="300" w:lineRule="auto"/>
        <w:ind w:left="420" w:leftChars="200" w:right="437" w:firstLine="480" w:firstLineChars="200"/>
        <w:jc w:val="left"/>
        <w:rPr>
          <w:rFonts w:hint="eastAsia" w:ascii="宋体" w:hAnsi="宋体" w:eastAsia="宋体" w:cs="宋体"/>
          <w:i w:val="0"/>
          <w:iCs w:val="0"/>
          <w:snapToGrid/>
          <w:color w:val="auto"/>
          <w:kern w:val="2"/>
          <w:sz w:val="24"/>
          <w:szCs w:val="24"/>
          <w:highlight w:val="none"/>
        </w:rPr>
      </w:pPr>
      <w:r>
        <w:rPr>
          <w:rFonts w:hint="eastAsia" w:ascii="宋体" w:hAnsi="宋体" w:eastAsia="宋体" w:cs="宋体"/>
          <w:i w:val="0"/>
          <w:iCs w:val="0"/>
          <w:snapToGrid/>
          <w:color w:val="auto"/>
          <w:kern w:val="2"/>
          <w:sz w:val="24"/>
          <w:szCs w:val="24"/>
          <w:highlight w:val="none"/>
        </w:rPr>
        <w:t>根据国务院《建设工程安全生产管理条例</w:t>
      </w:r>
      <w:r>
        <w:rPr>
          <w:rFonts w:hint="eastAsia" w:ascii="宋体" w:hAnsi="宋体" w:eastAsia="宋体" w:cs="宋体"/>
          <w:i w:val="0"/>
          <w:iCs w:val="0"/>
          <w:snapToGrid/>
          <w:color w:val="auto"/>
          <w:spacing w:val="0"/>
          <w:kern w:val="2"/>
          <w:sz w:val="24"/>
          <w:szCs w:val="24"/>
          <w:highlight w:val="none"/>
        </w:rPr>
        <w:t>》，</w:t>
      </w:r>
      <w:r>
        <w:rPr>
          <w:rFonts w:hint="eastAsia" w:ascii="宋体" w:hAnsi="宋体" w:eastAsia="宋体" w:cs="宋体"/>
          <w:i w:val="0"/>
          <w:iCs w:val="0"/>
          <w:snapToGrid/>
          <w:color w:val="auto"/>
          <w:kern w:val="2"/>
          <w:sz w:val="24"/>
          <w:szCs w:val="24"/>
          <w:highlight w:val="none"/>
        </w:rPr>
        <w:t>《浙江省水利工程安全管理条例</w:t>
      </w:r>
      <w:r>
        <w:rPr>
          <w:rFonts w:hint="eastAsia" w:ascii="宋体" w:hAnsi="宋体" w:eastAsia="宋体" w:cs="宋体"/>
          <w:i w:val="0"/>
          <w:iCs w:val="0"/>
          <w:snapToGrid/>
          <w:color w:val="auto"/>
          <w:spacing w:val="0"/>
          <w:kern w:val="2"/>
          <w:sz w:val="24"/>
          <w:szCs w:val="24"/>
          <w:highlight w:val="none"/>
        </w:rPr>
        <w:t>》、</w:t>
      </w:r>
      <w:r>
        <w:rPr>
          <w:rFonts w:hint="eastAsia" w:ascii="宋体" w:hAnsi="宋体" w:eastAsia="宋体" w:cs="宋体"/>
          <w:i w:val="0"/>
          <w:iCs w:val="0"/>
          <w:snapToGrid/>
          <w:color w:val="auto"/>
          <w:kern w:val="2"/>
          <w:sz w:val="24"/>
          <w:szCs w:val="24"/>
          <w:highlight w:val="none"/>
        </w:rPr>
        <w:t>《水</w:t>
      </w:r>
      <w:r>
        <w:rPr>
          <w:rFonts w:hint="eastAsia" w:ascii="宋体" w:hAnsi="宋体" w:eastAsia="宋体" w:cs="宋体"/>
          <w:i w:val="0"/>
          <w:iCs w:val="0"/>
          <w:snapToGrid/>
          <w:color w:val="auto"/>
          <w:spacing w:val="0"/>
          <w:kern w:val="2"/>
          <w:sz w:val="24"/>
          <w:szCs w:val="24"/>
          <w:highlight w:val="none"/>
        </w:rPr>
        <w:t>利工程安全生产管理规定》等有关法律法规之规定，为在</w:t>
      </w:r>
      <w:r>
        <w:rPr>
          <w:rFonts w:hint="eastAsia" w:ascii="宋体" w:hAnsi="宋体" w:eastAsia="宋体" w:cs="宋体"/>
          <w:i w:val="0"/>
          <w:iCs w:val="0"/>
          <w:snapToGrid/>
          <w:color w:val="auto"/>
          <w:spacing w:val="0"/>
          <w:kern w:val="2"/>
          <w:sz w:val="24"/>
          <w:szCs w:val="24"/>
          <w:highlight w:val="none"/>
          <w:u w:val="none"/>
        </w:rPr>
        <w:t xml:space="preserve"> </w:t>
      </w:r>
      <w:r>
        <w:rPr>
          <w:rFonts w:hint="eastAsia" w:ascii="宋体" w:hAnsi="宋体" w:eastAsia="宋体" w:cs="宋体"/>
          <w:i w:val="0"/>
          <w:iCs w:val="0"/>
          <w:snapToGrid/>
          <w:color w:val="auto"/>
          <w:spacing w:val="0"/>
          <w:kern w:val="2"/>
          <w:sz w:val="24"/>
          <w:szCs w:val="24"/>
          <w:highlight w:val="none"/>
          <w:u w:val="none"/>
        </w:rPr>
        <w:tab/>
      </w:r>
      <w:r>
        <w:rPr>
          <w:rFonts w:hint="eastAsia" w:ascii="宋体" w:hAnsi="宋体" w:eastAsia="宋体" w:cs="宋体"/>
          <w:i w:val="0"/>
          <w:iCs w:val="0"/>
          <w:snapToGrid/>
          <w:color w:val="auto"/>
          <w:spacing w:val="0"/>
          <w:kern w:val="2"/>
          <w:sz w:val="24"/>
          <w:szCs w:val="24"/>
          <w:highlight w:val="none"/>
          <w:u w:val="none"/>
        </w:rPr>
        <w:t>项目</w:t>
      </w:r>
      <w:r>
        <w:rPr>
          <w:rFonts w:hint="eastAsia" w:ascii="宋体" w:hAnsi="宋体" w:eastAsia="宋体" w:cs="宋体"/>
          <w:i w:val="0"/>
          <w:iCs w:val="0"/>
          <w:snapToGrid/>
          <w:color w:val="auto"/>
          <w:spacing w:val="0"/>
          <w:kern w:val="2"/>
          <w:sz w:val="24"/>
          <w:szCs w:val="24"/>
          <w:highlight w:val="none"/>
        </w:rPr>
        <w:t>工程监理服务合同的实施过程中切实搞好本工程的安全生产管理工作，发包</w:t>
      </w:r>
      <w:r>
        <w:rPr>
          <w:rFonts w:hint="eastAsia" w:ascii="宋体" w:hAnsi="宋体" w:eastAsia="宋体" w:cs="宋体"/>
          <w:i w:val="0"/>
          <w:iCs w:val="0"/>
          <w:snapToGrid/>
          <w:color w:val="auto"/>
          <w:kern w:val="2"/>
          <w:sz w:val="24"/>
          <w:szCs w:val="24"/>
          <w:highlight w:val="none"/>
        </w:rPr>
        <w:t>人（以下简</w:t>
      </w:r>
      <w:r>
        <w:rPr>
          <w:rFonts w:hint="eastAsia" w:ascii="宋体" w:hAnsi="宋体" w:eastAsia="宋体" w:cs="宋体"/>
          <w:i w:val="0"/>
          <w:iCs w:val="0"/>
          <w:snapToGrid/>
          <w:color w:val="auto"/>
          <w:spacing w:val="0"/>
          <w:kern w:val="2"/>
          <w:sz w:val="24"/>
          <w:szCs w:val="24"/>
          <w:highlight w:val="none"/>
        </w:rPr>
        <w:t>称</w:t>
      </w:r>
      <w:r>
        <w:rPr>
          <w:rFonts w:hint="eastAsia" w:ascii="宋体" w:hAnsi="宋体" w:eastAsia="宋体" w:cs="宋体"/>
          <w:i w:val="0"/>
          <w:iCs w:val="0"/>
          <w:snapToGrid/>
          <w:color w:val="auto"/>
          <w:kern w:val="2"/>
          <w:sz w:val="24"/>
          <w:szCs w:val="24"/>
          <w:highlight w:val="none"/>
        </w:rPr>
        <w:t>“甲方</w:t>
      </w:r>
      <w:r>
        <w:rPr>
          <w:rFonts w:hint="eastAsia" w:ascii="宋体" w:hAnsi="宋体" w:eastAsia="宋体" w:cs="宋体"/>
          <w:i w:val="0"/>
          <w:iCs w:val="0"/>
          <w:snapToGrid/>
          <w:color w:val="auto"/>
          <w:spacing w:val="0"/>
          <w:kern w:val="2"/>
          <w:sz w:val="24"/>
          <w:szCs w:val="24"/>
          <w:highlight w:val="none"/>
        </w:rPr>
        <w:t>”）</w:t>
      </w:r>
      <w:r>
        <w:rPr>
          <w:rFonts w:hint="eastAsia" w:ascii="宋体" w:hAnsi="宋体" w:eastAsia="宋体" w:cs="宋体"/>
          <w:i w:val="0"/>
          <w:iCs w:val="0"/>
          <w:snapToGrid/>
          <w:color w:val="auto"/>
          <w:kern w:val="2"/>
          <w:sz w:val="24"/>
          <w:szCs w:val="24"/>
          <w:highlight w:val="none"/>
        </w:rPr>
        <w:t>与监理人</w:t>
      </w:r>
      <w:r>
        <w:rPr>
          <w:rFonts w:hint="eastAsia" w:ascii="宋体" w:hAnsi="宋体" w:eastAsia="宋体" w:cs="宋体"/>
          <w:i w:val="0"/>
          <w:iCs w:val="0"/>
          <w:snapToGrid/>
          <w:color w:val="auto"/>
          <w:kern w:val="2"/>
          <w:sz w:val="24"/>
          <w:szCs w:val="24"/>
          <w:highlight w:val="none"/>
          <w:u w:val="none"/>
        </w:rPr>
        <w:t xml:space="preserve"> </w:t>
      </w:r>
      <w:r>
        <w:rPr>
          <w:rFonts w:hint="eastAsia" w:ascii="宋体" w:hAnsi="宋体" w:eastAsia="宋体" w:cs="宋体"/>
          <w:i w:val="0"/>
          <w:iCs w:val="0"/>
          <w:snapToGrid/>
          <w:color w:val="auto"/>
          <w:kern w:val="2"/>
          <w:sz w:val="24"/>
          <w:szCs w:val="24"/>
          <w:highlight w:val="none"/>
          <w:u w:val="none"/>
        </w:rPr>
        <w:tab/>
      </w:r>
      <w:r>
        <w:rPr>
          <w:rFonts w:hint="eastAsia" w:ascii="宋体" w:hAnsi="宋体" w:eastAsia="宋体" w:cs="宋体"/>
          <w:i w:val="0"/>
          <w:iCs w:val="0"/>
          <w:snapToGrid/>
          <w:color w:val="auto"/>
          <w:kern w:val="2"/>
          <w:sz w:val="24"/>
          <w:szCs w:val="24"/>
          <w:highlight w:val="none"/>
        </w:rPr>
        <w:t>（以下简</w:t>
      </w:r>
      <w:r>
        <w:rPr>
          <w:rFonts w:hint="eastAsia" w:ascii="宋体" w:hAnsi="宋体" w:eastAsia="宋体" w:cs="宋体"/>
          <w:i w:val="0"/>
          <w:iCs w:val="0"/>
          <w:snapToGrid/>
          <w:color w:val="auto"/>
          <w:spacing w:val="0"/>
          <w:kern w:val="2"/>
          <w:sz w:val="24"/>
          <w:szCs w:val="24"/>
          <w:highlight w:val="none"/>
        </w:rPr>
        <w:t>称</w:t>
      </w:r>
      <w:r>
        <w:rPr>
          <w:rFonts w:hint="eastAsia" w:ascii="宋体" w:hAnsi="宋体" w:eastAsia="宋体" w:cs="宋体"/>
          <w:i w:val="0"/>
          <w:iCs w:val="0"/>
          <w:snapToGrid/>
          <w:color w:val="auto"/>
          <w:kern w:val="2"/>
          <w:sz w:val="24"/>
          <w:szCs w:val="24"/>
          <w:highlight w:val="none"/>
        </w:rPr>
        <w:t>“乙方</w:t>
      </w:r>
      <w:r>
        <w:rPr>
          <w:rFonts w:hint="eastAsia" w:ascii="宋体" w:hAnsi="宋体" w:eastAsia="宋体" w:cs="宋体"/>
          <w:i w:val="0"/>
          <w:iCs w:val="0"/>
          <w:snapToGrid/>
          <w:color w:val="auto"/>
          <w:spacing w:val="0"/>
          <w:kern w:val="2"/>
          <w:sz w:val="24"/>
          <w:szCs w:val="24"/>
          <w:highlight w:val="none"/>
        </w:rPr>
        <w:t>”）</w:t>
      </w:r>
      <w:r>
        <w:rPr>
          <w:rFonts w:hint="eastAsia" w:ascii="宋体" w:hAnsi="宋体" w:eastAsia="宋体" w:cs="宋体"/>
          <w:i w:val="0"/>
          <w:iCs w:val="0"/>
          <w:snapToGrid/>
          <w:color w:val="auto"/>
          <w:kern w:val="2"/>
          <w:sz w:val="24"/>
          <w:szCs w:val="24"/>
          <w:highlight w:val="none"/>
        </w:rPr>
        <w:t>签订如下安全监理责任</w:t>
      </w:r>
      <w:r>
        <w:rPr>
          <w:rFonts w:hint="eastAsia" w:ascii="宋体" w:hAnsi="宋体" w:eastAsia="宋体" w:cs="宋体"/>
          <w:i w:val="0"/>
          <w:iCs w:val="0"/>
          <w:snapToGrid/>
          <w:color w:val="auto"/>
          <w:spacing w:val="0"/>
          <w:kern w:val="2"/>
          <w:sz w:val="24"/>
          <w:szCs w:val="24"/>
          <w:highlight w:val="none"/>
        </w:rPr>
        <w:t>合</w:t>
      </w:r>
      <w:r>
        <w:rPr>
          <w:rFonts w:hint="eastAsia" w:ascii="宋体" w:hAnsi="宋体" w:eastAsia="宋体" w:cs="宋体"/>
          <w:i w:val="0"/>
          <w:iCs w:val="0"/>
          <w:snapToGrid/>
          <w:color w:val="auto"/>
          <w:kern w:val="2"/>
          <w:sz w:val="24"/>
          <w:szCs w:val="24"/>
          <w:highlight w:val="none"/>
        </w:rPr>
        <w:t>同：</w:t>
      </w:r>
    </w:p>
    <w:p w14:paraId="5CD19D4E">
      <w:pPr>
        <w:spacing w:before="0" w:line="303" w:lineRule="exact"/>
        <w:ind w:left="82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一、甲方职责</w:t>
      </w:r>
    </w:p>
    <w:p w14:paraId="40612138">
      <w:pPr>
        <w:pStyle w:val="259"/>
        <w:keepNext w:val="0"/>
        <w:keepLines w:val="0"/>
        <w:pageBreakBefore w:val="0"/>
        <w:widowControl w:val="0"/>
        <w:numPr>
          <w:ilvl w:val="0"/>
          <w:numId w:val="6"/>
        </w:numPr>
        <w:tabs>
          <w:tab w:val="left" w:pos="1062"/>
        </w:tabs>
        <w:kinsoku/>
        <w:wordWrap/>
        <w:overflowPunct/>
        <w:topLinePunct w:val="0"/>
        <w:autoSpaceDE/>
        <w:autoSpaceDN/>
        <w:bidi w:val="0"/>
        <w:adjustRightInd/>
        <w:snapToGrid/>
        <w:spacing w:before="151" w:after="0" w:line="300" w:lineRule="auto"/>
        <w:ind w:left="340" w:right="437" w:firstLine="48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严格遵守国家有关安全生产的法律法规，支持乙方按条例要求对规定的施工安全实施监理。</w:t>
      </w:r>
    </w:p>
    <w:p w14:paraId="7DED2F55">
      <w:pPr>
        <w:pStyle w:val="259"/>
        <w:keepNext w:val="0"/>
        <w:keepLines w:val="0"/>
        <w:pageBreakBefore w:val="0"/>
        <w:widowControl w:val="0"/>
        <w:numPr>
          <w:ilvl w:val="0"/>
          <w:numId w:val="6"/>
        </w:numPr>
        <w:tabs>
          <w:tab w:val="left" w:pos="1062"/>
        </w:tabs>
        <w:kinsoku/>
        <w:wordWrap/>
        <w:overflowPunct/>
        <w:topLinePunct w:val="0"/>
        <w:autoSpaceDE/>
        <w:autoSpaceDN/>
        <w:bidi w:val="0"/>
        <w:adjustRightInd/>
        <w:snapToGrid/>
        <w:spacing w:before="0" w:after="0" w:line="300" w:lineRule="auto"/>
        <w:ind w:left="340" w:right="437" w:firstLine="48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按照“安全第一、预防为主、综合治理”和坚持“管生产必须管安全”的原则进行安全生产管理，做到生产与安全工作同时计划、布置、检查、总结和评比。</w:t>
      </w:r>
    </w:p>
    <w:p w14:paraId="54852B1C">
      <w:pPr>
        <w:pStyle w:val="259"/>
        <w:keepNext w:val="0"/>
        <w:keepLines w:val="0"/>
        <w:pageBreakBefore w:val="0"/>
        <w:widowControl w:val="0"/>
        <w:numPr>
          <w:ilvl w:val="0"/>
          <w:numId w:val="6"/>
        </w:numPr>
        <w:tabs>
          <w:tab w:val="left" w:pos="1062"/>
        </w:tabs>
        <w:kinsoku/>
        <w:wordWrap/>
        <w:overflowPunct/>
        <w:topLinePunct w:val="0"/>
        <w:autoSpaceDE/>
        <w:autoSpaceDN/>
        <w:bidi w:val="0"/>
        <w:adjustRightInd/>
        <w:snapToGrid/>
        <w:spacing w:before="2" w:after="0" w:line="300" w:lineRule="auto"/>
        <w:ind w:left="340" w:right="437" w:firstLine="48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重要的安全设施必须坚持与主体工程“三同时”的原则，即：同时设计、审批， 同时施工，同时验收，投入使用。</w:t>
      </w:r>
    </w:p>
    <w:p w14:paraId="4BB382C0">
      <w:pPr>
        <w:pStyle w:val="259"/>
        <w:keepNext w:val="0"/>
        <w:keepLines w:val="0"/>
        <w:pageBreakBefore w:val="0"/>
        <w:widowControl w:val="0"/>
        <w:numPr>
          <w:ilvl w:val="0"/>
          <w:numId w:val="6"/>
        </w:numPr>
        <w:tabs>
          <w:tab w:val="left" w:pos="1062"/>
        </w:tabs>
        <w:kinsoku/>
        <w:wordWrap/>
        <w:overflowPunct/>
        <w:topLinePunct w:val="0"/>
        <w:autoSpaceDE/>
        <w:autoSpaceDN/>
        <w:bidi w:val="0"/>
        <w:adjustRightInd/>
        <w:snapToGrid/>
        <w:spacing w:before="151" w:after="0" w:line="300" w:lineRule="auto"/>
        <w:ind w:left="340" w:right="437" w:firstLine="48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定期召开安全生产调度会，及时传达中央及地方有关安全生产的精神。</w:t>
      </w:r>
    </w:p>
    <w:p w14:paraId="63CE220A">
      <w:pPr>
        <w:pStyle w:val="259"/>
        <w:keepNext w:val="0"/>
        <w:keepLines w:val="0"/>
        <w:pageBreakBefore w:val="0"/>
        <w:widowControl w:val="0"/>
        <w:numPr>
          <w:ilvl w:val="0"/>
          <w:numId w:val="6"/>
        </w:numPr>
        <w:tabs>
          <w:tab w:val="left" w:pos="1062"/>
        </w:tabs>
        <w:kinsoku/>
        <w:wordWrap/>
        <w:overflowPunct/>
        <w:topLinePunct w:val="0"/>
        <w:autoSpaceDE/>
        <w:autoSpaceDN/>
        <w:bidi w:val="0"/>
        <w:adjustRightInd/>
        <w:snapToGrid/>
        <w:spacing w:before="151" w:after="0" w:line="300" w:lineRule="auto"/>
        <w:ind w:left="340" w:right="437" w:firstLine="480"/>
        <w:jc w:val="left"/>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组织对施工现场的安全生产检查，监督承包人及时处理发现的各项安全隐患。</w:t>
      </w:r>
    </w:p>
    <w:p w14:paraId="25A82943">
      <w:pPr>
        <w:pStyle w:val="259"/>
        <w:numPr>
          <w:ilvl w:val="0"/>
          <w:numId w:val="0"/>
        </w:numPr>
        <w:tabs>
          <w:tab w:val="left" w:pos="1062"/>
        </w:tabs>
        <w:spacing w:before="151" w:after="0" w:line="360" w:lineRule="auto"/>
        <w:ind w:leftChars="200" w:right="439" w:rightChars="0" w:firstLine="241" w:firstLineChars="10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二、乙方职责</w:t>
      </w:r>
    </w:p>
    <w:p w14:paraId="6DD2CAFF">
      <w:pPr>
        <w:pStyle w:val="259"/>
        <w:numPr>
          <w:ilvl w:val="0"/>
          <w:numId w:val="7"/>
        </w:numPr>
        <w:tabs>
          <w:tab w:val="left" w:pos="1062"/>
        </w:tabs>
        <w:spacing w:before="0" w:after="0" w:line="360" w:lineRule="auto"/>
        <w:ind w:left="338" w:right="439" w:firstLine="48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监督承包人严格遵守国家有关安全生产的法律法规和有关安全生产的规定，认真执行工程承包合同中的有关安全要求。</w:t>
      </w:r>
    </w:p>
    <w:p w14:paraId="23A80C6D">
      <w:pPr>
        <w:pStyle w:val="259"/>
        <w:numPr>
          <w:ilvl w:val="0"/>
          <w:numId w:val="7"/>
        </w:numPr>
        <w:tabs>
          <w:tab w:val="left" w:pos="1062"/>
        </w:tabs>
        <w:spacing w:before="0" w:after="0" w:line="360" w:lineRule="auto"/>
        <w:ind w:left="338" w:right="439" w:firstLine="48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坚持“安全第一、预防为主、综合治理”和“管生产必须管安全”的原则，督促承包人加强安全生产宣传教育，增强全员安全生产意识，建立健全各项安全生产的管理机构和安全生产安全管理制度，配备专职及兼职安全检查人员，有组织有领导地开展安全生产活动。</w:t>
      </w:r>
    </w:p>
    <w:p w14:paraId="4A29B2EC">
      <w:pPr>
        <w:pStyle w:val="259"/>
        <w:numPr>
          <w:ilvl w:val="0"/>
          <w:numId w:val="7"/>
        </w:numPr>
        <w:tabs>
          <w:tab w:val="left" w:pos="1062"/>
        </w:tabs>
        <w:spacing w:before="0" w:after="0" w:line="360" w:lineRule="auto"/>
        <w:ind w:left="338" w:right="439" w:firstLine="48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建立健全安全监理制度，加强安全知识教育培训，明确各岗位监理人员的安全监理职责，增强安全意识。</w:t>
      </w:r>
    </w:p>
    <w:p w14:paraId="58CC75D7">
      <w:pPr>
        <w:pStyle w:val="259"/>
        <w:numPr>
          <w:ilvl w:val="0"/>
          <w:numId w:val="7"/>
        </w:numPr>
        <w:tabs>
          <w:tab w:val="left" w:pos="1062"/>
        </w:tabs>
        <w:spacing w:before="0" w:after="0" w:line="357" w:lineRule="auto"/>
        <w:ind w:left="338" w:right="439" w:firstLine="48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在审查施工组织设计的同时，要同步审查施工组织设计中的安全技术措施，审查专项施工方案是否符合工程建设强制性标准。</w:t>
      </w:r>
    </w:p>
    <w:p w14:paraId="11E254F5">
      <w:pPr>
        <w:pStyle w:val="259"/>
        <w:numPr>
          <w:ilvl w:val="0"/>
          <w:numId w:val="7"/>
        </w:numPr>
        <w:tabs>
          <w:tab w:val="left" w:pos="1062"/>
        </w:tabs>
        <w:spacing w:before="0" w:after="0" w:line="360" w:lineRule="auto"/>
        <w:ind w:left="338" w:right="439" w:firstLine="48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在实施监理过程中，发现存在安全事故隐患的，应立即要求承包人整改；情况严重的，应立即要求承包人停止施工，并及时报告发包人。承包人拒不整改或不停止施工的，乙方应及时向有关主管部门报告。</w:t>
      </w:r>
    </w:p>
    <w:p w14:paraId="070E07D1">
      <w:pPr>
        <w:pStyle w:val="259"/>
        <w:numPr>
          <w:ilvl w:val="0"/>
          <w:numId w:val="7"/>
        </w:numPr>
        <w:tabs>
          <w:tab w:val="left" w:pos="1062"/>
        </w:tabs>
        <w:spacing w:before="43" w:after="0" w:line="360" w:lineRule="auto"/>
        <w:ind w:left="338" w:right="439" w:firstLine="48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乙方及其监理工程应按照法律、法规和工程建设强制性标准实施监理，并对建设工程安全生产承担监理责任。</w:t>
      </w:r>
    </w:p>
    <w:p w14:paraId="66CA6304">
      <w:pPr>
        <w:pStyle w:val="259"/>
        <w:numPr>
          <w:ilvl w:val="0"/>
          <w:numId w:val="7"/>
        </w:numPr>
        <w:tabs>
          <w:tab w:val="left" w:pos="1062"/>
        </w:tabs>
        <w:spacing w:before="0" w:after="0" w:line="360" w:lineRule="auto"/>
        <w:ind w:left="338" w:right="439" w:firstLine="48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乙方应督促承包人按照本工程特点，组织制定本工程实施中的生产安全事故应急</w:t>
      </w:r>
      <w:r>
        <w:rPr>
          <w:rFonts w:hint="eastAsia" w:ascii="宋体" w:hAnsi="宋体" w:eastAsia="宋体" w:cs="宋体"/>
          <w:i w:val="0"/>
          <w:iCs w:val="0"/>
          <w:color w:val="auto"/>
          <w:spacing w:val="-15"/>
          <w:sz w:val="24"/>
          <w:szCs w:val="24"/>
          <w:highlight w:val="none"/>
        </w:rPr>
        <w:t>救援预案；如果发生安全事故，应按照《国务院关于特大安全事故行政责任追究的规定》</w:t>
      </w:r>
      <w:r>
        <w:rPr>
          <w:rFonts w:hint="eastAsia" w:ascii="宋体" w:hAnsi="宋体" w:eastAsia="宋体" w:cs="宋体"/>
          <w:i w:val="0"/>
          <w:iCs w:val="0"/>
          <w:color w:val="auto"/>
          <w:sz w:val="24"/>
          <w:szCs w:val="24"/>
          <w:highlight w:val="none"/>
        </w:rPr>
        <w:t>以及其它有关规定，及时上报有关部门，并坚持“三不放过”的原则，严肃处理相关责任人。</w:t>
      </w:r>
    </w:p>
    <w:p w14:paraId="7FC93EE8">
      <w:pPr>
        <w:spacing w:before="0" w:line="303" w:lineRule="exact"/>
        <w:ind w:left="821" w:right="0" w:firstLine="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三、违约责任</w:t>
      </w:r>
    </w:p>
    <w:p w14:paraId="6D5FE7C9">
      <w:pPr>
        <w:pStyle w:val="3"/>
        <w:spacing w:before="150" w:line="357" w:lineRule="auto"/>
        <w:ind w:left="338" w:right="441"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8"/>
          <w:sz w:val="24"/>
          <w:szCs w:val="24"/>
          <w:highlight w:val="none"/>
        </w:rPr>
        <w:t>如因甲方或乙方违约造成安全事故，根据国务院《建设工程安全生产管理条例》，水</w:t>
      </w:r>
      <w:r>
        <w:rPr>
          <w:rFonts w:hint="eastAsia" w:ascii="宋体" w:hAnsi="宋体" w:eastAsia="宋体" w:cs="宋体"/>
          <w:i w:val="0"/>
          <w:iCs w:val="0"/>
          <w:color w:val="auto"/>
          <w:spacing w:val="-22"/>
          <w:sz w:val="24"/>
          <w:szCs w:val="24"/>
          <w:highlight w:val="none"/>
        </w:rPr>
        <w:t>利部《《水利工程建设安全生产管理规定》》，将依法追究责任。</w:t>
      </w:r>
    </w:p>
    <w:p w14:paraId="52EDE377">
      <w:pPr>
        <w:pStyle w:val="3"/>
        <w:spacing w:before="3" w:line="360" w:lineRule="auto"/>
        <w:ind w:left="338" w:right="439"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本合同正本一式两份，副本八份，合同双方各执正本一份，副本四份。由双方法定代表人或其委托代理人签署并加盖公章后生效，全部工程竣工验收后失效。</w:t>
      </w:r>
    </w:p>
    <w:p w14:paraId="309B0770">
      <w:pPr>
        <w:pStyle w:val="3"/>
        <w:rPr>
          <w:rFonts w:hint="eastAsia" w:ascii="宋体" w:hAnsi="宋体" w:eastAsia="宋体" w:cs="宋体"/>
          <w:i w:val="0"/>
          <w:iCs w:val="0"/>
          <w:color w:val="auto"/>
          <w:sz w:val="24"/>
          <w:szCs w:val="24"/>
          <w:highlight w:val="none"/>
        </w:rPr>
      </w:pPr>
    </w:p>
    <w:p w14:paraId="06CE03E8">
      <w:pPr>
        <w:pStyle w:val="3"/>
        <w:rPr>
          <w:rFonts w:hint="eastAsia" w:ascii="宋体" w:hAnsi="宋体" w:eastAsia="宋体" w:cs="宋体"/>
          <w:i w:val="0"/>
          <w:iCs w:val="0"/>
          <w:color w:val="auto"/>
          <w:sz w:val="24"/>
          <w:szCs w:val="24"/>
          <w:highlight w:val="none"/>
        </w:rPr>
      </w:pPr>
    </w:p>
    <w:p w14:paraId="330A4D83">
      <w:pPr>
        <w:pStyle w:val="3"/>
        <w:spacing w:before="8"/>
        <w:rPr>
          <w:rFonts w:hint="eastAsia" w:ascii="宋体" w:hAnsi="宋体" w:eastAsia="宋体" w:cs="宋体"/>
          <w:i w:val="0"/>
          <w:iCs w:val="0"/>
          <w:color w:val="auto"/>
          <w:sz w:val="24"/>
          <w:szCs w:val="24"/>
          <w:highlight w:val="none"/>
        </w:rPr>
      </w:pPr>
    </w:p>
    <w:p w14:paraId="00607A83">
      <w:pPr>
        <w:pStyle w:val="3"/>
        <w:tabs>
          <w:tab w:val="left" w:pos="3339"/>
          <w:tab w:val="left" w:pos="4779"/>
          <w:tab w:val="left" w:pos="5139"/>
          <w:tab w:val="left" w:pos="7659"/>
          <w:tab w:val="left" w:pos="8980"/>
        </w:tabs>
        <w:spacing w:before="1" w:line="357" w:lineRule="auto"/>
        <w:ind w:left="818" w:right="100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发包人：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（盖章）</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监理人：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（盖章）</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法定代表人或</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法定代表人或</w:t>
      </w:r>
    </w:p>
    <w:p w14:paraId="5FFE7D79">
      <w:pPr>
        <w:pStyle w:val="3"/>
        <w:tabs>
          <w:tab w:val="left" w:pos="2019"/>
          <w:tab w:val="left" w:pos="2619"/>
          <w:tab w:val="left" w:pos="3219"/>
          <w:tab w:val="left" w:pos="3699"/>
          <w:tab w:val="left" w:pos="4834"/>
          <w:tab w:val="left" w:pos="5139"/>
          <w:tab w:val="left" w:pos="5259"/>
          <w:tab w:val="left" w:pos="6459"/>
          <w:tab w:val="left" w:pos="7060"/>
          <w:tab w:val="left" w:pos="7660"/>
          <w:tab w:val="left" w:pos="8020"/>
          <w:tab w:val="left" w:pos="9035"/>
        </w:tabs>
        <w:spacing w:before="3" w:line="360" w:lineRule="auto"/>
        <w:ind w:left="818" w:right="884"/>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其委托代理人：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（签名）</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其委托代理人：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（签名）</w:t>
      </w:r>
      <w:r>
        <w:rPr>
          <w:rFonts w:hint="eastAsia" w:ascii="宋体" w:hAnsi="宋体" w:eastAsia="宋体" w:cs="宋体"/>
          <w:i w:val="0"/>
          <w:iCs w:val="0"/>
          <w:color w:val="auto"/>
          <w:sz w:val="24"/>
          <w:szCs w:val="24"/>
          <w:highlight w:val="none"/>
        </w:rPr>
        <w:t>地</w:t>
      </w:r>
      <w:r>
        <w:rPr>
          <w:rFonts w:hint="eastAsia" w:ascii="宋体" w:hAnsi="宋体" w:eastAsia="宋体" w:cs="宋体"/>
          <w:i w:val="0"/>
          <w:iCs w:val="0"/>
          <w:color w:val="auto"/>
          <w:spacing w:val="-1"/>
          <w:sz w:val="24"/>
          <w:szCs w:val="24"/>
          <w:highlight w:val="none"/>
        </w:rPr>
        <w:t xml:space="preserve"> </w:t>
      </w:r>
      <w:r>
        <w:rPr>
          <w:rFonts w:hint="eastAsia" w:ascii="宋体" w:hAnsi="宋体" w:eastAsia="宋体" w:cs="宋体"/>
          <w:i w:val="0"/>
          <w:iCs w:val="0"/>
          <w:color w:val="auto"/>
          <w:sz w:val="24"/>
          <w:szCs w:val="24"/>
          <w:highlight w:val="none"/>
        </w:rPr>
        <w:t>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电</w:t>
      </w:r>
      <w:r>
        <w:rPr>
          <w:rFonts w:hint="eastAsia" w:ascii="宋体" w:hAnsi="宋体" w:eastAsia="宋体" w:cs="宋体"/>
          <w:i w:val="0"/>
          <w:iCs w:val="0"/>
          <w:color w:val="auto"/>
          <w:spacing w:val="-1"/>
          <w:sz w:val="24"/>
          <w:szCs w:val="24"/>
          <w:highlight w:val="none"/>
        </w:rPr>
        <w:t xml:space="preserve"> </w:t>
      </w:r>
      <w:r>
        <w:rPr>
          <w:rFonts w:hint="eastAsia" w:ascii="宋体" w:hAnsi="宋体" w:eastAsia="宋体" w:cs="宋体"/>
          <w:i w:val="0"/>
          <w:iCs w:val="0"/>
          <w:color w:val="auto"/>
          <w:sz w:val="24"/>
          <w:szCs w:val="24"/>
          <w:highlight w:val="none"/>
        </w:rPr>
        <w:t>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电 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日</w:t>
      </w:r>
    </w:p>
    <w:p w14:paraId="57CBED48">
      <w:pPr>
        <w:spacing w:after="0" w:line="360" w:lineRule="auto"/>
        <w:jc w:val="right"/>
        <w:rPr>
          <w:rFonts w:hint="eastAsia" w:ascii="宋体" w:hAnsi="宋体" w:eastAsia="宋体" w:cs="宋体"/>
          <w:i w:val="0"/>
          <w:iCs w:val="0"/>
          <w:color w:val="auto"/>
          <w:sz w:val="24"/>
          <w:szCs w:val="24"/>
          <w:highlight w:val="none"/>
        </w:rPr>
        <w:sectPr>
          <w:pgSz w:w="11910" w:h="16840"/>
          <w:pgMar w:top="1540" w:right="840" w:bottom="1180" w:left="1080" w:header="0" w:footer="919" w:gutter="0"/>
          <w:cols w:space="720" w:num="1"/>
        </w:sectPr>
      </w:pPr>
    </w:p>
    <w:p w14:paraId="1A5098C3">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6762DA97">
      <w:pPr>
        <w:spacing w:line="360" w:lineRule="auto"/>
        <w:jc w:val="center"/>
        <w:outlineLvl w:val="0"/>
        <w:rPr>
          <w:rFonts w:ascii="宋体" w:hAnsi="宋体" w:cs="宋体"/>
          <w:b/>
          <w:color w:val="auto"/>
          <w:kern w:val="0"/>
          <w:sz w:val="36"/>
          <w:szCs w:val="36"/>
          <w:highlight w:val="none"/>
        </w:rPr>
      </w:pPr>
    </w:p>
    <w:p w14:paraId="206195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9C58BA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0CB6FBF">
      <w:pPr>
        <w:spacing w:line="360" w:lineRule="auto"/>
        <w:jc w:val="center"/>
        <w:outlineLvl w:val="0"/>
        <w:rPr>
          <w:rFonts w:ascii="宋体" w:hAnsi="宋体" w:cs="宋体"/>
          <w:b/>
          <w:color w:val="auto"/>
          <w:kern w:val="0"/>
          <w:sz w:val="36"/>
          <w:szCs w:val="36"/>
          <w:highlight w:val="none"/>
        </w:rPr>
      </w:pPr>
    </w:p>
    <w:p w14:paraId="4DD9A8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255199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1BA33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DCCDD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CE23458">
      <w:pPr>
        <w:snapToGrid w:val="0"/>
        <w:spacing w:line="360" w:lineRule="auto"/>
        <w:ind w:firstLine="480" w:firstLineChars="200"/>
        <w:rPr>
          <w:rFonts w:ascii="宋体" w:hAnsi="宋体" w:cs="宋体"/>
          <w:color w:val="auto"/>
          <w:sz w:val="24"/>
          <w:highlight w:val="none"/>
        </w:rPr>
      </w:pPr>
    </w:p>
    <w:p w14:paraId="346BE538">
      <w:pPr>
        <w:spacing w:line="360" w:lineRule="auto"/>
        <w:ind w:firstLine="480" w:firstLineChars="200"/>
        <w:rPr>
          <w:rFonts w:ascii="宋体" w:hAnsi="宋体" w:cs="宋体"/>
          <w:color w:val="auto"/>
          <w:sz w:val="24"/>
          <w:highlight w:val="none"/>
        </w:rPr>
      </w:pPr>
    </w:p>
    <w:p w14:paraId="41F2F8D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DD1C2C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14:paraId="218770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2025年钱塘江省管海塘零星维修工程监理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ZJZJ20250525</w:t>
      </w:r>
      <w:r>
        <w:rPr>
          <w:rFonts w:hint="eastAsia" w:ascii="宋体" w:hAnsi="宋体" w:cs="宋体"/>
          <w:color w:val="auto"/>
          <w:sz w:val="24"/>
          <w:highlight w:val="none"/>
        </w:rPr>
        <w:t>】政府采购活动，郑重承诺：</w:t>
      </w:r>
    </w:p>
    <w:p w14:paraId="67AA9C6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2DD49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B078F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E2439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7B3D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9F4A0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3BA42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94233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986CE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E75DB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8927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3AF624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4AC07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A787B5">
      <w:pPr>
        <w:snapToGrid w:val="0"/>
        <w:spacing w:line="360" w:lineRule="auto"/>
        <w:ind w:right="480"/>
        <w:jc w:val="center"/>
        <w:rPr>
          <w:rFonts w:ascii="宋体" w:hAnsi="宋体" w:cs="宋体"/>
          <w:b/>
          <w:color w:val="auto"/>
          <w:kern w:val="0"/>
          <w:sz w:val="32"/>
          <w:szCs w:val="32"/>
          <w:highlight w:val="none"/>
        </w:rPr>
      </w:pPr>
    </w:p>
    <w:p w14:paraId="0D8AF30F">
      <w:pPr>
        <w:snapToGrid w:val="0"/>
        <w:spacing w:line="360" w:lineRule="auto"/>
        <w:ind w:right="480"/>
        <w:jc w:val="center"/>
        <w:rPr>
          <w:rFonts w:ascii="宋体" w:hAnsi="宋体" w:cs="宋体"/>
          <w:b/>
          <w:color w:val="auto"/>
          <w:kern w:val="0"/>
          <w:sz w:val="32"/>
          <w:szCs w:val="32"/>
          <w:highlight w:val="none"/>
        </w:rPr>
      </w:pPr>
    </w:p>
    <w:p w14:paraId="4DE63AAB">
      <w:pPr>
        <w:snapToGrid w:val="0"/>
        <w:spacing w:line="360" w:lineRule="auto"/>
        <w:ind w:right="480"/>
        <w:jc w:val="center"/>
        <w:rPr>
          <w:rFonts w:ascii="宋体" w:hAnsi="宋体" w:cs="宋体"/>
          <w:b/>
          <w:color w:val="auto"/>
          <w:kern w:val="0"/>
          <w:sz w:val="32"/>
          <w:szCs w:val="32"/>
          <w:highlight w:val="none"/>
        </w:rPr>
      </w:pPr>
    </w:p>
    <w:p w14:paraId="53907F49">
      <w:pPr>
        <w:rPr>
          <w:rFonts w:ascii="宋体" w:hAnsi="宋体" w:cs="宋体"/>
          <w:color w:val="auto"/>
          <w:highlight w:val="none"/>
        </w:rPr>
      </w:pPr>
    </w:p>
    <w:p w14:paraId="6D64BE61">
      <w:pPr>
        <w:snapToGrid w:val="0"/>
        <w:spacing w:line="360" w:lineRule="auto"/>
        <w:ind w:right="480"/>
        <w:jc w:val="center"/>
        <w:rPr>
          <w:rFonts w:ascii="宋体" w:hAnsi="宋体" w:cs="宋体"/>
          <w:b/>
          <w:color w:val="auto"/>
          <w:kern w:val="0"/>
          <w:sz w:val="32"/>
          <w:szCs w:val="32"/>
          <w:highlight w:val="none"/>
        </w:rPr>
      </w:pPr>
    </w:p>
    <w:p w14:paraId="15D07E5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74FC4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C16BDA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A897E3E">
      <w:pPr>
        <w:snapToGrid w:val="0"/>
        <w:spacing w:line="360" w:lineRule="auto"/>
        <w:ind w:right="480"/>
        <w:jc w:val="center"/>
        <w:rPr>
          <w:rFonts w:ascii="宋体" w:hAnsi="宋体" w:cs="宋体"/>
          <w:b/>
          <w:color w:val="auto"/>
          <w:kern w:val="0"/>
          <w:sz w:val="32"/>
          <w:szCs w:val="32"/>
          <w:highlight w:val="none"/>
        </w:rPr>
      </w:pPr>
    </w:p>
    <w:p w14:paraId="18DF6D50">
      <w:pPr>
        <w:snapToGrid w:val="0"/>
        <w:spacing w:line="360" w:lineRule="auto"/>
        <w:ind w:right="480"/>
        <w:jc w:val="center"/>
        <w:rPr>
          <w:rFonts w:ascii="宋体" w:hAnsi="宋体" w:cs="宋体"/>
          <w:b/>
          <w:color w:val="auto"/>
          <w:kern w:val="0"/>
          <w:sz w:val="32"/>
          <w:szCs w:val="32"/>
          <w:highlight w:val="none"/>
        </w:rPr>
      </w:pPr>
    </w:p>
    <w:p w14:paraId="7A220E2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0D98B1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03EF7C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13BFD9B">
      <w:pPr>
        <w:widowControl/>
        <w:spacing w:line="360" w:lineRule="auto"/>
        <w:ind w:firstLine="480"/>
        <w:jc w:val="left"/>
        <w:rPr>
          <w:rFonts w:ascii="宋体" w:hAnsi="宋体" w:cs="宋体"/>
          <w:color w:val="auto"/>
          <w:sz w:val="24"/>
          <w:highlight w:val="none"/>
        </w:rPr>
      </w:pPr>
    </w:p>
    <w:p w14:paraId="1168A70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585F6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75506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BF2F52C">
      <w:pPr>
        <w:widowControl/>
        <w:spacing w:line="360" w:lineRule="auto"/>
        <w:ind w:left="150"/>
        <w:jc w:val="center"/>
        <w:rPr>
          <w:rFonts w:ascii="宋体" w:hAnsi="宋体" w:cs="宋体"/>
          <w:b/>
          <w:color w:val="auto"/>
          <w:kern w:val="0"/>
          <w:sz w:val="32"/>
          <w:szCs w:val="32"/>
          <w:highlight w:val="none"/>
        </w:rPr>
      </w:pPr>
    </w:p>
    <w:p w14:paraId="212E208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EE1AA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8C1E2E">
      <w:pPr>
        <w:rPr>
          <w:rFonts w:ascii="宋体" w:hAnsi="宋体" w:cs="宋体"/>
          <w:color w:val="auto"/>
          <w:highlight w:val="none"/>
        </w:rPr>
      </w:pPr>
    </w:p>
    <w:p w14:paraId="4CDCBED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8FA701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EDD5FA9">
      <w:pPr>
        <w:spacing w:line="360" w:lineRule="auto"/>
        <w:jc w:val="center"/>
        <w:outlineLvl w:val="0"/>
        <w:rPr>
          <w:rFonts w:ascii="宋体" w:hAnsi="宋体" w:cs="宋体"/>
          <w:b/>
          <w:color w:val="auto"/>
          <w:kern w:val="0"/>
          <w:sz w:val="24"/>
          <w:highlight w:val="none"/>
        </w:rPr>
      </w:pPr>
    </w:p>
    <w:p w14:paraId="44EB12A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01108B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4B15E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73875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324C10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6AAC97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39F28E2">
      <w:pPr>
        <w:snapToGrid w:val="0"/>
        <w:spacing w:line="360" w:lineRule="auto"/>
        <w:jc w:val="center"/>
        <w:rPr>
          <w:rFonts w:ascii="宋体" w:hAnsi="宋体" w:cs="宋体"/>
          <w:b/>
          <w:color w:val="auto"/>
          <w:kern w:val="0"/>
          <w:sz w:val="32"/>
          <w:szCs w:val="32"/>
          <w:highlight w:val="none"/>
          <w:lang w:val="zh-CN"/>
        </w:rPr>
      </w:pPr>
    </w:p>
    <w:p w14:paraId="313A590E">
      <w:pPr>
        <w:snapToGrid w:val="0"/>
        <w:spacing w:line="360" w:lineRule="auto"/>
        <w:jc w:val="center"/>
        <w:rPr>
          <w:rFonts w:ascii="宋体" w:hAnsi="宋体" w:cs="宋体"/>
          <w:b/>
          <w:color w:val="auto"/>
          <w:kern w:val="0"/>
          <w:sz w:val="32"/>
          <w:szCs w:val="32"/>
          <w:highlight w:val="none"/>
          <w:lang w:val="zh-CN"/>
        </w:rPr>
      </w:pPr>
    </w:p>
    <w:p w14:paraId="419A901A">
      <w:pPr>
        <w:snapToGrid w:val="0"/>
        <w:spacing w:line="360" w:lineRule="auto"/>
        <w:jc w:val="center"/>
        <w:rPr>
          <w:rFonts w:ascii="宋体" w:hAnsi="宋体" w:cs="宋体"/>
          <w:b/>
          <w:color w:val="auto"/>
          <w:kern w:val="0"/>
          <w:sz w:val="32"/>
          <w:szCs w:val="32"/>
          <w:highlight w:val="none"/>
          <w:lang w:val="zh-CN"/>
        </w:rPr>
      </w:pPr>
    </w:p>
    <w:p w14:paraId="26492EBB">
      <w:pPr>
        <w:snapToGrid w:val="0"/>
        <w:spacing w:line="360" w:lineRule="auto"/>
        <w:jc w:val="center"/>
        <w:rPr>
          <w:rFonts w:ascii="宋体" w:hAnsi="宋体" w:cs="宋体"/>
          <w:b/>
          <w:color w:val="auto"/>
          <w:kern w:val="0"/>
          <w:sz w:val="32"/>
          <w:szCs w:val="32"/>
          <w:highlight w:val="none"/>
          <w:lang w:val="zh-CN"/>
        </w:rPr>
      </w:pPr>
    </w:p>
    <w:p w14:paraId="66E7831B">
      <w:pPr>
        <w:snapToGrid w:val="0"/>
        <w:spacing w:line="360" w:lineRule="auto"/>
        <w:jc w:val="center"/>
        <w:rPr>
          <w:rFonts w:ascii="宋体" w:hAnsi="宋体" w:cs="宋体"/>
          <w:b/>
          <w:color w:val="auto"/>
          <w:kern w:val="0"/>
          <w:sz w:val="32"/>
          <w:szCs w:val="32"/>
          <w:highlight w:val="none"/>
          <w:lang w:val="zh-CN"/>
        </w:rPr>
      </w:pPr>
    </w:p>
    <w:p w14:paraId="58210DAE">
      <w:pPr>
        <w:snapToGrid w:val="0"/>
        <w:spacing w:line="360" w:lineRule="auto"/>
        <w:jc w:val="center"/>
        <w:rPr>
          <w:rFonts w:ascii="宋体" w:hAnsi="宋体" w:cs="宋体"/>
          <w:b/>
          <w:color w:val="auto"/>
          <w:kern w:val="0"/>
          <w:sz w:val="32"/>
          <w:szCs w:val="32"/>
          <w:highlight w:val="none"/>
          <w:lang w:val="zh-CN"/>
        </w:rPr>
      </w:pPr>
    </w:p>
    <w:p w14:paraId="28BF17D0">
      <w:pPr>
        <w:snapToGrid w:val="0"/>
        <w:spacing w:line="360" w:lineRule="auto"/>
        <w:jc w:val="center"/>
        <w:rPr>
          <w:rFonts w:ascii="宋体" w:hAnsi="宋体" w:cs="宋体"/>
          <w:b/>
          <w:color w:val="auto"/>
          <w:kern w:val="0"/>
          <w:sz w:val="32"/>
          <w:szCs w:val="32"/>
          <w:highlight w:val="none"/>
          <w:lang w:val="zh-CN"/>
        </w:rPr>
      </w:pPr>
    </w:p>
    <w:p w14:paraId="6D36FC3E">
      <w:pPr>
        <w:snapToGrid w:val="0"/>
        <w:spacing w:line="360" w:lineRule="auto"/>
        <w:jc w:val="center"/>
        <w:rPr>
          <w:rFonts w:ascii="宋体" w:hAnsi="宋体" w:cs="宋体"/>
          <w:b/>
          <w:color w:val="auto"/>
          <w:kern w:val="0"/>
          <w:sz w:val="32"/>
          <w:szCs w:val="32"/>
          <w:highlight w:val="none"/>
          <w:lang w:val="zh-CN"/>
        </w:rPr>
      </w:pPr>
    </w:p>
    <w:p w14:paraId="34C0F410">
      <w:pPr>
        <w:snapToGrid w:val="0"/>
        <w:spacing w:line="360" w:lineRule="auto"/>
        <w:jc w:val="center"/>
        <w:rPr>
          <w:rFonts w:ascii="宋体" w:hAnsi="宋体" w:cs="宋体"/>
          <w:b/>
          <w:color w:val="auto"/>
          <w:kern w:val="0"/>
          <w:sz w:val="32"/>
          <w:szCs w:val="32"/>
          <w:highlight w:val="none"/>
          <w:lang w:val="zh-CN"/>
        </w:rPr>
      </w:pPr>
    </w:p>
    <w:p w14:paraId="0100FEE8">
      <w:pPr>
        <w:snapToGrid w:val="0"/>
        <w:spacing w:line="360" w:lineRule="auto"/>
        <w:jc w:val="center"/>
        <w:rPr>
          <w:rFonts w:ascii="宋体" w:hAnsi="宋体" w:cs="宋体"/>
          <w:b/>
          <w:color w:val="auto"/>
          <w:kern w:val="0"/>
          <w:sz w:val="32"/>
          <w:szCs w:val="32"/>
          <w:highlight w:val="none"/>
          <w:lang w:val="zh-CN"/>
        </w:rPr>
      </w:pPr>
    </w:p>
    <w:p w14:paraId="7BD112CB">
      <w:pPr>
        <w:snapToGrid w:val="0"/>
        <w:spacing w:line="360" w:lineRule="auto"/>
        <w:jc w:val="center"/>
        <w:rPr>
          <w:rFonts w:ascii="宋体" w:hAnsi="宋体" w:cs="宋体"/>
          <w:b/>
          <w:color w:val="auto"/>
          <w:kern w:val="0"/>
          <w:sz w:val="32"/>
          <w:szCs w:val="32"/>
          <w:highlight w:val="none"/>
          <w:lang w:val="zh-CN"/>
        </w:rPr>
      </w:pPr>
    </w:p>
    <w:p w14:paraId="19033E5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4EE52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0ACF4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14:paraId="2CFC9A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2025年钱塘江省管海塘零星维修工程监理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ZJZJ20250525</w:t>
      </w:r>
      <w:r>
        <w:rPr>
          <w:rFonts w:hint="eastAsia" w:ascii="宋体" w:hAnsi="宋体" w:cs="宋体"/>
          <w:color w:val="auto"/>
          <w:sz w:val="24"/>
          <w:highlight w:val="none"/>
        </w:rPr>
        <w:t>】招标的有关活动，并对此项目进行投标。为此：</w:t>
      </w:r>
    </w:p>
    <w:p w14:paraId="320513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918FA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141CA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4454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D8820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0" w:name="_Hlk101257010"/>
      <w:r>
        <w:rPr>
          <w:rFonts w:hint="eastAsia" w:ascii="宋体" w:hAnsi="宋体" w:cs="宋体"/>
          <w:color w:val="auto"/>
          <w:sz w:val="24"/>
          <w:highlight w:val="none"/>
        </w:rPr>
        <w:t>（如果有)</w:t>
      </w:r>
      <w:bookmarkEnd w:id="400"/>
      <w:r>
        <w:rPr>
          <w:rFonts w:hint="eastAsia" w:ascii="宋体" w:hAnsi="宋体" w:cs="宋体"/>
          <w:snapToGrid w:val="0"/>
          <w:color w:val="auto"/>
          <w:kern w:val="28"/>
          <w:sz w:val="24"/>
          <w:szCs w:val="20"/>
          <w:highlight w:val="none"/>
        </w:rPr>
        <w:t>；</w:t>
      </w:r>
    </w:p>
    <w:p w14:paraId="596955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35AA4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A55519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02A71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355C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90E7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FE3CF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C8D6A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4316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3919B95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7D6020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3A73">
      <w:pPr>
        <w:spacing w:line="360" w:lineRule="auto"/>
        <w:ind w:left="420" w:leftChars="200" w:firstLine="420" w:firstLineChars="175"/>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AC96371">
      <w:pPr>
        <w:numPr>
          <w:ilvl w:val="0"/>
          <w:numId w:val="0"/>
        </w:numPr>
        <w:snapToGrid w:val="0"/>
        <w:spacing w:line="360" w:lineRule="auto"/>
        <w:ind w:left="420" w:leftChars="200" w:firstLine="420" w:firstLineChars="175"/>
        <w:rPr>
          <w:rFonts w:hint="default" w:ascii="宋体" w:hAnsi="宋体" w:cs="宋体"/>
          <w:color w:val="auto"/>
          <w:sz w:val="24"/>
          <w:highlight w:val="none"/>
          <w:lang w:val="en-US"/>
        </w:rPr>
      </w:pPr>
      <w:r>
        <w:rPr>
          <w:rFonts w:hint="eastAsia" w:ascii="宋体" w:hAnsi="宋体" w:cs="宋体"/>
          <w:color w:val="auto"/>
          <w:sz w:val="24"/>
          <w:highlight w:val="none"/>
        </w:rPr>
        <w:t>2.3.2</w:t>
      </w:r>
      <w:r>
        <w:rPr>
          <w:rFonts w:hint="eastAsia" w:ascii="宋体" w:hAnsi="宋体" w:cs="宋体"/>
          <w:color w:val="auto"/>
          <w:sz w:val="24"/>
          <w:highlight w:val="none"/>
          <w:lang w:val="en-US" w:eastAsia="zh-CN"/>
        </w:rPr>
        <w:t>投标价格组成明细表；</w:t>
      </w:r>
    </w:p>
    <w:p w14:paraId="35B47425">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4366F5D4">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B30DC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3E12A5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E0DD81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BDB824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690BD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90854F">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25797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A22CC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07D2A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E8C387">
      <w:pPr>
        <w:snapToGrid w:val="0"/>
        <w:spacing w:line="360" w:lineRule="auto"/>
        <w:ind w:left="420" w:leftChars="200" w:firstLine="4200" w:firstLineChars="1750"/>
        <w:rPr>
          <w:rFonts w:ascii="宋体" w:hAnsi="宋体" w:cs="宋体"/>
          <w:color w:val="auto"/>
          <w:kern w:val="0"/>
          <w:sz w:val="24"/>
          <w:highlight w:val="none"/>
          <w:u w:val="single"/>
        </w:rPr>
      </w:pPr>
    </w:p>
    <w:p w14:paraId="6F7114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871B2A">
      <w:pPr>
        <w:snapToGrid w:val="0"/>
        <w:spacing w:line="360" w:lineRule="auto"/>
        <w:jc w:val="center"/>
        <w:rPr>
          <w:rFonts w:ascii="宋体" w:hAnsi="宋体" w:cs="宋体"/>
          <w:b/>
          <w:color w:val="auto"/>
          <w:kern w:val="0"/>
          <w:sz w:val="32"/>
          <w:szCs w:val="32"/>
          <w:highlight w:val="none"/>
        </w:rPr>
      </w:pPr>
    </w:p>
    <w:p w14:paraId="0979FD71">
      <w:pPr>
        <w:snapToGrid w:val="0"/>
        <w:spacing w:line="360" w:lineRule="auto"/>
        <w:rPr>
          <w:rFonts w:ascii="宋体" w:hAnsi="宋体" w:cs="宋体"/>
          <w:color w:val="auto"/>
          <w:sz w:val="24"/>
          <w:highlight w:val="none"/>
        </w:rPr>
      </w:pPr>
    </w:p>
    <w:p w14:paraId="7EFDE3F2">
      <w:pPr>
        <w:jc w:val="both"/>
        <w:rPr>
          <w:rFonts w:ascii="宋体" w:hAnsi="宋体" w:cs="宋体"/>
          <w:b/>
          <w:color w:val="auto"/>
          <w:kern w:val="0"/>
          <w:sz w:val="32"/>
          <w:szCs w:val="32"/>
          <w:highlight w:val="none"/>
        </w:rPr>
      </w:pPr>
    </w:p>
    <w:p w14:paraId="306333A8">
      <w:pPr>
        <w:jc w:val="center"/>
        <w:rPr>
          <w:rFonts w:ascii="宋体" w:hAnsi="宋体" w:cs="宋体"/>
          <w:b/>
          <w:color w:val="auto"/>
          <w:kern w:val="0"/>
          <w:sz w:val="32"/>
          <w:szCs w:val="32"/>
          <w:highlight w:val="none"/>
        </w:rPr>
      </w:pPr>
    </w:p>
    <w:p w14:paraId="197BC9DC">
      <w:pPr>
        <w:jc w:val="center"/>
        <w:rPr>
          <w:rFonts w:ascii="宋体" w:hAnsi="宋体" w:cs="宋体"/>
          <w:b/>
          <w:color w:val="auto"/>
          <w:kern w:val="0"/>
          <w:sz w:val="32"/>
          <w:szCs w:val="32"/>
          <w:highlight w:val="none"/>
        </w:rPr>
      </w:pPr>
    </w:p>
    <w:p w14:paraId="65B95640">
      <w:pPr>
        <w:jc w:val="center"/>
        <w:rPr>
          <w:rFonts w:ascii="宋体" w:hAnsi="宋体" w:cs="宋体"/>
          <w:b/>
          <w:color w:val="auto"/>
          <w:kern w:val="0"/>
          <w:sz w:val="32"/>
          <w:szCs w:val="32"/>
          <w:highlight w:val="none"/>
        </w:rPr>
      </w:pPr>
    </w:p>
    <w:p w14:paraId="7CFD2F82">
      <w:pPr>
        <w:jc w:val="center"/>
        <w:rPr>
          <w:rFonts w:ascii="宋体" w:hAnsi="宋体" w:cs="宋体"/>
          <w:b/>
          <w:color w:val="auto"/>
          <w:kern w:val="0"/>
          <w:sz w:val="32"/>
          <w:szCs w:val="32"/>
          <w:highlight w:val="none"/>
        </w:rPr>
      </w:pPr>
    </w:p>
    <w:p w14:paraId="3E0D4830">
      <w:pPr>
        <w:jc w:val="center"/>
        <w:rPr>
          <w:rFonts w:ascii="宋体" w:hAnsi="宋体" w:cs="宋体"/>
          <w:b/>
          <w:color w:val="auto"/>
          <w:kern w:val="0"/>
          <w:sz w:val="32"/>
          <w:szCs w:val="32"/>
          <w:highlight w:val="none"/>
        </w:rPr>
      </w:pPr>
    </w:p>
    <w:p w14:paraId="07822CFB">
      <w:pPr>
        <w:jc w:val="center"/>
        <w:rPr>
          <w:rFonts w:ascii="宋体" w:hAnsi="宋体" w:cs="宋体"/>
          <w:b/>
          <w:color w:val="auto"/>
          <w:kern w:val="0"/>
          <w:sz w:val="32"/>
          <w:szCs w:val="32"/>
          <w:highlight w:val="none"/>
        </w:rPr>
      </w:pPr>
    </w:p>
    <w:p w14:paraId="07B4FE07">
      <w:pPr>
        <w:jc w:val="center"/>
        <w:rPr>
          <w:rFonts w:ascii="宋体" w:hAnsi="宋体" w:cs="宋体"/>
          <w:b/>
          <w:color w:val="auto"/>
          <w:kern w:val="0"/>
          <w:sz w:val="32"/>
          <w:szCs w:val="32"/>
          <w:highlight w:val="none"/>
        </w:rPr>
      </w:pPr>
    </w:p>
    <w:p w14:paraId="1EA9439C">
      <w:pPr>
        <w:jc w:val="center"/>
        <w:rPr>
          <w:rFonts w:ascii="宋体" w:hAnsi="宋体" w:cs="宋体"/>
          <w:b/>
          <w:color w:val="auto"/>
          <w:kern w:val="0"/>
          <w:sz w:val="32"/>
          <w:szCs w:val="32"/>
          <w:highlight w:val="none"/>
        </w:rPr>
      </w:pPr>
    </w:p>
    <w:p w14:paraId="670FEAC3">
      <w:pPr>
        <w:jc w:val="center"/>
        <w:rPr>
          <w:rFonts w:ascii="宋体" w:hAnsi="宋体" w:cs="宋体"/>
          <w:b/>
          <w:color w:val="auto"/>
          <w:kern w:val="0"/>
          <w:sz w:val="32"/>
          <w:szCs w:val="32"/>
          <w:highlight w:val="none"/>
        </w:rPr>
      </w:pPr>
    </w:p>
    <w:p w14:paraId="0CC16AAB">
      <w:pPr>
        <w:jc w:val="center"/>
        <w:rPr>
          <w:rFonts w:ascii="宋体" w:hAnsi="宋体" w:cs="宋体"/>
          <w:b/>
          <w:color w:val="auto"/>
          <w:kern w:val="0"/>
          <w:sz w:val="32"/>
          <w:szCs w:val="32"/>
          <w:highlight w:val="none"/>
        </w:rPr>
      </w:pPr>
    </w:p>
    <w:p w14:paraId="02929A6E">
      <w:pPr>
        <w:jc w:val="center"/>
        <w:rPr>
          <w:rFonts w:ascii="宋体" w:hAnsi="宋体" w:cs="宋体"/>
          <w:b/>
          <w:color w:val="auto"/>
          <w:kern w:val="0"/>
          <w:sz w:val="32"/>
          <w:szCs w:val="32"/>
          <w:highlight w:val="none"/>
        </w:rPr>
      </w:pPr>
    </w:p>
    <w:p w14:paraId="1A138C31">
      <w:pPr>
        <w:jc w:val="center"/>
        <w:rPr>
          <w:rFonts w:hint="eastAsia" w:ascii="宋体" w:hAnsi="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089E9D1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03102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5AE64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C6F9F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3CBB42B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2025年钱塘江省管海塘零星维修工程监理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89303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E8D9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6B4B4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EBB6E9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E4E24D1">
      <w:pPr>
        <w:snapToGrid w:val="0"/>
        <w:spacing w:line="360" w:lineRule="auto"/>
        <w:rPr>
          <w:rFonts w:ascii="宋体" w:hAnsi="宋体" w:cs="宋体"/>
          <w:color w:val="auto"/>
          <w:sz w:val="24"/>
          <w:highlight w:val="none"/>
        </w:rPr>
      </w:pPr>
    </w:p>
    <w:p w14:paraId="097B6F0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447BD5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4ADB457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2025年钱塘江省管海塘零星维修工程监理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D216C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0C640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078C81D">
      <w:pPr>
        <w:rPr>
          <w:rFonts w:ascii="宋体" w:hAnsi="宋体" w:cs="宋体"/>
          <w:color w:val="auto"/>
          <w:highlight w:val="none"/>
        </w:rPr>
      </w:pPr>
    </w:p>
    <w:p w14:paraId="654D515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842BF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7A68A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2301A34">
      <w:pPr>
        <w:snapToGrid w:val="0"/>
        <w:spacing w:line="360" w:lineRule="auto"/>
        <w:rPr>
          <w:rFonts w:hint="eastAsia" w:ascii="宋体" w:hAnsi="宋体" w:cs="宋体"/>
          <w:color w:val="auto"/>
          <w:kern w:val="0"/>
          <w:sz w:val="24"/>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宋体" w:hAnsi="宋体" w:cs="宋体"/>
          <w:color w:val="auto"/>
          <w:kern w:val="0"/>
          <w:sz w:val="24"/>
          <w:highlight w:val="none"/>
          <w:lang w:val="zh-CN"/>
        </w:rPr>
        <w:t xml:space="preserve">                                               日期：  年  月   日</w:t>
      </w:r>
    </w:p>
    <w:p w14:paraId="28C3412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EC47A3">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C6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092388">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C58C070">
            <w:pPr>
              <w:pStyle w:val="149"/>
              <w:adjustRightInd w:val="0"/>
              <w:spacing w:line="360" w:lineRule="auto"/>
              <w:rPr>
                <w:rFonts w:hAnsi="宋体" w:cs="宋体"/>
                <w:bCs/>
                <w:color w:val="auto"/>
                <w:sz w:val="24"/>
                <w:highlight w:val="none"/>
              </w:rPr>
            </w:pPr>
          </w:p>
        </w:tc>
      </w:tr>
    </w:tbl>
    <w:p w14:paraId="62CA934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DF939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349E7A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74A49E">
      <w:pPr>
        <w:jc w:val="center"/>
        <w:rPr>
          <w:rFonts w:ascii="宋体" w:hAnsi="宋体" w:cs="宋体"/>
          <w:b/>
          <w:color w:val="auto"/>
          <w:kern w:val="0"/>
          <w:sz w:val="32"/>
          <w:szCs w:val="32"/>
          <w:highlight w:val="none"/>
        </w:rPr>
      </w:pPr>
    </w:p>
    <w:p w14:paraId="27BCA5FD">
      <w:pPr>
        <w:jc w:val="center"/>
        <w:rPr>
          <w:rFonts w:ascii="宋体" w:hAnsi="宋体" w:cs="宋体"/>
          <w:b/>
          <w:color w:val="auto"/>
          <w:kern w:val="0"/>
          <w:sz w:val="32"/>
          <w:szCs w:val="32"/>
          <w:highlight w:val="none"/>
        </w:rPr>
      </w:pPr>
    </w:p>
    <w:p w14:paraId="6E03020F">
      <w:pPr>
        <w:jc w:val="center"/>
        <w:rPr>
          <w:rFonts w:ascii="宋体" w:hAnsi="宋体" w:cs="宋体"/>
          <w:b/>
          <w:color w:val="auto"/>
          <w:kern w:val="0"/>
          <w:sz w:val="32"/>
          <w:szCs w:val="32"/>
          <w:highlight w:val="none"/>
        </w:rPr>
      </w:pPr>
    </w:p>
    <w:p w14:paraId="4E76FBBB">
      <w:pPr>
        <w:jc w:val="center"/>
        <w:rPr>
          <w:rFonts w:ascii="宋体" w:hAnsi="宋体" w:cs="宋体"/>
          <w:b/>
          <w:color w:val="auto"/>
          <w:kern w:val="0"/>
          <w:sz w:val="32"/>
          <w:szCs w:val="32"/>
          <w:highlight w:val="none"/>
        </w:rPr>
      </w:pPr>
    </w:p>
    <w:p w14:paraId="21EC7693">
      <w:pPr>
        <w:jc w:val="center"/>
        <w:rPr>
          <w:rFonts w:ascii="宋体" w:hAnsi="宋体" w:cs="宋体"/>
          <w:b/>
          <w:color w:val="auto"/>
          <w:kern w:val="0"/>
          <w:sz w:val="32"/>
          <w:szCs w:val="32"/>
          <w:highlight w:val="none"/>
        </w:rPr>
      </w:pPr>
    </w:p>
    <w:p w14:paraId="01A5A28C">
      <w:pPr>
        <w:jc w:val="center"/>
        <w:rPr>
          <w:rFonts w:ascii="宋体" w:hAnsi="宋体" w:cs="宋体"/>
          <w:b/>
          <w:color w:val="auto"/>
          <w:kern w:val="0"/>
          <w:sz w:val="32"/>
          <w:szCs w:val="32"/>
          <w:highlight w:val="none"/>
        </w:rPr>
      </w:pPr>
    </w:p>
    <w:p w14:paraId="360CFED7">
      <w:pPr>
        <w:jc w:val="center"/>
        <w:rPr>
          <w:rFonts w:ascii="宋体" w:hAnsi="宋体" w:cs="宋体"/>
          <w:b/>
          <w:color w:val="auto"/>
          <w:kern w:val="0"/>
          <w:sz w:val="32"/>
          <w:szCs w:val="32"/>
          <w:highlight w:val="none"/>
        </w:rPr>
      </w:pPr>
    </w:p>
    <w:p w14:paraId="4FC8AAF1">
      <w:pPr>
        <w:jc w:val="center"/>
        <w:rPr>
          <w:rFonts w:ascii="宋体" w:hAnsi="宋体" w:cs="宋体"/>
          <w:b/>
          <w:color w:val="auto"/>
          <w:kern w:val="0"/>
          <w:sz w:val="32"/>
          <w:szCs w:val="32"/>
          <w:highlight w:val="none"/>
        </w:rPr>
      </w:pPr>
    </w:p>
    <w:p w14:paraId="5C8BE0FA">
      <w:pPr>
        <w:jc w:val="center"/>
        <w:rPr>
          <w:rFonts w:ascii="宋体" w:hAnsi="宋体" w:cs="宋体"/>
          <w:b/>
          <w:color w:val="auto"/>
          <w:kern w:val="0"/>
          <w:sz w:val="32"/>
          <w:szCs w:val="32"/>
          <w:highlight w:val="none"/>
        </w:rPr>
      </w:pPr>
    </w:p>
    <w:p w14:paraId="1E34B5E4">
      <w:pPr>
        <w:jc w:val="center"/>
        <w:rPr>
          <w:rFonts w:ascii="宋体" w:hAnsi="宋体" w:cs="宋体"/>
          <w:b/>
          <w:color w:val="auto"/>
          <w:kern w:val="0"/>
          <w:sz w:val="32"/>
          <w:szCs w:val="32"/>
          <w:highlight w:val="none"/>
        </w:rPr>
      </w:pPr>
    </w:p>
    <w:p w14:paraId="5E04D1F5">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564097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4DA09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07200DB">
      <w:pPr>
        <w:snapToGrid w:val="0"/>
        <w:spacing w:line="360" w:lineRule="auto"/>
        <w:rPr>
          <w:rFonts w:ascii="宋体" w:hAnsi="宋体" w:cs="宋体"/>
          <w:color w:val="auto"/>
          <w:kern w:val="0"/>
          <w:sz w:val="24"/>
          <w:highlight w:val="none"/>
        </w:rPr>
      </w:pPr>
    </w:p>
    <w:p w14:paraId="5875CE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67651B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0A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8B04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867BC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4C0DAD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D2AD89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28A46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B3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FCD80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9AEE8F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327901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1DA46AA">
            <w:pPr>
              <w:rPr>
                <w:rFonts w:ascii="宋体" w:hAnsi="宋体" w:cs="宋体"/>
                <w:color w:val="auto"/>
                <w:sz w:val="24"/>
                <w:highlight w:val="none"/>
              </w:rPr>
            </w:pPr>
          </w:p>
          <w:p w14:paraId="2767F982">
            <w:pPr>
              <w:rPr>
                <w:rFonts w:ascii="宋体" w:hAnsi="宋体" w:cs="宋体"/>
                <w:color w:val="auto"/>
                <w:sz w:val="24"/>
                <w:highlight w:val="none"/>
              </w:rPr>
            </w:pPr>
            <w:r>
              <w:rPr>
                <w:rFonts w:hint="eastAsia" w:ascii="宋体" w:hAnsi="宋体" w:cs="宋体"/>
                <w:color w:val="auto"/>
                <w:sz w:val="24"/>
                <w:highlight w:val="none"/>
              </w:rPr>
              <w:t>见投标文件</w:t>
            </w:r>
          </w:p>
          <w:p w14:paraId="6A4D764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F1D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263CC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3AEC62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399028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C5F35D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13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4A00CF">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E0E177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E1B471B">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4D4E457">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5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F6E3FB">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554CF8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EA52924">
            <w:pPr>
              <w:rPr>
                <w:rFonts w:hint="eastAsia" w:ascii="宋体" w:hAnsi="宋体" w:cs="宋体"/>
                <w:b w:val="0"/>
                <w:bCs w:val="0"/>
                <w:color w:val="auto"/>
                <w:sz w:val="24"/>
                <w:highlight w:val="none"/>
                <w:lang w:val="en-US" w:eastAsia="zh-CN"/>
              </w:rPr>
            </w:pPr>
          </w:p>
        </w:tc>
        <w:tc>
          <w:tcPr>
            <w:tcW w:w="1418" w:type="dxa"/>
            <w:vAlign w:val="top"/>
          </w:tcPr>
          <w:p w14:paraId="26AE2C3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5F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92DD83">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95A699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F8C629F">
            <w:pPr>
              <w:rPr>
                <w:rFonts w:hint="eastAsia" w:ascii="宋体" w:hAnsi="宋体" w:cs="宋体"/>
                <w:b w:val="0"/>
                <w:bCs w:val="0"/>
                <w:color w:val="auto"/>
                <w:sz w:val="24"/>
                <w:highlight w:val="none"/>
                <w:lang w:val="en-US" w:eastAsia="zh-CN"/>
              </w:rPr>
            </w:pPr>
          </w:p>
        </w:tc>
        <w:tc>
          <w:tcPr>
            <w:tcW w:w="1418" w:type="dxa"/>
            <w:vAlign w:val="top"/>
          </w:tcPr>
          <w:p w14:paraId="7C6A8BD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1DAFF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79F93D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C6C2F50">
      <w:pPr>
        <w:jc w:val="center"/>
        <w:rPr>
          <w:rFonts w:ascii="宋体" w:hAnsi="宋体" w:cs="宋体"/>
          <w:b/>
          <w:color w:val="auto"/>
          <w:kern w:val="0"/>
          <w:sz w:val="32"/>
          <w:szCs w:val="32"/>
          <w:highlight w:val="none"/>
        </w:rPr>
      </w:pPr>
    </w:p>
    <w:p w14:paraId="20EF1A7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5488F6A">
      <w:pPr>
        <w:jc w:val="center"/>
        <w:rPr>
          <w:rFonts w:ascii="宋体" w:hAnsi="宋体" w:cs="宋体"/>
          <w:b/>
          <w:color w:val="auto"/>
          <w:kern w:val="0"/>
          <w:sz w:val="32"/>
          <w:szCs w:val="32"/>
          <w:highlight w:val="none"/>
        </w:rPr>
      </w:pPr>
    </w:p>
    <w:p w14:paraId="183F9C4A">
      <w:pPr>
        <w:jc w:val="center"/>
        <w:rPr>
          <w:rFonts w:ascii="宋体" w:hAnsi="宋体" w:cs="宋体"/>
          <w:b/>
          <w:color w:val="auto"/>
          <w:kern w:val="0"/>
          <w:sz w:val="32"/>
          <w:szCs w:val="32"/>
          <w:highlight w:val="none"/>
        </w:rPr>
      </w:pPr>
    </w:p>
    <w:p w14:paraId="7776A46A">
      <w:pPr>
        <w:jc w:val="center"/>
        <w:rPr>
          <w:rFonts w:ascii="宋体" w:hAnsi="宋体" w:cs="宋体"/>
          <w:b/>
          <w:color w:val="auto"/>
          <w:kern w:val="0"/>
          <w:sz w:val="32"/>
          <w:szCs w:val="32"/>
          <w:highlight w:val="none"/>
        </w:rPr>
      </w:pPr>
    </w:p>
    <w:p w14:paraId="51A77D2A">
      <w:pPr>
        <w:jc w:val="center"/>
        <w:rPr>
          <w:rFonts w:ascii="宋体" w:hAnsi="宋体" w:cs="宋体"/>
          <w:b/>
          <w:color w:val="auto"/>
          <w:kern w:val="0"/>
          <w:sz w:val="32"/>
          <w:szCs w:val="32"/>
          <w:highlight w:val="none"/>
        </w:rPr>
      </w:pPr>
    </w:p>
    <w:p w14:paraId="59B035DA">
      <w:pPr>
        <w:jc w:val="center"/>
        <w:rPr>
          <w:rFonts w:ascii="宋体" w:hAnsi="宋体" w:cs="宋体"/>
          <w:b/>
          <w:color w:val="auto"/>
          <w:kern w:val="0"/>
          <w:sz w:val="32"/>
          <w:szCs w:val="32"/>
          <w:highlight w:val="none"/>
        </w:rPr>
      </w:pPr>
    </w:p>
    <w:p w14:paraId="796E79B0">
      <w:pPr>
        <w:jc w:val="center"/>
        <w:rPr>
          <w:rFonts w:ascii="宋体" w:hAnsi="宋体" w:cs="宋体"/>
          <w:b/>
          <w:color w:val="auto"/>
          <w:kern w:val="0"/>
          <w:sz w:val="32"/>
          <w:szCs w:val="32"/>
          <w:highlight w:val="none"/>
        </w:rPr>
      </w:pPr>
    </w:p>
    <w:p w14:paraId="3D046E06">
      <w:pPr>
        <w:jc w:val="center"/>
        <w:rPr>
          <w:rFonts w:ascii="宋体" w:hAnsi="宋体" w:cs="宋体"/>
          <w:b/>
          <w:color w:val="auto"/>
          <w:kern w:val="0"/>
          <w:sz w:val="32"/>
          <w:szCs w:val="32"/>
          <w:highlight w:val="none"/>
        </w:rPr>
      </w:pPr>
    </w:p>
    <w:p w14:paraId="0A5D0AE0">
      <w:pPr>
        <w:jc w:val="center"/>
        <w:rPr>
          <w:rFonts w:hint="eastAsia" w:ascii="宋体" w:hAnsi="宋体" w:cs="宋体"/>
          <w:b/>
          <w:color w:val="auto"/>
          <w:kern w:val="0"/>
          <w:sz w:val="32"/>
          <w:szCs w:val="32"/>
          <w:highlight w:val="none"/>
        </w:rPr>
      </w:pPr>
    </w:p>
    <w:p w14:paraId="651CAAEC">
      <w:pPr>
        <w:jc w:val="center"/>
        <w:rPr>
          <w:rFonts w:hint="eastAsia" w:ascii="宋体" w:hAnsi="宋体" w:cs="宋体"/>
          <w:b/>
          <w:color w:val="auto"/>
          <w:kern w:val="0"/>
          <w:sz w:val="32"/>
          <w:szCs w:val="32"/>
          <w:highlight w:val="none"/>
        </w:rPr>
      </w:pPr>
    </w:p>
    <w:p w14:paraId="65FDB71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E2F38F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CE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E9A91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1A975FA">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C82F72A">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C4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6163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6BB51D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299AEA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19D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8D7DB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99CBF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D6BA96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B56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994D5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5C71F1D">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B99D69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DBA389F">
      <w:pPr>
        <w:pStyle w:val="79"/>
        <w:rPr>
          <w:color w:val="auto"/>
          <w:highlight w:val="none"/>
        </w:rPr>
      </w:pPr>
    </w:p>
    <w:p w14:paraId="0E7DB977">
      <w:pPr>
        <w:jc w:val="center"/>
        <w:rPr>
          <w:rFonts w:ascii="宋体" w:hAnsi="宋体" w:cs="宋体"/>
          <w:b/>
          <w:color w:val="auto"/>
          <w:kern w:val="0"/>
          <w:sz w:val="32"/>
          <w:szCs w:val="32"/>
          <w:highlight w:val="none"/>
        </w:rPr>
      </w:pPr>
    </w:p>
    <w:p w14:paraId="57D16CDD">
      <w:pPr>
        <w:jc w:val="center"/>
        <w:rPr>
          <w:rFonts w:ascii="宋体" w:hAnsi="宋体" w:cs="宋体"/>
          <w:b/>
          <w:color w:val="auto"/>
          <w:kern w:val="0"/>
          <w:sz w:val="32"/>
          <w:szCs w:val="32"/>
          <w:highlight w:val="none"/>
        </w:rPr>
      </w:pPr>
    </w:p>
    <w:p w14:paraId="1BB7506A">
      <w:pPr>
        <w:jc w:val="center"/>
        <w:rPr>
          <w:rFonts w:ascii="宋体" w:hAnsi="宋体" w:cs="宋体"/>
          <w:b/>
          <w:color w:val="auto"/>
          <w:kern w:val="0"/>
          <w:sz w:val="32"/>
          <w:szCs w:val="32"/>
          <w:highlight w:val="none"/>
        </w:rPr>
      </w:pPr>
    </w:p>
    <w:p w14:paraId="1387B79C">
      <w:pPr>
        <w:jc w:val="cente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lang w:val="en-US" w:eastAsia="zh-CN"/>
        </w:rPr>
        <w:t xml:space="preserve">5.1 </w:t>
      </w:r>
      <w:r>
        <w:rPr>
          <w:rFonts w:hint="eastAsia" w:ascii="宋体" w:hAnsi="宋体" w:cs="宋体"/>
          <w:b/>
          <w:color w:val="auto"/>
          <w:kern w:val="0"/>
          <w:sz w:val="32"/>
          <w:szCs w:val="32"/>
          <w:highlight w:val="none"/>
        </w:rPr>
        <w:t>项目负责人简历表</w:t>
      </w:r>
    </w:p>
    <w:p w14:paraId="22167B16">
      <w:pPr>
        <w:snapToGrid w:val="0"/>
        <w:spacing w:before="120" w:beforeLines="50" w:after="50" w:line="360" w:lineRule="auto"/>
        <w:jc w:val="center"/>
        <w:rPr>
          <w:rFonts w:ascii="仿宋_GB2312" w:hAnsi="仿宋_GB2312"/>
          <w:bCs/>
          <w:color w:val="auto"/>
          <w:sz w:val="24"/>
          <w:highlight w:val="none"/>
        </w:rPr>
      </w:pPr>
    </w:p>
    <w:p w14:paraId="267CA110">
      <w:pPr>
        <w:snapToGrid w:val="0"/>
        <w:spacing w:before="120" w:beforeLines="50" w:after="50" w:line="480" w:lineRule="auto"/>
        <w:rPr>
          <w:rFonts w:ascii="仿宋_GB2312" w:hAnsi="仿宋_GB2312"/>
          <w:color w:val="auto"/>
          <w:sz w:val="24"/>
          <w:highlight w:val="none"/>
        </w:rPr>
      </w:pPr>
      <w:r>
        <w:rPr>
          <w:rFonts w:hint="eastAsia" w:ascii="仿宋_GB2312" w:hAnsi="仿宋_GB2312"/>
          <w:bCs/>
          <w:color w:val="auto"/>
          <w:sz w:val="24"/>
          <w:highlight w:val="none"/>
        </w:rPr>
        <w:t>项目名称：</w:t>
      </w:r>
    </w:p>
    <w:p w14:paraId="5E216BEB">
      <w:pPr>
        <w:snapToGrid w:val="0"/>
        <w:spacing w:before="120" w:beforeLines="50" w:after="50" w:line="480" w:lineRule="auto"/>
        <w:rPr>
          <w:rFonts w:ascii="仿宋_GB2312" w:hAnsi="仿宋_GB2312"/>
          <w:bCs/>
          <w:color w:val="auto"/>
          <w:sz w:val="24"/>
          <w:szCs w:val="20"/>
          <w:highlight w:val="none"/>
        </w:rPr>
      </w:pPr>
      <w:r>
        <w:rPr>
          <w:rFonts w:hint="eastAsia" w:ascii="仿宋_GB2312" w:hAnsi="仿宋_GB2312"/>
          <w:bCs/>
          <w:color w:val="auto"/>
          <w:sz w:val="24"/>
          <w:highlight w:val="none"/>
        </w:rPr>
        <w:t>项目编号：</w:t>
      </w:r>
    </w:p>
    <w:tbl>
      <w:tblPr>
        <w:tblStyle w:val="62"/>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550"/>
        <w:gridCol w:w="2135"/>
        <w:gridCol w:w="1977"/>
      </w:tblGrid>
      <w:tr w14:paraId="7DCC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0A9013F6">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姓  名</w:t>
            </w:r>
          </w:p>
        </w:tc>
        <w:tc>
          <w:tcPr>
            <w:tcW w:w="2550" w:type="dxa"/>
            <w:tcBorders>
              <w:top w:val="single" w:color="000000" w:sz="8" w:space="0"/>
              <w:left w:val="single" w:color="auto" w:sz="4" w:space="0"/>
              <w:bottom w:val="single" w:color="000000" w:sz="4" w:space="0"/>
              <w:right w:val="single" w:color="000000" w:sz="4" w:space="0"/>
            </w:tcBorders>
            <w:noWrap w:val="0"/>
            <w:vAlign w:val="center"/>
          </w:tcPr>
          <w:p w14:paraId="2BFA203C">
            <w:pPr>
              <w:spacing w:line="351" w:lineRule="atLeast"/>
              <w:jc w:val="center"/>
              <w:rPr>
                <w:rFonts w:ascii="仿宋_GB2312" w:hAnsi="仿宋_GB2312"/>
                <w:color w:val="auto"/>
                <w:sz w:val="28"/>
                <w:highlight w:val="none"/>
              </w:rPr>
            </w:pPr>
          </w:p>
        </w:tc>
        <w:tc>
          <w:tcPr>
            <w:tcW w:w="2135" w:type="dxa"/>
            <w:tcBorders>
              <w:top w:val="single" w:color="000000" w:sz="8" w:space="0"/>
              <w:left w:val="single" w:color="auto" w:sz="4" w:space="0"/>
              <w:bottom w:val="single" w:color="000000" w:sz="4" w:space="0"/>
              <w:right w:val="single" w:color="000000" w:sz="4" w:space="0"/>
            </w:tcBorders>
            <w:noWrap w:val="0"/>
            <w:vAlign w:val="center"/>
          </w:tcPr>
          <w:p w14:paraId="16337035">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性  别</w:t>
            </w:r>
          </w:p>
        </w:tc>
        <w:tc>
          <w:tcPr>
            <w:tcW w:w="1977" w:type="dxa"/>
            <w:tcBorders>
              <w:top w:val="single" w:color="000000" w:sz="8" w:space="0"/>
              <w:left w:val="single" w:color="auto" w:sz="4" w:space="0"/>
              <w:bottom w:val="single" w:color="000000" w:sz="4" w:space="0"/>
              <w:right w:val="single" w:color="000000" w:sz="8" w:space="0"/>
            </w:tcBorders>
            <w:noWrap w:val="0"/>
            <w:vAlign w:val="center"/>
          </w:tcPr>
          <w:p w14:paraId="67064AEC">
            <w:pPr>
              <w:spacing w:line="351" w:lineRule="atLeast"/>
              <w:jc w:val="center"/>
              <w:rPr>
                <w:rFonts w:ascii="仿宋_GB2312" w:hAnsi="仿宋_GB2312"/>
                <w:color w:val="auto"/>
                <w:sz w:val="28"/>
                <w:highlight w:val="none"/>
              </w:rPr>
            </w:pPr>
          </w:p>
        </w:tc>
      </w:tr>
      <w:tr w14:paraId="48A2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365F39AC">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年  龄</w:t>
            </w:r>
          </w:p>
        </w:tc>
        <w:tc>
          <w:tcPr>
            <w:tcW w:w="2550" w:type="dxa"/>
            <w:tcBorders>
              <w:top w:val="single" w:color="000000" w:sz="8" w:space="0"/>
              <w:left w:val="single" w:color="auto" w:sz="4" w:space="0"/>
              <w:bottom w:val="single" w:color="000000" w:sz="4" w:space="0"/>
              <w:right w:val="single" w:color="000000" w:sz="4" w:space="0"/>
            </w:tcBorders>
            <w:noWrap w:val="0"/>
            <w:vAlign w:val="center"/>
          </w:tcPr>
          <w:p w14:paraId="25BC44B6">
            <w:pPr>
              <w:spacing w:line="351" w:lineRule="atLeast"/>
              <w:jc w:val="center"/>
              <w:rPr>
                <w:rFonts w:ascii="仿宋_GB2312" w:hAnsi="仿宋_GB2312"/>
                <w:color w:val="auto"/>
                <w:sz w:val="28"/>
                <w:highlight w:val="none"/>
              </w:rPr>
            </w:pPr>
          </w:p>
        </w:tc>
        <w:tc>
          <w:tcPr>
            <w:tcW w:w="2135" w:type="dxa"/>
            <w:tcBorders>
              <w:top w:val="single" w:color="000000" w:sz="8" w:space="0"/>
              <w:left w:val="single" w:color="auto" w:sz="4" w:space="0"/>
              <w:bottom w:val="single" w:color="000000" w:sz="4" w:space="0"/>
              <w:right w:val="single" w:color="000000" w:sz="4" w:space="0"/>
            </w:tcBorders>
            <w:noWrap w:val="0"/>
            <w:vAlign w:val="center"/>
          </w:tcPr>
          <w:p w14:paraId="40596452">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身份证号</w:t>
            </w:r>
          </w:p>
        </w:tc>
        <w:tc>
          <w:tcPr>
            <w:tcW w:w="1977" w:type="dxa"/>
            <w:tcBorders>
              <w:top w:val="single" w:color="000000" w:sz="8" w:space="0"/>
              <w:left w:val="single" w:color="auto" w:sz="4" w:space="0"/>
              <w:bottom w:val="single" w:color="000000" w:sz="4" w:space="0"/>
              <w:right w:val="single" w:color="000000" w:sz="8" w:space="0"/>
            </w:tcBorders>
            <w:noWrap w:val="0"/>
            <w:vAlign w:val="center"/>
          </w:tcPr>
          <w:p w14:paraId="33396273">
            <w:pPr>
              <w:spacing w:line="351" w:lineRule="atLeast"/>
              <w:jc w:val="center"/>
              <w:rPr>
                <w:rFonts w:ascii="仿宋_GB2312" w:hAnsi="仿宋_GB2312"/>
                <w:color w:val="auto"/>
                <w:sz w:val="28"/>
                <w:highlight w:val="none"/>
              </w:rPr>
            </w:pPr>
          </w:p>
        </w:tc>
      </w:tr>
      <w:tr w14:paraId="2679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3064B7E6">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资  格</w:t>
            </w:r>
          </w:p>
        </w:tc>
        <w:tc>
          <w:tcPr>
            <w:tcW w:w="2550" w:type="dxa"/>
            <w:tcBorders>
              <w:top w:val="single" w:color="auto" w:sz="4" w:space="0"/>
              <w:left w:val="single" w:color="auto" w:sz="4" w:space="0"/>
              <w:bottom w:val="single" w:color="auto" w:sz="4" w:space="0"/>
              <w:right w:val="single" w:color="000000" w:sz="4" w:space="0"/>
            </w:tcBorders>
            <w:noWrap w:val="0"/>
            <w:vAlign w:val="center"/>
          </w:tcPr>
          <w:p w14:paraId="54A32FBB">
            <w:pPr>
              <w:spacing w:line="351" w:lineRule="atLeast"/>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14:paraId="2738020E">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资格证书号</w:t>
            </w:r>
          </w:p>
        </w:tc>
        <w:tc>
          <w:tcPr>
            <w:tcW w:w="1977" w:type="dxa"/>
            <w:tcBorders>
              <w:top w:val="single" w:color="auto" w:sz="4" w:space="0"/>
              <w:left w:val="single" w:color="auto" w:sz="4" w:space="0"/>
              <w:bottom w:val="single" w:color="auto" w:sz="4" w:space="0"/>
              <w:right w:val="single" w:color="000000" w:sz="8" w:space="0"/>
            </w:tcBorders>
            <w:noWrap w:val="0"/>
            <w:vAlign w:val="center"/>
          </w:tcPr>
          <w:p w14:paraId="6D42EC62">
            <w:pPr>
              <w:spacing w:line="351" w:lineRule="atLeast"/>
              <w:jc w:val="center"/>
              <w:rPr>
                <w:rFonts w:ascii="仿宋_GB2312" w:hAnsi="仿宋_GB2312"/>
                <w:color w:val="auto"/>
                <w:sz w:val="28"/>
                <w:highlight w:val="none"/>
              </w:rPr>
            </w:pPr>
          </w:p>
        </w:tc>
      </w:tr>
      <w:tr w14:paraId="3B60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2727CD35">
            <w:pPr>
              <w:spacing w:line="351" w:lineRule="atLeast"/>
              <w:ind w:firstLine="557" w:firstLineChars="199"/>
              <w:rPr>
                <w:rFonts w:ascii="仿宋_GB2312" w:hAnsi="仿宋_GB2312"/>
                <w:color w:val="auto"/>
                <w:sz w:val="28"/>
                <w:highlight w:val="none"/>
              </w:rPr>
            </w:pPr>
            <w:r>
              <w:rPr>
                <w:rFonts w:hint="eastAsia" w:ascii="仿宋_GB2312" w:hAnsi="仿宋_GB2312"/>
                <w:color w:val="auto"/>
                <w:sz w:val="28"/>
                <w:highlight w:val="none"/>
              </w:rPr>
              <w:t>职  称</w:t>
            </w:r>
          </w:p>
        </w:tc>
        <w:tc>
          <w:tcPr>
            <w:tcW w:w="2550" w:type="dxa"/>
            <w:tcBorders>
              <w:top w:val="single" w:color="auto" w:sz="4" w:space="0"/>
              <w:left w:val="single" w:color="auto" w:sz="4" w:space="0"/>
              <w:bottom w:val="single" w:color="000000" w:sz="4" w:space="0"/>
              <w:right w:val="single" w:color="000000" w:sz="4" w:space="0"/>
            </w:tcBorders>
            <w:noWrap w:val="0"/>
            <w:vAlign w:val="center"/>
          </w:tcPr>
          <w:p w14:paraId="1CAD2681">
            <w:pPr>
              <w:spacing w:line="351" w:lineRule="atLeast"/>
              <w:ind w:firstLine="419"/>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000000" w:sz="4" w:space="0"/>
              <w:right w:val="single" w:color="auto" w:sz="4" w:space="0"/>
            </w:tcBorders>
            <w:noWrap w:val="0"/>
            <w:vAlign w:val="center"/>
          </w:tcPr>
          <w:p w14:paraId="28A34E08">
            <w:pPr>
              <w:spacing w:line="351" w:lineRule="atLeast"/>
              <w:ind w:firstLine="554" w:firstLineChars="198"/>
              <w:rPr>
                <w:rFonts w:ascii="仿宋_GB2312" w:hAnsi="仿宋_GB2312"/>
                <w:color w:val="auto"/>
                <w:sz w:val="28"/>
                <w:highlight w:val="none"/>
              </w:rPr>
            </w:pPr>
            <w:r>
              <w:rPr>
                <w:rFonts w:hint="eastAsia" w:ascii="仿宋_GB2312" w:hAnsi="仿宋_GB2312"/>
                <w:color w:val="auto"/>
                <w:sz w:val="28"/>
                <w:highlight w:val="none"/>
              </w:rPr>
              <w:t>学  历</w:t>
            </w:r>
          </w:p>
        </w:tc>
        <w:tc>
          <w:tcPr>
            <w:tcW w:w="1977" w:type="dxa"/>
            <w:tcBorders>
              <w:top w:val="single" w:color="auto" w:sz="4" w:space="0"/>
              <w:left w:val="single" w:color="auto" w:sz="4" w:space="0"/>
              <w:bottom w:val="single" w:color="000000" w:sz="4" w:space="0"/>
              <w:right w:val="single" w:color="000000" w:sz="8" w:space="0"/>
            </w:tcBorders>
            <w:noWrap w:val="0"/>
            <w:vAlign w:val="center"/>
          </w:tcPr>
          <w:p w14:paraId="5EFAC7E6">
            <w:pPr>
              <w:spacing w:line="351" w:lineRule="atLeast"/>
              <w:jc w:val="center"/>
              <w:rPr>
                <w:rFonts w:ascii="仿宋_GB2312" w:hAnsi="仿宋_GB2312"/>
                <w:color w:val="auto"/>
                <w:sz w:val="28"/>
                <w:highlight w:val="none"/>
              </w:rPr>
            </w:pPr>
          </w:p>
        </w:tc>
      </w:tr>
      <w:tr w14:paraId="67B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32A88CFD">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手机号</w:t>
            </w:r>
          </w:p>
        </w:tc>
        <w:tc>
          <w:tcPr>
            <w:tcW w:w="2550" w:type="dxa"/>
            <w:tcBorders>
              <w:top w:val="single" w:color="auto" w:sz="4" w:space="0"/>
              <w:left w:val="single" w:color="auto" w:sz="4" w:space="0"/>
              <w:bottom w:val="single" w:color="000000" w:sz="4" w:space="0"/>
              <w:right w:val="single" w:color="000000" w:sz="4" w:space="0"/>
            </w:tcBorders>
            <w:noWrap w:val="0"/>
            <w:vAlign w:val="center"/>
          </w:tcPr>
          <w:p w14:paraId="172C273E">
            <w:pPr>
              <w:spacing w:line="351" w:lineRule="atLeast"/>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000000" w:sz="4" w:space="0"/>
              <w:right w:val="single" w:color="auto" w:sz="4" w:space="0"/>
            </w:tcBorders>
            <w:noWrap w:val="0"/>
            <w:vAlign w:val="center"/>
          </w:tcPr>
          <w:p w14:paraId="12A05A80">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联系电话</w:t>
            </w:r>
          </w:p>
        </w:tc>
        <w:tc>
          <w:tcPr>
            <w:tcW w:w="1977" w:type="dxa"/>
            <w:tcBorders>
              <w:top w:val="single" w:color="auto" w:sz="4" w:space="0"/>
              <w:left w:val="single" w:color="auto" w:sz="4" w:space="0"/>
              <w:bottom w:val="single" w:color="000000" w:sz="4" w:space="0"/>
              <w:right w:val="single" w:color="000000" w:sz="8" w:space="0"/>
            </w:tcBorders>
            <w:noWrap w:val="0"/>
            <w:vAlign w:val="center"/>
          </w:tcPr>
          <w:p w14:paraId="3DAE39BE">
            <w:pPr>
              <w:spacing w:line="351" w:lineRule="atLeast"/>
              <w:jc w:val="center"/>
              <w:rPr>
                <w:rFonts w:ascii="仿宋_GB2312" w:hAnsi="仿宋_GB2312"/>
                <w:color w:val="auto"/>
                <w:sz w:val="28"/>
                <w:highlight w:val="none"/>
              </w:rPr>
            </w:pPr>
          </w:p>
        </w:tc>
      </w:tr>
      <w:tr w14:paraId="1EF6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128D4253">
            <w:pPr>
              <w:jc w:val="center"/>
              <w:rPr>
                <w:rFonts w:ascii="仿宋_GB2312" w:hAnsi="仿宋_GB2312"/>
                <w:color w:val="auto"/>
                <w:sz w:val="28"/>
                <w:highlight w:val="none"/>
              </w:rPr>
            </w:pPr>
            <w:r>
              <w:rPr>
                <w:rFonts w:hint="eastAsia" w:ascii="仿宋_GB2312" w:hAnsi="仿宋_GB2312"/>
                <w:color w:val="auto"/>
                <w:sz w:val="28"/>
                <w:highlight w:val="none"/>
              </w:rPr>
              <w:t>简</w:t>
            </w:r>
          </w:p>
          <w:p w14:paraId="166FEAAC">
            <w:pPr>
              <w:jc w:val="center"/>
              <w:rPr>
                <w:rFonts w:ascii="仿宋_GB2312" w:hAnsi="仿宋_GB2312"/>
                <w:color w:val="auto"/>
                <w:sz w:val="28"/>
                <w:highlight w:val="none"/>
              </w:rPr>
            </w:pPr>
          </w:p>
          <w:p w14:paraId="7046674B">
            <w:pPr>
              <w:jc w:val="center"/>
              <w:rPr>
                <w:rFonts w:ascii="仿宋_GB2312" w:hAnsi="仿宋_GB2312"/>
                <w:color w:val="auto"/>
                <w:sz w:val="28"/>
                <w:highlight w:val="none"/>
              </w:rPr>
            </w:pPr>
          </w:p>
          <w:p w14:paraId="0D300848">
            <w:pPr>
              <w:spacing w:line="351" w:lineRule="atLeast"/>
              <w:jc w:val="center"/>
              <w:rPr>
                <w:rFonts w:ascii="仿宋_GB2312" w:hAnsi="仿宋_GB2312"/>
                <w:color w:val="auto"/>
                <w:highlight w:val="none"/>
              </w:rPr>
            </w:pPr>
            <w:r>
              <w:rPr>
                <w:rFonts w:hint="eastAsia" w:ascii="仿宋_GB2312" w:hAnsi="仿宋_GB2312"/>
                <w:color w:val="auto"/>
                <w:sz w:val="28"/>
                <w:highlight w:val="none"/>
              </w:rPr>
              <w:t>历</w:t>
            </w:r>
          </w:p>
        </w:tc>
        <w:tc>
          <w:tcPr>
            <w:tcW w:w="7746" w:type="dxa"/>
            <w:gridSpan w:val="4"/>
            <w:tcBorders>
              <w:top w:val="single" w:color="auto" w:sz="4" w:space="0"/>
              <w:left w:val="single" w:color="auto" w:sz="4" w:space="0"/>
              <w:bottom w:val="single" w:color="000000" w:sz="8" w:space="0"/>
              <w:right w:val="single" w:color="000000" w:sz="8" w:space="0"/>
            </w:tcBorders>
            <w:noWrap w:val="0"/>
            <w:vAlign w:val="center"/>
          </w:tcPr>
          <w:p w14:paraId="03836C60">
            <w:pPr>
              <w:spacing w:line="351" w:lineRule="atLeast"/>
              <w:jc w:val="center"/>
              <w:rPr>
                <w:rFonts w:ascii="仿宋_GB2312" w:hAnsi="仿宋_GB2312"/>
                <w:color w:val="auto"/>
                <w:highlight w:val="none"/>
              </w:rPr>
            </w:pPr>
          </w:p>
        </w:tc>
      </w:tr>
    </w:tbl>
    <w:p w14:paraId="4B450FE5">
      <w:pPr>
        <w:rPr>
          <w:rFonts w:ascii="仿宋_GB2312" w:hAnsi="仿宋_GB2312"/>
          <w:bCs/>
          <w:snapToGrid w:val="0"/>
          <w:color w:val="auto"/>
          <w:highlight w:val="none"/>
        </w:rPr>
      </w:pPr>
    </w:p>
    <w:p w14:paraId="1981E2C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CEB225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70E5F2">
      <w:pPr>
        <w:snapToGrid w:val="0"/>
        <w:spacing w:before="50" w:after="120" w:afterLines="50"/>
        <w:jc w:val="left"/>
        <w:rPr>
          <w:rFonts w:hint="eastAsia" w:ascii="仿宋_GB2312" w:hAnsi="仿宋_GB2312"/>
          <w:color w:val="auto"/>
          <w:sz w:val="24"/>
          <w:szCs w:val="20"/>
          <w:highlight w:val="none"/>
        </w:rPr>
      </w:pPr>
    </w:p>
    <w:p w14:paraId="63827509">
      <w:pPr>
        <w:pStyle w:val="2"/>
        <w:ind w:firstLine="210"/>
        <w:rPr>
          <w:color w:val="auto"/>
          <w:highlight w:val="none"/>
        </w:rPr>
      </w:pPr>
    </w:p>
    <w:p w14:paraId="5984E845">
      <w:pPr>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5.2 项目实施人员（主要从业人员及其技术资格）一览表</w:t>
      </w:r>
    </w:p>
    <w:p w14:paraId="661296E0">
      <w:pPr>
        <w:snapToGrid w:val="0"/>
        <w:spacing w:before="120" w:beforeLines="50" w:after="50" w:line="480" w:lineRule="auto"/>
        <w:rPr>
          <w:rFonts w:hint="eastAsia" w:ascii="仿宋_GB2312" w:hAnsi="仿宋_GB2312"/>
          <w:bCs/>
          <w:color w:val="auto"/>
          <w:sz w:val="24"/>
          <w:highlight w:val="none"/>
        </w:rPr>
      </w:pPr>
    </w:p>
    <w:p w14:paraId="17A254AC">
      <w:pPr>
        <w:snapToGrid w:val="0"/>
        <w:spacing w:before="120" w:beforeLines="50" w:after="50" w:line="480" w:lineRule="auto"/>
        <w:rPr>
          <w:rFonts w:ascii="仿宋_GB2312" w:hAnsi="仿宋_GB2312"/>
          <w:color w:val="auto"/>
          <w:sz w:val="24"/>
          <w:highlight w:val="none"/>
        </w:rPr>
      </w:pPr>
      <w:r>
        <w:rPr>
          <w:rFonts w:hint="eastAsia" w:ascii="仿宋_GB2312" w:hAnsi="仿宋_GB2312"/>
          <w:bCs/>
          <w:color w:val="auto"/>
          <w:sz w:val="24"/>
          <w:highlight w:val="none"/>
        </w:rPr>
        <w:t>项目名称：</w:t>
      </w:r>
    </w:p>
    <w:p w14:paraId="7D36EF18">
      <w:pPr>
        <w:snapToGrid w:val="0"/>
        <w:spacing w:before="120" w:beforeLines="50" w:after="50" w:line="480" w:lineRule="auto"/>
        <w:rPr>
          <w:rFonts w:ascii="仿宋_GB2312" w:hAnsi="仿宋_GB2312"/>
          <w:bCs/>
          <w:color w:val="auto"/>
          <w:sz w:val="24"/>
          <w:szCs w:val="20"/>
          <w:highlight w:val="none"/>
        </w:rPr>
      </w:pPr>
      <w:r>
        <w:rPr>
          <w:rFonts w:hint="eastAsia" w:ascii="仿宋_GB2312" w:hAnsi="仿宋_GB2312"/>
          <w:bCs/>
          <w:color w:val="auto"/>
          <w:sz w:val="24"/>
          <w:highlight w:val="none"/>
        </w:rPr>
        <w:t>项目编号：</w:t>
      </w:r>
    </w:p>
    <w:tbl>
      <w:tblPr>
        <w:tblStyle w:val="62"/>
        <w:tblW w:w="0" w:type="auto"/>
        <w:tblInd w:w="-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7BDB6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4F0DB85F">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6F8345D">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601926A">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942D60">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AE9E73C">
            <w:pPr>
              <w:snapToGrid w:val="0"/>
              <w:spacing w:before="120" w:beforeLines="50" w:after="50" w:line="360" w:lineRule="auto"/>
              <w:jc w:val="center"/>
              <w:rPr>
                <w:rFonts w:ascii="仿宋_GB2312" w:hAnsi="仿宋_GB2312"/>
                <w:bCs/>
                <w:color w:val="auto"/>
                <w:sz w:val="24"/>
                <w:highlight w:val="none"/>
              </w:rPr>
            </w:pPr>
            <w:r>
              <w:rPr>
                <w:rFonts w:hint="eastAsia" w:ascii="仿宋_GB2312" w:hAnsi="仿宋_GB2312"/>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0BD11A3">
            <w:pPr>
              <w:snapToGrid w:val="0"/>
              <w:spacing w:before="120" w:beforeLines="50" w:after="50" w:line="360" w:lineRule="auto"/>
              <w:jc w:val="center"/>
              <w:rPr>
                <w:rFonts w:ascii="仿宋_GB2312" w:hAnsi="仿宋_GB2312"/>
                <w:bCs/>
                <w:color w:val="auto"/>
                <w:sz w:val="24"/>
                <w:highlight w:val="none"/>
              </w:rPr>
            </w:pPr>
            <w:r>
              <w:rPr>
                <w:rFonts w:hint="eastAsia" w:ascii="仿宋_GB2312" w:hAnsi="仿宋_GB2312"/>
                <w:bCs/>
                <w:color w:val="auto"/>
                <w:sz w:val="24"/>
                <w:highlight w:val="none"/>
              </w:rPr>
              <w:t>劳动合同编号</w:t>
            </w:r>
          </w:p>
        </w:tc>
      </w:tr>
      <w:tr w14:paraId="7D4B9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E030CA0">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1B005F1">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0F154E2">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27F71EA">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5881EF9">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B5289B9">
            <w:pPr>
              <w:snapToGrid w:val="0"/>
              <w:spacing w:before="120" w:beforeLines="50" w:after="50" w:line="360" w:lineRule="auto"/>
              <w:rPr>
                <w:rFonts w:ascii="仿宋_GB2312" w:hAnsi="仿宋_GB2312"/>
                <w:color w:val="auto"/>
                <w:sz w:val="24"/>
                <w:highlight w:val="none"/>
              </w:rPr>
            </w:pPr>
          </w:p>
        </w:tc>
      </w:tr>
      <w:tr w14:paraId="0996A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3FD2D6F">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362D952">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5A6D715">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D745656">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1825459">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4954ABC">
            <w:pPr>
              <w:snapToGrid w:val="0"/>
              <w:spacing w:before="120" w:beforeLines="50" w:after="50" w:line="360" w:lineRule="auto"/>
              <w:rPr>
                <w:rFonts w:ascii="仿宋_GB2312" w:hAnsi="仿宋_GB2312"/>
                <w:color w:val="auto"/>
                <w:sz w:val="24"/>
                <w:highlight w:val="none"/>
              </w:rPr>
            </w:pPr>
          </w:p>
        </w:tc>
      </w:tr>
      <w:tr w14:paraId="371D7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7CAE44F">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E78B8FC">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22D9E14">
            <w:pPr>
              <w:pStyle w:val="36"/>
              <w:snapToGrid w:val="0"/>
              <w:spacing w:before="120" w:beforeLines="50" w:after="50" w:line="360" w:lineRule="auto"/>
              <w:ind w:left="5250"/>
              <w:rPr>
                <w:rFonts w:ascii="仿宋_GB2312" w:hAns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686F1C">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9BA1ABE">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83C315E">
            <w:pPr>
              <w:snapToGrid w:val="0"/>
              <w:spacing w:before="120" w:beforeLines="50" w:after="50" w:line="360" w:lineRule="auto"/>
              <w:rPr>
                <w:rFonts w:ascii="仿宋_GB2312" w:hAnsi="仿宋_GB2312"/>
                <w:color w:val="auto"/>
                <w:sz w:val="24"/>
                <w:highlight w:val="none"/>
              </w:rPr>
            </w:pPr>
          </w:p>
        </w:tc>
      </w:tr>
      <w:tr w14:paraId="3D7CF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8939831">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3C47877">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CDD2464">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D33B8C">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A60ED2C">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0557F56">
            <w:pPr>
              <w:snapToGrid w:val="0"/>
              <w:spacing w:before="120" w:beforeLines="50" w:after="50" w:line="360" w:lineRule="auto"/>
              <w:rPr>
                <w:rFonts w:ascii="仿宋_GB2312" w:hAnsi="仿宋_GB2312"/>
                <w:color w:val="auto"/>
                <w:sz w:val="24"/>
                <w:highlight w:val="none"/>
              </w:rPr>
            </w:pPr>
          </w:p>
        </w:tc>
      </w:tr>
      <w:tr w14:paraId="2817C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87E8D16">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633BF55">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3C89FB7">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E678CE">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9938BDF">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65B374A">
            <w:pPr>
              <w:snapToGrid w:val="0"/>
              <w:spacing w:before="120" w:beforeLines="50" w:after="50" w:line="360" w:lineRule="auto"/>
              <w:rPr>
                <w:rFonts w:ascii="仿宋_GB2312" w:hAnsi="仿宋_GB2312"/>
                <w:color w:val="auto"/>
                <w:sz w:val="24"/>
                <w:highlight w:val="none"/>
              </w:rPr>
            </w:pPr>
          </w:p>
        </w:tc>
      </w:tr>
      <w:tr w14:paraId="1C750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F37CE2B">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2E89198">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C0B47B7">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26CC408">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AC6A973">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29A5EF5">
            <w:pPr>
              <w:snapToGrid w:val="0"/>
              <w:spacing w:before="120" w:beforeLines="50" w:after="50" w:line="360" w:lineRule="auto"/>
              <w:rPr>
                <w:rFonts w:ascii="仿宋_GB2312" w:hAnsi="仿宋_GB2312"/>
                <w:color w:val="auto"/>
                <w:sz w:val="24"/>
                <w:highlight w:val="none"/>
              </w:rPr>
            </w:pPr>
          </w:p>
        </w:tc>
      </w:tr>
      <w:tr w14:paraId="7C410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73B2F5D">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0F8DD62">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E261762">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FD29CC">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E31261D">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64C7455">
            <w:pPr>
              <w:snapToGrid w:val="0"/>
              <w:spacing w:before="120" w:beforeLines="50" w:after="50" w:line="360" w:lineRule="auto"/>
              <w:rPr>
                <w:rFonts w:ascii="仿宋_GB2312" w:hAnsi="仿宋_GB2312"/>
                <w:color w:val="auto"/>
                <w:sz w:val="24"/>
                <w:highlight w:val="none"/>
              </w:rPr>
            </w:pPr>
          </w:p>
        </w:tc>
      </w:tr>
      <w:tr w14:paraId="1EF5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6B98FC3">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C7D69F4">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965C9CF">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080D76C">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A42FAD6">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F76DE7B">
            <w:pPr>
              <w:snapToGrid w:val="0"/>
              <w:spacing w:before="120" w:beforeLines="50" w:after="50" w:line="360" w:lineRule="auto"/>
              <w:rPr>
                <w:rFonts w:ascii="仿宋_GB2312" w:hAnsi="仿宋_GB2312"/>
                <w:color w:val="auto"/>
                <w:sz w:val="24"/>
                <w:highlight w:val="none"/>
              </w:rPr>
            </w:pPr>
          </w:p>
        </w:tc>
      </w:tr>
      <w:tr w14:paraId="15538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7711116">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ED4CE55">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81F0388">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AFC8900">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2DD6699">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501951C">
            <w:pPr>
              <w:snapToGrid w:val="0"/>
              <w:spacing w:before="120" w:beforeLines="50" w:after="50" w:line="360" w:lineRule="auto"/>
              <w:rPr>
                <w:rFonts w:ascii="仿宋_GB2312" w:hAnsi="仿宋_GB2312"/>
                <w:color w:val="auto"/>
                <w:sz w:val="24"/>
                <w:highlight w:val="none"/>
              </w:rPr>
            </w:pPr>
          </w:p>
        </w:tc>
      </w:tr>
    </w:tbl>
    <w:p w14:paraId="79298B63">
      <w:pPr>
        <w:snapToGrid w:val="0"/>
        <w:spacing w:before="50" w:after="120" w:afterLines="50"/>
        <w:jc w:val="left"/>
        <w:rPr>
          <w:rFonts w:ascii="仿宋_GB2312" w:hAnsi="仿宋_GB2312"/>
          <w:color w:val="auto"/>
          <w:sz w:val="24"/>
          <w:highlight w:val="none"/>
        </w:rPr>
      </w:pPr>
      <w:r>
        <w:rPr>
          <w:rFonts w:hint="eastAsia" w:ascii="仿宋_GB2312" w:hAnsi="仿宋_GB2312"/>
          <w:color w:val="auto"/>
          <w:sz w:val="24"/>
          <w:highlight w:val="none"/>
        </w:rPr>
        <w:t>注：在填写时，如本表格不适合投标人的实际情况，可根据本表格式自行划表填写。</w:t>
      </w:r>
    </w:p>
    <w:p w14:paraId="2E379E9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681D9F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EEBA9F">
      <w:pPr>
        <w:rPr>
          <w:rFonts w:ascii="宋体" w:hAnsi="宋体" w:cs="宋体"/>
          <w:b/>
          <w:color w:val="auto"/>
          <w:kern w:val="0"/>
          <w:sz w:val="32"/>
          <w:szCs w:val="32"/>
          <w:highlight w:val="none"/>
        </w:rPr>
      </w:pPr>
    </w:p>
    <w:p w14:paraId="07A4FC76">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11AF36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E01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70103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986A2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DBE440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A4972B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FB7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538D1F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3A32E4A9">
            <w:pPr>
              <w:jc w:val="center"/>
              <w:rPr>
                <w:rFonts w:ascii="宋体" w:hAnsi="宋体" w:cs="宋体"/>
                <w:b/>
                <w:color w:val="auto"/>
                <w:kern w:val="0"/>
                <w:sz w:val="32"/>
                <w:szCs w:val="32"/>
                <w:highlight w:val="none"/>
              </w:rPr>
            </w:pPr>
          </w:p>
        </w:tc>
        <w:tc>
          <w:tcPr>
            <w:tcW w:w="3062" w:type="dxa"/>
          </w:tcPr>
          <w:p w14:paraId="08FA15E4">
            <w:pPr>
              <w:jc w:val="center"/>
              <w:rPr>
                <w:rFonts w:ascii="宋体" w:hAnsi="宋体" w:cs="宋体"/>
                <w:b/>
                <w:color w:val="auto"/>
                <w:kern w:val="0"/>
                <w:sz w:val="32"/>
                <w:szCs w:val="32"/>
                <w:highlight w:val="none"/>
              </w:rPr>
            </w:pPr>
          </w:p>
        </w:tc>
        <w:tc>
          <w:tcPr>
            <w:tcW w:w="1102" w:type="dxa"/>
          </w:tcPr>
          <w:p w14:paraId="34255032">
            <w:pPr>
              <w:jc w:val="center"/>
              <w:rPr>
                <w:rFonts w:ascii="宋体" w:hAnsi="宋体" w:cs="宋体"/>
                <w:b/>
                <w:color w:val="auto"/>
                <w:kern w:val="0"/>
                <w:sz w:val="32"/>
                <w:szCs w:val="32"/>
                <w:highlight w:val="none"/>
              </w:rPr>
            </w:pPr>
          </w:p>
        </w:tc>
      </w:tr>
      <w:tr w14:paraId="1AE4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54FF6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5C65A4B">
            <w:pPr>
              <w:jc w:val="center"/>
              <w:rPr>
                <w:rFonts w:ascii="宋体" w:hAnsi="宋体" w:cs="宋体"/>
                <w:b/>
                <w:color w:val="auto"/>
                <w:kern w:val="0"/>
                <w:sz w:val="32"/>
                <w:szCs w:val="32"/>
                <w:highlight w:val="none"/>
              </w:rPr>
            </w:pPr>
          </w:p>
        </w:tc>
        <w:tc>
          <w:tcPr>
            <w:tcW w:w="3062" w:type="dxa"/>
          </w:tcPr>
          <w:p w14:paraId="5B1F4910">
            <w:pPr>
              <w:jc w:val="center"/>
              <w:rPr>
                <w:rFonts w:ascii="宋体" w:hAnsi="宋体" w:cs="宋体"/>
                <w:b/>
                <w:color w:val="auto"/>
                <w:kern w:val="0"/>
                <w:sz w:val="32"/>
                <w:szCs w:val="32"/>
                <w:highlight w:val="none"/>
              </w:rPr>
            </w:pPr>
          </w:p>
        </w:tc>
        <w:tc>
          <w:tcPr>
            <w:tcW w:w="1102" w:type="dxa"/>
          </w:tcPr>
          <w:p w14:paraId="53F11F2A">
            <w:pPr>
              <w:jc w:val="center"/>
              <w:rPr>
                <w:rFonts w:ascii="宋体" w:hAnsi="宋体" w:cs="宋体"/>
                <w:b/>
                <w:color w:val="auto"/>
                <w:kern w:val="0"/>
                <w:sz w:val="32"/>
                <w:szCs w:val="32"/>
                <w:highlight w:val="none"/>
              </w:rPr>
            </w:pPr>
          </w:p>
        </w:tc>
      </w:tr>
      <w:tr w14:paraId="19CD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2539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EB333BF">
            <w:pPr>
              <w:jc w:val="center"/>
              <w:rPr>
                <w:rFonts w:ascii="宋体" w:hAnsi="宋体" w:cs="宋体"/>
                <w:b/>
                <w:color w:val="auto"/>
                <w:kern w:val="0"/>
                <w:sz w:val="32"/>
                <w:szCs w:val="32"/>
                <w:highlight w:val="none"/>
              </w:rPr>
            </w:pPr>
          </w:p>
        </w:tc>
        <w:tc>
          <w:tcPr>
            <w:tcW w:w="3062" w:type="dxa"/>
          </w:tcPr>
          <w:p w14:paraId="34416644">
            <w:pPr>
              <w:jc w:val="center"/>
              <w:rPr>
                <w:rFonts w:ascii="宋体" w:hAnsi="宋体" w:cs="宋体"/>
                <w:b/>
                <w:color w:val="auto"/>
                <w:kern w:val="0"/>
                <w:sz w:val="32"/>
                <w:szCs w:val="32"/>
                <w:highlight w:val="none"/>
              </w:rPr>
            </w:pPr>
          </w:p>
        </w:tc>
        <w:tc>
          <w:tcPr>
            <w:tcW w:w="1102" w:type="dxa"/>
          </w:tcPr>
          <w:p w14:paraId="21880C75">
            <w:pPr>
              <w:jc w:val="center"/>
              <w:rPr>
                <w:rFonts w:ascii="宋体" w:hAnsi="宋体" w:cs="宋体"/>
                <w:b/>
                <w:color w:val="auto"/>
                <w:kern w:val="0"/>
                <w:sz w:val="32"/>
                <w:szCs w:val="32"/>
                <w:highlight w:val="none"/>
              </w:rPr>
            </w:pPr>
          </w:p>
        </w:tc>
      </w:tr>
    </w:tbl>
    <w:p w14:paraId="53AEF03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981DFB">
      <w:pPr>
        <w:jc w:val="center"/>
        <w:rPr>
          <w:rFonts w:ascii="宋体" w:hAnsi="宋体" w:cs="宋体"/>
          <w:b/>
          <w:color w:val="auto"/>
          <w:kern w:val="0"/>
          <w:sz w:val="32"/>
          <w:szCs w:val="32"/>
          <w:highlight w:val="none"/>
        </w:rPr>
      </w:pPr>
    </w:p>
    <w:p w14:paraId="42321F80">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B3CAE6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AE394F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9FA698B">
      <w:pPr>
        <w:ind w:firstLine="1911" w:firstLineChars="595"/>
        <w:rPr>
          <w:rFonts w:ascii="宋体" w:hAnsi="宋体" w:cs="宋体"/>
          <w:b/>
          <w:bCs/>
          <w:color w:val="auto"/>
          <w:sz w:val="32"/>
          <w:szCs w:val="32"/>
          <w:highlight w:val="none"/>
        </w:rPr>
      </w:pPr>
    </w:p>
    <w:p w14:paraId="3A9F3A81">
      <w:pPr>
        <w:ind w:firstLine="1911" w:firstLineChars="595"/>
        <w:rPr>
          <w:rFonts w:ascii="宋体" w:hAnsi="宋体" w:cs="宋体"/>
          <w:b/>
          <w:bCs/>
          <w:color w:val="auto"/>
          <w:sz w:val="32"/>
          <w:szCs w:val="32"/>
          <w:highlight w:val="none"/>
        </w:rPr>
      </w:pPr>
    </w:p>
    <w:p w14:paraId="15FD98F2">
      <w:pPr>
        <w:ind w:firstLine="1911" w:firstLineChars="595"/>
        <w:rPr>
          <w:rFonts w:ascii="宋体" w:hAnsi="宋体" w:cs="宋体"/>
          <w:b/>
          <w:bCs/>
          <w:color w:val="auto"/>
          <w:sz w:val="32"/>
          <w:szCs w:val="32"/>
          <w:highlight w:val="none"/>
        </w:rPr>
      </w:pPr>
    </w:p>
    <w:p w14:paraId="00E453D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584577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A99561E">
      <w:pPr>
        <w:snapToGrid w:val="0"/>
        <w:spacing w:line="360" w:lineRule="auto"/>
        <w:rPr>
          <w:rFonts w:ascii="宋体" w:hAnsi="宋体" w:cs="宋体"/>
          <w:color w:val="auto"/>
          <w:sz w:val="24"/>
          <w:highlight w:val="none"/>
        </w:rPr>
      </w:pPr>
    </w:p>
    <w:p w14:paraId="0C874D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0C0B82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6D40D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5DA30B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64CCC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270C06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09DD5F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48CF32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DE6A24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B5279E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C0C7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A515A42">
      <w:pPr>
        <w:autoSpaceDE w:val="0"/>
        <w:autoSpaceDN w:val="0"/>
        <w:spacing w:line="360" w:lineRule="auto"/>
        <w:ind w:left="2"/>
        <w:jc w:val="left"/>
        <w:rPr>
          <w:rFonts w:ascii="宋体" w:hAnsi="宋体" w:cs="宋体"/>
          <w:color w:val="auto"/>
          <w:kern w:val="0"/>
          <w:sz w:val="24"/>
          <w:highlight w:val="none"/>
          <w:lang w:val="zh-CN"/>
        </w:rPr>
      </w:pPr>
    </w:p>
    <w:p w14:paraId="532F59A5">
      <w:pPr>
        <w:autoSpaceDE w:val="0"/>
        <w:autoSpaceDN w:val="0"/>
        <w:spacing w:line="360" w:lineRule="auto"/>
        <w:ind w:left="2"/>
        <w:jc w:val="left"/>
        <w:rPr>
          <w:rFonts w:ascii="宋体" w:hAnsi="宋体" w:cs="宋体"/>
          <w:color w:val="auto"/>
          <w:kern w:val="0"/>
          <w:sz w:val="24"/>
          <w:highlight w:val="none"/>
          <w:lang w:val="zh-CN"/>
        </w:rPr>
      </w:pPr>
    </w:p>
    <w:p w14:paraId="2A754894">
      <w:pPr>
        <w:autoSpaceDE w:val="0"/>
        <w:autoSpaceDN w:val="0"/>
        <w:spacing w:line="360" w:lineRule="auto"/>
        <w:ind w:left="2"/>
        <w:jc w:val="left"/>
        <w:rPr>
          <w:rFonts w:ascii="宋体" w:hAnsi="宋体" w:cs="宋体"/>
          <w:color w:val="auto"/>
          <w:kern w:val="0"/>
          <w:sz w:val="24"/>
          <w:highlight w:val="none"/>
          <w:lang w:val="zh-CN"/>
        </w:rPr>
      </w:pPr>
    </w:p>
    <w:p w14:paraId="5D441DA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F9A00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FB74D9D">
      <w:pPr>
        <w:spacing w:line="360" w:lineRule="auto"/>
        <w:jc w:val="center"/>
        <w:rPr>
          <w:rFonts w:ascii="宋体" w:hAnsi="宋体" w:cs="宋体"/>
          <w:b/>
          <w:bCs/>
          <w:color w:val="auto"/>
          <w:sz w:val="24"/>
          <w:highlight w:val="none"/>
        </w:rPr>
      </w:pPr>
    </w:p>
    <w:p w14:paraId="2AF578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416C7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1E9BD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B3AA7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82199A">
      <w:pPr>
        <w:spacing w:line="360" w:lineRule="auto"/>
        <w:jc w:val="center"/>
        <w:outlineLvl w:val="0"/>
        <w:rPr>
          <w:rFonts w:ascii="宋体" w:hAnsi="宋体" w:cs="宋体"/>
          <w:b/>
          <w:color w:val="auto"/>
          <w:kern w:val="0"/>
          <w:sz w:val="36"/>
          <w:szCs w:val="36"/>
          <w:highlight w:val="none"/>
        </w:rPr>
      </w:pPr>
    </w:p>
    <w:p w14:paraId="7EE440C1">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AC87C3E">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投标价格组成明细表</w:t>
      </w:r>
      <w:r>
        <w:rPr>
          <w:rFonts w:hint="eastAsia" w:ascii="宋体" w:hAnsi="宋体" w:cs="宋体"/>
          <w:color w:val="auto"/>
          <w:sz w:val="24"/>
          <w:highlight w:val="none"/>
        </w:rPr>
        <w:t>…………………………………………………………（页码）</w:t>
      </w:r>
    </w:p>
    <w:p w14:paraId="402B4836">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14:paraId="41D1696E">
      <w:pPr>
        <w:pStyle w:val="80"/>
        <w:rPr>
          <w:rFonts w:hint="eastAsia"/>
          <w:color w:val="auto"/>
          <w:highlight w:val="none"/>
        </w:rPr>
      </w:pPr>
    </w:p>
    <w:p w14:paraId="43BEE01D">
      <w:pPr>
        <w:pStyle w:val="80"/>
        <w:rPr>
          <w:color w:val="auto"/>
          <w:highlight w:val="none"/>
        </w:rPr>
      </w:pPr>
    </w:p>
    <w:p w14:paraId="734FCDB2">
      <w:pPr>
        <w:snapToGrid w:val="0"/>
        <w:spacing w:line="360" w:lineRule="auto"/>
        <w:ind w:right="480"/>
        <w:jc w:val="center"/>
        <w:rPr>
          <w:rFonts w:ascii="宋体" w:hAnsi="宋体" w:cs="宋体"/>
          <w:b/>
          <w:color w:val="auto"/>
          <w:kern w:val="0"/>
          <w:sz w:val="32"/>
          <w:szCs w:val="32"/>
          <w:highlight w:val="none"/>
        </w:rPr>
      </w:pPr>
    </w:p>
    <w:p w14:paraId="1FACF345">
      <w:pPr>
        <w:snapToGrid w:val="0"/>
        <w:spacing w:line="360" w:lineRule="auto"/>
        <w:ind w:right="480"/>
        <w:jc w:val="center"/>
        <w:rPr>
          <w:rFonts w:ascii="宋体" w:hAnsi="宋体" w:cs="宋体"/>
          <w:b/>
          <w:color w:val="auto"/>
          <w:kern w:val="0"/>
          <w:sz w:val="32"/>
          <w:szCs w:val="32"/>
          <w:highlight w:val="none"/>
        </w:rPr>
      </w:pPr>
    </w:p>
    <w:p w14:paraId="2E3176C7">
      <w:pPr>
        <w:snapToGrid w:val="0"/>
        <w:spacing w:line="360" w:lineRule="auto"/>
        <w:ind w:right="480"/>
        <w:jc w:val="center"/>
        <w:rPr>
          <w:rFonts w:ascii="宋体" w:hAnsi="宋体" w:cs="宋体"/>
          <w:b/>
          <w:color w:val="auto"/>
          <w:kern w:val="0"/>
          <w:sz w:val="32"/>
          <w:szCs w:val="32"/>
          <w:highlight w:val="none"/>
        </w:rPr>
      </w:pPr>
    </w:p>
    <w:p w14:paraId="64FBAE7B">
      <w:pPr>
        <w:snapToGrid w:val="0"/>
        <w:spacing w:line="360" w:lineRule="auto"/>
        <w:ind w:right="480"/>
        <w:jc w:val="center"/>
        <w:rPr>
          <w:rFonts w:ascii="宋体" w:hAnsi="宋体" w:cs="宋体"/>
          <w:b/>
          <w:color w:val="auto"/>
          <w:kern w:val="0"/>
          <w:sz w:val="32"/>
          <w:szCs w:val="32"/>
          <w:highlight w:val="none"/>
        </w:rPr>
      </w:pPr>
    </w:p>
    <w:p w14:paraId="68A99391">
      <w:pPr>
        <w:snapToGrid w:val="0"/>
        <w:spacing w:line="360" w:lineRule="auto"/>
        <w:ind w:right="480"/>
        <w:jc w:val="center"/>
        <w:rPr>
          <w:rFonts w:ascii="宋体" w:hAnsi="宋体" w:cs="宋体"/>
          <w:b/>
          <w:color w:val="auto"/>
          <w:kern w:val="0"/>
          <w:sz w:val="32"/>
          <w:szCs w:val="32"/>
          <w:highlight w:val="none"/>
        </w:rPr>
      </w:pPr>
    </w:p>
    <w:p w14:paraId="596EFEB2">
      <w:pPr>
        <w:snapToGrid w:val="0"/>
        <w:spacing w:line="360" w:lineRule="auto"/>
        <w:ind w:right="480"/>
        <w:jc w:val="center"/>
        <w:rPr>
          <w:rFonts w:ascii="宋体" w:hAnsi="宋体" w:cs="宋体"/>
          <w:b/>
          <w:color w:val="auto"/>
          <w:kern w:val="0"/>
          <w:sz w:val="32"/>
          <w:szCs w:val="32"/>
          <w:highlight w:val="none"/>
        </w:rPr>
      </w:pPr>
    </w:p>
    <w:p w14:paraId="2CDC8BE9">
      <w:pPr>
        <w:snapToGrid w:val="0"/>
        <w:spacing w:line="360" w:lineRule="auto"/>
        <w:ind w:right="480"/>
        <w:jc w:val="center"/>
        <w:rPr>
          <w:rFonts w:ascii="宋体" w:hAnsi="宋体" w:cs="宋体"/>
          <w:b/>
          <w:color w:val="auto"/>
          <w:kern w:val="0"/>
          <w:sz w:val="32"/>
          <w:szCs w:val="32"/>
          <w:highlight w:val="none"/>
        </w:rPr>
      </w:pPr>
    </w:p>
    <w:p w14:paraId="2902F69E">
      <w:pPr>
        <w:snapToGrid w:val="0"/>
        <w:spacing w:line="360" w:lineRule="auto"/>
        <w:ind w:right="480"/>
        <w:jc w:val="center"/>
        <w:rPr>
          <w:rFonts w:ascii="宋体" w:hAnsi="宋体" w:cs="宋体"/>
          <w:b/>
          <w:color w:val="auto"/>
          <w:kern w:val="0"/>
          <w:sz w:val="32"/>
          <w:szCs w:val="32"/>
          <w:highlight w:val="none"/>
        </w:rPr>
      </w:pPr>
    </w:p>
    <w:p w14:paraId="6BD5C9D9">
      <w:pPr>
        <w:snapToGrid w:val="0"/>
        <w:spacing w:line="360" w:lineRule="auto"/>
        <w:ind w:right="480"/>
        <w:jc w:val="center"/>
        <w:rPr>
          <w:rFonts w:ascii="宋体" w:hAnsi="宋体" w:cs="宋体"/>
          <w:b/>
          <w:color w:val="auto"/>
          <w:kern w:val="0"/>
          <w:sz w:val="32"/>
          <w:szCs w:val="32"/>
          <w:highlight w:val="none"/>
        </w:rPr>
      </w:pPr>
    </w:p>
    <w:p w14:paraId="0CDEE06D">
      <w:pPr>
        <w:snapToGrid w:val="0"/>
        <w:spacing w:line="360" w:lineRule="auto"/>
        <w:ind w:right="480"/>
        <w:jc w:val="center"/>
        <w:rPr>
          <w:rFonts w:ascii="宋体" w:hAnsi="宋体" w:cs="宋体"/>
          <w:b/>
          <w:color w:val="auto"/>
          <w:kern w:val="0"/>
          <w:sz w:val="32"/>
          <w:szCs w:val="32"/>
          <w:highlight w:val="none"/>
        </w:rPr>
      </w:pPr>
    </w:p>
    <w:p w14:paraId="1008F8AE">
      <w:pPr>
        <w:snapToGrid w:val="0"/>
        <w:spacing w:line="360" w:lineRule="auto"/>
        <w:ind w:right="480"/>
        <w:jc w:val="center"/>
        <w:rPr>
          <w:rFonts w:ascii="宋体" w:hAnsi="宋体" w:cs="宋体"/>
          <w:b/>
          <w:color w:val="auto"/>
          <w:kern w:val="0"/>
          <w:sz w:val="32"/>
          <w:szCs w:val="32"/>
          <w:highlight w:val="none"/>
        </w:rPr>
      </w:pPr>
    </w:p>
    <w:p w14:paraId="5CD31114">
      <w:pPr>
        <w:snapToGrid w:val="0"/>
        <w:spacing w:line="360" w:lineRule="auto"/>
        <w:ind w:right="480"/>
        <w:jc w:val="center"/>
        <w:rPr>
          <w:rFonts w:ascii="宋体" w:hAnsi="宋体" w:cs="宋体"/>
          <w:b/>
          <w:color w:val="auto"/>
          <w:kern w:val="0"/>
          <w:sz w:val="32"/>
          <w:szCs w:val="32"/>
          <w:highlight w:val="none"/>
        </w:rPr>
      </w:pPr>
    </w:p>
    <w:p w14:paraId="5A090FE9">
      <w:pPr>
        <w:snapToGrid w:val="0"/>
        <w:spacing w:line="360" w:lineRule="auto"/>
        <w:ind w:right="480"/>
        <w:jc w:val="center"/>
        <w:rPr>
          <w:rFonts w:ascii="宋体" w:hAnsi="宋体" w:cs="宋体"/>
          <w:b/>
          <w:color w:val="auto"/>
          <w:kern w:val="0"/>
          <w:sz w:val="32"/>
          <w:szCs w:val="32"/>
          <w:highlight w:val="none"/>
        </w:rPr>
      </w:pPr>
    </w:p>
    <w:p w14:paraId="6ACB2127">
      <w:pPr>
        <w:snapToGrid w:val="0"/>
        <w:spacing w:line="360" w:lineRule="auto"/>
        <w:ind w:right="480"/>
        <w:jc w:val="center"/>
        <w:rPr>
          <w:rFonts w:ascii="宋体" w:hAnsi="宋体" w:cs="宋体"/>
          <w:b/>
          <w:color w:val="auto"/>
          <w:kern w:val="0"/>
          <w:sz w:val="32"/>
          <w:szCs w:val="32"/>
          <w:highlight w:val="none"/>
        </w:rPr>
      </w:pPr>
    </w:p>
    <w:p w14:paraId="6920B97F">
      <w:pPr>
        <w:snapToGrid w:val="0"/>
        <w:spacing w:line="360" w:lineRule="auto"/>
        <w:ind w:right="480"/>
        <w:jc w:val="center"/>
        <w:rPr>
          <w:rFonts w:ascii="宋体" w:hAnsi="宋体" w:cs="宋体"/>
          <w:b/>
          <w:color w:val="auto"/>
          <w:kern w:val="0"/>
          <w:sz w:val="32"/>
          <w:szCs w:val="32"/>
          <w:highlight w:val="none"/>
        </w:rPr>
      </w:pPr>
    </w:p>
    <w:p w14:paraId="57C3B6C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0F7149F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970F5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5D8CA83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2025年钱塘江省管海塘零星维修工程监理</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ZJZJ20250525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3A0687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4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95"/>
        <w:gridCol w:w="1773"/>
        <w:gridCol w:w="4662"/>
      </w:tblGrid>
      <w:tr w14:paraId="6D8180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2995" w:type="dxa"/>
            <w:tcBorders>
              <w:top w:val="single" w:color="auto" w:sz="4" w:space="0"/>
              <w:right w:val="single" w:color="auto" w:sz="4" w:space="0"/>
            </w:tcBorders>
            <w:noWrap w:val="0"/>
            <w:vAlign w:val="center"/>
          </w:tcPr>
          <w:p w14:paraId="71F12EBA">
            <w:pPr>
              <w:spacing w:line="360" w:lineRule="auto"/>
              <w:jc w:val="center"/>
              <w:rPr>
                <w:rFonts w:ascii="宋体" w:hAnsi="宋体"/>
                <w:b/>
                <w:color w:val="auto"/>
                <w:sz w:val="24"/>
                <w:highlight w:val="none"/>
                <w:lang w:val="en-GB"/>
              </w:rPr>
            </w:pPr>
            <w:r>
              <w:rPr>
                <w:rFonts w:hint="eastAsia" w:ascii="宋体" w:hAnsi="宋体"/>
                <w:b/>
                <w:color w:val="auto"/>
                <w:sz w:val="24"/>
                <w:highlight w:val="none"/>
                <w:lang w:val="en-GB"/>
              </w:rPr>
              <w:t>项目名称</w:t>
            </w:r>
          </w:p>
        </w:tc>
        <w:tc>
          <w:tcPr>
            <w:tcW w:w="1773" w:type="dxa"/>
            <w:tcBorders>
              <w:right w:val="single" w:color="auto" w:sz="4" w:space="0"/>
            </w:tcBorders>
            <w:noWrap w:val="0"/>
            <w:vAlign w:val="center"/>
          </w:tcPr>
          <w:p w14:paraId="0824B1AE">
            <w:pPr>
              <w:spacing w:line="360" w:lineRule="auto"/>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服务期</w:t>
            </w:r>
          </w:p>
        </w:tc>
        <w:tc>
          <w:tcPr>
            <w:tcW w:w="4662" w:type="dxa"/>
            <w:tcBorders>
              <w:left w:val="single" w:color="auto" w:sz="4" w:space="0"/>
              <w:right w:val="single" w:color="auto" w:sz="4" w:space="0"/>
            </w:tcBorders>
            <w:noWrap w:val="0"/>
            <w:vAlign w:val="center"/>
          </w:tcPr>
          <w:p w14:paraId="07644ECC">
            <w:pPr>
              <w:spacing w:line="360" w:lineRule="auto"/>
              <w:jc w:val="center"/>
              <w:rPr>
                <w:rFonts w:hint="eastAsia" w:ascii="宋体" w:hAnsi="宋体"/>
                <w:b/>
                <w:color w:val="auto"/>
                <w:sz w:val="24"/>
                <w:highlight w:val="none"/>
                <w:lang w:val="en-GB"/>
              </w:rPr>
            </w:pPr>
            <w:r>
              <w:rPr>
                <w:rFonts w:hint="eastAsia" w:ascii="宋体" w:hAnsi="宋体"/>
                <w:b/>
                <w:color w:val="auto"/>
                <w:sz w:val="24"/>
                <w:highlight w:val="none"/>
                <w:lang w:val="en-GB"/>
              </w:rPr>
              <w:t>投标报价</w:t>
            </w:r>
          </w:p>
        </w:tc>
      </w:tr>
      <w:tr w14:paraId="200411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995" w:type="dxa"/>
            <w:tcBorders>
              <w:top w:val="single" w:color="auto" w:sz="4" w:space="0"/>
              <w:bottom w:val="single" w:color="auto" w:sz="4" w:space="0"/>
              <w:right w:val="single" w:color="auto" w:sz="4" w:space="0"/>
            </w:tcBorders>
            <w:noWrap w:val="0"/>
            <w:vAlign w:val="center"/>
          </w:tcPr>
          <w:p w14:paraId="47F5E398">
            <w:pPr>
              <w:spacing w:line="360" w:lineRule="auto"/>
              <w:jc w:val="center"/>
              <w:rPr>
                <w:rFonts w:ascii="宋体" w:hAnsi="宋体"/>
                <w:color w:val="auto"/>
                <w:sz w:val="24"/>
                <w:highlight w:val="none"/>
              </w:rPr>
            </w:pPr>
            <w:r>
              <w:rPr>
                <w:rFonts w:hint="eastAsia" w:ascii="宋体" w:hAnsi="宋体" w:cs="宋体"/>
                <w:color w:val="auto"/>
                <w:sz w:val="24"/>
                <w:highlight w:val="none"/>
                <w:lang w:eastAsia="zh-CN"/>
              </w:rPr>
              <w:t>2025年钱塘江省管海塘零星维修工程监理</w:t>
            </w:r>
          </w:p>
        </w:tc>
        <w:tc>
          <w:tcPr>
            <w:tcW w:w="1773" w:type="dxa"/>
            <w:tcBorders>
              <w:bottom w:val="single" w:color="auto" w:sz="4" w:space="0"/>
              <w:right w:val="single" w:color="auto" w:sz="4" w:space="0"/>
            </w:tcBorders>
            <w:noWrap w:val="0"/>
            <w:vAlign w:val="center"/>
          </w:tcPr>
          <w:p w14:paraId="4F482F75">
            <w:pPr>
              <w:spacing w:line="360" w:lineRule="auto"/>
              <w:rPr>
                <w:rFonts w:ascii="宋体" w:hAnsi="宋体"/>
                <w:color w:val="auto"/>
                <w:sz w:val="24"/>
                <w:highlight w:val="none"/>
              </w:rPr>
            </w:pPr>
          </w:p>
        </w:tc>
        <w:tc>
          <w:tcPr>
            <w:tcW w:w="4662" w:type="dxa"/>
            <w:tcBorders>
              <w:left w:val="single" w:color="auto" w:sz="4" w:space="0"/>
              <w:bottom w:val="single" w:color="auto" w:sz="4" w:space="0"/>
              <w:right w:val="single" w:color="auto" w:sz="4" w:space="0"/>
            </w:tcBorders>
            <w:noWrap w:val="0"/>
            <w:vAlign w:val="center"/>
          </w:tcPr>
          <w:p w14:paraId="0EB70ADC">
            <w:pPr>
              <w:spacing w:line="360" w:lineRule="auto"/>
              <w:rPr>
                <w:rFonts w:ascii="宋体" w:hAnsi="宋体"/>
                <w:color w:val="auto"/>
                <w:sz w:val="24"/>
                <w:highlight w:val="none"/>
              </w:rPr>
            </w:pPr>
            <w:r>
              <w:rPr>
                <w:rFonts w:hint="eastAsia" w:ascii="宋体" w:hAnsi="宋体"/>
                <w:color w:val="auto"/>
                <w:sz w:val="24"/>
                <w:highlight w:val="none"/>
              </w:rPr>
              <w:t>（小写）：</w:t>
            </w:r>
          </w:p>
          <w:p w14:paraId="0FBD28B6">
            <w:pPr>
              <w:spacing w:line="360" w:lineRule="auto"/>
              <w:rPr>
                <w:rFonts w:hint="eastAsia" w:ascii="宋体" w:hAnsi="宋体"/>
                <w:color w:val="auto"/>
                <w:sz w:val="24"/>
                <w:highlight w:val="none"/>
              </w:rPr>
            </w:pPr>
            <w:r>
              <w:rPr>
                <w:rFonts w:hint="eastAsia" w:ascii="宋体" w:hAnsi="宋体"/>
                <w:color w:val="auto"/>
                <w:sz w:val="24"/>
                <w:highlight w:val="none"/>
              </w:rPr>
              <w:t>（大写）：</w:t>
            </w:r>
          </w:p>
        </w:tc>
      </w:tr>
    </w:tbl>
    <w:p w14:paraId="3BE63F5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B48822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F8B2D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34B0FD6">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2FB557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93DBD1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F183AD">
      <w:pPr>
        <w:pStyle w:val="2"/>
        <w:rPr>
          <w:rFonts w:hint="eastAsia"/>
          <w:color w:val="auto"/>
          <w:highlight w:val="none"/>
          <w:lang w:val="zh-CN"/>
        </w:rPr>
        <w:sectPr>
          <w:pgSz w:w="11906" w:h="16838"/>
          <w:pgMar w:top="1247" w:right="1418" w:bottom="1276" w:left="1418" w:header="851" w:footer="992" w:gutter="0"/>
          <w:pgNumType w:fmt="decimal"/>
          <w:cols w:space="720" w:num="1"/>
          <w:titlePg/>
          <w:docGrid w:linePitch="312" w:charSpace="0"/>
        </w:sectPr>
      </w:pPr>
    </w:p>
    <w:p w14:paraId="2241FB9B">
      <w:pPr>
        <w:adjustRightInd w:val="0"/>
        <w:snapToGrid w:val="0"/>
        <w:spacing w:line="300" w:lineRule="auto"/>
        <w:ind w:firstLine="643" w:firstLineChars="200"/>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二</w:t>
      </w:r>
      <w:r>
        <w:rPr>
          <w:rFonts w:hint="eastAsia" w:ascii="宋体" w:hAnsi="宋体" w:eastAsia="宋体" w:cs="宋体"/>
          <w:b/>
          <w:color w:val="auto"/>
          <w:kern w:val="2"/>
          <w:sz w:val="32"/>
          <w:szCs w:val="32"/>
          <w:highlight w:val="none"/>
          <w:lang w:val="en-US" w:eastAsia="zh-CN" w:bidi="ar-SA"/>
        </w:rPr>
        <w:t>、投标价格组成明细表</w:t>
      </w:r>
    </w:p>
    <w:p w14:paraId="30018E4E">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2BAA4D61">
      <w:pPr>
        <w:snapToGrid w:val="0"/>
        <w:spacing w:line="360" w:lineRule="auto"/>
        <w:rPr>
          <w:color w:val="auto"/>
          <w:highlight w:val="none"/>
          <w:u w:val="single"/>
        </w:rPr>
      </w:pPr>
      <w:r>
        <w:rPr>
          <w:color w:val="auto"/>
          <w:highlight w:val="none"/>
        </w:rPr>
        <w:t>项目名称：</w:t>
      </w:r>
    </w:p>
    <w:p w14:paraId="1351EA48">
      <w:pPr>
        <w:snapToGrid w:val="0"/>
        <w:spacing w:line="360" w:lineRule="auto"/>
        <w:rPr>
          <w:color w:val="auto"/>
          <w:highlight w:val="none"/>
          <w:u w:val="single"/>
        </w:rPr>
      </w:pPr>
      <w:r>
        <w:rPr>
          <w:color w:val="auto"/>
          <w:highlight w:val="none"/>
        </w:rPr>
        <w:t>招标编号：</w:t>
      </w:r>
    </w:p>
    <w:tbl>
      <w:tblPr>
        <w:tblStyle w:val="62"/>
        <w:tblW w:w="92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865"/>
        <w:gridCol w:w="1857"/>
        <w:gridCol w:w="1533"/>
        <w:gridCol w:w="2100"/>
        <w:gridCol w:w="1"/>
      </w:tblGrid>
      <w:tr w14:paraId="3609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 w:type="dxa"/>
            <w:noWrap w:val="0"/>
            <w:vAlign w:val="center"/>
          </w:tcPr>
          <w:p w14:paraId="0F44A60B">
            <w:pPr>
              <w:spacing w:line="600" w:lineRule="exact"/>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2865" w:type="dxa"/>
            <w:noWrap w:val="0"/>
            <w:vAlign w:val="center"/>
          </w:tcPr>
          <w:p w14:paraId="525BC5CD">
            <w:pPr>
              <w:spacing w:line="600" w:lineRule="exact"/>
              <w:jc w:val="center"/>
              <w:rPr>
                <w:rFonts w:hint="eastAsia" w:ascii="宋体" w:hAnsi="宋体"/>
                <w:b/>
                <w:bCs/>
                <w:color w:val="auto"/>
                <w:szCs w:val="21"/>
                <w:highlight w:val="none"/>
              </w:rPr>
            </w:pPr>
            <w:r>
              <w:rPr>
                <w:rFonts w:hint="eastAsia" w:ascii="宋体" w:hAnsi="宋体"/>
                <w:b/>
                <w:bCs/>
                <w:color w:val="auto"/>
                <w:szCs w:val="21"/>
                <w:highlight w:val="none"/>
              </w:rPr>
              <w:t>内容</w:t>
            </w:r>
          </w:p>
        </w:tc>
        <w:tc>
          <w:tcPr>
            <w:tcW w:w="1857" w:type="dxa"/>
            <w:noWrap w:val="0"/>
            <w:vAlign w:val="center"/>
          </w:tcPr>
          <w:p w14:paraId="3129F9F4">
            <w:pPr>
              <w:spacing w:line="240" w:lineRule="auto"/>
              <w:jc w:val="center"/>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估算工程</w:t>
            </w:r>
            <w:r>
              <w:rPr>
                <w:rFonts w:hint="default" w:ascii="宋体" w:hAnsi="宋体"/>
                <w:b/>
                <w:bCs/>
                <w:color w:val="auto"/>
                <w:szCs w:val="21"/>
                <w:highlight w:val="none"/>
              </w:rPr>
              <w:t>费</w:t>
            </w:r>
            <w:r>
              <w:rPr>
                <w:rFonts w:hint="eastAsia" w:ascii="宋体" w:hAnsi="宋体"/>
                <w:b/>
                <w:bCs/>
                <w:color w:val="auto"/>
                <w:szCs w:val="21"/>
                <w:highlight w:val="none"/>
                <w:lang w:eastAsia="zh-CN"/>
              </w:rPr>
              <w:t>用</w:t>
            </w:r>
          </w:p>
          <w:p w14:paraId="12A37325">
            <w:pPr>
              <w:spacing w:line="240" w:lineRule="auto"/>
              <w:jc w:val="center"/>
              <w:rPr>
                <w:rFonts w:hint="default" w:ascii="宋体" w:hAnsi="宋体"/>
                <w:b/>
                <w:bCs/>
                <w:color w:val="auto"/>
                <w:szCs w:val="21"/>
                <w:highlight w:val="none"/>
              </w:rPr>
            </w:pPr>
            <w:r>
              <w:rPr>
                <w:rFonts w:hint="default" w:ascii="宋体" w:hAnsi="宋体"/>
                <w:b/>
                <w:bCs/>
                <w:color w:val="auto"/>
                <w:szCs w:val="21"/>
                <w:highlight w:val="none"/>
              </w:rPr>
              <w:t>（万元）</w:t>
            </w:r>
          </w:p>
        </w:tc>
        <w:tc>
          <w:tcPr>
            <w:tcW w:w="1533" w:type="dxa"/>
            <w:noWrap w:val="0"/>
            <w:vAlign w:val="center"/>
          </w:tcPr>
          <w:p w14:paraId="53E0C4CD">
            <w:pPr>
              <w:spacing w:line="600" w:lineRule="exact"/>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rPr>
              <w:t>报价</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元</w:t>
            </w:r>
            <w:r>
              <w:rPr>
                <w:rFonts w:hint="eastAsia" w:ascii="宋体" w:hAnsi="宋体"/>
                <w:b/>
                <w:bCs/>
                <w:color w:val="auto"/>
                <w:szCs w:val="21"/>
                <w:highlight w:val="none"/>
                <w:lang w:eastAsia="zh-CN"/>
              </w:rPr>
              <w:t>）</w:t>
            </w:r>
          </w:p>
        </w:tc>
        <w:tc>
          <w:tcPr>
            <w:tcW w:w="2101" w:type="dxa"/>
            <w:gridSpan w:val="2"/>
            <w:noWrap w:val="0"/>
            <w:vAlign w:val="center"/>
          </w:tcPr>
          <w:p w14:paraId="16F897F2">
            <w:pPr>
              <w:spacing w:line="600" w:lineRule="exact"/>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备注</w:t>
            </w:r>
          </w:p>
        </w:tc>
      </w:tr>
      <w:tr w14:paraId="1A75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9" w:type="dxa"/>
            <w:noWrap w:val="0"/>
            <w:vAlign w:val="center"/>
          </w:tcPr>
          <w:p w14:paraId="5D7AC7F6">
            <w:pPr>
              <w:spacing w:line="600" w:lineRule="exact"/>
              <w:jc w:val="center"/>
              <w:rPr>
                <w:rFonts w:hint="eastAsia" w:ascii="宋体" w:hAnsi="宋体" w:eastAsia="宋体"/>
                <w:caps/>
                <w:color w:val="auto"/>
                <w:szCs w:val="21"/>
                <w:highlight w:val="none"/>
                <w:lang w:eastAsia="zh-CN"/>
              </w:rPr>
            </w:pPr>
            <w:r>
              <w:rPr>
                <w:rFonts w:hint="eastAsia" w:ascii="宋体" w:hAnsi="宋体"/>
                <w:caps/>
                <w:color w:val="auto"/>
                <w:szCs w:val="21"/>
                <w:highlight w:val="none"/>
                <w:lang w:eastAsia="zh-CN"/>
              </w:rPr>
              <w:t>一</w:t>
            </w:r>
          </w:p>
        </w:tc>
        <w:tc>
          <w:tcPr>
            <w:tcW w:w="2865" w:type="dxa"/>
            <w:noWrap w:val="0"/>
            <w:vAlign w:val="center"/>
          </w:tcPr>
          <w:p w14:paraId="7177D329">
            <w:pPr>
              <w:snapToGrid w:val="0"/>
              <w:spacing w:line="400" w:lineRule="exact"/>
              <w:jc w:val="left"/>
              <w:rPr>
                <w:rFonts w:hint="eastAsia" w:ascii="宋体" w:hAnsi="宋体"/>
                <w:color w:val="auto"/>
                <w:szCs w:val="21"/>
                <w:highlight w:val="none"/>
              </w:rPr>
            </w:pPr>
            <w:r>
              <w:rPr>
                <w:rFonts w:hint="default" w:ascii="宋体" w:hAnsi="宋体"/>
                <w:color w:val="auto"/>
                <w:szCs w:val="21"/>
                <w:highlight w:val="none"/>
                <w:lang w:eastAsia="zh-CN"/>
              </w:rPr>
              <w:t>钱塘江省管海塘零星维修工程监理</w:t>
            </w:r>
          </w:p>
        </w:tc>
        <w:tc>
          <w:tcPr>
            <w:tcW w:w="1857" w:type="dxa"/>
            <w:noWrap w:val="0"/>
            <w:vAlign w:val="center"/>
          </w:tcPr>
          <w:p w14:paraId="7C492A43">
            <w:pPr>
              <w:spacing w:line="360" w:lineRule="auto"/>
              <w:jc w:val="center"/>
              <w:rPr>
                <w:rFonts w:hint="default" w:ascii="宋体" w:hAnsi="宋体"/>
                <w:color w:val="auto"/>
                <w:szCs w:val="21"/>
                <w:highlight w:val="none"/>
                <w:lang w:val="en-US" w:eastAsia="zh-CN"/>
              </w:rPr>
            </w:pPr>
          </w:p>
        </w:tc>
        <w:tc>
          <w:tcPr>
            <w:tcW w:w="1533" w:type="dxa"/>
            <w:vMerge w:val="restart"/>
            <w:noWrap w:val="0"/>
            <w:vAlign w:val="center"/>
          </w:tcPr>
          <w:p w14:paraId="66573B29">
            <w:pPr>
              <w:spacing w:line="600" w:lineRule="exact"/>
              <w:jc w:val="center"/>
              <w:rPr>
                <w:rFonts w:hint="eastAsia" w:ascii="宋体" w:hAnsi="宋体"/>
                <w:color w:val="auto"/>
                <w:szCs w:val="21"/>
                <w:highlight w:val="none"/>
              </w:rPr>
            </w:pPr>
          </w:p>
        </w:tc>
        <w:tc>
          <w:tcPr>
            <w:tcW w:w="2101" w:type="dxa"/>
            <w:gridSpan w:val="2"/>
            <w:noWrap w:val="0"/>
            <w:vAlign w:val="center"/>
          </w:tcPr>
          <w:p w14:paraId="6FB51514">
            <w:pPr>
              <w:snapToGrid w:val="0"/>
              <w:spacing w:line="400" w:lineRule="exact"/>
              <w:jc w:val="left"/>
              <w:rPr>
                <w:rFonts w:hint="default" w:ascii="宋体" w:hAnsi="宋体" w:eastAsia="宋体" w:cs="Times New Roman"/>
                <w:color w:val="auto"/>
                <w:szCs w:val="21"/>
                <w:highlight w:val="none"/>
                <w:lang w:val="en-US" w:eastAsia="zh-CN"/>
              </w:rPr>
            </w:pPr>
          </w:p>
        </w:tc>
      </w:tr>
      <w:tr w14:paraId="1AA4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9" w:type="dxa"/>
            <w:noWrap w:val="0"/>
            <w:vAlign w:val="center"/>
          </w:tcPr>
          <w:p w14:paraId="14968D3C">
            <w:pPr>
              <w:spacing w:line="600" w:lineRule="exact"/>
              <w:jc w:val="center"/>
              <w:rPr>
                <w:rFonts w:hint="eastAsia" w:ascii="宋体" w:hAnsi="宋体" w:eastAsia="宋体"/>
                <w:color w:val="auto"/>
                <w:szCs w:val="21"/>
                <w:highlight w:val="none"/>
                <w:lang w:eastAsia="zh-CN"/>
              </w:rPr>
            </w:pPr>
          </w:p>
        </w:tc>
        <w:tc>
          <w:tcPr>
            <w:tcW w:w="2865" w:type="dxa"/>
            <w:noWrap w:val="0"/>
            <w:vAlign w:val="center"/>
          </w:tcPr>
          <w:p w14:paraId="03C7C296">
            <w:pPr>
              <w:snapToGrid w:val="0"/>
              <w:spacing w:line="400" w:lineRule="exact"/>
              <w:jc w:val="left"/>
              <w:rPr>
                <w:rFonts w:hint="eastAsia" w:ascii="宋体" w:hAnsi="宋体"/>
                <w:color w:val="auto"/>
                <w:szCs w:val="21"/>
                <w:highlight w:val="none"/>
              </w:rPr>
            </w:pPr>
          </w:p>
        </w:tc>
        <w:tc>
          <w:tcPr>
            <w:tcW w:w="1857" w:type="dxa"/>
            <w:noWrap w:val="0"/>
            <w:vAlign w:val="center"/>
          </w:tcPr>
          <w:p w14:paraId="4E0C825E">
            <w:pPr>
              <w:spacing w:line="360" w:lineRule="auto"/>
              <w:jc w:val="center"/>
              <w:rPr>
                <w:rFonts w:hint="default" w:ascii="宋体" w:hAnsi="宋体"/>
                <w:color w:val="auto"/>
                <w:szCs w:val="21"/>
                <w:highlight w:val="none"/>
                <w:lang w:val="en-US" w:eastAsia="zh-CN"/>
              </w:rPr>
            </w:pPr>
          </w:p>
        </w:tc>
        <w:tc>
          <w:tcPr>
            <w:tcW w:w="1533" w:type="dxa"/>
            <w:noWrap w:val="0"/>
            <w:vAlign w:val="center"/>
          </w:tcPr>
          <w:p w14:paraId="7C73284B">
            <w:pPr>
              <w:spacing w:line="600" w:lineRule="exact"/>
              <w:jc w:val="center"/>
              <w:rPr>
                <w:rFonts w:hint="eastAsia" w:ascii="宋体" w:hAnsi="宋体"/>
                <w:color w:val="auto"/>
                <w:szCs w:val="21"/>
                <w:highlight w:val="none"/>
              </w:rPr>
            </w:pPr>
          </w:p>
        </w:tc>
        <w:tc>
          <w:tcPr>
            <w:tcW w:w="2101" w:type="dxa"/>
            <w:gridSpan w:val="2"/>
            <w:noWrap w:val="0"/>
            <w:vAlign w:val="center"/>
          </w:tcPr>
          <w:p w14:paraId="66799025">
            <w:pPr>
              <w:snapToGrid w:val="0"/>
              <w:spacing w:line="400" w:lineRule="exact"/>
              <w:jc w:val="left"/>
              <w:rPr>
                <w:rFonts w:hint="default" w:ascii="宋体" w:hAnsi="宋体" w:eastAsia="宋体" w:cs="Times New Roman"/>
                <w:color w:val="auto"/>
                <w:szCs w:val="21"/>
                <w:highlight w:val="none"/>
              </w:rPr>
            </w:pPr>
          </w:p>
        </w:tc>
      </w:tr>
      <w:tr w14:paraId="7CC3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 w:type="dxa"/>
            <w:noWrap w:val="0"/>
            <w:vAlign w:val="center"/>
          </w:tcPr>
          <w:p w14:paraId="7ADEBC09">
            <w:pPr>
              <w:spacing w:line="600" w:lineRule="exact"/>
              <w:jc w:val="center"/>
              <w:rPr>
                <w:rFonts w:hint="eastAsia" w:ascii="宋体" w:hAnsi="宋体" w:eastAsia="宋体"/>
                <w:color w:val="auto"/>
                <w:szCs w:val="21"/>
                <w:highlight w:val="none"/>
                <w:lang w:eastAsia="zh-CN"/>
              </w:rPr>
            </w:pPr>
          </w:p>
        </w:tc>
        <w:tc>
          <w:tcPr>
            <w:tcW w:w="2865" w:type="dxa"/>
            <w:noWrap w:val="0"/>
            <w:vAlign w:val="center"/>
          </w:tcPr>
          <w:p w14:paraId="659F167D">
            <w:pPr>
              <w:rPr>
                <w:rFonts w:hint="eastAsia" w:ascii="宋体" w:hAnsi="宋体"/>
                <w:color w:val="auto"/>
                <w:szCs w:val="21"/>
                <w:highlight w:val="none"/>
              </w:rPr>
            </w:pPr>
          </w:p>
        </w:tc>
        <w:tc>
          <w:tcPr>
            <w:tcW w:w="1857" w:type="dxa"/>
            <w:noWrap w:val="0"/>
            <w:vAlign w:val="center"/>
          </w:tcPr>
          <w:p w14:paraId="10817BBE">
            <w:pPr>
              <w:spacing w:line="360" w:lineRule="auto"/>
              <w:jc w:val="center"/>
              <w:rPr>
                <w:rFonts w:hint="default" w:ascii="宋体" w:hAnsi="宋体"/>
                <w:color w:val="auto"/>
                <w:szCs w:val="21"/>
                <w:highlight w:val="none"/>
                <w:lang w:val="en-US" w:eastAsia="zh-CN"/>
              </w:rPr>
            </w:pPr>
          </w:p>
        </w:tc>
        <w:tc>
          <w:tcPr>
            <w:tcW w:w="1533" w:type="dxa"/>
            <w:noWrap w:val="0"/>
            <w:vAlign w:val="center"/>
          </w:tcPr>
          <w:p w14:paraId="44D1B0E9">
            <w:pPr>
              <w:spacing w:line="600" w:lineRule="exact"/>
              <w:jc w:val="center"/>
              <w:rPr>
                <w:rFonts w:hint="eastAsia" w:ascii="宋体" w:hAnsi="宋体"/>
                <w:color w:val="auto"/>
                <w:szCs w:val="21"/>
                <w:highlight w:val="none"/>
              </w:rPr>
            </w:pPr>
          </w:p>
        </w:tc>
        <w:tc>
          <w:tcPr>
            <w:tcW w:w="2101" w:type="dxa"/>
            <w:gridSpan w:val="2"/>
            <w:noWrap w:val="0"/>
            <w:vAlign w:val="center"/>
          </w:tcPr>
          <w:p w14:paraId="504C1C7A">
            <w:pPr>
              <w:spacing w:line="600" w:lineRule="exact"/>
              <w:jc w:val="center"/>
              <w:rPr>
                <w:rFonts w:hint="eastAsia" w:ascii="宋体" w:hAnsi="宋体" w:eastAsia="宋体"/>
                <w:color w:val="auto"/>
                <w:szCs w:val="21"/>
                <w:highlight w:val="none"/>
                <w:lang w:val="en-US" w:eastAsia="zh-CN"/>
              </w:rPr>
            </w:pPr>
          </w:p>
        </w:tc>
      </w:tr>
      <w:tr w14:paraId="1B17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 w:type="dxa"/>
            <w:noWrap w:val="0"/>
            <w:vAlign w:val="center"/>
          </w:tcPr>
          <w:p w14:paraId="6006B6A3">
            <w:pPr>
              <w:spacing w:line="600" w:lineRule="exact"/>
              <w:jc w:val="center"/>
              <w:rPr>
                <w:rFonts w:hint="eastAsia" w:ascii="宋体" w:hAnsi="宋体"/>
                <w:color w:val="auto"/>
                <w:szCs w:val="21"/>
                <w:highlight w:val="none"/>
              </w:rPr>
            </w:pPr>
          </w:p>
        </w:tc>
        <w:tc>
          <w:tcPr>
            <w:tcW w:w="2865" w:type="dxa"/>
            <w:noWrap w:val="0"/>
            <w:vAlign w:val="center"/>
          </w:tcPr>
          <w:p w14:paraId="18DA2C78">
            <w:pPr>
              <w:spacing w:line="600" w:lineRule="exact"/>
              <w:jc w:val="center"/>
              <w:rPr>
                <w:rFonts w:hint="eastAsia" w:ascii="宋体" w:hAnsi="宋体"/>
                <w:color w:val="auto"/>
                <w:szCs w:val="21"/>
                <w:highlight w:val="none"/>
              </w:rPr>
            </w:pPr>
          </w:p>
        </w:tc>
        <w:tc>
          <w:tcPr>
            <w:tcW w:w="1857" w:type="dxa"/>
            <w:noWrap w:val="0"/>
            <w:vAlign w:val="center"/>
          </w:tcPr>
          <w:p w14:paraId="7FC24491">
            <w:pPr>
              <w:spacing w:line="600" w:lineRule="exact"/>
              <w:jc w:val="center"/>
              <w:rPr>
                <w:rFonts w:hint="eastAsia" w:ascii="宋体" w:hAnsi="宋体"/>
                <w:color w:val="auto"/>
                <w:szCs w:val="21"/>
                <w:highlight w:val="none"/>
              </w:rPr>
            </w:pPr>
          </w:p>
        </w:tc>
        <w:tc>
          <w:tcPr>
            <w:tcW w:w="1533" w:type="dxa"/>
            <w:noWrap w:val="0"/>
            <w:vAlign w:val="center"/>
          </w:tcPr>
          <w:p w14:paraId="2EBDE455">
            <w:pPr>
              <w:spacing w:line="600" w:lineRule="exact"/>
              <w:jc w:val="center"/>
              <w:rPr>
                <w:rFonts w:hint="eastAsia" w:ascii="宋体" w:hAnsi="宋体"/>
                <w:color w:val="auto"/>
                <w:szCs w:val="21"/>
                <w:highlight w:val="none"/>
              </w:rPr>
            </w:pPr>
          </w:p>
        </w:tc>
        <w:tc>
          <w:tcPr>
            <w:tcW w:w="2101" w:type="dxa"/>
            <w:gridSpan w:val="2"/>
            <w:noWrap w:val="0"/>
            <w:vAlign w:val="center"/>
          </w:tcPr>
          <w:p w14:paraId="7A3DC011">
            <w:pPr>
              <w:spacing w:line="600" w:lineRule="exact"/>
              <w:jc w:val="center"/>
              <w:rPr>
                <w:rFonts w:hint="eastAsia" w:ascii="宋体" w:hAnsi="宋体"/>
                <w:color w:val="auto"/>
                <w:szCs w:val="21"/>
                <w:highlight w:val="none"/>
              </w:rPr>
            </w:pPr>
          </w:p>
        </w:tc>
      </w:tr>
      <w:tr w14:paraId="4AEA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 w:type="dxa"/>
            <w:noWrap w:val="0"/>
            <w:vAlign w:val="center"/>
          </w:tcPr>
          <w:p w14:paraId="364B59D1">
            <w:pPr>
              <w:spacing w:line="600" w:lineRule="exact"/>
              <w:jc w:val="center"/>
              <w:rPr>
                <w:rFonts w:hint="eastAsia" w:ascii="宋体" w:hAnsi="宋体"/>
                <w:color w:val="auto"/>
                <w:szCs w:val="21"/>
                <w:highlight w:val="none"/>
              </w:rPr>
            </w:pPr>
          </w:p>
        </w:tc>
        <w:tc>
          <w:tcPr>
            <w:tcW w:w="2865" w:type="dxa"/>
            <w:noWrap w:val="0"/>
            <w:vAlign w:val="center"/>
          </w:tcPr>
          <w:p w14:paraId="2DFFA7FF">
            <w:pPr>
              <w:spacing w:line="600" w:lineRule="exact"/>
              <w:jc w:val="center"/>
              <w:rPr>
                <w:rFonts w:hint="eastAsia" w:ascii="宋体" w:hAnsi="宋体"/>
                <w:color w:val="auto"/>
                <w:szCs w:val="21"/>
                <w:highlight w:val="none"/>
              </w:rPr>
            </w:pPr>
          </w:p>
        </w:tc>
        <w:tc>
          <w:tcPr>
            <w:tcW w:w="1857" w:type="dxa"/>
            <w:noWrap w:val="0"/>
            <w:vAlign w:val="center"/>
          </w:tcPr>
          <w:p w14:paraId="73B99B53">
            <w:pPr>
              <w:spacing w:line="600" w:lineRule="exact"/>
              <w:jc w:val="center"/>
              <w:rPr>
                <w:rFonts w:hint="eastAsia" w:ascii="宋体" w:hAnsi="宋体"/>
                <w:color w:val="auto"/>
                <w:szCs w:val="21"/>
                <w:highlight w:val="none"/>
              </w:rPr>
            </w:pPr>
          </w:p>
        </w:tc>
        <w:tc>
          <w:tcPr>
            <w:tcW w:w="1533" w:type="dxa"/>
            <w:noWrap w:val="0"/>
            <w:vAlign w:val="center"/>
          </w:tcPr>
          <w:p w14:paraId="582426B5">
            <w:pPr>
              <w:spacing w:line="600" w:lineRule="exact"/>
              <w:jc w:val="center"/>
              <w:rPr>
                <w:rFonts w:hint="eastAsia" w:ascii="宋体" w:hAnsi="宋体"/>
                <w:color w:val="auto"/>
                <w:szCs w:val="21"/>
                <w:highlight w:val="none"/>
              </w:rPr>
            </w:pPr>
          </w:p>
        </w:tc>
        <w:tc>
          <w:tcPr>
            <w:tcW w:w="2101" w:type="dxa"/>
            <w:gridSpan w:val="2"/>
            <w:noWrap w:val="0"/>
            <w:vAlign w:val="center"/>
          </w:tcPr>
          <w:p w14:paraId="4885A7D7">
            <w:pPr>
              <w:spacing w:line="600" w:lineRule="exact"/>
              <w:jc w:val="center"/>
              <w:rPr>
                <w:rFonts w:hint="eastAsia" w:ascii="宋体" w:hAnsi="宋体"/>
                <w:color w:val="auto"/>
                <w:szCs w:val="21"/>
                <w:highlight w:val="none"/>
              </w:rPr>
            </w:pPr>
          </w:p>
        </w:tc>
      </w:tr>
      <w:tr w14:paraId="2A2A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 w:type="dxa"/>
            <w:noWrap w:val="0"/>
            <w:vAlign w:val="center"/>
          </w:tcPr>
          <w:p w14:paraId="0263EE94">
            <w:pPr>
              <w:spacing w:line="600" w:lineRule="exact"/>
              <w:jc w:val="center"/>
              <w:rPr>
                <w:rFonts w:hint="eastAsia" w:ascii="宋体" w:hAnsi="宋体"/>
                <w:color w:val="auto"/>
                <w:szCs w:val="21"/>
                <w:highlight w:val="none"/>
              </w:rPr>
            </w:pPr>
          </w:p>
        </w:tc>
        <w:tc>
          <w:tcPr>
            <w:tcW w:w="2865" w:type="dxa"/>
            <w:noWrap w:val="0"/>
            <w:vAlign w:val="center"/>
          </w:tcPr>
          <w:p w14:paraId="36074601">
            <w:pPr>
              <w:spacing w:line="600" w:lineRule="exact"/>
              <w:jc w:val="center"/>
              <w:rPr>
                <w:rFonts w:hint="eastAsia" w:ascii="宋体" w:hAnsi="宋体"/>
                <w:color w:val="auto"/>
                <w:szCs w:val="21"/>
                <w:highlight w:val="none"/>
              </w:rPr>
            </w:pPr>
          </w:p>
        </w:tc>
        <w:tc>
          <w:tcPr>
            <w:tcW w:w="1857" w:type="dxa"/>
            <w:noWrap w:val="0"/>
            <w:vAlign w:val="center"/>
          </w:tcPr>
          <w:p w14:paraId="50FF9E0E">
            <w:pPr>
              <w:spacing w:line="600" w:lineRule="exact"/>
              <w:jc w:val="center"/>
              <w:rPr>
                <w:rFonts w:hint="eastAsia" w:ascii="宋体" w:hAnsi="宋体"/>
                <w:color w:val="auto"/>
                <w:szCs w:val="21"/>
                <w:highlight w:val="none"/>
              </w:rPr>
            </w:pPr>
          </w:p>
        </w:tc>
        <w:tc>
          <w:tcPr>
            <w:tcW w:w="1533" w:type="dxa"/>
            <w:noWrap w:val="0"/>
            <w:vAlign w:val="center"/>
          </w:tcPr>
          <w:p w14:paraId="321345C4">
            <w:pPr>
              <w:spacing w:line="600" w:lineRule="exact"/>
              <w:jc w:val="center"/>
              <w:rPr>
                <w:rFonts w:hint="eastAsia" w:ascii="宋体" w:hAnsi="宋体"/>
                <w:color w:val="auto"/>
                <w:szCs w:val="21"/>
                <w:highlight w:val="none"/>
              </w:rPr>
            </w:pPr>
          </w:p>
        </w:tc>
        <w:tc>
          <w:tcPr>
            <w:tcW w:w="2101" w:type="dxa"/>
            <w:gridSpan w:val="2"/>
            <w:noWrap w:val="0"/>
            <w:vAlign w:val="center"/>
          </w:tcPr>
          <w:p w14:paraId="79A1E389">
            <w:pPr>
              <w:spacing w:line="600" w:lineRule="exact"/>
              <w:jc w:val="center"/>
              <w:rPr>
                <w:rFonts w:hint="eastAsia" w:ascii="宋体" w:hAnsi="宋体"/>
                <w:color w:val="auto"/>
                <w:szCs w:val="21"/>
                <w:highlight w:val="none"/>
              </w:rPr>
            </w:pPr>
          </w:p>
        </w:tc>
      </w:tr>
      <w:tr w14:paraId="3148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 w:type="dxa"/>
            <w:noWrap w:val="0"/>
            <w:vAlign w:val="center"/>
          </w:tcPr>
          <w:p w14:paraId="49849501">
            <w:pPr>
              <w:spacing w:line="600" w:lineRule="exact"/>
              <w:jc w:val="center"/>
              <w:rPr>
                <w:rFonts w:hint="eastAsia" w:ascii="宋体" w:hAnsi="宋体"/>
                <w:color w:val="auto"/>
                <w:szCs w:val="21"/>
                <w:highlight w:val="none"/>
              </w:rPr>
            </w:pPr>
          </w:p>
        </w:tc>
        <w:tc>
          <w:tcPr>
            <w:tcW w:w="2865" w:type="dxa"/>
            <w:noWrap w:val="0"/>
            <w:vAlign w:val="center"/>
          </w:tcPr>
          <w:p w14:paraId="7444BED5">
            <w:pPr>
              <w:spacing w:line="600" w:lineRule="exact"/>
              <w:jc w:val="center"/>
              <w:rPr>
                <w:rFonts w:hint="eastAsia" w:ascii="宋体" w:hAnsi="宋体"/>
                <w:color w:val="auto"/>
                <w:szCs w:val="21"/>
                <w:highlight w:val="none"/>
              </w:rPr>
            </w:pPr>
          </w:p>
        </w:tc>
        <w:tc>
          <w:tcPr>
            <w:tcW w:w="1857" w:type="dxa"/>
            <w:noWrap w:val="0"/>
            <w:vAlign w:val="center"/>
          </w:tcPr>
          <w:p w14:paraId="0BB6F68B">
            <w:pPr>
              <w:spacing w:line="600" w:lineRule="exact"/>
              <w:jc w:val="center"/>
              <w:rPr>
                <w:rFonts w:hint="eastAsia" w:ascii="宋体" w:hAnsi="宋体"/>
                <w:color w:val="auto"/>
                <w:szCs w:val="21"/>
                <w:highlight w:val="none"/>
              </w:rPr>
            </w:pPr>
          </w:p>
        </w:tc>
        <w:tc>
          <w:tcPr>
            <w:tcW w:w="1533" w:type="dxa"/>
            <w:noWrap w:val="0"/>
            <w:vAlign w:val="center"/>
          </w:tcPr>
          <w:p w14:paraId="58E8A126">
            <w:pPr>
              <w:spacing w:line="600" w:lineRule="exact"/>
              <w:jc w:val="center"/>
              <w:rPr>
                <w:rFonts w:hint="eastAsia" w:ascii="宋体" w:hAnsi="宋体"/>
                <w:color w:val="auto"/>
                <w:szCs w:val="21"/>
                <w:highlight w:val="none"/>
              </w:rPr>
            </w:pPr>
          </w:p>
        </w:tc>
        <w:tc>
          <w:tcPr>
            <w:tcW w:w="2101" w:type="dxa"/>
            <w:gridSpan w:val="2"/>
            <w:noWrap w:val="0"/>
            <w:vAlign w:val="center"/>
          </w:tcPr>
          <w:p w14:paraId="72268876">
            <w:pPr>
              <w:spacing w:line="600" w:lineRule="exact"/>
              <w:jc w:val="center"/>
              <w:rPr>
                <w:rFonts w:hint="eastAsia" w:ascii="宋体" w:hAnsi="宋体"/>
                <w:color w:val="auto"/>
                <w:szCs w:val="21"/>
                <w:highlight w:val="none"/>
              </w:rPr>
            </w:pPr>
          </w:p>
        </w:tc>
      </w:tr>
      <w:tr w14:paraId="3DA0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9" w:type="dxa"/>
            <w:noWrap w:val="0"/>
            <w:vAlign w:val="center"/>
          </w:tcPr>
          <w:p w14:paraId="4831C0D3">
            <w:pPr>
              <w:spacing w:line="600" w:lineRule="exact"/>
              <w:jc w:val="center"/>
              <w:rPr>
                <w:rFonts w:hint="eastAsia" w:ascii="宋体" w:hAnsi="宋体"/>
                <w:color w:val="auto"/>
                <w:szCs w:val="21"/>
                <w:highlight w:val="none"/>
              </w:rPr>
            </w:pPr>
          </w:p>
        </w:tc>
        <w:tc>
          <w:tcPr>
            <w:tcW w:w="2865" w:type="dxa"/>
            <w:noWrap w:val="0"/>
            <w:vAlign w:val="center"/>
          </w:tcPr>
          <w:p w14:paraId="7DF7C5BE">
            <w:pPr>
              <w:spacing w:line="600" w:lineRule="exact"/>
              <w:jc w:val="center"/>
              <w:rPr>
                <w:rFonts w:hint="eastAsia" w:ascii="宋体" w:hAnsi="宋体"/>
                <w:color w:val="auto"/>
                <w:szCs w:val="21"/>
                <w:highlight w:val="none"/>
              </w:rPr>
            </w:pPr>
          </w:p>
        </w:tc>
        <w:tc>
          <w:tcPr>
            <w:tcW w:w="1857" w:type="dxa"/>
            <w:noWrap w:val="0"/>
            <w:vAlign w:val="center"/>
          </w:tcPr>
          <w:p w14:paraId="0E61F13E">
            <w:pPr>
              <w:spacing w:line="600" w:lineRule="exact"/>
              <w:jc w:val="center"/>
              <w:rPr>
                <w:rFonts w:hint="eastAsia" w:ascii="宋体" w:hAnsi="宋体"/>
                <w:color w:val="auto"/>
                <w:szCs w:val="21"/>
                <w:highlight w:val="none"/>
              </w:rPr>
            </w:pPr>
          </w:p>
        </w:tc>
        <w:tc>
          <w:tcPr>
            <w:tcW w:w="1533" w:type="dxa"/>
            <w:noWrap w:val="0"/>
            <w:vAlign w:val="center"/>
          </w:tcPr>
          <w:p w14:paraId="6736F399">
            <w:pPr>
              <w:spacing w:line="600" w:lineRule="exact"/>
              <w:jc w:val="center"/>
              <w:rPr>
                <w:rFonts w:hint="eastAsia" w:ascii="宋体" w:hAnsi="宋体"/>
                <w:color w:val="auto"/>
                <w:szCs w:val="21"/>
                <w:highlight w:val="none"/>
              </w:rPr>
            </w:pPr>
          </w:p>
        </w:tc>
        <w:tc>
          <w:tcPr>
            <w:tcW w:w="2101" w:type="dxa"/>
            <w:gridSpan w:val="2"/>
            <w:noWrap w:val="0"/>
            <w:vAlign w:val="center"/>
          </w:tcPr>
          <w:p w14:paraId="2A815456">
            <w:pPr>
              <w:spacing w:line="600" w:lineRule="exact"/>
              <w:jc w:val="center"/>
              <w:rPr>
                <w:rFonts w:hint="eastAsia" w:ascii="宋体" w:hAnsi="宋体"/>
                <w:color w:val="auto"/>
                <w:szCs w:val="21"/>
                <w:highlight w:val="none"/>
              </w:rPr>
            </w:pPr>
          </w:p>
        </w:tc>
      </w:tr>
      <w:tr w14:paraId="0618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10" w:hRule="atLeast"/>
        </w:trPr>
        <w:tc>
          <w:tcPr>
            <w:tcW w:w="3724" w:type="dxa"/>
            <w:gridSpan w:val="2"/>
            <w:noWrap w:val="0"/>
            <w:vAlign w:val="center"/>
          </w:tcPr>
          <w:p w14:paraId="01CC1170">
            <w:pPr>
              <w:spacing w:line="600" w:lineRule="exact"/>
              <w:jc w:val="center"/>
              <w:rPr>
                <w:rFonts w:hint="eastAsia" w:ascii="宋体" w:hAnsi="宋体"/>
                <w:b/>
                <w:color w:val="auto"/>
                <w:szCs w:val="21"/>
                <w:highlight w:val="none"/>
              </w:rPr>
            </w:pPr>
            <w:r>
              <w:rPr>
                <w:rFonts w:hint="eastAsia" w:ascii="宋体" w:hAnsi="宋体"/>
                <w:b/>
                <w:color w:val="auto"/>
                <w:szCs w:val="21"/>
                <w:highlight w:val="none"/>
              </w:rPr>
              <w:t>合计</w:t>
            </w:r>
          </w:p>
        </w:tc>
        <w:tc>
          <w:tcPr>
            <w:tcW w:w="1857" w:type="dxa"/>
            <w:noWrap w:val="0"/>
            <w:vAlign w:val="center"/>
          </w:tcPr>
          <w:p w14:paraId="08803C00">
            <w:pPr>
              <w:spacing w:line="600" w:lineRule="exact"/>
              <w:jc w:val="center"/>
              <w:rPr>
                <w:rFonts w:hint="default" w:ascii="宋体" w:hAnsi="宋体" w:eastAsia="宋体"/>
                <w:b/>
                <w:color w:val="auto"/>
                <w:szCs w:val="21"/>
                <w:highlight w:val="none"/>
                <w:lang w:val="en-US" w:eastAsia="zh-CN"/>
              </w:rPr>
            </w:pPr>
          </w:p>
        </w:tc>
        <w:tc>
          <w:tcPr>
            <w:tcW w:w="1533" w:type="dxa"/>
            <w:noWrap w:val="0"/>
            <w:vAlign w:val="center"/>
          </w:tcPr>
          <w:p w14:paraId="668FF93B">
            <w:pPr>
              <w:spacing w:line="600" w:lineRule="exact"/>
              <w:jc w:val="center"/>
              <w:rPr>
                <w:rFonts w:hint="eastAsia" w:ascii="宋体" w:hAnsi="宋体"/>
                <w:color w:val="auto"/>
                <w:szCs w:val="21"/>
                <w:highlight w:val="none"/>
              </w:rPr>
            </w:pPr>
          </w:p>
        </w:tc>
        <w:tc>
          <w:tcPr>
            <w:tcW w:w="2100" w:type="dxa"/>
            <w:noWrap w:val="0"/>
            <w:vAlign w:val="center"/>
          </w:tcPr>
          <w:p w14:paraId="5799165B">
            <w:pPr>
              <w:spacing w:line="600" w:lineRule="exact"/>
              <w:jc w:val="center"/>
              <w:rPr>
                <w:rFonts w:hint="eastAsia" w:ascii="宋体" w:hAnsi="宋体"/>
                <w:color w:val="auto"/>
                <w:szCs w:val="21"/>
                <w:highlight w:val="none"/>
              </w:rPr>
            </w:pPr>
          </w:p>
        </w:tc>
      </w:tr>
    </w:tbl>
    <w:p w14:paraId="6FC4CE59">
      <w:pPr>
        <w:spacing w:line="360" w:lineRule="auto"/>
        <w:rPr>
          <w:rFonts w:ascii="宋体" w:hAnsi="宋体"/>
          <w:color w:val="auto"/>
          <w:szCs w:val="21"/>
          <w:highlight w:val="none"/>
        </w:rPr>
      </w:pPr>
      <w:r>
        <w:rPr>
          <w:rFonts w:ascii="宋体" w:hAnsi="宋体"/>
          <w:b/>
          <w:bCs/>
          <w:color w:val="auto"/>
          <w:szCs w:val="21"/>
          <w:highlight w:val="none"/>
        </w:rPr>
        <w:t>说明：</w:t>
      </w:r>
      <w:r>
        <w:rPr>
          <w:rFonts w:hint="eastAsia" w:ascii="宋体" w:hAnsi="宋体"/>
          <w:color w:val="auto"/>
          <w:szCs w:val="21"/>
          <w:highlight w:val="none"/>
          <w:lang w:val="en-US" w:eastAsia="zh-CN"/>
        </w:rPr>
        <w:t>1</w:t>
      </w:r>
      <w:r>
        <w:rPr>
          <w:rFonts w:ascii="宋体" w:hAnsi="宋体"/>
          <w:color w:val="auto"/>
          <w:szCs w:val="21"/>
          <w:highlight w:val="none"/>
        </w:rPr>
        <w:t>. 如果免费请在该备注栏内注明“免”，不留空白；</w:t>
      </w:r>
    </w:p>
    <w:p w14:paraId="2B207222">
      <w:pPr>
        <w:tabs>
          <w:tab w:val="left" w:pos="900"/>
        </w:tabs>
        <w:spacing w:line="360" w:lineRule="auto"/>
        <w:ind w:firstLine="630" w:firstLineChars="300"/>
        <w:rPr>
          <w:rFonts w:ascii="宋体" w:hAnsi="宋体"/>
          <w:b/>
          <w:color w:val="auto"/>
          <w:szCs w:val="21"/>
          <w:highlight w:val="none"/>
          <w:u w:val="single"/>
        </w:rPr>
      </w:pPr>
      <w:r>
        <w:rPr>
          <w:rFonts w:ascii="宋体" w:hAnsi="宋体"/>
          <w:color w:val="auto"/>
          <w:szCs w:val="21"/>
          <w:highlight w:val="none"/>
          <w:u w:val="single"/>
        </w:rPr>
        <w:t>▲</w:t>
      </w:r>
      <w:r>
        <w:rPr>
          <w:rFonts w:hint="eastAsia" w:ascii="宋体" w:hAnsi="宋体"/>
          <w:b/>
          <w:color w:val="auto"/>
          <w:szCs w:val="21"/>
          <w:highlight w:val="none"/>
          <w:u w:val="single"/>
          <w:lang w:val="en-US" w:eastAsia="zh-CN"/>
        </w:rPr>
        <w:t>2</w:t>
      </w:r>
      <w:r>
        <w:rPr>
          <w:rFonts w:ascii="宋体" w:hAnsi="宋体"/>
          <w:b/>
          <w:color w:val="auto"/>
          <w:szCs w:val="21"/>
          <w:highlight w:val="none"/>
          <w:u w:val="single"/>
        </w:rPr>
        <w:t>.不提供此表的报价，视为没有实质性响应招标文件要求；</w:t>
      </w:r>
    </w:p>
    <w:p w14:paraId="22CFBDFB">
      <w:pPr>
        <w:tabs>
          <w:tab w:val="left" w:pos="900"/>
        </w:tabs>
        <w:spacing w:line="360" w:lineRule="auto"/>
        <w:ind w:firstLine="630" w:firstLineChars="300"/>
        <w:rPr>
          <w:rFonts w:ascii="宋体" w:hAnsi="宋体"/>
          <w:color w:val="auto"/>
          <w:szCs w:val="21"/>
          <w:highlight w:val="none"/>
          <w:u w:val="single"/>
        </w:rPr>
      </w:pPr>
      <w:r>
        <w:rPr>
          <w:rFonts w:ascii="宋体" w:hAnsi="宋体"/>
          <w:color w:val="auto"/>
          <w:szCs w:val="21"/>
          <w:highlight w:val="none"/>
          <w:u w:val="single"/>
        </w:rPr>
        <w:t>▲</w:t>
      </w:r>
      <w:r>
        <w:rPr>
          <w:rFonts w:hint="eastAsia" w:ascii="宋体" w:hAnsi="宋体"/>
          <w:b/>
          <w:color w:val="auto"/>
          <w:szCs w:val="21"/>
          <w:highlight w:val="none"/>
          <w:u w:val="single"/>
          <w:lang w:val="en-US" w:eastAsia="zh-CN"/>
        </w:rPr>
        <w:t>3</w:t>
      </w:r>
      <w:r>
        <w:rPr>
          <w:rFonts w:ascii="宋体" w:hAnsi="宋体"/>
          <w:b/>
          <w:color w:val="auto"/>
          <w:szCs w:val="21"/>
          <w:highlight w:val="none"/>
          <w:u w:val="single"/>
        </w:rPr>
        <w:t>.</w:t>
      </w:r>
      <w:r>
        <w:rPr>
          <w:rFonts w:ascii="宋体" w:hAnsi="宋体"/>
          <w:b/>
          <w:bCs/>
          <w:color w:val="auto"/>
          <w:szCs w:val="21"/>
          <w:highlight w:val="none"/>
          <w:u w:val="single"/>
        </w:rPr>
        <w:t>本表总计价须与“</w:t>
      </w:r>
      <w:r>
        <w:rPr>
          <w:rFonts w:hint="eastAsia" w:ascii="宋体" w:hAnsi="宋体"/>
          <w:b/>
          <w:bCs/>
          <w:color w:val="auto"/>
          <w:szCs w:val="21"/>
          <w:highlight w:val="none"/>
          <w:u w:val="single"/>
        </w:rPr>
        <w:t>开标一览表（报价表）</w:t>
      </w:r>
      <w:r>
        <w:rPr>
          <w:rFonts w:ascii="宋体" w:hAnsi="宋体"/>
          <w:b/>
          <w:bCs/>
          <w:color w:val="auto"/>
          <w:szCs w:val="21"/>
          <w:highlight w:val="none"/>
          <w:u w:val="single"/>
        </w:rPr>
        <w:t>”中的投标报价相一致；</w:t>
      </w:r>
    </w:p>
    <w:p w14:paraId="5FD8ABB3">
      <w:pPr>
        <w:spacing w:line="360" w:lineRule="auto"/>
        <w:ind w:firstLine="735" w:firstLineChars="350"/>
        <w:jc w:val="center"/>
        <w:rPr>
          <w:rFonts w:ascii="宋体" w:hAnsi="宋体"/>
          <w:color w:val="auto"/>
          <w:szCs w:val="21"/>
          <w:highlight w:val="none"/>
          <w:lang w:val="zh-CN"/>
        </w:rPr>
      </w:pPr>
      <w:r>
        <w:rPr>
          <w:rFonts w:hint="eastAsia" w:ascii="宋体" w:hAnsi="宋体"/>
          <w:color w:val="auto"/>
          <w:szCs w:val="21"/>
          <w:highlight w:val="none"/>
          <w:lang w:val="zh-CN"/>
        </w:rPr>
        <w:t>投标人名称（</w:t>
      </w:r>
      <w:r>
        <w:rPr>
          <w:rFonts w:hint="eastAsia" w:ascii="宋体" w:hAnsi="宋体"/>
          <w:color w:val="auto"/>
          <w:szCs w:val="21"/>
          <w:highlight w:val="none"/>
        </w:rPr>
        <w:t>电子签名</w:t>
      </w:r>
      <w:r>
        <w:rPr>
          <w:rFonts w:hint="eastAsia" w:ascii="宋体" w:hAnsi="宋体"/>
          <w:color w:val="auto"/>
          <w:szCs w:val="21"/>
          <w:highlight w:val="none"/>
          <w:lang w:val="zh-CN"/>
        </w:rPr>
        <w:t xml:space="preserve">）：                                                                                                                                                                                                               </w:t>
      </w:r>
    </w:p>
    <w:p w14:paraId="268965B4">
      <w:pPr>
        <w:spacing w:line="360" w:lineRule="auto"/>
        <w:ind w:firstLine="3675" w:firstLineChars="1750"/>
        <w:jc w:val="both"/>
        <w:rPr>
          <w:rFonts w:ascii="宋体" w:hAnsi="宋体"/>
          <w:color w:val="auto"/>
          <w:szCs w:val="21"/>
          <w:highlight w:val="none"/>
        </w:rPr>
      </w:pPr>
      <w:r>
        <w:rPr>
          <w:rFonts w:hint="eastAsia" w:ascii="宋体" w:hAnsi="宋体"/>
          <w:color w:val="auto"/>
          <w:szCs w:val="21"/>
          <w:highlight w:val="none"/>
          <w:lang w:val="zh-CN"/>
        </w:rPr>
        <w:t>日期</w:t>
      </w:r>
      <w:r>
        <w:rPr>
          <w:rFonts w:hint="eastAsia" w:ascii="宋体" w:hAnsi="宋体"/>
          <w:color w:val="auto"/>
          <w:szCs w:val="21"/>
          <w:highlight w:val="none"/>
        </w:rPr>
        <w:t>：</w:t>
      </w:r>
      <w:r>
        <w:rPr>
          <w:rFonts w:hint="eastAsia" w:ascii="宋体" w:hAnsi="宋体"/>
          <w:color w:val="auto"/>
          <w:szCs w:val="21"/>
          <w:highlight w:val="none"/>
          <w:lang w:val="zh-CN"/>
        </w:rPr>
        <w:t xml:space="preserve">   年   月   日</w:t>
      </w:r>
    </w:p>
    <w:p w14:paraId="60FD9D80">
      <w:pPr>
        <w:pStyle w:val="3"/>
        <w:rPr>
          <w:rFonts w:hint="eastAsia"/>
          <w:color w:val="auto"/>
          <w:highlight w:val="none"/>
          <w:lang w:val="zh-CN"/>
        </w:rPr>
      </w:pPr>
    </w:p>
    <w:p w14:paraId="7CAB1F24">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77F0EFEF">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6B9CC921">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795E77A">
      <w:pPr>
        <w:pStyle w:val="80"/>
        <w:rPr>
          <w:rFonts w:hint="eastAsia" w:ascii="宋体" w:hAnsi="宋体" w:cs="宋体"/>
          <w:b/>
          <w:color w:val="auto"/>
          <w:sz w:val="24"/>
          <w:highlight w:val="none"/>
        </w:rPr>
      </w:pPr>
    </w:p>
    <w:p w14:paraId="6CC0F01B">
      <w:pPr>
        <w:pStyle w:val="80"/>
        <w:rPr>
          <w:rFonts w:hint="eastAsia" w:ascii="宋体" w:hAnsi="宋体" w:cs="宋体"/>
          <w:b/>
          <w:color w:val="auto"/>
          <w:sz w:val="24"/>
          <w:highlight w:val="none"/>
        </w:rPr>
      </w:pPr>
    </w:p>
    <w:p w14:paraId="2317B120">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2C64126">
      <w:pPr>
        <w:spacing w:line="360" w:lineRule="auto"/>
        <w:ind w:right="420" w:firstLine="3614" w:firstLineChars="1000"/>
        <w:rPr>
          <w:rFonts w:ascii="宋体" w:hAnsi="宋体" w:cs="宋体"/>
          <w:b/>
          <w:color w:val="auto"/>
          <w:kern w:val="0"/>
          <w:sz w:val="36"/>
          <w:szCs w:val="36"/>
          <w:highlight w:val="none"/>
        </w:rPr>
      </w:pPr>
    </w:p>
    <w:p w14:paraId="136430FE">
      <w:pPr>
        <w:spacing w:line="360" w:lineRule="auto"/>
        <w:ind w:right="420" w:firstLine="3614" w:firstLineChars="1000"/>
        <w:rPr>
          <w:rFonts w:ascii="宋体" w:hAnsi="宋体" w:cs="宋体"/>
          <w:b/>
          <w:color w:val="auto"/>
          <w:kern w:val="0"/>
          <w:sz w:val="36"/>
          <w:szCs w:val="36"/>
          <w:highlight w:val="none"/>
        </w:rPr>
      </w:pPr>
    </w:p>
    <w:p w14:paraId="59849F4E">
      <w:pPr>
        <w:spacing w:line="360" w:lineRule="auto"/>
        <w:ind w:right="420" w:firstLine="3614" w:firstLineChars="1000"/>
        <w:rPr>
          <w:rFonts w:ascii="宋体" w:hAnsi="宋体" w:cs="宋体"/>
          <w:b/>
          <w:color w:val="auto"/>
          <w:kern w:val="0"/>
          <w:sz w:val="36"/>
          <w:szCs w:val="36"/>
          <w:highlight w:val="none"/>
        </w:rPr>
      </w:pPr>
    </w:p>
    <w:p w14:paraId="53A6D269">
      <w:pPr>
        <w:spacing w:line="360" w:lineRule="auto"/>
        <w:ind w:right="420" w:firstLine="3614" w:firstLineChars="1000"/>
        <w:rPr>
          <w:rFonts w:ascii="宋体" w:hAnsi="宋体" w:cs="宋体"/>
          <w:b/>
          <w:color w:val="auto"/>
          <w:kern w:val="0"/>
          <w:sz w:val="36"/>
          <w:szCs w:val="36"/>
          <w:highlight w:val="none"/>
        </w:rPr>
      </w:pPr>
    </w:p>
    <w:p w14:paraId="302156A6">
      <w:pPr>
        <w:spacing w:line="360" w:lineRule="auto"/>
        <w:ind w:right="420" w:firstLine="3614" w:firstLineChars="1000"/>
        <w:rPr>
          <w:rFonts w:ascii="宋体" w:hAnsi="宋体" w:cs="宋体"/>
          <w:b/>
          <w:color w:val="auto"/>
          <w:kern w:val="0"/>
          <w:sz w:val="36"/>
          <w:szCs w:val="36"/>
          <w:highlight w:val="none"/>
        </w:rPr>
      </w:pPr>
    </w:p>
    <w:p w14:paraId="7FC578EC">
      <w:pPr>
        <w:spacing w:line="360" w:lineRule="auto"/>
        <w:ind w:right="420" w:firstLine="3614" w:firstLineChars="1000"/>
        <w:rPr>
          <w:rFonts w:ascii="宋体" w:hAnsi="宋体" w:cs="宋体"/>
          <w:b/>
          <w:color w:val="auto"/>
          <w:kern w:val="0"/>
          <w:sz w:val="36"/>
          <w:szCs w:val="36"/>
          <w:highlight w:val="none"/>
        </w:rPr>
      </w:pPr>
    </w:p>
    <w:p w14:paraId="756E798F">
      <w:pPr>
        <w:spacing w:line="360" w:lineRule="auto"/>
        <w:ind w:right="420" w:firstLine="3614" w:firstLineChars="1000"/>
        <w:rPr>
          <w:rFonts w:ascii="宋体" w:hAnsi="宋体" w:cs="宋体"/>
          <w:b/>
          <w:color w:val="auto"/>
          <w:kern w:val="0"/>
          <w:sz w:val="36"/>
          <w:szCs w:val="36"/>
          <w:highlight w:val="none"/>
        </w:rPr>
      </w:pPr>
    </w:p>
    <w:p w14:paraId="58417888">
      <w:pPr>
        <w:spacing w:line="360" w:lineRule="auto"/>
        <w:ind w:right="420" w:firstLine="3614" w:firstLineChars="1000"/>
        <w:rPr>
          <w:rFonts w:ascii="宋体" w:hAnsi="宋体" w:cs="宋体"/>
          <w:b/>
          <w:color w:val="auto"/>
          <w:kern w:val="0"/>
          <w:sz w:val="36"/>
          <w:szCs w:val="36"/>
          <w:highlight w:val="none"/>
        </w:rPr>
      </w:pPr>
    </w:p>
    <w:p w14:paraId="05AA91AF">
      <w:pPr>
        <w:spacing w:line="360" w:lineRule="auto"/>
        <w:ind w:right="420" w:firstLine="3614" w:firstLineChars="1000"/>
        <w:rPr>
          <w:rFonts w:ascii="宋体" w:hAnsi="宋体" w:cs="宋体"/>
          <w:b/>
          <w:color w:val="auto"/>
          <w:kern w:val="0"/>
          <w:sz w:val="36"/>
          <w:szCs w:val="36"/>
          <w:highlight w:val="none"/>
        </w:rPr>
      </w:pPr>
    </w:p>
    <w:p w14:paraId="7ACD6D04">
      <w:pPr>
        <w:spacing w:line="360" w:lineRule="auto"/>
        <w:ind w:right="420" w:firstLine="3614" w:firstLineChars="1000"/>
        <w:rPr>
          <w:rFonts w:ascii="宋体" w:hAnsi="宋体" w:cs="宋体"/>
          <w:b/>
          <w:color w:val="auto"/>
          <w:kern w:val="0"/>
          <w:sz w:val="36"/>
          <w:szCs w:val="36"/>
          <w:highlight w:val="none"/>
        </w:rPr>
      </w:pPr>
    </w:p>
    <w:p w14:paraId="4A989477">
      <w:pPr>
        <w:spacing w:line="360" w:lineRule="auto"/>
        <w:ind w:right="420" w:firstLine="3614" w:firstLineChars="1000"/>
        <w:rPr>
          <w:rFonts w:ascii="宋体" w:hAnsi="宋体" w:cs="宋体"/>
          <w:b/>
          <w:color w:val="auto"/>
          <w:kern w:val="0"/>
          <w:sz w:val="36"/>
          <w:szCs w:val="36"/>
          <w:highlight w:val="none"/>
        </w:rPr>
      </w:pPr>
    </w:p>
    <w:p w14:paraId="30DD58CC">
      <w:pPr>
        <w:spacing w:line="360" w:lineRule="auto"/>
        <w:ind w:right="420" w:firstLine="3614" w:firstLineChars="1000"/>
        <w:rPr>
          <w:rFonts w:ascii="宋体" w:hAnsi="宋体" w:cs="宋体"/>
          <w:b/>
          <w:color w:val="auto"/>
          <w:kern w:val="0"/>
          <w:sz w:val="36"/>
          <w:szCs w:val="36"/>
          <w:highlight w:val="none"/>
        </w:rPr>
      </w:pPr>
    </w:p>
    <w:p w14:paraId="502EB66B">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8A212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4CBCBC0">
      <w:pPr>
        <w:spacing w:line="360" w:lineRule="auto"/>
        <w:jc w:val="center"/>
        <w:rPr>
          <w:rFonts w:ascii="宋体" w:hAnsi="宋体" w:cs="宋体"/>
          <w:b/>
          <w:color w:val="auto"/>
          <w:spacing w:val="6"/>
          <w:sz w:val="32"/>
          <w:szCs w:val="32"/>
          <w:highlight w:val="none"/>
        </w:rPr>
      </w:pPr>
      <w:bookmarkStart w:id="401" w:name="OLE_LINK13"/>
      <w:bookmarkStart w:id="402" w:name="OLE_LINK14"/>
      <w:r>
        <w:rPr>
          <w:rFonts w:hint="eastAsia" w:ascii="宋体" w:hAnsi="宋体" w:cs="宋体"/>
          <w:b/>
          <w:color w:val="auto"/>
          <w:spacing w:val="6"/>
          <w:sz w:val="32"/>
          <w:szCs w:val="32"/>
          <w:highlight w:val="none"/>
        </w:rPr>
        <w:t>残疾人福利性单位声明函</w:t>
      </w:r>
    </w:p>
    <w:bookmarkEnd w:id="401"/>
    <w:bookmarkEnd w:id="402"/>
    <w:p w14:paraId="627D4452">
      <w:pPr>
        <w:spacing w:line="360" w:lineRule="auto"/>
        <w:rPr>
          <w:rFonts w:ascii="宋体" w:hAnsi="宋体" w:cs="宋体"/>
          <w:b/>
          <w:color w:val="auto"/>
          <w:spacing w:val="6"/>
          <w:sz w:val="30"/>
          <w:szCs w:val="30"/>
          <w:highlight w:val="none"/>
        </w:rPr>
      </w:pPr>
    </w:p>
    <w:p w14:paraId="38A33A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2025年钱塘江省管海塘零星维修工程监理</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CAE19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5A5E50D">
      <w:pPr>
        <w:spacing w:line="360" w:lineRule="auto"/>
        <w:ind w:firstLine="480" w:firstLineChars="200"/>
        <w:rPr>
          <w:rFonts w:ascii="宋体" w:hAnsi="宋体" w:cs="宋体"/>
          <w:color w:val="auto"/>
          <w:sz w:val="24"/>
          <w:highlight w:val="none"/>
        </w:rPr>
      </w:pPr>
    </w:p>
    <w:p w14:paraId="4680D07A">
      <w:pPr>
        <w:spacing w:line="360" w:lineRule="auto"/>
        <w:ind w:firstLine="480" w:firstLineChars="200"/>
        <w:rPr>
          <w:rFonts w:ascii="宋体" w:hAnsi="宋体" w:cs="宋体"/>
          <w:color w:val="auto"/>
          <w:sz w:val="24"/>
          <w:highlight w:val="none"/>
        </w:rPr>
      </w:pPr>
    </w:p>
    <w:p w14:paraId="5FAB769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37D917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3D9CBE3">
      <w:pPr>
        <w:spacing w:line="360" w:lineRule="auto"/>
        <w:ind w:firstLine="480" w:firstLineChars="200"/>
        <w:rPr>
          <w:rFonts w:ascii="宋体" w:hAnsi="宋体" w:cs="宋体"/>
          <w:color w:val="auto"/>
          <w:sz w:val="24"/>
          <w:highlight w:val="none"/>
        </w:rPr>
      </w:pPr>
    </w:p>
    <w:p w14:paraId="6F15876F">
      <w:pPr>
        <w:spacing w:line="360" w:lineRule="auto"/>
        <w:ind w:firstLine="420" w:firstLineChars="200"/>
        <w:rPr>
          <w:rFonts w:ascii="宋体" w:hAnsi="宋体" w:cs="宋体"/>
          <w:color w:val="auto"/>
          <w:highlight w:val="none"/>
        </w:rPr>
      </w:pPr>
    </w:p>
    <w:p w14:paraId="1498F7E7">
      <w:pPr>
        <w:spacing w:line="360" w:lineRule="auto"/>
        <w:ind w:firstLine="420" w:firstLineChars="200"/>
        <w:rPr>
          <w:rFonts w:ascii="宋体" w:hAnsi="宋体" w:cs="宋体"/>
          <w:color w:val="auto"/>
          <w:highlight w:val="none"/>
        </w:rPr>
      </w:pPr>
    </w:p>
    <w:p w14:paraId="3BBB8FF1">
      <w:pPr>
        <w:spacing w:line="360" w:lineRule="auto"/>
        <w:ind w:firstLine="420" w:firstLineChars="200"/>
        <w:rPr>
          <w:rFonts w:ascii="宋体" w:hAnsi="宋体" w:cs="宋体"/>
          <w:color w:val="auto"/>
          <w:highlight w:val="none"/>
        </w:rPr>
      </w:pPr>
    </w:p>
    <w:p w14:paraId="366A87EF">
      <w:pPr>
        <w:spacing w:line="360" w:lineRule="auto"/>
        <w:ind w:firstLine="420" w:firstLineChars="200"/>
        <w:rPr>
          <w:rFonts w:ascii="宋体" w:hAnsi="宋体" w:cs="宋体"/>
          <w:color w:val="auto"/>
          <w:highlight w:val="none"/>
        </w:rPr>
      </w:pPr>
    </w:p>
    <w:p w14:paraId="1DE411AF">
      <w:pPr>
        <w:spacing w:line="360" w:lineRule="auto"/>
        <w:rPr>
          <w:rFonts w:ascii="宋体" w:hAnsi="宋体" w:cs="宋体"/>
          <w:b/>
          <w:color w:val="auto"/>
          <w:sz w:val="24"/>
          <w:highlight w:val="none"/>
        </w:rPr>
      </w:pPr>
    </w:p>
    <w:p w14:paraId="18500AE8">
      <w:pPr>
        <w:spacing w:line="360" w:lineRule="auto"/>
        <w:rPr>
          <w:rFonts w:ascii="宋体" w:hAnsi="宋体" w:cs="宋体"/>
          <w:b/>
          <w:color w:val="auto"/>
          <w:sz w:val="24"/>
          <w:highlight w:val="none"/>
        </w:rPr>
      </w:pPr>
    </w:p>
    <w:p w14:paraId="4E7E3B34">
      <w:pPr>
        <w:spacing w:line="360" w:lineRule="auto"/>
        <w:rPr>
          <w:rFonts w:ascii="宋体" w:hAnsi="宋体" w:cs="宋体"/>
          <w:b/>
          <w:color w:val="auto"/>
          <w:sz w:val="24"/>
          <w:highlight w:val="none"/>
        </w:rPr>
      </w:pPr>
    </w:p>
    <w:p w14:paraId="0F0D4002">
      <w:pPr>
        <w:spacing w:line="360" w:lineRule="auto"/>
        <w:rPr>
          <w:rFonts w:ascii="宋体" w:hAnsi="宋体" w:cs="宋体"/>
          <w:b/>
          <w:color w:val="auto"/>
          <w:sz w:val="24"/>
          <w:highlight w:val="none"/>
        </w:rPr>
      </w:pPr>
    </w:p>
    <w:p w14:paraId="06DB19AB">
      <w:pPr>
        <w:spacing w:line="360" w:lineRule="auto"/>
        <w:rPr>
          <w:rFonts w:ascii="宋体" w:hAnsi="宋体" w:cs="宋体"/>
          <w:b/>
          <w:color w:val="auto"/>
          <w:sz w:val="24"/>
          <w:highlight w:val="none"/>
        </w:rPr>
      </w:pPr>
    </w:p>
    <w:p w14:paraId="69FFD786">
      <w:pPr>
        <w:spacing w:line="360" w:lineRule="auto"/>
        <w:rPr>
          <w:rFonts w:ascii="宋体" w:hAnsi="宋体" w:cs="宋体"/>
          <w:b/>
          <w:color w:val="auto"/>
          <w:sz w:val="24"/>
          <w:highlight w:val="none"/>
        </w:rPr>
      </w:pPr>
    </w:p>
    <w:p w14:paraId="15DCE05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BC06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9C50E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A39AC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7E2E4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5F36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1AB7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9377F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097A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D0749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86134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873CA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CE5D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B4914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21EFE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799A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D0F10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619A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6192F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747C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E865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C255A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47D520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FD455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4EFDD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EC83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61EFB8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2670A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FB090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2968E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11C63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2BB80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C4179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6602C0">
      <w:pPr>
        <w:widowControl/>
        <w:spacing w:line="360" w:lineRule="auto"/>
        <w:ind w:firstLine="600" w:firstLineChars="200"/>
        <w:jc w:val="left"/>
        <w:rPr>
          <w:rFonts w:ascii="宋体" w:hAnsi="宋体" w:cs="宋体"/>
          <w:color w:val="auto"/>
          <w:sz w:val="30"/>
          <w:szCs w:val="30"/>
          <w:highlight w:val="none"/>
        </w:rPr>
      </w:pPr>
    </w:p>
    <w:p w14:paraId="373852FA">
      <w:pPr>
        <w:spacing w:line="360" w:lineRule="auto"/>
        <w:jc w:val="center"/>
        <w:rPr>
          <w:rFonts w:ascii="宋体" w:hAnsi="宋体" w:cs="宋体"/>
          <w:b/>
          <w:color w:val="auto"/>
          <w:spacing w:val="6"/>
          <w:sz w:val="32"/>
          <w:szCs w:val="32"/>
          <w:highlight w:val="none"/>
        </w:rPr>
      </w:pPr>
    </w:p>
    <w:p w14:paraId="4111564E">
      <w:pPr>
        <w:spacing w:line="360" w:lineRule="auto"/>
        <w:jc w:val="center"/>
        <w:rPr>
          <w:rFonts w:ascii="宋体" w:hAnsi="宋体" w:cs="宋体"/>
          <w:b/>
          <w:color w:val="auto"/>
          <w:spacing w:val="6"/>
          <w:sz w:val="32"/>
          <w:szCs w:val="32"/>
          <w:highlight w:val="none"/>
        </w:rPr>
      </w:pPr>
    </w:p>
    <w:p w14:paraId="24C0EB05">
      <w:pPr>
        <w:spacing w:line="360" w:lineRule="auto"/>
        <w:jc w:val="center"/>
        <w:rPr>
          <w:rFonts w:ascii="宋体" w:hAnsi="宋体" w:cs="宋体"/>
          <w:b/>
          <w:color w:val="auto"/>
          <w:spacing w:val="6"/>
          <w:sz w:val="32"/>
          <w:szCs w:val="32"/>
          <w:highlight w:val="none"/>
        </w:rPr>
      </w:pPr>
    </w:p>
    <w:p w14:paraId="37F46F62">
      <w:pPr>
        <w:spacing w:line="360" w:lineRule="auto"/>
        <w:jc w:val="center"/>
        <w:rPr>
          <w:rFonts w:ascii="宋体" w:hAnsi="宋体" w:cs="宋体"/>
          <w:b/>
          <w:color w:val="auto"/>
          <w:spacing w:val="6"/>
          <w:sz w:val="32"/>
          <w:szCs w:val="32"/>
          <w:highlight w:val="none"/>
        </w:rPr>
      </w:pPr>
    </w:p>
    <w:p w14:paraId="71EDD7E0">
      <w:pPr>
        <w:spacing w:line="360" w:lineRule="auto"/>
        <w:jc w:val="center"/>
        <w:rPr>
          <w:rFonts w:ascii="宋体" w:hAnsi="宋体" w:cs="宋体"/>
          <w:b/>
          <w:color w:val="auto"/>
          <w:spacing w:val="6"/>
          <w:sz w:val="32"/>
          <w:szCs w:val="32"/>
          <w:highlight w:val="none"/>
        </w:rPr>
      </w:pPr>
    </w:p>
    <w:p w14:paraId="18D46666">
      <w:pPr>
        <w:spacing w:line="360" w:lineRule="auto"/>
        <w:jc w:val="center"/>
        <w:rPr>
          <w:rFonts w:ascii="宋体" w:hAnsi="宋体" w:cs="宋体"/>
          <w:b/>
          <w:color w:val="auto"/>
          <w:spacing w:val="6"/>
          <w:sz w:val="32"/>
          <w:szCs w:val="32"/>
          <w:highlight w:val="none"/>
        </w:rPr>
      </w:pPr>
    </w:p>
    <w:p w14:paraId="2265C7FA">
      <w:pPr>
        <w:spacing w:line="360" w:lineRule="auto"/>
        <w:jc w:val="center"/>
        <w:rPr>
          <w:rFonts w:ascii="宋体" w:hAnsi="宋体" w:cs="宋体"/>
          <w:b/>
          <w:color w:val="auto"/>
          <w:spacing w:val="6"/>
          <w:sz w:val="32"/>
          <w:szCs w:val="32"/>
          <w:highlight w:val="none"/>
        </w:rPr>
      </w:pPr>
    </w:p>
    <w:p w14:paraId="44E7AC41">
      <w:pPr>
        <w:spacing w:line="360" w:lineRule="auto"/>
        <w:jc w:val="center"/>
        <w:rPr>
          <w:rFonts w:ascii="宋体" w:hAnsi="宋体" w:cs="宋体"/>
          <w:b/>
          <w:color w:val="auto"/>
          <w:spacing w:val="6"/>
          <w:sz w:val="32"/>
          <w:szCs w:val="32"/>
          <w:highlight w:val="none"/>
        </w:rPr>
      </w:pPr>
    </w:p>
    <w:p w14:paraId="337EBE17">
      <w:pPr>
        <w:spacing w:line="360" w:lineRule="auto"/>
        <w:jc w:val="center"/>
        <w:rPr>
          <w:rFonts w:ascii="宋体" w:hAnsi="宋体" w:cs="宋体"/>
          <w:b/>
          <w:color w:val="auto"/>
          <w:spacing w:val="6"/>
          <w:sz w:val="32"/>
          <w:szCs w:val="32"/>
          <w:highlight w:val="none"/>
        </w:rPr>
      </w:pPr>
    </w:p>
    <w:p w14:paraId="3F6B7D94">
      <w:pPr>
        <w:spacing w:line="360" w:lineRule="auto"/>
        <w:jc w:val="left"/>
        <w:rPr>
          <w:rFonts w:hint="eastAsia" w:ascii="宋体" w:hAnsi="宋体" w:cs="宋体"/>
          <w:b/>
          <w:color w:val="auto"/>
          <w:spacing w:val="6"/>
          <w:sz w:val="32"/>
          <w:szCs w:val="32"/>
          <w:highlight w:val="none"/>
        </w:rPr>
      </w:pPr>
    </w:p>
    <w:p w14:paraId="38E73C34">
      <w:pPr>
        <w:spacing w:line="360" w:lineRule="auto"/>
        <w:jc w:val="left"/>
        <w:rPr>
          <w:rFonts w:hint="eastAsia" w:ascii="宋体" w:hAnsi="宋体" w:cs="宋体"/>
          <w:b/>
          <w:color w:val="auto"/>
          <w:spacing w:val="6"/>
          <w:sz w:val="32"/>
          <w:szCs w:val="32"/>
          <w:highlight w:val="none"/>
        </w:rPr>
      </w:pPr>
    </w:p>
    <w:p w14:paraId="59D2E043">
      <w:pPr>
        <w:spacing w:line="360" w:lineRule="auto"/>
        <w:jc w:val="left"/>
        <w:rPr>
          <w:rFonts w:hint="eastAsia" w:ascii="宋体" w:hAnsi="宋体" w:cs="宋体"/>
          <w:b/>
          <w:color w:val="auto"/>
          <w:spacing w:val="6"/>
          <w:sz w:val="32"/>
          <w:szCs w:val="32"/>
          <w:highlight w:val="none"/>
        </w:rPr>
      </w:pPr>
    </w:p>
    <w:p w14:paraId="3BED440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9A1E30F">
      <w:pPr>
        <w:spacing w:line="360" w:lineRule="auto"/>
        <w:jc w:val="center"/>
        <w:rPr>
          <w:rFonts w:ascii="宋体" w:hAnsi="宋体" w:cs="宋体"/>
          <w:b/>
          <w:color w:val="auto"/>
          <w:sz w:val="24"/>
          <w:highlight w:val="none"/>
        </w:rPr>
      </w:pPr>
    </w:p>
    <w:p w14:paraId="4E174A1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3B00F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CB07B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10233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67B90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0C4C0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A747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3A45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015CA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8302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7371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1E58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D18EAF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9E1C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03D2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F176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7AA59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C5140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2A638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923B7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5D92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8BDDC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6527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E3D26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F5F129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2E9BB7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05F70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F5B57B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B1F3E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72E1F3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8717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78B01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2A315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9DBC8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81E9F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429649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5065E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12FB2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4522A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77E4F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1F6588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D262B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AB8DE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A1D0C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78D27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DDB8B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C2AB084">
      <w:pPr>
        <w:widowControl/>
        <w:spacing w:line="360" w:lineRule="auto"/>
        <w:ind w:firstLine="480" w:firstLineChars="200"/>
        <w:jc w:val="left"/>
        <w:rPr>
          <w:rFonts w:hint="eastAsia" w:ascii="宋体" w:hAnsi="宋体" w:cs="宋体"/>
          <w:color w:val="auto"/>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3B2CFB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5DA680D">
      <w:pPr>
        <w:spacing w:line="360" w:lineRule="auto"/>
        <w:rPr>
          <w:rFonts w:ascii="宋体" w:hAnsi="宋体" w:cs="宋体"/>
          <w:color w:val="auto"/>
          <w:sz w:val="24"/>
          <w:highlight w:val="none"/>
          <w:u w:val="single"/>
        </w:rPr>
      </w:pPr>
    </w:p>
    <w:p w14:paraId="4598A92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浙江省钱塘江流域中心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浙江中际工程项目管理有限公司</w:t>
      </w:r>
      <w:r>
        <w:rPr>
          <w:rFonts w:hint="eastAsia" w:ascii="宋体" w:hAnsi="宋体" w:cs="宋体"/>
          <w:color w:val="auto"/>
          <w:sz w:val="24"/>
          <w:highlight w:val="none"/>
          <w:u w:val="single"/>
        </w:rPr>
        <w:t>：</w:t>
      </w:r>
    </w:p>
    <w:p w14:paraId="7A8C5AF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2025年钱塘江省管海塘零星维修工程监理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F5565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9156D88">
      <w:pPr>
        <w:spacing w:line="360" w:lineRule="auto"/>
        <w:ind w:firstLine="494"/>
        <w:rPr>
          <w:rFonts w:ascii="宋体" w:hAnsi="宋体" w:cs="宋体"/>
          <w:color w:val="auto"/>
          <w:sz w:val="24"/>
          <w:highlight w:val="none"/>
        </w:rPr>
      </w:pPr>
    </w:p>
    <w:p w14:paraId="6B589ABD">
      <w:pPr>
        <w:spacing w:line="360" w:lineRule="auto"/>
        <w:ind w:firstLine="494"/>
        <w:rPr>
          <w:rFonts w:ascii="宋体" w:hAnsi="宋体" w:cs="宋体"/>
          <w:color w:val="auto"/>
          <w:sz w:val="24"/>
          <w:highlight w:val="none"/>
        </w:rPr>
      </w:pPr>
    </w:p>
    <w:p w14:paraId="09A7ADF2">
      <w:pPr>
        <w:spacing w:line="360" w:lineRule="auto"/>
        <w:ind w:firstLine="494"/>
        <w:rPr>
          <w:rFonts w:ascii="宋体" w:hAnsi="宋体" w:cs="宋体"/>
          <w:color w:val="auto"/>
          <w:sz w:val="24"/>
          <w:highlight w:val="none"/>
        </w:rPr>
      </w:pPr>
    </w:p>
    <w:p w14:paraId="56B1FE2E">
      <w:pPr>
        <w:spacing w:line="360" w:lineRule="auto"/>
        <w:ind w:firstLine="494"/>
        <w:rPr>
          <w:rFonts w:ascii="宋体" w:hAnsi="宋体" w:cs="宋体"/>
          <w:color w:val="auto"/>
          <w:sz w:val="24"/>
          <w:highlight w:val="none"/>
        </w:rPr>
      </w:pPr>
    </w:p>
    <w:p w14:paraId="3D8F8EC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1AF93A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AD3E2F2">
      <w:pPr>
        <w:rPr>
          <w:rFonts w:ascii="宋体" w:hAnsi="宋体" w:cs="宋体"/>
          <w:color w:val="auto"/>
          <w:sz w:val="24"/>
          <w:highlight w:val="none"/>
        </w:rPr>
      </w:pPr>
      <w:r>
        <w:rPr>
          <w:rFonts w:hint="eastAsia" w:ascii="宋体" w:hAnsi="宋体" w:cs="宋体"/>
          <w:b/>
          <w:bCs/>
          <w:color w:val="auto"/>
          <w:sz w:val="24"/>
          <w:highlight w:val="none"/>
        </w:rPr>
        <w:t>附：</w:t>
      </w:r>
    </w:p>
    <w:p w14:paraId="7CB3E88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793934F">
      <w:pPr>
        <w:autoSpaceDE w:val="0"/>
        <w:autoSpaceDN w:val="0"/>
        <w:jc w:val="center"/>
        <w:rPr>
          <w:rFonts w:ascii="宋体" w:hAnsi="宋体" w:cs="宋体"/>
          <w:b/>
          <w:color w:val="auto"/>
          <w:spacing w:val="6"/>
          <w:sz w:val="32"/>
          <w:szCs w:val="32"/>
          <w:highlight w:val="none"/>
        </w:rPr>
      </w:pPr>
    </w:p>
    <w:p w14:paraId="5779D18F">
      <w:pPr>
        <w:autoSpaceDE w:val="0"/>
        <w:autoSpaceDN w:val="0"/>
        <w:jc w:val="center"/>
        <w:rPr>
          <w:rFonts w:ascii="宋体" w:hAnsi="宋体" w:cs="宋体"/>
          <w:b/>
          <w:color w:val="auto"/>
          <w:spacing w:val="6"/>
          <w:sz w:val="32"/>
          <w:szCs w:val="32"/>
          <w:highlight w:val="none"/>
        </w:rPr>
      </w:pPr>
    </w:p>
    <w:p w14:paraId="4477AC5F">
      <w:pPr>
        <w:autoSpaceDE w:val="0"/>
        <w:autoSpaceDN w:val="0"/>
        <w:jc w:val="center"/>
        <w:rPr>
          <w:rFonts w:ascii="宋体" w:hAnsi="宋体" w:cs="宋体"/>
          <w:b/>
          <w:color w:val="auto"/>
          <w:spacing w:val="6"/>
          <w:sz w:val="32"/>
          <w:szCs w:val="32"/>
          <w:highlight w:val="none"/>
        </w:rPr>
      </w:pPr>
    </w:p>
    <w:p w14:paraId="146A2E13">
      <w:pPr>
        <w:autoSpaceDE w:val="0"/>
        <w:autoSpaceDN w:val="0"/>
        <w:jc w:val="center"/>
        <w:rPr>
          <w:rFonts w:ascii="宋体" w:hAnsi="宋体" w:cs="宋体"/>
          <w:b/>
          <w:color w:val="auto"/>
          <w:spacing w:val="6"/>
          <w:sz w:val="32"/>
          <w:szCs w:val="32"/>
          <w:highlight w:val="none"/>
        </w:rPr>
      </w:pPr>
    </w:p>
    <w:p w14:paraId="11F409C7">
      <w:pPr>
        <w:autoSpaceDE w:val="0"/>
        <w:autoSpaceDN w:val="0"/>
        <w:jc w:val="center"/>
        <w:rPr>
          <w:rFonts w:ascii="宋体" w:hAnsi="宋体" w:cs="宋体"/>
          <w:b/>
          <w:color w:val="auto"/>
          <w:spacing w:val="6"/>
          <w:sz w:val="32"/>
          <w:szCs w:val="32"/>
          <w:highlight w:val="none"/>
        </w:rPr>
      </w:pPr>
    </w:p>
    <w:p w14:paraId="7D99BF40">
      <w:pPr>
        <w:autoSpaceDE w:val="0"/>
        <w:autoSpaceDN w:val="0"/>
        <w:jc w:val="center"/>
        <w:rPr>
          <w:rFonts w:ascii="宋体" w:hAnsi="宋体" w:cs="宋体"/>
          <w:b/>
          <w:color w:val="auto"/>
          <w:spacing w:val="6"/>
          <w:sz w:val="32"/>
          <w:szCs w:val="32"/>
          <w:highlight w:val="none"/>
        </w:rPr>
      </w:pPr>
    </w:p>
    <w:p w14:paraId="178F8B0C">
      <w:pPr>
        <w:autoSpaceDE w:val="0"/>
        <w:autoSpaceDN w:val="0"/>
        <w:jc w:val="center"/>
        <w:rPr>
          <w:rFonts w:ascii="宋体" w:hAnsi="宋体" w:cs="宋体"/>
          <w:b/>
          <w:color w:val="auto"/>
          <w:spacing w:val="6"/>
          <w:sz w:val="32"/>
          <w:szCs w:val="32"/>
          <w:highlight w:val="none"/>
        </w:rPr>
      </w:pPr>
    </w:p>
    <w:p w14:paraId="62AC9C3B">
      <w:pPr>
        <w:autoSpaceDE w:val="0"/>
        <w:autoSpaceDN w:val="0"/>
        <w:jc w:val="center"/>
        <w:rPr>
          <w:rFonts w:ascii="宋体" w:hAnsi="宋体" w:cs="宋体"/>
          <w:b/>
          <w:color w:val="auto"/>
          <w:spacing w:val="6"/>
          <w:sz w:val="32"/>
          <w:szCs w:val="32"/>
          <w:highlight w:val="none"/>
        </w:rPr>
      </w:pPr>
    </w:p>
    <w:p w14:paraId="5B496CFA">
      <w:pPr>
        <w:autoSpaceDE w:val="0"/>
        <w:autoSpaceDN w:val="0"/>
        <w:jc w:val="center"/>
        <w:rPr>
          <w:rFonts w:ascii="宋体" w:hAnsi="宋体" w:cs="宋体"/>
          <w:b/>
          <w:color w:val="auto"/>
          <w:spacing w:val="6"/>
          <w:sz w:val="32"/>
          <w:szCs w:val="32"/>
          <w:highlight w:val="none"/>
        </w:rPr>
      </w:pPr>
    </w:p>
    <w:p w14:paraId="2C6DAF61">
      <w:pPr>
        <w:autoSpaceDE w:val="0"/>
        <w:autoSpaceDN w:val="0"/>
        <w:jc w:val="center"/>
        <w:rPr>
          <w:rFonts w:ascii="宋体" w:hAnsi="宋体" w:cs="宋体"/>
          <w:b/>
          <w:color w:val="auto"/>
          <w:spacing w:val="6"/>
          <w:sz w:val="32"/>
          <w:szCs w:val="32"/>
          <w:highlight w:val="none"/>
        </w:rPr>
      </w:pPr>
    </w:p>
    <w:p w14:paraId="44C1699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D3BDD7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29C177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A4C39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2025年钱塘江省管海塘零星维修工程监理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DE731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F5350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8C846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EFCD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A9C8B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B2663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344B6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726819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4"/>
      <w:r>
        <w:rPr>
          <w:rFonts w:hint="eastAsia" w:ascii="宋体" w:hAnsi="宋体" w:cs="宋体"/>
          <w:b/>
          <w:color w:val="auto"/>
          <w:kern w:val="0"/>
          <w:sz w:val="24"/>
          <w:highlight w:val="none"/>
          <w:lang w:val="zh-CN"/>
        </w:rPr>
        <w:t>）</w:t>
      </w:r>
    </w:p>
    <w:p w14:paraId="33D452B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5"/>
    </w:p>
    <w:p w14:paraId="3A3272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8FC14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75891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E5097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ECFA6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14E1B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9FB7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81510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9BF3A9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2B323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BAF617">
      <w:pPr>
        <w:autoSpaceDE w:val="0"/>
        <w:autoSpaceDN w:val="0"/>
        <w:jc w:val="center"/>
        <w:rPr>
          <w:rFonts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7135415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1AFCCC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097C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2025年钱塘江省管海塘零星维修工程监理</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E7AE0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11C2B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1EA9ECC">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11ACEBF">
      <w:pPr>
        <w:rPr>
          <w:color w:val="auto"/>
          <w:highlight w:val="none"/>
        </w:rPr>
      </w:pPr>
      <w:r>
        <w:rPr>
          <w:rFonts w:hint="eastAsia"/>
          <w:color w:val="auto"/>
          <w:highlight w:val="none"/>
          <w:lang w:val="zh-CN"/>
        </w:rPr>
        <w:t xml:space="preserve"> </w:t>
      </w:r>
    </w:p>
    <w:p w14:paraId="57E8A5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57F341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161E3C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D910E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9701A5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4460E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FAE85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055D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ED9097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F1003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4C18A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7802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E954D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309E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318FB2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16AC68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DA5A3C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0DF813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4582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0104A6">
      <w:pPr>
        <w:autoSpaceDE w:val="0"/>
        <w:autoSpaceDN w:val="0"/>
        <w:jc w:val="center"/>
        <w:rPr>
          <w:rFonts w:ascii="宋体" w:hAnsi="宋体" w:cs="宋体"/>
          <w:b/>
          <w:color w:val="auto"/>
          <w:spacing w:val="6"/>
          <w:sz w:val="32"/>
          <w:szCs w:val="32"/>
          <w:highlight w:val="none"/>
        </w:rPr>
      </w:pPr>
    </w:p>
    <w:p w14:paraId="6952865B">
      <w:pPr>
        <w:autoSpaceDE w:val="0"/>
        <w:autoSpaceDN w:val="0"/>
        <w:jc w:val="center"/>
        <w:rPr>
          <w:rFonts w:ascii="宋体" w:hAnsi="宋体" w:cs="宋体"/>
          <w:b/>
          <w:color w:val="auto"/>
          <w:spacing w:val="6"/>
          <w:sz w:val="32"/>
          <w:szCs w:val="32"/>
          <w:highlight w:val="none"/>
        </w:rPr>
      </w:pPr>
    </w:p>
    <w:p w14:paraId="70A69CC2">
      <w:pPr>
        <w:autoSpaceDE w:val="0"/>
        <w:autoSpaceDN w:val="0"/>
        <w:jc w:val="center"/>
        <w:rPr>
          <w:rFonts w:ascii="宋体" w:hAnsi="宋体" w:cs="宋体"/>
          <w:b/>
          <w:color w:val="auto"/>
          <w:spacing w:val="6"/>
          <w:sz w:val="32"/>
          <w:szCs w:val="32"/>
          <w:highlight w:val="none"/>
        </w:rPr>
      </w:pPr>
    </w:p>
    <w:p w14:paraId="209498F8">
      <w:pPr>
        <w:autoSpaceDE w:val="0"/>
        <w:autoSpaceDN w:val="0"/>
        <w:jc w:val="center"/>
        <w:rPr>
          <w:rFonts w:ascii="宋体" w:hAnsi="宋体" w:cs="宋体"/>
          <w:b/>
          <w:color w:val="auto"/>
          <w:spacing w:val="6"/>
          <w:sz w:val="32"/>
          <w:szCs w:val="32"/>
          <w:highlight w:val="none"/>
        </w:rPr>
      </w:pPr>
    </w:p>
    <w:p w14:paraId="0B8B278A">
      <w:pPr>
        <w:autoSpaceDE w:val="0"/>
        <w:autoSpaceDN w:val="0"/>
        <w:jc w:val="center"/>
        <w:rPr>
          <w:rFonts w:ascii="宋体" w:hAnsi="宋体" w:cs="宋体"/>
          <w:b/>
          <w:color w:val="auto"/>
          <w:spacing w:val="6"/>
          <w:sz w:val="32"/>
          <w:szCs w:val="32"/>
          <w:highlight w:val="none"/>
        </w:rPr>
      </w:pPr>
    </w:p>
    <w:p w14:paraId="3B2AF328">
      <w:pPr>
        <w:autoSpaceDE w:val="0"/>
        <w:autoSpaceDN w:val="0"/>
        <w:jc w:val="center"/>
        <w:rPr>
          <w:rFonts w:ascii="宋体" w:hAnsi="宋体" w:cs="宋体"/>
          <w:b/>
          <w:color w:val="auto"/>
          <w:spacing w:val="6"/>
          <w:sz w:val="32"/>
          <w:szCs w:val="32"/>
          <w:highlight w:val="none"/>
        </w:rPr>
      </w:pPr>
    </w:p>
    <w:p w14:paraId="2618A5DB">
      <w:pPr>
        <w:autoSpaceDE w:val="0"/>
        <w:autoSpaceDN w:val="0"/>
        <w:jc w:val="center"/>
        <w:rPr>
          <w:rFonts w:ascii="宋体" w:hAnsi="宋体" w:cs="宋体"/>
          <w:b/>
          <w:color w:val="auto"/>
          <w:spacing w:val="6"/>
          <w:sz w:val="32"/>
          <w:szCs w:val="32"/>
          <w:highlight w:val="none"/>
        </w:rPr>
      </w:pPr>
    </w:p>
    <w:p w14:paraId="0C9802F7">
      <w:pPr>
        <w:autoSpaceDE w:val="0"/>
        <w:autoSpaceDN w:val="0"/>
        <w:jc w:val="center"/>
        <w:rPr>
          <w:rFonts w:ascii="宋体" w:hAnsi="宋体" w:cs="宋体"/>
          <w:b/>
          <w:color w:val="auto"/>
          <w:spacing w:val="6"/>
          <w:sz w:val="32"/>
          <w:szCs w:val="32"/>
          <w:highlight w:val="none"/>
        </w:rPr>
      </w:pPr>
    </w:p>
    <w:p w14:paraId="67442A44">
      <w:pPr>
        <w:autoSpaceDE w:val="0"/>
        <w:autoSpaceDN w:val="0"/>
        <w:jc w:val="center"/>
        <w:rPr>
          <w:rFonts w:ascii="宋体" w:hAnsi="宋体" w:cs="宋体"/>
          <w:b/>
          <w:color w:val="auto"/>
          <w:spacing w:val="6"/>
          <w:sz w:val="32"/>
          <w:szCs w:val="32"/>
          <w:highlight w:val="none"/>
        </w:rPr>
      </w:pPr>
    </w:p>
    <w:p w14:paraId="6E1EE6B1">
      <w:pPr>
        <w:autoSpaceDE w:val="0"/>
        <w:autoSpaceDN w:val="0"/>
        <w:jc w:val="center"/>
        <w:rPr>
          <w:rFonts w:ascii="宋体" w:hAnsi="宋体" w:cs="宋体"/>
          <w:b/>
          <w:color w:val="auto"/>
          <w:spacing w:val="6"/>
          <w:sz w:val="32"/>
          <w:szCs w:val="32"/>
          <w:highlight w:val="none"/>
        </w:rPr>
      </w:pPr>
    </w:p>
    <w:p w14:paraId="70032276">
      <w:pPr>
        <w:autoSpaceDE w:val="0"/>
        <w:autoSpaceDN w:val="0"/>
        <w:jc w:val="center"/>
        <w:rPr>
          <w:rFonts w:ascii="宋体" w:hAnsi="宋体" w:cs="宋体"/>
          <w:b/>
          <w:color w:val="auto"/>
          <w:spacing w:val="6"/>
          <w:sz w:val="32"/>
          <w:szCs w:val="32"/>
          <w:highlight w:val="none"/>
        </w:rPr>
      </w:pPr>
    </w:p>
    <w:p w14:paraId="1A84C79E">
      <w:pPr>
        <w:autoSpaceDE w:val="0"/>
        <w:autoSpaceDN w:val="0"/>
        <w:jc w:val="center"/>
        <w:rPr>
          <w:rFonts w:ascii="宋体" w:hAnsi="宋体" w:cs="宋体"/>
          <w:b/>
          <w:color w:val="auto"/>
          <w:spacing w:val="6"/>
          <w:sz w:val="32"/>
          <w:szCs w:val="32"/>
          <w:highlight w:val="none"/>
        </w:rPr>
      </w:pPr>
    </w:p>
    <w:p w14:paraId="196B8F58">
      <w:pPr>
        <w:autoSpaceDE w:val="0"/>
        <w:autoSpaceDN w:val="0"/>
        <w:jc w:val="center"/>
        <w:rPr>
          <w:rFonts w:ascii="宋体" w:hAnsi="宋体" w:cs="宋体"/>
          <w:b/>
          <w:color w:val="auto"/>
          <w:spacing w:val="6"/>
          <w:sz w:val="32"/>
          <w:szCs w:val="32"/>
          <w:highlight w:val="none"/>
        </w:rPr>
      </w:pPr>
    </w:p>
    <w:p w14:paraId="25CB757D">
      <w:pPr>
        <w:autoSpaceDE w:val="0"/>
        <w:autoSpaceDN w:val="0"/>
        <w:jc w:val="center"/>
        <w:rPr>
          <w:rFonts w:ascii="宋体" w:hAnsi="宋体" w:cs="宋体"/>
          <w:b/>
          <w:color w:val="auto"/>
          <w:spacing w:val="6"/>
          <w:sz w:val="32"/>
          <w:szCs w:val="32"/>
          <w:highlight w:val="none"/>
        </w:rPr>
      </w:pPr>
    </w:p>
    <w:p w14:paraId="7B8AE4DC">
      <w:pPr>
        <w:autoSpaceDE w:val="0"/>
        <w:autoSpaceDN w:val="0"/>
        <w:jc w:val="center"/>
        <w:rPr>
          <w:rFonts w:ascii="宋体" w:hAnsi="宋体" w:cs="宋体"/>
          <w:b/>
          <w:color w:val="auto"/>
          <w:spacing w:val="6"/>
          <w:sz w:val="32"/>
          <w:szCs w:val="32"/>
          <w:highlight w:val="none"/>
        </w:rPr>
      </w:pPr>
    </w:p>
    <w:p w14:paraId="631C2D7E">
      <w:pPr>
        <w:autoSpaceDE w:val="0"/>
        <w:autoSpaceDN w:val="0"/>
        <w:jc w:val="center"/>
        <w:rPr>
          <w:rFonts w:ascii="宋体" w:hAnsi="宋体" w:cs="宋体"/>
          <w:b/>
          <w:color w:val="auto"/>
          <w:spacing w:val="6"/>
          <w:sz w:val="32"/>
          <w:szCs w:val="32"/>
          <w:highlight w:val="none"/>
        </w:rPr>
      </w:pPr>
    </w:p>
    <w:p w14:paraId="3A38A297">
      <w:pPr>
        <w:autoSpaceDE w:val="0"/>
        <w:autoSpaceDN w:val="0"/>
        <w:jc w:val="center"/>
        <w:rPr>
          <w:rFonts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2BC1FD4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8D0538B">
      <w:pPr>
        <w:spacing w:line="360" w:lineRule="auto"/>
        <w:jc w:val="center"/>
        <w:rPr>
          <w:rFonts w:ascii="宋体" w:hAnsi="宋体" w:cs="宋体"/>
          <w:color w:val="auto"/>
          <w:sz w:val="24"/>
          <w:highlight w:val="none"/>
          <w:u w:val="single"/>
        </w:rPr>
      </w:pPr>
    </w:p>
    <w:p w14:paraId="1188B27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B86F3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浙江省钱塘江流域中心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2025年钱塘江省管海塘零星维修工程监理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888A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18413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14FE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5FF8F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6796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DB86AB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5CDBE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064EC2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宋体 . . 璂 . .">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宋体..璂..">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0F3E">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EB336">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FEB336">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67AE">
    <w:pPr>
      <w:pStyle w:val="40"/>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899BA">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45899BA">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5AC3">
    <w:pPr>
      <w:pStyle w:val="4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63A30">
                          <w:pPr>
                            <w:pStyle w:val="4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FE63A30">
                    <w:pPr>
                      <w:pStyle w:val="4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EB2A">
    <w:pPr>
      <w:pStyle w:val="40"/>
      <w:framePr w:wrap="around" w:vAnchor="text" w:hAnchor="margin" w:xAlign="right" w:y="1"/>
      <w:rPr>
        <w:rStyle w:val="72"/>
      </w:rPr>
    </w:pPr>
    <w:r>
      <w:fldChar w:fldCharType="begin"/>
    </w:r>
    <w:r>
      <w:rPr>
        <w:rStyle w:val="72"/>
      </w:rPr>
      <w:instrText xml:space="preserve">PAGE  </w:instrText>
    </w:r>
    <w:r>
      <w:fldChar w:fldCharType="end"/>
    </w:r>
  </w:p>
  <w:p w14:paraId="0E419C1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65CE">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91CB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C91CB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81A8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AAE43">
                          <w:pPr>
                            <w:pStyle w:val="4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5FAAE43">
                    <w:pPr>
                      <w:pStyle w:val="4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408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BFA83">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A6BFA83">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361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1E132">
                          <w:pPr>
                            <w:pStyle w:val="4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211E132">
                    <w:pPr>
                      <w:pStyle w:val="4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63C5">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B0601">
                          <w:pPr>
                            <w:pStyle w:val="4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42B0601">
                    <w:pPr>
                      <w:pStyle w:val="4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A97E">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3E55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503E55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D633">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D3D34">
                          <w:pPr>
                            <w:pStyle w:val="4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A6D3D34">
                    <w:pPr>
                      <w:pStyle w:val="4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26DF">
    <w:pPr>
      <w:pStyle w:val="41"/>
      <w:pBdr>
        <w:top w:val="none" w:color="auto" w:sz="0" w:space="0"/>
        <w:left w:val="none" w:color="auto" w:sz="0" w:space="0"/>
        <w:bottom w:val="none" w:color="auto" w:sz="0" w:space="0"/>
        <w:right w:val="none" w:color="auto" w:sz="0" w:space="0"/>
        <w:between w:val="none" w:color="auto" w:sz="0" w:space="0"/>
      </w:pBdr>
      <w:jc w:val="right"/>
      <w:rPr>
        <w:lang w:val="en-US"/>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6328">
    <w:pPr>
      <w:pStyle w:val="4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EAB2E">
    <w:pPr>
      <w:pStyle w:val="4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0C75D">
    <w:pPr>
      <w:pStyle w:val="41"/>
      <w:pBdr>
        <w:top w:val="none" w:color="auto" w:sz="0" w:space="0"/>
        <w:left w:val="none" w:color="auto" w:sz="0" w:space="0"/>
        <w:bottom w:val="none" w:color="auto" w:sz="0" w:space="1"/>
        <w:right w:val="none" w:color="auto" w:sz="0" w:space="0"/>
        <w:between w:val="none" w:color="auto" w:sz="0" w:space="0"/>
      </w:pBdr>
      <w:rPr>
        <w:rFonts w:ascii="仿宋_GB2312" w:eastAsia="仿宋_GB2312"/>
        <w:b/>
        <w:i/>
        <w:u w:val="single"/>
      </w:rPr>
    </w:pPr>
    <w:r>
      <w:t></w:t>
    </w:r>
    <w:r>
      <w:rPr>
        <w:rFonts w:hint="eastAsia"/>
      </w:rPr>
      <w:t xml:space="preserve">                                                  </w:t>
    </w:r>
    <w:r>
      <w:t xml:space="preserve">        </w:t>
    </w:r>
  </w:p>
  <w:p w14:paraId="1449CB1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F16C">
    <w:pPr>
      <w:pStyle w:val="41"/>
      <w:pBdr>
        <w:top w:val="none" w:color="auto" w:sz="0" w:space="0"/>
        <w:left w:val="none" w:color="auto" w:sz="0" w:space="0"/>
        <w:bottom w:val="none" w:color="auto" w:sz="0" w:space="1"/>
        <w:right w:val="none" w:color="auto" w:sz="0" w:space="0"/>
        <w:between w:val="none" w:color="auto" w:sz="0" w:space="0"/>
      </w:pBdr>
    </w:pPr>
    <w:r>
      <w:t></w:t>
    </w:r>
    <w:r>
      <w:rPr>
        <w:rFonts w:hint="eastAsia"/>
      </w:rPr>
      <w:t xml:space="preserve">         </w:t>
    </w:r>
  </w:p>
  <w:p w14:paraId="68379CD2">
    <w:pPr>
      <w:pStyle w:val="41"/>
      <w:pBdr>
        <w:top w:val="none" w:color="auto" w:sz="0" w:space="0"/>
        <w:left w:val="none" w:color="auto" w:sz="0" w:space="0"/>
        <w:bottom w:val="none" w:color="auto" w:sz="0" w:space="1"/>
        <w:right w:val="none" w:color="auto" w:sz="0" w:space="0"/>
        <w:between w:val="none" w:color="auto" w:sz="0" w:space="0"/>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F3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2ED9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9BA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0667">
    <w:pPr>
      <w:pStyle w:val="41"/>
      <w:pBdr>
        <w:top w:val="none" w:color="auto" w:sz="0" w:space="0"/>
        <w:left w:val="none" w:color="auto" w:sz="0" w:space="0"/>
        <w:bottom w:val="none" w:color="auto" w:sz="0" w:space="1"/>
        <w:right w:val="none" w:color="auto" w:sz="0" w:space="0"/>
        <w:between w:val="none" w:color="auto" w:sz="0" w:space="0"/>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CF3C">
    <w:pPr>
      <w:pStyle w:val="41"/>
      <w:pBdr>
        <w:top w:val="none" w:color="auto" w:sz="0" w:space="0"/>
        <w:left w:val="none" w:color="auto" w:sz="0" w:space="0"/>
        <w:bottom w:val="none" w:color="auto" w:sz="0" w:space="1"/>
        <w:right w:val="none" w:color="auto" w:sz="0" w:space="0"/>
        <w:between w:val="none" w:color="auto" w:sz="0" w:space="0"/>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107" w:hanging="553"/>
      </w:pPr>
      <w:rPr>
        <w:rFonts w:hint="default" w:ascii="仿宋" w:hAnsi="仿宋" w:eastAsia="仿宋" w:cs="仿宋"/>
        <w:spacing w:val="-5"/>
        <w:w w:val="100"/>
        <w:sz w:val="20"/>
        <w:szCs w:val="20"/>
        <w:lang w:val="zh-CN" w:eastAsia="zh-CN" w:bidi="zh-CN"/>
      </w:rPr>
    </w:lvl>
    <w:lvl w:ilvl="1" w:tentative="0">
      <w:start w:val="0"/>
      <w:numFmt w:val="bullet"/>
      <w:lvlText w:val="•"/>
      <w:lvlJc w:val="left"/>
      <w:pPr>
        <w:ind w:left="791" w:hanging="553"/>
      </w:pPr>
      <w:rPr>
        <w:rFonts w:hint="default"/>
        <w:lang w:val="zh-CN" w:eastAsia="zh-CN" w:bidi="zh-CN"/>
      </w:rPr>
    </w:lvl>
    <w:lvl w:ilvl="2" w:tentative="0">
      <w:start w:val="0"/>
      <w:numFmt w:val="bullet"/>
      <w:lvlText w:val="•"/>
      <w:lvlJc w:val="left"/>
      <w:pPr>
        <w:ind w:left="1483" w:hanging="553"/>
      </w:pPr>
      <w:rPr>
        <w:rFonts w:hint="default"/>
        <w:lang w:val="zh-CN" w:eastAsia="zh-CN" w:bidi="zh-CN"/>
      </w:rPr>
    </w:lvl>
    <w:lvl w:ilvl="3" w:tentative="0">
      <w:start w:val="0"/>
      <w:numFmt w:val="bullet"/>
      <w:lvlText w:val="•"/>
      <w:lvlJc w:val="left"/>
      <w:pPr>
        <w:ind w:left="2175" w:hanging="553"/>
      </w:pPr>
      <w:rPr>
        <w:rFonts w:hint="default"/>
        <w:lang w:val="zh-CN" w:eastAsia="zh-CN" w:bidi="zh-CN"/>
      </w:rPr>
    </w:lvl>
    <w:lvl w:ilvl="4" w:tentative="0">
      <w:start w:val="0"/>
      <w:numFmt w:val="bullet"/>
      <w:lvlText w:val="•"/>
      <w:lvlJc w:val="left"/>
      <w:pPr>
        <w:ind w:left="2867" w:hanging="553"/>
      </w:pPr>
      <w:rPr>
        <w:rFonts w:hint="default"/>
        <w:lang w:val="zh-CN" w:eastAsia="zh-CN" w:bidi="zh-CN"/>
      </w:rPr>
    </w:lvl>
    <w:lvl w:ilvl="5" w:tentative="0">
      <w:start w:val="0"/>
      <w:numFmt w:val="bullet"/>
      <w:lvlText w:val="•"/>
      <w:lvlJc w:val="left"/>
      <w:pPr>
        <w:ind w:left="3559" w:hanging="553"/>
      </w:pPr>
      <w:rPr>
        <w:rFonts w:hint="default"/>
        <w:lang w:val="zh-CN" w:eastAsia="zh-CN" w:bidi="zh-CN"/>
      </w:rPr>
    </w:lvl>
    <w:lvl w:ilvl="6" w:tentative="0">
      <w:start w:val="0"/>
      <w:numFmt w:val="bullet"/>
      <w:lvlText w:val="•"/>
      <w:lvlJc w:val="left"/>
      <w:pPr>
        <w:ind w:left="4250" w:hanging="553"/>
      </w:pPr>
      <w:rPr>
        <w:rFonts w:hint="default"/>
        <w:lang w:val="zh-CN" w:eastAsia="zh-CN" w:bidi="zh-CN"/>
      </w:rPr>
    </w:lvl>
    <w:lvl w:ilvl="7" w:tentative="0">
      <w:start w:val="0"/>
      <w:numFmt w:val="bullet"/>
      <w:lvlText w:val="•"/>
      <w:lvlJc w:val="left"/>
      <w:pPr>
        <w:ind w:left="4942" w:hanging="553"/>
      </w:pPr>
      <w:rPr>
        <w:rFonts w:hint="default"/>
        <w:lang w:val="zh-CN" w:eastAsia="zh-CN" w:bidi="zh-CN"/>
      </w:rPr>
    </w:lvl>
    <w:lvl w:ilvl="8" w:tentative="0">
      <w:start w:val="0"/>
      <w:numFmt w:val="bullet"/>
      <w:lvlText w:val="•"/>
      <w:lvlJc w:val="left"/>
      <w:pPr>
        <w:ind w:left="5634" w:hanging="553"/>
      </w:pPr>
      <w:rPr>
        <w:rFonts w:hint="default"/>
        <w:lang w:val="zh-CN" w:eastAsia="zh-CN" w:bidi="zh-CN"/>
      </w:rPr>
    </w:lvl>
  </w:abstractNum>
  <w:abstractNum w:abstractNumId="1">
    <w:nsid w:val="B0F1ACD9"/>
    <w:multiLevelType w:val="multilevel"/>
    <w:tmpl w:val="B0F1ACD9"/>
    <w:lvl w:ilvl="0" w:tentative="0">
      <w:start w:val="1"/>
      <w:numFmt w:val="decimal"/>
      <w:lvlText w:val="%1."/>
      <w:lvlJc w:val="left"/>
      <w:pPr>
        <w:ind w:left="338" w:hanging="243"/>
      </w:pPr>
      <w:rPr>
        <w:rFonts w:hint="default" w:ascii="仿宋" w:hAnsi="仿宋" w:eastAsia="仿宋" w:cs="仿宋"/>
        <w:w w:val="100"/>
        <w:sz w:val="22"/>
        <w:szCs w:val="22"/>
        <w:lang w:val="zh-CN" w:eastAsia="zh-CN" w:bidi="zh-CN"/>
      </w:rPr>
    </w:lvl>
    <w:lvl w:ilvl="1" w:tentative="0">
      <w:start w:val="0"/>
      <w:numFmt w:val="bullet"/>
      <w:lvlText w:val="•"/>
      <w:lvlJc w:val="left"/>
      <w:pPr>
        <w:ind w:left="1304" w:hanging="243"/>
      </w:pPr>
      <w:rPr>
        <w:rFonts w:hint="default"/>
        <w:lang w:val="zh-CN" w:eastAsia="zh-CN" w:bidi="zh-CN"/>
      </w:rPr>
    </w:lvl>
    <w:lvl w:ilvl="2" w:tentative="0">
      <w:start w:val="0"/>
      <w:numFmt w:val="bullet"/>
      <w:lvlText w:val="•"/>
      <w:lvlJc w:val="left"/>
      <w:pPr>
        <w:ind w:left="2269" w:hanging="243"/>
      </w:pPr>
      <w:rPr>
        <w:rFonts w:hint="default"/>
        <w:lang w:val="zh-CN" w:eastAsia="zh-CN" w:bidi="zh-CN"/>
      </w:rPr>
    </w:lvl>
    <w:lvl w:ilvl="3" w:tentative="0">
      <w:start w:val="0"/>
      <w:numFmt w:val="bullet"/>
      <w:lvlText w:val="•"/>
      <w:lvlJc w:val="left"/>
      <w:pPr>
        <w:ind w:left="3233" w:hanging="243"/>
      </w:pPr>
      <w:rPr>
        <w:rFonts w:hint="default"/>
        <w:lang w:val="zh-CN" w:eastAsia="zh-CN" w:bidi="zh-CN"/>
      </w:rPr>
    </w:lvl>
    <w:lvl w:ilvl="4" w:tentative="0">
      <w:start w:val="0"/>
      <w:numFmt w:val="bullet"/>
      <w:lvlText w:val="•"/>
      <w:lvlJc w:val="left"/>
      <w:pPr>
        <w:ind w:left="4198" w:hanging="243"/>
      </w:pPr>
      <w:rPr>
        <w:rFonts w:hint="default"/>
        <w:lang w:val="zh-CN" w:eastAsia="zh-CN" w:bidi="zh-CN"/>
      </w:rPr>
    </w:lvl>
    <w:lvl w:ilvl="5" w:tentative="0">
      <w:start w:val="0"/>
      <w:numFmt w:val="bullet"/>
      <w:lvlText w:val="•"/>
      <w:lvlJc w:val="left"/>
      <w:pPr>
        <w:ind w:left="5163" w:hanging="243"/>
      </w:pPr>
      <w:rPr>
        <w:rFonts w:hint="default"/>
        <w:lang w:val="zh-CN" w:eastAsia="zh-CN" w:bidi="zh-CN"/>
      </w:rPr>
    </w:lvl>
    <w:lvl w:ilvl="6" w:tentative="0">
      <w:start w:val="0"/>
      <w:numFmt w:val="bullet"/>
      <w:lvlText w:val="•"/>
      <w:lvlJc w:val="left"/>
      <w:pPr>
        <w:ind w:left="6127" w:hanging="243"/>
      </w:pPr>
      <w:rPr>
        <w:rFonts w:hint="default"/>
        <w:lang w:val="zh-CN" w:eastAsia="zh-CN" w:bidi="zh-CN"/>
      </w:rPr>
    </w:lvl>
    <w:lvl w:ilvl="7" w:tentative="0">
      <w:start w:val="0"/>
      <w:numFmt w:val="bullet"/>
      <w:lvlText w:val="•"/>
      <w:lvlJc w:val="left"/>
      <w:pPr>
        <w:ind w:left="7092" w:hanging="243"/>
      </w:pPr>
      <w:rPr>
        <w:rFonts w:hint="default"/>
        <w:lang w:val="zh-CN" w:eastAsia="zh-CN" w:bidi="zh-CN"/>
      </w:rPr>
    </w:lvl>
    <w:lvl w:ilvl="8" w:tentative="0">
      <w:start w:val="0"/>
      <w:numFmt w:val="bullet"/>
      <w:lvlText w:val="•"/>
      <w:lvlJc w:val="left"/>
      <w:pPr>
        <w:ind w:left="8057" w:hanging="243"/>
      </w:pPr>
      <w:rPr>
        <w:rFonts w:hint="default"/>
        <w:lang w:val="zh-CN" w:eastAsia="zh-CN" w:bidi="zh-CN"/>
      </w:rPr>
    </w:lvl>
  </w:abstractNum>
  <w:abstractNum w:abstractNumId="2">
    <w:nsid w:val="0E640482"/>
    <w:multiLevelType w:val="multilevel"/>
    <w:tmpl w:val="0E640482"/>
    <w:lvl w:ilvl="0" w:tentative="0">
      <w:start w:val="1"/>
      <w:numFmt w:val="decimal"/>
      <w:lvlText w:val="（%1）"/>
      <w:lvlJc w:val="left"/>
      <w:pPr>
        <w:ind w:left="1578"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420" w:hanging="601"/>
      </w:pPr>
      <w:rPr>
        <w:rFonts w:hint="default"/>
        <w:lang w:val="zh-CN" w:eastAsia="zh-CN" w:bidi="zh-CN"/>
      </w:rPr>
    </w:lvl>
    <w:lvl w:ilvl="2" w:tentative="0">
      <w:start w:val="0"/>
      <w:numFmt w:val="bullet"/>
      <w:lvlText w:val="•"/>
      <w:lvlJc w:val="left"/>
      <w:pPr>
        <w:ind w:left="3261" w:hanging="601"/>
      </w:pPr>
      <w:rPr>
        <w:rFonts w:hint="default"/>
        <w:lang w:val="zh-CN" w:eastAsia="zh-CN" w:bidi="zh-CN"/>
      </w:rPr>
    </w:lvl>
    <w:lvl w:ilvl="3" w:tentative="0">
      <w:start w:val="0"/>
      <w:numFmt w:val="bullet"/>
      <w:lvlText w:val="•"/>
      <w:lvlJc w:val="left"/>
      <w:pPr>
        <w:ind w:left="4101" w:hanging="601"/>
      </w:pPr>
      <w:rPr>
        <w:rFonts w:hint="default"/>
        <w:lang w:val="zh-CN" w:eastAsia="zh-CN" w:bidi="zh-CN"/>
      </w:rPr>
    </w:lvl>
    <w:lvl w:ilvl="4" w:tentative="0">
      <w:start w:val="0"/>
      <w:numFmt w:val="bullet"/>
      <w:lvlText w:val="•"/>
      <w:lvlJc w:val="left"/>
      <w:pPr>
        <w:ind w:left="4942" w:hanging="601"/>
      </w:pPr>
      <w:rPr>
        <w:rFonts w:hint="default"/>
        <w:lang w:val="zh-CN" w:eastAsia="zh-CN" w:bidi="zh-CN"/>
      </w:rPr>
    </w:lvl>
    <w:lvl w:ilvl="5" w:tentative="0">
      <w:start w:val="0"/>
      <w:numFmt w:val="bullet"/>
      <w:lvlText w:val="•"/>
      <w:lvlJc w:val="left"/>
      <w:pPr>
        <w:ind w:left="5783" w:hanging="601"/>
      </w:pPr>
      <w:rPr>
        <w:rFonts w:hint="default"/>
        <w:lang w:val="zh-CN" w:eastAsia="zh-CN" w:bidi="zh-CN"/>
      </w:rPr>
    </w:lvl>
    <w:lvl w:ilvl="6" w:tentative="0">
      <w:start w:val="0"/>
      <w:numFmt w:val="bullet"/>
      <w:lvlText w:val="•"/>
      <w:lvlJc w:val="left"/>
      <w:pPr>
        <w:ind w:left="6623" w:hanging="601"/>
      </w:pPr>
      <w:rPr>
        <w:rFonts w:hint="default"/>
        <w:lang w:val="zh-CN" w:eastAsia="zh-CN" w:bidi="zh-CN"/>
      </w:rPr>
    </w:lvl>
    <w:lvl w:ilvl="7" w:tentative="0">
      <w:start w:val="0"/>
      <w:numFmt w:val="bullet"/>
      <w:lvlText w:val="•"/>
      <w:lvlJc w:val="left"/>
      <w:pPr>
        <w:ind w:left="746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6A08BB8"/>
    <w:multiLevelType w:val="multilevel"/>
    <w:tmpl w:val="46A08BB8"/>
    <w:lvl w:ilvl="0" w:tentative="0">
      <w:start w:val="1"/>
      <w:numFmt w:val="decimal"/>
      <w:lvlText w:val="%1."/>
      <w:lvlJc w:val="left"/>
      <w:pPr>
        <w:ind w:left="338" w:hanging="243"/>
      </w:pPr>
      <w:rPr>
        <w:rFonts w:hint="default" w:ascii="仿宋" w:hAnsi="仿宋" w:eastAsia="仿宋" w:cs="仿宋"/>
        <w:w w:val="100"/>
        <w:sz w:val="22"/>
        <w:szCs w:val="22"/>
        <w:lang w:val="zh-CN" w:eastAsia="zh-CN" w:bidi="zh-CN"/>
      </w:rPr>
    </w:lvl>
    <w:lvl w:ilvl="1" w:tentative="0">
      <w:start w:val="0"/>
      <w:numFmt w:val="bullet"/>
      <w:lvlText w:val="•"/>
      <w:lvlJc w:val="left"/>
      <w:pPr>
        <w:ind w:left="1304" w:hanging="243"/>
      </w:pPr>
      <w:rPr>
        <w:rFonts w:hint="default"/>
        <w:lang w:val="zh-CN" w:eastAsia="zh-CN" w:bidi="zh-CN"/>
      </w:rPr>
    </w:lvl>
    <w:lvl w:ilvl="2" w:tentative="0">
      <w:start w:val="0"/>
      <w:numFmt w:val="bullet"/>
      <w:lvlText w:val="•"/>
      <w:lvlJc w:val="left"/>
      <w:pPr>
        <w:ind w:left="2269" w:hanging="243"/>
      </w:pPr>
      <w:rPr>
        <w:rFonts w:hint="default"/>
        <w:lang w:val="zh-CN" w:eastAsia="zh-CN" w:bidi="zh-CN"/>
      </w:rPr>
    </w:lvl>
    <w:lvl w:ilvl="3" w:tentative="0">
      <w:start w:val="0"/>
      <w:numFmt w:val="bullet"/>
      <w:lvlText w:val="•"/>
      <w:lvlJc w:val="left"/>
      <w:pPr>
        <w:ind w:left="3233" w:hanging="243"/>
      </w:pPr>
      <w:rPr>
        <w:rFonts w:hint="default"/>
        <w:lang w:val="zh-CN" w:eastAsia="zh-CN" w:bidi="zh-CN"/>
      </w:rPr>
    </w:lvl>
    <w:lvl w:ilvl="4" w:tentative="0">
      <w:start w:val="0"/>
      <w:numFmt w:val="bullet"/>
      <w:lvlText w:val="•"/>
      <w:lvlJc w:val="left"/>
      <w:pPr>
        <w:ind w:left="4198" w:hanging="243"/>
      </w:pPr>
      <w:rPr>
        <w:rFonts w:hint="default"/>
        <w:lang w:val="zh-CN" w:eastAsia="zh-CN" w:bidi="zh-CN"/>
      </w:rPr>
    </w:lvl>
    <w:lvl w:ilvl="5" w:tentative="0">
      <w:start w:val="0"/>
      <w:numFmt w:val="bullet"/>
      <w:lvlText w:val="•"/>
      <w:lvlJc w:val="left"/>
      <w:pPr>
        <w:ind w:left="5163" w:hanging="243"/>
      </w:pPr>
      <w:rPr>
        <w:rFonts w:hint="default"/>
        <w:lang w:val="zh-CN" w:eastAsia="zh-CN" w:bidi="zh-CN"/>
      </w:rPr>
    </w:lvl>
    <w:lvl w:ilvl="6" w:tentative="0">
      <w:start w:val="0"/>
      <w:numFmt w:val="bullet"/>
      <w:lvlText w:val="•"/>
      <w:lvlJc w:val="left"/>
      <w:pPr>
        <w:ind w:left="6127" w:hanging="243"/>
      </w:pPr>
      <w:rPr>
        <w:rFonts w:hint="default"/>
        <w:lang w:val="zh-CN" w:eastAsia="zh-CN" w:bidi="zh-CN"/>
      </w:rPr>
    </w:lvl>
    <w:lvl w:ilvl="7" w:tentative="0">
      <w:start w:val="0"/>
      <w:numFmt w:val="bullet"/>
      <w:lvlText w:val="•"/>
      <w:lvlJc w:val="left"/>
      <w:pPr>
        <w:ind w:left="7092" w:hanging="243"/>
      </w:pPr>
      <w:rPr>
        <w:rFonts w:hint="default"/>
        <w:lang w:val="zh-CN" w:eastAsia="zh-CN" w:bidi="zh-CN"/>
      </w:rPr>
    </w:lvl>
    <w:lvl w:ilvl="8" w:tentative="0">
      <w:start w:val="0"/>
      <w:numFmt w:val="bullet"/>
      <w:lvlText w:val="•"/>
      <w:lvlJc w:val="left"/>
      <w:pPr>
        <w:ind w:left="8057" w:hanging="243"/>
      </w:pPr>
      <w:rPr>
        <w:rFonts w:hint="default"/>
        <w:lang w:val="zh-CN" w:eastAsia="zh-CN" w:bidi="zh-CN"/>
      </w:rPr>
    </w:lvl>
  </w:abstractNum>
  <w:abstractNum w:abstractNumId="5">
    <w:nsid w:val="4C1BAE26"/>
    <w:multiLevelType w:val="multilevel"/>
    <w:tmpl w:val="4C1BAE26"/>
    <w:lvl w:ilvl="0" w:tentative="0">
      <w:start w:val="1"/>
      <w:numFmt w:val="decimal"/>
      <w:lvlText w:val="（%1）"/>
      <w:lvlJc w:val="left"/>
      <w:pPr>
        <w:ind w:left="338" w:hanging="601"/>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304" w:hanging="601"/>
      </w:pPr>
      <w:rPr>
        <w:rFonts w:hint="default"/>
        <w:lang w:val="zh-CN" w:eastAsia="zh-CN" w:bidi="zh-CN"/>
      </w:rPr>
    </w:lvl>
    <w:lvl w:ilvl="2" w:tentative="0">
      <w:start w:val="0"/>
      <w:numFmt w:val="bullet"/>
      <w:lvlText w:val="•"/>
      <w:lvlJc w:val="left"/>
      <w:pPr>
        <w:ind w:left="2269" w:hanging="601"/>
      </w:pPr>
      <w:rPr>
        <w:rFonts w:hint="default"/>
        <w:lang w:val="zh-CN" w:eastAsia="zh-CN" w:bidi="zh-CN"/>
      </w:rPr>
    </w:lvl>
    <w:lvl w:ilvl="3" w:tentative="0">
      <w:start w:val="0"/>
      <w:numFmt w:val="bullet"/>
      <w:lvlText w:val="•"/>
      <w:lvlJc w:val="left"/>
      <w:pPr>
        <w:ind w:left="3233" w:hanging="601"/>
      </w:pPr>
      <w:rPr>
        <w:rFonts w:hint="default"/>
        <w:lang w:val="zh-CN" w:eastAsia="zh-CN" w:bidi="zh-CN"/>
      </w:rPr>
    </w:lvl>
    <w:lvl w:ilvl="4" w:tentative="0">
      <w:start w:val="0"/>
      <w:numFmt w:val="bullet"/>
      <w:lvlText w:val="•"/>
      <w:lvlJc w:val="left"/>
      <w:pPr>
        <w:ind w:left="4198"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7" w:hanging="601"/>
      </w:pPr>
      <w:rPr>
        <w:rFonts w:hint="default"/>
        <w:lang w:val="zh-CN" w:eastAsia="zh-CN" w:bidi="zh-CN"/>
      </w:rPr>
    </w:lvl>
    <w:lvl w:ilvl="7" w:tentative="0">
      <w:start w:val="0"/>
      <w:numFmt w:val="bullet"/>
      <w:lvlText w:val="•"/>
      <w:lvlJc w:val="left"/>
      <w:pPr>
        <w:ind w:left="709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6">
    <w:nsid w:val="60382F6E"/>
    <w:multiLevelType w:val="multilevel"/>
    <w:tmpl w:val="60382F6E"/>
    <w:lvl w:ilvl="0" w:tentative="0">
      <w:start w:val="1"/>
      <w:numFmt w:val="decimal"/>
      <w:lvlText w:val="（%1）"/>
      <w:lvlJc w:val="left"/>
      <w:pPr>
        <w:ind w:left="338" w:hanging="601"/>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304" w:hanging="601"/>
      </w:pPr>
      <w:rPr>
        <w:rFonts w:hint="default"/>
        <w:lang w:val="zh-CN" w:eastAsia="zh-CN" w:bidi="zh-CN"/>
      </w:rPr>
    </w:lvl>
    <w:lvl w:ilvl="2" w:tentative="0">
      <w:start w:val="0"/>
      <w:numFmt w:val="bullet"/>
      <w:lvlText w:val="•"/>
      <w:lvlJc w:val="left"/>
      <w:pPr>
        <w:ind w:left="2269" w:hanging="601"/>
      </w:pPr>
      <w:rPr>
        <w:rFonts w:hint="default"/>
        <w:lang w:val="zh-CN" w:eastAsia="zh-CN" w:bidi="zh-CN"/>
      </w:rPr>
    </w:lvl>
    <w:lvl w:ilvl="3" w:tentative="0">
      <w:start w:val="0"/>
      <w:numFmt w:val="bullet"/>
      <w:lvlText w:val="•"/>
      <w:lvlJc w:val="left"/>
      <w:pPr>
        <w:ind w:left="3233" w:hanging="601"/>
      </w:pPr>
      <w:rPr>
        <w:rFonts w:hint="default"/>
        <w:lang w:val="zh-CN" w:eastAsia="zh-CN" w:bidi="zh-CN"/>
      </w:rPr>
    </w:lvl>
    <w:lvl w:ilvl="4" w:tentative="0">
      <w:start w:val="0"/>
      <w:numFmt w:val="bullet"/>
      <w:lvlText w:val="•"/>
      <w:lvlJc w:val="left"/>
      <w:pPr>
        <w:ind w:left="4198"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7" w:hanging="601"/>
      </w:pPr>
      <w:rPr>
        <w:rFonts w:hint="default"/>
        <w:lang w:val="zh-CN" w:eastAsia="zh-CN" w:bidi="zh-CN"/>
      </w:rPr>
    </w:lvl>
    <w:lvl w:ilvl="7" w:tentative="0">
      <w:start w:val="0"/>
      <w:numFmt w:val="bullet"/>
      <w:lvlText w:val="•"/>
      <w:lvlJc w:val="left"/>
      <w:pPr>
        <w:ind w:left="709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7">
    <w:nsid w:val="7C246926"/>
    <w:multiLevelType w:val="multilevel"/>
    <w:tmpl w:val="7C246926"/>
    <w:lvl w:ilvl="0" w:tentative="0">
      <w:start w:val="1"/>
      <w:numFmt w:val="decimal"/>
      <w:lvlText w:val="%1"/>
      <w:lvlJc w:val="left"/>
      <w:pPr>
        <w:tabs>
          <w:tab w:val="left" w:pos="-420"/>
        </w:tabs>
        <w:ind w:left="638" w:hanging="240"/>
      </w:pPr>
      <w:rPr>
        <w:rFonts w:hint="default"/>
        <w:u w:val="single" w:color="000000"/>
        <w:lang w:val="zh-CN" w:eastAsia="zh-CN" w:bidi="zh-CN"/>
      </w:rPr>
    </w:lvl>
    <w:lvl w:ilvl="1" w:tentative="0">
      <w:start w:val="0"/>
      <w:numFmt w:val="bullet"/>
      <w:lvlText w:val="•"/>
      <w:lvlJc w:val="left"/>
      <w:pPr>
        <w:tabs>
          <w:tab w:val="left" w:pos="-420"/>
        </w:tabs>
        <w:ind w:left="1532" w:hanging="240"/>
      </w:pPr>
      <w:rPr>
        <w:rFonts w:hint="default"/>
        <w:lang w:val="zh-CN" w:eastAsia="zh-CN" w:bidi="zh-CN"/>
      </w:rPr>
    </w:lvl>
    <w:lvl w:ilvl="2" w:tentative="0">
      <w:start w:val="0"/>
      <w:numFmt w:val="bullet"/>
      <w:lvlText w:val="•"/>
      <w:lvlJc w:val="left"/>
      <w:pPr>
        <w:tabs>
          <w:tab w:val="left" w:pos="-420"/>
        </w:tabs>
        <w:ind w:left="2425" w:hanging="240"/>
      </w:pPr>
      <w:rPr>
        <w:rFonts w:hint="default"/>
        <w:lang w:val="zh-CN" w:eastAsia="zh-CN" w:bidi="zh-CN"/>
      </w:rPr>
    </w:lvl>
    <w:lvl w:ilvl="3" w:tentative="0">
      <w:start w:val="0"/>
      <w:numFmt w:val="bullet"/>
      <w:lvlText w:val="•"/>
      <w:lvlJc w:val="left"/>
      <w:pPr>
        <w:tabs>
          <w:tab w:val="left" w:pos="-420"/>
        </w:tabs>
        <w:ind w:left="3317" w:hanging="240"/>
      </w:pPr>
      <w:rPr>
        <w:rFonts w:hint="default"/>
        <w:lang w:val="zh-CN" w:eastAsia="zh-CN" w:bidi="zh-CN"/>
      </w:rPr>
    </w:lvl>
    <w:lvl w:ilvl="4" w:tentative="0">
      <w:start w:val="0"/>
      <w:numFmt w:val="bullet"/>
      <w:lvlText w:val="•"/>
      <w:lvlJc w:val="left"/>
      <w:pPr>
        <w:tabs>
          <w:tab w:val="left" w:pos="-420"/>
        </w:tabs>
        <w:ind w:left="4210" w:hanging="240"/>
      </w:pPr>
      <w:rPr>
        <w:rFonts w:hint="default"/>
        <w:lang w:val="zh-CN" w:eastAsia="zh-CN" w:bidi="zh-CN"/>
      </w:rPr>
    </w:lvl>
    <w:lvl w:ilvl="5" w:tentative="0">
      <w:start w:val="0"/>
      <w:numFmt w:val="bullet"/>
      <w:lvlText w:val="•"/>
      <w:lvlJc w:val="left"/>
      <w:pPr>
        <w:tabs>
          <w:tab w:val="left" w:pos="-420"/>
        </w:tabs>
        <w:ind w:left="5103" w:hanging="240"/>
      </w:pPr>
      <w:rPr>
        <w:rFonts w:hint="default"/>
        <w:lang w:val="zh-CN" w:eastAsia="zh-CN" w:bidi="zh-CN"/>
      </w:rPr>
    </w:lvl>
    <w:lvl w:ilvl="6" w:tentative="0">
      <w:start w:val="0"/>
      <w:numFmt w:val="bullet"/>
      <w:lvlText w:val="•"/>
      <w:lvlJc w:val="left"/>
      <w:pPr>
        <w:tabs>
          <w:tab w:val="left" w:pos="-420"/>
        </w:tabs>
        <w:ind w:left="5995" w:hanging="240"/>
      </w:pPr>
      <w:rPr>
        <w:rFonts w:hint="default"/>
        <w:lang w:val="zh-CN" w:eastAsia="zh-CN" w:bidi="zh-CN"/>
      </w:rPr>
    </w:lvl>
    <w:lvl w:ilvl="7" w:tentative="0">
      <w:start w:val="0"/>
      <w:numFmt w:val="bullet"/>
      <w:lvlText w:val="•"/>
      <w:lvlJc w:val="left"/>
      <w:pPr>
        <w:tabs>
          <w:tab w:val="left" w:pos="-420"/>
        </w:tabs>
        <w:ind w:left="6888" w:hanging="240"/>
      </w:pPr>
      <w:rPr>
        <w:rFonts w:hint="default"/>
        <w:lang w:val="zh-CN" w:eastAsia="zh-CN" w:bidi="zh-CN"/>
      </w:rPr>
    </w:lvl>
    <w:lvl w:ilvl="8" w:tentative="0">
      <w:start w:val="0"/>
      <w:numFmt w:val="bullet"/>
      <w:lvlText w:val="•"/>
      <w:lvlJc w:val="left"/>
      <w:pPr>
        <w:tabs>
          <w:tab w:val="left" w:pos="-420"/>
        </w:tabs>
        <w:ind w:left="7781" w:hanging="240"/>
      </w:pPr>
      <w:rPr>
        <w:rFonts w:hint="default"/>
        <w:lang w:val="zh-CN" w:eastAsia="zh-CN" w:bidi="zh-CN"/>
      </w:rPr>
    </w:lvl>
  </w:abstractNum>
  <w:num w:numId="1">
    <w:abstractNumId w:val="7"/>
  </w:num>
  <w:num w:numId="2">
    <w:abstractNumId w:val="0"/>
  </w:num>
  <w:num w:numId="3">
    <w:abstractNumId w:val="5"/>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DF2"/>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72"/>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348CD"/>
    <w:rsid w:val="019F7441"/>
    <w:rsid w:val="01B37585"/>
    <w:rsid w:val="01D55165"/>
    <w:rsid w:val="01DF6BF8"/>
    <w:rsid w:val="01EC2C57"/>
    <w:rsid w:val="021138F7"/>
    <w:rsid w:val="025F0711"/>
    <w:rsid w:val="026B1259"/>
    <w:rsid w:val="026B2E25"/>
    <w:rsid w:val="02824D4D"/>
    <w:rsid w:val="02DC4B10"/>
    <w:rsid w:val="02DD76CE"/>
    <w:rsid w:val="02F36323"/>
    <w:rsid w:val="02F5619C"/>
    <w:rsid w:val="02FE3E7B"/>
    <w:rsid w:val="030D0562"/>
    <w:rsid w:val="0326446A"/>
    <w:rsid w:val="03294ABF"/>
    <w:rsid w:val="032D5555"/>
    <w:rsid w:val="036634D2"/>
    <w:rsid w:val="03852CF7"/>
    <w:rsid w:val="03DD35E4"/>
    <w:rsid w:val="04076900"/>
    <w:rsid w:val="041A29A1"/>
    <w:rsid w:val="041A5A3B"/>
    <w:rsid w:val="042311BA"/>
    <w:rsid w:val="042B157A"/>
    <w:rsid w:val="04402BBF"/>
    <w:rsid w:val="048F763B"/>
    <w:rsid w:val="049F330E"/>
    <w:rsid w:val="04AA775C"/>
    <w:rsid w:val="04AF1889"/>
    <w:rsid w:val="04F66F48"/>
    <w:rsid w:val="04FE02EA"/>
    <w:rsid w:val="05251E14"/>
    <w:rsid w:val="05A16594"/>
    <w:rsid w:val="05A7762D"/>
    <w:rsid w:val="060E5941"/>
    <w:rsid w:val="06110FAF"/>
    <w:rsid w:val="06145943"/>
    <w:rsid w:val="063B7194"/>
    <w:rsid w:val="06493CA7"/>
    <w:rsid w:val="065A6178"/>
    <w:rsid w:val="066F1CF3"/>
    <w:rsid w:val="06930BB8"/>
    <w:rsid w:val="069E241C"/>
    <w:rsid w:val="07245D42"/>
    <w:rsid w:val="07264C62"/>
    <w:rsid w:val="07612C2A"/>
    <w:rsid w:val="0779354C"/>
    <w:rsid w:val="079F5991"/>
    <w:rsid w:val="07C531B9"/>
    <w:rsid w:val="08061376"/>
    <w:rsid w:val="08452D77"/>
    <w:rsid w:val="084E7652"/>
    <w:rsid w:val="086401F8"/>
    <w:rsid w:val="08751CAA"/>
    <w:rsid w:val="087E4C40"/>
    <w:rsid w:val="08937335"/>
    <w:rsid w:val="08A871D0"/>
    <w:rsid w:val="08D66AD6"/>
    <w:rsid w:val="08DA33A3"/>
    <w:rsid w:val="08E80F13"/>
    <w:rsid w:val="090522B1"/>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DE7FCB"/>
    <w:rsid w:val="0B30404E"/>
    <w:rsid w:val="0B344229"/>
    <w:rsid w:val="0B416FFB"/>
    <w:rsid w:val="0B4C6C14"/>
    <w:rsid w:val="0B512FB6"/>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3275E"/>
    <w:rsid w:val="0D063BDA"/>
    <w:rsid w:val="0D08375F"/>
    <w:rsid w:val="0D184CFB"/>
    <w:rsid w:val="0D295F98"/>
    <w:rsid w:val="0D4A7419"/>
    <w:rsid w:val="0D827401"/>
    <w:rsid w:val="0D84094E"/>
    <w:rsid w:val="0D8A00E9"/>
    <w:rsid w:val="0D8D589E"/>
    <w:rsid w:val="0DA01C73"/>
    <w:rsid w:val="0DD63300"/>
    <w:rsid w:val="0DF50604"/>
    <w:rsid w:val="0DF702FE"/>
    <w:rsid w:val="0E060E51"/>
    <w:rsid w:val="0E4F28EB"/>
    <w:rsid w:val="0E5604B2"/>
    <w:rsid w:val="0E6D5D79"/>
    <w:rsid w:val="0E83349A"/>
    <w:rsid w:val="0E9D0089"/>
    <w:rsid w:val="0EB803EE"/>
    <w:rsid w:val="0ECC12D1"/>
    <w:rsid w:val="0EF76AFA"/>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53E2D"/>
    <w:rsid w:val="108A3C80"/>
    <w:rsid w:val="10C26171"/>
    <w:rsid w:val="10F33360"/>
    <w:rsid w:val="10FC16EA"/>
    <w:rsid w:val="110F1D40"/>
    <w:rsid w:val="11266F33"/>
    <w:rsid w:val="118963A1"/>
    <w:rsid w:val="11987B90"/>
    <w:rsid w:val="11AC49BF"/>
    <w:rsid w:val="11C6522A"/>
    <w:rsid w:val="11D010D8"/>
    <w:rsid w:val="11E104CC"/>
    <w:rsid w:val="11E20309"/>
    <w:rsid w:val="12255233"/>
    <w:rsid w:val="1230601B"/>
    <w:rsid w:val="12530213"/>
    <w:rsid w:val="127723A9"/>
    <w:rsid w:val="12862074"/>
    <w:rsid w:val="12883966"/>
    <w:rsid w:val="129E45B4"/>
    <w:rsid w:val="12D81596"/>
    <w:rsid w:val="12ED041A"/>
    <w:rsid w:val="12F911E4"/>
    <w:rsid w:val="13072A44"/>
    <w:rsid w:val="130B5E07"/>
    <w:rsid w:val="135F4BE2"/>
    <w:rsid w:val="139B1A0A"/>
    <w:rsid w:val="139D25C7"/>
    <w:rsid w:val="13BF3CE4"/>
    <w:rsid w:val="13CE750E"/>
    <w:rsid w:val="13CE7899"/>
    <w:rsid w:val="141008D8"/>
    <w:rsid w:val="14125FE6"/>
    <w:rsid w:val="146D271E"/>
    <w:rsid w:val="14982588"/>
    <w:rsid w:val="149A5AD9"/>
    <w:rsid w:val="14A7619D"/>
    <w:rsid w:val="14F62EC9"/>
    <w:rsid w:val="150536C3"/>
    <w:rsid w:val="150C1963"/>
    <w:rsid w:val="151447A0"/>
    <w:rsid w:val="154A6454"/>
    <w:rsid w:val="15762120"/>
    <w:rsid w:val="15CE1DD3"/>
    <w:rsid w:val="16053765"/>
    <w:rsid w:val="166D339A"/>
    <w:rsid w:val="16A8729C"/>
    <w:rsid w:val="16AD16AB"/>
    <w:rsid w:val="16B33777"/>
    <w:rsid w:val="16BC70A7"/>
    <w:rsid w:val="16C6339E"/>
    <w:rsid w:val="172F2D79"/>
    <w:rsid w:val="17445AD7"/>
    <w:rsid w:val="17557BEF"/>
    <w:rsid w:val="17BC5779"/>
    <w:rsid w:val="17D349C1"/>
    <w:rsid w:val="17F11DA8"/>
    <w:rsid w:val="18047D2E"/>
    <w:rsid w:val="1830729E"/>
    <w:rsid w:val="1870062C"/>
    <w:rsid w:val="18817102"/>
    <w:rsid w:val="18830A15"/>
    <w:rsid w:val="18852B28"/>
    <w:rsid w:val="188B5321"/>
    <w:rsid w:val="18B57838"/>
    <w:rsid w:val="18BD6589"/>
    <w:rsid w:val="19355A8C"/>
    <w:rsid w:val="19932372"/>
    <w:rsid w:val="19A20DD5"/>
    <w:rsid w:val="19AE03F1"/>
    <w:rsid w:val="1A071A03"/>
    <w:rsid w:val="1A1F16AE"/>
    <w:rsid w:val="1A3B5C77"/>
    <w:rsid w:val="1A7016AA"/>
    <w:rsid w:val="1A984BAD"/>
    <w:rsid w:val="1AB8220E"/>
    <w:rsid w:val="1AE4166C"/>
    <w:rsid w:val="1AF06CFB"/>
    <w:rsid w:val="1AF11B8D"/>
    <w:rsid w:val="1B11359C"/>
    <w:rsid w:val="1B2A271F"/>
    <w:rsid w:val="1B3E70B3"/>
    <w:rsid w:val="1B530544"/>
    <w:rsid w:val="1B713184"/>
    <w:rsid w:val="1BA061B1"/>
    <w:rsid w:val="1BA209CF"/>
    <w:rsid w:val="1BB4777D"/>
    <w:rsid w:val="1BD75AB8"/>
    <w:rsid w:val="1C0459C2"/>
    <w:rsid w:val="1C1B3B4A"/>
    <w:rsid w:val="1C88086E"/>
    <w:rsid w:val="1D266CE1"/>
    <w:rsid w:val="1D3963AF"/>
    <w:rsid w:val="1D6A673C"/>
    <w:rsid w:val="1D7274E7"/>
    <w:rsid w:val="1D7740E1"/>
    <w:rsid w:val="1D856DC4"/>
    <w:rsid w:val="1D9247AE"/>
    <w:rsid w:val="1DB567EC"/>
    <w:rsid w:val="1DF51A98"/>
    <w:rsid w:val="1E26079C"/>
    <w:rsid w:val="1E3D060F"/>
    <w:rsid w:val="1E3F7D2E"/>
    <w:rsid w:val="1E4134E4"/>
    <w:rsid w:val="1E5062B3"/>
    <w:rsid w:val="1E523514"/>
    <w:rsid w:val="1E714A66"/>
    <w:rsid w:val="1E802593"/>
    <w:rsid w:val="1E870D71"/>
    <w:rsid w:val="1E8B6156"/>
    <w:rsid w:val="1EA703CC"/>
    <w:rsid w:val="1EB7330C"/>
    <w:rsid w:val="1F0A0FF3"/>
    <w:rsid w:val="1F5771FF"/>
    <w:rsid w:val="1F914978"/>
    <w:rsid w:val="1FAA740D"/>
    <w:rsid w:val="1FD52DD5"/>
    <w:rsid w:val="1FE868A9"/>
    <w:rsid w:val="20034907"/>
    <w:rsid w:val="20173E4B"/>
    <w:rsid w:val="204E48BC"/>
    <w:rsid w:val="206167AF"/>
    <w:rsid w:val="20670E5A"/>
    <w:rsid w:val="208921B3"/>
    <w:rsid w:val="20973DEB"/>
    <w:rsid w:val="20B26522"/>
    <w:rsid w:val="20B44310"/>
    <w:rsid w:val="20E26732"/>
    <w:rsid w:val="211116EB"/>
    <w:rsid w:val="21336F8E"/>
    <w:rsid w:val="216133FC"/>
    <w:rsid w:val="21A2672C"/>
    <w:rsid w:val="21CB18BC"/>
    <w:rsid w:val="21D56769"/>
    <w:rsid w:val="21E52EF3"/>
    <w:rsid w:val="21F030D1"/>
    <w:rsid w:val="21FB5D7B"/>
    <w:rsid w:val="22015E94"/>
    <w:rsid w:val="220B1C3D"/>
    <w:rsid w:val="221D1D20"/>
    <w:rsid w:val="22334A87"/>
    <w:rsid w:val="22462CF1"/>
    <w:rsid w:val="226D06CE"/>
    <w:rsid w:val="22721D38"/>
    <w:rsid w:val="22731F86"/>
    <w:rsid w:val="22BE6801"/>
    <w:rsid w:val="22C843D1"/>
    <w:rsid w:val="23164DB9"/>
    <w:rsid w:val="233500BF"/>
    <w:rsid w:val="23377FF7"/>
    <w:rsid w:val="236B425F"/>
    <w:rsid w:val="23836192"/>
    <w:rsid w:val="23845E45"/>
    <w:rsid w:val="23901F29"/>
    <w:rsid w:val="239C0061"/>
    <w:rsid w:val="23B908A4"/>
    <w:rsid w:val="23CB3C02"/>
    <w:rsid w:val="23E95BEF"/>
    <w:rsid w:val="23FD0064"/>
    <w:rsid w:val="2420605A"/>
    <w:rsid w:val="24277169"/>
    <w:rsid w:val="245375B0"/>
    <w:rsid w:val="24642C0A"/>
    <w:rsid w:val="24B22173"/>
    <w:rsid w:val="24B95AD9"/>
    <w:rsid w:val="24BE24DA"/>
    <w:rsid w:val="24CF5825"/>
    <w:rsid w:val="24D663E6"/>
    <w:rsid w:val="24D77F2B"/>
    <w:rsid w:val="258B00E2"/>
    <w:rsid w:val="25A917A6"/>
    <w:rsid w:val="25BE27CC"/>
    <w:rsid w:val="25D86356"/>
    <w:rsid w:val="25F74A5C"/>
    <w:rsid w:val="260F65E4"/>
    <w:rsid w:val="2628662C"/>
    <w:rsid w:val="262D45DE"/>
    <w:rsid w:val="26600825"/>
    <w:rsid w:val="26871DC8"/>
    <w:rsid w:val="26A53EF9"/>
    <w:rsid w:val="26A94201"/>
    <w:rsid w:val="26AC274F"/>
    <w:rsid w:val="26E10FDC"/>
    <w:rsid w:val="26F15DD3"/>
    <w:rsid w:val="26FD33DF"/>
    <w:rsid w:val="27044A29"/>
    <w:rsid w:val="271D34C8"/>
    <w:rsid w:val="276142BF"/>
    <w:rsid w:val="27783712"/>
    <w:rsid w:val="27907362"/>
    <w:rsid w:val="27E13C65"/>
    <w:rsid w:val="28333E1D"/>
    <w:rsid w:val="28454BD6"/>
    <w:rsid w:val="28455253"/>
    <w:rsid w:val="28551971"/>
    <w:rsid w:val="285B1C53"/>
    <w:rsid w:val="289F7086"/>
    <w:rsid w:val="28A075FF"/>
    <w:rsid w:val="28C32028"/>
    <w:rsid w:val="28C53D92"/>
    <w:rsid w:val="28CC490F"/>
    <w:rsid w:val="28DE40AA"/>
    <w:rsid w:val="28DF79E7"/>
    <w:rsid w:val="29345E77"/>
    <w:rsid w:val="294C65AD"/>
    <w:rsid w:val="29806583"/>
    <w:rsid w:val="298B3C4C"/>
    <w:rsid w:val="29F26D24"/>
    <w:rsid w:val="2A15033F"/>
    <w:rsid w:val="2A150EDF"/>
    <w:rsid w:val="2A1662C1"/>
    <w:rsid w:val="2A1C7367"/>
    <w:rsid w:val="2A2815FA"/>
    <w:rsid w:val="2A6D6092"/>
    <w:rsid w:val="2A7D76B4"/>
    <w:rsid w:val="2B437463"/>
    <w:rsid w:val="2B7807EE"/>
    <w:rsid w:val="2BA50BF7"/>
    <w:rsid w:val="2BAD6420"/>
    <w:rsid w:val="2BBF00EC"/>
    <w:rsid w:val="2BC37CFD"/>
    <w:rsid w:val="2BD5237F"/>
    <w:rsid w:val="2BE536CE"/>
    <w:rsid w:val="2BE758D9"/>
    <w:rsid w:val="2C09049E"/>
    <w:rsid w:val="2C0A653C"/>
    <w:rsid w:val="2C164FCF"/>
    <w:rsid w:val="2C191F85"/>
    <w:rsid w:val="2C932859"/>
    <w:rsid w:val="2CE82D6F"/>
    <w:rsid w:val="2D202ABC"/>
    <w:rsid w:val="2D343236"/>
    <w:rsid w:val="2DD15014"/>
    <w:rsid w:val="2DF72DE4"/>
    <w:rsid w:val="2E0220AF"/>
    <w:rsid w:val="2E4B082A"/>
    <w:rsid w:val="2E5D4E86"/>
    <w:rsid w:val="2E5D790B"/>
    <w:rsid w:val="2E823302"/>
    <w:rsid w:val="2E9A3C18"/>
    <w:rsid w:val="2EA15E7F"/>
    <w:rsid w:val="2EAB5087"/>
    <w:rsid w:val="2EBB0FEE"/>
    <w:rsid w:val="2EC63002"/>
    <w:rsid w:val="2ECD27D0"/>
    <w:rsid w:val="2F0A6B38"/>
    <w:rsid w:val="2F946CCB"/>
    <w:rsid w:val="2FD25781"/>
    <w:rsid w:val="2FDC745C"/>
    <w:rsid w:val="2FFD7934"/>
    <w:rsid w:val="305800DE"/>
    <w:rsid w:val="3059003E"/>
    <w:rsid w:val="30733ACD"/>
    <w:rsid w:val="308C3862"/>
    <w:rsid w:val="309379D8"/>
    <w:rsid w:val="30A270F7"/>
    <w:rsid w:val="30A61508"/>
    <w:rsid w:val="30DF1478"/>
    <w:rsid w:val="30EC586F"/>
    <w:rsid w:val="310402C4"/>
    <w:rsid w:val="314550B7"/>
    <w:rsid w:val="31670F91"/>
    <w:rsid w:val="319C6071"/>
    <w:rsid w:val="31AC537E"/>
    <w:rsid w:val="31B07A61"/>
    <w:rsid w:val="31C82023"/>
    <w:rsid w:val="31E3679B"/>
    <w:rsid w:val="31E732FD"/>
    <w:rsid w:val="321921D0"/>
    <w:rsid w:val="32517576"/>
    <w:rsid w:val="32BE5C2C"/>
    <w:rsid w:val="32DF0D23"/>
    <w:rsid w:val="32FB6478"/>
    <w:rsid w:val="3309582A"/>
    <w:rsid w:val="33174961"/>
    <w:rsid w:val="33263B3F"/>
    <w:rsid w:val="336963EB"/>
    <w:rsid w:val="33816EEB"/>
    <w:rsid w:val="339F04B3"/>
    <w:rsid w:val="33EB55CD"/>
    <w:rsid w:val="33EC4C02"/>
    <w:rsid w:val="33FC7953"/>
    <w:rsid w:val="340D2360"/>
    <w:rsid w:val="3410665D"/>
    <w:rsid w:val="34211214"/>
    <w:rsid w:val="342E63AB"/>
    <w:rsid w:val="34950E68"/>
    <w:rsid w:val="34986E94"/>
    <w:rsid w:val="34AF62C9"/>
    <w:rsid w:val="34CB4388"/>
    <w:rsid w:val="34FA6E12"/>
    <w:rsid w:val="354D7158"/>
    <w:rsid w:val="358D5588"/>
    <w:rsid w:val="361A51A9"/>
    <w:rsid w:val="3627310D"/>
    <w:rsid w:val="363A3B40"/>
    <w:rsid w:val="363B2A06"/>
    <w:rsid w:val="365302AE"/>
    <w:rsid w:val="36607A0A"/>
    <w:rsid w:val="366E227C"/>
    <w:rsid w:val="366F2E0D"/>
    <w:rsid w:val="367B6A5C"/>
    <w:rsid w:val="36A74ADA"/>
    <w:rsid w:val="36AD60D5"/>
    <w:rsid w:val="36B224F9"/>
    <w:rsid w:val="36EC0CC9"/>
    <w:rsid w:val="373F410B"/>
    <w:rsid w:val="37E1109A"/>
    <w:rsid w:val="37EE7094"/>
    <w:rsid w:val="38296C89"/>
    <w:rsid w:val="383002EB"/>
    <w:rsid w:val="38586797"/>
    <w:rsid w:val="38A57FBA"/>
    <w:rsid w:val="38BB5D8F"/>
    <w:rsid w:val="38BC0149"/>
    <w:rsid w:val="38CA693A"/>
    <w:rsid w:val="38D87D1C"/>
    <w:rsid w:val="395914BF"/>
    <w:rsid w:val="39636459"/>
    <w:rsid w:val="396B7F6C"/>
    <w:rsid w:val="39B417A9"/>
    <w:rsid w:val="39EC4908"/>
    <w:rsid w:val="39FC5695"/>
    <w:rsid w:val="3A006D8E"/>
    <w:rsid w:val="3A3570E2"/>
    <w:rsid w:val="3A3651E5"/>
    <w:rsid w:val="3A3901A4"/>
    <w:rsid w:val="3A744481"/>
    <w:rsid w:val="3A79500F"/>
    <w:rsid w:val="3A811F62"/>
    <w:rsid w:val="3A8C7BEF"/>
    <w:rsid w:val="3A906246"/>
    <w:rsid w:val="3AAC3BE1"/>
    <w:rsid w:val="3B2349B7"/>
    <w:rsid w:val="3B616CFF"/>
    <w:rsid w:val="3B6259F6"/>
    <w:rsid w:val="3B976654"/>
    <w:rsid w:val="3BC01EFC"/>
    <w:rsid w:val="3BCA786A"/>
    <w:rsid w:val="3BD31E2F"/>
    <w:rsid w:val="3BF15831"/>
    <w:rsid w:val="3C105946"/>
    <w:rsid w:val="3C471448"/>
    <w:rsid w:val="3C5F759A"/>
    <w:rsid w:val="3C6C525A"/>
    <w:rsid w:val="3C9C35B9"/>
    <w:rsid w:val="3CCE23CB"/>
    <w:rsid w:val="3CD17D17"/>
    <w:rsid w:val="3D3C7F39"/>
    <w:rsid w:val="3D440F09"/>
    <w:rsid w:val="3D4504A0"/>
    <w:rsid w:val="3D5F5B26"/>
    <w:rsid w:val="3D8734BB"/>
    <w:rsid w:val="3D9A11D4"/>
    <w:rsid w:val="3D9A2417"/>
    <w:rsid w:val="3DA16D89"/>
    <w:rsid w:val="3DA364BE"/>
    <w:rsid w:val="3DE041CB"/>
    <w:rsid w:val="3E0D48F6"/>
    <w:rsid w:val="3E1868B4"/>
    <w:rsid w:val="3E377251"/>
    <w:rsid w:val="3E42664B"/>
    <w:rsid w:val="3E5A7334"/>
    <w:rsid w:val="3E7A2248"/>
    <w:rsid w:val="3E7B5D6B"/>
    <w:rsid w:val="3E843E66"/>
    <w:rsid w:val="3E8F51FE"/>
    <w:rsid w:val="3E926F87"/>
    <w:rsid w:val="3E9A59DE"/>
    <w:rsid w:val="3EA5765F"/>
    <w:rsid w:val="3EAF4836"/>
    <w:rsid w:val="3EC33DFA"/>
    <w:rsid w:val="3ED96959"/>
    <w:rsid w:val="3F060E16"/>
    <w:rsid w:val="3F19736B"/>
    <w:rsid w:val="3F1D1096"/>
    <w:rsid w:val="3F2F0234"/>
    <w:rsid w:val="3F5604DB"/>
    <w:rsid w:val="3F6363FE"/>
    <w:rsid w:val="3F756B8F"/>
    <w:rsid w:val="3F9335C1"/>
    <w:rsid w:val="3F95482B"/>
    <w:rsid w:val="3FFEEB48"/>
    <w:rsid w:val="40007FC5"/>
    <w:rsid w:val="4019356B"/>
    <w:rsid w:val="40592157"/>
    <w:rsid w:val="406E1CAE"/>
    <w:rsid w:val="40A0133A"/>
    <w:rsid w:val="40C31A53"/>
    <w:rsid w:val="40D45C40"/>
    <w:rsid w:val="40FF545D"/>
    <w:rsid w:val="410067C8"/>
    <w:rsid w:val="417F0B3D"/>
    <w:rsid w:val="418F0D2A"/>
    <w:rsid w:val="41D01505"/>
    <w:rsid w:val="42474939"/>
    <w:rsid w:val="42497F67"/>
    <w:rsid w:val="424C3C57"/>
    <w:rsid w:val="42613FF3"/>
    <w:rsid w:val="42651754"/>
    <w:rsid w:val="42660D96"/>
    <w:rsid w:val="428667D2"/>
    <w:rsid w:val="42B63CD2"/>
    <w:rsid w:val="42CD1CE0"/>
    <w:rsid w:val="42E1381E"/>
    <w:rsid w:val="42ED6459"/>
    <w:rsid w:val="42FE58DD"/>
    <w:rsid w:val="430C7C4A"/>
    <w:rsid w:val="43174B3D"/>
    <w:rsid w:val="434B790E"/>
    <w:rsid w:val="4360274F"/>
    <w:rsid w:val="43977AB6"/>
    <w:rsid w:val="43A3342B"/>
    <w:rsid w:val="43C77C27"/>
    <w:rsid w:val="43DE09EE"/>
    <w:rsid w:val="43E5125A"/>
    <w:rsid w:val="44002FAD"/>
    <w:rsid w:val="446B68BB"/>
    <w:rsid w:val="449101DD"/>
    <w:rsid w:val="4496747C"/>
    <w:rsid w:val="44DE1391"/>
    <w:rsid w:val="451B225C"/>
    <w:rsid w:val="452410C9"/>
    <w:rsid w:val="45317DFB"/>
    <w:rsid w:val="456D3CE4"/>
    <w:rsid w:val="4579042C"/>
    <w:rsid w:val="457F0571"/>
    <w:rsid w:val="45851176"/>
    <w:rsid w:val="458978FD"/>
    <w:rsid w:val="45C63B94"/>
    <w:rsid w:val="45E529EA"/>
    <w:rsid w:val="45F4643C"/>
    <w:rsid w:val="45FE572D"/>
    <w:rsid w:val="460E7DA5"/>
    <w:rsid w:val="46422483"/>
    <w:rsid w:val="464F5D68"/>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D545A8"/>
    <w:rsid w:val="48E37AAB"/>
    <w:rsid w:val="48FD4B4C"/>
    <w:rsid w:val="48FF62C9"/>
    <w:rsid w:val="490A68E0"/>
    <w:rsid w:val="491055FE"/>
    <w:rsid w:val="495F5B3E"/>
    <w:rsid w:val="496F77D7"/>
    <w:rsid w:val="497654FD"/>
    <w:rsid w:val="49A14B2D"/>
    <w:rsid w:val="49B64211"/>
    <w:rsid w:val="49D92519"/>
    <w:rsid w:val="49E56AF9"/>
    <w:rsid w:val="49F6167F"/>
    <w:rsid w:val="4A064FA0"/>
    <w:rsid w:val="4A16615C"/>
    <w:rsid w:val="4A4424D7"/>
    <w:rsid w:val="4AB82D0F"/>
    <w:rsid w:val="4AEB7664"/>
    <w:rsid w:val="4AFD7C19"/>
    <w:rsid w:val="4B0567D1"/>
    <w:rsid w:val="4B236AAE"/>
    <w:rsid w:val="4B65492A"/>
    <w:rsid w:val="4B707271"/>
    <w:rsid w:val="4B9739F7"/>
    <w:rsid w:val="4BBC4527"/>
    <w:rsid w:val="4BC753F4"/>
    <w:rsid w:val="4BCB7C3F"/>
    <w:rsid w:val="4BEE2503"/>
    <w:rsid w:val="4C14361A"/>
    <w:rsid w:val="4C245A30"/>
    <w:rsid w:val="4C572BCB"/>
    <w:rsid w:val="4CB6685F"/>
    <w:rsid w:val="4CC367FE"/>
    <w:rsid w:val="4CE17311"/>
    <w:rsid w:val="4D077F3C"/>
    <w:rsid w:val="4D123355"/>
    <w:rsid w:val="4D2A3B31"/>
    <w:rsid w:val="4D2A4601"/>
    <w:rsid w:val="4D312C52"/>
    <w:rsid w:val="4D4E3D6D"/>
    <w:rsid w:val="4D7244EE"/>
    <w:rsid w:val="4D7B5AD0"/>
    <w:rsid w:val="4D905305"/>
    <w:rsid w:val="4D964A72"/>
    <w:rsid w:val="4D9C1254"/>
    <w:rsid w:val="4E793892"/>
    <w:rsid w:val="4E800872"/>
    <w:rsid w:val="4EC569ED"/>
    <w:rsid w:val="4ED50EA1"/>
    <w:rsid w:val="4EEC050C"/>
    <w:rsid w:val="4F104EC3"/>
    <w:rsid w:val="4F47354A"/>
    <w:rsid w:val="4F5A37B4"/>
    <w:rsid w:val="4F6D4A83"/>
    <w:rsid w:val="4F911C54"/>
    <w:rsid w:val="4FBE55F1"/>
    <w:rsid w:val="4FE625E0"/>
    <w:rsid w:val="4FFD6D22"/>
    <w:rsid w:val="5012408F"/>
    <w:rsid w:val="5021480F"/>
    <w:rsid w:val="50962ECB"/>
    <w:rsid w:val="50A42E38"/>
    <w:rsid w:val="50A4577F"/>
    <w:rsid w:val="50A94F19"/>
    <w:rsid w:val="50B73D1F"/>
    <w:rsid w:val="50BD5BC9"/>
    <w:rsid w:val="50C11EEE"/>
    <w:rsid w:val="50E97CFC"/>
    <w:rsid w:val="50FA4028"/>
    <w:rsid w:val="510D65B7"/>
    <w:rsid w:val="511157AB"/>
    <w:rsid w:val="5142540C"/>
    <w:rsid w:val="5167298E"/>
    <w:rsid w:val="518832C8"/>
    <w:rsid w:val="519D3C50"/>
    <w:rsid w:val="51A0432A"/>
    <w:rsid w:val="51A86090"/>
    <w:rsid w:val="51B354F7"/>
    <w:rsid w:val="51B7396D"/>
    <w:rsid w:val="51CC2956"/>
    <w:rsid w:val="521A722A"/>
    <w:rsid w:val="522E4CC3"/>
    <w:rsid w:val="5244713B"/>
    <w:rsid w:val="52615633"/>
    <w:rsid w:val="526F4DE4"/>
    <w:rsid w:val="527E3C5D"/>
    <w:rsid w:val="528C228E"/>
    <w:rsid w:val="52977FD4"/>
    <w:rsid w:val="52A25790"/>
    <w:rsid w:val="52A96B6F"/>
    <w:rsid w:val="52B45975"/>
    <w:rsid w:val="52C64640"/>
    <w:rsid w:val="52D94AA4"/>
    <w:rsid w:val="52EA3A62"/>
    <w:rsid w:val="52EB3FE9"/>
    <w:rsid w:val="52F50BB8"/>
    <w:rsid w:val="53097272"/>
    <w:rsid w:val="530D6F1F"/>
    <w:rsid w:val="53544462"/>
    <w:rsid w:val="5397158E"/>
    <w:rsid w:val="53E40074"/>
    <w:rsid w:val="54013861"/>
    <w:rsid w:val="541E2F2B"/>
    <w:rsid w:val="54487265"/>
    <w:rsid w:val="544D6070"/>
    <w:rsid w:val="54605E1E"/>
    <w:rsid w:val="54721636"/>
    <w:rsid w:val="5495528E"/>
    <w:rsid w:val="54AA6F8B"/>
    <w:rsid w:val="54B3506A"/>
    <w:rsid w:val="54CA0D16"/>
    <w:rsid w:val="54DD4057"/>
    <w:rsid w:val="54E7490F"/>
    <w:rsid w:val="550764A4"/>
    <w:rsid w:val="550B2BF6"/>
    <w:rsid w:val="55214EB5"/>
    <w:rsid w:val="55364EFD"/>
    <w:rsid w:val="55463C45"/>
    <w:rsid w:val="555D4828"/>
    <w:rsid w:val="557A4C8B"/>
    <w:rsid w:val="558931E1"/>
    <w:rsid w:val="55923347"/>
    <w:rsid w:val="55925180"/>
    <w:rsid w:val="55983B1B"/>
    <w:rsid w:val="55A8376B"/>
    <w:rsid w:val="55B368A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14A3"/>
    <w:rsid w:val="58222506"/>
    <w:rsid w:val="58917D2F"/>
    <w:rsid w:val="5894085C"/>
    <w:rsid w:val="58AE4F0C"/>
    <w:rsid w:val="58B85899"/>
    <w:rsid w:val="58E363A9"/>
    <w:rsid w:val="595E1678"/>
    <w:rsid w:val="596D5BD4"/>
    <w:rsid w:val="597E3DD8"/>
    <w:rsid w:val="59F80043"/>
    <w:rsid w:val="5A09252F"/>
    <w:rsid w:val="5A0B2778"/>
    <w:rsid w:val="5A0E0EC3"/>
    <w:rsid w:val="5A2A7C7B"/>
    <w:rsid w:val="5A316019"/>
    <w:rsid w:val="5A3E2560"/>
    <w:rsid w:val="5A5D3B6E"/>
    <w:rsid w:val="5A637A76"/>
    <w:rsid w:val="5A6D33BA"/>
    <w:rsid w:val="5A792B1F"/>
    <w:rsid w:val="5A874767"/>
    <w:rsid w:val="5A981634"/>
    <w:rsid w:val="5AA85BE2"/>
    <w:rsid w:val="5AAD6F28"/>
    <w:rsid w:val="5ABE78CE"/>
    <w:rsid w:val="5ABF247A"/>
    <w:rsid w:val="5AD63A24"/>
    <w:rsid w:val="5B2E1A1D"/>
    <w:rsid w:val="5B843A1C"/>
    <w:rsid w:val="5B873E3F"/>
    <w:rsid w:val="5BC565B7"/>
    <w:rsid w:val="5C02690E"/>
    <w:rsid w:val="5C196DA7"/>
    <w:rsid w:val="5C2A048C"/>
    <w:rsid w:val="5C80234E"/>
    <w:rsid w:val="5C8A680C"/>
    <w:rsid w:val="5CF35D1E"/>
    <w:rsid w:val="5D0C4701"/>
    <w:rsid w:val="5D0F0395"/>
    <w:rsid w:val="5D221076"/>
    <w:rsid w:val="5D397964"/>
    <w:rsid w:val="5D3DFD62"/>
    <w:rsid w:val="5D5A391C"/>
    <w:rsid w:val="5D5F10C0"/>
    <w:rsid w:val="5D883BE2"/>
    <w:rsid w:val="5D891B7B"/>
    <w:rsid w:val="5DAD38EE"/>
    <w:rsid w:val="5E006862"/>
    <w:rsid w:val="5E0207B9"/>
    <w:rsid w:val="5E1834A1"/>
    <w:rsid w:val="5E261785"/>
    <w:rsid w:val="5E4A7017"/>
    <w:rsid w:val="5E552BBA"/>
    <w:rsid w:val="5E611C10"/>
    <w:rsid w:val="5E7A0F3F"/>
    <w:rsid w:val="5EFC7377"/>
    <w:rsid w:val="5F06174D"/>
    <w:rsid w:val="5F3A3602"/>
    <w:rsid w:val="5F3C1128"/>
    <w:rsid w:val="5F3FD464"/>
    <w:rsid w:val="5F45733B"/>
    <w:rsid w:val="5F6277C6"/>
    <w:rsid w:val="5F6D0B1D"/>
    <w:rsid w:val="5F880C65"/>
    <w:rsid w:val="5F8D0B82"/>
    <w:rsid w:val="5FA14F72"/>
    <w:rsid w:val="5FCB6008"/>
    <w:rsid w:val="5FCC5339"/>
    <w:rsid w:val="5FE34A5B"/>
    <w:rsid w:val="5FF6BE4A"/>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127F1E"/>
    <w:rsid w:val="624F3E49"/>
    <w:rsid w:val="62632286"/>
    <w:rsid w:val="62885958"/>
    <w:rsid w:val="62F40B65"/>
    <w:rsid w:val="62FC2CFE"/>
    <w:rsid w:val="63024505"/>
    <w:rsid w:val="631B72A6"/>
    <w:rsid w:val="6332277A"/>
    <w:rsid w:val="635600A5"/>
    <w:rsid w:val="635B1DB5"/>
    <w:rsid w:val="63711FED"/>
    <w:rsid w:val="63880DDC"/>
    <w:rsid w:val="638D750D"/>
    <w:rsid w:val="63A64DC2"/>
    <w:rsid w:val="63AC6CC0"/>
    <w:rsid w:val="63D7555D"/>
    <w:rsid w:val="64055776"/>
    <w:rsid w:val="6417181C"/>
    <w:rsid w:val="64240056"/>
    <w:rsid w:val="643E143A"/>
    <w:rsid w:val="64491666"/>
    <w:rsid w:val="648B6EEF"/>
    <w:rsid w:val="64B96D77"/>
    <w:rsid w:val="64C158BF"/>
    <w:rsid w:val="64CE2EAA"/>
    <w:rsid w:val="64DD2A65"/>
    <w:rsid w:val="653C3090"/>
    <w:rsid w:val="65854376"/>
    <w:rsid w:val="658767BE"/>
    <w:rsid w:val="65892531"/>
    <w:rsid w:val="66195831"/>
    <w:rsid w:val="662E75B1"/>
    <w:rsid w:val="66342C2E"/>
    <w:rsid w:val="663E784C"/>
    <w:rsid w:val="668B6A45"/>
    <w:rsid w:val="66E40109"/>
    <w:rsid w:val="66F77968"/>
    <w:rsid w:val="67011F07"/>
    <w:rsid w:val="672F3F24"/>
    <w:rsid w:val="673E055F"/>
    <w:rsid w:val="673F7A07"/>
    <w:rsid w:val="67551CE3"/>
    <w:rsid w:val="67A22552"/>
    <w:rsid w:val="67B22DCC"/>
    <w:rsid w:val="67BE71AA"/>
    <w:rsid w:val="67D90273"/>
    <w:rsid w:val="67D95B14"/>
    <w:rsid w:val="67DE5875"/>
    <w:rsid w:val="67E55852"/>
    <w:rsid w:val="67EB1AB4"/>
    <w:rsid w:val="67FA1285"/>
    <w:rsid w:val="680B5B3B"/>
    <w:rsid w:val="684E0D5E"/>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431D7"/>
    <w:rsid w:val="69CC2BFF"/>
    <w:rsid w:val="69FD55B8"/>
    <w:rsid w:val="69FD5FCD"/>
    <w:rsid w:val="6A06480C"/>
    <w:rsid w:val="6A0B1C62"/>
    <w:rsid w:val="6A2406C8"/>
    <w:rsid w:val="6A3C7A0F"/>
    <w:rsid w:val="6AA941A4"/>
    <w:rsid w:val="6ADE0BD1"/>
    <w:rsid w:val="6AE96859"/>
    <w:rsid w:val="6B147746"/>
    <w:rsid w:val="6B24787C"/>
    <w:rsid w:val="6B264A3A"/>
    <w:rsid w:val="6B573233"/>
    <w:rsid w:val="6B5B6274"/>
    <w:rsid w:val="6B935D53"/>
    <w:rsid w:val="6BA22313"/>
    <w:rsid w:val="6BC03C20"/>
    <w:rsid w:val="6C196F71"/>
    <w:rsid w:val="6C226FCB"/>
    <w:rsid w:val="6C31226F"/>
    <w:rsid w:val="6C552F0B"/>
    <w:rsid w:val="6C895281"/>
    <w:rsid w:val="6C8C67B7"/>
    <w:rsid w:val="6C9D744C"/>
    <w:rsid w:val="6C9E1BE3"/>
    <w:rsid w:val="6D167928"/>
    <w:rsid w:val="6D26299B"/>
    <w:rsid w:val="6D4772EC"/>
    <w:rsid w:val="6D9078AF"/>
    <w:rsid w:val="6DAA3FEF"/>
    <w:rsid w:val="6DBFF311"/>
    <w:rsid w:val="6DC0172B"/>
    <w:rsid w:val="6DCB690C"/>
    <w:rsid w:val="6DD41A5B"/>
    <w:rsid w:val="6DF43C2E"/>
    <w:rsid w:val="6DF51CA3"/>
    <w:rsid w:val="6E8273FB"/>
    <w:rsid w:val="6E8335BD"/>
    <w:rsid w:val="6E8E12EF"/>
    <w:rsid w:val="6E972936"/>
    <w:rsid w:val="6ED02ACD"/>
    <w:rsid w:val="6ED446C5"/>
    <w:rsid w:val="6F2A7D94"/>
    <w:rsid w:val="6F3518C1"/>
    <w:rsid w:val="6F8331F1"/>
    <w:rsid w:val="6FAE1A09"/>
    <w:rsid w:val="6FBF621E"/>
    <w:rsid w:val="6FD75BF8"/>
    <w:rsid w:val="70273B5B"/>
    <w:rsid w:val="704B4683"/>
    <w:rsid w:val="70761FC0"/>
    <w:rsid w:val="707723D0"/>
    <w:rsid w:val="707F5A3A"/>
    <w:rsid w:val="7080699B"/>
    <w:rsid w:val="70C9177A"/>
    <w:rsid w:val="70F5661B"/>
    <w:rsid w:val="710E6072"/>
    <w:rsid w:val="71360107"/>
    <w:rsid w:val="713B688E"/>
    <w:rsid w:val="71D43752"/>
    <w:rsid w:val="71F1796A"/>
    <w:rsid w:val="72005FE5"/>
    <w:rsid w:val="72154626"/>
    <w:rsid w:val="72262B5D"/>
    <w:rsid w:val="72283FF7"/>
    <w:rsid w:val="722E7212"/>
    <w:rsid w:val="723A0474"/>
    <w:rsid w:val="724F11A3"/>
    <w:rsid w:val="725923E4"/>
    <w:rsid w:val="72864BF7"/>
    <w:rsid w:val="729023FC"/>
    <w:rsid w:val="72AE5A41"/>
    <w:rsid w:val="73007A0C"/>
    <w:rsid w:val="73770529"/>
    <w:rsid w:val="73C0646E"/>
    <w:rsid w:val="73D77BD1"/>
    <w:rsid w:val="73E7CF11"/>
    <w:rsid w:val="740A314B"/>
    <w:rsid w:val="742222F5"/>
    <w:rsid w:val="74476126"/>
    <w:rsid w:val="745666D0"/>
    <w:rsid w:val="746301D4"/>
    <w:rsid w:val="74706664"/>
    <w:rsid w:val="747F3682"/>
    <w:rsid w:val="74925ADE"/>
    <w:rsid w:val="749C4185"/>
    <w:rsid w:val="75067759"/>
    <w:rsid w:val="752E6DCD"/>
    <w:rsid w:val="7551380D"/>
    <w:rsid w:val="75600BE5"/>
    <w:rsid w:val="7564475C"/>
    <w:rsid w:val="757C0195"/>
    <w:rsid w:val="7583797F"/>
    <w:rsid w:val="75D20F1D"/>
    <w:rsid w:val="75DA2C18"/>
    <w:rsid w:val="75F54412"/>
    <w:rsid w:val="761D08E0"/>
    <w:rsid w:val="76385AE3"/>
    <w:rsid w:val="765D347C"/>
    <w:rsid w:val="76826699"/>
    <w:rsid w:val="76880357"/>
    <w:rsid w:val="768F1979"/>
    <w:rsid w:val="76BB28DB"/>
    <w:rsid w:val="76C87133"/>
    <w:rsid w:val="76CD08D5"/>
    <w:rsid w:val="76DB4B92"/>
    <w:rsid w:val="76FD013A"/>
    <w:rsid w:val="77013BA3"/>
    <w:rsid w:val="77052AA4"/>
    <w:rsid w:val="77136511"/>
    <w:rsid w:val="77340A39"/>
    <w:rsid w:val="77351FD0"/>
    <w:rsid w:val="77472422"/>
    <w:rsid w:val="775868CA"/>
    <w:rsid w:val="777F31F2"/>
    <w:rsid w:val="777F5BFE"/>
    <w:rsid w:val="77A967D7"/>
    <w:rsid w:val="77BF424C"/>
    <w:rsid w:val="77D1700D"/>
    <w:rsid w:val="77EC04CC"/>
    <w:rsid w:val="78775729"/>
    <w:rsid w:val="78A42DB0"/>
    <w:rsid w:val="78A656AB"/>
    <w:rsid w:val="78B2245C"/>
    <w:rsid w:val="78BD3ABE"/>
    <w:rsid w:val="78E172CC"/>
    <w:rsid w:val="78EA1D1F"/>
    <w:rsid w:val="7904172F"/>
    <w:rsid w:val="790F7E27"/>
    <w:rsid w:val="792A231A"/>
    <w:rsid w:val="79316829"/>
    <w:rsid w:val="797E66A9"/>
    <w:rsid w:val="79836E13"/>
    <w:rsid w:val="798518A4"/>
    <w:rsid w:val="79882CF8"/>
    <w:rsid w:val="79A97383"/>
    <w:rsid w:val="79DFDCBF"/>
    <w:rsid w:val="79E24222"/>
    <w:rsid w:val="79E27E8B"/>
    <w:rsid w:val="79F850CE"/>
    <w:rsid w:val="79FD443C"/>
    <w:rsid w:val="7A1D1975"/>
    <w:rsid w:val="7A3E5150"/>
    <w:rsid w:val="7A4670D6"/>
    <w:rsid w:val="7A534B63"/>
    <w:rsid w:val="7A615382"/>
    <w:rsid w:val="7A67303B"/>
    <w:rsid w:val="7A6F3D08"/>
    <w:rsid w:val="7AAB1D04"/>
    <w:rsid w:val="7ABA4368"/>
    <w:rsid w:val="7ACF682E"/>
    <w:rsid w:val="7AD05746"/>
    <w:rsid w:val="7AF16E13"/>
    <w:rsid w:val="7B046B46"/>
    <w:rsid w:val="7B257FFD"/>
    <w:rsid w:val="7B273D20"/>
    <w:rsid w:val="7B343476"/>
    <w:rsid w:val="7B3FEA2E"/>
    <w:rsid w:val="7B5622D6"/>
    <w:rsid w:val="7B5A2978"/>
    <w:rsid w:val="7B5A7E4C"/>
    <w:rsid w:val="7B667AF9"/>
    <w:rsid w:val="7B7468F8"/>
    <w:rsid w:val="7B8C6B3B"/>
    <w:rsid w:val="7BA9702E"/>
    <w:rsid w:val="7BCB2E11"/>
    <w:rsid w:val="7BCF6E26"/>
    <w:rsid w:val="7BEE0103"/>
    <w:rsid w:val="7C0A0FE4"/>
    <w:rsid w:val="7C254906"/>
    <w:rsid w:val="7C345209"/>
    <w:rsid w:val="7C590818"/>
    <w:rsid w:val="7C7C10F6"/>
    <w:rsid w:val="7C853BEA"/>
    <w:rsid w:val="7C881368"/>
    <w:rsid w:val="7CCA3AE8"/>
    <w:rsid w:val="7CCD740C"/>
    <w:rsid w:val="7CE27788"/>
    <w:rsid w:val="7D0C32F1"/>
    <w:rsid w:val="7D0F408D"/>
    <w:rsid w:val="7D491C6C"/>
    <w:rsid w:val="7D5429C0"/>
    <w:rsid w:val="7D573123"/>
    <w:rsid w:val="7D6E6D43"/>
    <w:rsid w:val="7D733B0F"/>
    <w:rsid w:val="7DB57A34"/>
    <w:rsid w:val="7DE60973"/>
    <w:rsid w:val="7DE8777D"/>
    <w:rsid w:val="7DED1163"/>
    <w:rsid w:val="7DEF0916"/>
    <w:rsid w:val="7E1E5218"/>
    <w:rsid w:val="7E663674"/>
    <w:rsid w:val="7E9A4E1F"/>
    <w:rsid w:val="7EA7723A"/>
    <w:rsid w:val="7EF56FBB"/>
    <w:rsid w:val="7F047E0B"/>
    <w:rsid w:val="7F0768EB"/>
    <w:rsid w:val="7F143BEC"/>
    <w:rsid w:val="7F5FAED2"/>
    <w:rsid w:val="7F715AF2"/>
    <w:rsid w:val="7F741D29"/>
    <w:rsid w:val="7F886E69"/>
    <w:rsid w:val="7FC06DB4"/>
    <w:rsid w:val="BB7FA927"/>
    <w:rsid w:val="BD7CA83B"/>
    <w:rsid w:val="BE7ED0E8"/>
    <w:rsid w:val="E7DFF647"/>
    <w:rsid w:val="F5FFD31F"/>
    <w:rsid w:val="F6FF6924"/>
    <w:rsid w:val="FCDC4816"/>
    <w:rsid w:val="FDDBA8CE"/>
    <w:rsid w:val="FFFF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6"/>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2"/>
    <w:qFormat/>
    <w:uiPriority w:val="0"/>
    <w:pPr>
      <w:ind w:firstLine="420"/>
    </w:pPr>
    <w:rPr>
      <w:rFonts w:hAnsi="Calibri" w:cs="Times New Roman"/>
      <w:snapToGrid/>
      <w:szCs w:val="20"/>
    </w:rPr>
  </w:style>
  <w:style w:type="paragraph" w:styleId="3">
    <w:name w:val="Body Text"/>
    <w:basedOn w:val="1"/>
    <w:next w:val="2"/>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basedOn w:val="69"/>
    <w:qFormat/>
    <w:uiPriority w:val="0"/>
    <w:rPr>
      <w:rFonts w:hint="eastAsia" w:ascii="宋体" w:hAnsi="宋体" w:eastAsia="宋体" w:cs="宋体"/>
      <w:color w:val="000000"/>
      <w:sz w:val="22"/>
      <w:szCs w:val="22"/>
      <w:u w:val="none"/>
    </w:rPr>
  </w:style>
  <w:style w:type="character" w:customStyle="1" w:styleId="964">
    <w:name w:val="font91"/>
    <w:basedOn w:val="69"/>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Indent1"/>
    <w:basedOn w:val="1"/>
    <w:qFormat/>
    <w:uiPriority w:val="0"/>
    <w:pPr>
      <w:ind w:firstLine="420"/>
    </w:pPr>
  </w:style>
  <w:style w:type="paragraph" w:customStyle="1" w:styleId="967">
    <w:name w:val="CM20"/>
    <w:basedOn w:val="235"/>
    <w:next w:val="235"/>
    <w:qFormat/>
    <w:uiPriority w:val="99"/>
    <w:pPr>
      <w:spacing w:line="483" w:lineRule="atLeast"/>
    </w:pPr>
    <w:rPr>
      <w:rFonts w:cs="Times New Roman"/>
      <w:color w:val="auto"/>
    </w:rPr>
  </w:style>
  <w:style w:type="character" w:customStyle="1" w:styleId="968">
    <w:name w:val="标题 4 Char Char Char Char"/>
    <w:qFormat/>
    <w:uiPriority w:val="0"/>
    <w:rPr>
      <w:rFonts w:eastAsia="楷体_GB2312"/>
      <w:b/>
      <w:snapToGrid w:val="0"/>
      <w:sz w:val="24"/>
      <w:lang w:val="en-US" w:eastAsia="zh-CN" w:bidi="ar-SA"/>
    </w:rPr>
  </w:style>
  <w:style w:type="character" w:customStyle="1" w:styleId="969">
    <w:name w:val="标题 3 Char Char Char Char"/>
    <w:qFormat/>
    <w:uiPriority w:val="0"/>
    <w:rPr>
      <w:rFonts w:eastAsia="黑体"/>
      <w:b/>
      <w:sz w:val="24"/>
      <w:lang w:val="en-US" w:eastAsia="zh-CN" w:bidi="ar-SA"/>
    </w:rPr>
  </w:style>
  <w:style w:type="character" w:customStyle="1" w:styleId="970">
    <w:name w:val="标题 2 Char Char Char"/>
    <w:qFormat/>
    <w:uiPriority w:val="0"/>
    <w:rPr>
      <w:b/>
      <w:snapToGrid w:val="0"/>
      <w:kern w:val="2"/>
      <w:sz w:val="32"/>
      <w:szCs w:val="24"/>
    </w:rPr>
  </w:style>
  <w:style w:type="paragraph" w:customStyle="1" w:styleId="971">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character" w:customStyle="1" w:styleId="972">
    <w:name w:val="font251"/>
    <w:basedOn w:val="69"/>
    <w:qFormat/>
    <w:uiPriority w:val="0"/>
    <w:rPr>
      <w:rFonts w:hint="eastAsia" w:ascii="宋体" w:hAnsi="宋体" w:eastAsia="宋体" w:cs="宋体"/>
      <w:color w:val="000000"/>
      <w:sz w:val="20"/>
      <w:szCs w:val="20"/>
      <w:u w:val="none"/>
      <w:vertAlign w:val="superscript"/>
    </w:rPr>
  </w:style>
  <w:style w:type="character" w:customStyle="1" w:styleId="973">
    <w:name w:val="font261"/>
    <w:basedOn w:val="69"/>
    <w:qFormat/>
    <w:uiPriority w:val="0"/>
    <w:rPr>
      <w:rFonts w:hint="eastAsia" w:ascii="仿宋_GB2312" w:eastAsia="仿宋_GB2312" w:cs="仿宋_GB2312"/>
      <w:color w:val="000000"/>
      <w:sz w:val="20"/>
      <w:szCs w:val="20"/>
      <w:u w:val="none"/>
      <w:vertAlign w:val="superscript"/>
    </w:rPr>
  </w:style>
  <w:style w:type="character" w:customStyle="1" w:styleId="974">
    <w:name w:val="font131"/>
    <w:basedOn w:val="69"/>
    <w:qFormat/>
    <w:uiPriority w:val="0"/>
    <w:rPr>
      <w:rFonts w:hint="eastAsia" w:ascii="宋体" w:hAnsi="宋体" w:eastAsia="宋体" w:cs="宋体"/>
      <w:color w:val="000000"/>
      <w:sz w:val="21"/>
      <w:szCs w:val="21"/>
      <w:u w:val="none"/>
    </w:rPr>
  </w:style>
  <w:style w:type="character" w:customStyle="1" w:styleId="975">
    <w:name w:val="font171"/>
    <w:basedOn w:val="69"/>
    <w:qFormat/>
    <w:uiPriority w:val="0"/>
    <w:rPr>
      <w:rFonts w:hint="default" w:ascii="宋体 . . 璂 . ." w:hAnsi="宋体 . . 璂 . ." w:eastAsia="宋体 . . 璂 . ." w:cs="宋体 . . 璂 . ."/>
      <w:b/>
      <w:bCs/>
      <w:color w:val="000000"/>
      <w:sz w:val="21"/>
      <w:szCs w:val="21"/>
      <w:u w:val="none"/>
    </w:rPr>
  </w:style>
  <w:style w:type="character" w:customStyle="1" w:styleId="976">
    <w:name w:val="font191"/>
    <w:basedOn w:val="69"/>
    <w:qFormat/>
    <w:uiPriority w:val="0"/>
    <w:rPr>
      <w:rFonts w:hint="default" w:ascii="宋体 . . 璂 . ." w:hAnsi="宋体 . . 璂 . ." w:eastAsia="宋体 . . 璂 . ." w:cs="宋体 . . 璂 . ."/>
      <w:color w:val="000000"/>
      <w:sz w:val="21"/>
      <w:szCs w:val="21"/>
      <w:u w:val="none"/>
    </w:rPr>
  </w:style>
  <w:style w:type="character" w:customStyle="1" w:styleId="977">
    <w:name w:val="font101"/>
    <w:basedOn w:val="69"/>
    <w:qFormat/>
    <w:uiPriority w:val="0"/>
    <w:rPr>
      <w:rFonts w:ascii="Arial" w:hAnsi="Arial" w:cs="Arial"/>
      <w:color w:val="333333"/>
      <w:sz w:val="18"/>
      <w:szCs w:val="18"/>
      <w:u w:val="none"/>
    </w:rPr>
  </w:style>
  <w:style w:type="character" w:customStyle="1" w:styleId="978">
    <w:name w:val="font121"/>
    <w:basedOn w:val="6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42349</Words>
  <Characters>44283</Characters>
  <Lines>281</Lines>
  <Paragraphs>79</Paragraphs>
  <TotalTime>14</TotalTime>
  <ScaleCrop>false</ScaleCrop>
  <LinksUpToDate>false</LinksUpToDate>
  <CharactersWithSpaces>49620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NTKO</cp:lastModifiedBy>
  <cp:lastPrinted>2021-12-31T19:06:00Z</cp:lastPrinted>
  <dcterms:modified xsi:type="dcterms:W3CDTF">2025-06-26T10:30:31Z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2C5BCBBC592249D2939BB6DC2BF83214_13</vt:lpwstr>
  </property>
  <property fmtid="{D5CDD505-2E9C-101B-9397-08002B2CF9AE}" pid="5" name="KSOTemplateDocerSaveRecord">
    <vt:lpwstr>eyJoZGlkIjoiODcxOTViM2NkMzNjZGZjODM1NDMwODhlMDU4NmYxZjEiLCJ1c2VySWQiOiI0MjcwNzUyNTQifQ==</vt:lpwstr>
  </property>
</Properties>
</file>