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E9CFDF">
      <w:pPr>
        <w:tabs>
          <w:tab w:val="left" w:pos="0"/>
          <w:tab w:val="left" w:pos="2140"/>
          <w:tab w:val="center" w:pos="4753"/>
        </w:tabs>
        <w:spacing w:before="24" w:beforeLines="10" w:line="360" w:lineRule="auto"/>
        <w:jc w:val="center"/>
        <w:rPr>
          <w:rFonts w:hint="eastAsia" w:ascii="宋体" w:hAnsi="宋体" w:cs="宋体"/>
          <w:sz w:val="44"/>
          <w:highlight w:val="none"/>
        </w:rPr>
      </w:pPr>
    </w:p>
    <w:p w14:paraId="3C474C6F">
      <w:pPr>
        <w:tabs>
          <w:tab w:val="left" w:pos="4500"/>
        </w:tabs>
        <w:autoSpaceDE w:val="0"/>
        <w:autoSpaceDN w:val="0"/>
        <w:adjustRightInd w:val="0"/>
        <w:snapToGrid w:val="0"/>
        <w:spacing w:line="360" w:lineRule="auto"/>
        <w:jc w:val="center"/>
        <w:textAlignment w:val="bottom"/>
        <w:rPr>
          <w:rFonts w:hint="eastAsia" w:ascii="宋体" w:hAnsi="宋体" w:cs="宋体"/>
          <w:b/>
          <w:sz w:val="36"/>
          <w:highlight w:val="none"/>
          <w:u w:val="none"/>
          <w:lang w:eastAsia="zh-CN"/>
        </w:rPr>
      </w:pPr>
      <w:r>
        <w:rPr>
          <w:rFonts w:hint="eastAsia" w:ascii="宋体" w:hAnsi="宋体" w:cs="宋体"/>
          <w:b/>
          <w:sz w:val="36"/>
          <w:highlight w:val="none"/>
          <w:u w:val="none"/>
          <w:lang w:eastAsia="zh-CN"/>
        </w:rPr>
        <w:t>衢州市柯城区九龙幼儿园悦澜湾园区智能化提升工程及设施设备采购-网络系统改造及班级一体机采购</w:t>
      </w:r>
    </w:p>
    <w:p w14:paraId="4B989405">
      <w:pPr>
        <w:tabs>
          <w:tab w:val="left" w:pos="4500"/>
        </w:tabs>
        <w:autoSpaceDE w:val="0"/>
        <w:autoSpaceDN w:val="0"/>
        <w:adjustRightInd w:val="0"/>
        <w:snapToGrid w:val="0"/>
        <w:spacing w:line="360" w:lineRule="auto"/>
        <w:jc w:val="center"/>
        <w:textAlignment w:val="bottom"/>
        <w:rPr>
          <w:rFonts w:hint="eastAsia" w:ascii="宋体" w:hAnsi="宋体" w:cs="宋体"/>
          <w:b/>
          <w:sz w:val="36"/>
          <w:highlight w:val="none"/>
          <w:u w:val="none"/>
          <w:lang w:eastAsia="zh-CN"/>
        </w:rPr>
      </w:pPr>
      <w:r>
        <w:rPr>
          <w:rFonts w:hint="eastAsia" w:ascii="宋体" w:hAnsi="宋体" w:cs="宋体"/>
          <w:b/>
          <w:sz w:val="36"/>
          <w:highlight w:val="none"/>
          <w:u w:val="none"/>
          <w:lang w:eastAsia="zh-CN"/>
        </w:rPr>
        <w:t>（项目编号：QZOB-2025-072）</w:t>
      </w:r>
    </w:p>
    <w:p w14:paraId="54BAA479">
      <w:pPr>
        <w:tabs>
          <w:tab w:val="left" w:pos="4500"/>
        </w:tabs>
        <w:autoSpaceDE w:val="0"/>
        <w:autoSpaceDN w:val="0"/>
        <w:adjustRightInd w:val="0"/>
        <w:snapToGrid w:val="0"/>
        <w:spacing w:line="360" w:lineRule="auto"/>
        <w:jc w:val="center"/>
        <w:textAlignment w:val="bottom"/>
        <w:rPr>
          <w:rFonts w:hint="eastAsia" w:ascii="宋体" w:hAnsi="宋体" w:cs="宋体"/>
          <w:b/>
          <w:sz w:val="52"/>
          <w:highlight w:val="none"/>
        </w:rPr>
      </w:pPr>
    </w:p>
    <w:p w14:paraId="1E5D368F">
      <w:pPr>
        <w:tabs>
          <w:tab w:val="left" w:pos="4500"/>
        </w:tabs>
        <w:autoSpaceDE w:val="0"/>
        <w:autoSpaceDN w:val="0"/>
        <w:adjustRightInd w:val="0"/>
        <w:snapToGrid w:val="0"/>
        <w:spacing w:line="360" w:lineRule="auto"/>
        <w:jc w:val="center"/>
        <w:textAlignment w:val="bottom"/>
        <w:rPr>
          <w:rFonts w:hint="eastAsia" w:ascii="宋体" w:hAnsi="宋体" w:cs="宋体"/>
          <w:b/>
          <w:sz w:val="52"/>
          <w:highlight w:val="none"/>
        </w:rPr>
      </w:pPr>
    </w:p>
    <w:p w14:paraId="6E71AD3E">
      <w:pPr>
        <w:tabs>
          <w:tab w:val="left" w:pos="4500"/>
        </w:tabs>
        <w:autoSpaceDE w:val="0"/>
        <w:autoSpaceDN w:val="0"/>
        <w:adjustRightInd w:val="0"/>
        <w:snapToGrid w:val="0"/>
        <w:spacing w:line="360" w:lineRule="auto"/>
        <w:jc w:val="center"/>
        <w:textAlignment w:val="bottom"/>
        <w:rPr>
          <w:rFonts w:hint="eastAsia" w:ascii="宋体" w:hAnsi="宋体" w:cs="宋体"/>
          <w:b/>
          <w:sz w:val="52"/>
          <w:highlight w:val="none"/>
        </w:rPr>
      </w:pPr>
    </w:p>
    <w:p w14:paraId="3FCE4CBC">
      <w:pPr>
        <w:tabs>
          <w:tab w:val="left" w:pos="4500"/>
        </w:tabs>
        <w:autoSpaceDE w:val="0"/>
        <w:autoSpaceDN w:val="0"/>
        <w:adjustRightInd w:val="0"/>
        <w:snapToGrid w:val="0"/>
        <w:spacing w:line="360" w:lineRule="auto"/>
        <w:jc w:val="center"/>
        <w:textAlignment w:val="bottom"/>
        <w:rPr>
          <w:rFonts w:hint="eastAsia"/>
          <w:lang w:eastAsia="zh-CN"/>
        </w:rPr>
      </w:pPr>
      <w:r>
        <w:rPr>
          <w:rFonts w:hint="eastAsia" w:ascii="宋体" w:hAnsi="宋体" w:cs="宋体"/>
          <w:b/>
          <w:sz w:val="52"/>
          <w:highlight w:val="none"/>
        </w:rPr>
        <w:t>公开招标采购文件</w:t>
      </w:r>
    </w:p>
    <w:p w14:paraId="390D3298">
      <w:pPr>
        <w:widowControl/>
        <w:spacing w:line="360" w:lineRule="auto"/>
        <w:ind w:right="-2"/>
        <w:jc w:val="center"/>
        <w:rPr>
          <w:rFonts w:hint="eastAsia" w:ascii="宋体" w:hAnsi="宋体" w:cs="宋体"/>
          <w:b/>
          <w:highlight w:val="none"/>
        </w:rPr>
      </w:pPr>
      <w:r>
        <w:rPr>
          <w:rFonts w:hint="eastAsia" w:ascii="宋体" w:hAnsi="宋体" w:cs="宋体"/>
          <w:b/>
          <w:sz w:val="36"/>
          <w:highlight w:val="none"/>
        </w:rPr>
        <w:t>（线上电子招投标）</w:t>
      </w:r>
    </w:p>
    <w:p w14:paraId="4A5ACAE8">
      <w:pPr>
        <w:pStyle w:val="5"/>
        <w:ind w:left="560" w:firstLine="0"/>
        <w:rPr>
          <w:rFonts w:hint="eastAsia" w:ascii="宋体" w:hAnsi="宋体" w:eastAsia="宋体" w:cs="宋体"/>
          <w:highlight w:val="none"/>
        </w:rPr>
      </w:pPr>
    </w:p>
    <w:p w14:paraId="18271062">
      <w:pPr>
        <w:autoSpaceDE w:val="0"/>
        <w:autoSpaceDN w:val="0"/>
        <w:adjustRightInd w:val="0"/>
        <w:snapToGrid w:val="0"/>
        <w:spacing w:before="24" w:beforeLines="10" w:line="360" w:lineRule="auto"/>
        <w:jc w:val="center"/>
        <w:textAlignment w:val="bottom"/>
        <w:rPr>
          <w:rFonts w:hint="eastAsia" w:ascii="宋体" w:hAnsi="宋体" w:cs="宋体"/>
          <w:b/>
          <w:highlight w:val="none"/>
        </w:rPr>
      </w:pPr>
    </w:p>
    <w:p w14:paraId="20457035">
      <w:pPr>
        <w:pStyle w:val="86"/>
        <w:ind w:firstLine="210"/>
        <w:rPr>
          <w:rFonts w:hint="eastAsia" w:ascii="宋体" w:hAnsi="宋体" w:eastAsia="宋体" w:cs="宋体"/>
          <w:highlight w:val="none"/>
        </w:rPr>
      </w:pPr>
    </w:p>
    <w:p w14:paraId="22EE7015">
      <w:pPr>
        <w:pStyle w:val="86"/>
        <w:ind w:firstLine="0" w:firstLineChars="0"/>
        <w:rPr>
          <w:rFonts w:hint="eastAsia" w:ascii="宋体" w:hAnsi="宋体" w:eastAsia="宋体" w:cs="宋体"/>
          <w:highlight w:val="none"/>
        </w:rPr>
      </w:pPr>
    </w:p>
    <w:p w14:paraId="304E8C67">
      <w:pPr>
        <w:autoSpaceDE w:val="0"/>
        <w:autoSpaceDN w:val="0"/>
        <w:adjustRightInd w:val="0"/>
        <w:snapToGrid w:val="0"/>
        <w:spacing w:before="24" w:beforeLines="10" w:line="360" w:lineRule="auto"/>
        <w:jc w:val="center"/>
        <w:textAlignment w:val="bottom"/>
        <w:rPr>
          <w:rFonts w:hint="eastAsia" w:ascii="宋体" w:hAnsi="宋体" w:cs="宋体"/>
          <w:b/>
          <w:highlight w:val="none"/>
        </w:rPr>
      </w:pPr>
    </w:p>
    <w:p w14:paraId="527B2D8E">
      <w:pPr>
        <w:pStyle w:val="99"/>
        <w:rPr>
          <w:rFonts w:hint="eastAsia"/>
        </w:rPr>
      </w:pPr>
    </w:p>
    <w:p w14:paraId="12901604">
      <w:pPr>
        <w:autoSpaceDE w:val="0"/>
        <w:autoSpaceDN w:val="0"/>
        <w:adjustRightInd w:val="0"/>
        <w:snapToGrid w:val="0"/>
        <w:spacing w:line="360" w:lineRule="auto"/>
        <w:ind w:firstLine="361" w:firstLineChars="100"/>
        <w:jc w:val="center"/>
        <w:textAlignment w:val="bottom"/>
        <w:rPr>
          <w:rFonts w:hint="eastAsia" w:ascii="宋体" w:hAnsi="宋体" w:cs="宋体"/>
          <w:b/>
          <w:sz w:val="36"/>
          <w:highlight w:val="none"/>
        </w:rPr>
      </w:pPr>
      <w:r>
        <w:rPr>
          <w:rFonts w:hint="eastAsia" w:ascii="宋体" w:hAnsi="宋体" w:cs="宋体"/>
          <w:b/>
          <w:sz w:val="36"/>
          <w:highlight w:val="none"/>
        </w:rPr>
        <w:t>招   标   人：</w:t>
      </w:r>
      <w:bookmarkStart w:id="0" w:name="OLE_LINK1"/>
      <w:r>
        <w:rPr>
          <w:rFonts w:hint="eastAsia" w:ascii="宋体" w:hAnsi="宋体" w:cs="宋体"/>
          <w:b/>
          <w:sz w:val="36"/>
          <w:highlight w:val="none"/>
          <w:lang w:val="en-US" w:eastAsia="zh-CN"/>
        </w:rPr>
        <w:t>衢州市柯城区九龙幼儿园</w:t>
      </w:r>
      <w:bookmarkEnd w:id="0"/>
    </w:p>
    <w:p w14:paraId="04F65544">
      <w:pPr>
        <w:autoSpaceDE w:val="0"/>
        <w:autoSpaceDN w:val="0"/>
        <w:adjustRightInd w:val="0"/>
        <w:snapToGrid w:val="0"/>
        <w:spacing w:line="360" w:lineRule="auto"/>
        <w:ind w:firstLine="361" w:firstLineChars="100"/>
        <w:jc w:val="center"/>
        <w:textAlignment w:val="bottom"/>
        <w:rPr>
          <w:rFonts w:hint="eastAsia" w:ascii="宋体" w:hAnsi="宋体" w:eastAsia="宋体" w:cs="宋体"/>
          <w:b/>
          <w:sz w:val="36"/>
          <w:highlight w:val="none"/>
          <w:lang w:eastAsia="zh-CN"/>
        </w:rPr>
      </w:pPr>
      <w:r>
        <w:rPr>
          <w:rFonts w:hint="eastAsia" w:ascii="宋体" w:hAnsi="宋体" w:cs="宋体"/>
          <w:b/>
          <w:sz w:val="36"/>
          <w:highlight w:val="none"/>
        </w:rPr>
        <w:t>招标代理机构：</w:t>
      </w:r>
      <w:r>
        <w:rPr>
          <w:rFonts w:hint="eastAsia" w:ascii="宋体" w:hAnsi="宋体" w:cs="宋体"/>
          <w:b/>
          <w:sz w:val="36"/>
          <w:highlight w:val="none"/>
          <w:lang w:eastAsia="zh-CN"/>
        </w:rPr>
        <w:t>欧邦工程管理集团有限公司</w:t>
      </w:r>
    </w:p>
    <w:p w14:paraId="79399120">
      <w:pPr>
        <w:pStyle w:val="50"/>
        <w:spacing w:before="24" w:beforeLines="10" w:line="360" w:lineRule="auto"/>
        <w:ind w:firstLine="361" w:firstLineChars="100"/>
        <w:jc w:val="center"/>
        <w:rPr>
          <w:rFonts w:hint="eastAsia" w:ascii="宋体" w:hAnsi="宋体" w:eastAsia="宋体" w:cs="宋体"/>
          <w:sz w:val="36"/>
          <w:highlight w:val="none"/>
        </w:rPr>
        <w:sectPr>
          <w:headerReference r:id="rId4" w:type="first"/>
          <w:footerReference r:id="rId7" w:type="first"/>
          <w:headerReference r:id="rId3" w:type="default"/>
          <w:footerReference r:id="rId5" w:type="default"/>
          <w:footerReference r:id="rId6" w:type="even"/>
          <w:pgSz w:w="11906" w:h="16838"/>
          <w:pgMar w:top="1440" w:right="1440" w:bottom="1440" w:left="1440" w:header="851" w:footer="851" w:gutter="0"/>
          <w:pgNumType w:start="1"/>
          <w:cols w:space="720" w:num="1"/>
          <w:titlePg/>
          <w:docGrid w:linePitch="381" w:charSpace="0"/>
        </w:sectPr>
      </w:pPr>
      <w:r>
        <w:rPr>
          <w:rFonts w:hint="eastAsia" w:ascii="宋体" w:hAnsi="宋体" w:eastAsia="宋体" w:cs="宋体"/>
          <w:sz w:val="36"/>
          <w:highlight w:val="none"/>
        </w:rPr>
        <w:t>日    期：2025年</w:t>
      </w:r>
      <w:r>
        <w:rPr>
          <w:rFonts w:hint="eastAsia" w:ascii="宋体" w:hAnsi="宋体" w:eastAsia="宋体" w:cs="宋体"/>
          <w:sz w:val="36"/>
          <w:highlight w:val="none"/>
          <w:lang w:val="en-US" w:eastAsia="zh-CN"/>
        </w:rPr>
        <w:t>7</w:t>
      </w:r>
      <w:r>
        <w:rPr>
          <w:rFonts w:hint="eastAsia" w:ascii="宋体" w:hAnsi="宋体" w:eastAsia="宋体" w:cs="宋体"/>
          <w:sz w:val="36"/>
          <w:highlight w:val="none"/>
        </w:rPr>
        <w:t>月</w:t>
      </w:r>
    </w:p>
    <w:p w14:paraId="06211EFB">
      <w:pPr>
        <w:pStyle w:val="50"/>
        <w:spacing w:before="24" w:beforeLines="10" w:line="360" w:lineRule="auto"/>
        <w:ind w:firstLine="360" w:firstLineChars="100"/>
        <w:jc w:val="center"/>
        <w:rPr>
          <w:rFonts w:hint="eastAsia" w:ascii="宋体" w:hAnsi="宋体" w:eastAsia="宋体" w:cs="宋体"/>
          <w:b w:val="0"/>
          <w:sz w:val="36"/>
          <w:highlight w:val="none"/>
        </w:rPr>
      </w:pPr>
      <w:r>
        <w:rPr>
          <w:rFonts w:hint="eastAsia" w:ascii="宋体" w:hAnsi="宋体" w:eastAsia="宋体" w:cs="宋体"/>
          <w:b w:val="0"/>
          <w:sz w:val="36"/>
          <w:highlight w:val="none"/>
        </w:rPr>
        <w:t>目  录</w:t>
      </w:r>
    </w:p>
    <w:p w14:paraId="3FAE36F6">
      <w:pPr>
        <w:rPr>
          <w:rFonts w:hint="eastAsia" w:ascii="宋体" w:hAnsi="宋体" w:cs="宋体"/>
          <w:highlight w:val="none"/>
        </w:rPr>
      </w:pPr>
    </w:p>
    <w:p w14:paraId="197F428D">
      <w:pPr>
        <w:pStyle w:val="59"/>
        <w:tabs>
          <w:tab w:val="right" w:leader="dot" w:pos="9026"/>
          <w:tab w:val="clear" w:pos="8364"/>
        </w:tabs>
        <w:rPr>
          <w:rFonts w:hint="eastAsia" w:ascii="宋体" w:hAnsi="宋体" w:cs="宋体"/>
          <w:sz w:val="24"/>
          <w:szCs w:val="24"/>
          <w:highlight w:val="none"/>
        </w:rPr>
      </w:pPr>
      <w:r>
        <w:rPr>
          <w:rFonts w:hint="eastAsia" w:ascii="宋体" w:hAnsi="宋体" w:cs="宋体"/>
          <w:b w:val="0"/>
          <w:sz w:val="24"/>
          <w:szCs w:val="24"/>
          <w:highlight w:val="none"/>
        </w:rPr>
        <w:fldChar w:fldCharType="begin"/>
      </w:r>
      <w:r>
        <w:rPr>
          <w:rFonts w:hint="eastAsia" w:ascii="宋体" w:hAnsi="宋体" w:cs="宋体"/>
          <w:b w:val="0"/>
          <w:sz w:val="24"/>
          <w:szCs w:val="24"/>
          <w:highlight w:val="none"/>
        </w:rPr>
        <w:instrText xml:space="preserve">TOC \o "1-2" \h \z \u</w:instrText>
      </w:r>
      <w:r>
        <w:rPr>
          <w:rFonts w:hint="eastAsia" w:ascii="宋体" w:hAnsi="宋体" w:cs="宋体"/>
          <w:b w:val="0"/>
          <w:sz w:val="24"/>
          <w:szCs w:val="24"/>
          <w:highlight w:val="none"/>
        </w:rPr>
        <w:fldChar w:fldCharType="separate"/>
      </w:r>
      <w:r>
        <w:rPr>
          <w:highlight w:val="none"/>
        </w:rPr>
        <w:fldChar w:fldCharType="begin"/>
      </w:r>
      <w:r>
        <w:rPr>
          <w:highlight w:val="none"/>
        </w:rPr>
        <w:instrText xml:space="preserve"> HYPERLINK \l "_Toc32624" </w:instrText>
      </w:r>
      <w:r>
        <w:rPr>
          <w:highlight w:val="none"/>
        </w:rPr>
        <w:fldChar w:fldCharType="separate"/>
      </w:r>
      <w:r>
        <w:rPr>
          <w:rFonts w:hint="eastAsia" w:ascii="宋体" w:hAnsi="宋体" w:cs="宋体"/>
          <w:sz w:val="24"/>
          <w:szCs w:val="24"/>
          <w:highlight w:val="none"/>
        </w:rPr>
        <w:t>第一部分  招标公告</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_Toc32624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1</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4228E421">
      <w:pPr>
        <w:pStyle w:val="59"/>
        <w:tabs>
          <w:tab w:val="right" w:leader="dot" w:pos="9026"/>
          <w:tab w:val="clear" w:pos="8364"/>
        </w:tabs>
        <w:rPr>
          <w:rFonts w:hint="eastAsia" w:ascii="宋体" w:hAnsi="宋体" w:cs="宋体"/>
          <w:sz w:val="24"/>
          <w:szCs w:val="24"/>
          <w:highlight w:val="none"/>
        </w:rPr>
      </w:pPr>
      <w:r>
        <w:rPr>
          <w:highlight w:val="none"/>
        </w:rPr>
        <w:fldChar w:fldCharType="begin"/>
      </w:r>
      <w:r>
        <w:rPr>
          <w:highlight w:val="none"/>
        </w:rPr>
        <w:instrText xml:space="preserve"> HYPERLINK \l "_Toc31506" </w:instrText>
      </w:r>
      <w:r>
        <w:rPr>
          <w:highlight w:val="none"/>
        </w:rPr>
        <w:fldChar w:fldCharType="separate"/>
      </w:r>
      <w:r>
        <w:rPr>
          <w:rFonts w:hint="eastAsia" w:ascii="宋体" w:hAnsi="宋体" w:cs="宋体"/>
          <w:sz w:val="24"/>
          <w:szCs w:val="24"/>
          <w:highlight w:val="none"/>
        </w:rPr>
        <w:t>第二部分  投标人须知</w:t>
      </w:r>
      <w:r>
        <w:rPr>
          <w:rFonts w:hint="eastAsia" w:ascii="宋体" w:hAnsi="宋体" w:cs="宋体"/>
          <w:sz w:val="24"/>
          <w:szCs w:val="24"/>
          <w:highlight w:val="none"/>
        </w:rPr>
        <w:tab/>
      </w:r>
      <w:r>
        <w:rPr>
          <w:rFonts w:hint="eastAsia" w:ascii="宋体" w:hAnsi="宋体" w:cs="宋体"/>
          <w:sz w:val="24"/>
          <w:szCs w:val="24"/>
          <w:highlight w:val="none"/>
        </w:rPr>
        <w:t>7</w:t>
      </w:r>
      <w:r>
        <w:rPr>
          <w:rFonts w:hint="eastAsia" w:ascii="宋体" w:hAnsi="宋体" w:cs="宋体"/>
          <w:sz w:val="24"/>
          <w:szCs w:val="24"/>
          <w:highlight w:val="none"/>
        </w:rPr>
        <w:fldChar w:fldCharType="end"/>
      </w:r>
    </w:p>
    <w:p w14:paraId="35C495B7">
      <w:pPr>
        <w:pStyle w:val="59"/>
        <w:tabs>
          <w:tab w:val="right" w:leader="dot" w:pos="9026"/>
          <w:tab w:val="clear" w:pos="8364"/>
        </w:tabs>
        <w:rPr>
          <w:rFonts w:hint="eastAsia" w:ascii="宋体" w:hAnsi="宋体" w:cs="宋体"/>
          <w:sz w:val="24"/>
          <w:szCs w:val="24"/>
          <w:highlight w:val="none"/>
        </w:rPr>
      </w:pPr>
      <w:r>
        <w:rPr>
          <w:highlight w:val="none"/>
        </w:rPr>
        <w:fldChar w:fldCharType="begin"/>
      </w:r>
      <w:r>
        <w:rPr>
          <w:highlight w:val="none"/>
        </w:rPr>
        <w:instrText xml:space="preserve"> HYPERLINK \l "_Toc4895" </w:instrText>
      </w:r>
      <w:r>
        <w:rPr>
          <w:highlight w:val="none"/>
        </w:rPr>
        <w:fldChar w:fldCharType="separate"/>
      </w:r>
      <w:r>
        <w:rPr>
          <w:rFonts w:hint="eastAsia" w:ascii="宋体" w:hAnsi="宋体" w:cs="宋体"/>
          <w:sz w:val="24"/>
          <w:szCs w:val="24"/>
          <w:highlight w:val="none"/>
        </w:rPr>
        <w:t>第三部分  采购需求</w:t>
      </w:r>
      <w:r>
        <w:rPr>
          <w:rFonts w:hint="eastAsia" w:ascii="宋体" w:hAnsi="宋体" w:cs="宋体"/>
          <w:sz w:val="24"/>
          <w:szCs w:val="24"/>
          <w:highlight w:val="none"/>
        </w:rPr>
        <w:tab/>
      </w:r>
      <w:r>
        <w:rPr>
          <w:rFonts w:hint="eastAsia" w:ascii="宋体" w:hAnsi="宋体" w:cs="宋体"/>
          <w:sz w:val="24"/>
          <w:szCs w:val="24"/>
          <w:highlight w:val="none"/>
        </w:rPr>
        <w:t>2</w:t>
      </w:r>
      <w:r>
        <w:rPr>
          <w:rFonts w:hint="eastAsia" w:ascii="宋体" w:hAnsi="宋体" w:cs="宋体"/>
          <w:sz w:val="24"/>
          <w:szCs w:val="24"/>
          <w:highlight w:val="none"/>
        </w:rPr>
        <w:fldChar w:fldCharType="end"/>
      </w:r>
      <w:r>
        <w:rPr>
          <w:rFonts w:hint="eastAsia" w:ascii="宋体" w:hAnsi="宋体" w:cs="宋体"/>
          <w:sz w:val="24"/>
          <w:szCs w:val="24"/>
          <w:highlight w:val="none"/>
        </w:rPr>
        <w:t>5</w:t>
      </w:r>
    </w:p>
    <w:p w14:paraId="51B04B25">
      <w:pPr>
        <w:pStyle w:val="59"/>
        <w:tabs>
          <w:tab w:val="right" w:leader="dot" w:pos="9026"/>
          <w:tab w:val="clear" w:pos="8364"/>
        </w:tabs>
        <w:rPr>
          <w:rFonts w:hint="eastAsia" w:ascii="宋体" w:hAnsi="宋体" w:cs="宋体"/>
          <w:sz w:val="24"/>
          <w:szCs w:val="24"/>
          <w:highlight w:val="none"/>
        </w:rPr>
      </w:pPr>
      <w:r>
        <w:rPr>
          <w:highlight w:val="none"/>
        </w:rPr>
        <w:fldChar w:fldCharType="begin"/>
      </w:r>
      <w:r>
        <w:rPr>
          <w:highlight w:val="none"/>
        </w:rPr>
        <w:instrText xml:space="preserve"> HYPERLINK \l "_Toc1203" </w:instrText>
      </w:r>
      <w:r>
        <w:rPr>
          <w:highlight w:val="none"/>
        </w:rPr>
        <w:fldChar w:fldCharType="separate"/>
      </w:r>
      <w:r>
        <w:rPr>
          <w:rFonts w:hint="eastAsia" w:ascii="宋体" w:hAnsi="宋体" w:cs="宋体"/>
          <w:sz w:val="24"/>
          <w:szCs w:val="24"/>
          <w:highlight w:val="none"/>
        </w:rPr>
        <w:t>第四部分  合同文本</w:t>
      </w:r>
      <w:r>
        <w:rPr>
          <w:rFonts w:hint="eastAsia" w:ascii="宋体" w:hAnsi="宋体" w:cs="宋体"/>
          <w:sz w:val="24"/>
          <w:szCs w:val="24"/>
          <w:highlight w:val="none"/>
        </w:rPr>
        <w:tab/>
      </w:r>
      <w:r>
        <w:rPr>
          <w:rFonts w:hint="eastAsia" w:ascii="宋体" w:hAnsi="宋体" w:cs="宋体"/>
          <w:sz w:val="24"/>
          <w:szCs w:val="24"/>
          <w:highlight w:val="none"/>
        </w:rPr>
        <w:t>2</w:t>
      </w:r>
      <w:r>
        <w:rPr>
          <w:rFonts w:hint="eastAsia" w:ascii="宋体" w:hAnsi="宋体" w:cs="宋体"/>
          <w:sz w:val="24"/>
          <w:szCs w:val="24"/>
          <w:highlight w:val="none"/>
        </w:rPr>
        <w:fldChar w:fldCharType="end"/>
      </w:r>
      <w:r>
        <w:rPr>
          <w:rFonts w:hint="eastAsia" w:ascii="宋体" w:hAnsi="宋体" w:cs="宋体"/>
          <w:sz w:val="24"/>
          <w:szCs w:val="24"/>
          <w:highlight w:val="none"/>
        </w:rPr>
        <w:t>7</w:t>
      </w:r>
    </w:p>
    <w:p w14:paraId="733FB716">
      <w:pPr>
        <w:pStyle w:val="74"/>
        <w:tabs>
          <w:tab w:val="right" w:leader="dot" w:pos="9026"/>
          <w:tab w:val="clear" w:pos="8364"/>
        </w:tabs>
        <w:ind w:left="0"/>
        <w:rPr>
          <w:rFonts w:hint="eastAsia" w:ascii="宋体" w:hAnsi="宋体" w:eastAsia="宋体" w:cs="宋体"/>
          <w:szCs w:val="24"/>
          <w:highlight w:val="none"/>
        </w:rPr>
      </w:pPr>
      <w:r>
        <w:rPr>
          <w:rFonts w:hint="eastAsia" w:ascii="宋体" w:hAnsi="宋体" w:eastAsia="宋体" w:cs="宋体"/>
          <w:caps/>
          <w:smallCaps w:val="0"/>
          <w:szCs w:val="24"/>
          <w:highlight w:val="none"/>
        </w:rPr>
        <w:t xml:space="preserve">第五部分  </w:t>
      </w:r>
      <w:r>
        <w:rPr>
          <w:highlight w:val="none"/>
        </w:rPr>
        <w:fldChar w:fldCharType="begin"/>
      </w:r>
      <w:r>
        <w:rPr>
          <w:highlight w:val="none"/>
        </w:rPr>
        <w:instrText xml:space="preserve"> HYPERLINK \l "_Toc2553" </w:instrText>
      </w:r>
      <w:r>
        <w:rPr>
          <w:highlight w:val="none"/>
        </w:rPr>
        <w:fldChar w:fldCharType="separate"/>
      </w:r>
      <w:r>
        <w:rPr>
          <w:rFonts w:hint="eastAsia" w:ascii="宋体" w:hAnsi="宋体" w:eastAsia="宋体" w:cs="宋体"/>
          <w:caps/>
          <w:smallCaps w:val="0"/>
          <w:szCs w:val="24"/>
          <w:highlight w:val="none"/>
        </w:rPr>
        <w:t>投标文件部分格式文件</w:t>
      </w:r>
      <w:r>
        <w:rPr>
          <w:rFonts w:hint="eastAsia" w:ascii="宋体" w:hAnsi="宋体" w:eastAsia="宋体" w:cs="宋体"/>
          <w:caps/>
          <w:smallCaps w:val="0"/>
          <w:szCs w:val="24"/>
          <w:highlight w:val="none"/>
        </w:rPr>
        <w:tab/>
      </w:r>
      <w:r>
        <w:rPr>
          <w:rFonts w:hint="eastAsia" w:ascii="宋体" w:hAnsi="宋体" w:eastAsia="宋体" w:cs="宋体"/>
          <w:caps/>
          <w:smallCaps w:val="0"/>
          <w:szCs w:val="24"/>
          <w:highlight w:val="none"/>
        </w:rPr>
        <w:fldChar w:fldCharType="end"/>
      </w:r>
      <w:r>
        <w:rPr>
          <w:rFonts w:hint="eastAsia" w:ascii="宋体" w:hAnsi="宋体" w:eastAsia="宋体" w:cs="宋体"/>
          <w:caps/>
          <w:smallCaps w:val="0"/>
          <w:szCs w:val="24"/>
          <w:highlight w:val="none"/>
        </w:rPr>
        <w:t>30</w:t>
      </w:r>
    </w:p>
    <w:p w14:paraId="6E5FAF5D">
      <w:pPr>
        <w:pStyle w:val="59"/>
        <w:tabs>
          <w:tab w:val="right" w:leader="dot" w:pos="9026"/>
          <w:tab w:val="clear" w:pos="8364"/>
        </w:tabs>
        <w:rPr>
          <w:rFonts w:hint="eastAsia" w:ascii="宋体" w:hAnsi="宋体" w:cs="宋体"/>
          <w:sz w:val="24"/>
          <w:szCs w:val="24"/>
          <w:highlight w:val="none"/>
        </w:rPr>
      </w:pPr>
      <w:r>
        <w:rPr>
          <w:highlight w:val="none"/>
        </w:rPr>
        <w:fldChar w:fldCharType="begin"/>
      </w:r>
      <w:r>
        <w:rPr>
          <w:highlight w:val="none"/>
        </w:rPr>
        <w:instrText xml:space="preserve"> HYPERLINK \l "_Toc15453" </w:instrText>
      </w:r>
      <w:r>
        <w:rPr>
          <w:highlight w:val="none"/>
        </w:rPr>
        <w:fldChar w:fldCharType="separate"/>
      </w:r>
      <w:r>
        <w:rPr>
          <w:rFonts w:hint="eastAsia" w:ascii="宋体" w:hAnsi="宋体" w:cs="宋体"/>
          <w:sz w:val="24"/>
          <w:szCs w:val="24"/>
          <w:highlight w:val="none"/>
        </w:rPr>
        <w:t>第六部分  评分办法</w:t>
      </w:r>
      <w:r>
        <w:rPr>
          <w:rFonts w:hint="eastAsia" w:ascii="宋体" w:hAnsi="宋体" w:cs="宋体"/>
          <w:sz w:val="24"/>
          <w:szCs w:val="24"/>
          <w:highlight w:val="none"/>
        </w:rPr>
        <w:tab/>
      </w:r>
      <w:r>
        <w:rPr>
          <w:rFonts w:hint="eastAsia" w:ascii="宋体" w:hAnsi="宋体" w:cs="宋体"/>
          <w:sz w:val="24"/>
          <w:szCs w:val="24"/>
          <w:highlight w:val="none"/>
        </w:rPr>
        <w:t>4</w:t>
      </w:r>
      <w:r>
        <w:rPr>
          <w:rFonts w:hint="eastAsia" w:ascii="宋体" w:hAnsi="宋体" w:cs="宋体"/>
          <w:sz w:val="24"/>
          <w:szCs w:val="24"/>
          <w:highlight w:val="none"/>
        </w:rPr>
        <w:fldChar w:fldCharType="end"/>
      </w:r>
      <w:r>
        <w:rPr>
          <w:rFonts w:hint="eastAsia" w:ascii="宋体" w:hAnsi="宋体" w:cs="宋体"/>
          <w:sz w:val="24"/>
          <w:szCs w:val="24"/>
          <w:highlight w:val="none"/>
        </w:rPr>
        <w:t>7</w:t>
      </w:r>
    </w:p>
    <w:p w14:paraId="67D78409">
      <w:pPr>
        <w:rPr>
          <w:rFonts w:hint="eastAsia" w:ascii="宋体" w:hAnsi="宋体" w:cs="宋体"/>
          <w:sz w:val="24"/>
          <w:szCs w:val="24"/>
          <w:highlight w:val="none"/>
        </w:rPr>
      </w:pPr>
    </w:p>
    <w:p w14:paraId="03266705">
      <w:pPr>
        <w:pStyle w:val="45"/>
        <w:pageBreakBefore/>
        <w:adjustRightInd w:val="0"/>
        <w:snapToGrid w:val="0"/>
        <w:spacing w:line="360" w:lineRule="auto"/>
        <w:jc w:val="center"/>
        <w:outlineLvl w:val="0"/>
        <w:rPr>
          <w:rFonts w:hint="eastAsia" w:hAnsi="宋体" w:cs="宋体"/>
          <w:sz w:val="24"/>
          <w:szCs w:val="24"/>
          <w:highlight w:val="none"/>
        </w:rPr>
        <w:sectPr>
          <w:footerReference r:id="rId9" w:type="first"/>
          <w:footerReference r:id="rId8" w:type="default"/>
          <w:pgSz w:w="11906" w:h="16838"/>
          <w:pgMar w:top="1440" w:right="1440" w:bottom="1440" w:left="1440" w:header="851" w:footer="851" w:gutter="0"/>
          <w:pgNumType w:start="1"/>
          <w:cols w:space="720" w:num="1"/>
          <w:docGrid w:linePitch="381" w:charSpace="0"/>
        </w:sectPr>
      </w:pPr>
    </w:p>
    <w:p w14:paraId="51F133D8">
      <w:pPr>
        <w:pStyle w:val="45"/>
        <w:pageBreakBefore/>
        <w:adjustRightInd w:val="0"/>
        <w:snapToGrid w:val="0"/>
        <w:spacing w:line="360" w:lineRule="auto"/>
        <w:jc w:val="center"/>
        <w:outlineLvl w:val="0"/>
        <w:rPr>
          <w:rFonts w:hint="eastAsia" w:hAnsi="宋体" w:cs="宋体"/>
          <w:b/>
          <w:sz w:val="36"/>
          <w:highlight w:val="none"/>
        </w:rPr>
      </w:pPr>
      <w:r>
        <w:rPr>
          <w:rFonts w:hint="eastAsia" w:hAnsi="宋体" w:cs="宋体"/>
          <w:sz w:val="24"/>
          <w:szCs w:val="24"/>
          <w:highlight w:val="none"/>
        </w:rPr>
        <w:fldChar w:fldCharType="end"/>
      </w:r>
      <w:bookmarkStart w:id="1" w:name="_Toc32624"/>
      <w:r>
        <w:rPr>
          <w:rFonts w:hint="eastAsia" w:hAnsi="宋体" w:cs="宋体"/>
          <w:b/>
          <w:sz w:val="36"/>
          <w:highlight w:val="none"/>
        </w:rPr>
        <w:t xml:space="preserve"> 第一部分  招标公告</w:t>
      </w:r>
      <w:bookmarkEnd w:id="1"/>
      <w:bookmarkStart w:id="2" w:name="_Toc225840107"/>
    </w:p>
    <w:tbl>
      <w:tblPr>
        <w:tblStyle w:val="89"/>
        <w:tblW w:w="9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3"/>
      </w:tblGrid>
      <w:tr w14:paraId="13322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3" w:type="dxa"/>
          </w:tcPr>
          <w:p w14:paraId="2D5ED8DC">
            <w:pPr>
              <w:pStyle w:val="81"/>
              <w:spacing w:before="0" w:beforeAutospacing="0" w:after="0" w:afterAutospacing="0" w:line="400" w:lineRule="exact"/>
              <w:rPr>
                <w:rFonts w:hint="eastAsia" w:cs="宋体"/>
                <w:szCs w:val="24"/>
                <w:highlight w:val="none"/>
              </w:rPr>
            </w:pPr>
            <w:r>
              <w:rPr>
                <w:rFonts w:hint="eastAsia" w:cs="宋体"/>
                <w:szCs w:val="24"/>
                <w:highlight w:val="none"/>
              </w:rPr>
              <w:t>项目概况：</w:t>
            </w:r>
          </w:p>
          <w:p w14:paraId="2AB23F46">
            <w:pPr>
              <w:pStyle w:val="81"/>
              <w:spacing w:before="0" w:beforeAutospacing="0" w:after="0" w:afterAutospacing="0" w:line="400" w:lineRule="exact"/>
              <w:ind w:firstLine="480" w:firstLineChars="200"/>
              <w:rPr>
                <w:rFonts w:hint="eastAsia" w:cs="宋体"/>
                <w:b/>
                <w:bCs/>
                <w:szCs w:val="24"/>
                <w:highlight w:val="none"/>
              </w:rPr>
            </w:pPr>
            <w:r>
              <w:rPr>
                <w:rFonts w:hint="eastAsia" w:cs="宋体"/>
                <w:szCs w:val="24"/>
                <w:highlight w:val="none"/>
                <w:u w:val="single"/>
                <w:lang w:eastAsia="zh-CN"/>
              </w:rPr>
              <w:t>衢州市柯城区九龙幼儿园悦澜湾园区智能化提升工程及设施设备采购-网络系统改造及班级一体机采购</w:t>
            </w:r>
            <w:r>
              <w:rPr>
                <w:rFonts w:hint="eastAsia" w:cs="宋体"/>
                <w:szCs w:val="24"/>
                <w:highlight w:val="none"/>
              </w:rPr>
              <w:t>的潜在投标人应在政采云平台（http://zfcg.czt.zj.gov.cn）获取（下载）招标文件，并于2025年</w:t>
            </w:r>
            <w:r>
              <w:rPr>
                <w:rFonts w:hint="eastAsia" w:cs="宋体"/>
                <w:szCs w:val="24"/>
                <w:highlight w:val="none"/>
                <w:lang w:val="en-US" w:eastAsia="zh-CN"/>
              </w:rPr>
              <w:t xml:space="preserve">7 </w:t>
            </w:r>
            <w:r>
              <w:rPr>
                <w:rFonts w:hint="eastAsia" w:cs="宋体"/>
                <w:szCs w:val="24"/>
                <w:highlight w:val="none"/>
              </w:rPr>
              <w:t>月</w:t>
            </w:r>
            <w:r>
              <w:rPr>
                <w:rFonts w:hint="eastAsia" w:cs="宋体"/>
                <w:szCs w:val="24"/>
                <w:highlight w:val="none"/>
                <w:lang w:val="en-US" w:eastAsia="zh-CN"/>
              </w:rPr>
              <w:t>28</w:t>
            </w:r>
            <w:r>
              <w:rPr>
                <w:rFonts w:hint="eastAsia" w:cs="宋体"/>
                <w:szCs w:val="24"/>
                <w:highlight w:val="none"/>
              </w:rPr>
              <w:t>日</w:t>
            </w:r>
            <w:r>
              <w:rPr>
                <w:rFonts w:hint="eastAsia" w:cs="宋体"/>
                <w:szCs w:val="24"/>
                <w:highlight w:val="none"/>
                <w:lang w:val="en-US" w:eastAsia="zh-CN"/>
              </w:rPr>
              <w:t>09</w:t>
            </w:r>
            <w:r>
              <w:rPr>
                <w:rFonts w:hint="eastAsia" w:cs="宋体"/>
                <w:szCs w:val="24"/>
                <w:highlight w:val="none"/>
              </w:rPr>
              <w:t>:</w:t>
            </w:r>
            <w:r>
              <w:rPr>
                <w:rFonts w:hint="eastAsia" w:cs="宋体"/>
                <w:szCs w:val="24"/>
                <w:highlight w:val="none"/>
                <w:lang w:val="en-US" w:eastAsia="zh-CN"/>
              </w:rPr>
              <w:t>30</w:t>
            </w:r>
            <w:r>
              <w:rPr>
                <w:rFonts w:hint="eastAsia" w:cs="宋体"/>
                <w:szCs w:val="24"/>
                <w:highlight w:val="none"/>
              </w:rPr>
              <w:t>（北京时间）前提交（上传）投标文件。</w:t>
            </w:r>
          </w:p>
        </w:tc>
      </w:tr>
    </w:tbl>
    <w:p w14:paraId="0540854A">
      <w:pPr>
        <w:numPr>
          <w:ilvl w:val="0"/>
          <w:numId w:val="2"/>
        </w:numPr>
        <w:autoSpaceDE w:val="0"/>
        <w:autoSpaceDN w:val="0"/>
        <w:adjustRightInd w:val="0"/>
        <w:spacing w:line="440" w:lineRule="exact"/>
        <w:ind w:right="-23" w:firstLine="482" w:firstLineChars="200"/>
        <w:rPr>
          <w:rStyle w:val="91"/>
          <w:rFonts w:hint="eastAsia" w:ascii="宋体" w:hAnsi="宋体" w:cs="宋体"/>
          <w:sz w:val="24"/>
          <w:szCs w:val="24"/>
          <w:highlight w:val="none"/>
        </w:rPr>
      </w:pPr>
      <w:r>
        <w:rPr>
          <w:rStyle w:val="91"/>
          <w:rFonts w:hint="eastAsia" w:ascii="宋体" w:hAnsi="宋体" w:cs="宋体"/>
          <w:sz w:val="24"/>
          <w:szCs w:val="24"/>
          <w:highlight w:val="none"/>
        </w:rPr>
        <w:t>项目基本情况</w:t>
      </w:r>
    </w:p>
    <w:p w14:paraId="17462806">
      <w:pPr>
        <w:pStyle w:val="87"/>
        <w:spacing w:after="0" w:line="440" w:lineRule="exact"/>
        <w:ind w:left="0" w:leftChars="0" w:firstLine="480"/>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项目编号：</w:t>
      </w:r>
      <w:r>
        <w:rPr>
          <w:rFonts w:hint="eastAsia" w:ascii="宋体" w:hAnsi="宋体" w:eastAsia="宋体" w:cs="宋体"/>
          <w:kern w:val="0"/>
          <w:sz w:val="24"/>
          <w:szCs w:val="24"/>
          <w:highlight w:val="none"/>
          <w:lang w:eastAsia="zh-CN"/>
        </w:rPr>
        <w:t>QZOB-2025-072</w:t>
      </w:r>
    </w:p>
    <w:p w14:paraId="797A343C">
      <w:pPr>
        <w:autoSpaceDE w:val="0"/>
        <w:autoSpaceDN w:val="0"/>
        <w:adjustRightInd w:val="0"/>
        <w:spacing w:line="440" w:lineRule="exact"/>
        <w:ind w:right="-20"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项目名称：</w:t>
      </w:r>
      <w:r>
        <w:rPr>
          <w:rFonts w:hint="eastAsia" w:ascii="宋体" w:hAnsi="宋体" w:cs="宋体"/>
          <w:sz w:val="24"/>
          <w:szCs w:val="24"/>
          <w:highlight w:val="none"/>
          <w:lang w:eastAsia="zh-CN"/>
        </w:rPr>
        <w:t>衢州市柯城区九龙幼儿园悦澜湾园区智能化提升工程及设施设备采购-网络系统改造及班级一体机采购</w:t>
      </w:r>
    </w:p>
    <w:p w14:paraId="6032DBA1">
      <w:pPr>
        <w:autoSpaceDE w:val="0"/>
        <w:autoSpaceDN w:val="0"/>
        <w:adjustRightInd w:val="0"/>
        <w:spacing w:line="440" w:lineRule="exact"/>
        <w:ind w:right="-20" w:firstLine="480" w:firstLineChars="200"/>
        <w:rPr>
          <w:rFonts w:hint="default" w:ascii="宋体" w:hAnsi="宋体" w:eastAsia="宋体" w:cs="宋体"/>
          <w:sz w:val="24"/>
          <w:szCs w:val="24"/>
          <w:highlight w:val="none"/>
          <w:lang w:val="en-US" w:eastAsia="zh-CN"/>
        </w:rPr>
      </w:pPr>
      <w:r>
        <w:rPr>
          <w:rFonts w:hint="eastAsia" w:ascii="宋体" w:hAnsi="宋体" w:cs="宋体"/>
          <w:sz w:val="24"/>
          <w:szCs w:val="24"/>
          <w:highlight w:val="none"/>
        </w:rPr>
        <w:t>预算金额（元）：</w:t>
      </w:r>
      <w:r>
        <w:rPr>
          <w:rFonts w:hint="eastAsia" w:ascii="宋体" w:hAnsi="宋体" w:cs="宋体"/>
          <w:sz w:val="24"/>
          <w:szCs w:val="24"/>
          <w:highlight w:val="none"/>
          <w:lang w:val="en-US" w:eastAsia="zh-CN"/>
        </w:rPr>
        <w:t>292386</w:t>
      </w:r>
    </w:p>
    <w:p w14:paraId="1A2096D1">
      <w:pPr>
        <w:autoSpaceDE w:val="0"/>
        <w:autoSpaceDN w:val="0"/>
        <w:adjustRightInd w:val="0"/>
        <w:spacing w:line="440" w:lineRule="exact"/>
        <w:ind w:right="-20" w:firstLine="480" w:firstLineChars="200"/>
        <w:rPr>
          <w:rFonts w:hint="default" w:ascii="宋体" w:hAnsi="宋体" w:eastAsia="宋体" w:cs="宋体"/>
          <w:sz w:val="24"/>
          <w:szCs w:val="24"/>
          <w:highlight w:val="none"/>
          <w:lang w:val="en-US" w:eastAsia="zh-CN"/>
        </w:rPr>
      </w:pPr>
      <w:r>
        <w:rPr>
          <w:rFonts w:hint="eastAsia" w:ascii="宋体" w:hAnsi="宋体" w:cs="宋体"/>
          <w:sz w:val="24"/>
          <w:szCs w:val="24"/>
          <w:highlight w:val="none"/>
        </w:rPr>
        <w:t>最高限价（元）：</w:t>
      </w:r>
      <w:r>
        <w:rPr>
          <w:rFonts w:hint="eastAsia" w:ascii="宋体" w:hAnsi="宋体" w:cs="宋体"/>
          <w:sz w:val="24"/>
          <w:szCs w:val="22"/>
          <w:highlight w:val="none"/>
          <w:lang w:val="en-US" w:eastAsia="zh-CN"/>
        </w:rPr>
        <w:t>293286</w:t>
      </w:r>
    </w:p>
    <w:p w14:paraId="6F4695E8">
      <w:pPr>
        <w:autoSpaceDE w:val="0"/>
        <w:autoSpaceDN w:val="0"/>
        <w:adjustRightInd w:val="0"/>
        <w:spacing w:line="440" w:lineRule="exact"/>
        <w:ind w:right="-20"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标项一</w:t>
      </w:r>
    </w:p>
    <w:p w14:paraId="01F1D827">
      <w:pPr>
        <w:autoSpaceDE w:val="0"/>
        <w:autoSpaceDN w:val="0"/>
        <w:adjustRightInd w:val="0"/>
        <w:spacing w:line="440" w:lineRule="exact"/>
        <w:ind w:right="-20"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 xml:space="preserve">标项名称: </w:t>
      </w:r>
      <w:r>
        <w:rPr>
          <w:rFonts w:hint="eastAsia" w:ascii="宋体" w:hAnsi="宋体" w:cs="宋体"/>
          <w:sz w:val="24"/>
          <w:szCs w:val="24"/>
          <w:highlight w:val="none"/>
          <w:lang w:eastAsia="zh-CN"/>
        </w:rPr>
        <w:t>衢州市柯城区九龙幼儿园悦澜湾园区智能化提升工程及设施设备采购-网络系统改造及班级一体机采购</w:t>
      </w:r>
    </w:p>
    <w:p w14:paraId="35FDEED1">
      <w:pPr>
        <w:autoSpaceDE w:val="0"/>
        <w:autoSpaceDN w:val="0"/>
        <w:adjustRightInd w:val="0"/>
        <w:spacing w:line="440" w:lineRule="exact"/>
        <w:ind w:right="-20"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数量: 1  </w:t>
      </w:r>
    </w:p>
    <w:p w14:paraId="69BF8691">
      <w:pPr>
        <w:autoSpaceDE w:val="0"/>
        <w:autoSpaceDN w:val="0"/>
        <w:adjustRightInd w:val="0"/>
        <w:spacing w:line="440" w:lineRule="exact"/>
        <w:ind w:right="-20" w:firstLine="480" w:firstLineChars="200"/>
        <w:rPr>
          <w:rFonts w:hint="eastAsia" w:ascii="宋体" w:hAnsi="宋体" w:cs="宋体"/>
          <w:sz w:val="24"/>
          <w:szCs w:val="24"/>
          <w:highlight w:val="none"/>
        </w:rPr>
      </w:pPr>
      <w:r>
        <w:rPr>
          <w:rFonts w:hint="eastAsia" w:ascii="宋体" w:hAnsi="宋体" w:cs="宋体"/>
          <w:sz w:val="24"/>
          <w:szCs w:val="24"/>
          <w:highlight w:val="none"/>
        </w:rPr>
        <w:t>预算金额（元）:</w:t>
      </w:r>
      <w:r>
        <w:rPr>
          <w:rFonts w:hint="eastAsia" w:ascii="宋体" w:hAnsi="宋体" w:cs="宋体"/>
          <w:sz w:val="24"/>
          <w:szCs w:val="22"/>
          <w:highlight w:val="none"/>
          <w:lang w:val="en-US" w:eastAsia="zh-CN"/>
        </w:rPr>
        <w:t>293286</w:t>
      </w:r>
    </w:p>
    <w:p w14:paraId="739A53D2">
      <w:pPr>
        <w:autoSpaceDE w:val="0"/>
        <w:autoSpaceDN w:val="0"/>
        <w:adjustRightInd w:val="0"/>
        <w:spacing w:line="440" w:lineRule="exact"/>
        <w:ind w:right="-20" w:firstLine="480" w:firstLineChars="200"/>
        <w:rPr>
          <w:rFonts w:hint="eastAsia" w:ascii="宋体" w:hAnsi="宋体" w:cs="宋体"/>
          <w:sz w:val="24"/>
          <w:szCs w:val="24"/>
          <w:highlight w:val="none"/>
        </w:rPr>
      </w:pPr>
      <w:r>
        <w:rPr>
          <w:rFonts w:hint="eastAsia" w:ascii="宋体" w:hAnsi="宋体" w:cs="宋体"/>
          <w:sz w:val="24"/>
          <w:szCs w:val="24"/>
          <w:highlight w:val="none"/>
        </w:rPr>
        <w:t>简要规格描述或项目基本概况介绍、用途：主要针对</w:t>
      </w:r>
      <w:r>
        <w:rPr>
          <w:rFonts w:hint="eastAsia" w:ascii="宋体" w:hAnsi="宋体" w:cs="宋体"/>
          <w:sz w:val="24"/>
          <w:szCs w:val="24"/>
          <w:highlight w:val="none"/>
          <w:lang w:eastAsia="zh-CN"/>
        </w:rPr>
        <w:t>衢州市柯城区九龙幼儿园悦澜湾园区智能化提升工程及设施设备采购-网络系统改造及班级一体机采购</w:t>
      </w:r>
      <w:r>
        <w:rPr>
          <w:rFonts w:hint="eastAsia" w:ascii="宋体" w:hAnsi="宋体" w:cs="宋体"/>
          <w:sz w:val="24"/>
          <w:szCs w:val="24"/>
          <w:highlight w:val="none"/>
        </w:rPr>
        <w:t>（具体详见第三部分 采购需求）。</w:t>
      </w:r>
    </w:p>
    <w:p w14:paraId="028E95C1">
      <w:pPr>
        <w:snapToGrid w:val="0"/>
        <w:spacing w:line="420" w:lineRule="exact"/>
        <w:ind w:firstLine="480" w:firstLineChars="200"/>
        <w:jc w:val="left"/>
        <w:outlineLvl w:val="0"/>
        <w:rPr>
          <w:rFonts w:hint="eastAsia" w:ascii="宋体" w:hAnsi="宋体" w:cs="宋体"/>
          <w:sz w:val="24"/>
          <w:szCs w:val="24"/>
          <w:highlight w:val="none"/>
        </w:rPr>
      </w:pPr>
      <w:r>
        <w:rPr>
          <w:rFonts w:hint="eastAsia" w:ascii="宋体" w:hAnsi="宋体" w:cs="宋体"/>
          <w:sz w:val="24"/>
          <w:szCs w:val="24"/>
          <w:highlight w:val="none"/>
        </w:rPr>
        <w:t>合同履约期限:合同签订之日起30天内完成供货、安装、调试并验收合格。</w:t>
      </w:r>
    </w:p>
    <w:p w14:paraId="3313C755">
      <w:pPr>
        <w:autoSpaceDE w:val="0"/>
        <w:autoSpaceDN w:val="0"/>
        <w:adjustRightInd w:val="0"/>
        <w:spacing w:line="288" w:lineRule="auto"/>
        <w:ind w:right="-20" w:firstLine="480" w:firstLineChars="200"/>
        <w:rPr>
          <w:rFonts w:hint="eastAsia" w:ascii="宋体" w:hAnsi="宋体"/>
          <w:sz w:val="24"/>
          <w:highlight w:val="none"/>
        </w:rPr>
      </w:pPr>
      <w:r>
        <w:rPr>
          <w:rFonts w:hint="eastAsia" w:ascii="宋体" w:hAnsi="宋体"/>
          <w:sz w:val="24"/>
          <w:highlight w:val="none"/>
        </w:rPr>
        <w:t>本项目（否）接受联合体投标。</w:t>
      </w:r>
    </w:p>
    <w:p w14:paraId="18D2E6E5">
      <w:pPr>
        <w:autoSpaceDE w:val="0"/>
        <w:autoSpaceDN w:val="0"/>
        <w:adjustRightInd w:val="0"/>
        <w:spacing w:line="440" w:lineRule="exact"/>
        <w:ind w:right="-23" w:firstLine="482" w:firstLineChars="200"/>
        <w:rPr>
          <w:rFonts w:hint="eastAsia" w:ascii="宋体" w:hAnsi="宋体" w:cs="宋体"/>
          <w:sz w:val="24"/>
          <w:szCs w:val="24"/>
          <w:highlight w:val="none"/>
        </w:rPr>
      </w:pPr>
      <w:r>
        <w:rPr>
          <w:rStyle w:val="91"/>
          <w:rFonts w:hint="eastAsia" w:ascii="宋体" w:hAnsi="宋体" w:cs="宋体"/>
          <w:sz w:val="24"/>
          <w:szCs w:val="24"/>
          <w:highlight w:val="none"/>
        </w:rPr>
        <w:t>二、申请人的资格要求</w:t>
      </w:r>
    </w:p>
    <w:p w14:paraId="6DF08F98">
      <w:pPr>
        <w:autoSpaceDE w:val="0"/>
        <w:autoSpaceDN w:val="0"/>
        <w:adjustRightInd w:val="0"/>
        <w:spacing w:line="440" w:lineRule="exact"/>
        <w:ind w:right="-23"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 1.满足《中华人民共和国政府采购法》第二十二条规定；未被“信用中国”（www.creditchina.gov.cn)、中国政府采购网（www.ccgp.gov.cn）列入失信被执行人、重大税收违法案件当事人名单、政府采购严重违法失信行为记录名单。</w:t>
      </w:r>
    </w:p>
    <w:p w14:paraId="40C1A118">
      <w:pPr>
        <w:autoSpaceDE w:val="0"/>
        <w:autoSpaceDN w:val="0"/>
        <w:adjustRightInd w:val="0"/>
        <w:spacing w:line="440" w:lineRule="exact"/>
        <w:ind w:right="-20" w:firstLine="480" w:firstLineChars="200"/>
        <w:rPr>
          <w:rFonts w:hint="eastAsia" w:ascii="宋体" w:hAnsi="宋体" w:cs="宋体"/>
          <w:b/>
          <w:bCs/>
          <w:sz w:val="24"/>
          <w:szCs w:val="24"/>
          <w:highlight w:val="none"/>
        </w:rPr>
      </w:pPr>
      <w:r>
        <w:rPr>
          <w:rFonts w:hint="eastAsia" w:ascii="宋体" w:hAnsi="宋体" w:cs="宋体"/>
          <w:sz w:val="24"/>
          <w:szCs w:val="24"/>
          <w:highlight w:val="none"/>
        </w:rPr>
        <w:t>2.落实政府采购政策需满足的资格要求：无</w:t>
      </w:r>
      <w:r>
        <w:rPr>
          <w:rFonts w:hint="eastAsia" w:ascii="宋体" w:hAnsi="宋体" w:cs="宋体"/>
          <w:b/>
          <w:bCs/>
          <w:sz w:val="24"/>
          <w:szCs w:val="24"/>
          <w:highlight w:val="none"/>
        </w:rPr>
        <w:t>。</w:t>
      </w:r>
    </w:p>
    <w:p w14:paraId="5F4DFEB1">
      <w:pPr>
        <w:autoSpaceDE w:val="0"/>
        <w:autoSpaceDN w:val="0"/>
        <w:adjustRightInd w:val="0"/>
        <w:spacing w:line="440" w:lineRule="exact"/>
        <w:ind w:right="-23" w:firstLine="480" w:firstLineChars="200"/>
        <w:rPr>
          <w:rFonts w:hint="eastAsia" w:ascii="宋体" w:hAnsi="宋体" w:cs="宋体"/>
          <w:sz w:val="24"/>
          <w:szCs w:val="24"/>
          <w:highlight w:val="none"/>
        </w:rPr>
      </w:pPr>
      <w:r>
        <w:rPr>
          <w:rFonts w:hint="eastAsia" w:ascii="宋体" w:hAnsi="宋体" w:cs="宋体"/>
          <w:sz w:val="24"/>
          <w:szCs w:val="24"/>
          <w:highlight w:val="none"/>
        </w:rPr>
        <w:t>3.本项目的特定资格要求：</w:t>
      </w:r>
    </w:p>
    <w:p w14:paraId="4E30B87F">
      <w:pPr>
        <w:autoSpaceDE w:val="0"/>
        <w:autoSpaceDN w:val="0"/>
        <w:adjustRightInd w:val="0"/>
        <w:spacing w:line="360" w:lineRule="exact"/>
        <w:ind w:right="-20" w:firstLine="480" w:firstLineChars="200"/>
        <w:rPr>
          <w:rFonts w:hint="eastAsia" w:ascii="宋体" w:hAnsi="宋体" w:cs="宋体"/>
          <w:sz w:val="24"/>
          <w:szCs w:val="24"/>
          <w:highlight w:val="none"/>
        </w:rPr>
      </w:pPr>
      <w:r>
        <w:rPr>
          <w:rFonts w:hint="eastAsia" w:ascii="宋体" w:hAnsi="宋体" w:cs="宋体"/>
          <w:kern w:val="0"/>
          <w:sz w:val="24"/>
          <w:szCs w:val="24"/>
          <w:highlight w:val="none"/>
        </w:rPr>
        <w:t>（1）单位负责人为同一人或者存在直接控股、管理关系的不同投标人，不得参加同一合同项下的政府采购活动</w:t>
      </w:r>
      <w:r>
        <w:rPr>
          <w:rFonts w:hint="eastAsia" w:ascii="宋体" w:hAnsi="宋体" w:cs="宋体"/>
          <w:kern w:val="0"/>
          <w:sz w:val="24"/>
          <w:highlight w:val="none"/>
        </w:rPr>
        <w:t>；</w:t>
      </w:r>
    </w:p>
    <w:p w14:paraId="3E22C511">
      <w:pPr>
        <w:autoSpaceDE w:val="0"/>
        <w:autoSpaceDN w:val="0"/>
        <w:adjustRightInd w:val="0"/>
        <w:spacing w:line="440" w:lineRule="exact"/>
        <w:ind w:right="-20"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（2）根据《关于规范政府采购投标人资格设定及资格审查的通知》（浙财采监[2013]24 号）第 6 条规定接受金融、保险、通讯等特定行业的全国性企业所设立的区域性分支机构以及个体工商户、个人独资企业、合伙企业（应依法办理了工商、税务和社保登记手续，并且获得总公司（总机构）授权或能够提供房产权证或其他有效财产证明材料（在投标文件中提供相关材料），能证明其具备实际承担责任的能力和法定的缔结合同能力，可以独立参加政府采购活动，由单位负责人签署相关文件材料）；</w:t>
      </w:r>
    </w:p>
    <w:p w14:paraId="56EEEA5A">
      <w:pPr>
        <w:autoSpaceDE w:val="0"/>
        <w:autoSpaceDN w:val="0"/>
        <w:adjustRightInd w:val="0"/>
        <w:spacing w:line="440" w:lineRule="exact"/>
        <w:ind w:right="-23"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（3）</w:t>
      </w:r>
      <w:r>
        <w:rPr>
          <w:rFonts w:hint="eastAsia" w:ascii="宋体" w:hAnsi="宋体" w:cs="宋体"/>
          <w:kern w:val="0"/>
          <w:sz w:val="24"/>
          <w:highlight w:val="none"/>
        </w:rPr>
        <w:t>非联合体投标。</w:t>
      </w:r>
    </w:p>
    <w:p w14:paraId="26A15BFC">
      <w:pPr>
        <w:autoSpaceDE w:val="0"/>
        <w:autoSpaceDN w:val="0"/>
        <w:adjustRightInd w:val="0"/>
        <w:spacing w:line="440" w:lineRule="exact"/>
        <w:ind w:right="-23" w:firstLine="482" w:firstLineChars="200"/>
        <w:rPr>
          <w:rStyle w:val="91"/>
          <w:rFonts w:hint="eastAsia" w:ascii="宋体" w:hAnsi="宋体" w:cs="宋体"/>
          <w:sz w:val="24"/>
          <w:szCs w:val="24"/>
          <w:highlight w:val="none"/>
        </w:rPr>
      </w:pPr>
      <w:r>
        <w:rPr>
          <w:rStyle w:val="91"/>
          <w:rFonts w:hint="eastAsia" w:ascii="宋体" w:hAnsi="宋体" w:cs="宋体"/>
          <w:sz w:val="24"/>
          <w:szCs w:val="24"/>
          <w:highlight w:val="none"/>
        </w:rPr>
        <w:t>三、获取采购文件</w:t>
      </w:r>
    </w:p>
    <w:p w14:paraId="17528B7F">
      <w:pPr>
        <w:autoSpaceDE w:val="0"/>
        <w:autoSpaceDN w:val="0"/>
        <w:adjustRightInd w:val="0"/>
        <w:spacing w:line="440" w:lineRule="exact"/>
        <w:ind w:right="-23" w:firstLine="480" w:firstLineChars="200"/>
        <w:rPr>
          <w:rFonts w:hint="eastAsia" w:ascii="宋体" w:hAnsi="宋体" w:cs="宋体"/>
          <w:sz w:val="24"/>
          <w:szCs w:val="24"/>
          <w:highlight w:val="none"/>
        </w:rPr>
      </w:pPr>
      <w:r>
        <w:rPr>
          <w:rFonts w:hint="eastAsia" w:ascii="宋体" w:hAnsi="宋体" w:cs="宋体"/>
          <w:sz w:val="24"/>
          <w:szCs w:val="24"/>
          <w:highlight w:val="none"/>
        </w:rPr>
        <w:t>时间：/至2025年</w:t>
      </w:r>
      <w:r>
        <w:rPr>
          <w:rFonts w:hint="eastAsia" w:ascii="宋体" w:hAnsi="宋体" w:cs="宋体"/>
          <w:sz w:val="24"/>
          <w:szCs w:val="24"/>
          <w:highlight w:val="none"/>
          <w:lang w:val="en-US" w:eastAsia="zh-CN"/>
        </w:rPr>
        <w:t xml:space="preserve">7 </w:t>
      </w:r>
      <w:r>
        <w:rPr>
          <w:rFonts w:hint="eastAsia" w:ascii="宋体" w:hAnsi="宋体" w:cs="宋体"/>
          <w:sz w:val="24"/>
          <w:szCs w:val="24"/>
          <w:highlight w:val="none"/>
        </w:rPr>
        <w:t>月</w:t>
      </w:r>
      <w:r>
        <w:rPr>
          <w:rFonts w:hint="eastAsia" w:ascii="宋体" w:hAnsi="宋体" w:cs="宋体"/>
          <w:sz w:val="24"/>
          <w:szCs w:val="24"/>
          <w:highlight w:val="none"/>
          <w:lang w:val="en-US" w:eastAsia="zh-CN"/>
        </w:rPr>
        <w:t xml:space="preserve">28 </w:t>
      </w:r>
      <w:r>
        <w:rPr>
          <w:rFonts w:hint="eastAsia" w:ascii="宋体" w:hAnsi="宋体" w:cs="宋体"/>
          <w:sz w:val="24"/>
          <w:szCs w:val="24"/>
          <w:highlight w:val="none"/>
        </w:rPr>
        <w:t>日，每天上午00:00至12:00，下午12:00至23:59（北京时间，线上获取法定节假日均可，线下获取文件法定节假日除外）</w:t>
      </w:r>
    </w:p>
    <w:p w14:paraId="54BE3C69">
      <w:pPr>
        <w:autoSpaceDE w:val="0"/>
        <w:autoSpaceDN w:val="0"/>
        <w:adjustRightInd w:val="0"/>
        <w:spacing w:line="440" w:lineRule="exact"/>
        <w:ind w:right="-23"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地点（网址）：政采云平台（http://zfcg.czt.zj.gov.cn） </w:t>
      </w:r>
    </w:p>
    <w:p w14:paraId="2120679B">
      <w:pPr>
        <w:autoSpaceDE w:val="0"/>
        <w:autoSpaceDN w:val="0"/>
        <w:adjustRightInd w:val="0"/>
        <w:spacing w:line="440" w:lineRule="exact"/>
        <w:ind w:right="-23"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方式：潜在投标人登陆政采云平台，在线申请获取招标文件（进入“项目采购”应用，在获取招标文件菜单中选择项目，申请获取招标文件，本项目招标文件不收取工本费；仅需浏览招标文件的投标人可点击“游客，浏览招标文件”直接下载招标文件浏览）。 </w:t>
      </w:r>
    </w:p>
    <w:p w14:paraId="73336884">
      <w:pPr>
        <w:autoSpaceDE w:val="0"/>
        <w:autoSpaceDN w:val="0"/>
        <w:adjustRightInd w:val="0"/>
        <w:spacing w:line="440" w:lineRule="exact"/>
        <w:ind w:right="-23"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售价（元）：0 </w:t>
      </w:r>
    </w:p>
    <w:p w14:paraId="163D8D89">
      <w:pPr>
        <w:autoSpaceDE w:val="0"/>
        <w:autoSpaceDN w:val="0"/>
        <w:adjustRightInd w:val="0"/>
        <w:spacing w:line="440" w:lineRule="exact"/>
        <w:ind w:right="-23" w:firstLine="480" w:firstLineChars="200"/>
        <w:rPr>
          <w:rFonts w:hint="eastAsia" w:ascii="宋体" w:hAnsi="宋体" w:cs="宋体"/>
          <w:sz w:val="24"/>
          <w:szCs w:val="24"/>
          <w:highlight w:val="none"/>
        </w:rPr>
      </w:pPr>
      <w:r>
        <w:rPr>
          <w:rFonts w:hint="eastAsia" w:ascii="宋体" w:hAnsi="宋体" w:cs="宋体"/>
          <w:sz w:val="24"/>
          <w:szCs w:val="24"/>
          <w:highlight w:val="none"/>
        </w:rPr>
        <w:t>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526B84BB">
      <w:pPr>
        <w:autoSpaceDE w:val="0"/>
        <w:autoSpaceDN w:val="0"/>
        <w:adjustRightInd w:val="0"/>
        <w:spacing w:line="440" w:lineRule="exact"/>
        <w:ind w:right="-23" w:firstLine="480" w:firstLineChars="200"/>
        <w:rPr>
          <w:rFonts w:hint="eastAsia" w:ascii="宋体" w:hAnsi="宋体" w:cs="宋体"/>
          <w:sz w:val="24"/>
          <w:szCs w:val="24"/>
          <w:highlight w:val="none"/>
        </w:rPr>
      </w:pPr>
      <w:r>
        <w:rPr>
          <w:rFonts w:hint="eastAsia" w:ascii="宋体" w:hAnsi="宋体" w:cs="宋体"/>
          <w:sz w:val="24"/>
          <w:szCs w:val="24"/>
          <w:highlight w:val="none"/>
        </w:rPr>
        <w:t>注：请供应商按上述要求获取招标文件，如未在“政采云”系统内完成相关流程，引起的投标无效责任自负。</w:t>
      </w:r>
    </w:p>
    <w:p w14:paraId="01CFCA1C">
      <w:pPr>
        <w:autoSpaceDE w:val="0"/>
        <w:autoSpaceDN w:val="0"/>
        <w:adjustRightInd w:val="0"/>
        <w:spacing w:line="440" w:lineRule="exact"/>
        <w:ind w:right="-23" w:firstLine="482" w:firstLineChars="200"/>
        <w:rPr>
          <w:rStyle w:val="91"/>
          <w:rFonts w:hint="eastAsia" w:ascii="宋体" w:hAnsi="宋体" w:cs="宋体"/>
          <w:sz w:val="24"/>
          <w:szCs w:val="24"/>
          <w:highlight w:val="none"/>
        </w:rPr>
      </w:pPr>
      <w:r>
        <w:rPr>
          <w:rStyle w:val="91"/>
          <w:rFonts w:hint="eastAsia" w:ascii="宋体" w:hAnsi="宋体" w:cs="宋体"/>
          <w:sz w:val="24"/>
          <w:szCs w:val="24"/>
          <w:highlight w:val="none"/>
        </w:rPr>
        <w:t>四、提交投标文件截止时间、开标时间和地点</w:t>
      </w:r>
    </w:p>
    <w:p w14:paraId="1B89554A">
      <w:pPr>
        <w:autoSpaceDE w:val="0"/>
        <w:autoSpaceDN w:val="0"/>
        <w:adjustRightInd w:val="0"/>
        <w:spacing w:line="440" w:lineRule="exact"/>
        <w:ind w:right="-23" w:firstLine="480" w:firstLineChars="200"/>
        <w:rPr>
          <w:rFonts w:hint="eastAsia" w:ascii="宋体" w:hAnsi="宋体" w:cs="宋体"/>
          <w:sz w:val="24"/>
          <w:szCs w:val="24"/>
          <w:highlight w:val="none"/>
        </w:rPr>
      </w:pPr>
      <w:r>
        <w:rPr>
          <w:rFonts w:hint="eastAsia" w:ascii="宋体" w:hAnsi="宋体" w:cs="宋体"/>
          <w:sz w:val="24"/>
          <w:szCs w:val="24"/>
          <w:highlight w:val="none"/>
        </w:rPr>
        <w:t>提交投标文件截止时间：2025年</w:t>
      </w:r>
      <w:r>
        <w:rPr>
          <w:rFonts w:hint="eastAsia" w:ascii="宋体" w:hAnsi="宋体" w:cs="宋体"/>
          <w:sz w:val="24"/>
          <w:szCs w:val="24"/>
          <w:highlight w:val="none"/>
          <w:lang w:val="en-US" w:eastAsia="zh-CN"/>
        </w:rPr>
        <w:t xml:space="preserve">7 </w:t>
      </w:r>
      <w:r>
        <w:rPr>
          <w:rFonts w:hint="eastAsia" w:ascii="宋体" w:hAnsi="宋体" w:cs="宋体"/>
          <w:sz w:val="24"/>
          <w:szCs w:val="24"/>
          <w:highlight w:val="none"/>
        </w:rPr>
        <w:t>月</w:t>
      </w:r>
      <w:r>
        <w:rPr>
          <w:rFonts w:hint="eastAsia" w:ascii="宋体" w:hAnsi="宋体" w:cs="宋体"/>
          <w:sz w:val="24"/>
          <w:szCs w:val="24"/>
          <w:highlight w:val="none"/>
          <w:lang w:val="en-US" w:eastAsia="zh-CN"/>
        </w:rPr>
        <w:t>28</w:t>
      </w:r>
      <w:r>
        <w:rPr>
          <w:rFonts w:hint="eastAsia" w:ascii="宋体" w:hAnsi="宋体" w:cs="宋体"/>
          <w:sz w:val="24"/>
          <w:szCs w:val="24"/>
          <w:highlight w:val="none"/>
        </w:rPr>
        <w:t>日</w:t>
      </w:r>
      <w:r>
        <w:rPr>
          <w:rFonts w:hint="eastAsia" w:ascii="宋体" w:hAnsi="宋体" w:cs="宋体"/>
          <w:sz w:val="24"/>
          <w:szCs w:val="24"/>
          <w:highlight w:val="none"/>
          <w:lang w:val="en-US" w:eastAsia="zh-CN"/>
        </w:rPr>
        <w:t xml:space="preserve">09 </w:t>
      </w:r>
      <w:r>
        <w:rPr>
          <w:rFonts w:hint="eastAsia" w:ascii="宋体" w:hAnsi="宋体" w:cs="宋体"/>
          <w:sz w:val="24"/>
          <w:szCs w:val="24"/>
          <w:highlight w:val="none"/>
        </w:rPr>
        <w:t>:</w:t>
      </w:r>
      <w:r>
        <w:rPr>
          <w:rFonts w:hint="eastAsia" w:ascii="宋体" w:hAnsi="宋体" w:cs="宋体"/>
          <w:sz w:val="24"/>
          <w:szCs w:val="24"/>
          <w:highlight w:val="none"/>
          <w:lang w:val="en-US" w:eastAsia="zh-CN"/>
        </w:rPr>
        <w:t xml:space="preserve"> 30</w:t>
      </w:r>
      <w:r>
        <w:rPr>
          <w:rFonts w:hint="eastAsia" w:ascii="宋体" w:hAnsi="宋体" w:cs="宋体"/>
          <w:sz w:val="24"/>
          <w:szCs w:val="24"/>
          <w:highlight w:val="none"/>
        </w:rPr>
        <w:t>（北京时间）</w:t>
      </w:r>
    </w:p>
    <w:p w14:paraId="7E99A570">
      <w:pPr>
        <w:autoSpaceDE w:val="0"/>
        <w:autoSpaceDN w:val="0"/>
        <w:adjustRightInd w:val="0"/>
        <w:spacing w:line="440" w:lineRule="exact"/>
        <w:ind w:right="-23" w:firstLine="480" w:firstLineChars="200"/>
        <w:rPr>
          <w:rFonts w:hint="eastAsia" w:ascii="宋体" w:hAnsi="宋体" w:cs="宋体"/>
          <w:sz w:val="24"/>
          <w:szCs w:val="24"/>
          <w:highlight w:val="none"/>
        </w:rPr>
      </w:pPr>
      <w:r>
        <w:rPr>
          <w:rFonts w:hint="eastAsia" w:ascii="宋体" w:hAnsi="宋体" w:cs="宋体"/>
          <w:sz w:val="24"/>
          <w:szCs w:val="24"/>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14:paraId="676CBB50">
      <w:pPr>
        <w:autoSpaceDE w:val="0"/>
        <w:autoSpaceDN w:val="0"/>
        <w:adjustRightInd w:val="0"/>
        <w:spacing w:line="440" w:lineRule="exact"/>
        <w:ind w:right="-23"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投标地点（网址）：政采云平台（http://zfcg.czt.zj.gov.cn）。 </w:t>
      </w:r>
    </w:p>
    <w:p w14:paraId="515ACF31">
      <w:pPr>
        <w:autoSpaceDE w:val="0"/>
        <w:autoSpaceDN w:val="0"/>
        <w:adjustRightInd w:val="0"/>
        <w:spacing w:line="440" w:lineRule="exact"/>
        <w:ind w:right="-23" w:firstLine="480" w:firstLineChars="200"/>
        <w:rPr>
          <w:rFonts w:hint="eastAsia" w:ascii="宋体" w:hAnsi="宋体" w:cs="宋体"/>
          <w:b/>
          <w:bCs/>
          <w:sz w:val="24"/>
          <w:szCs w:val="24"/>
          <w:highlight w:val="none"/>
        </w:rPr>
      </w:pPr>
      <w:r>
        <w:rPr>
          <w:rFonts w:hint="eastAsia" w:ascii="宋体" w:hAnsi="宋体" w:cs="宋体"/>
          <w:sz w:val="24"/>
          <w:szCs w:val="24"/>
          <w:highlight w:val="none"/>
        </w:rPr>
        <w:t>开标时间：2025年</w:t>
      </w:r>
      <w:r>
        <w:rPr>
          <w:rFonts w:hint="eastAsia" w:ascii="宋体" w:hAnsi="宋体" w:cs="宋体"/>
          <w:sz w:val="24"/>
          <w:szCs w:val="24"/>
          <w:highlight w:val="none"/>
          <w:lang w:val="en-US" w:eastAsia="zh-CN"/>
        </w:rPr>
        <w:t>7</w:t>
      </w:r>
      <w:r>
        <w:rPr>
          <w:rFonts w:hint="eastAsia" w:ascii="宋体" w:hAnsi="宋体" w:cs="宋体"/>
          <w:sz w:val="24"/>
          <w:szCs w:val="24"/>
          <w:highlight w:val="none"/>
        </w:rPr>
        <w:t>月</w:t>
      </w:r>
      <w:r>
        <w:rPr>
          <w:rFonts w:hint="eastAsia" w:ascii="宋体" w:hAnsi="宋体" w:cs="宋体"/>
          <w:sz w:val="24"/>
          <w:szCs w:val="24"/>
          <w:highlight w:val="none"/>
          <w:lang w:val="en-US" w:eastAsia="zh-CN"/>
        </w:rPr>
        <w:t>28</w:t>
      </w:r>
      <w:r>
        <w:rPr>
          <w:rFonts w:hint="eastAsia" w:ascii="宋体" w:hAnsi="宋体" w:cs="宋体"/>
          <w:sz w:val="24"/>
          <w:szCs w:val="24"/>
          <w:highlight w:val="none"/>
        </w:rPr>
        <w:t>日</w:t>
      </w:r>
      <w:r>
        <w:rPr>
          <w:rFonts w:hint="eastAsia" w:ascii="宋体" w:hAnsi="宋体" w:cs="宋体"/>
          <w:sz w:val="24"/>
          <w:szCs w:val="24"/>
          <w:highlight w:val="none"/>
          <w:lang w:val="en-US" w:eastAsia="zh-CN"/>
        </w:rPr>
        <w:t>09</w:t>
      </w:r>
      <w:r>
        <w:rPr>
          <w:rFonts w:hint="eastAsia" w:ascii="宋体" w:hAnsi="宋体" w:cs="宋体"/>
          <w:sz w:val="24"/>
          <w:szCs w:val="24"/>
          <w:highlight w:val="none"/>
        </w:rPr>
        <w:t>:</w:t>
      </w:r>
      <w:r>
        <w:rPr>
          <w:rFonts w:hint="eastAsia" w:ascii="宋体" w:hAnsi="宋体" w:cs="宋体"/>
          <w:sz w:val="24"/>
          <w:szCs w:val="24"/>
          <w:highlight w:val="none"/>
          <w:lang w:val="en-US" w:eastAsia="zh-CN"/>
        </w:rPr>
        <w:t>30</w:t>
      </w:r>
      <w:r>
        <w:rPr>
          <w:rFonts w:hint="eastAsia" w:ascii="宋体" w:hAnsi="宋体" w:cs="宋体"/>
          <w:sz w:val="24"/>
          <w:szCs w:val="24"/>
          <w:highlight w:val="none"/>
        </w:rPr>
        <w:t>(北京时间）。</w:t>
      </w:r>
    </w:p>
    <w:p w14:paraId="23CB708E">
      <w:pPr>
        <w:autoSpaceDE w:val="0"/>
        <w:autoSpaceDN w:val="0"/>
        <w:adjustRightInd w:val="0"/>
        <w:spacing w:line="440" w:lineRule="exact"/>
        <w:ind w:right="-23" w:firstLine="480" w:firstLineChars="200"/>
        <w:rPr>
          <w:rFonts w:hint="eastAsia" w:ascii="宋体" w:hAnsi="宋体" w:cs="宋体"/>
          <w:sz w:val="24"/>
          <w:szCs w:val="24"/>
          <w:highlight w:val="none"/>
        </w:rPr>
      </w:pPr>
      <w:r>
        <w:rPr>
          <w:rFonts w:hint="eastAsia" w:ascii="宋体" w:hAnsi="宋体" w:cs="宋体"/>
          <w:sz w:val="24"/>
          <w:szCs w:val="24"/>
          <w:highlight w:val="none"/>
        </w:rPr>
        <w:t>开标地点（网址）：</w:t>
      </w:r>
      <w:r>
        <w:rPr>
          <w:rFonts w:hint="eastAsia" w:ascii="宋体" w:hAnsi="宋体" w:cs="宋体"/>
          <w:sz w:val="24"/>
          <w:szCs w:val="24"/>
          <w:highlight w:val="none"/>
          <w:lang w:eastAsia="zh-CN"/>
        </w:rPr>
        <w:t>欧邦工程管理集团有限公司</w:t>
      </w:r>
      <w:r>
        <w:rPr>
          <w:rFonts w:hint="eastAsia" w:ascii="宋体" w:hAnsi="宋体" w:cs="宋体"/>
          <w:sz w:val="24"/>
          <w:szCs w:val="24"/>
          <w:highlight w:val="none"/>
        </w:rPr>
        <w:t>衢州分公司（衢州市九华北大道509号合屹大厦2号楼2单元</w:t>
      </w:r>
      <w:r>
        <w:rPr>
          <w:rFonts w:hint="eastAsia" w:ascii="宋体" w:hAnsi="宋体" w:cs="宋体"/>
          <w:sz w:val="24"/>
          <w:szCs w:val="24"/>
          <w:highlight w:val="none"/>
          <w:lang w:val="en-US" w:eastAsia="zh-CN"/>
        </w:rPr>
        <w:t>4</w:t>
      </w:r>
      <w:r>
        <w:rPr>
          <w:rFonts w:hint="eastAsia" w:ascii="宋体" w:hAnsi="宋体" w:cs="宋体"/>
          <w:sz w:val="24"/>
          <w:szCs w:val="24"/>
          <w:highlight w:val="none"/>
        </w:rPr>
        <w:t xml:space="preserve">楼电子评标室），同步在政府采购云平台（https://www.zcygov.cn）上开启投标文件。  </w:t>
      </w:r>
    </w:p>
    <w:p w14:paraId="1F58230C">
      <w:pPr>
        <w:autoSpaceDE w:val="0"/>
        <w:autoSpaceDN w:val="0"/>
        <w:adjustRightInd w:val="0"/>
        <w:spacing w:line="440" w:lineRule="exact"/>
        <w:ind w:right="-23" w:firstLine="482" w:firstLineChars="200"/>
        <w:rPr>
          <w:rStyle w:val="91"/>
          <w:rFonts w:hint="eastAsia" w:ascii="宋体" w:hAnsi="宋体" w:cs="宋体"/>
          <w:sz w:val="24"/>
          <w:szCs w:val="24"/>
          <w:highlight w:val="none"/>
        </w:rPr>
      </w:pPr>
      <w:r>
        <w:rPr>
          <w:rStyle w:val="91"/>
          <w:rFonts w:hint="eastAsia" w:ascii="宋体" w:hAnsi="宋体" w:cs="宋体"/>
          <w:sz w:val="24"/>
          <w:szCs w:val="24"/>
          <w:highlight w:val="none"/>
          <w:lang w:val="en-US" w:eastAsia="zh-CN"/>
        </w:rPr>
        <w:t>五</w:t>
      </w:r>
      <w:r>
        <w:rPr>
          <w:rStyle w:val="91"/>
          <w:rFonts w:hint="eastAsia" w:ascii="宋体" w:hAnsi="宋体" w:cs="宋体"/>
          <w:sz w:val="24"/>
          <w:szCs w:val="24"/>
          <w:highlight w:val="none"/>
        </w:rPr>
        <w:t>、公告期限：</w:t>
      </w:r>
    </w:p>
    <w:p w14:paraId="13453843">
      <w:pPr>
        <w:autoSpaceDE w:val="0"/>
        <w:autoSpaceDN w:val="0"/>
        <w:adjustRightInd w:val="0"/>
        <w:spacing w:line="440" w:lineRule="exact"/>
        <w:ind w:right="-23" w:firstLine="480" w:firstLineChars="200"/>
        <w:rPr>
          <w:rFonts w:hint="eastAsia" w:ascii="宋体" w:hAnsi="宋体" w:cs="宋体"/>
          <w:sz w:val="24"/>
          <w:szCs w:val="24"/>
          <w:highlight w:val="none"/>
        </w:rPr>
      </w:pPr>
      <w:r>
        <w:rPr>
          <w:rFonts w:hint="eastAsia" w:ascii="宋体" w:hAnsi="宋体" w:cs="宋体"/>
          <w:sz w:val="24"/>
          <w:szCs w:val="24"/>
          <w:highlight w:val="none"/>
        </w:rPr>
        <w:t>自本公告发布之日起5个工作日。</w:t>
      </w:r>
    </w:p>
    <w:p w14:paraId="618C1EF5">
      <w:pPr>
        <w:autoSpaceDE w:val="0"/>
        <w:autoSpaceDN w:val="0"/>
        <w:adjustRightInd w:val="0"/>
        <w:spacing w:line="440" w:lineRule="exact"/>
        <w:ind w:right="-23" w:firstLine="482" w:firstLineChars="200"/>
        <w:rPr>
          <w:rFonts w:hint="eastAsia" w:ascii="宋体" w:hAnsi="宋体" w:cs="宋体"/>
          <w:b/>
          <w:bCs/>
          <w:sz w:val="24"/>
          <w:szCs w:val="24"/>
          <w:highlight w:val="none"/>
        </w:rPr>
      </w:pPr>
      <w:r>
        <w:rPr>
          <w:rFonts w:hint="eastAsia" w:ascii="宋体" w:hAnsi="宋体" w:cs="宋体"/>
          <w:b/>
          <w:bCs/>
          <w:sz w:val="24"/>
          <w:szCs w:val="24"/>
          <w:highlight w:val="none"/>
          <w:lang w:val="en-US" w:eastAsia="zh-CN"/>
        </w:rPr>
        <w:t>六</w:t>
      </w:r>
      <w:r>
        <w:rPr>
          <w:rFonts w:hint="eastAsia" w:ascii="宋体" w:hAnsi="宋体" w:cs="宋体"/>
          <w:b/>
          <w:bCs/>
          <w:sz w:val="24"/>
          <w:szCs w:val="24"/>
          <w:highlight w:val="none"/>
        </w:rPr>
        <w:t>、其他补充事宜</w:t>
      </w:r>
    </w:p>
    <w:p w14:paraId="578C74D2">
      <w:pPr>
        <w:autoSpaceDE w:val="0"/>
        <w:autoSpaceDN w:val="0"/>
        <w:adjustRightInd w:val="0"/>
        <w:spacing w:line="440" w:lineRule="exact"/>
        <w:ind w:right="-23" w:firstLine="480" w:firstLineChars="200"/>
        <w:rPr>
          <w:rFonts w:hint="eastAsia" w:ascii="宋体" w:hAnsi="宋体" w:cs="宋体"/>
          <w:sz w:val="24"/>
          <w:szCs w:val="24"/>
          <w:highlight w:val="none"/>
        </w:rPr>
      </w:pPr>
      <w:r>
        <w:rPr>
          <w:rFonts w:hint="eastAsia" w:ascii="宋体" w:hAnsi="宋体" w:cs="宋体"/>
          <w:sz w:val="24"/>
          <w:szCs w:val="24"/>
          <w:highlight w:val="none"/>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426A71A2">
      <w:pPr>
        <w:autoSpaceDE w:val="0"/>
        <w:autoSpaceDN w:val="0"/>
        <w:adjustRightInd w:val="0"/>
        <w:spacing w:line="440" w:lineRule="exact"/>
        <w:ind w:right="-23" w:firstLine="480" w:firstLineChars="200"/>
        <w:rPr>
          <w:rFonts w:hint="eastAsia" w:ascii="宋体" w:hAnsi="宋体" w:cs="宋体"/>
          <w:sz w:val="24"/>
          <w:szCs w:val="24"/>
          <w:highlight w:val="none"/>
        </w:rPr>
      </w:pPr>
      <w:r>
        <w:rPr>
          <w:rFonts w:hint="eastAsia" w:ascii="宋体" w:hAnsi="宋体" w:cs="宋体"/>
          <w:sz w:val="24"/>
          <w:szCs w:val="24"/>
          <w:highlight w:val="none"/>
        </w:rPr>
        <w:t>2.根据《浙江省财政厅关于进一步促进政府采购公平竞争打造最优营商环境的通 知》（浙财采监（2021）22号）文件关于“健全行政裁决机制”要求，鼓励供应商在线提起询问，路径为：政采云-项目采购-询问质疑投诉-询问列表:鼓励供应商在线提起质 疑，路径为：政采云-项目采购-询问质疑投诉-质疑列表。质疑供应商对在线质疑答复 不满意的，可在线提起投诉，路径为：浙江政府服务网-政府采购投诉处理-在线办理。</w:t>
      </w:r>
    </w:p>
    <w:p w14:paraId="0896296C">
      <w:pPr>
        <w:autoSpaceDE w:val="0"/>
        <w:autoSpaceDN w:val="0"/>
        <w:adjustRightInd w:val="0"/>
        <w:spacing w:line="440" w:lineRule="exact"/>
        <w:ind w:right="-23" w:firstLine="480" w:firstLineChars="200"/>
        <w:rPr>
          <w:rFonts w:hint="eastAsia" w:ascii="宋体" w:hAnsi="宋体" w:cs="宋体"/>
          <w:sz w:val="24"/>
          <w:szCs w:val="24"/>
          <w:highlight w:val="none"/>
        </w:rPr>
      </w:pPr>
      <w:r>
        <w:rPr>
          <w:rFonts w:hint="eastAsia" w:ascii="宋体" w:hAnsi="宋体" w:cs="宋体"/>
          <w:sz w:val="24"/>
          <w:szCs w:val="24"/>
          <w:highlight w:val="none"/>
        </w:rPr>
        <w:t>3.供应商认为采购文件使自己的权益受到损害的，可以自获取采购文件之日或者 采购公告期限届满之日（公告期限届满后获取采购文件的，以公告期限届满之日为准） 起 7 个工作日内，对采购文件需求的以书面形式向招标人提出质疑，对其他内容的以书 面形式向招标人和采购代理机构提出质疑。质疑供应商对招标人、采购代理机构的答复 不满意或者招标人、采购代理机构未在规定的时间内作出答复的，可以在答复期满后十 五个工作日内向同级政府采购监督管理部门投诉。质疑函范本、投诉书范本请到浙江政 府采购网下载专区下载。</w:t>
      </w:r>
    </w:p>
    <w:p w14:paraId="03BFD859">
      <w:pPr>
        <w:autoSpaceDE w:val="0"/>
        <w:autoSpaceDN w:val="0"/>
        <w:adjustRightInd w:val="0"/>
        <w:spacing w:line="440" w:lineRule="exact"/>
        <w:ind w:right="-23" w:firstLine="480" w:firstLineChars="200"/>
        <w:rPr>
          <w:rFonts w:hint="eastAsia" w:ascii="宋体" w:hAnsi="宋体" w:cs="宋体"/>
          <w:sz w:val="24"/>
          <w:szCs w:val="24"/>
          <w:highlight w:val="none"/>
        </w:rPr>
      </w:pPr>
      <w:r>
        <w:rPr>
          <w:rFonts w:hint="eastAsia" w:ascii="宋体" w:hAnsi="宋体" w:cs="宋体"/>
          <w:sz w:val="24"/>
          <w:szCs w:val="24"/>
          <w:highlight w:val="none"/>
        </w:rPr>
        <w:t>4.其他事项：</w:t>
      </w:r>
    </w:p>
    <w:p w14:paraId="24B9B729">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23A3B43">
      <w:pPr>
        <w:autoSpaceDE w:val="0"/>
        <w:autoSpaceDN w:val="0"/>
        <w:adjustRightInd w:val="0"/>
        <w:spacing w:line="440" w:lineRule="exact"/>
        <w:ind w:right="-23" w:firstLine="482" w:firstLineChars="200"/>
        <w:rPr>
          <w:rStyle w:val="91"/>
          <w:rFonts w:hint="eastAsia" w:ascii="宋体" w:hAnsi="宋体" w:cs="宋体"/>
          <w:sz w:val="24"/>
          <w:szCs w:val="24"/>
          <w:highlight w:val="none"/>
        </w:rPr>
      </w:pPr>
      <w:r>
        <w:rPr>
          <w:rStyle w:val="91"/>
          <w:rFonts w:hint="eastAsia" w:ascii="宋体" w:hAnsi="宋体" w:cs="宋体"/>
          <w:sz w:val="24"/>
          <w:szCs w:val="24"/>
          <w:highlight w:val="none"/>
          <w:lang w:val="en-US" w:eastAsia="zh-CN"/>
        </w:rPr>
        <w:t>七</w:t>
      </w:r>
      <w:r>
        <w:rPr>
          <w:rStyle w:val="91"/>
          <w:rFonts w:hint="eastAsia" w:ascii="宋体" w:hAnsi="宋体" w:cs="宋体"/>
          <w:sz w:val="24"/>
          <w:szCs w:val="24"/>
          <w:highlight w:val="none"/>
        </w:rPr>
        <w:t>、对本次采购提出询问、质疑、投诉，请按以下方式联系</w:t>
      </w:r>
    </w:p>
    <w:p w14:paraId="5F004744">
      <w:pPr>
        <w:autoSpaceDE w:val="0"/>
        <w:autoSpaceDN w:val="0"/>
        <w:adjustRightInd w:val="0"/>
        <w:spacing w:line="288" w:lineRule="auto"/>
        <w:ind w:right="-20" w:firstLine="480" w:firstLineChars="200"/>
        <w:rPr>
          <w:rFonts w:hint="eastAsia" w:ascii="宋体" w:hAnsi="宋体" w:cs="宋体"/>
          <w:sz w:val="24"/>
          <w:szCs w:val="22"/>
          <w:highlight w:val="none"/>
        </w:rPr>
      </w:pPr>
      <w:r>
        <w:rPr>
          <w:rFonts w:hint="eastAsia" w:ascii="宋体" w:hAnsi="宋体" w:cs="宋体"/>
          <w:sz w:val="24"/>
          <w:szCs w:val="22"/>
          <w:highlight w:val="none"/>
        </w:rPr>
        <w:t>1.采购人信息</w:t>
      </w:r>
    </w:p>
    <w:p w14:paraId="28BADD73">
      <w:pPr>
        <w:autoSpaceDE w:val="0"/>
        <w:autoSpaceDN w:val="0"/>
        <w:adjustRightInd w:val="0"/>
        <w:spacing w:line="288" w:lineRule="auto"/>
        <w:ind w:right="-20" w:firstLine="480" w:firstLineChars="200"/>
        <w:rPr>
          <w:rFonts w:hint="eastAsia" w:ascii="宋体" w:hAnsi="宋体" w:eastAsia="宋体" w:cs="宋体"/>
          <w:sz w:val="24"/>
          <w:szCs w:val="22"/>
          <w:highlight w:val="none"/>
          <w:lang w:eastAsia="zh-CN"/>
        </w:rPr>
      </w:pPr>
      <w:r>
        <w:rPr>
          <w:rFonts w:hint="eastAsia" w:ascii="宋体" w:hAnsi="宋体" w:cs="宋体"/>
          <w:sz w:val="24"/>
          <w:szCs w:val="22"/>
          <w:highlight w:val="none"/>
        </w:rPr>
        <w:t>名    称：</w:t>
      </w:r>
      <w:bookmarkStart w:id="3" w:name="OLE_LINK4"/>
      <w:r>
        <w:rPr>
          <w:rFonts w:hint="eastAsia" w:ascii="宋体" w:hAnsi="宋体" w:cs="宋体"/>
          <w:sz w:val="24"/>
          <w:szCs w:val="22"/>
          <w:highlight w:val="none"/>
          <w:lang w:eastAsia="zh-CN"/>
        </w:rPr>
        <w:t>衢州市柯城区九龙幼儿园</w:t>
      </w:r>
      <w:bookmarkEnd w:id="3"/>
    </w:p>
    <w:p w14:paraId="23CE4990">
      <w:pPr>
        <w:autoSpaceDE w:val="0"/>
        <w:autoSpaceDN w:val="0"/>
        <w:adjustRightInd w:val="0"/>
        <w:spacing w:line="288" w:lineRule="auto"/>
        <w:ind w:right="-20" w:firstLine="480" w:firstLineChars="200"/>
        <w:rPr>
          <w:rFonts w:hint="eastAsia" w:ascii="宋体" w:hAnsi="宋体" w:cs="宋体"/>
          <w:sz w:val="24"/>
          <w:szCs w:val="22"/>
          <w:highlight w:val="none"/>
        </w:rPr>
      </w:pPr>
      <w:r>
        <w:rPr>
          <w:rFonts w:hint="eastAsia" w:ascii="宋体" w:hAnsi="宋体" w:cs="宋体"/>
          <w:sz w:val="24"/>
          <w:szCs w:val="22"/>
          <w:highlight w:val="none"/>
        </w:rPr>
        <w:t>地    址：衢州市智慧新城江郎中路3号</w:t>
      </w:r>
    </w:p>
    <w:p w14:paraId="714F41A6">
      <w:pPr>
        <w:autoSpaceDE w:val="0"/>
        <w:autoSpaceDN w:val="0"/>
        <w:adjustRightInd w:val="0"/>
        <w:spacing w:line="288" w:lineRule="auto"/>
        <w:ind w:right="-20" w:firstLine="480"/>
        <w:rPr>
          <w:rFonts w:hint="eastAsia" w:ascii="宋体" w:hAnsi="宋体" w:cs="宋体"/>
          <w:sz w:val="24"/>
          <w:szCs w:val="22"/>
          <w:highlight w:val="none"/>
        </w:rPr>
      </w:pPr>
      <w:r>
        <w:rPr>
          <w:rFonts w:hint="eastAsia" w:ascii="宋体" w:hAnsi="宋体" w:cs="宋体"/>
          <w:sz w:val="24"/>
          <w:szCs w:val="22"/>
          <w:highlight w:val="none"/>
        </w:rPr>
        <w:t>项目联系人（询问）：</w:t>
      </w:r>
      <w:r>
        <w:rPr>
          <w:rFonts w:hint="eastAsia" w:ascii="宋体" w:hAnsi="宋体" w:cs="宋体"/>
          <w:sz w:val="24"/>
          <w:szCs w:val="22"/>
          <w:highlight w:val="none"/>
          <w:lang w:val="en-US" w:eastAsia="zh-CN"/>
        </w:rPr>
        <w:t>梅</w:t>
      </w:r>
      <w:r>
        <w:rPr>
          <w:rFonts w:hint="eastAsia" w:ascii="宋体" w:hAnsi="宋体" w:cs="宋体"/>
          <w:sz w:val="24"/>
          <w:szCs w:val="22"/>
          <w:highlight w:val="none"/>
        </w:rPr>
        <w:t xml:space="preserve">老师   </w:t>
      </w:r>
    </w:p>
    <w:p w14:paraId="08967BB6">
      <w:pPr>
        <w:autoSpaceDE w:val="0"/>
        <w:autoSpaceDN w:val="0"/>
        <w:adjustRightInd w:val="0"/>
        <w:spacing w:line="288" w:lineRule="auto"/>
        <w:ind w:right="-20" w:firstLine="480" w:firstLineChars="200"/>
        <w:rPr>
          <w:rFonts w:hint="default" w:ascii="宋体" w:hAnsi="宋体" w:eastAsia="宋体" w:cs="宋体"/>
          <w:sz w:val="24"/>
          <w:szCs w:val="22"/>
          <w:highlight w:val="none"/>
          <w:lang w:val="en-US" w:eastAsia="zh-CN"/>
        </w:rPr>
      </w:pPr>
      <w:r>
        <w:rPr>
          <w:rFonts w:hint="eastAsia" w:ascii="宋体" w:hAnsi="宋体" w:cs="宋体"/>
          <w:sz w:val="24"/>
          <w:szCs w:val="22"/>
          <w:highlight w:val="none"/>
        </w:rPr>
        <w:t xml:space="preserve">项目联系方式（询问）： </w:t>
      </w:r>
      <w:r>
        <w:rPr>
          <w:rFonts w:hint="eastAsia" w:ascii="宋体" w:hAnsi="宋体" w:cs="宋体"/>
          <w:sz w:val="24"/>
          <w:szCs w:val="22"/>
          <w:highlight w:val="none"/>
          <w:lang w:val="en-US" w:eastAsia="zh-CN"/>
        </w:rPr>
        <w:t>0570-3016596</w:t>
      </w:r>
    </w:p>
    <w:p w14:paraId="1014B915">
      <w:pPr>
        <w:autoSpaceDE w:val="0"/>
        <w:autoSpaceDN w:val="0"/>
        <w:adjustRightInd w:val="0"/>
        <w:spacing w:line="288" w:lineRule="auto"/>
        <w:ind w:right="-20" w:firstLine="480" w:firstLineChars="200"/>
        <w:rPr>
          <w:rFonts w:hint="eastAsia" w:ascii="宋体" w:hAnsi="宋体" w:cs="宋体"/>
          <w:sz w:val="24"/>
          <w:szCs w:val="22"/>
          <w:highlight w:val="none"/>
        </w:rPr>
      </w:pPr>
      <w:r>
        <w:rPr>
          <w:rFonts w:hint="eastAsia" w:ascii="宋体" w:hAnsi="宋体" w:cs="宋体"/>
          <w:sz w:val="24"/>
          <w:szCs w:val="22"/>
          <w:highlight w:val="none"/>
        </w:rPr>
        <w:t>质疑联系人：</w:t>
      </w:r>
      <w:r>
        <w:rPr>
          <w:rFonts w:hint="eastAsia" w:ascii="宋体" w:hAnsi="宋体" w:cs="宋体"/>
          <w:sz w:val="24"/>
          <w:szCs w:val="22"/>
          <w:highlight w:val="none"/>
          <w:lang w:val="en-US" w:eastAsia="zh-CN"/>
        </w:rPr>
        <w:t>向老师</w:t>
      </w:r>
      <w:r>
        <w:rPr>
          <w:rFonts w:hint="eastAsia" w:ascii="宋体" w:hAnsi="宋体" w:cs="宋体"/>
          <w:sz w:val="24"/>
          <w:szCs w:val="22"/>
          <w:highlight w:val="none"/>
        </w:rPr>
        <w:t xml:space="preserve">    </w:t>
      </w:r>
    </w:p>
    <w:p w14:paraId="060D0471">
      <w:pPr>
        <w:autoSpaceDE w:val="0"/>
        <w:autoSpaceDN w:val="0"/>
        <w:adjustRightInd w:val="0"/>
        <w:spacing w:line="288" w:lineRule="auto"/>
        <w:ind w:right="-20" w:firstLine="480" w:firstLineChars="200"/>
        <w:rPr>
          <w:rFonts w:hint="eastAsia" w:ascii="宋体" w:hAnsi="宋体" w:cs="宋体"/>
          <w:sz w:val="24"/>
          <w:szCs w:val="22"/>
          <w:highlight w:val="none"/>
        </w:rPr>
      </w:pPr>
      <w:r>
        <w:rPr>
          <w:rFonts w:hint="eastAsia" w:ascii="宋体" w:hAnsi="宋体" w:cs="宋体"/>
          <w:sz w:val="24"/>
          <w:szCs w:val="22"/>
          <w:highlight w:val="none"/>
        </w:rPr>
        <w:t xml:space="preserve">质疑联系方式： </w:t>
      </w:r>
      <w:r>
        <w:rPr>
          <w:rFonts w:hint="eastAsia" w:ascii="宋体" w:hAnsi="宋体" w:cs="宋体"/>
          <w:sz w:val="24"/>
          <w:szCs w:val="22"/>
          <w:highlight w:val="none"/>
          <w:lang w:val="en-US" w:eastAsia="zh-CN"/>
        </w:rPr>
        <w:t>0570-3016596</w:t>
      </w:r>
      <w:r>
        <w:rPr>
          <w:rFonts w:hint="eastAsia" w:ascii="宋体" w:hAnsi="宋体" w:cs="宋体"/>
          <w:sz w:val="24"/>
          <w:szCs w:val="22"/>
          <w:highlight w:val="none"/>
        </w:rPr>
        <w:t xml:space="preserve"> </w:t>
      </w:r>
    </w:p>
    <w:p w14:paraId="3C70242A">
      <w:pPr>
        <w:autoSpaceDE w:val="0"/>
        <w:autoSpaceDN w:val="0"/>
        <w:adjustRightInd w:val="0"/>
        <w:spacing w:line="288" w:lineRule="auto"/>
        <w:ind w:right="-20" w:firstLine="480" w:firstLineChars="200"/>
        <w:rPr>
          <w:rFonts w:hint="eastAsia" w:ascii="宋体" w:hAnsi="宋体" w:cs="宋体"/>
          <w:sz w:val="24"/>
          <w:szCs w:val="22"/>
          <w:highlight w:val="none"/>
        </w:rPr>
      </w:pPr>
    </w:p>
    <w:p w14:paraId="3528332E">
      <w:pPr>
        <w:autoSpaceDE w:val="0"/>
        <w:autoSpaceDN w:val="0"/>
        <w:adjustRightInd w:val="0"/>
        <w:spacing w:line="288" w:lineRule="auto"/>
        <w:ind w:right="-20" w:firstLine="480" w:firstLineChars="200"/>
        <w:rPr>
          <w:rFonts w:hint="eastAsia" w:ascii="宋体" w:hAnsi="宋体" w:cs="宋体"/>
          <w:sz w:val="24"/>
          <w:szCs w:val="22"/>
          <w:highlight w:val="none"/>
        </w:rPr>
      </w:pPr>
      <w:r>
        <w:rPr>
          <w:rFonts w:hint="eastAsia" w:ascii="宋体" w:hAnsi="宋体" w:cs="宋体"/>
          <w:sz w:val="24"/>
          <w:szCs w:val="22"/>
          <w:highlight w:val="none"/>
        </w:rPr>
        <w:t xml:space="preserve">2.采购代理机构信息            </w:t>
      </w:r>
    </w:p>
    <w:p w14:paraId="62402FF8">
      <w:pPr>
        <w:autoSpaceDE w:val="0"/>
        <w:autoSpaceDN w:val="0"/>
        <w:adjustRightInd w:val="0"/>
        <w:spacing w:line="288" w:lineRule="auto"/>
        <w:ind w:right="-20" w:firstLine="480" w:firstLineChars="200"/>
        <w:rPr>
          <w:rFonts w:hint="eastAsia" w:ascii="宋体" w:hAnsi="宋体" w:cs="宋体"/>
          <w:sz w:val="24"/>
          <w:szCs w:val="22"/>
          <w:highlight w:val="none"/>
        </w:rPr>
      </w:pPr>
      <w:r>
        <w:rPr>
          <w:rFonts w:hint="eastAsia" w:ascii="宋体" w:hAnsi="宋体" w:cs="宋体"/>
          <w:sz w:val="24"/>
          <w:szCs w:val="22"/>
          <w:highlight w:val="none"/>
        </w:rPr>
        <w:t>名    称：</w:t>
      </w:r>
      <w:r>
        <w:rPr>
          <w:rFonts w:hint="eastAsia" w:ascii="宋体" w:hAnsi="宋体" w:cs="宋体"/>
          <w:sz w:val="24"/>
          <w:szCs w:val="22"/>
          <w:highlight w:val="none"/>
          <w:lang w:eastAsia="zh-CN"/>
        </w:rPr>
        <w:t>欧邦工程管理集团有限公司</w:t>
      </w:r>
      <w:r>
        <w:rPr>
          <w:rFonts w:hint="eastAsia" w:ascii="宋体" w:hAnsi="宋体" w:cs="宋体"/>
          <w:sz w:val="24"/>
          <w:szCs w:val="22"/>
          <w:highlight w:val="none"/>
        </w:rPr>
        <w:t xml:space="preserve">             </w:t>
      </w:r>
    </w:p>
    <w:p w14:paraId="03A02113">
      <w:pPr>
        <w:autoSpaceDE w:val="0"/>
        <w:autoSpaceDN w:val="0"/>
        <w:adjustRightInd w:val="0"/>
        <w:spacing w:line="288" w:lineRule="auto"/>
        <w:ind w:right="-20" w:firstLine="480" w:firstLineChars="200"/>
        <w:rPr>
          <w:rFonts w:hint="eastAsia" w:ascii="宋体" w:hAnsi="宋体" w:cs="宋体"/>
          <w:sz w:val="24"/>
          <w:szCs w:val="22"/>
          <w:highlight w:val="none"/>
        </w:rPr>
      </w:pPr>
      <w:r>
        <w:rPr>
          <w:rFonts w:hint="eastAsia" w:ascii="宋体" w:hAnsi="宋体" w:cs="宋体"/>
          <w:sz w:val="24"/>
          <w:szCs w:val="22"/>
          <w:highlight w:val="none"/>
        </w:rPr>
        <w:t>地    址：衢州市九华北大道509号合屹大厦2号楼2单元</w:t>
      </w:r>
      <w:r>
        <w:rPr>
          <w:rFonts w:hint="eastAsia" w:ascii="宋体" w:hAnsi="宋体" w:cs="宋体"/>
          <w:sz w:val="24"/>
          <w:szCs w:val="22"/>
          <w:highlight w:val="none"/>
          <w:lang w:val="en-US" w:eastAsia="zh-CN"/>
        </w:rPr>
        <w:t>4</w:t>
      </w:r>
      <w:r>
        <w:rPr>
          <w:rFonts w:hint="eastAsia" w:ascii="宋体" w:hAnsi="宋体" w:cs="宋体"/>
          <w:sz w:val="24"/>
          <w:szCs w:val="22"/>
          <w:highlight w:val="none"/>
        </w:rPr>
        <w:t xml:space="preserve">楼                       </w:t>
      </w:r>
    </w:p>
    <w:p w14:paraId="312184F5">
      <w:pPr>
        <w:autoSpaceDE w:val="0"/>
        <w:autoSpaceDN w:val="0"/>
        <w:adjustRightInd w:val="0"/>
        <w:spacing w:line="288" w:lineRule="auto"/>
        <w:ind w:right="-20" w:firstLine="480" w:firstLineChars="200"/>
        <w:rPr>
          <w:rFonts w:hint="eastAsia" w:ascii="宋体" w:hAnsi="宋体" w:cs="宋体"/>
          <w:sz w:val="24"/>
          <w:szCs w:val="22"/>
          <w:highlight w:val="none"/>
        </w:rPr>
      </w:pPr>
      <w:r>
        <w:rPr>
          <w:rFonts w:hint="eastAsia" w:ascii="宋体" w:hAnsi="宋体" w:cs="宋体"/>
          <w:sz w:val="24"/>
          <w:szCs w:val="22"/>
          <w:highlight w:val="none"/>
        </w:rPr>
        <w:t>项目联系人（询问）：</w:t>
      </w:r>
      <w:r>
        <w:rPr>
          <w:rFonts w:hint="eastAsia" w:ascii="宋体" w:hAnsi="宋体" w:cs="宋体"/>
          <w:sz w:val="24"/>
          <w:szCs w:val="22"/>
          <w:highlight w:val="none"/>
          <w:lang w:val="en-US" w:eastAsia="zh-CN"/>
        </w:rPr>
        <w:t>祝</w:t>
      </w:r>
      <w:r>
        <w:rPr>
          <w:rFonts w:hint="eastAsia" w:ascii="宋体" w:hAnsi="宋体" w:cs="宋体"/>
          <w:sz w:val="24"/>
          <w:szCs w:val="22"/>
          <w:highlight w:val="none"/>
        </w:rPr>
        <w:t>女士</w:t>
      </w:r>
    </w:p>
    <w:p w14:paraId="6DF6878A">
      <w:pPr>
        <w:autoSpaceDE w:val="0"/>
        <w:autoSpaceDN w:val="0"/>
        <w:adjustRightInd w:val="0"/>
        <w:spacing w:line="288" w:lineRule="auto"/>
        <w:ind w:right="-20" w:firstLine="480" w:firstLineChars="200"/>
        <w:rPr>
          <w:rFonts w:hint="default" w:ascii="宋体" w:hAnsi="宋体" w:eastAsia="宋体" w:cs="宋体"/>
          <w:sz w:val="24"/>
          <w:szCs w:val="22"/>
          <w:highlight w:val="none"/>
          <w:lang w:val="en-US" w:eastAsia="zh-CN"/>
        </w:rPr>
      </w:pPr>
      <w:r>
        <w:rPr>
          <w:rFonts w:hint="eastAsia" w:ascii="宋体" w:hAnsi="宋体" w:cs="宋体"/>
          <w:sz w:val="24"/>
          <w:szCs w:val="22"/>
          <w:highlight w:val="none"/>
        </w:rPr>
        <w:t>项目联系方式（询问）：0570-</w:t>
      </w:r>
      <w:r>
        <w:rPr>
          <w:rFonts w:hint="eastAsia" w:ascii="宋体" w:hAnsi="宋体" w:cs="宋体"/>
          <w:sz w:val="24"/>
          <w:szCs w:val="22"/>
          <w:highlight w:val="none"/>
          <w:lang w:val="en-US" w:eastAsia="zh-CN"/>
        </w:rPr>
        <w:t>8085268</w:t>
      </w:r>
    </w:p>
    <w:p w14:paraId="25BA9F7D">
      <w:pPr>
        <w:autoSpaceDE w:val="0"/>
        <w:autoSpaceDN w:val="0"/>
        <w:adjustRightInd w:val="0"/>
        <w:spacing w:line="288" w:lineRule="auto"/>
        <w:ind w:right="-20" w:firstLine="480" w:firstLineChars="200"/>
        <w:rPr>
          <w:rFonts w:hint="eastAsia" w:ascii="宋体" w:hAnsi="宋体" w:cs="宋体"/>
          <w:sz w:val="24"/>
          <w:szCs w:val="22"/>
          <w:highlight w:val="none"/>
        </w:rPr>
      </w:pPr>
      <w:r>
        <w:rPr>
          <w:rFonts w:hint="eastAsia" w:ascii="宋体" w:hAnsi="宋体" w:cs="宋体"/>
          <w:sz w:val="24"/>
          <w:szCs w:val="22"/>
          <w:highlight w:val="none"/>
        </w:rPr>
        <w:t>质疑联系人：</w:t>
      </w:r>
      <w:r>
        <w:rPr>
          <w:rFonts w:hint="eastAsia" w:ascii="宋体" w:hAnsi="宋体" w:cs="宋体"/>
          <w:sz w:val="24"/>
          <w:szCs w:val="22"/>
          <w:highlight w:val="none"/>
          <w:lang w:val="en-US" w:eastAsia="zh-CN"/>
        </w:rPr>
        <w:t>马先生</w:t>
      </w:r>
      <w:r>
        <w:rPr>
          <w:rFonts w:hint="eastAsia" w:ascii="宋体" w:hAnsi="宋体" w:cs="宋体"/>
          <w:sz w:val="24"/>
          <w:szCs w:val="22"/>
          <w:highlight w:val="none"/>
        </w:rPr>
        <w:t xml:space="preserve">           </w:t>
      </w:r>
    </w:p>
    <w:p w14:paraId="038536AF">
      <w:pPr>
        <w:autoSpaceDE w:val="0"/>
        <w:autoSpaceDN w:val="0"/>
        <w:adjustRightInd w:val="0"/>
        <w:spacing w:line="440" w:lineRule="exact"/>
        <w:ind w:right="-20" w:firstLine="480" w:firstLineChars="200"/>
        <w:rPr>
          <w:rFonts w:hint="eastAsia" w:ascii="宋体" w:hAnsi="宋体" w:cs="宋体"/>
          <w:sz w:val="24"/>
          <w:szCs w:val="22"/>
          <w:highlight w:val="none"/>
        </w:rPr>
      </w:pPr>
      <w:r>
        <w:rPr>
          <w:rFonts w:hint="eastAsia" w:ascii="宋体" w:hAnsi="宋体" w:cs="宋体"/>
          <w:sz w:val="24"/>
          <w:szCs w:val="22"/>
          <w:highlight w:val="none"/>
        </w:rPr>
        <w:t>质疑联系方式：0570-</w:t>
      </w:r>
      <w:r>
        <w:rPr>
          <w:rFonts w:hint="eastAsia" w:ascii="宋体" w:hAnsi="宋体" w:cs="宋体"/>
          <w:sz w:val="24"/>
          <w:szCs w:val="22"/>
          <w:highlight w:val="none"/>
          <w:lang w:val="en-US" w:eastAsia="zh-CN"/>
        </w:rPr>
        <w:t>8085268</w:t>
      </w:r>
      <w:r>
        <w:rPr>
          <w:rFonts w:hint="eastAsia" w:ascii="宋体" w:hAnsi="宋体" w:cs="宋体"/>
          <w:sz w:val="24"/>
          <w:szCs w:val="22"/>
          <w:highlight w:val="none"/>
        </w:rPr>
        <w:t>　　　</w:t>
      </w:r>
    </w:p>
    <w:p w14:paraId="288F9ADD">
      <w:pPr>
        <w:autoSpaceDE w:val="0"/>
        <w:autoSpaceDN w:val="0"/>
        <w:adjustRightInd w:val="0"/>
        <w:spacing w:line="440" w:lineRule="exact"/>
        <w:ind w:right="-20" w:firstLine="480" w:firstLineChars="200"/>
        <w:rPr>
          <w:rFonts w:hint="eastAsia" w:ascii="宋体" w:hAnsi="宋体" w:cs="宋体"/>
          <w:sz w:val="24"/>
          <w:szCs w:val="24"/>
          <w:highlight w:val="none"/>
        </w:rPr>
      </w:pPr>
      <w:r>
        <w:rPr>
          <w:rFonts w:hint="eastAsia" w:ascii="宋体" w:hAnsi="宋体" w:cs="宋体"/>
          <w:sz w:val="24"/>
          <w:szCs w:val="24"/>
          <w:highlight w:val="none"/>
        </w:rPr>
        <w:t>　　　　　</w:t>
      </w:r>
    </w:p>
    <w:p w14:paraId="2834C81C">
      <w:pPr>
        <w:autoSpaceDE w:val="0"/>
        <w:autoSpaceDN w:val="0"/>
        <w:adjustRightInd w:val="0"/>
        <w:spacing w:line="440" w:lineRule="exact"/>
        <w:ind w:right="-20" w:firstLine="480" w:firstLineChars="200"/>
        <w:rPr>
          <w:rFonts w:hint="eastAsia" w:ascii="宋体" w:hAnsi="宋体" w:cs="宋体"/>
          <w:sz w:val="24"/>
          <w:szCs w:val="22"/>
          <w:highlight w:val="none"/>
        </w:rPr>
      </w:pPr>
      <w:r>
        <w:rPr>
          <w:rFonts w:hint="eastAsia" w:ascii="宋体" w:hAnsi="宋体" w:cs="宋体"/>
          <w:sz w:val="24"/>
          <w:szCs w:val="22"/>
          <w:highlight w:val="none"/>
        </w:rPr>
        <w:t xml:space="preserve">3.同级政府采购监督管理部门            </w:t>
      </w:r>
    </w:p>
    <w:p w14:paraId="0BED9A04">
      <w:pPr>
        <w:autoSpaceDE w:val="0"/>
        <w:autoSpaceDN w:val="0"/>
        <w:adjustRightInd w:val="0"/>
        <w:spacing w:line="440" w:lineRule="exact"/>
        <w:ind w:right="-20" w:firstLine="480" w:firstLineChars="200"/>
        <w:rPr>
          <w:rFonts w:hint="eastAsia" w:ascii="宋体" w:hAnsi="宋体" w:cs="宋体"/>
          <w:sz w:val="24"/>
          <w:szCs w:val="22"/>
          <w:highlight w:val="none"/>
        </w:rPr>
      </w:pPr>
      <w:r>
        <w:rPr>
          <w:rFonts w:hint="eastAsia" w:ascii="宋体" w:hAnsi="宋体" w:cs="宋体"/>
          <w:sz w:val="24"/>
          <w:szCs w:val="22"/>
          <w:highlight w:val="none"/>
        </w:rPr>
        <w:t xml:space="preserve">名    称：衢州市柯城区政府采购管理办公室             </w:t>
      </w:r>
    </w:p>
    <w:p w14:paraId="1528922C">
      <w:pPr>
        <w:autoSpaceDE w:val="0"/>
        <w:autoSpaceDN w:val="0"/>
        <w:adjustRightInd w:val="0"/>
        <w:spacing w:line="440" w:lineRule="exact"/>
        <w:ind w:right="-20" w:firstLine="480" w:firstLineChars="200"/>
        <w:rPr>
          <w:rFonts w:hint="eastAsia" w:ascii="宋体" w:hAnsi="宋体" w:cs="宋体"/>
          <w:sz w:val="24"/>
          <w:szCs w:val="22"/>
          <w:highlight w:val="none"/>
        </w:rPr>
      </w:pPr>
      <w:r>
        <w:rPr>
          <w:rFonts w:hint="eastAsia" w:ascii="宋体" w:hAnsi="宋体" w:cs="宋体"/>
          <w:sz w:val="24"/>
          <w:szCs w:val="22"/>
          <w:highlight w:val="none"/>
        </w:rPr>
        <w:t xml:space="preserve">地    址：荷三路行政中心9号楼308办公室                        </w:t>
      </w:r>
    </w:p>
    <w:p w14:paraId="507C614C">
      <w:pPr>
        <w:autoSpaceDE w:val="0"/>
        <w:autoSpaceDN w:val="0"/>
        <w:adjustRightInd w:val="0"/>
        <w:spacing w:line="440" w:lineRule="exact"/>
        <w:ind w:right="-20" w:firstLine="480" w:firstLineChars="200"/>
        <w:rPr>
          <w:rFonts w:hint="eastAsia" w:ascii="宋体" w:hAnsi="宋体" w:cs="宋体"/>
          <w:sz w:val="24"/>
          <w:szCs w:val="22"/>
          <w:highlight w:val="none"/>
        </w:rPr>
      </w:pPr>
      <w:r>
        <w:rPr>
          <w:rFonts w:hint="eastAsia" w:ascii="宋体" w:hAnsi="宋体" w:cs="宋体"/>
          <w:sz w:val="24"/>
          <w:szCs w:val="22"/>
          <w:highlight w:val="none"/>
        </w:rPr>
        <w:t xml:space="preserve">联系人 ：蒋先生             </w:t>
      </w:r>
    </w:p>
    <w:p w14:paraId="4EAD8D1B">
      <w:pPr>
        <w:autoSpaceDE w:val="0"/>
        <w:autoSpaceDN w:val="0"/>
        <w:adjustRightInd w:val="0"/>
        <w:spacing w:line="440" w:lineRule="exact"/>
        <w:ind w:right="-20" w:firstLine="480" w:firstLineChars="200"/>
        <w:rPr>
          <w:rFonts w:hint="eastAsia" w:ascii="宋体" w:hAnsi="宋体" w:cs="宋体"/>
          <w:sz w:val="24"/>
          <w:szCs w:val="22"/>
          <w:highlight w:val="none"/>
        </w:rPr>
      </w:pPr>
      <w:r>
        <w:rPr>
          <w:rFonts w:hint="eastAsia" w:ascii="宋体" w:hAnsi="宋体" w:cs="宋体"/>
          <w:sz w:val="24"/>
          <w:szCs w:val="22"/>
          <w:highlight w:val="none"/>
        </w:rPr>
        <w:t>监督投诉电话：0570-3020829</w:t>
      </w:r>
    </w:p>
    <w:p w14:paraId="730B1F3F">
      <w:pPr>
        <w:autoSpaceDE w:val="0"/>
        <w:autoSpaceDN w:val="0"/>
        <w:adjustRightInd w:val="0"/>
        <w:spacing w:line="288" w:lineRule="auto"/>
        <w:ind w:right="-20" w:firstLine="480" w:firstLineChars="200"/>
        <w:rPr>
          <w:rFonts w:hint="eastAsia" w:ascii="宋体" w:hAnsi="宋体" w:cs="宋体"/>
          <w:sz w:val="24"/>
          <w:szCs w:val="22"/>
          <w:highlight w:val="none"/>
        </w:rPr>
      </w:pPr>
    </w:p>
    <w:p w14:paraId="0CBA96F2">
      <w:pPr>
        <w:autoSpaceDE w:val="0"/>
        <w:autoSpaceDN w:val="0"/>
        <w:adjustRightInd w:val="0"/>
        <w:spacing w:line="440"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若对项目采购电子交易系统操作有疑问，可登录政采云（https://www.zcygov.cn/），点击右侧咨询小采，获取采小蜜智能服务管家帮助，或拨打政采云服务热线95763获取热线服务帮助。</w:t>
      </w:r>
    </w:p>
    <w:p w14:paraId="6D3D7A7C">
      <w:pPr>
        <w:autoSpaceDE w:val="0"/>
        <w:autoSpaceDN w:val="0"/>
        <w:adjustRightInd w:val="0"/>
        <w:spacing w:line="440"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CA问题联系电话（人工）：汇信CA 400-888-4636；天谷CA 400-087-8198。</w:t>
      </w:r>
    </w:p>
    <w:p w14:paraId="6A90C634">
      <w:pPr>
        <w:pStyle w:val="34"/>
        <w:rPr>
          <w:highlight w:val="none"/>
        </w:rPr>
      </w:pPr>
    </w:p>
    <w:p w14:paraId="4F10AD1B">
      <w:pPr>
        <w:pStyle w:val="45"/>
        <w:pageBreakBefore/>
        <w:adjustRightInd w:val="0"/>
        <w:snapToGrid w:val="0"/>
        <w:spacing w:line="360" w:lineRule="auto"/>
        <w:jc w:val="center"/>
        <w:outlineLvl w:val="0"/>
        <w:rPr>
          <w:rFonts w:hint="eastAsia" w:hAnsi="宋体" w:cs="宋体"/>
          <w:b/>
          <w:sz w:val="36"/>
          <w:highlight w:val="none"/>
        </w:rPr>
      </w:pPr>
      <w:bookmarkStart w:id="4" w:name="_Toc31506"/>
      <w:r>
        <w:rPr>
          <w:rFonts w:hint="eastAsia" w:hAnsi="宋体" w:cs="宋体"/>
          <w:b/>
          <w:sz w:val="36"/>
          <w:highlight w:val="none"/>
        </w:rPr>
        <w:t>第二部分  投标人须知</w:t>
      </w:r>
      <w:bookmarkEnd w:id="4"/>
    </w:p>
    <w:p w14:paraId="4DCDB415">
      <w:pPr>
        <w:pStyle w:val="5"/>
        <w:ind w:left="560" w:firstLine="0"/>
        <w:jc w:val="center"/>
        <w:rPr>
          <w:rFonts w:hint="eastAsia" w:ascii="宋体" w:hAnsi="宋体" w:eastAsia="宋体" w:cs="宋体"/>
          <w:sz w:val="32"/>
          <w:highlight w:val="none"/>
        </w:rPr>
      </w:pPr>
      <w:bookmarkStart w:id="5" w:name="_Toc519670190"/>
      <w:bookmarkStart w:id="6" w:name="_Toc522530040"/>
      <w:bookmarkStart w:id="7" w:name="_Toc16117"/>
      <w:r>
        <w:rPr>
          <w:rFonts w:hint="eastAsia" w:ascii="宋体" w:hAnsi="宋体" w:eastAsia="宋体" w:cs="宋体"/>
          <w:sz w:val="32"/>
          <w:highlight w:val="none"/>
        </w:rPr>
        <w:t>前 附 表</w:t>
      </w:r>
      <w:bookmarkEnd w:id="5"/>
      <w:bookmarkEnd w:id="6"/>
      <w:bookmarkEnd w:id="7"/>
    </w:p>
    <w:tbl>
      <w:tblPr>
        <w:tblStyle w:val="88"/>
        <w:tblW w:w="9242"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226"/>
        <w:gridCol w:w="7208"/>
      </w:tblGrid>
      <w:tr w14:paraId="7E2B1F3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08" w:type="dxa"/>
            <w:vAlign w:val="center"/>
          </w:tcPr>
          <w:p w14:paraId="67826A36">
            <w:pPr>
              <w:spacing w:line="276" w:lineRule="auto"/>
              <w:jc w:val="center"/>
              <w:rPr>
                <w:rFonts w:hint="eastAsia" w:ascii="宋体" w:hAnsi="宋体" w:cs="宋体"/>
                <w:b/>
                <w:sz w:val="24"/>
                <w:highlight w:val="none"/>
              </w:rPr>
            </w:pPr>
            <w:r>
              <w:rPr>
                <w:rFonts w:hint="eastAsia" w:ascii="宋体" w:hAnsi="宋体" w:cs="宋体"/>
                <w:b/>
                <w:sz w:val="24"/>
                <w:highlight w:val="none"/>
              </w:rPr>
              <w:t>序号</w:t>
            </w:r>
          </w:p>
        </w:tc>
        <w:tc>
          <w:tcPr>
            <w:tcW w:w="1226" w:type="dxa"/>
            <w:vAlign w:val="center"/>
          </w:tcPr>
          <w:p w14:paraId="113178A1">
            <w:pPr>
              <w:spacing w:line="276" w:lineRule="auto"/>
              <w:jc w:val="center"/>
              <w:rPr>
                <w:rFonts w:hint="eastAsia" w:ascii="宋体" w:hAnsi="宋体" w:cs="宋体"/>
                <w:b/>
                <w:sz w:val="24"/>
                <w:highlight w:val="none"/>
              </w:rPr>
            </w:pPr>
            <w:r>
              <w:rPr>
                <w:rFonts w:hint="eastAsia" w:ascii="宋体" w:hAnsi="宋体" w:cs="宋体"/>
                <w:b/>
                <w:sz w:val="24"/>
                <w:highlight w:val="none"/>
              </w:rPr>
              <w:t>名称</w:t>
            </w:r>
          </w:p>
        </w:tc>
        <w:tc>
          <w:tcPr>
            <w:tcW w:w="7208" w:type="dxa"/>
            <w:vAlign w:val="center"/>
          </w:tcPr>
          <w:p w14:paraId="31ED7841">
            <w:pPr>
              <w:spacing w:line="276" w:lineRule="auto"/>
              <w:jc w:val="center"/>
              <w:rPr>
                <w:rFonts w:hint="eastAsia" w:ascii="宋体" w:hAnsi="宋体" w:cs="宋体"/>
                <w:b/>
                <w:sz w:val="24"/>
                <w:highlight w:val="none"/>
              </w:rPr>
            </w:pPr>
            <w:r>
              <w:rPr>
                <w:rFonts w:hint="eastAsia" w:ascii="宋体" w:hAnsi="宋体" w:cs="宋体"/>
                <w:b/>
                <w:sz w:val="24"/>
                <w:highlight w:val="none"/>
              </w:rPr>
              <w:t>内容</w:t>
            </w:r>
          </w:p>
        </w:tc>
      </w:tr>
      <w:tr w14:paraId="5DE6E06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vAlign w:val="center"/>
          </w:tcPr>
          <w:p w14:paraId="575882E0">
            <w:pPr>
              <w:spacing w:line="276" w:lineRule="auto"/>
              <w:jc w:val="center"/>
              <w:rPr>
                <w:rFonts w:hint="eastAsia" w:ascii="宋体" w:hAnsi="宋体" w:cs="宋体"/>
                <w:sz w:val="24"/>
                <w:highlight w:val="none"/>
              </w:rPr>
            </w:pPr>
            <w:r>
              <w:rPr>
                <w:rFonts w:hint="eastAsia" w:ascii="宋体" w:hAnsi="宋体" w:cs="宋体"/>
                <w:sz w:val="24"/>
                <w:highlight w:val="none"/>
              </w:rPr>
              <w:t>1</w:t>
            </w:r>
          </w:p>
        </w:tc>
        <w:tc>
          <w:tcPr>
            <w:tcW w:w="1226" w:type="dxa"/>
            <w:vAlign w:val="center"/>
          </w:tcPr>
          <w:p w14:paraId="79A1B0C0">
            <w:pPr>
              <w:spacing w:line="276" w:lineRule="auto"/>
              <w:jc w:val="center"/>
              <w:rPr>
                <w:rFonts w:hint="eastAsia" w:ascii="宋体" w:hAnsi="宋体" w:cs="宋体"/>
                <w:sz w:val="24"/>
                <w:highlight w:val="none"/>
              </w:rPr>
            </w:pPr>
            <w:r>
              <w:rPr>
                <w:rFonts w:hint="eastAsia" w:ascii="宋体" w:hAnsi="宋体" w:cs="宋体"/>
                <w:sz w:val="24"/>
                <w:highlight w:val="none"/>
              </w:rPr>
              <w:t>是否允许分包</w:t>
            </w:r>
          </w:p>
        </w:tc>
        <w:tc>
          <w:tcPr>
            <w:tcW w:w="7208" w:type="dxa"/>
            <w:vAlign w:val="center"/>
          </w:tcPr>
          <w:p w14:paraId="4B06ACBC">
            <w:pPr>
              <w:spacing w:line="276" w:lineRule="auto"/>
              <w:rPr>
                <w:rFonts w:hint="eastAsia" w:ascii="宋体" w:hAnsi="宋体" w:cs="宋体"/>
                <w:sz w:val="24"/>
                <w:highlight w:val="none"/>
              </w:rPr>
            </w:pPr>
            <w:r>
              <w:rPr>
                <w:rFonts w:hint="eastAsia" w:ascii="宋体" w:hAnsi="宋体" w:cs="宋体"/>
                <w:sz w:val="24"/>
                <w:highlight w:val="none"/>
              </w:rPr>
              <w:t>☑不允许</w:t>
            </w:r>
          </w:p>
          <w:p w14:paraId="5A1D9338">
            <w:pPr>
              <w:spacing w:line="276" w:lineRule="auto"/>
              <w:rPr>
                <w:rFonts w:hint="eastAsia" w:ascii="宋体" w:hAnsi="宋体" w:cs="宋体"/>
                <w:sz w:val="24"/>
                <w:highlight w:val="none"/>
              </w:rPr>
            </w:pPr>
            <w:r>
              <w:rPr>
                <w:rFonts w:hint="eastAsia" w:ascii="宋体" w:hAnsi="宋体" w:cs="宋体"/>
                <w:sz w:val="24"/>
                <w:highlight w:val="none"/>
              </w:rPr>
              <w:sym w:font="Wingdings" w:char="00A8"/>
            </w:r>
            <w:r>
              <w:rPr>
                <w:rFonts w:hint="eastAsia" w:ascii="宋体" w:hAnsi="宋体" w:cs="宋体"/>
                <w:sz w:val="24"/>
                <w:highlight w:val="none"/>
              </w:rPr>
              <w:t>允许  分包内容要求：      分包金额要求：</w:t>
            </w:r>
          </w:p>
          <w:p w14:paraId="3BA5ACE7">
            <w:pPr>
              <w:spacing w:line="276" w:lineRule="auto"/>
              <w:rPr>
                <w:rFonts w:hint="eastAsia" w:ascii="宋体" w:hAnsi="宋体" w:cs="宋体"/>
                <w:sz w:val="24"/>
                <w:highlight w:val="none"/>
              </w:rPr>
            </w:pPr>
            <w:r>
              <w:rPr>
                <w:rFonts w:hint="eastAsia" w:ascii="宋体" w:hAnsi="宋体" w:cs="宋体"/>
                <w:sz w:val="24"/>
                <w:highlight w:val="none"/>
              </w:rPr>
              <w:t>接受分包的第三人资质要求：</w:t>
            </w:r>
          </w:p>
        </w:tc>
      </w:tr>
      <w:tr w14:paraId="4E4113A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08" w:type="dxa"/>
            <w:vAlign w:val="center"/>
          </w:tcPr>
          <w:p w14:paraId="7D3C8C83">
            <w:pPr>
              <w:spacing w:line="276" w:lineRule="auto"/>
              <w:jc w:val="center"/>
              <w:rPr>
                <w:rFonts w:hint="eastAsia" w:ascii="宋体" w:hAnsi="宋体" w:cs="宋体"/>
                <w:sz w:val="24"/>
                <w:highlight w:val="none"/>
              </w:rPr>
            </w:pPr>
            <w:r>
              <w:rPr>
                <w:rFonts w:hint="eastAsia" w:ascii="宋体" w:hAnsi="宋体" w:cs="宋体"/>
                <w:sz w:val="24"/>
                <w:highlight w:val="none"/>
              </w:rPr>
              <w:t>2</w:t>
            </w:r>
          </w:p>
        </w:tc>
        <w:tc>
          <w:tcPr>
            <w:tcW w:w="1226" w:type="dxa"/>
            <w:vAlign w:val="center"/>
          </w:tcPr>
          <w:p w14:paraId="16E77268">
            <w:pPr>
              <w:spacing w:line="276" w:lineRule="auto"/>
              <w:jc w:val="center"/>
              <w:rPr>
                <w:rFonts w:hint="eastAsia" w:ascii="宋体" w:hAnsi="宋体" w:cs="宋体"/>
                <w:spacing w:val="-2"/>
                <w:kern w:val="0"/>
                <w:position w:val="-3"/>
                <w:sz w:val="24"/>
                <w:highlight w:val="none"/>
              </w:rPr>
            </w:pPr>
            <w:r>
              <w:rPr>
                <w:rFonts w:hint="eastAsia" w:ascii="宋体" w:hAnsi="宋体" w:cs="宋体"/>
                <w:spacing w:val="-2"/>
                <w:kern w:val="0"/>
                <w:position w:val="-3"/>
                <w:sz w:val="24"/>
                <w:highlight w:val="none"/>
              </w:rPr>
              <w:t>踏勘现场</w:t>
            </w:r>
          </w:p>
        </w:tc>
        <w:tc>
          <w:tcPr>
            <w:tcW w:w="7208" w:type="dxa"/>
            <w:vAlign w:val="center"/>
          </w:tcPr>
          <w:p w14:paraId="481CBA26">
            <w:pPr>
              <w:spacing w:line="276" w:lineRule="auto"/>
              <w:rPr>
                <w:rFonts w:hint="eastAsia" w:ascii="宋体" w:hAnsi="宋体" w:cs="宋体"/>
                <w:spacing w:val="-2"/>
                <w:kern w:val="0"/>
                <w:position w:val="-3"/>
                <w:sz w:val="24"/>
                <w:highlight w:val="none"/>
              </w:rPr>
            </w:pPr>
            <w:r>
              <w:rPr>
                <w:rFonts w:hint="eastAsia" w:ascii="宋体" w:hAnsi="宋体" w:cs="宋体"/>
                <w:spacing w:val="-2"/>
                <w:kern w:val="0"/>
                <w:position w:val="-3"/>
                <w:sz w:val="24"/>
                <w:highlight w:val="none"/>
              </w:rPr>
              <w:sym w:font="Wingdings" w:char="00FE"/>
            </w:r>
            <w:r>
              <w:rPr>
                <w:rFonts w:hint="eastAsia" w:ascii="宋体" w:hAnsi="宋体" w:cs="宋体"/>
                <w:spacing w:val="-2"/>
                <w:kern w:val="0"/>
                <w:position w:val="-3"/>
                <w:sz w:val="24"/>
                <w:highlight w:val="none"/>
              </w:rPr>
              <w:t>不组织  投标人如有需要可自行前往踏勘，联系方式见招标公告。</w:t>
            </w:r>
          </w:p>
          <w:p w14:paraId="111E30C1">
            <w:pPr>
              <w:spacing w:line="276" w:lineRule="auto"/>
              <w:rPr>
                <w:rFonts w:hint="eastAsia" w:ascii="宋体" w:hAnsi="宋体" w:cs="宋体"/>
                <w:spacing w:val="-2"/>
                <w:kern w:val="0"/>
                <w:position w:val="-3"/>
                <w:sz w:val="24"/>
                <w:highlight w:val="none"/>
              </w:rPr>
            </w:pPr>
            <w:r>
              <w:rPr>
                <w:rFonts w:hint="eastAsia" w:ascii="宋体" w:hAnsi="宋体" w:cs="宋体"/>
                <w:sz w:val="24"/>
                <w:highlight w:val="none"/>
              </w:rPr>
              <w:t>□</w:t>
            </w:r>
            <w:r>
              <w:rPr>
                <w:rFonts w:hint="eastAsia" w:ascii="宋体" w:hAnsi="宋体" w:cs="宋体"/>
                <w:spacing w:val="-2"/>
                <w:kern w:val="0"/>
                <w:position w:val="-3"/>
                <w:sz w:val="24"/>
                <w:highlight w:val="none"/>
              </w:rPr>
              <w:t xml:space="preserve">统一组织踏勘时间：踏勘集中地点： </w:t>
            </w:r>
          </w:p>
        </w:tc>
      </w:tr>
      <w:tr w14:paraId="4C3E64B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08" w:type="dxa"/>
            <w:vAlign w:val="center"/>
          </w:tcPr>
          <w:p w14:paraId="319B1E8B">
            <w:pPr>
              <w:spacing w:line="276" w:lineRule="auto"/>
              <w:jc w:val="center"/>
              <w:rPr>
                <w:rFonts w:hint="eastAsia" w:ascii="宋体" w:hAnsi="宋体" w:cs="宋体"/>
                <w:sz w:val="24"/>
                <w:highlight w:val="none"/>
              </w:rPr>
            </w:pPr>
            <w:r>
              <w:rPr>
                <w:rFonts w:hint="eastAsia" w:ascii="宋体" w:hAnsi="宋体" w:cs="宋体"/>
                <w:sz w:val="24"/>
                <w:highlight w:val="none"/>
              </w:rPr>
              <w:t>3</w:t>
            </w:r>
          </w:p>
        </w:tc>
        <w:tc>
          <w:tcPr>
            <w:tcW w:w="1226" w:type="dxa"/>
            <w:vAlign w:val="center"/>
          </w:tcPr>
          <w:p w14:paraId="26EF9B88">
            <w:pPr>
              <w:spacing w:line="276" w:lineRule="auto"/>
              <w:jc w:val="center"/>
              <w:rPr>
                <w:rFonts w:hint="eastAsia" w:ascii="宋体" w:hAnsi="宋体" w:cs="宋体"/>
                <w:spacing w:val="-2"/>
                <w:kern w:val="0"/>
                <w:position w:val="-3"/>
                <w:sz w:val="24"/>
                <w:highlight w:val="none"/>
              </w:rPr>
            </w:pPr>
            <w:r>
              <w:rPr>
                <w:rFonts w:hint="eastAsia" w:ascii="宋体" w:hAnsi="宋体" w:cs="宋体"/>
                <w:spacing w:val="-2"/>
                <w:kern w:val="0"/>
                <w:position w:val="-3"/>
                <w:sz w:val="24"/>
                <w:highlight w:val="none"/>
              </w:rPr>
              <w:t>投标预备答疑会</w:t>
            </w:r>
          </w:p>
        </w:tc>
        <w:tc>
          <w:tcPr>
            <w:tcW w:w="7208" w:type="dxa"/>
            <w:vAlign w:val="center"/>
          </w:tcPr>
          <w:p w14:paraId="512E6C7F">
            <w:pPr>
              <w:spacing w:line="276" w:lineRule="auto"/>
              <w:rPr>
                <w:rFonts w:hint="eastAsia" w:ascii="宋体" w:hAnsi="宋体" w:cs="宋体"/>
                <w:spacing w:val="-2"/>
                <w:kern w:val="0"/>
                <w:position w:val="-3"/>
                <w:sz w:val="24"/>
                <w:highlight w:val="none"/>
              </w:rPr>
            </w:pPr>
            <w:r>
              <w:rPr>
                <w:rFonts w:hint="eastAsia" w:ascii="宋体" w:hAnsi="宋体" w:cs="宋体"/>
                <w:spacing w:val="-2"/>
                <w:kern w:val="0"/>
                <w:position w:val="-3"/>
                <w:sz w:val="24"/>
                <w:highlight w:val="none"/>
              </w:rPr>
              <w:sym w:font="Wingdings" w:char="F0FE"/>
            </w:r>
            <w:r>
              <w:rPr>
                <w:rFonts w:hint="eastAsia" w:ascii="宋体" w:hAnsi="宋体" w:cs="宋体"/>
                <w:spacing w:val="-2"/>
                <w:kern w:val="0"/>
                <w:position w:val="-3"/>
                <w:sz w:val="24"/>
                <w:highlight w:val="none"/>
              </w:rPr>
              <w:t>不召开</w:t>
            </w:r>
          </w:p>
          <w:p w14:paraId="7D0537E6">
            <w:pPr>
              <w:spacing w:line="276" w:lineRule="auto"/>
              <w:rPr>
                <w:rFonts w:hint="eastAsia" w:ascii="宋体" w:hAnsi="宋体" w:cs="宋体"/>
                <w:spacing w:val="-2"/>
                <w:kern w:val="0"/>
                <w:position w:val="-3"/>
                <w:sz w:val="24"/>
                <w:highlight w:val="none"/>
              </w:rPr>
            </w:pPr>
            <w:r>
              <w:rPr>
                <w:rFonts w:hint="eastAsia" w:ascii="宋体" w:hAnsi="宋体" w:cs="宋体"/>
                <w:spacing w:val="-2"/>
                <w:kern w:val="0"/>
                <w:position w:val="-3"/>
                <w:sz w:val="24"/>
                <w:highlight w:val="none"/>
              </w:rPr>
              <w:t>□召开时间：召开地点：</w:t>
            </w:r>
          </w:p>
        </w:tc>
      </w:tr>
      <w:tr w14:paraId="2E9BCB1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08" w:type="dxa"/>
            <w:vAlign w:val="center"/>
          </w:tcPr>
          <w:p w14:paraId="10ABC656">
            <w:pPr>
              <w:spacing w:line="276" w:lineRule="auto"/>
              <w:jc w:val="center"/>
              <w:rPr>
                <w:rFonts w:hint="eastAsia" w:ascii="宋体" w:hAnsi="宋体" w:cs="宋体"/>
                <w:sz w:val="24"/>
                <w:highlight w:val="none"/>
              </w:rPr>
            </w:pPr>
            <w:r>
              <w:rPr>
                <w:rFonts w:hint="eastAsia" w:ascii="宋体" w:hAnsi="宋体" w:cs="宋体"/>
                <w:sz w:val="24"/>
                <w:highlight w:val="none"/>
              </w:rPr>
              <w:t>4</w:t>
            </w:r>
          </w:p>
        </w:tc>
        <w:tc>
          <w:tcPr>
            <w:tcW w:w="1226" w:type="dxa"/>
            <w:vAlign w:val="center"/>
          </w:tcPr>
          <w:p w14:paraId="28E487A4">
            <w:pPr>
              <w:spacing w:line="276" w:lineRule="auto"/>
              <w:jc w:val="center"/>
              <w:rPr>
                <w:rFonts w:hint="eastAsia" w:ascii="宋体" w:hAnsi="宋体" w:cs="宋体"/>
                <w:sz w:val="24"/>
                <w:highlight w:val="none"/>
              </w:rPr>
            </w:pPr>
            <w:r>
              <w:rPr>
                <w:rFonts w:hint="eastAsia" w:ascii="宋体" w:hAnsi="宋体" w:cs="宋体"/>
                <w:kern w:val="0"/>
                <w:position w:val="-3"/>
                <w:sz w:val="24"/>
                <w:highlight w:val="none"/>
              </w:rPr>
              <w:t>是否</w:t>
            </w:r>
            <w:r>
              <w:rPr>
                <w:rFonts w:hint="eastAsia" w:ascii="宋体" w:hAnsi="宋体" w:cs="宋体"/>
                <w:spacing w:val="-2"/>
                <w:kern w:val="0"/>
                <w:position w:val="-3"/>
                <w:sz w:val="24"/>
                <w:highlight w:val="none"/>
              </w:rPr>
              <w:t>接</w:t>
            </w:r>
            <w:r>
              <w:rPr>
                <w:rFonts w:hint="eastAsia" w:ascii="宋体" w:hAnsi="宋体" w:cs="宋体"/>
                <w:kern w:val="0"/>
                <w:position w:val="-3"/>
                <w:sz w:val="24"/>
                <w:highlight w:val="none"/>
              </w:rPr>
              <w:t>受</w:t>
            </w:r>
            <w:r>
              <w:rPr>
                <w:rFonts w:hint="eastAsia" w:ascii="宋体" w:hAnsi="宋体" w:cs="宋体"/>
                <w:spacing w:val="-2"/>
                <w:kern w:val="0"/>
                <w:position w:val="-3"/>
                <w:sz w:val="24"/>
                <w:highlight w:val="none"/>
              </w:rPr>
              <w:t>联</w:t>
            </w:r>
            <w:r>
              <w:rPr>
                <w:rFonts w:hint="eastAsia" w:ascii="宋体" w:hAnsi="宋体" w:cs="宋体"/>
                <w:kern w:val="0"/>
                <w:position w:val="-3"/>
                <w:sz w:val="24"/>
                <w:highlight w:val="none"/>
              </w:rPr>
              <w:t>合</w:t>
            </w:r>
            <w:r>
              <w:rPr>
                <w:rFonts w:hint="eastAsia" w:ascii="宋体" w:hAnsi="宋体" w:cs="宋体"/>
                <w:spacing w:val="-2"/>
                <w:kern w:val="0"/>
                <w:position w:val="-3"/>
                <w:sz w:val="24"/>
                <w:highlight w:val="none"/>
              </w:rPr>
              <w:t>体</w:t>
            </w:r>
            <w:r>
              <w:rPr>
                <w:rFonts w:hint="eastAsia" w:ascii="宋体" w:hAnsi="宋体" w:cs="宋体"/>
                <w:kern w:val="0"/>
                <w:position w:val="-3"/>
                <w:sz w:val="24"/>
                <w:highlight w:val="none"/>
              </w:rPr>
              <w:t>投标</w:t>
            </w:r>
          </w:p>
        </w:tc>
        <w:tc>
          <w:tcPr>
            <w:tcW w:w="7208" w:type="dxa"/>
            <w:vAlign w:val="center"/>
          </w:tcPr>
          <w:p w14:paraId="62347378">
            <w:pPr>
              <w:autoSpaceDE w:val="0"/>
              <w:autoSpaceDN w:val="0"/>
              <w:adjustRightInd w:val="0"/>
              <w:spacing w:line="276" w:lineRule="auto"/>
              <w:ind w:right="-20"/>
              <w:rPr>
                <w:rFonts w:hint="eastAsia" w:ascii="宋体" w:hAnsi="宋体" w:cs="宋体"/>
                <w:sz w:val="24"/>
                <w:highlight w:val="none"/>
                <w:lang w:val="zh-CN"/>
              </w:rPr>
            </w:pPr>
            <w:r>
              <w:rPr>
                <w:rFonts w:hint="eastAsia" w:ascii="宋体" w:hAnsi="宋体" w:cs="宋体"/>
                <w:sz w:val="24"/>
                <w:highlight w:val="none"/>
              </w:rPr>
              <w:sym w:font="Wingdings" w:char="F0FE"/>
            </w:r>
            <w:r>
              <w:rPr>
                <w:rFonts w:hint="eastAsia" w:ascii="宋体" w:hAnsi="宋体" w:cs="宋体"/>
                <w:sz w:val="24"/>
                <w:highlight w:val="none"/>
                <w:lang w:val="zh-CN"/>
              </w:rPr>
              <w:t>否。</w:t>
            </w:r>
          </w:p>
          <w:p w14:paraId="113EBB15">
            <w:pPr>
              <w:spacing w:line="276" w:lineRule="auto"/>
              <w:rPr>
                <w:rFonts w:hint="eastAsia" w:ascii="宋体" w:hAnsi="宋体" w:cs="宋体"/>
                <w:sz w:val="24"/>
                <w:highlight w:val="none"/>
              </w:rPr>
            </w:pPr>
            <w:r>
              <w:rPr>
                <w:rFonts w:hint="eastAsia" w:ascii="宋体" w:hAnsi="宋体" w:cs="宋体"/>
                <w:sz w:val="24"/>
                <w:highlight w:val="none"/>
              </w:rPr>
              <w:t>□是。</w:t>
            </w:r>
          </w:p>
        </w:tc>
      </w:tr>
      <w:tr w14:paraId="5A70B14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08" w:type="dxa"/>
            <w:vAlign w:val="center"/>
          </w:tcPr>
          <w:p w14:paraId="29CB804F">
            <w:pPr>
              <w:spacing w:line="276" w:lineRule="auto"/>
              <w:jc w:val="center"/>
              <w:rPr>
                <w:rFonts w:hint="eastAsia" w:ascii="宋体" w:hAnsi="宋体" w:cs="宋体"/>
                <w:sz w:val="24"/>
                <w:highlight w:val="none"/>
              </w:rPr>
            </w:pPr>
            <w:r>
              <w:rPr>
                <w:rFonts w:hint="eastAsia" w:ascii="宋体" w:hAnsi="宋体" w:cs="宋体"/>
                <w:sz w:val="24"/>
                <w:highlight w:val="none"/>
              </w:rPr>
              <w:t>5</w:t>
            </w:r>
          </w:p>
        </w:tc>
        <w:tc>
          <w:tcPr>
            <w:tcW w:w="1226" w:type="dxa"/>
            <w:vAlign w:val="center"/>
          </w:tcPr>
          <w:p w14:paraId="7F0624B2">
            <w:pPr>
              <w:spacing w:line="276" w:lineRule="auto"/>
              <w:jc w:val="center"/>
              <w:rPr>
                <w:rFonts w:hint="eastAsia" w:ascii="宋体" w:hAnsi="宋体" w:cs="宋体"/>
                <w:kern w:val="0"/>
                <w:sz w:val="24"/>
                <w:highlight w:val="none"/>
              </w:rPr>
            </w:pPr>
            <w:r>
              <w:rPr>
                <w:rFonts w:hint="eastAsia" w:ascii="宋体" w:hAnsi="宋体" w:cs="宋体"/>
                <w:kern w:val="0"/>
                <w:sz w:val="24"/>
                <w:highlight w:val="none"/>
              </w:rPr>
              <w:t>是否允许进口产品投标</w:t>
            </w:r>
          </w:p>
        </w:tc>
        <w:tc>
          <w:tcPr>
            <w:tcW w:w="7208" w:type="dxa"/>
            <w:vAlign w:val="center"/>
          </w:tcPr>
          <w:p w14:paraId="29BAC43D">
            <w:pPr>
              <w:autoSpaceDE w:val="0"/>
              <w:autoSpaceDN w:val="0"/>
              <w:adjustRightInd w:val="0"/>
              <w:spacing w:line="276" w:lineRule="auto"/>
              <w:ind w:right="-20"/>
              <w:rPr>
                <w:rFonts w:hint="eastAsia" w:ascii="宋体" w:hAnsi="宋体" w:cs="宋体"/>
                <w:sz w:val="24"/>
                <w:highlight w:val="none"/>
                <w:lang w:val="zh-CN"/>
              </w:rPr>
            </w:pPr>
            <w:r>
              <w:rPr>
                <w:rFonts w:hint="eastAsia" w:ascii="宋体" w:hAnsi="宋体" w:cs="宋体"/>
                <w:sz w:val="24"/>
                <w:highlight w:val="none"/>
              </w:rPr>
              <w:sym w:font="Wingdings" w:char="F0FE"/>
            </w:r>
            <w:r>
              <w:rPr>
                <w:rFonts w:hint="eastAsia" w:ascii="宋体" w:hAnsi="宋体" w:cs="宋体"/>
                <w:sz w:val="24"/>
                <w:highlight w:val="none"/>
                <w:lang w:val="zh-CN"/>
              </w:rPr>
              <w:t>不允许。</w:t>
            </w:r>
          </w:p>
          <w:p w14:paraId="7D07307F">
            <w:pPr>
              <w:autoSpaceDE w:val="0"/>
              <w:autoSpaceDN w:val="0"/>
              <w:adjustRightInd w:val="0"/>
              <w:spacing w:line="276" w:lineRule="auto"/>
              <w:ind w:right="-20"/>
              <w:rPr>
                <w:rFonts w:hint="eastAsia" w:ascii="宋体" w:hAnsi="宋体" w:cs="宋体"/>
                <w:sz w:val="24"/>
                <w:highlight w:val="none"/>
              </w:rPr>
            </w:pPr>
            <w:r>
              <w:rPr>
                <w:rFonts w:hint="eastAsia" w:ascii="宋体" w:hAnsi="宋体" w:cs="宋体"/>
                <w:sz w:val="24"/>
                <w:highlight w:val="none"/>
              </w:rPr>
              <w:t>□允许，详见招标文件第三部分 采购需求。</w:t>
            </w:r>
          </w:p>
          <w:p w14:paraId="17DC7E43">
            <w:pPr>
              <w:autoSpaceDE w:val="0"/>
              <w:autoSpaceDN w:val="0"/>
              <w:adjustRightInd w:val="0"/>
              <w:spacing w:line="276" w:lineRule="auto"/>
              <w:ind w:right="-20"/>
              <w:rPr>
                <w:rFonts w:hint="eastAsia" w:ascii="宋体" w:hAnsi="宋体" w:cs="宋体"/>
                <w:sz w:val="24"/>
                <w:highlight w:val="none"/>
              </w:rPr>
            </w:pPr>
            <w:r>
              <w:rPr>
                <w:rFonts w:hint="eastAsia" w:ascii="宋体" w:hAnsi="宋体" w:cs="宋体"/>
                <w:sz w:val="24"/>
                <w:highlight w:val="none"/>
              </w:rPr>
              <w:t>□部分允许，详见招标文件第三部分 采购需求。</w:t>
            </w:r>
          </w:p>
          <w:p w14:paraId="00E48937">
            <w:pPr>
              <w:autoSpaceDE w:val="0"/>
              <w:autoSpaceDN w:val="0"/>
              <w:adjustRightInd w:val="0"/>
              <w:spacing w:line="276" w:lineRule="auto"/>
              <w:ind w:right="-20"/>
              <w:rPr>
                <w:rFonts w:hint="eastAsia" w:ascii="宋体" w:hAnsi="宋体" w:cs="宋体"/>
                <w:sz w:val="24"/>
                <w:highlight w:val="none"/>
              </w:rPr>
            </w:pPr>
            <w:r>
              <w:rPr>
                <w:rFonts w:hint="eastAsia" w:ascii="宋体" w:hAnsi="宋体" w:cs="宋体"/>
                <w:sz w:val="24"/>
                <w:highlight w:val="none"/>
              </w:rPr>
              <w:t>报价及交货方式：□CIP</w:t>
            </w:r>
            <w:r>
              <w:rPr>
                <w:rFonts w:hint="eastAsia" w:ascii="宋体" w:hAnsi="宋体" w:cs="宋体"/>
                <w:sz w:val="24"/>
                <w:highlight w:val="none"/>
                <w:lang w:val="zh-CN"/>
              </w:rPr>
              <w:t>/</w:t>
            </w:r>
            <w:r>
              <w:rPr>
                <w:rFonts w:hint="eastAsia" w:ascii="宋体" w:hAnsi="宋体" w:cs="宋体"/>
                <w:sz w:val="24"/>
                <w:highlight w:val="none"/>
              </w:rPr>
              <w:t>□CIF。</w:t>
            </w:r>
          </w:p>
        </w:tc>
      </w:tr>
      <w:tr w14:paraId="0B44B1C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vAlign w:val="center"/>
          </w:tcPr>
          <w:p w14:paraId="304E211A">
            <w:pPr>
              <w:spacing w:line="276" w:lineRule="auto"/>
              <w:jc w:val="center"/>
              <w:rPr>
                <w:rFonts w:hint="eastAsia" w:ascii="宋体" w:hAnsi="宋体" w:cs="宋体"/>
                <w:sz w:val="24"/>
                <w:highlight w:val="none"/>
              </w:rPr>
            </w:pPr>
            <w:r>
              <w:rPr>
                <w:rFonts w:hint="eastAsia" w:ascii="宋体" w:hAnsi="宋体" w:cs="宋体"/>
                <w:sz w:val="24"/>
                <w:highlight w:val="none"/>
              </w:rPr>
              <w:t>6</w:t>
            </w:r>
          </w:p>
        </w:tc>
        <w:tc>
          <w:tcPr>
            <w:tcW w:w="1226" w:type="dxa"/>
            <w:vAlign w:val="center"/>
          </w:tcPr>
          <w:p w14:paraId="4058B0BF">
            <w:pPr>
              <w:spacing w:line="276" w:lineRule="auto"/>
              <w:jc w:val="center"/>
              <w:rPr>
                <w:rFonts w:hint="eastAsia" w:ascii="宋体" w:hAnsi="宋体" w:cs="宋体"/>
                <w:sz w:val="24"/>
                <w:highlight w:val="none"/>
              </w:rPr>
            </w:pPr>
            <w:r>
              <w:rPr>
                <w:rFonts w:hint="eastAsia" w:ascii="宋体" w:hAnsi="宋体" w:cs="宋体"/>
                <w:kern w:val="0"/>
                <w:position w:val="-5"/>
                <w:sz w:val="24"/>
                <w:highlight w:val="none"/>
              </w:rPr>
              <w:t>投标</w:t>
            </w:r>
            <w:r>
              <w:rPr>
                <w:rFonts w:hint="eastAsia" w:ascii="宋体" w:hAnsi="宋体" w:cs="宋体"/>
                <w:spacing w:val="-2"/>
                <w:kern w:val="0"/>
                <w:position w:val="-5"/>
                <w:sz w:val="24"/>
                <w:highlight w:val="none"/>
              </w:rPr>
              <w:t>文</w:t>
            </w:r>
            <w:r>
              <w:rPr>
                <w:rFonts w:hint="eastAsia" w:ascii="宋体" w:hAnsi="宋体" w:cs="宋体"/>
                <w:kern w:val="0"/>
                <w:position w:val="-5"/>
                <w:sz w:val="24"/>
                <w:highlight w:val="none"/>
              </w:rPr>
              <w:t>件</w:t>
            </w:r>
            <w:r>
              <w:rPr>
                <w:rFonts w:hint="eastAsia" w:ascii="宋体" w:hAnsi="宋体" w:cs="宋体"/>
                <w:spacing w:val="-2"/>
                <w:kern w:val="0"/>
                <w:position w:val="-5"/>
                <w:sz w:val="24"/>
                <w:highlight w:val="none"/>
              </w:rPr>
              <w:t>份</w:t>
            </w:r>
            <w:r>
              <w:rPr>
                <w:rFonts w:hint="eastAsia" w:ascii="宋体" w:hAnsi="宋体" w:cs="宋体"/>
                <w:kern w:val="0"/>
                <w:position w:val="-5"/>
                <w:sz w:val="24"/>
                <w:highlight w:val="none"/>
              </w:rPr>
              <w:t>数</w:t>
            </w:r>
          </w:p>
        </w:tc>
        <w:tc>
          <w:tcPr>
            <w:tcW w:w="7208" w:type="dxa"/>
            <w:vAlign w:val="center"/>
          </w:tcPr>
          <w:p w14:paraId="2581621C">
            <w:pPr>
              <w:numPr>
                <w:ilvl w:val="0"/>
                <w:numId w:val="3"/>
              </w:numPr>
              <w:spacing w:line="276" w:lineRule="auto"/>
              <w:rPr>
                <w:rFonts w:hint="eastAsia" w:ascii="宋体" w:hAnsi="宋体" w:cs="宋体"/>
                <w:sz w:val="24"/>
                <w:highlight w:val="none"/>
              </w:rPr>
            </w:pPr>
            <w:r>
              <w:rPr>
                <w:rFonts w:hint="eastAsia" w:ascii="宋体" w:hAnsi="宋体" w:cs="宋体"/>
                <w:sz w:val="24"/>
                <w:highlight w:val="none"/>
              </w:rPr>
              <w:t>“电子加密投标文件”：在线上传递交、一份。</w:t>
            </w:r>
          </w:p>
          <w:p w14:paraId="6F9D9407">
            <w:pPr>
              <w:spacing w:line="276" w:lineRule="auto"/>
              <w:rPr>
                <w:rFonts w:hint="eastAsia" w:ascii="宋体" w:hAnsi="宋体" w:cs="宋体"/>
                <w:sz w:val="24"/>
                <w:highlight w:val="none"/>
              </w:rPr>
            </w:pPr>
            <w:r>
              <w:rPr>
                <w:rFonts w:hint="eastAsia" w:ascii="宋体" w:hAnsi="宋体" w:cs="宋体"/>
                <w:sz w:val="24"/>
                <w:highlight w:val="none"/>
              </w:rPr>
              <w:t>（2）“备份投标文件”：密封包装后（建议顺丰或EMS邮寄形式）投标截止时间前递交一份，邮寄地址：衢州市九华北大道509号2#楼二单元</w:t>
            </w:r>
            <w:r>
              <w:rPr>
                <w:rFonts w:hint="eastAsia" w:ascii="宋体" w:hAnsi="宋体" w:cs="宋体"/>
                <w:sz w:val="24"/>
                <w:highlight w:val="none"/>
                <w:lang w:val="en-US" w:eastAsia="zh-CN"/>
              </w:rPr>
              <w:t>4</w:t>
            </w:r>
            <w:r>
              <w:rPr>
                <w:rFonts w:hint="eastAsia" w:ascii="宋体" w:hAnsi="宋体" w:cs="宋体"/>
                <w:sz w:val="24"/>
                <w:highlight w:val="none"/>
              </w:rPr>
              <w:t>楼。</w:t>
            </w:r>
          </w:p>
        </w:tc>
      </w:tr>
      <w:tr w14:paraId="7677383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8" w:type="dxa"/>
            <w:vAlign w:val="center"/>
          </w:tcPr>
          <w:p w14:paraId="6565D69E">
            <w:pPr>
              <w:spacing w:line="276" w:lineRule="auto"/>
              <w:jc w:val="center"/>
              <w:rPr>
                <w:rFonts w:hint="eastAsia" w:ascii="宋体" w:hAnsi="宋体" w:cs="宋体"/>
                <w:sz w:val="24"/>
                <w:highlight w:val="none"/>
              </w:rPr>
            </w:pPr>
            <w:r>
              <w:rPr>
                <w:rFonts w:hint="eastAsia" w:ascii="宋体" w:hAnsi="宋体" w:cs="宋体"/>
                <w:sz w:val="24"/>
                <w:highlight w:val="none"/>
              </w:rPr>
              <w:t>7</w:t>
            </w:r>
          </w:p>
        </w:tc>
        <w:tc>
          <w:tcPr>
            <w:tcW w:w="1226" w:type="dxa"/>
            <w:vAlign w:val="center"/>
          </w:tcPr>
          <w:p w14:paraId="0EE760BD">
            <w:pPr>
              <w:autoSpaceDE w:val="0"/>
              <w:autoSpaceDN w:val="0"/>
              <w:adjustRightInd w:val="0"/>
              <w:spacing w:line="276" w:lineRule="auto"/>
              <w:ind w:right="-20"/>
              <w:jc w:val="center"/>
              <w:rPr>
                <w:rFonts w:hint="eastAsia" w:ascii="宋体" w:hAnsi="宋体" w:cs="宋体"/>
                <w:kern w:val="0"/>
                <w:sz w:val="24"/>
                <w:highlight w:val="none"/>
              </w:rPr>
            </w:pPr>
            <w:r>
              <w:rPr>
                <w:rFonts w:hint="eastAsia" w:ascii="宋体" w:hAnsi="宋体" w:cs="宋体"/>
                <w:kern w:val="0"/>
                <w:position w:val="-5"/>
                <w:sz w:val="24"/>
                <w:szCs w:val="22"/>
                <w:highlight w:val="none"/>
              </w:rPr>
              <w:t>投标文件的组成和编制</w:t>
            </w:r>
          </w:p>
        </w:tc>
        <w:tc>
          <w:tcPr>
            <w:tcW w:w="7208" w:type="dxa"/>
            <w:vAlign w:val="center"/>
          </w:tcPr>
          <w:p w14:paraId="5D76F75E">
            <w:pPr>
              <w:autoSpaceDE w:val="0"/>
              <w:autoSpaceDN w:val="0"/>
              <w:adjustRightInd w:val="0"/>
              <w:spacing w:line="276" w:lineRule="auto"/>
              <w:ind w:right="-20"/>
              <w:rPr>
                <w:rFonts w:hint="eastAsia" w:ascii="宋体" w:hAnsi="宋体" w:cs="宋体"/>
                <w:sz w:val="24"/>
                <w:highlight w:val="none"/>
              </w:rPr>
            </w:pPr>
            <w:r>
              <w:rPr>
                <w:rFonts w:hint="eastAsia" w:ascii="宋体" w:hAnsi="宋体" w:cs="宋体"/>
                <w:sz w:val="24"/>
                <w:highlight w:val="none"/>
              </w:rPr>
              <w:t>本项目分一个标项，</w:t>
            </w:r>
            <w:r>
              <w:rPr>
                <w:rFonts w:ascii="宋体" w:hAnsi="宋体" w:cs="宋体"/>
                <w:sz w:val="24"/>
                <w:highlight w:val="none"/>
              </w:rPr>
              <w:t>完整的《投标文件》</w:t>
            </w:r>
            <w:r>
              <w:rPr>
                <w:rFonts w:hint="eastAsia" w:ascii="宋体" w:hAnsi="宋体" w:cs="宋体"/>
                <w:sz w:val="24"/>
                <w:highlight w:val="none"/>
              </w:rPr>
              <w:t>由“资格文件”、“商务技术文件”和“报价文件”三个部分组成。</w:t>
            </w:r>
          </w:p>
          <w:p w14:paraId="37FCC0A4">
            <w:pPr>
              <w:autoSpaceDE w:val="0"/>
              <w:autoSpaceDN w:val="0"/>
              <w:adjustRightInd w:val="0"/>
              <w:spacing w:line="276" w:lineRule="auto"/>
              <w:ind w:right="-20"/>
              <w:rPr>
                <w:rFonts w:hint="eastAsia" w:ascii="宋体" w:hAnsi="宋体" w:cs="宋体"/>
                <w:kern w:val="0"/>
                <w:sz w:val="24"/>
                <w:highlight w:val="none"/>
              </w:rPr>
            </w:pPr>
            <w:r>
              <w:rPr>
                <w:rFonts w:hint="eastAsia" w:ascii="宋体" w:hAnsi="宋体" w:cs="宋体"/>
                <w:sz w:val="24"/>
                <w:highlight w:val="none"/>
              </w:rPr>
              <w:t>投标人应先安装“政采云电子交易客户端”，并按照本招标文件和“政府采购云平台”的要求，通过“政采云电子交易客户端”编制并加密投标文件。</w:t>
            </w:r>
          </w:p>
        </w:tc>
      </w:tr>
      <w:tr w14:paraId="4CCC68F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vAlign w:val="center"/>
          </w:tcPr>
          <w:p w14:paraId="56B420EB">
            <w:pPr>
              <w:spacing w:line="276" w:lineRule="auto"/>
              <w:jc w:val="center"/>
              <w:rPr>
                <w:rFonts w:hint="eastAsia" w:ascii="宋体" w:hAnsi="宋体" w:cs="宋体"/>
                <w:sz w:val="24"/>
                <w:highlight w:val="none"/>
              </w:rPr>
            </w:pPr>
            <w:r>
              <w:rPr>
                <w:rFonts w:hint="eastAsia" w:ascii="宋体" w:hAnsi="宋体" w:cs="宋体"/>
                <w:sz w:val="24"/>
                <w:highlight w:val="none"/>
              </w:rPr>
              <w:t>8</w:t>
            </w:r>
          </w:p>
        </w:tc>
        <w:tc>
          <w:tcPr>
            <w:tcW w:w="1226" w:type="dxa"/>
            <w:vAlign w:val="center"/>
          </w:tcPr>
          <w:p w14:paraId="575FC54A">
            <w:pPr>
              <w:autoSpaceDE w:val="0"/>
              <w:autoSpaceDN w:val="0"/>
              <w:adjustRightInd w:val="0"/>
              <w:spacing w:line="276" w:lineRule="auto"/>
              <w:ind w:right="-20"/>
              <w:jc w:val="center"/>
              <w:rPr>
                <w:rFonts w:hint="eastAsia" w:ascii="宋体" w:hAnsi="宋体" w:cs="宋体"/>
                <w:kern w:val="0"/>
                <w:position w:val="-3"/>
                <w:sz w:val="24"/>
                <w:highlight w:val="none"/>
              </w:rPr>
            </w:pPr>
            <w:r>
              <w:rPr>
                <w:rFonts w:hint="eastAsia" w:ascii="宋体" w:hAnsi="宋体" w:cs="宋体"/>
                <w:kern w:val="0"/>
                <w:position w:val="-5"/>
                <w:sz w:val="24"/>
                <w:szCs w:val="22"/>
                <w:highlight w:val="none"/>
              </w:rPr>
              <w:t>投标文件的签章</w:t>
            </w:r>
          </w:p>
        </w:tc>
        <w:tc>
          <w:tcPr>
            <w:tcW w:w="7208" w:type="dxa"/>
            <w:vAlign w:val="center"/>
          </w:tcPr>
          <w:p w14:paraId="102093A2">
            <w:pPr>
              <w:autoSpaceDE w:val="0"/>
              <w:autoSpaceDN w:val="0"/>
              <w:adjustRightInd w:val="0"/>
              <w:spacing w:line="276" w:lineRule="auto"/>
              <w:ind w:right="-20"/>
              <w:rPr>
                <w:rFonts w:hint="eastAsia" w:ascii="宋体" w:hAnsi="宋体" w:cs="宋体"/>
                <w:kern w:val="0"/>
                <w:position w:val="-2"/>
                <w:sz w:val="24"/>
                <w:highlight w:val="none"/>
              </w:rPr>
            </w:pPr>
            <w:r>
              <w:rPr>
                <w:rFonts w:hint="eastAsia" w:ascii="宋体" w:hAnsi="宋体" w:cs="宋体"/>
                <w:sz w:val="24"/>
                <w:highlight w:val="none"/>
              </w:rPr>
              <w:t>电子签章</w:t>
            </w:r>
          </w:p>
        </w:tc>
      </w:tr>
      <w:tr w14:paraId="66EE5FE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08" w:type="dxa"/>
            <w:vAlign w:val="center"/>
          </w:tcPr>
          <w:p w14:paraId="58E3D7FF">
            <w:pPr>
              <w:spacing w:line="276" w:lineRule="auto"/>
              <w:jc w:val="center"/>
              <w:rPr>
                <w:rFonts w:hint="eastAsia" w:ascii="宋体" w:hAnsi="宋体" w:cs="宋体"/>
                <w:sz w:val="24"/>
                <w:highlight w:val="none"/>
              </w:rPr>
            </w:pPr>
            <w:r>
              <w:rPr>
                <w:rFonts w:hint="eastAsia" w:ascii="宋体" w:hAnsi="宋体" w:cs="宋体"/>
                <w:sz w:val="24"/>
                <w:highlight w:val="none"/>
              </w:rPr>
              <w:t>9</w:t>
            </w:r>
          </w:p>
        </w:tc>
        <w:tc>
          <w:tcPr>
            <w:tcW w:w="1226" w:type="dxa"/>
            <w:vAlign w:val="center"/>
          </w:tcPr>
          <w:p w14:paraId="37E22CAD">
            <w:pPr>
              <w:autoSpaceDE w:val="0"/>
              <w:autoSpaceDN w:val="0"/>
              <w:adjustRightInd w:val="0"/>
              <w:spacing w:line="276" w:lineRule="auto"/>
              <w:ind w:right="-20"/>
              <w:jc w:val="center"/>
              <w:rPr>
                <w:rFonts w:hint="eastAsia" w:ascii="宋体" w:hAnsi="宋体" w:cs="宋体"/>
                <w:kern w:val="0"/>
                <w:sz w:val="24"/>
                <w:highlight w:val="none"/>
              </w:rPr>
            </w:pPr>
            <w:r>
              <w:rPr>
                <w:rFonts w:hint="eastAsia" w:ascii="宋体" w:hAnsi="宋体" w:cs="宋体"/>
                <w:kern w:val="0"/>
                <w:position w:val="-3"/>
                <w:sz w:val="24"/>
                <w:highlight w:val="none"/>
              </w:rPr>
              <w:t>投标</w:t>
            </w:r>
            <w:r>
              <w:rPr>
                <w:rFonts w:hint="eastAsia" w:ascii="宋体" w:hAnsi="宋体" w:cs="宋体"/>
                <w:spacing w:val="-2"/>
                <w:kern w:val="0"/>
                <w:position w:val="-3"/>
                <w:sz w:val="24"/>
                <w:highlight w:val="none"/>
              </w:rPr>
              <w:t>文</w:t>
            </w:r>
            <w:r>
              <w:rPr>
                <w:rFonts w:hint="eastAsia" w:ascii="宋体" w:hAnsi="宋体" w:cs="宋体"/>
                <w:kern w:val="0"/>
                <w:position w:val="-3"/>
                <w:sz w:val="24"/>
                <w:highlight w:val="none"/>
              </w:rPr>
              <w:t>件</w:t>
            </w:r>
            <w:r>
              <w:rPr>
                <w:rFonts w:hint="eastAsia" w:ascii="宋体" w:hAnsi="宋体" w:cs="宋体"/>
                <w:spacing w:val="-2"/>
                <w:kern w:val="0"/>
                <w:position w:val="-3"/>
                <w:sz w:val="24"/>
                <w:highlight w:val="none"/>
              </w:rPr>
              <w:t>有</w:t>
            </w:r>
            <w:r>
              <w:rPr>
                <w:rFonts w:hint="eastAsia" w:ascii="宋体" w:hAnsi="宋体" w:cs="宋体"/>
                <w:kern w:val="0"/>
                <w:position w:val="-3"/>
                <w:sz w:val="24"/>
                <w:highlight w:val="none"/>
              </w:rPr>
              <w:t>效期</w:t>
            </w:r>
          </w:p>
        </w:tc>
        <w:tc>
          <w:tcPr>
            <w:tcW w:w="7208" w:type="dxa"/>
            <w:vAlign w:val="center"/>
          </w:tcPr>
          <w:p w14:paraId="7AD8B6EB">
            <w:pPr>
              <w:autoSpaceDE w:val="0"/>
              <w:autoSpaceDN w:val="0"/>
              <w:adjustRightInd w:val="0"/>
              <w:spacing w:line="276" w:lineRule="auto"/>
              <w:ind w:right="-20"/>
              <w:rPr>
                <w:rFonts w:hint="eastAsia" w:ascii="宋体" w:hAnsi="宋体" w:cs="宋体"/>
                <w:kern w:val="0"/>
                <w:sz w:val="24"/>
                <w:highlight w:val="none"/>
              </w:rPr>
            </w:pPr>
            <w:r>
              <w:rPr>
                <w:rFonts w:hint="eastAsia" w:ascii="宋体" w:hAnsi="宋体" w:cs="宋体"/>
                <w:kern w:val="0"/>
                <w:position w:val="-2"/>
                <w:sz w:val="24"/>
                <w:highlight w:val="none"/>
              </w:rPr>
              <w:t>自投</w:t>
            </w:r>
            <w:r>
              <w:rPr>
                <w:rFonts w:hint="eastAsia" w:ascii="宋体" w:hAnsi="宋体" w:cs="宋体"/>
                <w:spacing w:val="-2"/>
                <w:kern w:val="0"/>
                <w:position w:val="-2"/>
                <w:sz w:val="24"/>
                <w:highlight w:val="none"/>
              </w:rPr>
              <w:t>标</w:t>
            </w:r>
            <w:r>
              <w:rPr>
                <w:rFonts w:hint="eastAsia" w:ascii="宋体" w:hAnsi="宋体" w:cs="宋体"/>
                <w:kern w:val="0"/>
                <w:position w:val="-2"/>
                <w:sz w:val="24"/>
                <w:highlight w:val="none"/>
              </w:rPr>
              <w:t>截</w:t>
            </w:r>
            <w:r>
              <w:rPr>
                <w:rFonts w:hint="eastAsia" w:ascii="宋体" w:hAnsi="宋体" w:cs="宋体"/>
                <w:spacing w:val="-2"/>
                <w:kern w:val="0"/>
                <w:position w:val="-2"/>
                <w:sz w:val="24"/>
                <w:highlight w:val="none"/>
              </w:rPr>
              <w:t>止</w:t>
            </w:r>
            <w:r>
              <w:rPr>
                <w:rFonts w:hint="eastAsia" w:ascii="宋体" w:hAnsi="宋体" w:cs="宋体"/>
                <w:kern w:val="0"/>
                <w:position w:val="-2"/>
                <w:sz w:val="24"/>
                <w:highlight w:val="none"/>
              </w:rPr>
              <w:t>时</w:t>
            </w:r>
            <w:r>
              <w:rPr>
                <w:rFonts w:hint="eastAsia" w:ascii="宋体" w:hAnsi="宋体" w:cs="宋体"/>
                <w:spacing w:val="-2"/>
                <w:kern w:val="0"/>
                <w:position w:val="-2"/>
                <w:sz w:val="24"/>
                <w:highlight w:val="none"/>
              </w:rPr>
              <w:t>间</w:t>
            </w:r>
            <w:r>
              <w:rPr>
                <w:rFonts w:hint="eastAsia" w:ascii="宋体" w:hAnsi="宋体" w:cs="宋体"/>
                <w:kern w:val="0"/>
                <w:position w:val="-2"/>
                <w:sz w:val="24"/>
                <w:highlight w:val="none"/>
              </w:rPr>
              <w:t>起不少于</w:t>
            </w:r>
            <w:r>
              <w:rPr>
                <w:rFonts w:hint="eastAsia" w:ascii="宋体" w:hAnsi="宋体" w:cs="宋体"/>
                <w:spacing w:val="-2"/>
                <w:kern w:val="0"/>
                <w:position w:val="-2"/>
                <w:sz w:val="24"/>
                <w:highlight w:val="none"/>
              </w:rPr>
              <w:t>90天。</w:t>
            </w:r>
          </w:p>
        </w:tc>
      </w:tr>
      <w:tr w14:paraId="1995ABD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vAlign w:val="center"/>
          </w:tcPr>
          <w:p w14:paraId="61E2684D">
            <w:pPr>
              <w:spacing w:line="276" w:lineRule="auto"/>
              <w:jc w:val="center"/>
              <w:rPr>
                <w:rFonts w:hint="eastAsia" w:ascii="宋体" w:hAnsi="宋体" w:cs="宋体"/>
                <w:sz w:val="24"/>
                <w:highlight w:val="none"/>
              </w:rPr>
            </w:pPr>
            <w:r>
              <w:rPr>
                <w:rFonts w:hint="eastAsia" w:ascii="宋体" w:hAnsi="宋体" w:cs="宋体"/>
                <w:sz w:val="24"/>
                <w:highlight w:val="none"/>
              </w:rPr>
              <w:t>10</w:t>
            </w:r>
          </w:p>
        </w:tc>
        <w:tc>
          <w:tcPr>
            <w:tcW w:w="1226" w:type="dxa"/>
            <w:vAlign w:val="center"/>
          </w:tcPr>
          <w:p w14:paraId="45C83913">
            <w:pPr>
              <w:autoSpaceDE w:val="0"/>
              <w:autoSpaceDN w:val="0"/>
              <w:adjustRightInd w:val="0"/>
              <w:spacing w:line="276" w:lineRule="auto"/>
              <w:ind w:right="-20"/>
              <w:jc w:val="center"/>
              <w:rPr>
                <w:rFonts w:hint="eastAsia" w:ascii="宋体" w:hAnsi="宋体" w:cs="宋体"/>
                <w:kern w:val="0"/>
                <w:sz w:val="24"/>
                <w:highlight w:val="none"/>
              </w:rPr>
            </w:pPr>
            <w:r>
              <w:rPr>
                <w:rFonts w:hint="eastAsia" w:ascii="宋体" w:hAnsi="宋体" w:cs="宋体"/>
                <w:kern w:val="0"/>
                <w:position w:val="-3"/>
                <w:sz w:val="24"/>
                <w:szCs w:val="22"/>
                <w:highlight w:val="none"/>
              </w:rPr>
              <w:t>投标文件的形式</w:t>
            </w:r>
          </w:p>
        </w:tc>
        <w:tc>
          <w:tcPr>
            <w:tcW w:w="7208" w:type="dxa"/>
            <w:vAlign w:val="center"/>
          </w:tcPr>
          <w:p w14:paraId="2D426558">
            <w:pPr>
              <w:spacing w:line="360" w:lineRule="auto"/>
              <w:rPr>
                <w:rFonts w:hint="eastAsia" w:ascii="宋体" w:hAnsi="宋体" w:cs="宋体"/>
                <w:sz w:val="24"/>
                <w:highlight w:val="none"/>
              </w:rPr>
            </w:pPr>
            <w:r>
              <w:rPr>
                <w:rFonts w:hint="eastAsia" w:ascii="宋体" w:hAnsi="宋体" w:cs="宋体"/>
                <w:sz w:val="24"/>
                <w:highlight w:val="none"/>
              </w:rPr>
              <w:t>☑电子投标文件（包括“电子加密投标文件”和“备份投标文件”，在投标文件编制完成后同时生成）；</w:t>
            </w:r>
          </w:p>
          <w:p w14:paraId="6736B9D5">
            <w:pPr>
              <w:spacing w:line="360" w:lineRule="auto"/>
              <w:rPr>
                <w:rFonts w:hint="eastAsia" w:ascii="宋体" w:hAnsi="宋体" w:cs="宋体"/>
                <w:sz w:val="24"/>
                <w:highlight w:val="none"/>
              </w:rPr>
            </w:pPr>
            <w:r>
              <w:rPr>
                <w:rFonts w:hint="eastAsia" w:ascii="宋体" w:hAnsi="宋体" w:cs="宋体"/>
                <w:sz w:val="24"/>
                <w:highlight w:val="none"/>
              </w:rPr>
              <w:t>（1）“电子加密投标文件”是指通过“政采云电子交易客户端”完成投标文件编制后生成并加密的数据电文形式的投标文件。</w:t>
            </w:r>
          </w:p>
          <w:p w14:paraId="39840A8E">
            <w:pPr>
              <w:autoSpaceDE w:val="0"/>
              <w:autoSpaceDN w:val="0"/>
              <w:adjustRightInd w:val="0"/>
              <w:spacing w:line="276" w:lineRule="auto"/>
              <w:ind w:right="-20"/>
              <w:rPr>
                <w:rFonts w:hint="eastAsia" w:ascii="宋体" w:hAnsi="宋体" w:cs="宋体"/>
                <w:kern w:val="0"/>
                <w:sz w:val="24"/>
                <w:highlight w:val="none"/>
              </w:rPr>
            </w:pPr>
            <w:r>
              <w:rPr>
                <w:rFonts w:hint="eastAsia" w:ascii="宋体" w:hAnsi="宋体" w:cs="宋体"/>
                <w:sz w:val="24"/>
                <w:highlight w:val="none"/>
              </w:rPr>
              <w:t>（2）“备份投标文件”是指与“电子加密投标文件”同时生成的数据电文形式的电子文件（备份标书），其他方式编制的备份投标文件视为无效备份投标文件。</w:t>
            </w:r>
          </w:p>
        </w:tc>
      </w:tr>
      <w:tr w14:paraId="79FE2B6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vAlign w:val="center"/>
          </w:tcPr>
          <w:p w14:paraId="1DED8702">
            <w:pPr>
              <w:spacing w:line="276" w:lineRule="auto"/>
              <w:jc w:val="center"/>
              <w:rPr>
                <w:rFonts w:hint="eastAsia" w:ascii="宋体" w:hAnsi="宋体" w:cs="宋体"/>
                <w:sz w:val="24"/>
                <w:highlight w:val="none"/>
              </w:rPr>
            </w:pPr>
            <w:r>
              <w:rPr>
                <w:rFonts w:hint="eastAsia" w:ascii="宋体" w:hAnsi="宋体" w:cs="宋体"/>
                <w:sz w:val="24"/>
                <w:highlight w:val="none"/>
              </w:rPr>
              <w:t>11</w:t>
            </w:r>
          </w:p>
        </w:tc>
        <w:tc>
          <w:tcPr>
            <w:tcW w:w="1226" w:type="dxa"/>
            <w:vAlign w:val="center"/>
          </w:tcPr>
          <w:p w14:paraId="3C612AE6">
            <w:pPr>
              <w:autoSpaceDE w:val="0"/>
              <w:autoSpaceDN w:val="0"/>
              <w:adjustRightInd w:val="0"/>
              <w:spacing w:line="276" w:lineRule="auto"/>
              <w:ind w:right="-20"/>
              <w:jc w:val="center"/>
              <w:rPr>
                <w:rFonts w:hint="eastAsia" w:ascii="宋体" w:hAnsi="宋体" w:cs="宋体"/>
                <w:kern w:val="0"/>
                <w:position w:val="-3"/>
                <w:sz w:val="24"/>
                <w:highlight w:val="none"/>
              </w:rPr>
            </w:pPr>
            <w:r>
              <w:rPr>
                <w:rFonts w:hint="eastAsia" w:ascii="宋体" w:hAnsi="宋体" w:cs="宋体"/>
                <w:kern w:val="0"/>
                <w:position w:val="-3"/>
                <w:sz w:val="24"/>
                <w:highlight w:val="none"/>
              </w:rPr>
              <w:t>投标样品</w:t>
            </w:r>
          </w:p>
        </w:tc>
        <w:tc>
          <w:tcPr>
            <w:tcW w:w="7208" w:type="dxa"/>
            <w:vAlign w:val="center"/>
          </w:tcPr>
          <w:p w14:paraId="76B784DB">
            <w:pPr>
              <w:autoSpaceDE w:val="0"/>
              <w:autoSpaceDN w:val="0"/>
              <w:adjustRightInd w:val="0"/>
              <w:spacing w:line="276" w:lineRule="auto"/>
              <w:ind w:right="-20"/>
              <w:rPr>
                <w:rFonts w:hint="eastAsia" w:ascii="宋体" w:hAnsi="宋体" w:cs="宋体"/>
                <w:sz w:val="24"/>
                <w:highlight w:val="none"/>
                <w:lang w:val="zh-CN"/>
              </w:rPr>
            </w:pPr>
            <w:r>
              <w:rPr>
                <w:rFonts w:hint="eastAsia" w:ascii="宋体" w:hAnsi="宋体" w:cs="宋体"/>
                <w:snapToGrid w:val="0"/>
                <w:kern w:val="10"/>
                <w:sz w:val="24"/>
                <w:highlight w:val="none"/>
              </w:rPr>
              <w:t>1.本项目是否需要样品：</w:t>
            </w:r>
            <w:r>
              <w:rPr>
                <w:rFonts w:hint="eastAsia" w:ascii="宋体" w:hAnsi="宋体" w:cs="宋体"/>
                <w:sz w:val="24"/>
                <w:highlight w:val="none"/>
              </w:rPr>
              <w:sym w:font="Wingdings" w:char="F0FE"/>
            </w:r>
            <w:r>
              <w:rPr>
                <w:rFonts w:hint="eastAsia" w:ascii="宋体" w:hAnsi="宋体" w:cs="宋体"/>
                <w:sz w:val="24"/>
                <w:highlight w:val="none"/>
                <w:lang w:val="zh-CN"/>
              </w:rPr>
              <w:t>否；</w:t>
            </w:r>
            <w:r>
              <w:rPr>
                <w:rFonts w:hint="eastAsia" w:ascii="宋体" w:hAnsi="宋体" w:cs="宋体"/>
                <w:sz w:val="24"/>
                <w:highlight w:val="none"/>
              </w:rPr>
              <w:t>□是，详见第三部分要求。</w:t>
            </w:r>
          </w:p>
          <w:p w14:paraId="7970B473">
            <w:pPr>
              <w:autoSpaceDE w:val="0"/>
              <w:autoSpaceDN w:val="0"/>
              <w:adjustRightInd w:val="0"/>
              <w:spacing w:line="276" w:lineRule="auto"/>
              <w:ind w:right="-20"/>
              <w:rPr>
                <w:rFonts w:hint="eastAsia" w:ascii="宋体" w:hAnsi="宋体" w:cs="宋体"/>
                <w:snapToGrid w:val="0"/>
                <w:kern w:val="10"/>
                <w:sz w:val="24"/>
                <w:highlight w:val="none"/>
              </w:rPr>
            </w:pPr>
            <w:r>
              <w:rPr>
                <w:rFonts w:hint="eastAsia" w:ascii="宋体" w:hAnsi="宋体" w:cs="宋体"/>
                <w:snapToGrid w:val="0"/>
                <w:kern w:val="10"/>
                <w:sz w:val="24"/>
                <w:highlight w:val="none"/>
              </w:rPr>
              <w:t>2.样品标识：</w:t>
            </w:r>
            <w:r>
              <w:rPr>
                <w:rFonts w:hint="eastAsia" w:ascii="宋体" w:hAnsi="宋体" w:cs="宋体"/>
                <w:sz w:val="24"/>
                <w:highlight w:val="none"/>
              </w:rPr>
              <w:t>□</w:t>
            </w:r>
            <w:r>
              <w:rPr>
                <w:rFonts w:hint="eastAsia" w:ascii="宋体" w:hAnsi="宋体" w:cs="宋体"/>
                <w:sz w:val="24"/>
                <w:highlight w:val="none"/>
                <w:lang w:val="zh-CN"/>
              </w:rPr>
              <w:t>明标；</w:t>
            </w:r>
            <w:r>
              <w:rPr>
                <w:rFonts w:hint="eastAsia" w:ascii="宋体" w:hAnsi="宋体" w:cs="宋体"/>
                <w:sz w:val="24"/>
                <w:highlight w:val="none"/>
              </w:rPr>
              <w:t>□暗标。</w:t>
            </w:r>
          </w:p>
          <w:p w14:paraId="73C79962">
            <w:pPr>
              <w:autoSpaceDE w:val="0"/>
              <w:autoSpaceDN w:val="0"/>
              <w:adjustRightInd w:val="0"/>
              <w:spacing w:line="276" w:lineRule="auto"/>
              <w:ind w:right="-20"/>
              <w:rPr>
                <w:rFonts w:hint="eastAsia" w:ascii="宋体" w:hAnsi="宋体" w:cs="宋体"/>
                <w:snapToGrid w:val="0"/>
                <w:kern w:val="10"/>
                <w:sz w:val="24"/>
                <w:highlight w:val="none"/>
              </w:rPr>
            </w:pPr>
            <w:r>
              <w:rPr>
                <w:rFonts w:hint="eastAsia" w:ascii="宋体" w:hAnsi="宋体" w:cs="宋体"/>
                <w:snapToGrid w:val="0"/>
                <w:kern w:val="10"/>
                <w:sz w:val="24"/>
                <w:highlight w:val="none"/>
              </w:rPr>
              <w:t>3.样品送至地点：______________________________</w:t>
            </w:r>
          </w:p>
          <w:p w14:paraId="4B543D50">
            <w:pPr>
              <w:autoSpaceDE w:val="0"/>
              <w:autoSpaceDN w:val="0"/>
              <w:adjustRightInd w:val="0"/>
              <w:spacing w:line="276" w:lineRule="auto"/>
              <w:ind w:right="-20"/>
              <w:rPr>
                <w:rFonts w:hint="eastAsia" w:ascii="宋体" w:hAnsi="宋体" w:cs="宋体"/>
                <w:snapToGrid w:val="0"/>
                <w:kern w:val="10"/>
                <w:sz w:val="24"/>
                <w:highlight w:val="none"/>
              </w:rPr>
            </w:pPr>
            <w:r>
              <w:rPr>
                <w:rFonts w:hint="eastAsia" w:ascii="宋体" w:hAnsi="宋体" w:cs="宋体"/>
                <w:snapToGrid w:val="0"/>
                <w:kern w:val="10"/>
                <w:sz w:val="24"/>
                <w:highlight w:val="none"/>
              </w:rPr>
              <w:t>4.中标人样品处理：</w:t>
            </w:r>
            <w:r>
              <w:rPr>
                <w:rFonts w:hint="eastAsia" w:ascii="宋体" w:hAnsi="宋体" w:cs="宋体"/>
                <w:sz w:val="24"/>
                <w:highlight w:val="none"/>
              </w:rPr>
              <w:t>□退还；□封存至验收；□抵扣采购数量。</w:t>
            </w:r>
          </w:p>
          <w:p w14:paraId="79C0F183">
            <w:pPr>
              <w:autoSpaceDE w:val="0"/>
              <w:autoSpaceDN w:val="0"/>
              <w:adjustRightInd w:val="0"/>
              <w:spacing w:line="276" w:lineRule="auto"/>
              <w:ind w:right="-20"/>
              <w:rPr>
                <w:rFonts w:hint="eastAsia" w:ascii="宋体" w:hAnsi="宋体" w:cs="宋体"/>
                <w:snapToGrid w:val="0"/>
                <w:kern w:val="10"/>
                <w:sz w:val="24"/>
                <w:highlight w:val="none"/>
              </w:rPr>
            </w:pPr>
            <w:r>
              <w:rPr>
                <w:rFonts w:hint="eastAsia" w:ascii="宋体" w:hAnsi="宋体" w:cs="宋体"/>
                <w:snapToGrid w:val="0"/>
                <w:kern w:val="10"/>
                <w:sz w:val="24"/>
                <w:highlight w:val="none"/>
              </w:rPr>
              <w:t>5.样品退还时间：</w:t>
            </w:r>
            <w:r>
              <w:rPr>
                <w:rFonts w:hint="eastAsia" w:ascii="宋体" w:hAnsi="宋体" w:cs="宋体"/>
                <w:snapToGrid w:val="0"/>
                <w:kern w:val="10"/>
                <w:sz w:val="24"/>
                <w:highlight w:val="none"/>
                <w:u w:val="single"/>
              </w:rPr>
              <w:t xml:space="preserve">（另行通知）                    </w:t>
            </w:r>
          </w:p>
        </w:tc>
      </w:tr>
      <w:tr w14:paraId="0F255E1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08" w:type="dxa"/>
            <w:vAlign w:val="center"/>
          </w:tcPr>
          <w:p w14:paraId="26D49964">
            <w:pPr>
              <w:spacing w:line="276" w:lineRule="auto"/>
              <w:jc w:val="center"/>
              <w:rPr>
                <w:rFonts w:hint="eastAsia" w:ascii="宋体" w:hAnsi="宋体" w:cs="宋体"/>
                <w:sz w:val="24"/>
                <w:highlight w:val="none"/>
              </w:rPr>
            </w:pPr>
            <w:r>
              <w:rPr>
                <w:rFonts w:hint="eastAsia" w:ascii="宋体" w:hAnsi="宋体" w:cs="宋体"/>
                <w:sz w:val="24"/>
                <w:highlight w:val="none"/>
              </w:rPr>
              <w:t>12</w:t>
            </w:r>
          </w:p>
        </w:tc>
        <w:tc>
          <w:tcPr>
            <w:tcW w:w="1226" w:type="dxa"/>
            <w:vAlign w:val="center"/>
          </w:tcPr>
          <w:p w14:paraId="450D4BFF">
            <w:pPr>
              <w:pStyle w:val="45"/>
              <w:snapToGrid w:val="0"/>
              <w:spacing w:line="312" w:lineRule="auto"/>
              <w:rPr>
                <w:rFonts w:hint="eastAsia" w:hAnsi="宋体" w:cs="宋体"/>
                <w:sz w:val="24"/>
                <w:szCs w:val="20"/>
                <w:highlight w:val="none"/>
              </w:rPr>
            </w:pPr>
            <w:r>
              <w:rPr>
                <w:rFonts w:hint="eastAsia" w:hAnsi="宋体" w:cs="宋体"/>
                <w:sz w:val="24"/>
                <w:szCs w:val="20"/>
                <w:highlight w:val="none"/>
              </w:rPr>
              <w:t>履约保证金交纳</w:t>
            </w:r>
          </w:p>
        </w:tc>
        <w:tc>
          <w:tcPr>
            <w:tcW w:w="7208" w:type="dxa"/>
            <w:vAlign w:val="center"/>
          </w:tcPr>
          <w:p w14:paraId="2A295818">
            <w:pPr>
              <w:pStyle w:val="45"/>
              <w:snapToGrid w:val="0"/>
              <w:spacing w:line="312" w:lineRule="auto"/>
              <w:rPr>
                <w:rFonts w:hint="eastAsia" w:hAnsi="宋体" w:cs="宋体"/>
                <w:sz w:val="24"/>
                <w:szCs w:val="20"/>
                <w:highlight w:val="none"/>
              </w:rPr>
            </w:pPr>
            <w:r>
              <w:rPr>
                <w:rFonts w:hint="eastAsia" w:hAnsi="宋体" w:cs="宋体"/>
                <w:sz w:val="24"/>
                <w:szCs w:val="20"/>
                <w:highlight w:val="none"/>
              </w:rPr>
              <w:t>本项目无需缴纳履约保证金。</w:t>
            </w:r>
          </w:p>
        </w:tc>
      </w:tr>
      <w:tr w14:paraId="38C6DA7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808" w:type="dxa"/>
            <w:vMerge w:val="restart"/>
            <w:vAlign w:val="center"/>
          </w:tcPr>
          <w:p w14:paraId="29BE0579">
            <w:pPr>
              <w:spacing w:line="276" w:lineRule="auto"/>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13</w:t>
            </w:r>
          </w:p>
        </w:tc>
        <w:tc>
          <w:tcPr>
            <w:tcW w:w="1226" w:type="dxa"/>
            <w:vMerge w:val="restart"/>
            <w:vAlign w:val="center"/>
          </w:tcPr>
          <w:p w14:paraId="79E4AC59">
            <w:pPr>
              <w:adjustRightInd w:val="0"/>
              <w:snapToGrid w:val="0"/>
              <w:spacing w:line="276" w:lineRule="auto"/>
              <w:jc w:val="center"/>
              <w:rPr>
                <w:rFonts w:hint="eastAsia" w:ascii="宋体" w:hAnsi="宋体" w:cs="宋体"/>
                <w:sz w:val="24"/>
                <w:highlight w:val="none"/>
              </w:rPr>
            </w:pPr>
            <w:r>
              <w:rPr>
                <w:rFonts w:hint="eastAsia" w:ascii="宋体" w:hAnsi="宋体" w:cs="宋体"/>
                <w:sz w:val="24"/>
                <w:highlight w:val="none"/>
              </w:rPr>
              <w:t>其他注意事项</w:t>
            </w:r>
          </w:p>
        </w:tc>
        <w:tc>
          <w:tcPr>
            <w:tcW w:w="7208" w:type="dxa"/>
            <w:vAlign w:val="center"/>
          </w:tcPr>
          <w:p w14:paraId="54B4D7C7">
            <w:pPr>
              <w:adjustRightInd w:val="0"/>
              <w:snapToGrid w:val="0"/>
              <w:spacing w:line="276" w:lineRule="auto"/>
              <w:rPr>
                <w:rFonts w:hint="eastAsia" w:ascii="宋体" w:hAnsi="宋体" w:cs="宋体"/>
                <w:sz w:val="24"/>
                <w:highlight w:val="none"/>
              </w:rPr>
            </w:pPr>
            <w:r>
              <w:rPr>
                <w:rFonts w:hint="eastAsia" w:ascii="宋体" w:hAnsi="宋体" w:cs="宋体"/>
                <w:sz w:val="24"/>
                <w:highlight w:val="none"/>
              </w:rPr>
              <w:t>招标文件中部分加“▲”的条款，属于招标文件的实质性要求和条件，着重提醒各投标人注意，并认真查看招标文件中的每一个条款及要求，因误读招标文件而造成的后果，招标人概不负责。</w:t>
            </w:r>
          </w:p>
        </w:tc>
      </w:tr>
      <w:tr w14:paraId="48149CA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808" w:type="dxa"/>
            <w:vMerge w:val="continue"/>
            <w:vAlign w:val="center"/>
          </w:tcPr>
          <w:p w14:paraId="3FB7D3A8">
            <w:pPr>
              <w:spacing w:line="276" w:lineRule="auto"/>
              <w:jc w:val="center"/>
              <w:rPr>
                <w:rFonts w:hint="eastAsia" w:ascii="宋体" w:hAnsi="宋体" w:cs="宋体"/>
                <w:sz w:val="24"/>
                <w:highlight w:val="none"/>
              </w:rPr>
            </w:pPr>
          </w:p>
        </w:tc>
        <w:tc>
          <w:tcPr>
            <w:tcW w:w="1226" w:type="dxa"/>
            <w:vMerge w:val="continue"/>
            <w:vAlign w:val="center"/>
          </w:tcPr>
          <w:p w14:paraId="0A3FB85D">
            <w:pPr>
              <w:spacing w:line="276" w:lineRule="auto"/>
              <w:rPr>
                <w:rFonts w:hint="eastAsia" w:ascii="宋体" w:hAnsi="宋体" w:cs="宋体"/>
                <w:sz w:val="24"/>
                <w:highlight w:val="none"/>
              </w:rPr>
            </w:pPr>
          </w:p>
        </w:tc>
        <w:tc>
          <w:tcPr>
            <w:tcW w:w="7208" w:type="dxa"/>
            <w:vAlign w:val="center"/>
          </w:tcPr>
          <w:p w14:paraId="49908394">
            <w:pPr>
              <w:adjustRightInd w:val="0"/>
              <w:snapToGrid w:val="0"/>
              <w:spacing w:line="276" w:lineRule="auto"/>
              <w:rPr>
                <w:rFonts w:hint="eastAsia" w:ascii="宋体" w:hAnsi="宋体" w:cs="宋体"/>
                <w:sz w:val="24"/>
                <w:highlight w:val="none"/>
              </w:rPr>
            </w:pPr>
            <w:r>
              <w:rPr>
                <w:rFonts w:hint="eastAsia" w:ascii="宋体" w:hAnsi="宋体" w:cs="宋体"/>
                <w:sz w:val="24"/>
                <w:highlight w:val="none"/>
              </w:rPr>
              <w:t>以上内容如有变化将另行通知，如通知其中某一项内容发生变化，其余未提及的内容将不作变动。</w:t>
            </w:r>
          </w:p>
        </w:tc>
      </w:tr>
      <w:tr w14:paraId="418448A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808" w:type="dxa"/>
            <w:vMerge w:val="continue"/>
            <w:vAlign w:val="center"/>
          </w:tcPr>
          <w:p w14:paraId="59CAB557">
            <w:pPr>
              <w:spacing w:line="276" w:lineRule="auto"/>
              <w:jc w:val="center"/>
              <w:rPr>
                <w:rFonts w:hint="eastAsia" w:ascii="宋体" w:hAnsi="宋体" w:cs="宋体"/>
                <w:sz w:val="24"/>
                <w:highlight w:val="none"/>
              </w:rPr>
            </w:pPr>
          </w:p>
        </w:tc>
        <w:tc>
          <w:tcPr>
            <w:tcW w:w="1226" w:type="dxa"/>
            <w:vMerge w:val="continue"/>
            <w:vAlign w:val="center"/>
          </w:tcPr>
          <w:p w14:paraId="509BC26A">
            <w:pPr>
              <w:spacing w:line="276" w:lineRule="auto"/>
              <w:rPr>
                <w:rFonts w:hint="eastAsia" w:ascii="宋体" w:hAnsi="宋体" w:cs="宋体"/>
                <w:sz w:val="24"/>
                <w:highlight w:val="none"/>
              </w:rPr>
            </w:pPr>
          </w:p>
        </w:tc>
        <w:tc>
          <w:tcPr>
            <w:tcW w:w="7208" w:type="dxa"/>
            <w:vAlign w:val="center"/>
          </w:tcPr>
          <w:p w14:paraId="027E475C">
            <w:pPr>
              <w:adjustRightInd w:val="0"/>
              <w:snapToGrid w:val="0"/>
              <w:spacing w:line="276" w:lineRule="auto"/>
              <w:rPr>
                <w:rFonts w:hint="eastAsia" w:ascii="宋体" w:hAnsi="宋体" w:cs="宋体"/>
                <w:sz w:val="24"/>
                <w:highlight w:val="none"/>
              </w:rPr>
            </w:pPr>
            <w:r>
              <w:rPr>
                <w:rFonts w:hint="eastAsia" w:ascii="宋体" w:hAnsi="宋体" w:cs="宋体"/>
                <w:sz w:val="24"/>
                <w:highlight w:val="none"/>
              </w:rPr>
              <w:t>根据浙江省财政厅文件浙财采监[2015]13号文件《关于印发浙江省政府采购活动现场组织管理办法的通知》要求，本项目按浙江省政府采购活动现场组织管理办法实施。</w:t>
            </w:r>
          </w:p>
        </w:tc>
      </w:tr>
      <w:tr w14:paraId="3676384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vMerge w:val="continue"/>
            <w:vAlign w:val="center"/>
          </w:tcPr>
          <w:p w14:paraId="0AE3D2F0">
            <w:pPr>
              <w:spacing w:line="276" w:lineRule="auto"/>
              <w:jc w:val="center"/>
              <w:rPr>
                <w:rFonts w:hint="eastAsia" w:ascii="宋体" w:hAnsi="宋体" w:cs="宋体"/>
                <w:sz w:val="24"/>
                <w:highlight w:val="none"/>
              </w:rPr>
            </w:pPr>
          </w:p>
        </w:tc>
        <w:tc>
          <w:tcPr>
            <w:tcW w:w="1226" w:type="dxa"/>
            <w:vMerge w:val="continue"/>
            <w:vAlign w:val="center"/>
          </w:tcPr>
          <w:p w14:paraId="6120085E">
            <w:pPr>
              <w:spacing w:line="276" w:lineRule="auto"/>
              <w:rPr>
                <w:rFonts w:hint="eastAsia" w:ascii="宋体" w:hAnsi="宋体" w:cs="宋体"/>
                <w:sz w:val="24"/>
                <w:highlight w:val="none"/>
              </w:rPr>
            </w:pPr>
          </w:p>
        </w:tc>
        <w:tc>
          <w:tcPr>
            <w:tcW w:w="7208" w:type="dxa"/>
            <w:vAlign w:val="center"/>
          </w:tcPr>
          <w:p w14:paraId="24EDED6B">
            <w:pPr>
              <w:adjustRightInd w:val="0"/>
              <w:snapToGrid w:val="0"/>
              <w:spacing w:line="276" w:lineRule="auto"/>
              <w:rPr>
                <w:rFonts w:hint="eastAsia" w:ascii="宋体" w:hAnsi="宋体" w:eastAsia="宋体" w:cs="宋体"/>
                <w:sz w:val="24"/>
                <w:szCs w:val="22"/>
                <w:highlight w:val="none"/>
              </w:rPr>
            </w:pPr>
            <w:r>
              <w:rPr>
                <w:rFonts w:hint="eastAsia" w:ascii="宋体" w:hAnsi="宋体" w:eastAsia="宋体" w:cs="宋体"/>
                <w:sz w:val="24"/>
                <w:szCs w:val="22"/>
                <w:highlight w:val="none"/>
              </w:rPr>
              <w:t>企业质押融资：取得衢州市政府采购合同的供应商，均可在政采云里实施政采贷或凭政府采购合同及应收账款收益权，向银行申请质押融资。申请质押融资时，供应商需先注册“衢州金融服务信用信息平台”用户，登录后通过“中征融资”模快进入“中征应收账款融资服务平台”，完善企业信息后，向合作银行推送中标采购信息。</w:t>
            </w:r>
          </w:p>
          <w:p w14:paraId="56B9F198">
            <w:pPr>
              <w:adjustRightInd w:val="0"/>
              <w:snapToGrid w:val="0"/>
              <w:spacing w:line="276" w:lineRule="auto"/>
              <w:rPr>
                <w:rFonts w:hint="eastAsia" w:ascii="宋体" w:hAnsi="宋体" w:cs="宋体"/>
                <w:sz w:val="24"/>
                <w:highlight w:val="none"/>
              </w:rPr>
            </w:pPr>
            <w:r>
              <w:rPr>
                <w:rFonts w:hint="eastAsia" w:ascii="宋体" w:hAnsi="宋体" w:eastAsia="宋体" w:cs="宋体"/>
                <w:sz w:val="24"/>
                <w:szCs w:val="22"/>
                <w:highlight w:val="none"/>
              </w:rPr>
              <w:t>采购合同签订前已与银行机构达成融资意向的，供应商应向采购单位或采购代理机构申明该合同将用于质押融资，并在合同中注明融资银行机构名称及在该银行机构的唯一收款账号。供应商在合同签订后出现融资需求的，供应商应根据银行机构</w:t>
            </w:r>
            <w:r>
              <w:rPr>
                <w:rFonts w:hint="eastAsia" w:ascii="宋体" w:hAnsi="宋体" w:cs="宋体"/>
                <w:sz w:val="24"/>
                <w:szCs w:val="22"/>
                <w:highlight w:val="none"/>
              </w:rPr>
              <w:t>要求向采购单位申请修改合同收款账号，并在开具发票时提供给采购人用于支付合同款项。</w:t>
            </w:r>
          </w:p>
        </w:tc>
      </w:tr>
      <w:tr w14:paraId="55EA1AC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684" w:hRule="atLeast"/>
          <w:jc w:val="center"/>
        </w:trPr>
        <w:tc>
          <w:tcPr>
            <w:tcW w:w="808" w:type="dxa"/>
            <w:vMerge w:val="continue"/>
            <w:vAlign w:val="center"/>
          </w:tcPr>
          <w:p w14:paraId="7058B588">
            <w:pPr>
              <w:spacing w:line="276" w:lineRule="auto"/>
              <w:jc w:val="center"/>
              <w:rPr>
                <w:rFonts w:hint="eastAsia" w:ascii="宋体" w:hAnsi="宋体" w:cs="宋体"/>
                <w:sz w:val="24"/>
                <w:highlight w:val="none"/>
              </w:rPr>
            </w:pPr>
          </w:p>
        </w:tc>
        <w:tc>
          <w:tcPr>
            <w:tcW w:w="1226" w:type="dxa"/>
            <w:vMerge w:val="continue"/>
            <w:vAlign w:val="center"/>
          </w:tcPr>
          <w:p w14:paraId="16390AC9">
            <w:pPr>
              <w:spacing w:line="276" w:lineRule="auto"/>
              <w:rPr>
                <w:rFonts w:hint="eastAsia" w:ascii="宋体" w:hAnsi="宋体" w:cs="宋体"/>
                <w:sz w:val="24"/>
                <w:highlight w:val="none"/>
              </w:rPr>
            </w:pPr>
          </w:p>
        </w:tc>
        <w:tc>
          <w:tcPr>
            <w:tcW w:w="7208" w:type="dxa"/>
            <w:vAlign w:val="center"/>
          </w:tcPr>
          <w:p w14:paraId="255F758C">
            <w:pPr>
              <w:adjustRightInd w:val="0"/>
              <w:snapToGrid w:val="0"/>
              <w:spacing w:line="276" w:lineRule="auto"/>
              <w:rPr>
                <w:rFonts w:hint="eastAsia" w:ascii="宋体" w:hAnsi="宋体" w:cs="宋体"/>
                <w:sz w:val="24"/>
                <w:highlight w:val="none"/>
              </w:rPr>
            </w:pPr>
            <w:r>
              <w:rPr>
                <w:rFonts w:hint="eastAsia" w:ascii="宋体" w:hAnsi="宋体" w:cs="宋体"/>
                <w:sz w:val="24"/>
                <w:highlight w:val="none"/>
              </w:rPr>
              <w:t>根据《关于在政府采购活动中查询及使用信用记录有关问题的通知》财库[2016]125号的规定：</w:t>
            </w:r>
          </w:p>
          <w:p w14:paraId="5A2D3BFF">
            <w:pPr>
              <w:adjustRightInd w:val="0"/>
              <w:snapToGrid w:val="0"/>
              <w:spacing w:line="276" w:lineRule="auto"/>
              <w:rPr>
                <w:rFonts w:hint="eastAsia" w:ascii="宋体" w:hAnsi="宋体" w:cs="宋体"/>
                <w:sz w:val="24"/>
                <w:highlight w:val="none"/>
              </w:rPr>
            </w:pPr>
            <w:r>
              <w:rPr>
                <w:rFonts w:hint="eastAsia" w:ascii="宋体" w:hAnsi="宋体" w:cs="宋体"/>
                <w:sz w:val="24"/>
                <w:highlight w:val="none"/>
              </w:rPr>
              <w:t>1）采购人或采购代理机构将对本项目投标人的信用记录进行查询。查询渠道为信用中国网站（www.creditchina.gov.cn）、中国政府采购网（www.ccgp.gov.cn）；</w:t>
            </w:r>
          </w:p>
          <w:p w14:paraId="14639210">
            <w:pPr>
              <w:adjustRightInd w:val="0"/>
              <w:snapToGrid w:val="0"/>
              <w:spacing w:line="276" w:lineRule="auto"/>
              <w:rPr>
                <w:rFonts w:hint="eastAsia" w:ascii="宋体" w:hAnsi="宋体" w:cs="宋体"/>
                <w:sz w:val="24"/>
                <w:highlight w:val="none"/>
              </w:rPr>
            </w:pPr>
            <w:r>
              <w:rPr>
                <w:rFonts w:hint="eastAsia" w:ascii="宋体" w:hAnsi="宋体" w:cs="宋体"/>
                <w:sz w:val="24"/>
                <w:highlight w:val="none"/>
              </w:rPr>
              <w:t>2）截止时点：提交投标文件（响应文件）截止时间前3年内；</w:t>
            </w:r>
          </w:p>
          <w:p w14:paraId="4AE71CEB">
            <w:pPr>
              <w:adjustRightInd w:val="0"/>
              <w:snapToGrid w:val="0"/>
              <w:spacing w:line="276" w:lineRule="auto"/>
              <w:rPr>
                <w:rFonts w:hint="eastAsia" w:ascii="宋体" w:hAnsi="宋体" w:cs="宋体"/>
                <w:sz w:val="24"/>
                <w:highlight w:val="none"/>
              </w:rPr>
            </w:pPr>
            <w:r>
              <w:rPr>
                <w:rFonts w:hint="eastAsia" w:ascii="宋体" w:hAnsi="宋体" w:cs="宋体"/>
                <w:sz w:val="24"/>
                <w:highlight w:val="none"/>
              </w:rPr>
              <w:t>3）查询记录和证据的留存：信用信息查询记录和证据以网页截图等方式留存。</w:t>
            </w:r>
          </w:p>
          <w:p w14:paraId="1F4D4A8D">
            <w:pPr>
              <w:adjustRightInd w:val="0"/>
              <w:snapToGrid w:val="0"/>
              <w:spacing w:line="276" w:lineRule="auto"/>
              <w:rPr>
                <w:rFonts w:hint="eastAsia" w:ascii="宋体" w:hAnsi="宋体" w:cs="宋体"/>
                <w:sz w:val="24"/>
                <w:highlight w:val="none"/>
              </w:rPr>
            </w:pPr>
            <w:r>
              <w:rPr>
                <w:rFonts w:hint="eastAsia" w:ascii="宋体" w:hAnsi="宋体" w:cs="宋体"/>
                <w:sz w:val="24"/>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7331BB44">
            <w:pPr>
              <w:adjustRightInd w:val="0"/>
              <w:snapToGrid w:val="0"/>
              <w:spacing w:line="276" w:lineRule="auto"/>
              <w:rPr>
                <w:rFonts w:hint="eastAsia" w:ascii="宋体" w:hAnsi="宋体" w:cs="宋体"/>
                <w:sz w:val="24"/>
                <w:highlight w:val="none"/>
              </w:rPr>
            </w:pPr>
            <w:r>
              <w:rPr>
                <w:rFonts w:hint="eastAsia" w:ascii="宋体" w:hAnsi="宋体" w:cs="宋体"/>
                <w:sz w:val="24"/>
                <w:highlight w:val="none"/>
              </w:rPr>
              <w:t>5）联合体成员任意一方存在不良信用记录的，视同联合体存在不良信用记录。</w:t>
            </w:r>
          </w:p>
        </w:tc>
      </w:tr>
      <w:tr w14:paraId="033F380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768" w:hRule="atLeast"/>
          <w:jc w:val="center"/>
        </w:trPr>
        <w:tc>
          <w:tcPr>
            <w:tcW w:w="808" w:type="dxa"/>
            <w:vMerge w:val="continue"/>
            <w:vAlign w:val="center"/>
          </w:tcPr>
          <w:p w14:paraId="111361D3">
            <w:pPr>
              <w:spacing w:line="276" w:lineRule="auto"/>
              <w:jc w:val="center"/>
              <w:rPr>
                <w:rFonts w:hint="eastAsia" w:ascii="宋体" w:hAnsi="宋体" w:cs="宋体"/>
                <w:sz w:val="24"/>
                <w:highlight w:val="none"/>
              </w:rPr>
            </w:pPr>
          </w:p>
        </w:tc>
        <w:tc>
          <w:tcPr>
            <w:tcW w:w="1226" w:type="dxa"/>
            <w:vMerge w:val="continue"/>
            <w:vAlign w:val="center"/>
          </w:tcPr>
          <w:p w14:paraId="2F9CA156">
            <w:pPr>
              <w:spacing w:line="276" w:lineRule="auto"/>
              <w:rPr>
                <w:rFonts w:hint="eastAsia" w:ascii="宋体" w:hAnsi="宋体" w:cs="宋体"/>
                <w:sz w:val="24"/>
                <w:highlight w:val="none"/>
              </w:rPr>
            </w:pPr>
          </w:p>
        </w:tc>
        <w:tc>
          <w:tcPr>
            <w:tcW w:w="7208" w:type="dxa"/>
            <w:vAlign w:val="center"/>
          </w:tcPr>
          <w:p w14:paraId="4CE834D2">
            <w:pPr>
              <w:adjustRightInd w:val="0"/>
              <w:snapToGrid w:val="0"/>
              <w:spacing w:line="276" w:lineRule="auto"/>
              <w:rPr>
                <w:highlight w:val="none"/>
              </w:rPr>
            </w:pPr>
            <w:r>
              <w:rPr>
                <w:rFonts w:hint="eastAsia" w:ascii="宋体" w:hAnsi="宋体" w:eastAsia="宋体" w:cs="宋体"/>
                <w:sz w:val="24"/>
                <w:highlight w:val="none"/>
              </w:rPr>
              <w:t>采购标的对应的中小企业划分标准所属行业（1）标的：</w:t>
            </w:r>
            <w:r>
              <w:rPr>
                <w:rFonts w:hint="eastAsia" w:ascii="宋体" w:hAnsi="宋体" w:eastAsia="宋体" w:cs="宋体"/>
                <w:sz w:val="24"/>
                <w:highlight w:val="none"/>
                <w:lang w:val="en-US" w:eastAsia="zh-CN"/>
              </w:rPr>
              <w:t>衢州市柯城区九龙幼儿园悦澜湾园区智能化提升工程及设施设备采购-网络系统改造及班级一体机采购清单范围内的所有货物</w:t>
            </w:r>
            <w:r>
              <w:rPr>
                <w:rFonts w:hint="eastAsia" w:ascii="宋体" w:hAnsi="宋体" w:eastAsia="宋体" w:cs="宋体"/>
                <w:sz w:val="24"/>
                <w:highlight w:val="none"/>
              </w:rPr>
              <w:t>，属于软件和信息技术服务业；</w:t>
            </w:r>
            <w:r>
              <w:rPr>
                <w:rFonts w:hint="eastAsia" w:ascii="宋体" w:hAnsi="宋体" w:eastAsia="宋体" w:cs="宋体"/>
                <w:sz w:val="24"/>
                <w:highlight w:val="none"/>
                <w:lang w:val="en-US" w:eastAsia="zh-CN"/>
              </w:rPr>
              <w:t>相关文件：工信部联企业〔2011〕300号。</w:t>
            </w:r>
          </w:p>
        </w:tc>
      </w:tr>
      <w:tr w14:paraId="4647159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08" w:type="dxa"/>
            <w:vAlign w:val="center"/>
          </w:tcPr>
          <w:p w14:paraId="2BA3C218">
            <w:pPr>
              <w:spacing w:line="276" w:lineRule="auto"/>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14</w:t>
            </w:r>
          </w:p>
        </w:tc>
        <w:tc>
          <w:tcPr>
            <w:tcW w:w="1226" w:type="dxa"/>
            <w:vAlign w:val="center"/>
          </w:tcPr>
          <w:p w14:paraId="4459E1EB">
            <w:pPr>
              <w:pStyle w:val="45"/>
              <w:snapToGrid w:val="0"/>
              <w:spacing w:line="380" w:lineRule="exact"/>
              <w:rPr>
                <w:rFonts w:hint="eastAsia" w:hAnsi="宋体" w:cs="宋体"/>
                <w:sz w:val="24"/>
                <w:highlight w:val="none"/>
              </w:rPr>
            </w:pPr>
            <w:r>
              <w:rPr>
                <w:rFonts w:hint="eastAsia" w:hAnsi="宋体" w:cs="宋体"/>
                <w:b/>
                <w:bCs/>
                <w:sz w:val="24"/>
                <w:szCs w:val="24"/>
                <w:highlight w:val="none"/>
              </w:rPr>
              <w:t>特别提醒</w:t>
            </w:r>
          </w:p>
        </w:tc>
        <w:tc>
          <w:tcPr>
            <w:tcW w:w="7208" w:type="dxa"/>
            <w:vAlign w:val="center"/>
          </w:tcPr>
          <w:p w14:paraId="473CCDFC">
            <w:pPr>
              <w:pStyle w:val="45"/>
              <w:snapToGrid w:val="0"/>
              <w:spacing w:line="380" w:lineRule="exact"/>
              <w:jc w:val="left"/>
              <w:rPr>
                <w:rFonts w:hint="eastAsia" w:hAnsi="宋体" w:cs="宋体"/>
                <w:b/>
                <w:bCs/>
                <w:sz w:val="24"/>
                <w:szCs w:val="24"/>
                <w:highlight w:val="none"/>
              </w:rPr>
            </w:pPr>
            <w:r>
              <w:rPr>
                <w:rFonts w:hint="eastAsia" w:hAnsi="宋体" w:cs="宋体"/>
                <w:b/>
                <w:bCs/>
                <w:sz w:val="24"/>
                <w:szCs w:val="24"/>
                <w:highlight w:val="none"/>
              </w:rPr>
              <w:t>1.所有询标流程，均在线上完成，请各投标人务必不要离开电脑太久，并留意手机短信。（请提前检查“政采云”内，关于“项目采购”的岗位权限是否已勾选上。如有问题，请致电95763）</w:t>
            </w:r>
          </w:p>
          <w:p w14:paraId="02B71FAE">
            <w:pPr>
              <w:pStyle w:val="45"/>
              <w:snapToGrid w:val="0"/>
              <w:spacing w:line="380" w:lineRule="exact"/>
              <w:jc w:val="left"/>
              <w:rPr>
                <w:highlight w:val="none"/>
              </w:rPr>
            </w:pPr>
            <w:r>
              <w:rPr>
                <w:rFonts w:hint="eastAsia" w:hAnsi="宋体" w:cs="宋体"/>
                <w:b/>
                <w:bCs/>
                <w:sz w:val="24"/>
                <w:szCs w:val="24"/>
                <w:highlight w:val="none"/>
              </w:rPr>
              <w:t>2.投标人无须到开标现场，只需自备电脑在规定时间前进行在线解密文件即可。</w:t>
            </w:r>
          </w:p>
        </w:tc>
      </w:tr>
      <w:bookmarkEnd w:id="2"/>
    </w:tbl>
    <w:p w14:paraId="3014820D">
      <w:pPr>
        <w:adjustRightInd w:val="0"/>
        <w:snapToGrid w:val="0"/>
        <w:spacing w:line="360" w:lineRule="auto"/>
        <w:jc w:val="center"/>
        <w:outlineLvl w:val="1"/>
        <w:rPr>
          <w:rFonts w:hint="eastAsia" w:ascii="宋体" w:hAnsi="宋体" w:cs="宋体"/>
          <w:b/>
          <w:sz w:val="32"/>
          <w:highlight w:val="none"/>
        </w:rPr>
      </w:pPr>
      <w:bookmarkStart w:id="8" w:name="_Toc994"/>
      <w:bookmarkStart w:id="9" w:name="_Toc522530041"/>
      <w:bookmarkStart w:id="10" w:name="_Toc233618972"/>
      <w:bookmarkStart w:id="11" w:name="_Toc226106467"/>
      <w:bookmarkStart w:id="12" w:name="_Toc225840109"/>
      <w:bookmarkStart w:id="13" w:name="_Toc226106516"/>
      <w:bookmarkStart w:id="14" w:name="_Toc226521904"/>
      <w:r>
        <w:rPr>
          <w:rFonts w:hint="eastAsia" w:ascii="宋体" w:hAnsi="宋体" w:cs="宋体"/>
          <w:b/>
          <w:sz w:val="32"/>
          <w:highlight w:val="none"/>
        </w:rPr>
        <w:t>一、总 则</w:t>
      </w:r>
      <w:bookmarkEnd w:id="8"/>
      <w:bookmarkEnd w:id="9"/>
      <w:bookmarkEnd w:id="10"/>
    </w:p>
    <w:p w14:paraId="1DCDF3AF">
      <w:pPr>
        <w:pStyle w:val="45"/>
        <w:adjustRightInd w:val="0"/>
        <w:snapToGrid w:val="0"/>
        <w:spacing w:line="436" w:lineRule="exact"/>
        <w:rPr>
          <w:rFonts w:hint="eastAsia" w:hAnsi="宋体" w:cs="宋体"/>
          <w:b/>
          <w:sz w:val="24"/>
          <w:highlight w:val="none"/>
        </w:rPr>
      </w:pPr>
      <w:bookmarkStart w:id="15" w:name="_Hlt74730295"/>
      <w:bookmarkEnd w:id="15"/>
      <w:bookmarkStart w:id="16" w:name="_Hlt74714665"/>
      <w:bookmarkEnd w:id="16"/>
      <w:bookmarkStart w:id="17" w:name="_Hlt74730112"/>
      <w:bookmarkStart w:id="18" w:name="_Hlt74730208"/>
      <w:r>
        <w:rPr>
          <w:rFonts w:hint="eastAsia" w:hAnsi="宋体" w:cs="宋体"/>
          <w:b/>
          <w:sz w:val="24"/>
          <w:highlight w:val="none"/>
        </w:rPr>
        <w:t>（一）实施依据</w:t>
      </w:r>
    </w:p>
    <w:p w14:paraId="010A3494">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本次招标工作按照《中华人民共和国政府采购法》等政府采购有关法律、法规、规章、文件的规定组织和实施。</w:t>
      </w:r>
    </w:p>
    <w:p w14:paraId="7F8FC77C">
      <w:pPr>
        <w:pStyle w:val="45"/>
        <w:adjustRightInd w:val="0"/>
        <w:snapToGrid w:val="0"/>
        <w:spacing w:line="436" w:lineRule="exact"/>
        <w:rPr>
          <w:rFonts w:hint="eastAsia" w:hAnsi="宋体" w:cs="宋体"/>
          <w:b/>
          <w:sz w:val="24"/>
          <w:highlight w:val="none"/>
        </w:rPr>
      </w:pPr>
      <w:bookmarkStart w:id="19" w:name="_Toc91899873"/>
      <w:r>
        <w:rPr>
          <w:rFonts w:hint="eastAsia" w:hAnsi="宋体" w:cs="宋体"/>
          <w:b/>
          <w:sz w:val="24"/>
          <w:highlight w:val="none"/>
        </w:rPr>
        <w:t>（二）采购方式</w:t>
      </w:r>
      <w:bookmarkEnd w:id="19"/>
    </w:p>
    <w:p w14:paraId="49E4E951">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公开招标。</w:t>
      </w:r>
      <w:bookmarkEnd w:id="17"/>
      <w:bookmarkEnd w:id="18"/>
      <w:bookmarkStart w:id="20" w:name="_Hlt68516771"/>
      <w:bookmarkEnd w:id="20"/>
      <w:bookmarkStart w:id="21" w:name="_Hlt74388212"/>
      <w:bookmarkEnd w:id="21"/>
    </w:p>
    <w:p w14:paraId="6DD7A4CF">
      <w:pPr>
        <w:adjustRightInd w:val="0"/>
        <w:snapToGrid w:val="0"/>
        <w:spacing w:line="436" w:lineRule="exact"/>
        <w:rPr>
          <w:rFonts w:hint="eastAsia" w:ascii="宋体" w:hAnsi="宋体" w:cs="宋体"/>
          <w:b/>
          <w:kern w:val="0"/>
          <w:sz w:val="24"/>
          <w:highlight w:val="none"/>
          <w:lang w:val="zh-CN"/>
        </w:rPr>
      </w:pPr>
      <w:bookmarkStart w:id="22" w:name="_Hlt74730303"/>
      <w:bookmarkStart w:id="23" w:name="_Toc91899877"/>
      <w:r>
        <w:rPr>
          <w:rFonts w:hint="eastAsia" w:ascii="宋体" w:hAnsi="宋体" w:cs="宋体"/>
          <w:b/>
          <w:sz w:val="24"/>
          <w:highlight w:val="none"/>
        </w:rPr>
        <w:t>（三）</w:t>
      </w:r>
      <w:r>
        <w:rPr>
          <w:rFonts w:hint="eastAsia" w:ascii="宋体" w:hAnsi="宋体" w:cs="宋体"/>
          <w:b/>
          <w:kern w:val="0"/>
          <w:sz w:val="24"/>
          <w:highlight w:val="none"/>
          <w:lang w:val="zh-CN"/>
        </w:rPr>
        <w:t>定义</w:t>
      </w:r>
    </w:p>
    <w:p w14:paraId="04DA97FB">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招标（采购）人：是指依法进行政府采购的国家机关、事业单位、团体组织，见本项目“招标公告”；</w:t>
      </w:r>
    </w:p>
    <w:p w14:paraId="5105388C">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招标（采购）代理机构：受招标人委托，在委托的范围内办理政府采购事宜并组织招标活动的机构，见本项目“招标公告”；</w:t>
      </w:r>
    </w:p>
    <w:p w14:paraId="50572DD2">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投标人（投标人）：是指参加本政府采购项目投标的投标人；</w:t>
      </w:r>
    </w:p>
    <w:p w14:paraId="3B85BEC3">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中标人：是指经评审获得本项目最终合同签订资格的投标人。</w:t>
      </w:r>
    </w:p>
    <w:p w14:paraId="14F400C8">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买方（甲方）：是指合同签订的一方，一般与招标人、用户相同；</w:t>
      </w:r>
    </w:p>
    <w:p w14:paraId="6FCEA623">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卖方（乙方）：是指合同签订的另一方，一般与中标人相同；</w:t>
      </w:r>
    </w:p>
    <w:p w14:paraId="65C8705E">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制造商：包括是指拥有投标产品自主知识产权的单位；</w:t>
      </w:r>
    </w:p>
    <w:p w14:paraId="558BB677">
      <w:pPr>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政府采购监管部门：</w:t>
      </w:r>
      <w:r>
        <w:rPr>
          <w:rFonts w:hint="eastAsia" w:ascii="宋体" w:hAnsi="宋体" w:cs="宋体"/>
          <w:sz w:val="24"/>
          <w:szCs w:val="22"/>
          <w:highlight w:val="none"/>
        </w:rPr>
        <w:t>衢州市柯城区政府采购管理办公室</w:t>
      </w:r>
      <w:r>
        <w:rPr>
          <w:rFonts w:hint="eastAsia" w:ascii="宋体" w:hAnsi="宋体" w:cs="宋体"/>
          <w:sz w:val="24"/>
          <w:highlight w:val="none"/>
        </w:rPr>
        <w:t>；</w:t>
      </w:r>
    </w:p>
    <w:p w14:paraId="6BE3D7C8">
      <w:pPr>
        <w:adjustRightInd w:val="0"/>
        <w:snapToGrid w:val="0"/>
        <w:spacing w:line="436" w:lineRule="exact"/>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rPr>
        <w:t>产品（货物）：系指按招标文件规定，须向招标人提供的一切设备及配套备品备件、工具、手册及其他有关技术资料和材料；</w:t>
      </w:r>
    </w:p>
    <w:p w14:paraId="1EDA0AB8">
      <w:pPr>
        <w:adjustRightInd w:val="0"/>
        <w:snapToGrid w:val="0"/>
        <w:spacing w:line="436" w:lineRule="exact"/>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rPr>
        <w:t>投标人应保证提供的产品为合法企业生产的合法产品，符合中华人民共和国有关法律、法规、规章、文件、标准、规范的规定。按国家规定应通过有关部门鉴定（批准）的产品，应保证已按国家规定通过了鉴定（批准）；实行产品许可证制度的产品须获得国家许可；实行强制性认证的产品须通过国家认可认证；产品应符合国家节能环保要求；投标人在投标文件中提供相关证明材料。</w:t>
      </w:r>
    </w:p>
    <w:p w14:paraId="2DDA0073">
      <w:pPr>
        <w:tabs>
          <w:tab w:val="left" w:pos="0"/>
        </w:tabs>
        <w:autoSpaceDE w:val="0"/>
        <w:autoSpaceDN w:val="0"/>
        <w:adjustRightInd w:val="0"/>
        <w:spacing w:line="436" w:lineRule="exact"/>
        <w:ind w:firstLine="480" w:firstLineChars="200"/>
        <w:rPr>
          <w:rFonts w:hint="eastAsia" w:ascii="宋体" w:hAnsi="宋体" w:cs="宋体"/>
          <w:sz w:val="24"/>
          <w:highlight w:val="none"/>
          <w:lang w:val="zh-CN"/>
        </w:rPr>
      </w:pPr>
      <w:r>
        <w:rPr>
          <w:rFonts w:hint="eastAsia" w:ascii="宋体" w:hAnsi="宋体" w:cs="宋体"/>
          <w:sz w:val="24"/>
          <w:highlight w:val="none"/>
          <w:lang w:val="zh-CN"/>
        </w:rPr>
        <w:t>服务：</w:t>
      </w:r>
      <w:r>
        <w:rPr>
          <w:rFonts w:hint="eastAsia" w:ascii="宋体" w:hAnsi="宋体" w:cs="宋体"/>
          <w:kern w:val="0"/>
          <w:sz w:val="24"/>
          <w:highlight w:val="none"/>
          <w:lang w:val="zh-CN"/>
        </w:rPr>
        <w:t>系指按招标文件规定，须向招标人提供</w:t>
      </w:r>
      <w:r>
        <w:rPr>
          <w:rFonts w:hint="eastAsia" w:ascii="宋体" w:hAnsi="宋体" w:cs="宋体"/>
          <w:sz w:val="24"/>
          <w:highlight w:val="none"/>
          <w:lang w:val="zh-CN"/>
        </w:rPr>
        <w:t xml:space="preserve">的与供货有关的辅助服务，如运输、保险、培训安装、调试、验收、技术支持和交付使用后质保期内应履行的售后服务等义务； </w:t>
      </w:r>
    </w:p>
    <w:p w14:paraId="1F4FF9D2">
      <w:pPr>
        <w:tabs>
          <w:tab w:val="left" w:pos="0"/>
        </w:tabs>
        <w:autoSpaceDE w:val="0"/>
        <w:autoSpaceDN w:val="0"/>
        <w:adjustRightInd w:val="0"/>
        <w:spacing w:line="436" w:lineRule="exact"/>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rPr>
        <w:t>培训：系指按招标文件规定，向招标人提供操作使用培训、系统管理培训和其他相关培训等。</w:t>
      </w:r>
    </w:p>
    <w:p w14:paraId="5A2FB00D">
      <w:pPr>
        <w:tabs>
          <w:tab w:val="left" w:pos="0"/>
        </w:tabs>
        <w:autoSpaceDE w:val="0"/>
        <w:autoSpaceDN w:val="0"/>
        <w:adjustRightInd w:val="0"/>
        <w:spacing w:line="436" w:lineRule="exact"/>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rPr>
        <w:t>书面形式：包括纸质文件、电子邮件、传真、信函、电报等。</w:t>
      </w:r>
    </w:p>
    <w:p w14:paraId="7281B67D">
      <w:pPr>
        <w:adjustRightInd w:val="0"/>
        <w:snapToGrid w:val="0"/>
        <w:spacing w:line="436" w:lineRule="exact"/>
        <w:ind w:firstLine="480" w:firstLineChars="200"/>
        <w:rPr>
          <w:rFonts w:hint="eastAsia" w:ascii="宋体" w:hAnsi="宋体" w:cs="宋体"/>
          <w:sz w:val="24"/>
          <w:highlight w:val="none"/>
          <w:lang w:val="zh-CN"/>
        </w:rPr>
      </w:pPr>
      <w:r>
        <w:rPr>
          <w:rFonts w:hint="eastAsia" w:ascii="宋体" w:hAnsi="宋体" w:cs="宋体"/>
          <w:sz w:val="24"/>
          <w:highlight w:val="none"/>
          <w:lang w:val="zh-CN"/>
        </w:rPr>
        <w:t>实质性响应:系指投标文件符合招标文件规定的实质性内容、条件和规定。</w:t>
      </w:r>
    </w:p>
    <w:p w14:paraId="7542DC75">
      <w:pPr>
        <w:adjustRightInd w:val="0"/>
        <w:snapToGrid w:val="0"/>
        <w:spacing w:line="436" w:lineRule="exact"/>
        <w:ind w:firstLine="480" w:firstLineChars="200"/>
        <w:rPr>
          <w:rFonts w:hint="eastAsia" w:ascii="宋体" w:hAnsi="宋体" w:cs="宋体"/>
          <w:sz w:val="24"/>
          <w:highlight w:val="none"/>
          <w:lang w:val="zh-CN"/>
        </w:rPr>
      </w:pPr>
      <w:r>
        <w:rPr>
          <w:rFonts w:hint="eastAsia" w:ascii="宋体" w:hAnsi="宋体" w:cs="宋体"/>
          <w:sz w:val="24"/>
          <w:highlight w:val="none"/>
          <w:lang w:val="zh-CN"/>
        </w:rPr>
        <w:t>重大偏离或保留：系指将会影响到招标文件规定的服务范围、质量标准，或会给合同中规定的招标人的权利和投标人的责任造成实质性限制，而纠正这些偏离或保留将对其他提交了实质性响应的投标文件的投标人产生不公平影响的。</w:t>
      </w:r>
    </w:p>
    <w:p w14:paraId="211068DF">
      <w:pPr>
        <w:tabs>
          <w:tab w:val="left" w:pos="0"/>
        </w:tabs>
        <w:autoSpaceDE w:val="0"/>
        <w:autoSpaceDN w:val="0"/>
        <w:adjustRightInd w:val="0"/>
        <w:spacing w:line="436" w:lineRule="exact"/>
        <w:ind w:firstLine="480" w:firstLineChars="200"/>
        <w:rPr>
          <w:rFonts w:hint="eastAsia" w:ascii="宋体" w:hAnsi="宋体" w:cs="宋体"/>
          <w:kern w:val="0"/>
          <w:sz w:val="24"/>
          <w:highlight w:val="none"/>
        </w:rPr>
      </w:pPr>
      <w:r>
        <w:rPr>
          <w:rFonts w:hint="eastAsia" w:ascii="宋体" w:hAnsi="宋体" w:cs="宋体"/>
          <w:sz w:val="24"/>
          <w:highlight w:val="none"/>
          <w:lang w:val="zh-CN"/>
        </w:rPr>
        <w:t>细微偏离：系指投标文件对招标文件的非实质性内容存在不完全响应或不响应。</w:t>
      </w:r>
    </w:p>
    <w:p w14:paraId="0D93E9F0">
      <w:pPr>
        <w:adjustRightInd w:val="0"/>
        <w:snapToGrid w:val="0"/>
        <w:spacing w:line="436" w:lineRule="exact"/>
        <w:rPr>
          <w:rFonts w:hint="eastAsia" w:ascii="宋体" w:hAnsi="宋体" w:cs="宋体"/>
          <w:b/>
          <w:sz w:val="24"/>
          <w:highlight w:val="none"/>
        </w:rPr>
      </w:pPr>
      <w:r>
        <w:rPr>
          <w:rFonts w:hint="eastAsia" w:ascii="宋体" w:hAnsi="宋体" w:cs="宋体"/>
          <w:b/>
          <w:sz w:val="24"/>
          <w:highlight w:val="none"/>
        </w:rPr>
        <w:t>（四）采购项目需要落实的政府采购政策</w:t>
      </w:r>
    </w:p>
    <w:p w14:paraId="7E825521">
      <w:pPr>
        <w:spacing w:line="436" w:lineRule="exact"/>
        <w:ind w:left="7" w:right="86" w:firstLine="441" w:firstLineChars="187"/>
        <w:rPr>
          <w:rFonts w:hint="eastAsia" w:ascii="宋体" w:hAnsi="宋体" w:cs="宋体"/>
          <w:sz w:val="24"/>
          <w:szCs w:val="24"/>
          <w:highlight w:val="none"/>
        </w:rPr>
      </w:pPr>
      <w:r>
        <w:rPr>
          <w:rFonts w:hint="eastAsia" w:ascii="宋体" w:hAnsi="宋体" w:cs="宋体"/>
          <w:spacing w:val="-2"/>
          <w:sz w:val="24"/>
          <w:szCs w:val="24"/>
          <w:highlight w:val="none"/>
        </w:rPr>
        <w:t>4</w:t>
      </w:r>
      <w:r>
        <w:rPr>
          <w:rFonts w:ascii="宋体" w:hAnsi="宋体" w:cs="宋体"/>
          <w:spacing w:val="-2"/>
          <w:sz w:val="24"/>
          <w:szCs w:val="24"/>
          <w:highlight w:val="none"/>
        </w:rPr>
        <w:t>.1本项目原则上采购本国生产的货物、工程和服务，不允许采购进口产品。除非招标人采购进口产品，已经在招标活动开始前向财政部门提出申请并获得财政部门审核同意，且在采购需求中明确规定可以采购进口产品（但如果因信息不对称等原因，仍有满足需求的国内产品要求参与采购竞争的，招标人、招标代理机构不会对其加以限制，仍</w:t>
      </w:r>
      <w:r>
        <w:rPr>
          <w:rFonts w:ascii="宋体" w:hAnsi="宋体" w:cs="宋体"/>
          <w:spacing w:val="-10"/>
          <w:sz w:val="24"/>
          <w:szCs w:val="24"/>
          <w:highlight w:val="none"/>
        </w:rPr>
        <w:t>将按照公平竞争原则实施采购）。</w:t>
      </w:r>
    </w:p>
    <w:p w14:paraId="6908D4FD">
      <w:pPr>
        <w:spacing w:line="436" w:lineRule="exact"/>
        <w:ind w:firstLine="444" w:firstLineChars="190"/>
        <w:rPr>
          <w:rFonts w:hint="eastAsia" w:ascii="宋体" w:hAnsi="宋体" w:cs="宋体"/>
          <w:sz w:val="24"/>
          <w:szCs w:val="24"/>
          <w:highlight w:val="none"/>
        </w:rPr>
      </w:pPr>
      <w:r>
        <w:rPr>
          <w:rFonts w:hint="eastAsia" w:ascii="宋体" w:hAnsi="宋体" w:cs="宋体"/>
          <w:spacing w:val="-3"/>
          <w:sz w:val="24"/>
          <w:szCs w:val="24"/>
          <w:highlight w:val="none"/>
        </w:rPr>
        <w:t>4</w:t>
      </w:r>
      <w:r>
        <w:rPr>
          <w:rFonts w:ascii="宋体" w:hAnsi="宋体" w:cs="宋体"/>
          <w:spacing w:val="-3"/>
          <w:sz w:val="24"/>
          <w:szCs w:val="24"/>
          <w:highlight w:val="none"/>
        </w:rPr>
        <w:t>.2支持绿色发展</w:t>
      </w:r>
    </w:p>
    <w:p w14:paraId="12DFCD72">
      <w:pPr>
        <w:spacing w:line="436" w:lineRule="exact"/>
        <w:ind w:left="7" w:right="52" w:firstLine="486"/>
        <w:rPr>
          <w:rFonts w:hint="eastAsia" w:ascii="宋体" w:hAnsi="宋体" w:cs="宋体"/>
          <w:b/>
          <w:bCs/>
          <w:spacing w:val="-1"/>
          <w:sz w:val="24"/>
          <w:szCs w:val="24"/>
          <w:highlight w:val="none"/>
        </w:rPr>
      </w:pPr>
      <w:r>
        <w:rPr>
          <w:rFonts w:hint="eastAsia" w:ascii="宋体" w:hAnsi="宋体" w:cs="宋体"/>
          <w:spacing w:val="-1"/>
          <w:sz w:val="24"/>
          <w:szCs w:val="24"/>
          <w:highlight w:val="none"/>
        </w:rPr>
        <w:t>4</w:t>
      </w:r>
      <w:r>
        <w:rPr>
          <w:rFonts w:ascii="宋体" w:hAnsi="宋体" w:cs="宋体"/>
          <w:spacing w:val="-1"/>
          <w:sz w:val="24"/>
          <w:szCs w:val="24"/>
          <w:highlight w:val="none"/>
        </w:rPr>
        <w:t>.2.1</w:t>
      </w:r>
      <w:r>
        <w:rPr>
          <w:rFonts w:ascii="宋体" w:hAnsi="宋体" w:cs="宋体"/>
          <w:spacing w:val="-29"/>
          <w:sz w:val="24"/>
          <w:szCs w:val="24"/>
          <w:highlight w:val="none"/>
        </w:rPr>
        <w:t xml:space="preserve"> </w:t>
      </w:r>
      <w:r>
        <w:rPr>
          <w:rFonts w:ascii="宋体" w:hAnsi="宋体" w:cs="宋体"/>
          <w:spacing w:val="-1"/>
          <w:sz w:val="24"/>
          <w:szCs w:val="24"/>
          <w:highlight w:val="none"/>
        </w:rPr>
        <w:t>招标人拟采购的产品属于品目清单范围的，招标人及其委托的采购代理机构</w:t>
      </w:r>
      <w:r>
        <w:rPr>
          <w:rFonts w:ascii="宋体" w:hAnsi="宋体" w:cs="宋体"/>
          <w:sz w:val="24"/>
          <w:szCs w:val="24"/>
          <w:highlight w:val="none"/>
        </w:rPr>
        <w:t xml:space="preserve"> </w:t>
      </w:r>
      <w:r>
        <w:rPr>
          <w:rFonts w:ascii="宋体" w:hAnsi="宋体" w:cs="宋体"/>
          <w:spacing w:val="-2"/>
          <w:sz w:val="24"/>
          <w:szCs w:val="24"/>
          <w:highlight w:val="none"/>
        </w:rPr>
        <w:t>将依据国家确定的认证机构出具的、处于有效期之内的节能产品、环境标志产品认证证</w:t>
      </w:r>
      <w:r>
        <w:rPr>
          <w:rFonts w:ascii="宋体" w:hAnsi="宋体" w:cs="宋体"/>
          <w:spacing w:val="18"/>
          <w:sz w:val="24"/>
          <w:szCs w:val="24"/>
          <w:highlight w:val="none"/>
        </w:rPr>
        <w:t xml:space="preserve"> </w:t>
      </w:r>
      <w:r>
        <w:rPr>
          <w:rFonts w:ascii="宋体" w:hAnsi="宋体" w:cs="宋体"/>
          <w:spacing w:val="-2"/>
          <w:sz w:val="24"/>
          <w:szCs w:val="24"/>
          <w:highlight w:val="none"/>
        </w:rPr>
        <w:t>书，对获得证书的产品实施政府优先采购或强制采购。投标人须按</w:t>
      </w:r>
      <w:r>
        <w:rPr>
          <w:rFonts w:ascii="宋体" w:hAnsi="宋体" w:cs="宋体"/>
          <w:spacing w:val="-1"/>
          <w:sz w:val="24"/>
          <w:szCs w:val="24"/>
          <w:highlight w:val="none"/>
        </w:rPr>
        <w:t>招标文件要求提供相 关产品认证证书。</w:t>
      </w:r>
    </w:p>
    <w:p w14:paraId="2ED95898">
      <w:pPr>
        <w:spacing w:line="436" w:lineRule="exact"/>
        <w:ind w:left="11" w:right="86" w:firstLine="482"/>
        <w:rPr>
          <w:rFonts w:hint="eastAsia" w:ascii="宋体" w:hAnsi="宋体" w:cs="宋体"/>
          <w:sz w:val="24"/>
          <w:szCs w:val="24"/>
          <w:highlight w:val="none"/>
        </w:rPr>
      </w:pPr>
      <w:r>
        <w:rPr>
          <w:rFonts w:hint="eastAsia" w:ascii="宋体" w:hAnsi="宋体" w:cs="宋体"/>
          <w:spacing w:val="-2"/>
          <w:sz w:val="24"/>
          <w:szCs w:val="24"/>
          <w:highlight w:val="none"/>
        </w:rPr>
        <w:t>4</w:t>
      </w:r>
      <w:r>
        <w:rPr>
          <w:rFonts w:ascii="宋体" w:hAnsi="宋体" w:cs="宋体"/>
          <w:spacing w:val="-2"/>
          <w:sz w:val="24"/>
          <w:szCs w:val="24"/>
          <w:highlight w:val="none"/>
        </w:rPr>
        <w:t>.2.2</w:t>
      </w:r>
      <w:r>
        <w:rPr>
          <w:rFonts w:ascii="宋体" w:hAnsi="宋体" w:cs="宋体"/>
          <w:spacing w:val="11"/>
          <w:sz w:val="24"/>
          <w:szCs w:val="24"/>
          <w:highlight w:val="none"/>
        </w:rPr>
        <w:t xml:space="preserve"> </w:t>
      </w:r>
      <w:r>
        <w:rPr>
          <w:rFonts w:ascii="宋体" w:hAnsi="宋体" w:cs="宋体"/>
          <w:spacing w:val="-2"/>
          <w:sz w:val="24"/>
          <w:szCs w:val="24"/>
          <w:highlight w:val="none"/>
        </w:rPr>
        <w:t>修缮、装修类项目采购建材的，招标人应将绿色建筑和绿色建材性能、指标</w:t>
      </w:r>
      <w:r>
        <w:rPr>
          <w:rFonts w:ascii="宋体" w:hAnsi="宋体" w:cs="宋体"/>
          <w:sz w:val="24"/>
          <w:szCs w:val="24"/>
          <w:highlight w:val="none"/>
        </w:rPr>
        <w:t xml:space="preserve"> </w:t>
      </w:r>
      <w:r>
        <w:rPr>
          <w:rFonts w:ascii="宋体" w:hAnsi="宋体" w:cs="宋体"/>
          <w:spacing w:val="-1"/>
          <w:sz w:val="24"/>
          <w:szCs w:val="24"/>
          <w:highlight w:val="none"/>
        </w:rPr>
        <w:t>等作为实质性条件纳入招标文件和合同。</w:t>
      </w:r>
    </w:p>
    <w:p w14:paraId="63289250">
      <w:pPr>
        <w:spacing w:line="436" w:lineRule="exact"/>
        <w:ind w:left="10" w:firstLine="483"/>
        <w:rPr>
          <w:rFonts w:hint="eastAsia" w:ascii="宋体" w:hAnsi="宋体" w:cs="宋体"/>
          <w:sz w:val="24"/>
          <w:szCs w:val="24"/>
          <w:highlight w:val="none"/>
        </w:rPr>
      </w:pPr>
      <w:r>
        <w:rPr>
          <w:rFonts w:hint="eastAsia" w:ascii="宋体" w:hAnsi="宋体" w:cs="宋体"/>
          <w:spacing w:val="-1"/>
          <w:sz w:val="24"/>
          <w:szCs w:val="24"/>
          <w:highlight w:val="none"/>
        </w:rPr>
        <w:t>4</w:t>
      </w:r>
      <w:r>
        <w:rPr>
          <w:rFonts w:ascii="宋体" w:hAnsi="宋体" w:cs="宋体"/>
          <w:spacing w:val="-1"/>
          <w:sz w:val="24"/>
          <w:szCs w:val="24"/>
          <w:highlight w:val="none"/>
        </w:rPr>
        <w:t>.2.3</w:t>
      </w:r>
      <w:r>
        <w:rPr>
          <w:rFonts w:ascii="宋体" w:hAnsi="宋体" w:cs="宋体"/>
          <w:spacing w:val="-27"/>
          <w:sz w:val="24"/>
          <w:szCs w:val="24"/>
          <w:highlight w:val="none"/>
        </w:rPr>
        <w:t xml:space="preserve"> </w:t>
      </w:r>
      <w:r>
        <w:rPr>
          <w:rFonts w:ascii="宋体" w:hAnsi="宋体" w:cs="宋体"/>
          <w:spacing w:val="-1"/>
          <w:sz w:val="24"/>
          <w:szCs w:val="24"/>
          <w:highlight w:val="none"/>
        </w:rPr>
        <w:t>为助力打好污染防治攻坚战，推广使用绿色包装，政府采购货物、工程和服</w:t>
      </w:r>
      <w:r>
        <w:rPr>
          <w:rFonts w:ascii="宋体" w:hAnsi="宋体" w:cs="宋体"/>
          <w:spacing w:val="-2"/>
          <w:sz w:val="24"/>
          <w:szCs w:val="24"/>
          <w:highlight w:val="none"/>
        </w:rPr>
        <w:t>务项目中涉及商品包装和快递包装的，供应商提供产品及相关快递服务的具体包装要求</w:t>
      </w:r>
      <w:r>
        <w:rPr>
          <w:rFonts w:ascii="宋体" w:hAnsi="宋体" w:cs="宋体"/>
          <w:spacing w:val="15"/>
          <w:sz w:val="24"/>
          <w:szCs w:val="24"/>
          <w:highlight w:val="none"/>
        </w:rPr>
        <w:t xml:space="preserve"> </w:t>
      </w:r>
      <w:r>
        <w:rPr>
          <w:rFonts w:ascii="宋体" w:hAnsi="宋体" w:cs="宋体"/>
          <w:spacing w:val="-17"/>
          <w:sz w:val="24"/>
          <w:szCs w:val="24"/>
          <w:highlight w:val="none"/>
        </w:rPr>
        <w:t>要参考《商品包装政府采购需求标准（试行）》、《快递包装政府采购需求标准（试行）》。</w:t>
      </w:r>
    </w:p>
    <w:p w14:paraId="2681F1C3">
      <w:pPr>
        <w:spacing w:line="436" w:lineRule="exact"/>
        <w:ind w:firstLine="444" w:firstLineChars="190"/>
        <w:rPr>
          <w:rFonts w:hint="eastAsia" w:ascii="宋体" w:hAnsi="宋体" w:cs="宋体"/>
          <w:sz w:val="24"/>
          <w:szCs w:val="24"/>
          <w:highlight w:val="none"/>
        </w:rPr>
      </w:pPr>
      <w:r>
        <w:rPr>
          <w:rFonts w:hint="eastAsia" w:ascii="宋体" w:hAnsi="宋体" w:cs="宋体"/>
          <w:spacing w:val="-3"/>
          <w:sz w:val="24"/>
          <w:szCs w:val="24"/>
          <w:highlight w:val="none"/>
        </w:rPr>
        <w:t>4</w:t>
      </w:r>
      <w:r>
        <w:rPr>
          <w:rFonts w:ascii="宋体" w:hAnsi="宋体" w:cs="宋体"/>
          <w:spacing w:val="-3"/>
          <w:sz w:val="24"/>
          <w:szCs w:val="24"/>
          <w:highlight w:val="none"/>
        </w:rPr>
        <w:t>.3</w:t>
      </w:r>
      <w:r>
        <w:rPr>
          <w:rFonts w:ascii="宋体" w:hAnsi="宋体" w:cs="宋体"/>
          <w:spacing w:val="-42"/>
          <w:sz w:val="24"/>
          <w:szCs w:val="24"/>
          <w:highlight w:val="none"/>
        </w:rPr>
        <w:t xml:space="preserve"> </w:t>
      </w:r>
      <w:r>
        <w:rPr>
          <w:rFonts w:ascii="宋体" w:hAnsi="宋体" w:cs="宋体"/>
          <w:spacing w:val="-3"/>
          <w:sz w:val="24"/>
          <w:szCs w:val="24"/>
          <w:highlight w:val="none"/>
        </w:rPr>
        <w:t>支持中小企业发展</w:t>
      </w:r>
    </w:p>
    <w:p w14:paraId="6224927D">
      <w:pPr>
        <w:spacing w:line="436" w:lineRule="exact"/>
        <w:ind w:left="8" w:right="86" w:firstLine="485"/>
        <w:rPr>
          <w:rFonts w:hint="eastAsia" w:ascii="宋体" w:hAnsi="宋体" w:cs="宋体"/>
          <w:sz w:val="24"/>
          <w:szCs w:val="24"/>
          <w:highlight w:val="none"/>
        </w:rPr>
      </w:pPr>
      <w:r>
        <w:rPr>
          <w:rFonts w:hint="eastAsia" w:ascii="宋体" w:hAnsi="宋体" w:cs="宋体"/>
          <w:spacing w:val="-1"/>
          <w:sz w:val="24"/>
          <w:szCs w:val="24"/>
          <w:highlight w:val="none"/>
        </w:rPr>
        <w:t>4</w:t>
      </w:r>
      <w:r>
        <w:rPr>
          <w:rFonts w:ascii="宋体" w:hAnsi="宋体" w:cs="宋体"/>
          <w:spacing w:val="-1"/>
          <w:sz w:val="24"/>
          <w:szCs w:val="24"/>
          <w:highlight w:val="none"/>
        </w:rPr>
        <w:t>.3.1</w:t>
      </w:r>
      <w:r>
        <w:rPr>
          <w:rFonts w:ascii="宋体" w:hAnsi="宋体" w:cs="宋体"/>
          <w:spacing w:val="-27"/>
          <w:sz w:val="24"/>
          <w:szCs w:val="24"/>
          <w:highlight w:val="none"/>
        </w:rPr>
        <w:t xml:space="preserve"> </w:t>
      </w:r>
      <w:r>
        <w:rPr>
          <w:rFonts w:ascii="宋体" w:hAnsi="宋体" w:cs="宋体"/>
          <w:spacing w:val="-1"/>
          <w:sz w:val="24"/>
          <w:szCs w:val="24"/>
          <w:highlight w:val="none"/>
        </w:rPr>
        <w:t>中小企业，是指在中华人民共和国境内依法设立，依据国务院批准的中小企</w:t>
      </w:r>
      <w:r>
        <w:rPr>
          <w:rFonts w:ascii="宋体" w:hAnsi="宋体" w:cs="宋体"/>
          <w:sz w:val="24"/>
          <w:szCs w:val="24"/>
          <w:highlight w:val="none"/>
        </w:rPr>
        <w:t xml:space="preserve"> </w:t>
      </w:r>
      <w:r>
        <w:rPr>
          <w:rFonts w:ascii="宋体" w:hAnsi="宋体" w:cs="宋体"/>
          <w:spacing w:val="-2"/>
          <w:sz w:val="24"/>
          <w:szCs w:val="24"/>
          <w:highlight w:val="none"/>
        </w:rPr>
        <w:t>业划分标准确定的中型企业、小型企业和微型企业，但与大企业的负责人为同一人，或</w:t>
      </w:r>
      <w:r>
        <w:rPr>
          <w:rFonts w:ascii="宋体" w:hAnsi="宋体" w:cs="宋体"/>
          <w:spacing w:val="-1"/>
          <w:sz w:val="24"/>
          <w:szCs w:val="24"/>
          <w:highlight w:val="none"/>
        </w:rPr>
        <w:t>者与大企业存在直接控股、管理关系的除外。</w:t>
      </w:r>
    </w:p>
    <w:p w14:paraId="3014BEA5">
      <w:pPr>
        <w:spacing w:line="436" w:lineRule="exact"/>
        <w:ind w:firstLine="491"/>
        <w:rPr>
          <w:rFonts w:hint="eastAsia" w:ascii="宋体" w:hAnsi="宋体" w:cs="宋体"/>
          <w:sz w:val="24"/>
          <w:szCs w:val="24"/>
          <w:highlight w:val="none"/>
        </w:rPr>
      </w:pPr>
      <w:r>
        <w:rPr>
          <w:rFonts w:ascii="宋体" w:hAnsi="宋体" w:cs="宋体"/>
          <w:spacing w:val="-1"/>
          <w:sz w:val="24"/>
          <w:szCs w:val="24"/>
          <w:highlight w:val="none"/>
        </w:rPr>
        <w:t>符合中小企业划分标准的个体工商户，在政府采购活动中视同中小企业。</w:t>
      </w:r>
    </w:p>
    <w:p w14:paraId="26E295BC">
      <w:pPr>
        <w:spacing w:line="436" w:lineRule="exact"/>
        <w:ind w:left="14" w:right="113" w:firstLine="480"/>
        <w:rPr>
          <w:rFonts w:hint="eastAsia" w:ascii="宋体" w:hAnsi="宋体" w:cs="宋体"/>
          <w:sz w:val="24"/>
          <w:szCs w:val="24"/>
          <w:highlight w:val="none"/>
        </w:rPr>
      </w:pPr>
      <w:r>
        <w:rPr>
          <w:rFonts w:hint="eastAsia" w:ascii="宋体" w:hAnsi="宋体" w:cs="宋体"/>
          <w:spacing w:val="-1"/>
          <w:sz w:val="24"/>
          <w:szCs w:val="24"/>
          <w:highlight w:val="none"/>
        </w:rPr>
        <w:t>4</w:t>
      </w:r>
      <w:r>
        <w:rPr>
          <w:rFonts w:ascii="宋体" w:hAnsi="宋体" w:cs="宋体"/>
          <w:spacing w:val="-1"/>
          <w:sz w:val="24"/>
          <w:szCs w:val="24"/>
          <w:highlight w:val="none"/>
        </w:rPr>
        <w:t>.3.2</w:t>
      </w:r>
      <w:r>
        <w:rPr>
          <w:rFonts w:ascii="宋体" w:hAnsi="宋体" w:cs="宋体"/>
          <w:spacing w:val="-37"/>
          <w:sz w:val="24"/>
          <w:szCs w:val="24"/>
          <w:highlight w:val="none"/>
        </w:rPr>
        <w:t xml:space="preserve"> </w:t>
      </w:r>
      <w:r>
        <w:rPr>
          <w:rFonts w:ascii="宋体" w:hAnsi="宋体" w:cs="宋体"/>
          <w:spacing w:val="-1"/>
          <w:sz w:val="24"/>
          <w:szCs w:val="24"/>
          <w:highlight w:val="none"/>
        </w:rPr>
        <w:t>在政府采购活动中，投标人提供的货物、工程或者服务符合下列情形的，享</w:t>
      </w:r>
      <w:r>
        <w:rPr>
          <w:rFonts w:ascii="宋体" w:hAnsi="宋体" w:cs="宋体"/>
          <w:sz w:val="24"/>
          <w:szCs w:val="24"/>
          <w:highlight w:val="none"/>
        </w:rPr>
        <w:t xml:space="preserve"> </w:t>
      </w:r>
      <w:r>
        <w:rPr>
          <w:rFonts w:ascii="宋体" w:hAnsi="宋体" w:cs="宋体"/>
          <w:spacing w:val="-2"/>
          <w:sz w:val="24"/>
          <w:szCs w:val="24"/>
          <w:highlight w:val="none"/>
        </w:rPr>
        <w:t>受中小企业扶持政策：</w:t>
      </w:r>
    </w:p>
    <w:p w14:paraId="5D97264F">
      <w:pPr>
        <w:spacing w:line="436" w:lineRule="exact"/>
        <w:ind w:left="13" w:right="113" w:firstLine="480"/>
        <w:rPr>
          <w:rFonts w:hint="eastAsia" w:ascii="宋体" w:hAnsi="宋体" w:cs="宋体"/>
          <w:sz w:val="24"/>
          <w:szCs w:val="24"/>
          <w:highlight w:val="none"/>
        </w:rPr>
      </w:pPr>
      <w:r>
        <w:rPr>
          <w:rFonts w:hint="eastAsia" w:ascii="宋体" w:hAnsi="宋体" w:cs="宋体"/>
          <w:spacing w:val="-6"/>
          <w:sz w:val="24"/>
          <w:szCs w:val="24"/>
          <w:highlight w:val="none"/>
        </w:rPr>
        <w:t>4</w:t>
      </w:r>
      <w:r>
        <w:rPr>
          <w:rFonts w:ascii="宋体" w:hAnsi="宋体" w:cs="宋体"/>
          <w:spacing w:val="-6"/>
          <w:sz w:val="24"/>
          <w:szCs w:val="24"/>
          <w:highlight w:val="none"/>
        </w:rPr>
        <w:t>.3.2.1</w:t>
      </w:r>
      <w:r>
        <w:rPr>
          <w:rFonts w:ascii="宋体" w:hAnsi="宋体" w:cs="宋体"/>
          <w:spacing w:val="-19"/>
          <w:sz w:val="24"/>
          <w:szCs w:val="24"/>
          <w:highlight w:val="none"/>
        </w:rPr>
        <w:t xml:space="preserve"> </w:t>
      </w:r>
      <w:r>
        <w:rPr>
          <w:rFonts w:ascii="宋体" w:hAnsi="宋体" w:cs="宋体"/>
          <w:spacing w:val="-6"/>
          <w:sz w:val="24"/>
          <w:szCs w:val="24"/>
          <w:highlight w:val="none"/>
        </w:rPr>
        <w:t>在货物采购项目中，货物由中小企业制造，即货物由中小企业生产且使用</w:t>
      </w:r>
      <w:r>
        <w:rPr>
          <w:rFonts w:ascii="宋体" w:hAnsi="宋体" w:cs="宋体"/>
          <w:spacing w:val="-1"/>
          <w:sz w:val="24"/>
          <w:szCs w:val="24"/>
          <w:highlight w:val="none"/>
        </w:rPr>
        <w:t>该中小企业商号或者注册商标；</w:t>
      </w:r>
    </w:p>
    <w:p w14:paraId="0AA59CD0">
      <w:pPr>
        <w:spacing w:line="436" w:lineRule="exact"/>
        <w:ind w:firstLine="494"/>
        <w:rPr>
          <w:rFonts w:hint="eastAsia" w:ascii="宋体" w:hAnsi="宋体" w:cs="宋体"/>
          <w:sz w:val="24"/>
          <w:szCs w:val="24"/>
          <w:highlight w:val="none"/>
        </w:rPr>
      </w:pPr>
      <w:r>
        <w:rPr>
          <w:rFonts w:hint="eastAsia" w:ascii="宋体" w:hAnsi="宋体" w:cs="宋体"/>
          <w:spacing w:val="-6"/>
          <w:sz w:val="24"/>
          <w:szCs w:val="24"/>
          <w:highlight w:val="none"/>
        </w:rPr>
        <w:t>4</w:t>
      </w:r>
      <w:r>
        <w:rPr>
          <w:rFonts w:ascii="宋体" w:hAnsi="宋体" w:cs="宋体"/>
          <w:spacing w:val="-6"/>
          <w:sz w:val="24"/>
          <w:szCs w:val="24"/>
          <w:highlight w:val="none"/>
        </w:rPr>
        <w:t>.3.2.2</w:t>
      </w:r>
      <w:r>
        <w:rPr>
          <w:rFonts w:ascii="宋体" w:hAnsi="宋体" w:cs="宋体"/>
          <w:spacing w:val="-16"/>
          <w:sz w:val="24"/>
          <w:szCs w:val="24"/>
          <w:highlight w:val="none"/>
        </w:rPr>
        <w:t xml:space="preserve"> </w:t>
      </w:r>
      <w:r>
        <w:rPr>
          <w:rFonts w:ascii="宋体" w:hAnsi="宋体" w:cs="宋体"/>
          <w:spacing w:val="-6"/>
          <w:sz w:val="24"/>
          <w:szCs w:val="24"/>
          <w:highlight w:val="none"/>
        </w:rPr>
        <w:t>在工程采购项目中，工程由中小企业承建，即工程施工单位为中小企业；</w:t>
      </w:r>
    </w:p>
    <w:p w14:paraId="0E7D918F">
      <w:pPr>
        <w:spacing w:line="436" w:lineRule="exact"/>
        <w:ind w:left="14" w:right="113" w:firstLine="480"/>
        <w:rPr>
          <w:rFonts w:hint="eastAsia" w:ascii="宋体" w:hAnsi="宋体" w:cs="宋体"/>
          <w:spacing w:val="-1"/>
          <w:sz w:val="24"/>
          <w:szCs w:val="24"/>
          <w:highlight w:val="none"/>
        </w:rPr>
      </w:pPr>
      <w:r>
        <w:rPr>
          <w:rFonts w:hint="eastAsia" w:ascii="宋体" w:hAnsi="宋体" w:cs="宋体"/>
          <w:spacing w:val="-1"/>
          <w:sz w:val="24"/>
          <w:szCs w:val="24"/>
          <w:highlight w:val="none"/>
        </w:rPr>
        <w:t>4</w:t>
      </w:r>
      <w:r>
        <w:rPr>
          <w:rFonts w:ascii="宋体" w:hAnsi="宋体" w:cs="宋体"/>
          <w:spacing w:val="-1"/>
          <w:sz w:val="24"/>
          <w:szCs w:val="24"/>
          <w:highlight w:val="none"/>
        </w:rPr>
        <w:t>.3.2.3 在服务采购项目中，服务由中小企业承接，即提供服务的人员为中小企业依照《中华人民共和国劳动合同法》订立劳动合同的从业人员。</w:t>
      </w:r>
    </w:p>
    <w:p w14:paraId="0245E50F">
      <w:pPr>
        <w:spacing w:line="436" w:lineRule="exact"/>
        <w:ind w:left="14" w:right="113" w:firstLine="480"/>
        <w:rPr>
          <w:rFonts w:hint="eastAsia" w:ascii="宋体" w:hAnsi="宋体" w:cs="宋体"/>
          <w:sz w:val="24"/>
          <w:szCs w:val="24"/>
          <w:highlight w:val="none"/>
        </w:rPr>
      </w:pPr>
      <w:r>
        <w:rPr>
          <w:rFonts w:ascii="宋体" w:hAnsi="宋体" w:cs="宋体"/>
          <w:spacing w:val="-1"/>
          <w:sz w:val="24"/>
          <w:szCs w:val="24"/>
          <w:highlight w:val="none"/>
        </w:rPr>
        <w:t>在货物采购项目中，投标人提供的货物既有中小企业制造货物，也有大型企业制</w:t>
      </w:r>
      <w:r>
        <w:rPr>
          <w:rFonts w:ascii="宋体" w:hAnsi="宋体" w:cs="宋体"/>
          <w:spacing w:val="-2"/>
          <w:sz w:val="24"/>
          <w:szCs w:val="24"/>
          <w:highlight w:val="none"/>
        </w:rPr>
        <w:t>造</w:t>
      </w:r>
      <w:r>
        <w:rPr>
          <w:rFonts w:ascii="宋体" w:hAnsi="宋体" w:cs="宋体"/>
          <w:spacing w:val="-1"/>
          <w:sz w:val="24"/>
          <w:szCs w:val="24"/>
          <w:highlight w:val="none"/>
        </w:rPr>
        <w:t>货物的，不享受中小企业扶持政策。</w:t>
      </w:r>
    </w:p>
    <w:p w14:paraId="4E711636">
      <w:pPr>
        <w:spacing w:line="436" w:lineRule="exact"/>
        <w:ind w:left="8" w:right="104" w:firstLine="508"/>
        <w:rPr>
          <w:rFonts w:hint="eastAsia" w:ascii="宋体" w:hAnsi="宋体" w:cs="宋体"/>
          <w:sz w:val="24"/>
          <w:szCs w:val="24"/>
          <w:highlight w:val="none"/>
        </w:rPr>
      </w:pPr>
      <w:r>
        <w:rPr>
          <w:rFonts w:ascii="宋体" w:hAnsi="宋体" w:cs="宋体"/>
          <w:spacing w:val="-3"/>
          <w:sz w:val="24"/>
          <w:szCs w:val="24"/>
          <w:highlight w:val="none"/>
        </w:rPr>
        <w:t>以联合体形式参加政府采购活动，联合体各方均为中小企业的，联合体视同中小企</w:t>
      </w:r>
      <w:r>
        <w:rPr>
          <w:rFonts w:ascii="宋体" w:hAnsi="宋体" w:cs="宋体"/>
          <w:spacing w:val="21"/>
          <w:sz w:val="24"/>
          <w:szCs w:val="24"/>
          <w:highlight w:val="none"/>
        </w:rPr>
        <w:t xml:space="preserve"> </w:t>
      </w:r>
      <w:r>
        <w:rPr>
          <w:rFonts w:ascii="宋体" w:hAnsi="宋体" w:cs="宋体"/>
          <w:spacing w:val="-1"/>
          <w:sz w:val="24"/>
          <w:szCs w:val="24"/>
          <w:highlight w:val="none"/>
        </w:rPr>
        <w:t>业。其中，联合体各方均为小微企业的，联合体视同小微企业。</w:t>
      </w:r>
    </w:p>
    <w:p w14:paraId="636E0470">
      <w:pPr>
        <w:spacing w:line="436" w:lineRule="exact"/>
        <w:ind w:left="9" w:right="104" w:firstLine="484"/>
        <w:rPr>
          <w:rFonts w:hint="eastAsia" w:ascii="宋体" w:hAnsi="宋体" w:cs="宋体"/>
          <w:sz w:val="24"/>
          <w:szCs w:val="24"/>
          <w:highlight w:val="none"/>
        </w:rPr>
      </w:pPr>
      <w:r>
        <w:rPr>
          <w:rFonts w:hint="eastAsia" w:ascii="宋体" w:hAnsi="宋体" w:cs="宋体"/>
          <w:spacing w:val="-1"/>
          <w:sz w:val="24"/>
          <w:szCs w:val="24"/>
          <w:highlight w:val="none"/>
        </w:rPr>
        <w:t>4</w:t>
      </w:r>
      <w:r>
        <w:rPr>
          <w:rFonts w:ascii="宋体" w:hAnsi="宋体" w:cs="宋体"/>
          <w:spacing w:val="-1"/>
          <w:sz w:val="24"/>
          <w:szCs w:val="24"/>
          <w:highlight w:val="none"/>
        </w:rPr>
        <w:t>.3.3</w:t>
      </w:r>
      <w:r>
        <w:rPr>
          <w:rFonts w:ascii="宋体" w:hAnsi="宋体" w:cs="宋体"/>
          <w:spacing w:val="-27"/>
          <w:sz w:val="24"/>
          <w:szCs w:val="24"/>
          <w:highlight w:val="none"/>
        </w:rPr>
        <w:t xml:space="preserve"> </w:t>
      </w:r>
      <w:r>
        <w:rPr>
          <w:rFonts w:ascii="宋体" w:hAnsi="宋体" w:cs="宋体"/>
          <w:spacing w:val="-1"/>
          <w:sz w:val="24"/>
          <w:szCs w:val="24"/>
          <w:highlight w:val="none"/>
        </w:rPr>
        <w:t>对于未预留份额专门面向中小企业的政府采购货物或服务项目，以及预留份</w:t>
      </w:r>
      <w:r>
        <w:rPr>
          <w:rFonts w:ascii="宋体" w:hAnsi="宋体" w:cs="宋体"/>
          <w:sz w:val="24"/>
          <w:szCs w:val="24"/>
          <w:highlight w:val="none"/>
        </w:rPr>
        <w:t xml:space="preserve"> </w:t>
      </w:r>
      <w:r>
        <w:rPr>
          <w:rFonts w:ascii="宋体" w:hAnsi="宋体" w:cs="宋体"/>
          <w:spacing w:val="4"/>
          <w:sz w:val="24"/>
          <w:szCs w:val="24"/>
          <w:highlight w:val="none"/>
        </w:rPr>
        <w:t>额政府采购货物或服务项目中的非预留部分标项，对小型和微型企业的投标报价给予</w:t>
      </w:r>
      <w:r>
        <w:rPr>
          <w:rFonts w:hint="eastAsia" w:ascii="宋体" w:hAnsi="宋体" w:cs="宋体"/>
          <w:spacing w:val="1"/>
          <w:sz w:val="24"/>
          <w:szCs w:val="24"/>
          <w:highlight w:val="none"/>
        </w:rPr>
        <w:t>10</w:t>
      </w:r>
      <w:r>
        <w:rPr>
          <w:rFonts w:ascii="宋体" w:hAnsi="宋体" w:cs="宋体"/>
          <w:spacing w:val="1"/>
          <w:sz w:val="24"/>
          <w:szCs w:val="24"/>
          <w:highlight w:val="none"/>
        </w:rPr>
        <w:t>%的扣除，用扣除后的价格参与评审。接受大中型企业与小微企业组成联合体或者允</w:t>
      </w:r>
      <w:r>
        <w:rPr>
          <w:rFonts w:ascii="宋体" w:hAnsi="宋体" w:cs="宋体"/>
          <w:spacing w:val="-2"/>
          <w:sz w:val="24"/>
          <w:szCs w:val="24"/>
          <w:highlight w:val="none"/>
        </w:rPr>
        <w:t>许大中型企业向一家或者多家小微企业分包的政府采购货物或服务项目，对于联合协议</w:t>
      </w:r>
      <w:r>
        <w:rPr>
          <w:rFonts w:ascii="宋体" w:hAnsi="宋体" w:cs="宋体"/>
          <w:spacing w:val="-1"/>
          <w:sz w:val="24"/>
          <w:szCs w:val="24"/>
          <w:highlight w:val="none"/>
        </w:rPr>
        <w:t>或者分包意向协议约定小微企业的合同份额占到合同总金额</w:t>
      </w:r>
      <w:r>
        <w:rPr>
          <w:rFonts w:ascii="宋体" w:hAnsi="宋体" w:cs="宋体"/>
          <w:spacing w:val="-21"/>
          <w:sz w:val="24"/>
          <w:szCs w:val="24"/>
          <w:highlight w:val="none"/>
        </w:rPr>
        <w:t xml:space="preserve"> </w:t>
      </w:r>
      <w:r>
        <w:rPr>
          <w:rFonts w:ascii="宋体" w:hAnsi="宋体" w:cs="宋体"/>
          <w:spacing w:val="-1"/>
          <w:sz w:val="24"/>
          <w:szCs w:val="24"/>
          <w:highlight w:val="none"/>
        </w:rPr>
        <w:t>30%以上的，对联合体或者</w:t>
      </w:r>
      <w:r>
        <w:rPr>
          <w:rFonts w:ascii="宋体" w:hAnsi="宋体" w:cs="宋体"/>
          <w:spacing w:val="-4"/>
          <w:sz w:val="24"/>
          <w:szCs w:val="24"/>
          <w:highlight w:val="none"/>
        </w:rPr>
        <w:t>大中型企业的报价给予</w:t>
      </w:r>
      <w:r>
        <w:rPr>
          <w:rFonts w:ascii="宋体" w:hAnsi="宋体" w:cs="宋体"/>
          <w:spacing w:val="-24"/>
          <w:sz w:val="24"/>
          <w:szCs w:val="24"/>
          <w:highlight w:val="none"/>
        </w:rPr>
        <w:t xml:space="preserve"> </w:t>
      </w:r>
      <w:r>
        <w:rPr>
          <w:rFonts w:hint="eastAsia" w:ascii="宋体" w:hAnsi="宋体" w:cs="宋体"/>
          <w:spacing w:val="-4"/>
          <w:sz w:val="24"/>
          <w:szCs w:val="24"/>
          <w:highlight w:val="none"/>
        </w:rPr>
        <w:t>6</w:t>
      </w:r>
      <w:r>
        <w:rPr>
          <w:rFonts w:ascii="宋体" w:hAnsi="宋体" w:cs="宋体"/>
          <w:spacing w:val="-4"/>
          <w:sz w:val="24"/>
          <w:szCs w:val="24"/>
          <w:highlight w:val="none"/>
        </w:rPr>
        <w:t>%的扣除，用扣除后的价格参加评审。组成联合体或者接受分包</w:t>
      </w:r>
      <w:r>
        <w:rPr>
          <w:rFonts w:ascii="宋体" w:hAnsi="宋体" w:cs="宋体"/>
          <w:spacing w:val="-2"/>
          <w:sz w:val="24"/>
          <w:szCs w:val="24"/>
          <w:highlight w:val="none"/>
        </w:rPr>
        <w:t>的小微企业与联合体内其他企业、分包企业之间存在直接控股、管理关系的，不享受价格扣除优惠政策。</w:t>
      </w:r>
    </w:p>
    <w:p w14:paraId="0EAD1FF9">
      <w:pPr>
        <w:spacing w:line="436" w:lineRule="exact"/>
        <w:ind w:left="8" w:right="104" w:firstLine="485"/>
        <w:rPr>
          <w:rFonts w:hint="eastAsia" w:ascii="宋体" w:hAnsi="宋体" w:cs="宋体"/>
          <w:sz w:val="24"/>
          <w:szCs w:val="24"/>
          <w:highlight w:val="none"/>
        </w:rPr>
      </w:pPr>
      <w:r>
        <w:rPr>
          <w:rFonts w:hint="eastAsia" w:ascii="宋体" w:hAnsi="宋体" w:cs="宋体"/>
          <w:spacing w:val="-7"/>
          <w:sz w:val="24"/>
          <w:szCs w:val="24"/>
          <w:highlight w:val="none"/>
        </w:rPr>
        <w:t>4</w:t>
      </w:r>
      <w:r>
        <w:rPr>
          <w:rFonts w:ascii="宋体" w:hAnsi="宋体" w:cs="宋体"/>
          <w:spacing w:val="-7"/>
          <w:sz w:val="24"/>
          <w:szCs w:val="24"/>
          <w:highlight w:val="none"/>
        </w:rPr>
        <w:t>.3.4</w:t>
      </w:r>
      <w:r>
        <w:rPr>
          <w:rFonts w:ascii="宋体" w:hAnsi="宋体" w:cs="宋体"/>
          <w:spacing w:val="-36"/>
          <w:sz w:val="24"/>
          <w:szCs w:val="24"/>
          <w:highlight w:val="none"/>
        </w:rPr>
        <w:t xml:space="preserve"> </w:t>
      </w:r>
      <w:r>
        <w:rPr>
          <w:rFonts w:ascii="宋体" w:hAnsi="宋体" w:cs="宋体"/>
          <w:spacing w:val="-7"/>
          <w:sz w:val="24"/>
          <w:szCs w:val="24"/>
          <w:highlight w:val="none"/>
        </w:rPr>
        <w:t>符合《关于促进残疾人就业政府采购政策的通知》（财库〔2017〕141</w:t>
      </w:r>
      <w:r>
        <w:rPr>
          <w:rFonts w:ascii="宋体" w:hAnsi="宋体" w:cs="宋体"/>
          <w:spacing w:val="-43"/>
          <w:sz w:val="24"/>
          <w:szCs w:val="24"/>
          <w:highlight w:val="none"/>
        </w:rPr>
        <w:t xml:space="preserve"> </w:t>
      </w:r>
      <w:r>
        <w:rPr>
          <w:rFonts w:ascii="宋体" w:hAnsi="宋体" w:cs="宋体"/>
          <w:spacing w:val="-7"/>
          <w:sz w:val="24"/>
          <w:szCs w:val="24"/>
          <w:highlight w:val="none"/>
        </w:rPr>
        <w:t>号）</w:t>
      </w:r>
      <w:r>
        <w:rPr>
          <w:rFonts w:ascii="宋体" w:hAnsi="宋体" w:cs="宋体"/>
          <w:spacing w:val="-5"/>
          <w:sz w:val="24"/>
          <w:szCs w:val="24"/>
          <w:highlight w:val="none"/>
        </w:rPr>
        <w:t>规定的条件并提供《残疾人福利性单位声明函》的残疾人福利性单位视同小型、微型企业；</w:t>
      </w:r>
    </w:p>
    <w:p w14:paraId="22B03A6C">
      <w:pPr>
        <w:spacing w:line="436" w:lineRule="exact"/>
        <w:ind w:left="10" w:firstLine="483"/>
        <w:rPr>
          <w:rFonts w:hint="eastAsia" w:ascii="宋体" w:hAnsi="宋体" w:cs="宋体"/>
          <w:sz w:val="24"/>
          <w:szCs w:val="24"/>
          <w:highlight w:val="none"/>
        </w:rPr>
      </w:pPr>
      <w:r>
        <w:rPr>
          <w:rFonts w:hint="eastAsia" w:ascii="宋体" w:hAnsi="宋体" w:cs="宋体"/>
          <w:spacing w:val="-6"/>
          <w:sz w:val="24"/>
          <w:szCs w:val="24"/>
          <w:highlight w:val="none"/>
        </w:rPr>
        <w:t>4</w:t>
      </w:r>
      <w:r>
        <w:rPr>
          <w:rFonts w:ascii="宋体" w:hAnsi="宋体" w:cs="宋体"/>
          <w:spacing w:val="-6"/>
          <w:sz w:val="24"/>
          <w:szCs w:val="24"/>
          <w:highlight w:val="none"/>
        </w:rPr>
        <w:t>.3.5</w:t>
      </w:r>
      <w:r>
        <w:rPr>
          <w:rFonts w:ascii="宋体" w:hAnsi="宋体" w:cs="宋体"/>
          <w:spacing w:val="-18"/>
          <w:sz w:val="24"/>
          <w:szCs w:val="24"/>
          <w:highlight w:val="none"/>
        </w:rPr>
        <w:t xml:space="preserve"> </w:t>
      </w:r>
      <w:r>
        <w:rPr>
          <w:rFonts w:ascii="宋体" w:hAnsi="宋体" w:cs="宋体"/>
          <w:spacing w:val="-6"/>
          <w:sz w:val="24"/>
          <w:szCs w:val="24"/>
          <w:highlight w:val="none"/>
        </w:rPr>
        <w:t>符合《关于政府采购支持监狱企业发展有关问题的通知》（财库[2014]68</w:t>
      </w:r>
      <w:r>
        <w:rPr>
          <w:rFonts w:ascii="宋体" w:hAnsi="宋体" w:cs="宋体"/>
          <w:spacing w:val="-45"/>
          <w:sz w:val="24"/>
          <w:szCs w:val="24"/>
          <w:highlight w:val="none"/>
        </w:rPr>
        <w:t xml:space="preserve"> </w:t>
      </w:r>
      <w:r>
        <w:rPr>
          <w:rFonts w:ascii="宋体" w:hAnsi="宋体" w:cs="宋体"/>
          <w:spacing w:val="-6"/>
          <w:sz w:val="24"/>
          <w:szCs w:val="24"/>
          <w:highlight w:val="none"/>
        </w:rPr>
        <w:t>号）</w:t>
      </w:r>
      <w:r>
        <w:rPr>
          <w:rFonts w:ascii="宋体" w:hAnsi="宋体" w:cs="宋体"/>
          <w:spacing w:val="-5"/>
          <w:sz w:val="24"/>
          <w:szCs w:val="24"/>
          <w:highlight w:val="none"/>
        </w:rPr>
        <w:t>规定的监狱企业并提供由省级以上监狱管理局、戒毒管理局（含新疆生产建设兵团）出</w:t>
      </w:r>
      <w:r>
        <w:rPr>
          <w:rFonts w:ascii="宋体" w:hAnsi="宋体" w:cs="宋体"/>
          <w:spacing w:val="-1"/>
          <w:sz w:val="24"/>
          <w:szCs w:val="24"/>
          <w:highlight w:val="none"/>
        </w:rPr>
        <w:t>具的属于监狱企业证明文件的，视同为小型、微型企业。</w:t>
      </w:r>
    </w:p>
    <w:p w14:paraId="5DBE0618">
      <w:pPr>
        <w:spacing w:line="436" w:lineRule="exact"/>
        <w:ind w:left="8" w:right="104" w:firstLine="485"/>
        <w:rPr>
          <w:rFonts w:hint="eastAsia" w:ascii="宋体" w:hAnsi="宋体" w:cs="宋体"/>
          <w:sz w:val="24"/>
          <w:szCs w:val="24"/>
          <w:highlight w:val="none"/>
        </w:rPr>
      </w:pPr>
      <w:r>
        <w:rPr>
          <w:rFonts w:hint="eastAsia" w:ascii="宋体" w:hAnsi="宋体" w:cs="宋体"/>
          <w:spacing w:val="-1"/>
          <w:sz w:val="24"/>
          <w:szCs w:val="24"/>
          <w:highlight w:val="none"/>
        </w:rPr>
        <w:t>4</w:t>
      </w:r>
      <w:r>
        <w:rPr>
          <w:rFonts w:ascii="宋体" w:hAnsi="宋体" w:cs="宋体"/>
          <w:spacing w:val="-1"/>
          <w:sz w:val="24"/>
          <w:szCs w:val="24"/>
          <w:highlight w:val="none"/>
        </w:rPr>
        <w:t>.3.6</w:t>
      </w:r>
      <w:r>
        <w:rPr>
          <w:rFonts w:ascii="宋体" w:hAnsi="宋体" w:cs="宋体"/>
          <w:spacing w:val="-27"/>
          <w:sz w:val="24"/>
          <w:szCs w:val="24"/>
          <w:highlight w:val="none"/>
        </w:rPr>
        <w:t xml:space="preserve"> </w:t>
      </w:r>
      <w:r>
        <w:rPr>
          <w:rFonts w:ascii="宋体" w:hAnsi="宋体" w:cs="宋体"/>
          <w:spacing w:val="-1"/>
          <w:sz w:val="24"/>
          <w:szCs w:val="24"/>
          <w:highlight w:val="none"/>
        </w:rPr>
        <w:t>可享受中小企业扶持政策的投标人应按照招标文件格式要求提供《中小企业</w:t>
      </w:r>
      <w:r>
        <w:rPr>
          <w:rFonts w:ascii="宋体" w:hAnsi="宋体" w:cs="宋体"/>
          <w:sz w:val="24"/>
          <w:szCs w:val="24"/>
          <w:highlight w:val="none"/>
        </w:rPr>
        <w:t xml:space="preserve"> </w:t>
      </w:r>
      <w:r>
        <w:rPr>
          <w:rFonts w:ascii="宋体" w:hAnsi="宋体" w:cs="宋体"/>
          <w:spacing w:val="-9"/>
          <w:sz w:val="24"/>
          <w:szCs w:val="24"/>
          <w:highlight w:val="none"/>
        </w:rPr>
        <w:t>声明函》，投标人提供的《中小企业声明函》 与实际情况不符的，不享受中小企业扶持</w:t>
      </w:r>
      <w:r>
        <w:rPr>
          <w:rFonts w:ascii="宋体" w:hAnsi="宋体" w:cs="宋体"/>
          <w:spacing w:val="-1"/>
          <w:sz w:val="24"/>
          <w:szCs w:val="24"/>
          <w:highlight w:val="none"/>
        </w:rPr>
        <w:t>政策。声明内容不实的，属于提供虚假材料谋取中标、成交的，依法承担法律责任。</w:t>
      </w:r>
    </w:p>
    <w:p w14:paraId="5DFC9DC9">
      <w:pPr>
        <w:spacing w:line="436" w:lineRule="exact"/>
        <w:ind w:left="32" w:right="104" w:firstLine="462"/>
        <w:rPr>
          <w:rFonts w:hint="eastAsia" w:ascii="宋体" w:hAnsi="宋体" w:cs="宋体"/>
          <w:sz w:val="24"/>
          <w:szCs w:val="24"/>
          <w:highlight w:val="none"/>
        </w:rPr>
      </w:pPr>
      <w:r>
        <w:rPr>
          <w:rFonts w:hint="eastAsia" w:ascii="宋体" w:hAnsi="宋体" w:cs="宋体"/>
          <w:spacing w:val="-1"/>
          <w:sz w:val="24"/>
          <w:szCs w:val="24"/>
          <w:highlight w:val="none"/>
        </w:rPr>
        <w:t>4</w:t>
      </w:r>
      <w:r>
        <w:rPr>
          <w:rFonts w:ascii="宋体" w:hAnsi="宋体" w:cs="宋体"/>
          <w:spacing w:val="-1"/>
          <w:sz w:val="24"/>
          <w:szCs w:val="24"/>
          <w:highlight w:val="none"/>
        </w:rPr>
        <w:t>.3.7</w:t>
      </w:r>
      <w:r>
        <w:rPr>
          <w:rFonts w:ascii="宋体" w:hAnsi="宋体" w:cs="宋体"/>
          <w:spacing w:val="-27"/>
          <w:sz w:val="24"/>
          <w:szCs w:val="24"/>
          <w:highlight w:val="none"/>
        </w:rPr>
        <w:t xml:space="preserve"> </w:t>
      </w:r>
      <w:r>
        <w:rPr>
          <w:rFonts w:ascii="宋体" w:hAnsi="宋体" w:cs="宋体"/>
          <w:spacing w:val="-1"/>
          <w:sz w:val="24"/>
          <w:szCs w:val="24"/>
          <w:highlight w:val="none"/>
        </w:rPr>
        <w:t>中小企业享受扶持政策获得政府采购合同的，小微企业不得将合同分包给大</w:t>
      </w:r>
      <w:r>
        <w:rPr>
          <w:rFonts w:ascii="宋体" w:hAnsi="宋体" w:cs="宋体"/>
          <w:sz w:val="24"/>
          <w:szCs w:val="24"/>
          <w:highlight w:val="none"/>
        </w:rPr>
        <w:t xml:space="preserve"> </w:t>
      </w:r>
      <w:r>
        <w:rPr>
          <w:rFonts w:ascii="宋体" w:hAnsi="宋体" w:cs="宋体"/>
          <w:spacing w:val="-2"/>
          <w:sz w:val="24"/>
          <w:szCs w:val="24"/>
          <w:highlight w:val="none"/>
        </w:rPr>
        <w:t>中型企业，中型企业不得将合同分包给大型企业。</w:t>
      </w:r>
    </w:p>
    <w:p w14:paraId="3F3E0468">
      <w:pPr>
        <w:spacing w:line="436" w:lineRule="exact"/>
        <w:ind w:firstLine="444" w:firstLineChars="190"/>
        <w:rPr>
          <w:rFonts w:hint="eastAsia" w:ascii="宋体" w:hAnsi="宋体" w:cs="宋体"/>
          <w:sz w:val="24"/>
          <w:szCs w:val="24"/>
          <w:highlight w:val="none"/>
        </w:rPr>
      </w:pPr>
      <w:r>
        <w:rPr>
          <w:rFonts w:hint="eastAsia" w:ascii="宋体" w:hAnsi="宋体" w:cs="宋体"/>
          <w:spacing w:val="-3"/>
          <w:sz w:val="24"/>
          <w:szCs w:val="24"/>
          <w:highlight w:val="none"/>
        </w:rPr>
        <w:t>4</w:t>
      </w:r>
      <w:r>
        <w:rPr>
          <w:rFonts w:ascii="宋体" w:hAnsi="宋体" w:cs="宋体"/>
          <w:spacing w:val="-3"/>
          <w:sz w:val="24"/>
          <w:szCs w:val="24"/>
          <w:highlight w:val="none"/>
        </w:rPr>
        <w:t>.4</w:t>
      </w:r>
      <w:r>
        <w:rPr>
          <w:rFonts w:ascii="宋体" w:hAnsi="宋体" w:cs="宋体"/>
          <w:spacing w:val="-48"/>
          <w:sz w:val="24"/>
          <w:szCs w:val="24"/>
          <w:highlight w:val="none"/>
        </w:rPr>
        <w:t xml:space="preserve"> </w:t>
      </w:r>
      <w:r>
        <w:rPr>
          <w:rFonts w:ascii="宋体" w:hAnsi="宋体" w:cs="宋体"/>
          <w:spacing w:val="-3"/>
          <w:sz w:val="24"/>
          <w:szCs w:val="24"/>
          <w:highlight w:val="none"/>
        </w:rPr>
        <w:t>支持创新发展</w:t>
      </w:r>
    </w:p>
    <w:p w14:paraId="493BE232">
      <w:pPr>
        <w:spacing w:line="436" w:lineRule="exact"/>
        <w:ind w:firstLine="494"/>
        <w:rPr>
          <w:rFonts w:hint="eastAsia" w:ascii="宋体" w:hAnsi="宋体" w:cs="宋体"/>
          <w:sz w:val="24"/>
          <w:szCs w:val="24"/>
          <w:highlight w:val="none"/>
        </w:rPr>
      </w:pPr>
      <w:r>
        <w:rPr>
          <w:rFonts w:hint="eastAsia" w:ascii="宋体" w:hAnsi="宋体" w:cs="宋体"/>
          <w:spacing w:val="-1"/>
          <w:sz w:val="24"/>
          <w:szCs w:val="24"/>
          <w:highlight w:val="none"/>
        </w:rPr>
        <w:t>4</w:t>
      </w:r>
      <w:r>
        <w:rPr>
          <w:rFonts w:ascii="宋体" w:hAnsi="宋体" w:cs="宋体"/>
          <w:spacing w:val="-1"/>
          <w:sz w:val="24"/>
          <w:szCs w:val="24"/>
          <w:highlight w:val="none"/>
        </w:rPr>
        <w:t>.4.1招标人优先采购被认定为首台套产品和“制造精品”的自主创新产品。</w:t>
      </w:r>
    </w:p>
    <w:p w14:paraId="19617EE5">
      <w:pPr>
        <w:spacing w:line="436" w:lineRule="exact"/>
        <w:ind w:left="16" w:right="18" w:firstLine="478"/>
        <w:rPr>
          <w:rFonts w:hint="eastAsia" w:ascii="宋体" w:hAnsi="宋体" w:cs="宋体"/>
          <w:sz w:val="24"/>
          <w:szCs w:val="24"/>
          <w:highlight w:val="none"/>
        </w:rPr>
      </w:pPr>
      <w:r>
        <w:rPr>
          <w:rFonts w:hint="eastAsia" w:ascii="宋体" w:hAnsi="宋体" w:cs="宋体"/>
          <w:spacing w:val="-4"/>
          <w:sz w:val="24"/>
          <w:szCs w:val="24"/>
          <w:highlight w:val="none"/>
        </w:rPr>
        <w:t>4</w:t>
      </w:r>
      <w:r>
        <w:rPr>
          <w:rFonts w:ascii="宋体" w:hAnsi="宋体" w:cs="宋体"/>
          <w:spacing w:val="-4"/>
          <w:sz w:val="24"/>
          <w:szCs w:val="24"/>
          <w:highlight w:val="none"/>
        </w:rPr>
        <w:t>.4.2</w:t>
      </w:r>
      <w:r>
        <w:rPr>
          <w:rFonts w:ascii="宋体" w:hAnsi="宋体" w:cs="宋体"/>
          <w:spacing w:val="-24"/>
          <w:sz w:val="24"/>
          <w:szCs w:val="24"/>
          <w:highlight w:val="none"/>
        </w:rPr>
        <w:t xml:space="preserve"> </w:t>
      </w:r>
      <w:r>
        <w:rPr>
          <w:rFonts w:ascii="宋体" w:hAnsi="宋体" w:cs="宋体"/>
          <w:spacing w:val="-4"/>
          <w:sz w:val="24"/>
          <w:szCs w:val="24"/>
          <w:highlight w:val="none"/>
        </w:rPr>
        <w:t>降低创新产品政府采购市场准入门槛，首台（套）</w:t>
      </w:r>
      <w:r>
        <w:rPr>
          <w:rFonts w:ascii="宋体" w:hAnsi="宋体" w:cs="宋体"/>
          <w:spacing w:val="-9"/>
          <w:sz w:val="24"/>
          <w:szCs w:val="24"/>
          <w:highlight w:val="none"/>
        </w:rPr>
        <w:t xml:space="preserve"> </w:t>
      </w:r>
      <w:r>
        <w:rPr>
          <w:rFonts w:ascii="宋体" w:hAnsi="宋体" w:cs="宋体"/>
          <w:spacing w:val="-4"/>
          <w:sz w:val="24"/>
          <w:szCs w:val="24"/>
          <w:highlight w:val="none"/>
        </w:rPr>
        <w:t>产品纳入《省推广应用指</w:t>
      </w:r>
      <w:r>
        <w:rPr>
          <w:rFonts w:ascii="宋体" w:hAnsi="宋体" w:cs="宋体"/>
          <w:spacing w:val="-8"/>
          <w:sz w:val="24"/>
          <w:szCs w:val="24"/>
          <w:highlight w:val="none"/>
        </w:rPr>
        <w:t>导目录》之日起</w:t>
      </w:r>
      <w:r>
        <w:rPr>
          <w:rFonts w:ascii="宋体" w:hAnsi="宋体" w:cs="宋体"/>
          <w:spacing w:val="-39"/>
          <w:sz w:val="24"/>
          <w:szCs w:val="24"/>
          <w:highlight w:val="none"/>
        </w:rPr>
        <w:t xml:space="preserve"> </w:t>
      </w:r>
      <w:r>
        <w:rPr>
          <w:rFonts w:ascii="宋体" w:hAnsi="宋体" w:cs="宋体"/>
          <w:spacing w:val="-8"/>
          <w:sz w:val="24"/>
          <w:szCs w:val="24"/>
          <w:highlight w:val="none"/>
        </w:rPr>
        <w:t>3年内参加政府采购活动时视同已具备相关销售业绩，业绩分值为满分。</w:t>
      </w:r>
    </w:p>
    <w:p w14:paraId="4C4DCBCA">
      <w:pPr>
        <w:pStyle w:val="45"/>
        <w:adjustRightInd w:val="0"/>
        <w:snapToGrid w:val="0"/>
        <w:spacing w:line="436" w:lineRule="exact"/>
        <w:rPr>
          <w:rFonts w:hint="eastAsia" w:hAnsi="宋体" w:cs="宋体"/>
          <w:b/>
          <w:sz w:val="24"/>
          <w:highlight w:val="none"/>
        </w:rPr>
      </w:pPr>
      <w:r>
        <w:rPr>
          <w:rFonts w:hint="eastAsia" w:hAnsi="宋体" w:cs="宋体"/>
          <w:b/>
          <w:sz w:val="24"/>
          <w:highlight w:val="none"/>
        </w:rPr>
        <w:t>（五）投标费用</w:t>
      </w:r>
    </w:p>
    <w:p w14:paraId="5F8FF1DA">
      <w:pPr>
        <w:adjustRightInd w:val="0"/>
        <w:snapToGrid w:val="0"/>
        <w:spacing w:line="436" w:lineRule="exact"/>
        <w:ind w:firstLine="523" w:firstLineChars="218"/>
        <w:rPr>
          <w:rFonts w:hint="eastAsia" w:ascii="宋体" w:hAnsi="宋体" w:cs="宋体"/>
          <w:kern w:val="0"/>
          <w:position w:val="-5"/>
          <w:sz w:val="24"/>
          <w:highlight w:val="none"/>
        </w:rPr>
      </w:pPr>
      <w:r>
        <w:rPr>
          <w:rFonts w:hint="eastAsia" w:ascii="宋体" w:hAnsi="宋体" w:cs="宋体"/>
          <w:kern w:val="0"/>
          <w:position w:val="-5"/>
          <w:sz w:val="24"/>
          <w:highlight w:val="none"/>
        </w:rPr>
        <w:t>无论招投标过程中的做法和结果如何，投标人自行承担招投标活动中所发生的全部费用。</w:t>
      </w:r>
    </w:p>
    <w:p w14:paraId="303E207F">
      <w:pPr>
        <w:adjustRightInd w:val="0"/>
        <w:snapToGrid w:val="0"/>
        <w:spacing w:line="436" w:lineRule="exact"/>
        <w:rPr>
          <w:rFonts w:hint="eastAsia" w:ascii="宋体" w:hAnsi="宋体" w:cs="宋体"/>
          <w:b/>
          <w:sz w:val="24"/>
          <w:highlight w:val="none"/>
        </w:rPr>
      </w:pPr>
      <w:r>
        <w:rPr>
          <w:rFonts w:hint="eastAsia" w:ascii="宋体" w:hAnsi="宋体" w:cs="宋体"/>
          <w:b/>
          <w:sz w:val="24"/>
          <w:highlight w:val="none"/>
        </w:rPr>
        <w:t>（六）语言文字</w:t>
      </w:r>
    </w:p>
    <w:bookmarkEnd w:id="22"/>
    <w:bookmarkEnd w:id="23"/>
    <w:p w14:paraId="5A717BFB">
      <w:pPr>
        <w:adjustRightInd w:val="0"/>
        <w:snapToGrid w:val="0"/>
        <w:spacing w:line="436" w:lineRule="exact"/>
        <w:ind w:firstLine="523" w:firstLineChars="218"/>
        <w:rPr>
          <w:rFonts w:hint="eastAsia" w:ascii="宋体" w:hAnsi="宋体" w:cs="宋体"/>
          <w:sz w:val="24"/>
          <w:highlight w:val="none"/>
        </w:rPr>
      </w:pPr>
      <w:bookmarkStart w:id="24" w:name="_Hlt75236290"/>
      <w:bookmarkEnd w:id="24"/>
      <w:bookmarkStart w:id="25" w:name="_Hlt74707468"/>
      <w:bookmarkEnd w:id="25"/>
      <w:bookmarkStart w:id="26" w:name="_Hlt68072990"/>
      <w:bookmarkEnd w:id="26"/>
      <w:bookmarkStart w:id="27" w:name="_Hlt74729768"/>
      <w:bookmarkEnd w:id="27"/>
      <w:bookmarkStart w:id="28" w:name="_Hlt68057669"/>
      <w:bookmarkEnd w:id="28"/>
      <w:bookmarkStart w:id="29" w:name="_Toc91899879"/>
      <w:r>
        <w:rPr>
          <w:rFonts w:hint="eastAsia" w:ascii="宋体" w:hAnsi="宋体" w:cs="宋体"/>
          <w:sz w:val="24"/>
          <w:highlight w:val="none"/>
        </w:rPr>
        <w:t>1.招标投标有关的语言使用中文。</w:t>
      </w:r>
    </w:p>
    <w:p w14:paraId="4EAE2FD6">
      <w:pPr>
        <w:adjustRightInd w:val="0"/>
        <w:snapToGrid w:val="0"/>
        <w:spacing w:line="436" w:lineRule="exact"/>
        <w:ind w:firstLine="523" w:firstLineChars="218"/>
        <w:rPr>
          <w:rFonts w:hint="eastAsia" w:ascii="宋体" w:hAnsi="宋体" w:cs="宋体"/>
          <w:sz w:val="24"/>
          <w:highlight w:val="none"/>
        </w:rPr>
      </w:pPr>
      <w:r>
        <w:rPr>
          <w:rFonts w:hint="eastAsia" w:ascii="宋体" w:hAnsi="宋体" w:cs="宋体"/>
          <w:sz w:val="24"/>
          <w:highlight w:val="none"/>
        </w:rPr>
        <w:t>2.外文专用术语应附有中文注释。招投标文件及相关往来文件中有外文资料的（如质疑函、进口产品厂商授权书等），资料提供方应当将其翻译为中文，注明翻译人员姓名、工作单位、联系方式等信息，并对译文的完整性、客观性、真实性负责。</w:t>
      </w:r>
    </w:p>
    <w:p w14:paraId="0B6E14EA">
      <w:pPr>
        <w:adjustRightInd w:val="0"/>
        <w:snapToGrid w:val="0"/>
        <w:spacing w:line="436" w:lineRule="exact"/>
        <w:rPr>
          <w:rFonts w:hint="eastAsia" w:ascii="宋体" w:hAnsi="宋体" w:cs="宋体"/>
          <w:sz w:val="24"/>
          <w:highlight w:val="none"/>
        </w:rPr>
      </w:pPr>
      <w:r>
        <w:rPr>
          <w:rFonts w:hint="eastAsia" w:ascii="宋体" w:hAnsi="宋体" w:cs="宋体"/>
          <w:b/>
          <w:sz w:val="24"/>
          <w:highlight w:val="none"/>
        </w:rPr>
        <w:t>（七）计量单位</w:t>
      </w:r>
    </w:p>
    <w:p w14:paraId="19250544">
      <w:pPr>
        <w:adjustRightInd w:val="0"/>
        <w:snapToGrid w:val="0"/>
        <w:spacing w:line="436" w:lineRule="exact"/>
        <w:ind w:firstLine="523" w:firstLineChars="218"/>
        <w:rPr>
          <w:rFonts w:hint="eastAsia" w:ascii="宋体" w:hAnsi="宋体" w:cs="宋体"/>
          <w:sz w:val="24"/>
          <w:highlight w:val="none"/>
        </w:rPr>
      </w:pPr>
      <w:r>
        <w:rPr>
          <w:rFonts w:hint="eastAsia" w:ascii="宋体" w:hAnsi="宋体" w:cs="宋体"/>
          <w:sz w:val="24"/>
          <w:highlight w:val="none"/>
        </w:rPr>
        <w:t>招标文件有明确规定的，适用招标文件规定的计量单位；招标文件没有规定的，应采用中华人民共和国法定计量单位，否则视同未响应。</w:t>
      </w:r>
    </w:p>
    <w:p w14:paraId="3C47B448">
      <w:pPr>
        <w:adjustRightInd w:val="0"/>
        <w:snapToGrid w:val="0"/>
        <w:spacing w:line="436" w:lineRule="exact"/>
        <w:rPr>
          <w:rFonts w:hint="eastAsia" w:ascii="宋体" w:hAnsi="宋体" w:cs="宋体"/>
          <w:sz w:val="24"/>
          <w:highlight w:val="none"/>
        </w:rPr>
      </w:pPr>
      <w:r>
        <w:rPr>
          <w:rFonts w:hint="eastAsia" w:ascii="宋体" w:hAnsi="宋体" w:cs="宋体"/>
          <w:b/>
          <w:sz w:val="24"/>
          <w:highlight w:val="none"/>
        </w:rPr>
        <w:t>（八）转包与分包</w:t>
      </w:r>
    </w:p>
    <w:p w14:paraId="25DBF8F0">
      <w:pPr>
        <w:adjustRightInd w:val="0"/>
        <w:snapToGrid w:val="0"/>
        <w:spacing w:line="436" w:lineRule="exact"/>
        <w:ind w:firstLine="523" w:firstLineChars="218"/>
        <w:rPr>
          <w:rFonts w:hint="eastAsia" w:ascii="宋体" w:hAnsi="宋体" w:cs="宋体"/>
          <w:sz w:val="24"/>
          <w:highlight w:val="none"/>
        </w:rPr>
      </w:pPr>
      <w:r>
        <w:rPr>
          <w:rFonts w:hint="eastAsia" w:ascii="宋体" w:hAnsi="宋体" w:cs="宋体"/>
          <w:sz w:val="24"/>
          <w:highlight w:val="none"/>
        </w:rPr>
        <w:t>本项目不允许转包。本须知“前附表”规定允许分包的，投标人应当在投标文件载明分包的具体情况，应符合招标人在本须知“前附表”规定的分包内容、分包金额和接受分包的第三人资质要求等限制条件。</w:t>
      </w:r>
    </w:p>
    <w:p w14:paraId="02E9CD4F">
      <w:pPr>
        <w:adjustRightInd w:val="0"/>
        <w:snapToGrid w:val="0"/>
        <w:spacing w:line="436" w:lineRule="exact"/>
        <w:rPr>
          <w:rFonts w:hint="eastAsia" w:ascii="宋体" w:hAnsi="宋体" w:cs="宋体"/>
          <w:b/>
          <w:sz w:val="24"/>
          <w:highlight w:val="none"/>
        </w:rPr>
      </w:pPr>
      <w:r>
        <w:rPr>
          <w:rFonts w:hint="eastAsia" w:ascii="宋体" w:hAnsi="宋体" w:cs="宋体"/>
          <w:b/>
          <w:sz w:val="24"/>
          <w:highlight w:val="none"/>
        </w:rPr>
        <w:t>（九）踏勘现场</w:t>
      </w:r>
    </w:p>
    <w:p w14:paraId="5E75F310">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1.若本须知“前附表”规定统一组织的，投标人应按规定的时间、地点准时出席，否则将不予单独安排；</w:t>
      </w:r>
    </w:p>
    <w:p w14:paraId="6DFAA2D3">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2.投标人踏勘现场发生的费用自理。</w:t>
      </w:r>
    </w:p>
    <w:p w14:paraId="43456CB7">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3.除招标人的原因外，投标人自行负责在踏勘现场中可能发生的人员伤亡和财产损失。</w:t>
      </w:r>
    </w:p>
    <w:p w14:paraId="59689041">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4.招标人在踏勘现场中介绍的场地和相关的周边环境情况，投标人在编制投标文件时参考，招标人不对投标人据此作出的判断和决策负责。</w:t>
      </w:r>
    </w:p>
    <w:p w14:paraId="1B72FD69">
      <w:pPr>
        <w:adjustRightInd w:val="0"/>
        <w:snapToGrid w:val="0"/>
        <w:spacing w:line="436" w:lineRule="exact"/>
        <w:rPr>
          <w:rFonts w:hint="eastAsia" w:ascii="宋体" w:hAnsi="宋体" w:cs="宋体"/>
          <w:b/>
          <w:sz w:val="24"/>
          <w:highlight w:val="none"/>
        </w:rPr>
      </w:pPr>
      <w:r>
        <w:rPr>
          <w:rFonts w:hint="eastAsia" w:ascii="宋体" w:hAnsi="宋体" w:cs="宋体"/>
          <w:b/>
          <w:sz w:val="24"/>
          <w:highlight w:val="none"/>
        </w:rPr>
        <w:t>（十）投标预备会（答疑会）</w:t>
      </w:r>
    </w:p>
    <w:p w14:paraId="257058EC">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1.若本须知“前附表”规定召开答疑会的，招标人将按规定的时间、地点准时召开答疑会，澄清投标人提出的问题，投标人应按规定准时出席，否则将不予单独安排答疑。</w:t>
      </w:r>
    </w:p>
    <w:p w14:paraId="62101CEA">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2.投标人应在答疑会时间的前一天，以书面形式将提出的问题送达招标人，以便招标人在会议期间澄清。</w:t>
      </w:r>
    </w:p>
    <w:p w14:paraId="1F322C47">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3.答疑会后，招标人将按规定对投标人所提问题进行书面澄清答复。</w:t>
      </w:r>
    </w:p>
    <w:p w14:paraId="62D96F84">
      <w:pPr>
        <w:adjustRightInd w:val="0"/>
        <w:snapToGrid w:val="0"/>
        <w:spacing w:line="436" w:lineRule="exact"/>
        <w:rPr>
          <w:rFonts w:hint="eastAsia" w:ascii="宋体" w:hAnsi="宋体" w:cs="宋体"/>
          <w:sz w:val="24"/>
          <w:highlight w:val="none"/>
        </w:rPr>
      </w:pPr>
      <w:r>
        <w:rPr>
          <w:rFonts w:hint="eastAsia" w:ascii="宋体" w:hAnsi="宋体" w:cs="宋体"/>
          <w:b/>
          <w:sz w:val="24"/>
          <w:highlight w:val="none"/>
        </w:rPr>
        <w:t>（十一）对投标人的限制</w:t>
      </w:r>
    </w:p>
    <w:p w14:paraId="4A97FEFB">
      <w:pPr>
        <w:adjustRightInd w:val="0"/>
        <w:snapToGrid w:val="0"/>
        <w:spacing w:line="436" w:lineRule="exact"/>
        <w:ind w:firstLine="523" w:firstLineChars="218"/>
        <w:rPr>
          <w:rFonts w:hint="eastAsia" w:ascii="宋体" w:hAnsi="宋体" w:cs="宋体"/>
          <w:sz w:val="24"/>
          <w:highlight w:val="none"/>
        </w:rPr>
      </w:pPr>
      <w:r>
        <w:rPr>
          <w:rFonts w:hint="eastAsia" w:ascii="宋体" w:hAnsi="宋体" w:cs="宋体"/>
          <w:sz w:val="24"/>
          <w:highlight w:val="none"/>
        </w:rPr>
        <w:t>1.单位负责人（指法定代表人或者法律、行政法规规定代表单位行使职权的主要负责人）为同一人或者存在直接控股、管理关系的不同投标人不得分别参加同一合同项下的采购活动。违反本条规定的，相关投标均无效；</w:t>
      </w:r>
    </w:p>
    <w:p w14:paraId="441DCFD4">
      <w:pPr>
        <w:adjustRightInd w:val="0"/>
        <w:snapToGrid w:val="0"/>
        <w:spacing w:line="436" w:lineRule="exact"/>
        <w:ind w:firstLine="523" w:firstLineChars="218"/>
        <w:rPr>
          <w:rFonts w:hint="eastAsia" w:ascii="宋体" w:hAnsi="宋体" w:cs="宋体"/>
          <w:sz w:val="24"/>
          <w:highlight w:val="none"/>
        </w:rPr>
      </w:pPr>
      <w:r>
        <w:rPr>
          <w:rFonts w:hint="eastAsia" w:ascii="宋体" w:hAnsi="宋体" w:cs="宋体"/>
          <w:sz w:val="24"/>
          <w:highlight w:val="none"/>
        </w:rPr>
        <w:t>2.为本项目提供过整体设计、规范编制或者项目管理、监理、检测等服务的投标人，不得再参加该采购项目的其他采购活动（不包括为该项目提供整体设计、规范编制或者项目管理、监理、检测等服务）；</w:t>
      </w:r>
    </w:p>
    <w:p w14:paraId="46BAE064">
      <w:pPr>
        <w:adjustRightInd w:val="0"/>
        <w:snapToGrid w:val="0"/>
        <w:spacing w:line="436" w:lineRule="exact"/>
        <w:ind w:firstLine="523" w:firstLineChars="218"/>
        <w:rPr>
          <w:rFonts w:hint="eastAsia" w:ascii="宋体" w:hAnsi="宋体" w:cs="宋体"/>
          <w:sz w:val="24"/>
          <w:highlight w:val="none"/>
        </w:rPr>
      </w:pPr>
      <w:r>
        <w:rPr>
          <w:rFonts w:hint="eastAsia" w:ascii="宋体" w:hAnsi="宋体" w:cs="宋体"/>
          <w:sz w:val="24"/>
          <w:highlight w:val="none"/>
        </w:rPr>
        <w:t>3.以联合体形式参加政府采购活动的，联合体各方不得再单独参加或者与其他投标人另外组成联合体参加同一合同项下的政府采购活动；</w:t>
      </w:r>
    </w:p>
    <w:p w14:paraId="0A3F3725">
      <w:pPr>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4.为证明投标人拥有的业绩、荣誉、知识产权、项目案例等而在投标文件中提供的证明材料必须为投标人自身所有。不同法人、其他组织的资料与投标人无关。</w:t>
      </w:r>
    </w:p>
    <w:p w14:paraId="36333F9D">
      <w:pPr>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5.投标人之间的利害关系：</w:t>
      </w:r>
    </w:p>
    <w:p w14:paraId="671C3436">
      <w:pPr>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（1）法定代表人或负责人或实际控制人是夫妻关系；</w:t>
      </w:r>
    </w:p>
    <w:p w14:paraId="400BF514">
      <w:pPr>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（2）法定代表人或负责人或实际控制人是直系血亲关系；</w:t>
      </w:r>
    </w:p>
    <w:p w14:paraId="25C5C49A">
      <w:pPr>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（3）法定代表人或负责人或实际控制人存在三代以内旁系血亲关系；</w:t>
      </w:r>
    </w:p>
    <w:p w14:paraId="2F141499">
      <w:pPr>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（4）法定代表人或负责人或实际控制人存在近姻亲关系；</w:t>
      </w:r>
    </w:p>
    <w:p w14:paraId="30670474">
      <w:pPr>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（5）法定代表人或负责人或实际控制人存在股份控制或实际控制关系；</w:t>
      </w:r>
    </w:p>
    <w:p w14:paraId="7B22ABEE">
      <w:pPr>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（6）存在共同直接或间接投资设立子公司、联营企业和合营企业情况；</w:t>
      </w:r>
    </w:p>
    <w:p w14:paraId="7C2AC8D6">
      <w:pPr>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 xml:space="preserve">（7）存在分级代理或代销关系、同一生产制造商关系、管理关系、重要业务（占主营业务收入50%以上）或重要财务往来关系（如融资）等其他实质性控制关系；如投标人之间存在以上利害关系并且存在影响政府采购公平竞争的行为的相关投标人的投标均无效。 </w:t>
      </w:r>
    </w:p>
    <w:p w14:paraId="1067B1DB">
      <w:pPr>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6.采购人若有核心产品，请根据采购项目实际需求确定核心产品，并在采购文件第三部分“采购需求”中明确标注，若没有则不需要确定及注明。</w:t>
      </w:r>
    </w:p>
    <w:p w14:paraId="751ED8A0">
      <w:pPr>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 xml:space="preserve">（1）采用最低评标价法的采购项目，提供相同品牌产品（含核心产品）的不同投标人参加同一合同项下投标的，以其中通过资格审查、符合性审查且报价最低的参加评标；报价相同的，随机抽取方式确定，其他投标无效。 </w:t>
      </w:r>
    </w:p>
    <w:p w14:paraId="3B696990">
      <w:pPr>
        <w:spacing w:line="436" w:lineRule="exact"/>
        <w:ind w:firstLine="600" w:firstLineChars="250"/>
        <w:rPr>
          <w:rFonts w:hint="eastAsia" w:ascii="宋体" w:hAnsi="宋体" w:cs="宋体"/>
          <w:sz w:val="24"/>
          <w:highlight w:val="none"/>
        </w:rPr>
      </w:pPr>
      <w:r>
        <w:rPr>
          <w:rFonts w:hint="eastAsia" w:ascii="宋体" w:hAnsi="宋体" w:cs="宋体"/>
          <w:sz w:val="24"/>
          <w:highlight w:val="none"/>
        </w:rPr>
        <w:t>（2）使用综合评分法的采购项目，提供相同品牌产品（含核心产品）且通过资格审查、符合性审查的不同投标人参加同一合同项下投标的，按一家投标人计算，评审后得分最高的同品牌（含核心产品） 投标人获得中标人推荐资格；评审得分相同的，随机抽取方式确定，其他同品牌投标人不作为中标候选人。</w:t>
      </w:r>
    </w:p>
    <w:p w14:paraId="56038178">
      <w:pPr>
        <w:adjustRightInd w:val="0"/>
        <w:snapToGrid w:val="0"/>
        <w:spacing w:line="436" w:lineRule="exact"/>
        <w:ind w:firstLine="523" w:firstLineChars="218"/>
        <w:rPr>
          <w:rFonts w:hint="eastAsia" w:ascii="宋体" w:hAnsi="宋体" w:cs="宋体"/>
          <w:sz w:val="24"/>
          <w:highlight w:val="none"/>
        </w:rPr>
      </w:pPr>
      <w:r>
        <w:rPr>
          <w:rFonts w:hint="eastAsia" w:ascii="宋体" w:hAnsi="宋体" w:cs="宋体"/>
          <w:sz w:val="24"/>
          <w:highlight w:val="none"/>
        </w:rPr>
        <w:t>7.因特殊情况指定单一品牌采购的或本须知“前附表”规定投标人中标后提供制造商授权的，制造商授权文件将不再作为实质性响应条款，投标人可在中标后取得制造商针对该项目的授权文件。如制造商无故不予授权的，招标人可在中标人作出保证供货且保证产品质量和售后服务的承诺后授予其合同，招标人将在合同的验收、结算和违约责任中补充增加相应的制约性条款；</w:t>
      </w:r>
    </w:p>
    <w:p w14:paraId="5F8AAF5C">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8.投标截止前被“信用中国”网站(</w:t>
      </w:r>
      <w:r>
        <w:rPr>
          <w:highlight w:val="none"/>
        </w:rPr>
        <w:fldChar w:fldCharType="begin"/>
      </w:r>
      <w:r>
        <w:rPr>
          <w:highlight w:val="none"/>
        </w:rPr>
        <w:instrText xml:space="preserve"> HYPERLINK "http://www.creditchina.gov.cn" </w:instrText>
      </w:r>
      <w:r>
        <w:rPr>
          <w:highlight w:val="none"/>
        </w:rPr>
        <w:fldChar w:fldCharType="separate"/>
      </w:r>
      <w:r>
        <w:rPr>
          <w:rFonts w:hint="eastAsia" w:ascii="宋体" w:hAnsi="宋体" w:cs="宋体"/>
          <w:highlight w:val="none"/>
        </w:rPr>
        <w:t>www.creditchina.gov.cn</w:t>
      </w:r>
      <w:r>
        <w:rPr>
          <w:rFonts w:hint="eastAsia" w:ascii="宋体" w:hAnsi="宋体" w:cs="宋体"/>
          <w:highlight w:val="none"/>
        </w:rPr>
        <w:fldChar w:fldCharType="end"/>
      </w:r>
      <w:r>
        <w:rPr>
          <w:rFonts w:hint="eastAsia" w:ascii="宋体" w:hAnsi="宋体" w:cs="宋体"/>
          <w:sz w:val="24"/>
          <w:highlight w:val="none"/>
        </w:rPr>
        <w:t>)列入失信被执行人、重大税收违法案件当事人名单或被“中国政府采购网”(</w:t>
      </w:r>
      <w:r>
        <w:rPr>
          <w:highlight w:val="none"/>
        </w:rPr>
        <w:fldChar w:fldCharType="begin"/>
      </w:r>
      <w:r>
        <w:rPr>
          <w:highlight w:val="none"/>
        </w:rPr>
        <w:instrText xml:space="preserve"> HYPERLINK "http://www.ccgp.gov.cn" </w:instrText>
      </w:r>
      <w:r>
        <w:rPr>
          <w:highlight w:val="none"/>
        </w:rPr>
        <w:fldChar w:fldCharType="separate"/>
      </w:r>
      <w:r>
        <w:rPr>
          <w:rFonts w:hint="eastAsia" w:ascii="宋体" w:hAnsi="宋体" w:cs="宋体"/>
          <w:highlight w:val="none"/>
        </w:rPr>
        <w:t>www.ccgp.gov.cn</w:t>
      </w:r>
      <w:r>
        <w:rPr>
          <w:rFonts w:hint="eastAsia" w:ascii="宋体" w:hAnsi="宋体" w:cs="宋体"/>
          <w:highlight w:val="none"/>
        </w:rPr>
        <w:fldChar w:fldCharType="end"/>
      </w:r>
      <w:r>
        <w:rPr>
          <w:rFonts w:hint="eastAsia" w:ascii="宋体" w:hAnsi="宋体" w:cs="宋体"/>
          <w:sz w:val="24"/>
          <w:highlight w:val="none"/>
        </w:rPr>
        <w:t>)列入政府采购严重违法失信行为记录名单等存在不良信用记录的投标人将被拒绝参加本项目采购活动。具体以投标截止当日招标代理机构在上述两个网站上查询到的信息为准。</w:t>
      </w:r>
    </w:p>
    <w:p w14:paraId="6676434C">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两个以上的自然人、法人或者其他组织组成一个联合体，以一个投标人的身份共同参加政府采购活动的，将对所有联合体成员进行信用记录查询，联合体成员存在不良信用记录的，视同联合体存在不良信用记录。</w:t>
      </w:r>
    </w:p>
    <w:p w14:paraId="6200A382">
      <w:pPr>
        <w:adjustRightInd w:val="0"/>
        <w:snapToGrid w:val="0"/>
        <w:spacing w:line="436" w:lineRule="exact"/>
        <w:rPr>
          <w:rFonts w:hint="eastAsia" w:ascii="宋体" w:hAnsi="宋体" w:cs="宋体"/>
          <w:b/>
          <w:sz w:val="24"/>
          <w:highlight w:val="none"/>
        </w:rPr>
      </w:pPr>
      <w:r>
        <w:rPr>
          <w:rFonts w:hint="eastAsia" w:ascii="宋体" w:hAnsi="宋体" w:cs="宋体"/>
          <w:b/>
          <w:sz w:val="24"/>
          <w:highlight w:val="none"/>
        </w:rPr>
        <w:t>（十二）质疑与投诉</w:t>
      </w:r>
    </w:p>
    <w:p w14:paraId="4D8D9774">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1.投标人认为招标文件、招标过程或中标结果使自己的合法权益受到损害的，应当在知道或者应知其权益受到损害之日起七个工作日内，以书面形式向招标人、招标代理机构提出质疑，逾期提出的，招标人与招标代理机构可以不予受理、答复。“知道或者应知其权益受到损害之日”是指：</w:t>
      </w:r>
    </w:p>
    <w:p w14:paraId="4BF82631">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（1）对招标文件提出质疑的，为招标公告期限届满之日（公告期限为公告发布后5个工作日，不含发布当日）；</w:t>
      </w:r>
    </w:p>
    <w:p w14:paraId="09DDF29B">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（2）对采购过程提出质疑的，为各招标程序环节结束之日；</w:t>
      </w:r>
    </w:p>
    <w:p w14:paraId="22B0DEC1">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（3）对评标结果提出质疑的，为中标结果公告期限届满之日（公告期限为公告发布后1个工作日，不含发布当日）。</w:t>
      </w:r>
    </w:p>
    <w:p w14:paraId="765E5FA9">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2.质疑、投诉应当采用书面形式，其中质疑书、投诉书均应当明确阐述招标文件、招标过程或者中标结果中使自己合法权益受到损害的实质性内容，并提供相关事实、依据和证据及其来源或线索，便于有关单位调查、答复和处理。</w:t>
      </w:r>
    </w:p>
    <w:p w14:paraId="1D88D686">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3.质疑（投诉）函应载明质疑（投诉）人全称、地址、邮编、传真、联系人、联系电话，电子邮箱；联系人必须为投标人的在职职工，须提供法定代表人授权文件、法定代表人及联系人的身份证复印件、以及投标人为该联系人缴纳的社保凭证，联系人为法定代表人的须提供法定代表人资格证明及身份证复印件；质疑（投诉）函必须有联系人署名且加盖公章，否则不予受理（一式三份）。</w:t>
      </w:r>
    </w:p>
    <w:p w14:paraId="259A9D89">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4.质疑、投诉函以电子邮件或传真形式提交的，还须在提交后以邮寄的方式提交质疑书纸质原件，以实际收到原件之日作为收到质疑之日。</w:t>
      </w:r>
    </w:p>
    <w:p w14:paraId="379A55DB">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5.未按上述要求提供的质疑（投诉）函，采购组织机构有权不予受理。</w:t>
      </w:r>
    </w:p>
    <w:p w14:paraId="36DC782B">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6.质疑投标人对招标人、招标代理机构的答复不满意或者招标人、招标代理机构未在规定时间内作出答复的，可以在答复期满后十五个工作日内向同级采购监管部门投诉。</w:t>
      </w:r>
    </w:p>
    <w:p w14:paraId="42FAD9A5">
      <w:pPr>
        <w:adjustRightInd w:val="0"/>
        <w:snapToGrid w:val="0"/>
        <w:spacing w:line="436" w:lineRule="exact"/>
        <w:rPr>
          <w:rFonts w:hint="eastAsia" w:ascii="宋体" w:hAnsi="宋体" w:cs="宋体"/>
          <w:sz w:val="24"/>
          <w:highlight w:val="none"/>
        </w:rPr>
      </w:pPr>
      <w:r>
        <w:rPr>
          <w:rFonts w:hint="eastAsia" w:ascii="宋体" w:hAnsi="宋体" w:cs="宋体"/>
          <w:b/>
          <w:sz w:val="24"/>
          <w:highlight w:val="none"/>
        </w:rPr>
        <w:t>（十三）其他注意事项</w:t>
      </w:r>
    </w:p>
    <w:p w14:paraId="2C7C687B">
      <w:pPr>
        <w:adjustRightInd w:val="0"/>
        <w:snapToGrid w:val="0"/>
        <w:spacing w:line="436" w:lineRule="exact"/>
        <w:ind w:firstLine="523" w:firstLineChars="218"/>
        <w:rPr>
          <w:rFonts w:hint="eastAsia" w:ascii="宋体" w:hAnsi="宋体" w:cs="宋体"/>
          <w:sz w:val="24"/>
          <w:highlight w:val="none"/>
        </w:rPr>
      </w:pPr>
      <w:r>
        <w:rPr>
          <w:rFonts w:hint="eastAsia" w:ascii="宋体" w:hAnsi="宋体" w:cs="宋体"/>
          <w:sz w:val="24"/>
          <w:highlight w:val="none"/>
        </w:rPr>
        <w:t>见本须知“前附表”，同时还需注意以下事项：</w:t>
      </w:r>
    </w:p>
    <w:p w14:paraId="3BC112D9">
      <w:pPr>
        <w:adjustRightInd w:val="0"/>
        <w:snapToGrid w:val="0"/>
        <w:spacing w:line="436" w:lineRule="exact"/>
        <w:ind w:firstLine="523" w:firstLineChars="218"/>
        <w:rPr>
          <w:rFonts w:hint="eastAsia" w:ascii="宋体" w:hAnsi="宋体" w:cs="宋体"/>
          <w:sz w:val="24"/>
          <w:highlight w:val="none"/>
        </w:rPr>
      </w:pPr>
      <w:r>
        <w:rPr>
          <w:rFonts w:hint="eastAsia" w:ascii="宋体" w:hAnsi="宋体" w:cs="宋体"/>
          <w:sz w:val="24"/>
          <w:highlight w:val="none"/>
        </w:rPr>
        <w:t>1.法定代表人授权代表须为投标人</w:t>
      </w:r>
      <w:r>
        <w:rPr>
          <w:rFonts w:hint="eastAsia" w:ascii="宋体" w:hAnsi="宋体" w:cs="宋体"/>
          <w:b/>
          <w:sz w:val="24"/>
          <w:highlight w:val="none"/>
        </w:rPr>
        <w:t>在职职工</w:t>
      </w:r>
      <w:r>
        <w:rPr>
          <w:rFonts w:hint="eastAsia" w:ascii="宋体" w:hAnsi="宋体" w:cs="宋体"/>
          <w:sz w:val="24"/>
          <w:highlight w:val="none"/>
        </w:rPr>
        <w:t>，投标人须在投标文件中提供附有该授权代表为投标人</w:t>
      </w:r>
      <w:r>
        <w:rPr>
          <w:rFonts w:hint="eastAsia" w:ascii="宋体" w:hAnsi="宋体" w:cs="宋体"/>
          <w:b/>
          <w:sz w:val="24"/>
          <w:highlight w:val="none"/>
        </w:rPr>
        <w:t>在职员工相关证明文件（如投标人为该员工缴纳的社保记录或劳务合同等）</w:t>
      </w:r>
      <w:r>
        <w:rPr>
          <w:rFonts w:hint="eastAsia" w:ascii="宋体" w:hAnsi="宋体" w:cs="宋体"/>
          <w:sz w:val="24"/>
          <w:highlight w:val="none"/>
        </w:rPr>
        <w:t>的《法定代表人授权书》。</w:t>
      </w:r>
    </w:p>
    <w:p w14:paraId="78FCD257">
      <w:pPr>
        <w:adjustRightInd w:val="0"/>
        <w:snapToGrid w:val="0"/>
        <w:spacing w:line="436" w:lineRule="exact"/>
        <w:ind w:firstLine="523" w:firstLineChars="218"/>
        <w:rPr>
          <w:rFonts w:hint="eastAsia" w:ascii="宋体" w:hAnsi="宋体" w:cs="宋体"/>
          <w:sz w:val="24"/>
          <w:highlight w:val="none"/>
        </w:rPr>
      </w:pPr>
      <w:r>
        <w:rPr>
          <w:rFonts w:hint="eastAsia" w:ascii="宋体" w:hAnsi="宋体" w:cs="宋体"/>
          <w:sz w:val="24"/>
          <w:highlight w:val="none"/>
        </w:rPr>
        <w:t>2.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p>
    <w:p w14:paraId="161E46B3">
      <w:pPr>
        <w:adjustRightInd w:val="0"/>
        <w:snapToGrid w:val="0"/>
        <w:spacing w:line="436" w:lineRule="exact"/>
        <w:ind w:firstLine="523" w:firstLineChars="218"/>
        <w:rPr>
          <w:rFonts w:hint="eastAsia" w:ascii="宋体" w:hAnsi="宋体" w:cs="宋体"/>
          <w:sz w:val="24"/>
          <w:highlight w:val="none"/>
        </w:rPr>
      </w:pPr>
      <w:r>
        <w:rPr>
          <w:rFonts w:hint="eastAsia" w:ascii="宋体" w:hAnsi="宋体" w:cs="宋体"/>
          <w:sz w:val="24"/>
          <w:highlight w:val="none"/>
        </w:rPr>
        <w:t>3.▲投标人对所投标项内的采购内容必须全部进行投标。</w:t>
      </w:r>
    </w:p>
    <w:p w14:paraId="228AF481">
      <w:pPr>
        <w:adjustRightInd w:val="0"/>
        <w:snapToGrid w:val="0"/>
        <w:spacing w:line="436" w:lineRule="exact"/>
        <w:ind w:firstLine="523" w:firstLineChars="218"/>
        <w:rPr>
          <w:rFonts w:hint="eastAsia" w:ascii="宋体" w:hAnsi="宋体" w:cs="宋体"/>
          <w:sz w:val="24"/>
          <w:highlight w:val="none"/>
        </w:rPr>
      </w:pPr>
      <w:r>
        <w:rPr>
          <w:rFonts w:hint="eastAsia" w:ascii="宋体" w:hAnsi="宋体" w:cs="宋体"/>
          <w:sz w:val="24"/>
          <w:highlight w:val="none"/>
        </w:rPr>
        <w:t>4.不论招标人、招标代理机构向投标人发送的资料文件，还是投标人提出的问题，均采用书面形式，任何口头提问及答复一律无效。</w:t>
      </w:r>
    </w:p>
    <w:p w14:paraId="47D2CA89">
      <w:pPr>
        <w:adjustRightInd w:val="0"/>
        <w:snapToGrid w:val="0"/>
        <w:spacing w:line="436" w:lineRule="exact"/>
        <w:ind w:firstLine="523" w:firstLineChars="218"/>
        <w:rPr>
          <w:rFonts w:hint="eastAsia" w:ascii="宋体" w:hAnsi="宋体" w:cs="宋体"/>
          <w:sz w:val="24"/>
          <w:highlight w:val="none"/>
        </w:rPr>
      </w:pPr>
      <w:r>
        <w:rPr>
          <w:rFonts w:hint="eastAsia" w:ascii="宋体" w:hAnsi="宋体" w:cs="宋体"/>
          <w:sz w:val="24"/>
          <w:highlight w:val="none"/>
        </w:rPr>
        <w:t>5.招标文件中所涉及的产品品牌或型号均为建议性要求或为档次选择要求或为代替部分技术指标描述，投标人可以选择其他品牌型号的产品参加投标，但投标产品须具有相当于或优于招标文件要求的指标、性能、档次。否则，评标委员会将可能对其作出不利的评审。</w:t>
      </w:r>
    </w:p>
    <w:p w14:paraId="7CB0C328">
      <w:pPr>
        <w:adjustRightInd w:val="0"/>
        <w:snapToGrid w:val="0"/>
        <w:spacing w:line="436" w:lineRule="exact"/>
        <w:ind w:firstLine="523" w:firstLineChars="218"/>
        <w:rPr>
          <w:rFonts w:hint="eastAsia" w:ascii="宋体" w:hAnsi="宋体" w:cs="宋体"/>
          <w:sz w:val="24"/>
          <w:highlight w:val="none"/>
        </w:rPr>
      </w:pPr>
      <w:r>
        <w:rPr>
          <w:rFonts w:hint="eastAsia" w:ascii="宋体" w:hAnsi="宋体" w:cs="宋体"/>
          <w:sz w:val="24"/>
          <w:highlight w:val="none"/>
        </w:rPr>
        <w:t>6.▲投标人应保证所投产品整体或其任一部分，均免受第三方提出的侵犯其专利权、商标权、著作权或其他知识产权的起诉。投标人应承担由此可能产生的一切法律责任和费用。</w:t>
      </w:r>
    </w:p>
    <w:p w14:paraId="243BCA1F">
      <w:pPr>
        <w:adjustRightInd w:val="0"/>
        <w:snapToGrid w:val="0"/>
        <w:spacing w:line="436" w:lineRule="exact"/>
        <w:ind w:firstLine="523" w:firstLineChars="218"/>
        <w:rPr>
          <w:rFonts w:hint="eastAsia" w:ascii="宋体" w:hAnsi="宋体" w:cs="宋体"/>
          <w:sz w:val="24"/>
          <w:highlight w:val="none"/>
        </w:rPr>
      </w:pPr>
      <w:r>
        <w:rPr>
          <w:rFonts w:hint="eastAsia" w:ascii="宋体" w:hAnsi="宋体" w:cs="宋体"/>
          <w:sz w:val="24"/>
          <w:highlight w:val="none"/>
        </w:rPr>
        <w:t>7.若本须知“前附表”规定允许进口产品投标且该货物需从中华人民共和国境外提供的，货物的最终用户须为招标人，投标人应委托招标人指定机构或者经招标人同意后自行委托具有进出口代理权的机构办理相关进口事宜，并承担因此产生的所有费用。</w:t>
      </w:r>
    </w:p>
    <w:p w14:paraId="24C5D304">
      <w:pPr>
        <w:adjustRightInd w:val="0"/>
        <w:snapToGrid w:val="0"/>
        <w:spacing w:line="436" w:lineRule="exact"/>
        <w:rPr>
          <w:rFonts w:hint="eastAsia" w:ascii="宋体" w:hAnsi="宋体" w:cs="宋体"/>
          <w:b/>
          <w:sz w:val="24"/>
          <w:highlight w:val="none"/>
        </w:rPr>
      </w:pPr>
      <w:r>
        <w:rPr>
          <w:rFonts w:hint="eastAsia" w:ascii="宋体" w:hAnsi="宋体" w:cs="宋体"/>
          <w:b/>
          <w:sz w:val="24"/>
          <w:highlight w:val="none"/>
        </w:rPr>
        <w:t>（十四）保密</w:t>
      </w:r>
    </w:p>
    <w:p w14:paraId="543D0C6E">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参与招标投标活动的各方应对招标文件和投标文件中的商业和技术等秘密保密，违者应对此造成的后果承担法律责任。</w:t>
      </w:r>
    </w:p>
    <w:bookmarkEnd w:id="29"/>
    <w:p w14:paraId="4512B8D8">
      <w:pPr>
        <w:adjustRightInd w:val="0"/>
        <w:snapToGrid w:val="0"/>
        <w:spacing w:line="436" w:lineRule="exact"/>
        <w:jc w:val="center"/>
        <w:outlineLvl w:val="1"/>
        <w:rPr>
          <w:rFonts w:hint="eastAsia" w:ascii="宋体" w:hAnsi="宋体" w:cs="宋体"/>
          <w:b/>
          <w:sz w:val="32"/>
          <w:highlight w:val="none"/>
        </w:rPr>
      </w:pPr>
      <w:bookmarkStart w:id="30" w:name="_Toc9352"/>
      <w:bookmarkStart w:id="31" w:name="_Toc233618973"/>
      <w:bookmarkStart w:id="32" w:name="_Toc522530042"/>
      <w:r>
        <w:rPr>
          <w:rFonts w:hint="eastAsia" w:ascii="宋体" w:hAnsi="宋体" w:cs="宋体"/>
          <w:b/>
          <w:sz w:val="32"/>
          <w:highlight w:val="none"/>
        </w:rPr>
        <w:t>二、招标文件</w:t>
      </w:r>
      <w:bookmarkEnd w:id="30"/>
      <w:bookmarkEnd w:id="31"/>
      <w:bookmarkEnd w:id="32"/>
    </w:p>
    <w:p w14:paraId="7A4A0AFC">
      <w:pPr>
        <w:pStyle w:val="45"/>
        <w:adjustRightInd w:val="0"/>
        <w:snapToGrid w:val="0"/>
        <w:spacing w:line="436" w:lineRule="exact"/>
        <w:rPr>
          <w:rFonts w:hint="eastAsia" w:hAnsi="宋体" w:cs="宋体"/>
          <w:b/>
          <w:sz w:val="24"/>
          <w:highlight w:val="none"/>
        </w:rPr>
      </w:pPr>
      <w:bookmarkStart w:id="33" w:name="_Toc91899880"/>
      <w:bookmarkStart w:id="34" w:name="_Hlt74730307"/>
      <w:r>
        <w:rPr>
          <w:rFonts w:hint="eastAsia" w:hAnsi="宋体" w:cs="宋体"/>
          <w:b/>
          <w:sz w:val="24"/>
          <w:highlight w:val="none"/>
        </w:rPr>
        <w:t>（一）招标文件的</w:t>
      </w:r>
      <w:bookmarkEnd w:id="33"/>
      <w:r>
        <w:rPr>
          <w:rFonts w:hint="eastAsia" w:hAnsi="宋体" w:cs="宋体"/>
          <w:b/>
          <w:sz w:val="24"/>
          <w:highlight w:val="none"/>
        </w:rPr>
        <w:t>组成</w:t>
      </w:r>
    </w:p>
    <w:bookmarkEnd w:id="34"/>
    <w:p w14:paraId="0594618F">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1.招标文件包括下列文件及附件</w:t>
      </w:r>
    </w:p>
    <w:p w14:paraId="286F4FBE">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第一部分  招标公告</w:t>
      </w:r>
    </w:p>
    <w:p w14:paraId="5152E69E">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第二部分  投标人须知</w:t>
      </w:r>
    </w:p>
    <w:p w14:paraId="746616E2">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第三部分  采购需求</w:t>
      </w:r>
    </w:p>
    <w:p w14:paraId="0B88D3FE">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第四部分  合同文本</w:t>
      </w:r>
    </w:p>
    <w:p w14:paraId="1B395C5E">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第五部分  投标文件部分格式文件</w:t>
      </w:r>
    </w:p>
    <w:p w14:paraId="02993242">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第六部分  评分办法</w:t>
      </w:r>
    </w:p>
    <w:p w14:paraId="4A29B29E">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补充文件（如果有，包括相关的补充、更正、澄清公告和文件）</w:t>
      </w:r>
    </w:p>
    <w:p w14:paraId="3CB62A6C">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其他附件（如果有，如图纸等）</w:t>
      </w:r>
    </w:p>
    <w:p w14:paraId="3386459B">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2.投标人应认真审阅上述招标文件组成中所有的内容。如果投标人编制的投标文件没有从实质上响应招标文件的要求，其投标文件将被拒绝。</w:t>
      </w:r>
    </w:p>
    <w:p w14:paraId="41291304">
      <w:pPr>
        <w:pStyle w:val="45"/>
        <w:adjustRightInd w:val="0"/>
        <w:snapToGrid w:val="0"/>
        <w:spacing w:line="436" w:lineRule="exact"/>
        <w:rPr>
          <w:rFonts w:hint="eastAsia" w:hAnsi="宋体" w:cs="宋体"/>
          <w:b/>
          <w:sz w:val="24"/>
          <w:highlight w:val="none"/>
        </w:rPr>
      </w:pPr>
      <w:r>
        <w:rPr>
          <w:rFonts w:hint="eastAsia" w:hAnsi="宋体" w:cs="宋体"/>
          <w:b/>
          <w:sz w:val="24"/>
          <w:highlight w:val="none"/>
        </w:rPr>
        <w:t>（二）招标文件的解释</w:t>
      </w:r>
    </w:p>
    <w:p w14:paraId="5FCB53C6">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1.投标人一旦参与本次招标活动，即被视为接受了本招标文件的所有内容，如有任何异议，均应在答疑截止时间前提出。</w:t>
      </w:r>
    </w:p>
    <w:p w14:paraId="1659AC2C">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2.招标文件澄清、答复、修改、补充等书面内容均作为招标文件的补充文件，是招标文件的组成部分，将以传真、网上公告、电子邮件等形式书面告知所有购买招标文件的投标人，并对所有投标人均有约束力。当招标文件与补充文件就同一内容的表述不一致时，以最后发出的书面文件为准。</w:t>
      </w:r>
    </w:p>
    <w:p w14:paraId="092ED447">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3.招标文件的解释权归招标人、招标代理机构所有。</w:t>
      </w:r>
    </w:p>
    <w:p w14:paraId="6492556C">
      <w:pPr>
        <w:tabs>
          <w:tab w:val="left" w:pos="3780"/>
        </w:tabs>
        <w:spacing w:line="436" w:lineRule="exact"/>
        <w:rPr>
          <w:rFonts w:hint="eastAsia" w:ascii="宋体" w:hAnsi="宋体" w:cs="宋体"/>
          <w:b/>
          <w:sz w:val="24"/>
          <w:highlight w:val="none"/>
        </w:rPr>
      </w:pPr>
      <w:r>
        <w:rPr>
          <w:rFonts w:hint="eastAsia" w:ascii="宋体" w:hAnsi="宋体" w:cs="宋体"/>
          <w:b/>
          <w:sz w:val="24"/>
          <w:highlight w:val="none"/>
        </w:rPr>
        <w:t>（三）招标文件的澄清</w:t>
      </w:r>
    </w:p>
    <w:p w14:paraId="5CE401D3">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1.投标人对招标文件如有疑问要求澄清，或认为有必要与招标人、招标代理机构进行技术交流的，投标人需将书面资料（《（项目名称）询问函》）在招标公告规定的询问截止时间前（对补充文件如有疑问要求澄清的，应在24小时内）以书面形式送达至招标代理机构，并与招标代理机构进行确认。招标代理机构有权对逾期收到疑问将不予受理、答复。</w:t>
      </w:r>
    </w:p>
    <w:p w14:paraId="3226E394">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2.投标人要求澄清的资料应写明投标人全称、地址、邮编、传真、联系人、联系电话、电子邮箱、询疑日期并加盖投标人公章。</w:t>
      </w:r>
    </w:p>
    <w:p w14:paraId="18F57C22">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3.如有必要，招标人和招标代理机构对投标人所有要求澄清的问题都予以书面解答，澄清答复的文件为招标补充文件，作为招标文件的组成部分。</w:t>
      </w:r>
    </w:p>
    <w:p w14:paraId="1CA7F640">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4.投标人在招标文件规定的询疑截止时间前内未对招标文件提出疑问的，招标代理机构将视其对招标文件无异议。</w:t>
      </w:r>
    </w:p>
    <w:p w14:paraId="729EBD2E">
      <w:pPr>
        <w:pStyle w:val="45"/>
        <w:adjustRightInd w:val="0"/>
        <w:snapToGrid w:val="0"/>
        <w:spacing w:line="436" w:lineRule="exact"/>
        <w:rPr>
          <w:rFonts w:hint="eastAsia" w:hAnsi="宋体" w:cs="宋体"/>
          <w:b/>
          <w:sz w:val="24"/>
          <w:highlight w:val="none"/>
        </w:rPr>
      </w:pPr>
      <w:r>
        <w:rPr>
          <w:rFonts w:hint="eastAsia" w:hAnsi="宋体" w:cs="宋体"/>
          <w:b/>
          <w:sz w:val="24"/>
          <w:highlight w:val="none"/>
        </w:rPr>
        <w:t>（四）招标文件的修改</w:t>
      </w:r>
    </w:p>
    <w:p w14:paraId="4ECC75F0">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1.由于各种原因招标人可能在投标截止时间前以澄清、答复、修改、补充文件的形式修改完善招标文件。</w:t>
      </w:r>
    </w:p>
    <w:p w14:paraId="14D54524">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2.澄清、答复、修改、补充文件发出后，原则上不改变招标文件规定的投标截止时间及开标时间。投标人如认为澄清、答复、修改、补充文件内容影响投标文件编制，须延长投标截止时间的，必须在收到澄清、答复、修改、补充文件后24小时内将意见和理由以书面形式向招标代理机构提出，否则，招标代理机构视投标人完全接受并有足够的时间编制投标文件且按规定时间进行投标。</w:t>
      </w:r>
    </w:p>
    <w:p w14:paraId="54CA3E75">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3.投标人在收到澄清、答复、修改、补充文件后，应在24小时内以书面形式向招标代理机构确认已收到该澄清、答复、修改、补充文件，逾期未确认的招标代理机构有权视其已收到。对澄清、答复、修改、补充文件如有疑问要求澄清，应在24小时内将书面送达招标代理机构，并与招标代理机构进行确认，逾期提出的，招标代理机构可不予受理。如有必要，招标代理机构将以书面形式回复询疑人。</w:t>
      </w:r>
    </w:p>
    <w:p w14:paraId="6DCAFA2C">
      <w:pPr>
        <w:adjustRightInd w:val="0"/>
        <w:snapToGrid w:val="0"/>
        <w:spacing w:line="436" w:lineRule="exact"/>
        <w:jc w:val="center"/>
        <w:outlineLvl w:val="1"/>
        <w:rPr>
          <w:rFonts w:hint="eastAsia" w:ascii="宋体" w:hAnsi="宋体" w:cs="宋体"/>
          <w:b/>
          <w:sz w:val="32"/>
          <w:highlight w:val="none"/>
        </w:rPr>
      </w:pPr>
      <w:bookmarkStart w:id="35" w:name="_Toc20674"/>
      <w:bookmarkStart w:id="36" w:name="_Toc522530043"/>
      <w:bookmarkStart w:id="37" w:name="_Toc233618974"/>
      <w:bookmarkStart w:id="38" w:name="_Toc91899884"/>
      <w:r>
        <w:rPr>
          <w:rFonts w:hint="eastAsia" w:ascii="宋体" w:hAnsi="宋体" w:cs="宋体"/>
          <w:b/>
          <w:sz w:val="32"/>
          <w:highlight w:val="none"/>
        </w:rPr>
        <w:t>三、投标文件</w:t>
      </w:r>
      <w:bookmarkEnd w:id="35"/>
      <w:bookmarkEnd w:id="36"/>
      <w:bookmarkEnd w:id="37"/>
      <w:bookmarkEnd w:id="38"/>
    </w:p>
    <w:p w14:paraId="1EEC6ADD">
      <w:pPr>
        <w:adjustRightInd w:val="0"/>
        <w:snapToGrid w:val="0"/>
        <w:spacing w:line="436" w:lineRule="exact"/>
        <w:rPr>
          <w:rFonts w:hint="eastAsia" w:ascii="宋体" w:hAnsi="宋体" w:cs="宋体"/>
          <w:b/>
          <w:bCs/>
          <w:sz w:val="24"/>
          <w:szCs w:val="22"/>
          <w:highlight w:val="none"/>
          <w:lang w:val="zh-CN"/>
        </w:rPr>
      </w:pPr>
      <w:r>
        <w:rPr>
          <w:rFonts w:hint="eastAsia" w:ascii="宋体" w:hAnsi="宋体" w:cs="宋体"/>
          <w:b/>
          <w:bCs/>
          <w:sz w:val="24"/>
          <w:szCs w:val="22"/>
          <w:highlight w:val="none"/>
        </w:rPr>
        <w:t>（一）投标文件的编制</w:t>
      </w:r>
    </w:p>
    <w:p w14:paraId="6ECC63F1">
      <w:pPr>
        <w:adjustRightInd w:val="0"/>
        <w:snapToGrid w:val="0"/>
        <w:spacing w:line="436" w:lineRule="exact"/>
        <w:ind w:firstLine="482" w:firstLineChars="200"/>
        <w:rPr>
          <w:rFonts w:hint="eastAsia" w:ascii="宋体" w:hAnsi="宋体" w:cs="宋体"/>
          <w:b/>
          <w:bCs/>
          <w:sz w:val="24"/>
          <w:szCs w:val="22"/>
          <w:highlight w:val="none"/>
        </w:rPr>
      </w:pPr>
      <w:r>
        <w:rPr>
          <w:rFonts w:hint="eastAsia" w:ascii="宋体" w:hAnsi="宋体" w:cs="宋体"/>
          <w:b/>
          <w:bCs/>
          <w:sz w:val="24"/>
          <w:szCs w:val="22"/>
          <w:highlight w:val="none"/>
        </w:rPr>
        <w:t>1.本项目通过“政府采购云平台（www.zcygov.cn）”实行在线投标响应（电子投标）。投标人应通过“政采云电子交易客户端”，并按照本招标文件和“政府采购云平台”的要求编制并加密投标文件并进行关联定位。</w:t>
      </w:r>
    </w:p>
    <w:p w14:paraId="32231594">
      <w:pPr>
        <w:adjustRightInd w:val="0"/>
        <w:snapToGrid w:val="0"/>
        <w:spacing w:line="436" w:lineRule="exact"/>
        <w:ind w:firstLine="482" w:firstLineChars="200"/>
        <w:rPr>
          <w:rFonts w:hint="eastAsia" w:ascii="宋体" w:hAnsi="宋体" w:cs="宋体"/>
          <w:b/>
          <w:bCs/>
          <w:sz w:val="24"/>
          <w:szCs w:val="22"/>
          <w:highlight w:val="none"/>
        </w:rPr>
      </w:pPr>
      <w:r>
        <w:rPr>
          <w:rFonts w:hint="eastAsia" w:ascii="宋体" w:hAnsi="宋体" w:cs="宋体"/>
          <w:b/>
          <w:bCs/>
          <w:sz w:val="24"/>
          <w:szCs w:val="22"/>
          <w:highlight w:val="none"/>
        </w:rPr>
        <w:t>2.投标人应当按照本章节“投标文件组成”规定的内容及顺序在“政采云电子交易客户端”编制投标文件。其中《资格文件》和《商务技术文件》中不得出现本项目投标报价，如因投标人原因提前泄露投标报价，是投标人的责任。</w:t>
      </w:r>
    </w:p>
    <w:p w14:paraId="06FFA084">
      <w:pPr>
        <w:adjustRightInd w:val="0"/>
        <w:snapToGrid w:val="0"/>
        <w:spacing w:line="436" w:lineRule="exact"/>
        <w:ind w:firstLine="482" w:firstLineChars="200"/>
        <w:rPr>
          <w:rFonts w:hint="eastAsia" w:ascii="宋体" w:hAnsi="宋体" w:cs="宋体"/>
          <w:b/>
          <w:bCs/>
          <w:sz w:val="24"/>
          <w:szCs w:val="22"/>
          <w:highlight w:val="none"/>
        </w:rPr>
      </w:pPr>
      <w:r>
        <w:rPr>
          <w:rFonts w:hint="eastAsia" w:ascii="宋体" w:hAnsi="宋体" w:cs="宋体"/>
          <w:b/>
          <w:bCs/>
          <w:sz w:val="24"/>
          <w:szCs w:val="22"/>
          <w:highlight w:val="none"/>
        </w:rPr>
        <w:t>3.本文件《第五部分  投标文件部分格式文件》中有提供格式的，投标人须参照格式进行编制（格式中要求提供相关证明材料的还需后附相关证明材料），并按格式要求在指定位置根据要求进行签章，否则视为未提供；本文件《第五部分  投标文件部分格式文件》未提供格式的，请各投标单位自行拟定格式，并加盖单位公章并由法定代表人或其授权代表签署（签字或盖章），否则视为未提供。</w:t>
      </w:r>
    </w:p>
    <w:p w14:paraId="17BDA1F3">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4.《投标文件》内容不完整、编排混乱导致《投标文件》被误读、漏读或者查找不到相关内容的，是投标人的责任。</w:t>
      </w:r>
    </w:p>
    <w:p w14:paraId="60FAB161">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5.《投标文件》因字迹潦草或表达不清所引起的后果由投标人负责。</w:t>
      </w:r>
    </w:p>
    <w:p w14:paraId="0C73C8BB">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6.投标人没有按照本章节“投标文件组成”要求提供全部资料，或者没有仔细阅读招标文件，或者没有对招标文件在各方面的要求作出实质性响应是投标人的风险，由此造成的一切后果由投标人自行承担。</w:t>
      </w:r>
    </w:p>
    <w:p w14:paraId="50E87663">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7.投标文件必须按招标文件提供的格式签字或盖章。授权代表签字的，投标文件应附法定代表人签署的授权委托书。</w:t>
      </w:r>
    </w:p>
    <w:p w14:paraId="0112A69C">
      <w:pPr>
        <w:adjustRightInd w:val="0"/>
        <w:snapToGrid w:val="0"/>
        <w:spacing w:line="436" w:lineRule="exact"/>
        <w:rPr>
          <w:rFonts w:hint="eastAsia" w:ascii="宋体" w:hAnsi="宋体" w:cs="宋体"/>
          <w:b/>
          <w:bCs/>
          <w:sz w:val="24"/>
          <w:szCs w:val="22"/>
          <w:highlight w:val="none"/>
        </w:rPr>
      </w:pPr>
      <w:r>
        <w:rPr>
          <w:rFonts w:hint="eastAsia" w:ascii="宋体" w:hAnsi="宋体" w:cs="宋体"/>
          <w:b/>
          <w:bCs/>
          <w:sz w:val="24"/>
          <w:szCs w:val="22"/>
          <w:highlight w:val="none"/>
        </w:rPr>
        <w:t>（二）投标文件的签章</w:t>
      </w:r>
    </w:p>
    <w:p w14:paraId="438E5EB3">
      <w:pPr>
        <w:adjustRightInd w:val="0"/>
        <w:snapToGrid w:val="0"/>
        <w:spacing w:line="436" w:lineRule="exact"/>
        <w:ind w:firstLine="482" w:firstLineChars="200"/>
        <w:rPr>
          <w:rFonts w:hint="eastAsia" w:ascii="宋体" w:hAnsi="宋体" w:cs="宋体"/>
          <w:b/>
          <w:bCs/>
          <w:sz w:val="24"/>
          <w:szCs w:val="22"/>
          <w:highlight w:val="none"/>
        </w:rPr>
      </w:pPr>
      <w:r>
        <w:rPr>
          <w:rFonts w:hint="eastAsia" w:ascii="宋体" w:hAnsi="宋体" w:cs="宋体"/>
          <w:b/>
          <w:bCs/>
          <w:sz w:val="24"/>
          <w:szCs w:val="22"/>
          <w:highlight w:val="none"/>
        </w:rPr>
        <w:t>1.《投标文件》的签章：见《前附表》；</w:t>
      </w:r>
    </w:p>
    <w:p w14:paraId="47D3E36D">
      <w:pPr>
        <w:adjustRightInd w:val="0"/>
        <w:snapToGrid w:val="0"/>
        <w:spacing w:line="436" w:lineRule="exact"/>
        <w:ind w:firstLine="482" w:firstLineChars="200"/>
        <w:rPr>
          <w:rFonts w:hint="eastAsia" w:ascii="宋体" w:hAnsi="宋体" w:cs="宋体"/>
          <w:b/>
          <w:bCs/>
          <w:sz w:val="24"/>
          <w:szCs w:val="22"/>
          <w:highlight w:val="none"/>
        </w:rPr>
      </w:pPr>
      <w:r>
        <w:rPr>
          <w:rFonts w:hint="eastAsia" w:ascii="宋体" w:hAnsi="宋体" w:cs="宋体"/>
          <w:b/>
          <w:bCs/>
          <w:sz w:val="24"/>
          <w:szCs w:val="22"/>
          <w:highlight w:val="none"/>
        </w:rPr>
        <w:t>2.《投标文件》应由投标人法定代表人或其授权代表签字（或盖章），并加盖投标人公章。</w:t>
      </w:r>
    </w:p>
    <w:p w14:paraId="26C8AF35">
      <w:pPr>
        <w:adjustRightInd w:val="0"/>
        <w:snapToGrid w:val="0"/>
        <w:spacing w:line="436" w:lineRule="exact"/>
        <w:ind w:firstLine="482" w:firstLineChars="200"/>
        <w:rPr>
          <w:rFonts w:hint="eastAsia" w:ascii="宋体" w:hAnsi="宋体" w:cs="宋体"/>
          <w:b/>
          <w:bCs/>
          <w:sz w:val="24"/>
          <w:szCs w:val="22"/>
          <w:highlight w:val="none"/>
        </w:rPr>
      </w:pPr>
      <w:r>
        <w:rPr>
          <w:rFonts w:hint="eastAsia" w:ascii="宋体" w:hAnsi="宋体" w:cs="宋体"/>
          <w:b/>
          <w:bCs/>
          <w:sz w:val="24"/>
          <w:szCs w:val="22"/>
          <w:highlight w:val="none"/>
        </w:rPr>
        <w:t>3.电子签章操作指南详见采购公告附件《供应商项目采购-电子招投标操作指南》。</w:t>
      </w:r>
    </w:p>
    <w:p w14:paraId="7BF6393A">
      <w:pPr>
        <w:adjustRightInd w:val="0"/>
        <w:snapToGrid w:val="0"/>
        <w:spacing w:line="436" w:lineRule="exact"/>
        <w:rPr>
          <w:rFonts w:hint="eastAsia" w:ascii="宋体" w:hAnsi="宋体" w:cs="宋体"/>
          <w:b/>
          <w:bCs/>
          <w:sz w:val="24"/>
          <w:szCs w:val="22"/>
          <w:highlight w:val="none"/>
        </w:rPr>
      </w:pPr>
      <w:r>
        <w:rPr>
          <w:rFonts w:hint="eastAsia" w:ascii="宋体" w:hAnsi="宋体" w:cs="宋体"/>
          <w:b/>
          <w:bCs/>
          <w:sz w:val="24"/>
          <w:szCs w:val="22"/>
          <w:highlight w:val="none"/>
        </w:rPr>
        <w:t>（三）</w:t>
      </w:r>
      <w:r>
        <w:rPr>
          <w:rFonts w:hint="eastAsia" w:hAnsi="宋体"/>
          <w:b/>
          <w:sz w:val="24"/>
          <w:highlight w:val="none"/>
        </w:rPr>
        <w:t>投标文件</w:t>
      </w:r>
      <w:r>
        <w:rPr>
          <w:rFonts w:hint="eastAsia" w:ascii="宋体" w:hAnsi="宋体" w:cs="宋体"/>
          <w:b/>
          <w:bCs/>
          <w:sz w:val="24"/>
          <w:szCs w:val="22"/>
          <w:highlight w:val="none"/>
        </w:rPr>
        <w:t>的组成</w:t>
      </w:r>
    </w:p>
    <w:p w14:paraId="2FFE5005">
      <w:pPr>
        <w:pStyle w:val="45"/>
        <w:adjustRightInd w:val="0"/>
        <w:snapToGrid w:val="0"/>
        <w:spacing w:line="436" w:lineRule="exact"/>
        <w:ind w:firstLine="482" w:firstLineChars="200"/>
        <w:rPr>
          <w:rFonts w:hint="eastAsia" w:hAnsi="宋体" w:cs="宋体"/>
          <w:b/>
          <w:sz w:val="24"/>
          <w:highlight w:val="none"/>
        </w:rPr>
      </w:pPr>
      <w:r>
        <w:rPr>
          <w:rFonts w:hint="eastAsia" w:hAnsi="宋体" w:cs="宋体"/>
          <w:b/>
          <w:sz w:val="24"/>
          <w:highlight w:val="none"/>
        </w:rPr>
        <w:t>1.资格文件</w:t>
      </w:r>
    </w:p>
    <w:p w14:paraId="4A50A3A9">
      <w:pPr>
        <w:widowControl/>
        <w:tabs>
          <w:tab w:val="left" w:pos="3780"/>
        </w:tabs>
        <w:spacing w:line="436" w:lineRule="exact"/>
        <w:ind w:firstLine="480" w:firstLineChars="200"/>
        <w:jc w:val="left"/>
        <w:rPr>
          <w:rFonts w:hint="eastAsia" w:ascii="宋体" w:hAnsi="宋体" w:cs="宋体"/>
          <w:sz w:val="24"/>
          <w:szCs w:val="22"/>
          <w:highlight w:val="none"/>
        </w:rPr>
      </w:pPr>
      <w:r>
        <w:rPr>
          <w:rFonts w:hint="eastAsia" w:ascii="宋体" w:hAnsi="宋体" w:cs="宋体"/>
          <w:sz w:val="24"/>
          <w:szCs w:val="22"/>
          <w:highlight w:val="none"/>
        </w:rPr>
        <w:t>（1）资格审查材料（格式见第五部分格式一）；</w:t>
      </w:r>
    </w:p>
    <w:p w14:paraId="12A36E0D">
      <w:pPr>
        <w:pStyle w:val="45"/>
        <w:adjustRightInd w:val="0"/>
        <w:snapToGrid w:val="0"/>
        <w:spacing w:line="436" w:lineRule="exact"/>
        <w:ind w:firstLine="482" w:firstLineChars="200"/>
        <w:rPr>
          <w:rFonts w:hint="eastAsia" w:hAnsi="宋体" w:cs="宋体"/>
          <w:b/>
          <w:sz w:val="24"/>
          <w:highlight w:val="none"/>
        </w:rPr>
      </w:pPr>
      <w:r>
        <w:rPr>
          <w:rFonts w:hint="eastAsia" w:hAnsi="宋体" w:cs="宋体"/>
          <w:b/>
          <w:sz w:val="24"/>
          <w:highlight w:val="none"/>
        </w:rPr>
        <w:t>2.商务技术文件</w:t>
      </w:r>
    </w:p>
    <w:p w14:paraId="22C1B287">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（1）投标声明函（格式见第五部分格式二）；</w:t>
      </w:r>
    </w:p>
    <w:p w14:paraId="7BEABBA8">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（2）法定代表人身份证明或附有法定代表人身份证明及授权代表为投标人在职员工的证明文件（投标人为其缴纳的社保记录或劳务合同等）的授权委托书（格式见第五部分格式三）</w:t>
      </w:r>
    </w:p>
    <w:p w14:paraId="772E1B55">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（3）商务评分中所需的材料（如有，详见评标办法）；</w:t>
      </w:r>
    </w:p>
    <w:p w14:paraId="3EDB7D19">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（4）以往业绩情况（如有，具体要求见评标办法，</w:t>
      </w:r>
      <w:r>
        <w:rPr>
          <w:rFonts w:hint="eastAsia" w:ascii="宋体" w:hAnsi="宋体" w:cs="宋体"/>
          <w:sz w:val="24"/>
          <w:szCs w:val="22"/>
          <w:highlight w:val="none"/>
          <w:lang w:val="en-US" w:eastAsia="zh-CN"/>
        </w:rPr>
        <w:t>格式见</w:t>
      </w:r>
      <w:r>
        <w:rPr>
          <w:rFonts w:hint="eastAsia" w:ascii="宋体" w:hAnsi="宋体" w:cs="宋体"/>
          <w:sz w:val="24"/>
          <w:szCs w:val="22"/>
          <w:highlight w:val="none"/>
        </w:rPr>
        <w:t>第五部分格式四）；</w:t>
      </w:r>
    </w:p>
    <w:p w14:paraId="055AED3F">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（5）商务/技术偏离表（格式见第五部分格式五）；</w:t>
      </w:r>
    </w:p>
    <w:p w14:paraId="0C4C301B">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（6）拟投入本项目的服务团队情况表（格式见第五部分格式六）；</w:t>
      </w:r>
    </w:p>
    <w:p w14:paraId="61DE2159">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（7）技术评分中所需的材料（详见评标办法）；</w:t>
      </w:r>
    </w:p>
    <w:p w14:paraId="21B22D40">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（8）其他商务技术文件或说明（如有）。</w:t>
      </w:r>
    </w:p>
    <w:p w14:paraId="4B7EA287">
      <w:pPr>
        <w:pStyle w:val="45"/>
        <w:adjustRightInd w:val="0"/>
        <w:snapToGrid w:val="0"/>
        <w:spacing w:line="436" w:lineRule="exact"/>
        <w:ind w:firstLine="482" w:firstLineChars="200"/>
        <w:rPr>
          <w:rFonts w:hint="eastAsia" w:hAnsi="宋体" w:cs="宋体"/>
          <w:b/>
          <w:sz w:val="24"/>
          <w:highlight w:val="none"/>
        </w:rPr>
      </w:pPr>
      <w:r>
        <w:rPr>
          <w:rFonts w:hint="eastAsia" w:hAnsi="宋体" w:cs="宋体"/>
          <w:b/>
          <w:sz w:val="24"/>
          <w:highlight w:val="none"/>
        </w:rPr>
        <w:t>3.报价文件</w:t>
      </w:r>
    </w:p>
    <w:p w14:paraId="542DEA4F">
      <w:pPr>
        <w:tabs>
          <w:tab w:val="left" w:pos="3780"/>
        </w:tabs>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（1）开标一览表（格式见第五部分格式七）；</w:t>
      </w:r>
    </w:p>
    <w:p w14:paraId="0082CDAB">
      <w:pPr>
        <w:tabs>
          <w:tab w:val="left" w:pos="3780"/>
        </w:tabs>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（2）投标报价明细表（格式见第五部分 格式八）；</w:t>
      </w:r>
    </w:p>
    <w:p w14:paraId="3518BAFD">
      <w:pPr>
        <w:tabs>
          <w:tab w:val="left" w:pos="3780"/>
        </w:tabs>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（3）</w:t>
      </w:r>
      <w:r>
        <w:rPr>
          <w:rFonts w:hint="eastAsia" w:ascii="宋体" w:hAnsi="宋体" w:cs="宋体"/>
          <w:sz w:val="24"/>
          <w:szCs w:val="24"/>
          <w:highlight w:val="none"/>
        </w:rPr>
        <w:t>《中小企业声明函》或《残疾人福利性单位声明函》或《监狱企业声明函》</w:t>
      </w:r>
      <w:r>
        <w:rPr>
          <w:rFonts w:hint="eastAsia" w:ascii="宋体" w:hAnsi="宋体" w:cs="宋体"/>
          <w:sz w:val="24"/>
          <w:szCs w:val="22"/>
          <w:highlight w:val="none"/>
        </w:rPr>
        <w:t>（如有，格式见第五部分格式九）。</w:t>
      </w:r>
    </w:p>
    <w:p w14:paraId="10CA59A6">
      <w:pPr>
        <w:tabs>
          <w:tab w:val="left" w:pos="3780"/>
        </w:tabs>
        <w:spacing w:line="436" w:lineRule="exact"/>
        <w:ind w:firstLine="480" w:firstLineChars="200"/>
        <w:rPr>
          <w:rFonts w:hint="eastAsia" w:ascii="宋体" w:hAnsi="宋体" w:cs="宋体"/>
          <w:sz w:val="24"/>
          <w:highlight w:val="none"/>
          <w:u w:val="single"/>
        </w:rPr>
      </w:pPr>
      <w:r>
        <w:rPr>
          <w:rFonts w:hint="eastAsia" w:ascii="宋体" w:hAnsi="宋体" w:cs="宋体"/>
          <w:sz w:val="24"/>
          <w:szCs w:val="22"/>
          <w:highlight w:val="none"/>
          <w:u w:val="single"/>
          <w:lang w:val="zh-CN"/>
        </w:rPr>
        <w:t>投标文件中所需的各种证书、证件、证明资料</w:t>
      </w:r>
      <w:r>
        <w:rPr>
          <w:rFonts w:hint="eastAsia" w:ascii="宋体" w:hAnsi="宋体" w:cs="宋体"/>
          <w:sz w:val="24"/>
          <w:szCs w:val="22"/>
          <w:highlight w:val="none"/>
          <w:u w:val="single"/>
        </w:rPr>
        <w:t>等</w:t>
      </w:r>
      <w:r>
        <w:rPr>
          <w:rFonts w:hint="eastAsia" w:ascii="宋体" w:hAnsi="宋体" w:cs="宋体"/>
          <w:sz w:val="24"/>
          <w:szCs w:val="22"/>
          <w:highlight w:val="none"/>
          <w:u w:val="single"/>
          <w:lang w:val="zh-CN"/>
        </w:rPr>
        <w:t>如是复印件，须在复印件上加盖有效公章。</w:t>
      </w:r>
    </w:p>
    <w:p w14:paraId="3DDDFD33">
      <w:pPr>
        <w:pStyle w:val="311"/>
        <w:adjustRightInd w:val="0"/>
        <w:snapToGrid w:val="0"/>
        <w:spacing w:before="0" w:line="436" w:lineRule="exact"/>
        <w:ind w:firstLine="0" w:firstLineChars="0"/>
        <w:rPr>
          <w:rFonts w:hint="eastAsia" w:ascii="宋体" w:hAnsi="宋体" w:cs="宋体"/>
          <w:b/>
          <w:highlight w:val="none"/>
        </w:rPr>
      </w:pPr>
      <w:r>
        <w:rPr>
          <w:rFonts w:hint="eastAsia" w:ascii="宋体" w:hAnsi="宋体" w:cs="宋体"/>
          <w:b/>
          <w:highlight w:val="none"/>
        </w:rPr>
        <w:t>（三）投标报价</w:t>
      </w:r>
    </w:p>
    <w:p w14:paraId="08475F17">
      <w:pPr>
        <w:pStyle w:val="363"/>
        <w:spacing w:after="0" w:line="440" w:lineRule="exact"/>
        <w:ind w:left="0" w:leftChars="0" w:firstLine="480" w:firstLineChars="200"/>
        <w:rPr>
          <w:rFonts w:hint="eastAsia" w:ascii="宋体" w:hAnsi="宋体" w:cs="宋体"/>
          <w:sz w:val="24"/>
          <w:szCs w:val="24"/>
          <w:highlight w:val="none"/>
        </w:rPr>
      </w:pPr>
      <w:r>
        <w:rPr>
          <w:rFonts w:hint="eastAsia" w:ascii="宋体" w:hAnsi="宋体" w:cs="宋体"/>
          <w:sz w:val="24"/>
          <w:szCs w:val="22"/>
          <w:highlight w:val="none"/>
        </w:rPr>
        <w:t>1.▲本次供应商报价高于最高限价的，为无效响应文件。</w:t>
      </w:r>
    </w:p>
    <w:p w14:paraId="3517B126">
      <w:pPr>
        <w:snapToGrid w:val="0"/>
        <w:spacing w:line="436" w:lineRule="exact"/>
        <w:ind w:firstLine="480" w:firstLineChars="200"/>
        <w:jc w:val="left"/>
        <w:rPr>
          <w:rFonts w:hint="eastAsia" w:ascii="宋体" w:hAnsi="宋体" w:cs="宋体"/>
          <w:bCs/>
          <w:sz w:val="24"/>
          <w:szCs w:val="24"/>
          <w:highlight w:val="none"/>
          <w:lang w:val="zh-CN"/>
        </w:rPr>
      </w:pPr>
      <w:r>
        <w:rPr>
          <w:rFonts w:hint="eastAsia" w:ascii="宋体" w:hAnsi="宋体" w:cs="宋体"/>
          <w:sz w:val="24"/>
          <w:szCs w:val="22"/>
          <w:highlight w:val="none"/>
        </w:rPr>
        <w:t>2</w:t>
      </w:r>
      <w:r>
        <w:rPr>
          <w:rFonts w:hint="eastAsia" w:ascii="宋体" w:hAnsi="宋体" w:cs="宋体"/>
          <w:bCs/>
          <w:sz w:val="24"/>
          <w:szCs w:val="24"/>
          <w:highlight w:val="none"/>
        </w:rPr>
        <w:t>.投标报价</w:t>
      </w:r>
      <w:r>
        <w:rPr>
          <w:rFonts w:hint="eastAsia" w:ascii="宋体" w:hAnsi="宋体" w:cs="宋体"/>
          <w:bCs/>
          <w:sz w:val="24"/>
          <w:szCs w:val="24"/>
          <w:highlight w:val="none"/>
          <w:lang w:val="zh-CN"/>
        </w:rPr>
        <w:t>包括货物价款、人工费、材料费、运输保险费、安装调试费（含安装人工等相关人工费用）、售后服务、各项税金、验收费</w:t>
      </w:r>
      <w:r>
        <w:rPr>
          <w:rFonts w:hint="eastAsia" w:ascii="宋体" w:hAnsi="宋体" w:cs="宋体"/>
          <w:spacing w:val="-6"/>
          <w:sz w:val="24"/>
          <w:highlight w:val="none"/>
        </w:rPr>
        <w:t>、</w:t>
      </w:r>
      <w:r>
        <w:rPr>
          <w:rFonts w:hint="eastAsia" w:ascii="宋体" w:hAnsi="宋体" w:cs="宋体"/>
          <w:sz w:val="24"/>
          <w:szCs w:val="24"/>
          <w:highlight w:val="none"/>
        </w:rPr>
        <w:t>政策性文件规定及合同包含的所有风险、责任等合同实施过程中的应预见和不可预见费用</w:t>
      </w:r>
      <w:r>
        <w:rPr>
          <w:rFonts w:hint="eastAsia" w:ascii="宋体" w:hAnsi="宋体" w:cs="宋体"/>
          <w:kern w:val="0"/>
          <w:sz w:val="24"/>
          <w:highlight w:val="none"/>
          <w:lang w:val="zh-CN"/>
        </w:rPr>
        <w:t>均计入报价，招</w:t>
      </w:r>
      <w:r>
        <w:rPr>
          <w:rFonts w:hint="eastAsia" w:ascii="宋体" w:hAnsi="宋体" w:cs="宋体"/>
          <w:sz w:val="24"/>
          <w:highlight w:val="none"/>
          <w:lang w:val="zh-CN"/>
        </w:rPr>
        <w:t>标人不在支付额外费用。</w:t>
      </w:r>
      <w:r>
        <w:rPr>
          <w:rFonts w:hint="eastAsia" w:ascii="宋体" w:hAnsi="宋体" w:cs="宋体"/>
          <w:bCs/>
          <w:sz w:val="24"/>
          <w:szCs w:val="24"/>
          <w:highlight w:val="none"/>
        </w:rPr>
        <w:t>投标人在报价应充分考虑</w:t>
      </w:r>
      <w:r>
        <w:rPr>
          <w:rFonts w:hint="eastAsia" w:ascii="宋体" w:hAnsi="宋体" w:cs="宋体"/>
          <w:bCs/>
          <w:sz w:val="24"/>
          <w:szCs w:val="24"/>
          <w:highlight w:val="none"/>
          <w:lang w:val="zh-CN"/>
        </w:rPr>
        <w:t>。</w:t>
      </w:r>
    </w:p>
    <w:p w14:paraId="68F3D6B2">
      <w:pPr>
        <w:snapToGrid w:val="0"/>
        <w:spacing w:line="436" w:lineRule="exact"/>
        <w:ind w:firstLine="480" w:firstLineChars="200"/>
        <w:jc w:val="left"/>
        <w:rPr>
          <w:rFonts w:hint="eastAsia" w:ascii="宋体" w:hAnsi="宋体" w:cs="宋体"/>
          <w:bCs/>
          <w:sz w:val="24"/>
          <w:szCs w:val="24"/>
          <w:highlight w:val="none"/>
          <w:lang w:val="zh-CN"/>
        </w:rPr>
      </w:pPr>
      <w:r>
        <w:rPr>
          <w:rFonts w:hint="eastAsia" w:ascii="宋体" w:hAnsi="宋体" w:cs="宋体"/>
          <w:bCs/>
          <w:sz w:val="24"/>
          <w:szCs w:val="24"/>
          <w:highlight w:val="none"/>
        </w:rPr>
        <w:t>3.</w:t>
      </w:r>
      <w:r>
        <w:rPr>
          <w:rFonts w:hint="eastAsia" w:ascii="宋体" w:hAnsi="宋体" w:cs="宋体"/>
          <w:bCs/>
          <w:sz w:val="24"/>
          <w:szCs w:val="24"/>
          <w:highlight w:val="none"/>
          <w:lang w:val="zh-CN"/>
        </w:rPr>
        <w:t>供应商应根据要求报价，报价单中不得漏填项目。</w:t>
      </w:r>
    </w:p>
    <w:p w14:paraId="6D8046F9">
      <w:pPr>
        <w:snapToGrid w:val="0"/>
        <w:spacing w:line="436" w:lineRule="exact"/>
        <w:ind w:firstLine="480" w:firstLineChars="200"/>
        <w:jc w:val="left"/>
        <w:rPr>
          <w:rFonts w:hint="eastAsia" w:ascii="宋体" w:hAnsi="宋体" w:cs="宋体"/>
          <w:sz w:val="24"/>
          <w:szCs w:val="22"/>
          <w:highlight w:val="none"/>
        </w:rPr>
      </w:pPr>
      <w:r>
        <w:rPr>
          <w:rFonts w:hint="eastAsia" w:ascii="宋体" w:hAnsi="宋体" w:cs="宋体"/>
          <w:sz w:val="24"/>
          <w:szCs w:val="22"/>
          <w:highlight w:val="none"/>
        </w:rPr>
        <w:t>4.其它费用处理</w:t>
      </w:r>
    </w:p>
    <w:p w14:paraId="6D2FB644">
      <w:pPr>
        <w:snapToGrid w:val="0"/>
        <w:spacing w:line="436" w:lineRule="exact"/>
        <w:ind w:firstLine="480" w:firstLineChars="200"/>
        <w:jc w:val="left"/>
        <w:rPr>
          <w:rFonts w:hint="eastAsia" w:ascii="宋体" w:hAnsi="宋体" w:cs="宋体"/>
          <w:sz w:val="24"/>
          <w:szCs w:val="22"/>
          <w:highlight w:val="none"/>
        </w:rPr>
      </w:pPr>
      <w:r>
        <w:rPr>
          <w:rFonts w:hint="eastAsia" w:ascii="宋体" w:hAnsi="宋体" w:cs="宋体"/>
          <w:sz w:val="24"/>
          <w:szCs w:val="22"/>
          <w:highlight w:val="none"/>
        </w:rPr>
        <w:t>招标文件未列明，而投标人认为必需的费用也需列入报价。投标人在投标报价中应充分考虑所有可能发生的费用，否则招标人将视投标总价中已包括所有费用。</w:t>
      </w:r>
    </w:p>
    <w:p w14:paraId="5A7039A0">
      <w:pPr>
        <w:tabs>
          <w:tab w:val="left" w:pos="3780"/>
        </w:tabs>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5.投标货币</w:t>
      </w:r>
    </w:p>
    <w:p w14:paraId="1E5F90C2">
      <w:pPr>
        <w:tabs>
          <w:tab w:val="left" w:pos="3780"/>
        </w:tabs>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投标文件中价格全部采用人民币报价。</w:t>
      </w:r>
    </w:p>
    <w:p w14:paraId="53412FF4">
      <w:pPr>
        <w:tabs>
          <w:tab w:val="left" w:pos="3780"/>
        </w:tabs>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报价应是唯一的，不接受有选择的报价。</w:t>
      </w:r>
    </w:p>
    <w:p w14:paraId="06D97671">
      <w:pPr>
        <w:tabs>
          <w:tab w:val="left" w:pos="3780"/>
        </w:tabs>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6.投标人对在合同执行中，除上述费用及招标文件规定的由中标人负责的工作范围以外需要招标人协调或提供便利的工作应当在投标文件中说明。</w:t>
      </w:r>
      <w:bookmarkStart w:id="39" w:name="_Hlt75236011"/>
      <w:bookmarkEnd w:id="39"/>
    </w:p>
    <w:p w14:paraId="5FA17583">
      <w:pPr>
        <w:adjustRightInd w:val="0"/>
        <w:snapToGrid w:val="0"/>
        <w:spacing w:line="436" w:lineRule="exact"/>
        <w:ind w:firstLine="480" w:firstLineChars="200"/>
        <w:rPr>
          <w:rFonts w:hint="eastAsia" w:ascii="宋体" w:hAnsi="宋体" w:cs="宋体"/>
          <w:sz w:val="24"/>
          <w:highlight w:val="none"/>
          <w:u w:val="single"/>
        </w:rPr>
      </w:pPr>
      <w:r>
        <w:rPr>
          <w:rFonts w:hint="eastAsia" w:ascii="宋体" w:hAnsi="宋体" w:cs="宋体"/>
          <w:sz w:val="24"/>
          <w:highlight w:val="none"/>
        </w:rPr>
        <w:t>7.</w:t>
      </w:r>
      <w:r>
        <w:rPr>
          <w:rFonts w:hint="eastAsia" w:ascii="宋体" w:hAnsi="宋体" w:cs="宋体"/>
          <w:sz w:val="24"/>
          <w:highlight w:val="none"/>
          <w:u w:val="single"/>
        </w:rPr>
        <w:t>报价是中标的一个重要因素，但最低报价不是中标的唯一依据。</w:t>
      </w:r>
    </w:p>
    <w:p w14:paraId="5025FFBA">
      <w:pPr>
        <w:pStyle w:val="2"/>
        <w:spacing w:line="360" w:lineRule="auto"/>
        <w:rPr>
          <w:b/>
          <w:bCs/>
          <w:highlight w:val="none"/>
        </w:rPr>
      </w:pPr>
      <w:r>
        <w:rPr>
          <w:rFonts w:hint="eastAsia"/>
          <w:b/>
          <w:bCs/>
          <w:highlight w:val="none"/>
        </w:rPr>
        <w:t>注：供应商不得进行影响产品质量或者诚信履约的恶意报价。供应商在项目评审前准备好报价核算、报价明细、报价说明等材料，以备评审专家核查，供应商报价低于项目预算50%的，应当在报价文件中详细阐述不影响产品质量或者诚信履约的具体原因。</w:t>
      </w:r>
    </w:p>
    <w:p w14:paraId="5CD053F1">
      <w:pPr>
        <w:pStyle w:val="311"/>
        <w:adjustRightInd w:val="0"/>
        <w:snapToGrid w:val="0"/>
        <w:spacing w:before="0" w:line="436" w:lineRule="exact"/>
        <w:ind w:firstLine="0" w:firstLineChars="0"/>
        <w:rPr>
          <w:rFonts w:hint="eastAsia" w:ascii="宋体" w:hAnsi="宋体" w:cs="宋体"/>
          <w:b/>
          <w:highlight w:val="none"/>
        </w:rPr>
      </w:pPr>
      <w:bookmarkStart w:id="40" w:name="_Toc91899887"/>
      <w:r>
        <w:rPr>
          <w:rFonts w:hint="eastAsia" w:ascii="宋体" w:hAnsi="宋体" w:cs="宋体"/>
          <w:b/>
          <w:highlight w:val="none"/>
        </w:rPr>
        <w:t>（四）投标有效期</w:t>
      </w:r>
    </w:p>
    <w:p w14:paraId="3F31286E">
      <w:pPr>
        <w:tabs>
          <w:tab w:val="left" w:pos="3780"/>
        </w:tabs>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1.投标文件合格投递后，自投标截止日期起，至前附表规定的日期内有效。合同签订后，投标文件作为合同附件，投标文件有效期同合同有效期。</w:t>
      </w:r>
    </w:p>
    <w:p w14:paraId="5BE8E2AB">
      <w:pPr>
        <w:tabs>
          <w:tab w:val="left" w:pos="3780"/>
        </w:tabs>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2.招标人如因故推迟投标截止时间，将以书面形式通知所有投标人。在这种情况下，招标人与投标人以前在投标截止期方面的全部权利、责任和义务，将适用于延长至新的投标截止期。</w:t>
      </w:r>
    </w:p>
    <w:p w14:paraId="104CAABE">
      <w:pPr>
        <w:tabs>
          <w:tab w:val="left" w:pos="3780"/>
        </w:tabs>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3.投标人可拒绝接受延期要求。同意延长有效期的投标人不能修改投标文件。</w:t>
      </w:r>
    </w:p>
    <w:p w14:paraId="683EEEB9">
      <w:pPr>
        <w:tabs>
          <w:tab w:val="left" w:pos="3780"/>
        </w:tabs>
        <w:spacing w:line="436" w:lineRule="exact"/>
        <w:ind w:firstLine="482" w:firstLineChars="200"/>
        <w:rPr>
          <w:rFonts w:hint="eastAsia" w:ascii="宋体" w:hAnsi="宋体" w:cs="宋体"/>
          <w:b/>
          <w:sz w:val="24"/>
          <w:szCs w:val="22"/>
          <w:highlight w:val="none"/>
        </w:rPr>
      </w:pPr>
      <w:r>
        <w:rPr>
          <w:rFonts w:hint="eastAsia" w:ascii="宋体" w:hAnsi="宋体" w:cs="宋体"/>
          <w:b/>
          <w:sz w:val="24"/>
          <w:szCs w:val="22"/>
          <w:highlight w:val="none"/>
        </w:rPr>
        <w:t>4.投标截止后，在投标有效期内，投标人不能撤销投标文件。投标人强行撤销投标文件的，应按采购预算金额的2%赔偿对采购组织机构造成的损失。</w:t>
      </w:r>
    </w:p>
    <w:bookmarkEnd w:id="40"/>
    <w:p w14:paraId="515915C8">
      <w:pPr>
        <w:adjustRightInd w:val="0"/>
        <w:snapToGrid w:val="0"/>
        <w:spacing w:line="436" w:lineRule="exact"/>
        <w:jc w:val="center"/>
        <w:outlineLvl w:val="1"/>
        <w:rPr>
          <w:rFonts w:hint="eastAsia" w:ascii="宋体" w:hAnsi="宋体" w:cs="宋体"/>
          <w:b/>
          <w:sz w:val="32"/>
          <w:highlight w:val="none"/>
        </w:rPr>
      </w:pPr>
      <w:bookmarkStart w:id="41" w:name="_Toc522530044"/>
      <w:bookmarkStart w:id="42" w:name="_Toc19525"/>
      <w:bookmarkStart w:id="43" w:name="_Toc91899892"/>
      <w:r>
        <w:rPr>
          <w:rFonts w:hint="eastAsia" w:ascii="宋体" w:hAnsi="宋体" w:cs="宋体"/>
          <w:b/>
          <w:sz w:val="32"/>
          <w:highlight w:val="none"/>
        </w:rPr>
        <w:t>四、投 标</w:t>
      </w:r>
      <w:bookmarkEnd w:id="41"/>
      <w:bookmarkEnd w:id="42"/>
    </w:p>
    <w:p w14:paraId="61A58D0B">
      <w:pPr>
        <w:pStyle w:val="311"/>
        <w:adjustRightInd w:val="0"/>
        <w:snapToGrid w:val="0"/>
        <w:spacing w:before="0" w:line="436" w:lineRule="exact"/>
        <w:ind w:firstLine="0" w:firstLineChars="0"/>
        <w:rPr>
          <w:rFonts w:hint="eastAsia" w:ascii="宋体" w:hAnsi="宋体" w:cs="宋体"/>
          <w:bCs/>
          <w:highlight w:val="none"/>
        </w:rPr>
      </w:pPr>
      <w:r>
        <w:rPr>
          <w:rFonts w:hint="eastAsia" w:ascii="宋体" w:hAnsi="宋体" w:cs="宋体"/>
          <w:bCs/>
          <w:highlight w:val="none"/>
        </w:rPr>
        <w:t>（一）投标文件的上传和递交</w:t>
      </w:r>
    </w:p>
    <w:p w14:paraId="2720D4B6">
      <w:pPr>
        <w:adjustRightInd w:val="0"/>
        <w:snapToGrid w:val="0"/>
        <w:spacing w:line="436" w:lineRule="exact"/>
        <w:ind w:firstLine="482" w:firstLineChars="200"/>
        <w:rPr>
          <w:rFonts w:hint="eastAsia" w:ascii="宋体" w:hAnsi="宋体" w:cs="宋体"/>
          <w:b/>
          <w:bCs/>
          <w:sz w:val="24"/>
          <w:szCs w:val="22"/>
          <w:highlight w:val="none"/>
        </w:rPr>
      </w:pPr>
      <w:r>
        <w:rPr>
          <w:rFonts w:hint="eastAsia" w:ascii="宋体" w:hAnsi="宋体" w:cs="宋体"/>
          <w:b/>
          <w:bCs/>
          <w:sz w:val="24"/>
          <w:szCs w:val="22"/>
          <w:highlight w:val="none"/>
        </w:rPr>
        <w:t>1.“电子加密投标文件”的上传、递交：</w:t>
      </w:r>
    </w:p>
    <w:p w14:paraId="318D0B4E">
      <w:pPr>
        <w:adjustRightInd w:val="0"/>
        <w:snapToGrid w:val="0"/>
        <w:spacing w:line="436" w:lineRule="exact"/>
        <w:ind w:firstLine="482" w:firstLineChars="200"/>
        <w:rPr>
          <w:rFonts w:hint="eastAsia" w:ascii="宋体" w:hAnsi="宋体" w:cs="宋体"/>
          <w:b/>
          <w:bCs/>
          <w:sz w:val="24"/>
          <w:szCs w:val="22"/>
          <w:highlight w:val="none"/>
        </w:rPr>
      </w:pPr>
      <w:r>
        <w:rPr>
          <w:rFonts w:hint="eastAsia" w:ascii="宋体" w:hAnsi="宋体" w:cs="宋体"/>
          <w:b/>
          <w:bCs/>
          <w:sz w:val="24"/>
          <w:szCs w:val="22"/>
          <w:highlight w:val="none"/>
        </w:rPr>
        <w:t>a.投标人应在投标截止时间前将“电子加密投标文件”成功上传递交至“政府采购云平台”，否则投标无效。</w:t>
      </w:r>
    </w:p>
    <w:p w14:paraId="0AF78A3A">
      <w:pPr>
        <w:adjustRightInd w:val="0"/>
        <w:snapToGrid w:val="0"/>
        <w:spacing w:line="436" w:lineRule="exact"/>
        <w:ind w:firstLine="482" w:firstLineChars="200"/>
        <w:rPr>
          <w:rFonts w:hint="eastAsia" w:ascii="宋体" w:hAnsi="宋体" w:cs="宋体"/>
          <w:b/>
          <w:bCs/>
          <w:sz w:val="24"/>
          <w:szCs w:val="22"/>
          <w:highlight w:val="none"/>
        </w:rPr>
      </w:pPr>
      <w:r>
        <w:rPr>
          <w:rFonts w:hint="eastAsia" w:ascii="宋体" w:hAnsi="宋体" w:cs="宋体"/>
          <w:b/>
          <w:bCs/>
          <w:sz w:val="24"/>
          <w:szCs w:val="22"/>
          <w:highlight w:val="none"/>
        </w:rPr>
        <w:t>b.“电子加密投标文件”成功上传递交后，投标人可自行打印投标文件接收回执。</w:t>
      </w:r>
    </w:p>
    <w:p w14:paraId="557E9335">
      <w:pPr>
        <w:adjustRightInd w:val="0"/>
        <w:snapToGrid w:val="0"/>
        <w:spacing w:line="436" w:lineRule="exact"/>
        <w:ind w:firstLine="482" w:firstLineChars="200"/>
        <w:rPr>
          <w:rFonts w:hint="eastAsia" w:ascii="宋体" w:hAnsi="宋体" w:cs="宋体"/>
          <w:b/>
          <w:bCs/>
          <w:sz w:val="24"/>
          <w:szCs w:val="22"/>
          <w:highlight w:val="none"/>
        </w:rPr>
      </w:pPr>
      <w:r>
        <w:rPr>
          <w:rFonts w:hint="eastAsia" w:ascii="宋体" w:hAnsi="宋体" w:cs="宋体"/>
          <w:b/>
          <w:bCs/>
          <w:sz w:val="24"/>
          <w:szCs w:val="22"/>
          <w:highlight w:val="none"/>
        </w:rPr>
        <w:t>2.“备份投标文件”的密封包装、递交：</w:t>
      </w:r>
    </w:p>
    <w:p w14:paraId="73E244AC">
      <w:pPr>
        <w:adjustRightInd w:val="0"/>
        <w:snapToGrid w:val="0"/>
        <w:spacing w:line="436" w:lineRule="exact"/>
        <w:ind w:firstLine="482" w:firstLineChars="200"/>
        <w:rPr>
          <w:rFonts w:hint="eastAsia" w:ascii="宋体" w:hAnsi="宋体" w:cs="宋体"/>
          <w:b/>
          <w:bCs/>
          <w:sz w:val="24"/>
          <w:szCs w:val="22"/>
          <w:highlight w:val="none"/>
        </w:rPr>
      </w:pPr>
      <w:r>
        <w:rPr>
          <w:rFonts w:hint="eastAsia" w:ascii="宋体" w:hAnsi="宋体" w:cs="宋体"/>
          <w:b/>
          <w:bCs/>
          <w:sz w:val="24"/>
          <w:szCs w:val="22"/>
          <w:highlight w:val="none"/>
        </w:rPr>
        <w:t>a.投标人在“政府采购云平台”完成“电子加密投标文件”的上传递交后，还可以（建议顺丰或EMS邮寄形式）在投标截止时间前递交以介质（U盘）存储的 “备份投标文件”（一份）；</w:t>
      </w:r>
    </w:p>
    <w:p w14:paraId="4A717451">
      <w:pPr>
        <w:adjustRightInd w:val="0"/>
        <w:snapToGrid w:val="0"/>
        <w:spacing w:line="436" w:lineRule="exact"/>
        <w:ind w:firstLine="482" w:firstLineChars="200"/>
        <w:rPr>
          <w:rFonts w:hint="eastAsia" w:ascii="宋体" w:hAnsi="宋体" w:cs="宋体"/>
          <w:b/>
          <w:bCs/>
          <w:sz w:val="24"/>
          <w:szCs w:val="22"/>
          <w:highlight w:val="none"/>
        </w:rPr>
      </w:pPr>
      <w:r>
        <w:rPr>
          <w:rFonts w:hint="eastAsia" w:ascii="宋体" w:hAnsi="宋体" w:cs="宋体"/>
          <w:b/>
          <w:bCs/>
          <w:sz w:val="24"/>
          <w:szCs w:val="22"/>
          <w:highlight w:val="none"/>
        </w:rPr>
        <w:t>b.“备份投标文件”应当密封包装，并在包装上标注投标项目名称、投标单位名称并加盖公章。没有密封包装或者逾期邮寄送达至投标地点的“备份投标文件”将不予接收；</w:t>
      </w:r>
    </w:p>
    <w:p w14:paraId="7D882EC0">
      <w:pPr>
        <w:adjustRightInd w:val="0"/>
        <w:snapToGrid w:val="0"/>
        <w:spacing w:line="436" w:lineRule="exact"/>
        <w:ind w:firstLine="482" w:firstLineChars="200"/>
        <w:rPr>
          <w:rFonts w:hint="eastAsia" w:ascii="宋体" w:hAnsi="宋体" w:cs="宋体"/>
          <w:b/>
          <w:bCs/>
          <w:sz w:val="24"/>
          <w:szCs w:val="22"/>
          <w:highlight w:val="none"/>
        </w:rPr>
      </w:pPr>
      <w:r>
        <w:rPr>
          <w:rFonts w:hint="eastAsia" w:ascii="宋体" w:hAnsi="宋体" w:cs="宋体"/>
          <w:b/>
          <w:bCs/>
          <w:sz w:val="24"/>
          <w:szCs w:val="22"/>
          <w:highlight w:val="none"/>
        </w:rPr>
        <w:t>c.通过“政府采购云平台”成功上传递交的“电子加密投标文件”已按时解密的，“备份投标文件”自动失效。投标截止时间前，投标人仅递交了“备份投标文件”而未将“电子加密投标文件”成功上传至“政府采购云平台”的，投标无效。</w:t>
      </w:r>
    </w:p>
    <w:p w14:paraId="6C766818">
      <w:pPr>
        <w:adjustRightInd w:val="0"/>
        <w:snapToGrid w:val="0"/>
        <w:spacing w:line="436" w:lineRule="exact"/>
        <w:ind w:firstLine="482" w:firstLineChars="200"/>
        <w:rPr>
          <w:rFonts w:hint="eastAsia" w:ascii="宋体" w:hAnsi="宋体" w:cs="宋体"/>
          <w:b/>
          <w:bCs/>
          <w:sz w:val="24"/>
          <w:szCs w:val="22"/>
          <w:highlight w:val="none"/>
        </w:rPr>
      </w:pPr>
      <w:r>
        <w:rPr>
          <w:rFonts w:hint="eastAsia" w:ascii="宋体" w:hAnsi="宋体" w:cs="宋体"/>
          <w:b/>
          <w:bCs/>
          <w:sz w:val="24"/>
          <w:szCs w:val="22"/>
          <w:highlight w:val="none"/>
        </w:rPr>
        <w:t>d.电子备份投标文件，由投标人决定是否递交，并自行承担不递交电子备份投标文件的风险。</w:t>
      </w:r>
    </w:p>
    <w:p w14:paraId="158453BD">
      <w:pPr>
        <w:adjustRightInd w:val="0"/>
        <w:snapToGrid w:val="0"/>
        <w:spacing w:line="436" w:lineRule="exact"/>
        <w:ind w:firstLine="482" w:firstLineChars="200"/>
        <w:rPr>
          <w:rFonts w:hint="eastAsia" w:ascii="宋体" w:hAnsi="宋体" w:cs="宋体"/>
          <w:b/>
          <w:bCs/>
          <w:sz w:val="24"/>
          <w:szCs w:val="22"/>
          <w:highlight w:val="none"/>
        </w:rPr>
      </w:pPr>
      <w:r>
        <w:rPr>
          <w:rFonts w:hint="eastAsia" w:ascii="宋体" w:hAnsi="宋体" w:cs="宋体"/>
          <w:b/>
          <w:bCs/>
          <w:sz w:val="24"/>
          <w:szCs w:val="22"/>
          <w:highlight w:val="none"/>
        </w:rPr>
        <w:t>3.招标人如因故推迟投标截止时间，将以书面形式通知所有投标人。在这种情况下，招标人与投标人以前在投标截止期方面的全部权利、责任和义务，将适用于延长至新的投标截止期。</w:t>
      </w:r>
    </w:p>
    <w:p w14:paraId="108D263F">
      <w:pPr>
        <w:pStyle w:val="311"/>
        <w:adjustRightInd w:val="0"/>
        <w:snapToGrid w:val="0"/>
        <w:spacing w:before="0" w:line="436" w:lineRule="exact"/>
        <w:ind w:firstLine="0" w:firstLineChars="0"/>
        <w:rPr>
          <w:rFonts w:hint="eastAsia" w:ascii="宋体" w:hAnsi="宋体" w:cs="宋体"/>
          <w:bCs/>
          <w:highlight w:val="none"/>
        </w:rPr>
      </w:pPr>
      <w:r>
        <w:rPr>
          <w:rFonts w:hint="eastAsia" w:ascii="宋体" w:hAnsi="宋体" w:cs="宋体"/>
          <w:bCs/>
          <w:highlight w:val="none"/>
        </w:rPr>
        <w:t>（二）“电子加密投标文件”解密和异常情况处理</w:t>
      </w:r>
    </w:p>
    <w:p w14:paraId="1200F54A">
      <w:pPr>
        <w:adjustRightInd w:val="0"/>
        <w:snapToGrid w:val="0"/>
        <w:spacing w:line="436" w:lineRule="exact"/>
        <w:ind w:firstLine="482" w:firstLineChars="200"/>
        <w:rPr>
          <w:rFonts w:hint="eastAsia" w:ascii="宋体" w:hAnsi="宋体" w:cs="宋体"/>
          <w:b/>
          <w:bCs/>
          <w:sz w:val="24"/>
          <w:szCs w:val="22"/>
          <w:highlight w:val="none"/>
        </w:rPr>
      </w:pPr>
      <w:r>
        <w:rPr>
          <w:rFonts w:hint="eastAsia" w:ascii="宋体" w:hAnsi="宋体" w:cs="宋体"/>
          <w:b/>
          <w:bCs/>
          <w:sz w:val="24"/>
          <w:szCs w:val="22"/>
          <w:highlight w:val="none"/>
        </w:rPr>
        <w:t>（1）开标后，采购组织机构将向各投标人发出“电子加密投标文件”的解密通知，各投标人代表应当在接到解密通知后30分钟内自行完成“电子加密投标文件”的在线解密。</w:t>
      </w:r>
    </w:p>
    <w:p w14:paraId="49CEC66A">
      <w:pPr>
        <w:adjustRightInd w:val="0"/>
        <w:snapToGrid w:val="0"/>
        <w:spacing w:line="436" w:lineRule="exact"/>
        <w:ind w:firstLine="482" w:firstLineChars="200"/>
        <w:rPr>
          <w:rFonts w:hint="eastAsia" w:ascii="宋体" w:hAnsi="宋体" w:cs="宋体"/>
          <w:b/>
          <w:bCs/>
          <w:sz w:val="24"/>
          <w:szCs w:val="22"/>
          <w:highlight w:val="none"/>
        </w:rPr>
      </w:pPr>
      <w:r>
        <w:rPr>
          <w:rFonts w:hint="eastAsia" w:ascii="宋体" w:hAnsi="宋体" w:cs="宋体"/>
          <w:b/>
          <w:bCs/>
          <w:sz w:val="24"/>
          <w:szCs w:val="22"/>
          <w:highlight w:val="none"/>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1C9EA2A2">
      <w:pPr>
        <w:adjustRightInd w:val="0"/>
        <w:snapToGrid w:val="0"/>
        <w:spacing w:line="436" w:lineRule="exact"/>
        <w:ind w:firstLine="482" w:firstLineChars="200"/>
        <w:rPr>
          <w:rFonts w:hint="eastAsia" w:ascii="宋体" w:hAnsi="宋体" w:cs="宋体"/>
          <w:b/>
          <w:bCs/>
          <w:sz w:val="24"/>
          <w:szCs w:val="22"/>
          <w:highlight w:val="none"/>
        </w:rPr>
      </w:pPr>
      <w:r>
        <w:rPr>
          <w:rFonts w:hint="eastAsia" w:ascii="宋体" w:hAnsi="宋体" w:cs="宋体"/>
          <w:b/>
          <w:bCs/>
          <w:sz w:val="24"/>
          <w:szCs w:val="22"/>
          <w:highlight w:val="none"/>
        </w:rPr>
        <w:t>（3）投标截止时间前，投标人仅递交了“备份投标文件”而未将电子加密投标文件上传至“政府采购云平台”的，投标无效。</w:t>
      </w:r>
    </w:p>
    <w:p w14:paraId="0CD1D754">
      <w:pPr>
        <w:pStyle w:val="311"/>
        <w:adjustRightInd w:val="0"/>
        <w:snapToGrid w:val="0"/>
        <w:spacing w:before="0" w:line="436" w:lineRule="exact"/>
        <w:ind w:firstLine="0" w:firstLineChars="0"/>
        <w:rPr>
          <w:rFonts w:hint="eastAsia" w:ascii="宋体" w:hAnsi="宋体" w:cs="宋体"/>
          <w:bCs/>
          <w:highlight w:val="none"/>
        </w:rPr>
      </w:pPr>
      <w:r>
        <w:rPr>
          <w:rFonts w:hint="eastAsia" w:ascii="宋体" w:hAnsi="宋体" w:cs="宋体"/>
          <w:bCs/>
          <w:highlight w:val="none"/>
        </w:rPr>
        <w:t>（三）投标文件的修改与撤回</w:t>
      </w:r>
    </w:p>
    <w:p w14:paraId="693E6703">
      <w:pPr>
        <w:adjustRightInd w:val="0"/>
        <w:snapToGrid w:val="0"/>
        <w:spacing w:line="436" w:lineRule="exact"/>
        <w:ind w:firstLine="482" w:firstLineChars="200"/>
        <w:rPr>
          <w:rFonts w:hint="eastAsia" w:ascii="宋体" w:hAnsi="宋体" w:cs="宋体"/>
          <w:b/>
          <w:bCs/>
          <w:sz w:val="24"/>
          <w:szCs w:val="22"/>
          <w:highlight w:val="none"/>
        </w:rPr>
      </w:pPr>
      <w:r>
        <w:rPr>
          <w:rFonts w:hint="eastAsia" w:ascii="宋体" w:hAnsi="宋体" w:cs="宋体"/>
          <w:b/>
          <w:bCs/>
          <w:sz w:val="24"/>
          <w:szCs w:val="22"/>
          <w:highlight w:val="none"/>
        </w:rPr>
        <w:t>1.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1A02D275">
      <w:pPr>
        <w:adjustRightInd w:val="0"/>
        <w:snapToGrid w:val="0"/>
        <w:spacing w:line="436" w:lineRule="exact"/>
        <w:ind w:firstLine="482" w:firstLineChars="200"/>
        <w:rPr>
          <w:rFonts w:hint="eastAsia" w:ascii="宋体" w:hAnsi="宋体" w:cs="宋体"/>
          <w:b/>
          <w:bCs/>
          <w:sz w:val="24"/>
          <w:szCs w:val="22"/>
          <w:highlight w:val="none"/>
        </w:rPr>
      </w:pPr>
      <w:r>
        <w:rPr>
          <w:rFonts w:hint="eastAsia" w:ascii="宋体" w:hAnsi="宋体" w:cs="宋体"/>
          <w:b/>
          <w:bCs/>
          <w:sz w:val="24"/>
          <w:szCs w:val="22"/>
          <w:highlight w:val="none"/>
        </w:rPr>
        <w:t>2.投标截止时间后，投标人不得撤回、修改《投标文件》。</w:t>
      </w:r>
    </w:p>
    <w:bookmarkEnd w:id="43"/>
    <w:p w14:paraId="79508959">
      <w:pPr>
        <w:adjustRightInd w:val="0"/>
        <w:snapToGrid w:val="0"/>
        <w:spacing w:line="436" w:lineRule="exact"/>
        <w:jc w:val="center"/>
        <w:outlineLvl w:val="1"/>
        <w:rPr>
          <w:rFonts w:hint="eastAsia" w:ascii="宋体" w:hAnsi="宋体" w:cs="宋体"/>
          <w:b/>
          <w:sz w:val="32"/>
          <w:highlight w:val="none"/>
        </w:rPr>
      </w:pPr>
      <w:bookmarkStart w:id="44" w:name="_Toc6430"/>
      <w:bookmarkStart w:id="45" w:name="_Toc91899897"/>
      <w:bookmarkStart w:id="46" w:name="_Toc522530045"/>
      <w:bookmarkStart w:id="47" w:name="_Toc233618976"/>
      <w:r>
        <w:rPr>
          <w:rFonts w:hint="eastAsia" w:ascii="宋体" w:hAnsi="宋体" w:cs="宋体"/>
          <w:b/>
          <w:sz w:val="32"/>
          <w:highlight w:val="none"/>
        </w:rPr>
        <w:t>五、开 标</w:t>
      </w:r>
      <w:bookmarkEnd w:id="44"/>
      <w:bookmarkEnd w:id="45"/>
      <w:bookmarkEnd w:id="46"/>
      <w:bookmarkEnd w:id="47"/>
    </w:p>
    <w:p w14:paraId="21B21A0A">
      <w:pPr>
        <w:adjustRightInd w:val="0"/>
        <w:snapToGrid w:val="0"/>
        <w:spacing w:line="436" w:lineRule="exact"/>
        <w:rPr>
          <w:rFonts w:hint="eastAsia" w:ascii="宋体" w:hAnsi="宋体" w:cs="宋体"/>
          <w:b/>
          <w:bCs/>
          <w:sz w:val="24"/>
          <w:szCs w:val="22"/>
          <w:highlight w:val="none"/>
        </w:rPr>
      </w:pPr>
      <w:r>
        <w:rPr>
          <w:rFonts w:hint="eastAsia" w:ascii="宋体" w:hAnsi="宋体" w:cs="宋体"/>
          <w:b/>
          <w:bCs/>
          <w:sz w:val="24"/>
          <w:szCs w:val="22"/>
          <w:highlight w:val="none"/>
        </w:rPr>
        <w:t>（一）开标形式</w:t>
      </w:r>
    </w:p>
    <w:p w14:paraId="489DAB1A">
      <w:pPr>
        <w:adjustRightInd w:val="0"/>
        <w:snapToGrid w:val="0"/>
        <w:spacing w:line="436" w:lineRule="exact"/>
        <w:ind w:firstLine="482" w:firstLineChars="200"/>
        <w:rPr>
          <w:rFonts w:hint="eastAsia" w:ascii="宋体" w:hAnsi="宋体" w:cs="宋体"/>
          <w:sz w:val="24"/>
          <w:szCs w:val="22"/>
          <w:highlight w:val="none"/>
        </w:rPr>
      </w:pPr>
      <w:r>
        <w:rPr>
          <w:rFonts w:hint="eastAsia" w:ascii="宋体" w:hAnsi="宋体" w:cs="宋体"/>
          <w:b/>
          <w:bCs/>
          <w:sz w:val="24"/>
          <w:szCs w:val="22"/>
          <w:highlight w:val="none"/>
        </w:rPr>
        <w:t>1.采购组织机构将按照招标文件规定的时间通过“政府采购云平台”组织开标、开启投标文件，所有投标人均应当准时在线参加。</w:t>
      </w:r>
    </w:p>
    <w:p w14:paraId="63B9EA7F">
      <w:pPr>
        <w:adjustRightInd w:val="0"/>
        <w:snapToGrid w:val="0"/>
        <w:spacing w:line="436" w:lineRule="exact"/>
        <w:rPr>
          <w:rFonts w:hint="eastAsia" w:ascii="宋体" w:hAnsi="宋体" w:cs="宋体"/>
          <w:b/>
          <w:bCs/>
          <w:sz w:val="24"/>
          <w:szCs w:val="22"/>
          <w:highlight w:val="none"/>
        </w:rPr>
      </w:pPr>
      <w:r>
        <w:rPr>
          <w:rFonts w:hint="eastAsia" w:ascii="宋体" w:hAnsi="宋体" w:cs="宋体"/>
          <w:b/>
          <w:bCs/>
          <w:sz w:val="24"/>
          <w:szCs w:val="22"/>
          <w:highlight w:val="none"/>
        </w:rPr>
        <w:t>（二）开标准备</w:t>
      </w:r>
    </w:p>
    <w:p w14:paraId="6E65F31C">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1.开标的准备工作由采购组织机构负责落实；</w:t>
      </w:r>
    </w:p>
    <w:p w14:paraId="582C655E">
      <w:pPr>
        <w:adjustRightInd w:val="0"/>
        <w:snapToGrid w:val="0"/>
        <w:spacing w:line="436" w:lineRule="exact"/>
        <w:ind w:firstLine="482" w:firstLineChars="200"/>
        <w:rPr>
          <w:rFonts w:hint="eastAsia" w:ascii="宋体" w:hAnsi="宋体" w:cs="宋体"/>
          <w:b/>
          <w:bCs/>
          <w:sz w:val="24"/>
          <w:szCs w:val="22"/>
          <w:highlight w:val="none"/>
        </w:rPr>
      </w:pPr>
      <w:r>
        <w:rPr>
          <w:rFonts w:hint="eastAsia" w:ascii="宋体" w:hAnsi="宋体" w:cs="宋体"/>
          <w:b/>
          <w:bCs/>
          <w:sz w:val="24"/>
          <w:szCs w:val="22"/>
          <w:highlight w:val="none"/>
        </w:rPr>
        <w:t>2.采购组织机构将按照招标文件规定的时间通过“政府采购云平台”组织开标、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3A39AC14">
      <w:pPr>
        <w:adjustRightInd w:val="0"/>
        <w:snapToGrid w:val="0"/>
        <w:spacing w:line="436" w:lineRule="exact"/>
        <w:rPr>
          <w:rFonts w:hint="eastAsia" w:ascii="宋体" w:hAnsi="宋体" w:cs="宋体"/>
          <w:b/>
          <w:bCs/>
          <w:sz w:val="24"/>
          <w:szCs w:val="22"/>
          <w:highlight w:val="none"/>
        </w:rPr>
      </w:pPr>
      <w:r>
        <w:rPr>
          <w:rFonts w:hint="eastAsia" w:ascii="宋体" w:hAnsi="宋体" w:cs="宋体"/>
          <w:b/>
          <w:bCs/>
          <w:sz w:val="24"/>
          <w:szCs w:val="22"/>
          <w:highlight w:val="none"/>
        </w:rPr>
        <w:t>（三）开标流程（两阶段）</w:t>
      </w:r>
    </w:p>
    <w:p w14:paraId="518B4871">
      <w:pPr>
        <w:adjustRightInd w:val="0"/>
        <w:snapToGrid w:val="0"/>
        <w:spacing w:line="436" w:lineRule="exact"/>
        <w:ind w:firstLine="482" w:firstLineChars="200"/>
        <w:rPr>
          <w:rFonts w:hint="eastAsia" w:ascii="宋体" w:hAnsi="宋体" w:cs="宋体"/>
          <w:b/>
          <w:bCs/>
          <w:sz w:val="24"/>
          <w:szCs w:val="22"/>
          <w:highlight w:val="none"/>
        </w:rPr>
      </w:pPr>
      <w:r>
        <w:rPr>
          <w:rFonts w:hint="eastAsia" w:ascii="宋体" w:hAnsi="宋体" w:cs="宋体"/>
          <w:b/>
          <w:bCs/>
          <w:sz w:val="24"/>
          <w:szCs w:val="22"/>
          <w:highlight w:val="none"/>
        </w:rPr>
        <w:t>1.开标第一阶段</w:t>
      </w:r>
    </w:p>
    <w:p w14:paraId="6766F456">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1）向各投标人发出电子加密投标文件【开始解密】通知，由投标人按招标文件规定的时间内自行进行投标文件解密。投标人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73B8668C">
      <w:pPr>
        <w:adjustRightInd w:val="0"/>
        <w:snapToGrid w:val="0"/>
        <w:spacing w:line="436" w:lineRule="exact"/>
        <w:ind w:firstLine="482" w:firstLineChars="200"/>
        <w:rPr>
          <w:rFonts w:hint="eastAsia" w:ascii="宋体" w:hAnsi="宋体" w:cs="宋体"/>
          <w:sz w:val="24"/>
          <w:szCs w:val="22"/>
          <w:highlight w:val="none"/>
        </w:rPr>
      </w:pPr>
      <w:r>
        <w:rPr>
          <w:rFonts w:hint="eastAsia" w:ascii="宋体" w:hAnsi="宋体" w:cs="宋体"/>
          <w:b/>
          <w:bCs/>
          <w:sz w:val="24"/>
          <w:szCs w:val="22"/>
          <w:highlight w:val="none"/>
        </w:rPr>
        <w:t>（2）投标文件解密结束，通过邮件形式发送各投标人组织签署《政府采购活动现场确认声明书》；</w:t>
      </w:r>
    </w:p>
    <w:p w14:paraId="04430ADD">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（3）开启投标文件，进入资格审查；</w:t>
      </w:r>
    </w:p>
    <w:p w14:paraId="1B047975">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（4）开启资格审查通过的投标人的商务技术文件进入符合性审查、商务技术评审；</w:t>
      </w:r>
    </w:p>
    <w:p w14:paraId="15B447B0">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（5）第一阶段开标结束。</w:t>
      </w:r>
    </w:p>
    <w:p w14:paraId="402ED7AC">
      <w:pPr>
        <w:adjustRightInd w:val="0"/>
        <w:snapToGrid w:val="0"/>
        <w:spacing w:line="436" w:lineRule="exact"/>
        <w:ind w:firstLine="482" w:firstLineChars="200"/>
        <w:rPr>
          <w:rFonts w:hint="eastAsia" w:ascii="宋体" w:hAnsi="宋体" w:cs="宋体"/>
          <w:b/>
          <w:bCs/>
          <w:sz w:val="24"/>
          <w:szCs w:val="22"/>
          <w:highlight w:val="none"/>
        </w:rPr>
      </w:pPr>
      <w:r>
        <w:rPr>
          <w:rFonts w:hint="eastAsia" w:ascii="宋体" w:hAnsi="宋体" w:cs="宋体"/>
          <w:b/>
          <w:bCs/>
          <w:sz w:val="24"/>
          <w:szCs w:val="22"/>
          <w:highlight w:val="none"/>
        </w:rPr>
        <w:t>备注：开标大会的第一阶段中，采购人或采购代理机构将对依法对投标人的资格进行审查，资格审查结束后进入符合性审查和商务技术的评审工作，具体见本章节“投标人资格审查”相关规定。</w:t>
      </w:r>
    </w:p>
    <w:p w14:paraId="6014A5D1">
      <w:pPr>
        <w:adjustRightInd w:val="0"/>
        <w:snapToGrid w:val="0"/>
        <w:spacing w:line="436" w:lineRule="exact"/>
        <w:ind w:firstLine="482" w:firstLineChars="200"/>
        <w:rPr>
          <w:rFonts w:hint="eastAsia" w:ascii="宋体" w:hAnsi="宋体" w:cs="宋体"/>
          <w:b/>
          <w:bCs/>
          <w:sz w:val="24"/>
          <w:szCs w:val="22"/>
          <w:highlight w:val="none"/>
        </w:rPr>
      </w:pPr>
      <w:r>
        <w:rPr>
          <w:rFonts w:hint="eastAsia" w:ascii="宋体" w:hAnsi="宋体" w:cs="宋体"/>
          <w:b/>
          <w:bCs/>
          <w:sz w:val="24"/>
          <w:szCs w:val="22"/>
          <w:highlight w:val="none"/>
        </w:rPr>
        <w:t>2.开标大会第二阶段</w:t>
      </w:r>
    </w:p>
    <w:p w14:paraId="132A35F2">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1）资格审查、符合性审查、商务技术评审结束后，举行开标大会第二阶段会议。公布资格审查、符合性审查、商务技术评审无效投标人名称及理由；公布经商务技术评审后有效投标人的名单，同时公布其商务技术部分得分情况。</w:t>
      </w:r>
    </w:p>
    <w:p w14:paraId="5564316C">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2）开启符合性审查、商务技术评审有效投标人的《报价文件》，公布开标一览表有关内容，同时当场制作开标记录表，投标人在线签字确认（不予确认的应说明理由，否则视为无异议）。唱标结束后，由评标委员会对报价的合理性、准确性等进行审查核实。</w:t>
      </w:r>
    </w:p>
    <w:p w14:paraId="7FC8D206">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（3）评审结束后，投标人可在</w:t>
      </w:r>
      <w:r>
        <w:rPr>
          <w:rFonts w:hint="eastAsia" w:ascii="宋体" w:hAnsi="宋体" w:cs="宋体"/>
          <w:b/>
          <w:bCs/>
          <w:sz w:val="24"/>
          <w:szCs w:val="22"/>
          <w:highlight w:val="none"/>
        </w:rPr>
        <w:t>“政府采购云平台”</w:t>
      </w:r>
      <w:r>
        <w:rPr>
          <w:rFonts w:hint="eastAsia" w:ascii="宋体" w:hAnsi="宋体" w:cs="宋体"/>
          <w:sz w:val="24"/>
          <w:szCs w:val="22"/>
          <w:highlight w:val="none"/>
        </w:rPr>
        <w:t>查看开标结果及中标候选人名单，及采购人最终确定中标人名单的时间和公告方式等。</w:t>
      </w:r>
    </w:p>
    <w:p w14:paraId="562E2F8F">
      <w:pPr>
        <w:adjustRightInd w:val="0"/>
        <w:snapToGrid w:val="0"/>
        <w:spacing w:line="436" w:lineRule="exact"/>
        <w:ind w:firstLine="482" w:firstLineChars="200"/>
        <w:rPr>
          <w:rFonts w:hint="eastAsia" w:ascii="宋体" w:hAnsi="宋体" w:cs="宋体"/>
          <w:b/>
          <w:bCs/>
          <w:sz w:val="24"/>
          <w:szCs w:val="22"/>
          <w:highlight w:val="none"/>
        </w:rPr>
      </w:pPr>
      <w:r>
        <w:rPr>
          <w:rFonts w:hint="eastAsia" w:ascii="宋体" w:hAnsi="宋体" w:cs="宋体"/>
          <w:b/>
          <w:bCs/>
          <w:sz w:val="24"/>
          <w:szCs w:val="22"/>
          <w:highlight w:val="none"/>
        </w:rPr>
        <w:t>特别说明：如遇“政府采购云平台”电子化开标或评审程序调整的，按调整后程序执行。</w:t>
      </w:r>
    </w:p>
    <w:p w14:paraId="44E352B2">
      <w:pPr>
        <w:adjustRightInd w:val="0"/>
        <w:snapToGrid w:val="0"/>
        <w:spacing w:line="436" w:lineRule="exact"/>
        <w:rPr>
          <w:rFonts w:hint="eastAsia" w:ascii="宋体" w:hAnsi="宋体" w:cs="宋体"/>
          <w:b/>
          <w:bCs/>
          <w:sz w:val="24"/>
          <w:szCs w:val="22"/>
          <w:highlight w:val="none"/>
        </w:rPr>
      </w:pPr>
      <w:bookmarkStart w:id="48" w:name="_Toc33194393"/>
      <w:bookmarkStart w:id="49" w:name="_Toc24550037"/>
      <w:r>
        <w:rPr>
          <w:rFonts w:hint="eastAsia" w:ascii="宋体" w:hAnsi="宋体" w:cs="宋体"/>
          <w:b/>
          <w:bCs/>
          <w:sz w:val="24"/>
          <w:szCs w:val="22"/>
          <w:highlight w:val="none"/>
        </w:rPr>
        <w:t>（四）投标人资格审查</w:t>
      </w:r>
      <w:bookmarkEnd w:id="48"/>
      <w:bookmarkEnd w:id="49"/>
    </w:p>
    <w:p w14:paraId="5FE85705">
      <w:pPr>
        <w:adjustRightInd w:val="0"/>
        <w:snapToGrid w:val="0"/>
        <w:spacing w:line="436" w:lineRule="exact"/>
        <w:ind w:firstLine="482" w:firstLineChars="200"/>
        <w:rPr>
          <w:rFonts w:hint="eastAsia" w:ascii="宋体" w:hAnsi="宋体" w:cs="宋体"/>
          <w:sz w:val="24"/>
          <w:szCs w:val="22"/>
          <w:highlight w:val="none"/>
        </w:rPr>
      </w:pPr>
      <w:r>
        <w:rPr>
          <w:rFonts w:hint="eastAsia" w:ascii="宋体" w:hAnsi="宋体" w:cs="宋体"/>
          <w:b/>
          <w:bCs/>
          <w:sz w:val="24"/>
          <w:szCs w:val="22"/>
          <w:highlight w:val="none"/>
        </w:rPr>
        <w:t>1.开标大会第一阶段中，采购人或采购代理机构首先依法对各投标人的资格进行审查，审查各投标人的资格是否满足招标文件的要求。</w:t>
      </w:r>
      <w:r>
        <w:rPr>
          <w:rFonts w:hint="eastAsia" w:ascii="宋体" w:hAnsi="宋体" w:cs="宋体"/>
          <w:sz w:val="24"/>
          <w:szCs w:val="22"/>
          <w:highlight w:val="none"/>
        </w:rPr>
        <w:t>采购人或采购代理机构对投标人所提交的资格证明材料仅负审核的责任。如发现投标人所提交的资格证明材料不合法或与事实不符，采购人可取消其中标资格并追究投标人的法律责任。</w:t>
      </w:r>
    </w:p>
    <w:p w14:paraId="6F5F4B48">
      <w:pPr>
        <w:adjustRightInd w:val="0"/>
        <w:snapToGrid w:val="0"/>
        <w:spacing w:line="436" w:lineRule="exact"/>
        <w:ind w:firstLine="482" w:firstLineChars="200"/>
        <w:rPr>
          <w:rFonts w:hint="eastAsia" w:ascii="宋体" w:hAnsi="宋体" w:cs="宋体"/>
          <w:b/>
          <w:bCs/>
          <w:sz w:val="24"/>
          <w:szCs w:val="22"/>
          <w:highlight w:val="none"/>
        </w:rPr>
      </w:pPr>
      <w:r>
        <w:rPr>
          <w:rFonts w:hint="eastAsia" w:ascii="宋体" w:hAnsi="宋体" w:cs="宋体"/>
          <w:b/>
          <w:bCs/>
          <w:sz w:val="24"/>
          <w:szCs w:val="22"/>
          <w:highlight w:val="none"/>
        </w:rPr>
        <w:t>2.投标人提交的资格证明材料无法证明其符合招标文件规定的“投标人资格要求”的，采购人或采购代理机构将对其作资格审查不通过处理（无效投标），并不再将其投标提交评标委员会进行后续评审。</w:t>
      </w:r>
    </w:p>
    <w:p w14:paraId="35D7FBA6">
      <w:pPr>
        <w:adjustRightInd w:val="0"/>
        <w:snapToGrid w:val="0"/>
        <w:spacing w:line="436" w:lineRule="exact"/>
        <w:ind w:firstLine="482" w:firstLineChars="200"/>
        <w:rPr>
          <w:rFonts w:hint="eastAsia" w:ascii="宋体" w:hAnsi="宋体" w:cs="宋体"/>
          <w:b/>
          <w:kern w:val="0"/>
          <w:sz w:val="24"/>
          <w:highlight w:val="none"/>
        </w:rPr>
      </w:pPr>
      <w:r>
        <w:rPr>
          <w:rFonts w:hint="eastAsia" w:ascii="宋体" w:hAnsi="宋体" w:cs="宋体"/>
          <w:b/>
          <w:bCs/>
          <w:sz w:val="24"/>
          <w:szCs w:val="22"/>
          <w:highlight w:val="none"/>
        </w:rPr>
        <w:t>3.单位负责人为同一人或者存在直接控股、管理关系的不同投标人参加同一合同项下的政府采购活动的，相关投标人均作资格无效处理。</w:t>
      </w:r>
    </w:p>
    <w:p w14:paraId="39DDD7C3">
      <w:pPr>
        <w:adjustRightInd w:val="0"/>
        <w:snapToGrid w:val="0"/>
        <w:spacing w:line="436" w:lineRule="exact"/>
        <w:jc w:val="center"/>
        <w:outlineLvl w:val="1"/>
        <w:rPr>
          <w:rFonts w:hint="eastAsia" w:ascii="宋体" w:hAnsi="宋体" w:cs="宋体"/>
          <w:b/>
          <w:sz w:val="32"/>
          <w:highlight w:val="none"/>
        </w:rPr>
      </w:pPr>
      <w:bookmarkStart w:id="50" w:name="_Hlt75236101"/>
      <w:bookmarkEnd w:id="50"/>
      <w:bookmarkStart w:id="51" w:name="_Toc29851"/>
      <w:bookmarkStart w:id="52" w:name="_Toc233618977"/>
      <w:bookmarkStart w:id="53" w:name="_Toc91899902"/>
      <w:bookmarkStart w:id="54" w:name="_Toc522530046"/>
      <w:r>
        <w:rPr>
          <w:rFonts w:hint="eastAsia" w:ascii="宋体" w:hAnsi="宋体" w:cs="宋体"/>
          <w:b/>
          <w:sz w:val="32"/>
          <w:highlight w:val="none"/>
        </w:rPr>
        <w:t>六、评 标</w:t>
      </w:r>
      <w:bookmarkEnd w:id="51"/>
      <w:bookmarkEnd w:id="52"/>
      <w:bookmarkEnd w:id="53"/>
      <w:bookmarkEnd w:id="54"/>
    </w:p>
    <w:p w14:paraId="0EAB201F">
      <w:pPr>
        <w:pStyle w:val="45"/>
        <w:adjustRightInd w:val="0"/>
        <w:snapToGrid w:val="0"/>
        <w:spacing w:line="436" w:lineRule="exact"/>
        <w:rPr>
          <w:rFonts w:hint="eastAsia" w:hAnsi="宋体" w:cs="宋体"/>
          <w:b/>
          <w:sz w:val="24"/>
          <w:highlight w:val="none"/>
        </w:rPr>
      </w:pPr>
      <w:bookmarkStart w:id="55" w:name="_Toc91899903"/>
      <w:r>
        <w:rPr>
          <w:rFonts w:hint="eastAsia" w:hAnsi="宋体" w:cs="宋体"/>
          <w:b/>
          <w:sz w:val="24"/>
          <w:highlight w:val="none"/>
        </w:rPr>
        <w:t>（一）评标组织</w:t>
      </w:r>
    </w:p>
    <w:p w14:paraId="55FBF54A">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本项目评标委员会由5人(含)以上单数的人员组成，负责对投标文件进行审查、质询、评审和比较等。评标委员会由采购咨询专家和招标人代表组成，其中采购咨询专家人数不少于成员总数的三分之二。</w:t>
      </w:r>
      <w:r>
        <w:rPr>
          <w:rFonts w:hint="eastAsia" w:ascii="宋体" w:hAnsi="宋体" w:cs="宋体"/>
          <w:kern w:val="0"/>
          <w:sz w:val="24"/>
          <w:highlight w:val="none"/>
        </w:rPr>
        <w:t>评标委员会成员名单在评审结果（采购结果）公告前保密。</w:t>
      </w:r>
    </w:p>
    <w:p w14:paraId="3DFE0248">
      <w:pPr>
        <w:adjustRightInd w:val="0"/>
        <w:snapToGrid w:val="0"/>
        <w:spacing w:line="436" w:lineRule="exact"/>
        <w:rPr>
          <w:rFonts w:hint="eastAsia" w:ascii="宋体" w:hAnsi="宋体" w:cs="宋体"/>
          <w:b/>
          <w:sz w:val="24"/>
          <w:highlight w:val="none"/>
        </w:rPr>
      </w:pPr>
      <w:r>
        <w:rPr>
          <w:rFonts w:hint="eastAsia" w:ascii="宋体" w:hAnsi="宋体" w:cs="宋体"/>
          <w:b/>
          <w:sz w:val="24"/>
          <w:highlight w:val="none"/>
        </w:rPr>
        <w:t>（二）评标原则</w:t>
      </w:r>
    </w:p>
    <w:p w14:paraId="54AA5B4C">
      <w:pPr>
        <w:pStyle w:val="45"/>
        <w:adjustRightInd w:val="0"/>
        <w:snapToGrid w:val="0"/>
        <w:spacing w:line="436" w:lineRule="exact"/>
        <w:ind w:firstLine="480" w:firstLineChars="200"/>
        <w:rPr>
          <w:rFonts w:hint="eastAsia" w:hAnsi="宋体" w:cs="宋体"/>
          <w:sz w:val="24"/>
          <w:highlight w:val="none"/>
        </w:rPr>
      </w:pPr>
      <w:r>
        <w:rPr>
          <w:rFonts w:hint="eastAsia" w:hAnsi="宋体" w:cs="宋体"/>
          <w:sz w:val="24"/>
          <w:highlight w:val="none"/>
        </w:rPr>
        <w:t>1.竞争优选；</w:t>
      </w:r>
    </w:p>
    <w:p w14:paraId="267D55F7">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2.公平、公正、科学合理</w:t>
      </w:r>
      <w:r>
        <w:rPr>
          <w:rFonts w:hint="eastAsia" w:ascii="宋体" w:hAnsi="宋体" w:cs="宋体"/>
          <w:sz w:val="24"/>
          <w:szCs w:val="22"/>
          <w:highlight w:val="none"/>
          <w:lang w:val="zh-CN"/>
        </w:rPr>
        <w:t>；</w:t>
      </w:r>
    </w:p>
    <w:p w14:paraId="3157B907">
      <w:pPr>
        <w:adjustRightInd w:val="0"/>
        <w:snapToGrid w:val="0"/>
        <w:spacing w:line="436" w:lineRule="exact"/>
        <w:ind w:firstLine="480" w:firstLineChars="200"/>
        <w:rPr>
          <w:rFonts w:hint="eastAsia" w:ascii="宋体" w:hAnsi="宋体" w:cs="宋体"/>
          <w:sz w:val="24"/>
          <w:szCs w:val="22"/>
          <w:highlight w:val="none"/>
          <w:lang w:val="zh-CN"/>
        </w:rPr>
      </w:pPr>
      <w:r>
        <w:rPr>
          <w:rFonts w:hint="eastAsia" w:ascii="宋体" w:hAnsi="宋体" w:cs="宋体"/>
          <w:sz w:val="24"/>
          <w:szCs w:val="22"/>
          <w:highlight w:val="none"/>
          <w:lang w:val="zh-CN"/>
        </w:rPr>
        <w:t>3</w:t>
      </w:r>
      <w:r>
        <w:rPr>
          <w:rFonts w:hint="eastAsia" w:ascii="宋体" w:hAnsi="宋体" w:cs="宋体"/>
          <w:sz w:val="24"/>
          <w:szCs w:val="22"/>
          <w:highlight w:val="none"/>
        </w:rPr>
        <w:t>.价格合理，方案、产品先进可行；</w:t>
      </w:r>
    </w:p>
    <w:p w14:paraId="0D620249">
      <w:pPr>
        <w:adjustRightInd w:val="0"/>
        <w:snapToGrid w:val="0"/>
        <w:spacing w:line="436" w:lineRule="exact"/>
        <w:ind w:firstLine="480" w:firstLineChars="200"/>
        <w:rPr>
          <w:rFonts w:hint="eastAsia" w:ascii="宋体" w:hAnsi="宋体" w:cs="宋体"/>
          <w:sz w:val="24"/>
          <w:szCs w:val="22"/>
          <w:highlight w:val="none"/>
          <w:lang w:val="zh-CN"/>
        </w:rPr>
      </w:pPr>
      <w:r>
        <w:rPr>
          <w:rFonts w:hint="eastAsia" w:ascii="宋体" w:hAnsi="宋体" w:cs="宋体"/>
          <w:sz w:val="24"/>
          <w:szCs w:val="22"/>
          <w:highlight w:val="none"/>
          <w:lang w:val="zh-CN"/>
        </w:rPr>
        <w:t>4</w:t>
      </w:r>
      <w:r>
        <w:rPr>
          <w:rFonts w:hint="eastAsia" w:ascii="宋体" w:hAnsi="宋体" w:cs="宋体"/>
          <w:sz w:val="24"/>
          <w:szCs w:val="22"/>
          <w:highlight w:val="none"/>
        </w:rPr>
        <w:t>.</w:t>
      </w:r>
      <w:r>
        <w:rPr>
          <w:rFonts w:hint="eastAsia" w:ascii="宋体" w:hAnsi="宋体" w:cs="宋体"/>
          <w:sz w:val="24"/>
          <w:szCs w:val="22"/>
          <w:highlight w:val="none"/>
          <w:lang w:val="zh-CN"/>
        </w:rPr>
        <w:t>反对不正当竞争。</w:t>
      </w:r>
    </w:p>
    <w:p w14:paraId="03FE5B9A">
      <w:pPr>
        <w:adjustRightInd w:val="0"/>
        <w:snapToGrid w:val="0"/>
        <w:spacing w:line="436" w:lineRule="exact"/>
        <w:rPr>
          <w:rFonts w:hint="eastAsia" w:ascii="宋体" w:hAnsi="宋体" w:cs="宋体"/>
          <w:b/>
          <w:sz w:val="24"/>
          <w:highlight w:val="none"/>
        </w:rPr>
      </w:pPr>
      <w:r>
        <w:rPr>
          <w:rFonts w:hint="eastAsia" w:ascii="宋体" w:hAnsi="宋体" w:cs="宋体"/>
          <w:b/>
          <w:sz w:val="24"/>
          <w:highlight w:val="none"/>
        </w:rPr>
        <w:t>（三）评标纪律</w:t>
      </w:r>
    </w:p>
    <w:p w14:paraId="500CD572">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评标委员会成员要严格遵守评标纪律、保密、回避等相关规定，依法独立履行评标职责，客观、公正、审慎参与评标工作；</w:t>
      </w:r>
    </w:p>
    <w:p w14:paraId="17656097">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1.严格遵守评标时间，因突发情况确实不能按时参加评标的，应事先告知招标组织机构；</w:t>
      </w:r>
    </w:p>
    <w:p w14:paraId="27374318">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2.服从招标组织机构的现场管理，主动出示身份证明，进入评标区域后应主动寄存移动通讯工具，按要求佩戴工作牌；</w:t>
      </w:r>
    </w:p>
    <w:p w14:paraId="0E15B914">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3.与投标人或评标委员会其他成员存在利害关系的，要主动回避，自觉签订《政府采购评审人员廉洁自律承诺书》；</w:t>
      </w:r>
    </w:p>
    <w:p w14:paraId="7269E112">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4.保持评标现场安静，不在评标现场随意走动，因发生不可预见情况确需与外界联系或暂时离开评标现场的，应向现场监督员说明情况，征得同意后在监控区域内进行相关活动，并应接受相关工作人员的监督；</w:t>
      </w:r>
    </w:p>
    <w:p w14:paraId="62EC6134">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5.自觉遵守职业道德，尊重招标人代表和投标人代表，配合招标组织机构回答投标人代表提出的有关异议；</w:t>
      </w:r>
    </w:p>
    <w:p w14:paraId="2159F6DD">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6.不得将评标过程、结果和投标人的商业秘密透露给任何单位和个人。未公告评标结果前不准泄露评标结果，不准将评标资料带出会场；</w:t>
      </w:r>
    </w:p>
    <w:p w14:paraId="13603023">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7.评标过程中，涉及到相关法律法规不清楚之处的，由招标人监管部门或请示权威部门作出法定解释，涉及到招标文件的由编制招标文件的机构和部门负责解释。</w:t>
      </w:r>
    </w:p>
    <w:p w14:paraId="6C237CDD">
      <w:pPr>
        <w:adjustRightInd w:val="0"/>
        <w:snapToGrid w:val="0"/>
        <w:spacing w:line="436" w:lineRule="exact"/>
        <w:ind w:firstLine="480" w:firstLineChars="200"/>
        <w:rPr>
          <w:rFonts w:hint="eastAsia" w:ascii="宋体" w:hAnsi="宋体" w:cs="宋体"/>
          <w:sz w:val="24"/>
          <w:highlight w:val="none"/>
          <w:lang w:val="zh-CN"/>
        </w:rPr>
      </w:pPr>
      <w:r>
        <w:rPr>
          <w:rFonts w:hint="eastAsia" w:ascii="宋体" w:hAnsi="宋体" w:cs="宋体"/>
          <w:sz w:val="24"/>
          <w:highlight w:val="none"/>
        </w:rPr>
        <w:t>8.如实行暗标评审的，其投标文件和产品样品的评审编号和编号保管，由监督人员负责；在评标委员评分完成后，再将投标人的投标文件和提供的产品样品编号交评委。</w:t>
      </w:r>
    </w:p>
    <w:p w14:paraId="287A156F">
      <w:pPr>
        <w:adjustRightInd w:val="0"/>
        <w:snapToGrid w:val="0"/>
        <w:spacing w:line="436" w:lineRule="exact"/>
        <w:rPr>
          <w:rFonts w:hint="eastAsia" w:ascii="宋体" w:hAnsi="宋体" w:cs="宋体"/>
          <w:b/>
          <w:sz w:val="24"/>
          <w:highlight w:val="none"/>
        </w:rPr>
      </w:pPr>
      <w:r>
        <w:rPr>
          <w:rFonts w:hint="eastAsia" w:ascii="宋体" w:hAnsi="宋体" w:cs="宋体"/>
          <w:b/>
          <w:sz w:val="24"/>
          <w:highlight w:val="none"/>
        </w:rPr>
        <w:t>（四） 评标程序</w:t>
      </w:r>
    </w:p>
    <w:p w14:paraId="6E951392">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1.在评标专家中推选评标委员会组长，优先推选资深专家为组长；</w:t>
      </w:r>
    </w:p>
    <w:p w14:paraId="681CB67B">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2.评标委员会组长召集成员认真阅读招标文件以及相关补充、质疑、答复文件、项目书面说明等材料，熟悉招标项目的基本概况、质量要求、数量、主要技术标准或服务需求，合同主要条款，投标文件无效情形，评标方法、评标依据、评标标准等；</w:t>
      </w:r>
    </w:p>
    <w:p w14:paraId="309182FF">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b/>
          <w:sz w:val="24"/>
          <w:highlight w:val="none"/>
          <w:u w:val="single"/>
        </w:rPr>
        <w:t>资格审查</w:t>
      </w:r>
      <w:r>
        <w:rPr>
          <w:rFonts w:hint="eastAsia" w:ascii="宋体" w:hAnsi="宋体" w:cs="宋体"/>
          <w:sz w:val="24"/>
          <w:highlight w:val="none"/>
        </w:rPr>
        <w:t>，经其书面授权的招标人代表或经其书面授权的招标代理机构代表采购代理机构按照招标文件要求对投标人逐一进行资格审查；</w:t>
      </w:r>
    </w:p>
    <w:p w14:paraId="595B4335">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4.</w:t>
      </w:r>
      <w:r>
        <w:rPr>
          <w:rFonts w:hint="eastAsia" w:ascii="宋体" w:hAnsi="宋体" w:cs="宋体"/>
          <w:b/>
          <w:sz w:val="24"/>
          <w:highlight w:val="none"/>
          <w:u w:val="single"/>
        </w:rPr>
        <w:t>商务技术文件的符合性审查</w:t>
      </w:r>
      <w:r>
        <w:rPr>
          <w:rFonts w:hint="eastAsia" w:ascii="宋体" w:hAnsi="宋体" w:cs="宋体"/>
          <w:sz w:val="24"/>
          <w:highlight w:val="none"/>
        </w:rPr>
        <w:t>，评标人员对通过资格审查的各投标文件商务、技术部分的有效性、完整性和响应程度等进行审查，确定是否对招标文件作出实质性响应；</w:t>
      </w:r>
    </w:p>
    <w:p w14:paraId="1D2E288A">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5.</w:t>
      </w:r>
      <w:r>
        <w:rPr>
          <w:rFonts w:hint="eastAsia" w:ascii="宋体" w:hAnsi="宋体" w:cs="宋体"/>
          <w:b/>
          <w:sz w:val="24"/>
          <w:highlight w:val="none"/>
          <w:u w:val="single"/>
        </w:rPr>
        <w:t>商务技术评分</w:t>
      </w:r>
      <w:r>
        <w:rPr>
          <w:rFonts w:hint="eastAsia" w:ascii="宋体" w:hAnsi="宋体" w:cs="宋体"/>
          <w:sz w:val="24"/>
          <w:highlight w:val="none"/>
        </w:rPr>
        <w:t>，评标人员按招标文件规定的评标方法和评标标准，依法独立对投标文件商务、技术部分进行评估、比较，并给予评价或打分，不受任何单位和个人的干预；</w:t>
      </w:r>
    </w:p>
    <w:p w14:paraId="0ED5F946">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6.评标人员对各投标文件非实质性内容有疑议或异议，或者审查发现明显的文字或计算错误等，及时向评标委员会组长提出。经评标委员会商议认为需要投标人作出必要澄清或说明的，应通知该投标人代表以书面</w:t>
      </w:r>
      <w:r>
        <w:rPr>
          <w:rFonts w:hint="eastAsia" w:ascii="宋体" w:hAnsi="宋体" w:cs="宋体"/>
          <w:kern w:val="0"/>
          <w:sz w:val="24"/>
          <w:highlight w:val="none"/>
        </w:rPr>
        <w:t>（或通过“政府采购云平台”在线答复）</w:t>
      </w:r>
      <w:r>
        <w:rPr>
          <w:rFonts w:hint="eastAsia" w:ascii="宋体" w:hAnsi="宋体" w:cs="宋体"/>
          <w:sz w:val="24"/>
          <w:highlight w:val="none"/>
        </w:rPr>
        <w:t>形式作出澄清或说明，</w:t>
      </w:r>
      <w:r>
        <w:rPr>
          <w:rFonts w:hint="eastAsia" w:ascii="宋体" w:hAnsi="宋体" w:cs="宋体"/>
          <w:kern w:val="0"/>
          <w:sz w:val="24"/>
          <w:highlight w:val="none"/>
        </w:rPr>
        <w:t>投标人的澄清、说明或者补正不得超出投标文件的范围或者改变投标文件的实质性内容</w:t>
      </w:r>
      <w:r>
        <w:rPr>
          <w:rFonts w:hint="eastAsia" w:ascii="宋体" w:hAnsi="宋体" w:cs="宋体"/>
          <w:sz w:val="24"/>
          <w:highlight w:val="none"/>
        </w:rPr>
        <w:t>；</w:t>
      </w:r>
    </w:p>
    <w:p w14:paraId="41C89C51">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7.评标人员对商务、技术部分评审结果进行确认，采购代理工作人员如发现分项评分超出评分标准范围、客观评分不一致以及存在评分畸高、畸低情形的，应由相关人员当场改正或作出说明；拒不改正又不作说明的，由采购代理工作人员如实记载后存入项目档案资料；</w:t>
      </w:r>
    </w:p>
    <w:p w14:paraId="48219782">
      <w:pPr>
        <w:pStyle w:val="311"/>
        <w:adjustRightInd w:val="0"/>
        <w:snapToGrid w:val="0"/>
        <w:spacing w:before="0" w:line="436" w:lineRule="exact"/>
        <w:ind w:firstLine="482"/>
        <w:rPr>
          <w:color w:val="auto"/>
          <w:highlight w:val="none"/>
        </w:rPr>
      </w:pPr>
      <w:r>
        <w:rPr>
          <w:rFonts w:hint="eastAsia" w:ascii="宋体" w:hAnsi="宋体" w:cs="宋体"/>
          <w:b/>
          <w:color w:val="auto"/>
          <w:highlight w:val="none"/>
        </w:rPr>
        <w:t>▲8.特别提示：评标中，经评审后，投标人商务技术平均分未达到商务技术分总值60% 的，视为不满足招标文件技术要求，该文件视同未实质性响应，作为无效标处理。</w:t>
      </w:r>
    </w:p>
    <w:p w14:paraId="4BBE2606">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9.</w:t>
      </w:r>
      <w:r>
        <w:rPr>
          <w:rFonts w:hint="eastAsia" w:ascii="宋体" w:hAnsi="宋体" w:cs="宋体"/>
          <w:b/>
          <w:sz w:val="24"/>
          <w:highlight w:val="none"/>
          <w:u w:val="single"/>
        </w:rPr>
        <w:t>报价文件的符合性审查</w:t>
      </w:r>
      <w:r>
        <w:rPr>
          <w:rFonts w:hint="eastAsia" w:ascii="宋体" w:hAnsi="宋体" w:cs="宋体"/>
          <w:sz w:val="24"/>
          <w:highlight w:val="none"/>
        </w:rPr>
        <w:t>，对开启的投标文件报价部分的进行有效性、完整性和响应程度等进行审查，确定是否对招标文件作出实质性响应；</w:t>
      </w:r>
    </w:p>
    <w:p w14:paraId="58C59F2D">
      <w:pPr>
        <w:adjustRightInd w:val="0"/>
        <w:snapToGrid w:val="0"/>
        <w:spacing w:line="436" w:lineRule="exact"/>
        <w:rPr>
          <w:rFonts w:hint="eastAsia" w:ascii="宋体" w:hAnsi="宋体" w:cs="宋体"/>
          <w:b/>
          <w:sz w:val="24"/>
          <w:highlight w:val="none"/>
          <w:lang w:val="zh-CN"/>
        </w:rPr>
      </w:pPr>
      <w:r>
        <w:rPr>
          <w:rFonts w:hint="eastAsia" w:ascii="宋体" w:hAnsi="宋体" w:cs="宋体"/>
          <w:b/>
          <w:sz w:val="24"/>
          <w:highlight w:val="none"/>
        </w:rPr>
        <w:t>（五）</w:t>
      </w:r>
      <w:r>
        <w:rPr>
          <w:rFonts w:hint="eastAsia" w:ascii="宋体" w:hAnsi="宋体" w:cs="宋体"/>
          <w:b/>
          <w:sz w:val="24"/>
          <w:highlight w:val="none"/>
          <w:lang w:val="zh-CN"/>
        </w:rPr>
        <w:t>投标文件的鉴定</w:t>
      </w:r>
    </w:p>
    <w:p w14:paraId="307869E0">
      <w:pPr>
        <w:adjustRightInd w:val="0"/>
        <w:snapToGrid w:val="0"/>
        <w:spacing w:line="436" w:lineRule="exact"/>
        <w:ind w:firstLine="480" w:firstLineChars="200"/>
        <w:rPr>
          <w:rFonts w:hint="eastAsia" w:ascii="宋体" w:hAnsi="宋体" w:cs="宋体"/>
          <w:sz w:val="24"/>
          <w:highlight w:val="none"/>
          <w:lang w:val="zh-CN"/>
        </w:rPr>
      </w:pPr>
      <w:r>
        <w:rPr>
          <w:rFonts w:hint="eastAsia" w:ascii="宋体" w:hAnsi="宋体" w:cs="宋体"/>
          <w:sz w:val="24"/>
          <w:highlight w:val="none"/>
        </w:rPr>
        <w:t>1.</w:t>
      </w:r>
      <w:r>
        <w:rPr>
          <w:rFonts w:hint="eastAsia" w:ascii="宋体" w:hAnsi="宋体" w:cs="宋体"/>
          <w:sz w:val="24"/>
          <w:highlight w:val="none"/>
          <w:lang w:val="zh-CN"/>
        </w:rPr>
        <w:t>评标委员会将审查每份投标文件是否实质上响应了招标文件的要求。重大偏离和保留、细微偏离由评标委员会鉴定。如发现投标文件与招标文件要求有重大偏离和保留，其投标文件将被作无效标处理。投标人不得通过修正或撤消不符合招标文件要求的重大偏离和保留从而使其投标文件实质性响应招标文件要求。但允许投标文件在实质性满足招标文件要求的前提下出现的细微偏差，在详细评审时可按评标办法对细微偏差做出不利于该投标人的评审。</w:t>
      </w:r>
    </w:p>
    <w:p w14:paraId="168278C4">
      <w:pPr>
        <w:pStyle w:val="45"/>
        <w:adjustRightInd w:val="0"/>
        <w:snapToGrid w:val="0"/>
        <w:spacing w:line="436" w:lineRule="exact"/>
        <w:ind w:firstLine="482" w:firstLineChars="200"/>
        <w:jc w:val="left"/>
        <w:rPr>
          <w:rFonts w:hint="eastAsia" w:hAnsi="宋体" w:cs="宋体"/>
          <w:sz w:val="24"/>
          <w:highlight w:val="none"/>
        </w:rPr>
      </w:pPr>
      <w:r>
        <w:rPr>
          <w:rFonts w:hint="eastAsia" w:hAnsi="宋体" w:cs="宋体"/>
          <w:b/>
          <w:sz w:val="24"/>
          <w:highlight w:val="none"/>
        </w:rPr>
        <w:t>2.无效标情形</w:t>
      </w:r>
    </w:p>
    <w:p w14:paraId="265FA822">
      <w:pPr>
        <w:adjustRightInd w:val="0"/>
        <w:snapToGrid w:val="0"/>
        <w:spacing w:line="436" w:lineRule="exact"/>
        <w:ind w:firstLine="482" w:firstLineChars="200"/>
        <w:rPr>
          <w:rFonts w:hint="eastAsia" w:ascii="宋体" w:hAnsi="宋体" w:cs="宋体"/>
          <w:b/>
          <w:bCs/>
          <w:sz w:val="24"/>
          <w:highlight w:val="none"/>
          <w:lang w:val="zh-CN"/>
        </w:rPr>
      </w:pPr>
      <w:bookmarkStart w:id="56" w:name="_Hlk33211013"/>
      <w:r>
        <w:rPr>
          <w:rFonts w:hint="eastAsia" w:ascii="宋体" w:hAnsi="宋体" w:cs="宋体"/>
          <w:b/>
          <w:bCs/>
          <w:sz w:val="24"/>
          <w:highlight w:val="none"/>
          <w:lang w:val="zh-CN"/>
        </w:rPr>
        <w:t>（</w:t>
      </w:r>
      <w:r>
        <w:rPr>
          <w:rFonts w:hint="eastAsia" w:ascii="宋体" w:hAnsi="宋体" w:cs="宋体"/>
          <w:b/>
          <w:bCs/>
          <w:sz w:val="24"/>
          <w:highlight w:val="none"/>
        </w:rPr>
        <w:t>一</w:t>
      </w:r>
      <w:r>
        <w:rPr>
          <w:rFonts w:hint="eastAsia" w:ascii="宋体" w:hAnsi="宋体" w:cs="宋体"/>
          <w:b/>
          <w:bCs/>
          <w:sz w:val="24"/>
          <w:highlight w:val="none"/>
          <w:lang w:val="zh-CN"/>
        </w:rPr>
        <w:t>）资格审查文件符合性审查中，存在下列情形之一的，经评标委员会按少数服从多数原则认定后作无效标处理：</w:t>
      </w:r>
    </w:p>
    <w:p w14:paraId="3EC1EB48">
      <w:pPr>
        <w:adjustRightInd w:val="0"/>
        <w:snapToGrid w:val="0"/>
        <w:spacing w:line="400"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（1）资格文件未按招标文件要求盖章、签署（仅限需由法定代表人或其授权代表签字的材料未由法定代表人或其授权代表签字或盖章的）的；</w:t>
      </w:r>
    </w:p>
    <w:p w14:paraId="306BF536">
      <w:pPr>
        <w:adjustRightInd w:val="0"/>
        <w:snapToGrid w:val="0"/>
        <w:spacing w:line="400"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（2）资格审查资料不符合招标文件要求；</w:t>
      </w:r>
    </w:p>
    <w:p w14:paraId="38AADA1B">
      <w:pPr>
        <w:adjustRightInd w:val="0"/>
        <w:snapToGrid w:val="0"/>
        <w:spacing w:line="400"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（3）《资格文件》中出现本项目投标报价的；</w:t>
      </w:r>
    </w:p>
    <w:p w14:paraId="0D7E0E36">
      <w:pPr>
        <w:adjustRightInd w:val="0"/>
        <w:snapToGrid w:val="0"/>
        <w:spacing w:line="400"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（4）被有关行政监管部门通报限制投标且在限制期内的；</w:t>
      </w:r>
    </w:p>
    <w:p w14:paraId="37F3DD46">
      <w:pPr>
        <w:adjustRightInd w:val="0"/>
        <w:snapToGrid w:val="0"/>
        <w:spacing w:line="400"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（5）不同供应商的电子投标（响应）文件上传计算机的网卡MAC地址或硬盘序列号等硬件信息相同的；</w:t>
      </w:r>
    </w:p>
    <w:p w14:paraId="217C8DFD">
      <w:pPr>
        <w:adjustRightInd w:val="0"/>
        <w:snapToGrid w:val="0"/>
        <w:spacing w:line="400"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（6）上传的电子投标（响应）文件若出现使用本项目其他投标（响应）供应商的数字证书加密的，或者加盖本项目其他投标（响应）供应商的电子印章的；</w:t>
      </w:r>
    </w:p>
    <w:p w14:paraId="425FE84B">
      <w:pPr>
        <w:adjustRightInd w:val="0"/>
        <w:snapToGrid w:val="0"/>
        <w:spacing w:line="400"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（7）不同供应商的投标（响应）文件的内容存在三处（含）以上错误一致的；</w:t>
      </w:r>
    </w:p>
    <w:p w14:paraId="745F66BA">
      <w:pPr>
        <w:adjustRightInd w:val="0"/>
        <w:snapToGrid w:val="0"/>
        <w:spacing w:line="400"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（8）不同供应商联系人为同一人或不同联系人的联系电话一致的；</w:t>
      </w:r>
    </w:p>
    <w:p w14:paraId="0AF4D37A">
      <w:pPr>
        <w:adjustRightInd w:val="0"/>
        <w:snapToGrid w:val="0"/>
        <w:spacing w:line="436" w:lineRule="exact"/>
        <w:ind w:firstLine="480" w:firstLineChars="200"/>
        <w:rPr>
          <w:rFonts w:hint="eastAsia" w:ascii="宋体" w:hAnsi="宋体" w:cs="宋体"/>
          <w:b/>
          <w:bCs/>
          <w:sz w:val="24"/>
          <w:highlight w:val="none"/>
          <w:lang w:val="zh-CN"/>
        </w:rPr>
      </w:pPr>
      <w:r>
        <w:rPr>
          <w:rFonts w:hint="eastAsia" w:ascii="宋体" w:hAnsi="宋体" w:cs="宋体"/>
          <w:sz w:val="24"/>
          <w:szCs w:val="22"/>
          <w:highlight w:val="none"/>
        </w:rPr>
        <w:t>（9）违反国家或政府部门相关法律、法规、文件规定的。</w:t>
      </w:r>
    </w:p>
    <w:p w14:paraId="6D61A3FE">
      <w:pPr>
        <w:adjustRightInd w:val="0"/>
        <w:snapToGrid w:val="0"/>
        <w:spacing w:line="436" w:lineRule="exact"/>
        <w:ind w:firstLine="482" w:firstLineChars="200"/>
        <w:rPr>
          <w:rFonts w:hint="eastAsia" w:ascii="宋体" w:hAnsi="宋体" w:cs="宋体"/>
          <w:b/>
          <w:bCs/>
          <w:sz w:val="24"/>
          <w:highlight w:val="none"/>
          <w:lang w:val="zh-CN"/>
        </w:rPr>
      </w:pPr>
      <w:r>
        <w:rPr>
          <w:rFonts w:hint="eastAsia" w:ascii="宋体" w:hAnsi="宋体" w:cs="宋体"/>
          <w:b/>
          <w:bCs/>
          <w:sz w:val="24"/>
          <w:highlight w:val="none"/>
          <w:lang w:val="zh-CN"/>
        </w:rPr>
        <w:t>（</w:t>
      </w:r>
      <w:r>
        <w:rPr>
          <w:rFonts w:hint="eastAsia" w:ascii="宋体" w:hAnsi="宋体" w:cs="宋体"/>
          <w:b/>
          <w:bCs/>
          <w:sz w:val="24"/>
          <w:highlight w:val="none"/>
        </w:rPr>
        <w:t>二</w:t>
      </w:r>
      <w:r>
        <w:rPr>
          <w:rFonts w:hint="eastAsia" w:ascii="宋体" w:hAnsi="宋体" w:cs="宋体"/>
          <w:b/>
          <w:bCs/>
          <w:sz w:val="24"/>
          <w:highlight w:val="none"/>
          <w:lang w:val="zh-CN"/>
        </w:rPr>
        <w:t>）商务、技术文件符合性审查中，存在下列情形之一的，经评标委员会按少数服从多数原则认定后作无效标处理：</w:t>
      </w:r>
    </w:p>
    <w:p w14:paraId="55DD3BB6">
      <w:pPr>
        <w:adjustRightInd w:val="0"/>
        <w:snapToGrid w:val="0"/>
        <w:spacing w:line="436" w:lineRule="exact"/>
        <w:ind w:firstLine="480" w:firstLineChars="200"/>
        <w:rPr>
          <w:rFonts w:hint="eastAsia" w:ascii="宋体" w:hAnsi="宋体" w:cs="宋体"/>
          <w:sz w:val="24"/>
          <w:highlight w:val="none"/>
          <w:lang w:val="zh-CN"/>
        </w:rPr>
      </w:pPr>
      <w:bookmarkStart w:id="57" w:name="_Toc33194396"/>
      <w:r>
        <w:rPr>
          <w:rFonts w:hint="eastAsia" w:ascii="宋体" w:hAnsi="宋体" w:cs="宋体"/>
          <w:sz w:val="24"/>
          <w:highlight w:val="none"/>
          <w:lang w:val="zh-CN"/>
        </w:rPr>
        <w:t>（1）投标文件未有效授权，法定代表人授权委托书等填写不完整或有涂改的；</w:t>
      </w:r>
      <w:bookmarkEnd w:id="57"/>
    </w:p>
    <w:p w14:paraId="23489973">
      <w:pPr>
        <w:adjustRightInd w:val="0"/>
        <w:snapToGrid w:val="0"/>
        <w:spacing w:line="436" w:lineRule="exact"/>
        <w:ind w:firstLine="480" w:firstLineChars="200"/>
        <w:rPr>
          <w:rFonts w:hint="eastAsia" w:ascii="宋体" w:hAnsi="宋体" w:cs="宋体"/>
          <w:sz w:val="24"/>
          <w:highlight w:val="none"/>
          <w:lang w:val="zh-CN"/>
        </w:rPr>
      </w:pPr>
      <w:r>
        <w:rPr>
          <w:rFonts w:hint="eastAsia" w:ascii="宋体" w:hAnsi="宋体" w:cs="宋体"/>
          <w:sz w:val="24"/>
          <w:highlight w:val="none"/>
          <w:lang w:val="zh-CN"/>
        </w:rPr>
        <w:t>（2）投标文件没有对本招标文件作出实质性响应的，或不满足（不响应）本招标文件中标注“▲”的实质性要求条款的，或存在招标文件中明确规定的其他无效标情形的；</w:t>
      </w:r>
    </w:p>
    <w:p w14:paraId="33338C92">
      <w:pPr>
        <w:adjustRightInd w:val="0"/>
        <w:snapToGrid w:val="0"/>
        <w:spacing w:line="436" w:lineRule="exact"/>
        <w:ind w:firstLine="480" w:firstLineChars="200"/>
        <w:rPr>
          <w:rFonts w:hint="eastAsia" w:ascii="宋体" w:hAnsi="宋体" w:cs="宋体"/>
          <w:sz w:val="24"/>
          <w:highlight w:val="none"/>
          <w:lang w:val="zh-CN"/>
        </w:rPr>
      </w:pPr>
      <w:r>
        <w:rPr>
          <w:rFonts w:hint="eastAsia" w:ascii="宋体" w:hAnsi="宋体" w:cs="宋体"/>
          <w:sz w:val="24"/>
          <w:highlight w:val="none"/>
          <w:lang w:val="zh-CN"/>
        </w:rPr>
        <w:t>（3）投标文件存在一个或一个以上备选（替代）投标方案的；</w:t>
      </w:r>
    </w:p>
    <w:p w14:paraId="5BA494EE">
      <w:pPr>
        <w:adjustRightInd w:val="0"/>
        <w:snapToGrid w:val="0"/>
        <w:spacing w:line="436" w:lineRule="exact"/>
        <w:ind w:firstLine="480" w:firstLineChars="200"/>
        <w:rPr>
          <w:rFonts w:hint="eastAsia" w:ascii="宋体" w:hAnsi="宋体" w:cs="宋体"/>
          <w:sz w:val="24"/>
          <w:highlight w:val="none"/>
          <w:lang w:val="zh-CN"/>
        </w:rPr>
      </w:pPr>
      <w:r>
        <w:rPr>
          <w:rFonts w:hint="eastAsia" w:ascii="宋体" w:hAnsi="宋体" w:cs="宋体"/>
          <w:sz w:val="24"/>
          <w:highlight w:val="none"/>
          <w:lang w:val="zh-CN"/>
        </w:rPr>
        <w:t>（4）仅提交“备份投标文件”的；</w:t>
      </w:r>
    </w:p>
    <w:p w14:paraId="53F24AC6">
      <w:pPr>
        <w:adjustRightInd w:val="0"/>
        <w:snapToGrid w:val="0"/>
        <w:spacing w:line="436" w:lineRule="exact"/>
        <w:ind w:firstLine="480" w:firstLineChars="200"/>
        <w:rPr>
          <w:rFonts w:hint="eastAsia" w:ascii="宋体" w:hAnsi="宋体" w:cs="宋体"/>
          <w:sz w:val="24"/>
          <w:highlight w:val="none"/>
          <w:lang w:val="zh-CN"/>
        </w:rPr>
      </w:pPr>
      <w:r>
        <w:rPr>
          <w:rFonts w:hint="eastAsia" w:ascii="宋体" w:hAnsi="宋体" w:cs="宋体"/>
          <w:sz w:val="24"/>
          <w:highlight w:val="none"/>
          <w:lang w:val="zh-CN"/>
        </w:rPr>
        <w:t>（5）文件组成内容不齐全，本招标文件规定必须提供而未提供的（属于资格审查范围的除外）；</w:t>
      </w:r>
    </w:p>
    <w:p w14:paraId="112B5F61">
      <w:pPr>
        <w:adjustRightInd w:val="0"/>
        <w:snapToGrid w:val="0"/>
        <w:spacing w:line="436" w:lineRule="exact"/>
        <w:ind w:firstLine="480" w:firstLineChars="200"/>
        <w:rPr>
          <w:rFonts w:hint="eastAsia" w:ascii="宋体" w:hAnsi="宋体" w:cs="宋体"/>
          <w:sz w:val="24"/>
          <w:highlight w:val="none"/>
          <w:lang w:val="zh-CN"/>
        </w:rPr>
      </w:pPr>
      <w:r>
        <w:rPr>
          <w:rFonts w:hint="eastAsia" w:ascii="宋体" w:hAnsi="宋体" w:cs="宋体"/>
          <w:sz w:val="24"/>
          <w:highlight w:val="none"/>
          <w:lang w:val="zh-CN"/>
        </w:rPr>
        <w:t>（6）投标文件标注的响应或偏离情况与事实不符，或提供了虚假材料的；</w:t>
      </w:r>
    </w:p>
    <w:p w14:paraId="47F6D0B9">
      <w:pPr>
        <w:adjustRightInd w:val="0"/>
        <w:snapToGrid w:val="0"/>
        <w:spacing w:line="436" w:lineRule="exact"/>
        <w:ind w:firstLine="480" w:firstLineChars="200"/>
        <w:rPr>
          <w:rFonts w:hint="eastAsia" w:ascii="宋体" w:hAnsi="宋体" w:cs="宋体"/>
          <w:sz w:val="24"/>
          <w:highlight w:val="none"/>
          <w:lang w:val="zh-CN"/>
        </w:rPr>
      </w:pPr>
      <w:r>
        <w:rPr>
          <w:rFonts w:hint="eastAsia" w:ascii="宋体" w:hAnsi="宋体" w:cs="宋体"/>
          <w:sz w:val="24"/>
          <w:highlight w:val="none"/>
          <w:lang w:val="zh-CN"/>
        </w:rPr>
        <w:t>（7）不响应或擅自改变本招标文件要求或投标文件有采购人不能接受的附加条件的；</w:t>
      </w:r>
    </w:p>
    <w:p w14:paraId="62B223CB">
      <w:pPr>
        <w:adjustRightInd w:val="0"/>
        <w:snapToGrid w:val="0"/>
        <w:spacing w:line="436" w:lineRule="exact"/>
        <w:ind w:firstLine="480" w:firstLineChars="200"/>
        <w:rPr>
          <w:rFonts w:hint="eastAsia" w:ascii="宋体" w:hAnsi="宋体" w:cs="宋体"/>
          <w:sz w:val="24"/>
          <w:highlight w:val="none"/>
          <w:lang w:val="zh-CN"/>
        </w:rPr>
      </w:pPr>
      <w:r>
        <w:rPr>
          <w:rFonts w:hint="eastAsia" w:ascii="宋体" w:hAnsi="宋体" w:cs="宋体"/>
          <w:sz w:val="24"/>
          <w:highlight w:val="none"/>
          <w:lang w:val="zh-CN"/>
        </w:rPr>
        <w:t>（8）参加同一合同项下政府采购活动的不同投标人之间存在利害关系并且存在影响政府采购公平竞争行为的；</w:t>
      </w:r>
    </w:p>
    <w:p w14:paraId="671413BC">
      <w:pPr>
        <w:adjustRightInd w:val="0"/>
        <w:snapToGrid w:val="0"/>
        <w:spacing w:line="436" w:lineRule="exact"/>
        <w:ind w:firstLine="480" w:firstLineChars="200"/>
        <w:rPr>
          <w:rFonts w:hint="eastAsia" w:ascii="宋体" w:hAnsi="宋体" w:cs="宋体"/>
          <w:sz w:val="24"/>
          <w:highlight w:val="none"/>
          <w:lang w:val="zh-CN"/>
        </w:rPr>
      </w:pPr>
      <w:bookmarkStart w:id="58" w:name="_Toc33194397"/>
      <w:r>
        <w:rPr>
          <w:rFonts w:hint="eastAsia" w:ascii="宋体" w:hAnsi="宋体" w:cs="宋体"/>
          <w:sz w:val="24"/>
          <w:highlight w:val="none"/>
          <w:lang w:val="zh-CN"/>
        </w:rPr>
        <w:t>（9）招标人拟采购的产品如属于品目清单范围内的强制采购品目的，投标人未</w:t>
      </w:r>
      <w:bookmarkEnd w:id="58"/>
      <w:bookmarkStart w:id="59" w:name="_Toc33194398"/>
      <w:r>
        <w:rPr>
          <w:rFonts w:hint="eastAsia" w:ascii="宋体" w:hAnsi="宋体" w:cs="宋体"/>
          <w:sz w:val="24"/>
          <w:highlight w:val="none"/>
          <w:lang w:val="zh-CN"/>
        </w:rPr>
        <w:t>能在响应文件中提供国家确定的认证机构出具的、处于有效期之内的该产品节能产品、环境标志产品认证证书；</w:t>
      </w:r>
      <w:bookmarkEnd w:id="59"/>
    </w:p>
    <w:p w14:paraId="08461035">
      <w:pPr>
        <w:adjustRightInd w:val="0"/>
        <w:snapToGrid w:val="0"/>
        <w:spacing w:line="436" w:lineRule="exact"/>
        <w:ind w:firstLine="480" w:firstLineChars="200"/>
        <w:rPr>
          <w:rFonts w:hint="eastAsia"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rPr>
        <w:t>10</w:t>
      </w:r>
      <w:r>
        <w:rPr>
          <w:rFonts w:hint="eastAsia" w:ascii="宋体" w:hAnsi="宋体" w:cs="宋体"/>
          <w:sz w:val="24"/>
          <w:highlight w:val="none"/>
          <w:lang w:val="zh-CN"/>
        </w:rPr>
        <w:t>）《商务技术文件》中出现本项目投标报价的；</w:t>
      </w:r>
    </w:p>
    <w:p w14:paraId="02E86CDE">
      <w:pPr>
        <w:adjustRightInd w:val="0"/>
        <w:snapToGrid w:val="0"/>
        <w:spacing w:line="436" w:lineRule="exact"/>
        <w:ind w:firstLine="480" w:firstLineChars="200"/>
        <w:rPr>
          <w:rFonts w:hint="eastAsia"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rPr>
        <w:t>11</w:t>
      </w:r>
      <w:r>
        <w:rPr>
          <w:rFonts w:hint="eastAsia" w:ascii="宋体" w:hAnsi="宋体" w:cs="宋体"/>
          <w:sz w:val="24"/>
          <w:highlight w:val="none"/>
          <w:lang w:val="zh-CN"/>
        </w:rPr>
        <w:t>）不同供应商的电子投标（响应）文件上传计算机的网卡MAC地址或硬盘序列号等硬件信息相同的；</w:t>
      </w:r>
    </w:p>
    <w:p w14:paraId="29A52930">
      <w:pPr>
        <w:adjustRightInd w:val="0"/>
        <w:snapToGrid w:val="0"/>
        <w:spacing w:line="436" w:lineRule="exact"/>
        <w:ind w:firstLine="480" w:firstLineChars="200"/>
        <w:rPr>
          <w:rFonts w:hint="eastAsia"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rPr>
        <w:t>12</w:t>
      </w:r>
      <w:r>
        <w:rPr>
          <w:rFonts w:hint="eastAsia" w:ascii="宋体" w:hAnsi="宋体" w:cs="宋体"/>
          <w:sz w:val="24"/>
          <w:highlight w:val="none"/>
          <w:lang w:val="zh-CN"/>
        </w:rPr>
        <w:t>）上传的电子投标（响应）文件若出现使用本项目其他投标（响应）供应商的数字证书加密的，或者加盖本项目其他投标（响应）供应商的电子印章的；</w:t>
      </w:r>
    </w:p>
    <w:p w14:paraId="4029D42E">
      <w:pPr>
        <w:adjustRightInd w:val="0"/>
        <w:snapToGrid w:val="0"/>
        <w:spacing w:line="436" w:lineRule="exact"/>
        <w:ind w:firstLine="480" w:firstLineChars="200"/>
        <w:rPr>
          <w:rFonts w:hint="eastAsia"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rPr>
        <w:t>13</w:t>
      </w:r>
      <w:r>
        <w:rPr>
          <w:rFonts w:hint="eastAsia" w:ascii="宋体" w:hAnsi="宋体" w:cs="宋体"/>
          <w:sz w:val="24"/>
          <w:highlight w:val="none"/>
          <w:lang w:val="zh-CN"/>
        </w:rPr>
        <w:t>）不同供应商的投标（响应）文件的内容存在三处（含）以上错误一致的；</w:t>
      </w:r>
    </w:p>
    <w:p w14:paraId="1FBDCCF8">
      <w:pPr>
        <w:adjustRightInd w:val="0"/>
        <w:snapToGrid w:val="0"/>
        <w:spacing w:line="436" w:lineRule="exact"/>
        <w:ind w:firstLine="480" w:firstLineChars="200"/>
        <w:rPr>
          <w:rFonts w:hint="eastAsia"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rPr>
        <w:t>14</w:t>
      </w:r>
      <w:r>
        <w:rPr>
          <w:rFonts w:hint="eastAsia" w:ascii="宋体" w:hAnsi="宋体" w:cs="宋体"/>
          <w:sz w:val="24"/>
          <w:highlight w:val="none"/>
          <w:lang w:val="zh-CN"/>
        </w:rPr>
        <w:t>）不同供应商联系人为同一人或不同联系人的联系电话一致的；</w:t>
      </w:r>
    </w:p>
    <w:p w14:paraId="4F6CFAEB">
      <w:pPr>
        <w:adjustRightInd w:val="0"/>
        <w:snapToGrid w:val="0"/>
        <w:spacing w:line="436" w:lineRule="exact"/>
        <w:ind w:firstLine="480" w:firstLineChars="200"/>
        <w:rPr>
          <w:rFonts w:hint="eastAsia"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rPr>
        <w:t>15</w:t>
      </w:r>
      <w:r>
        <w:rPr>
          <w:rFonts w:hint="eastAsia" w:ascii="宋体" w:hAnsi="宋体" w:cs="宋体"/>
          <w:sz w:val="24"/>
          <w:highlight w:val="none"/>
          <w:lang w:val="zh-CN"/>
        </w:rPr>
        <w:t>）违反国家或政府部门相关法律、法规、文件规定的。</w:t>
      </w:r>
      <w:bookmarkEnd w:id="56"/>
    </w:p>
    <w:p w14:paraId="22E2E563">
      <w:pPr>
        <w:adjustRightInd w:val="0"/>
        <w:snapToGrid w:val="0"/>
        <w:spacing w:line="436" w:lineRule="exact"/>
        <w:rPr>
          <w:rFonts w:hint="eastAsia" w:ascii="宋体" w:hAnsi="宋体" w:cs="宋体"/>
          <w:b/>
          <w:bCs/>
          <w:sz w:val="24"/>
          <w:szCs w:val="22"/>
          <w:highlight w:val="none"/>
        </w:rPr>
      </w:pPr>
      <w:r>
        <w:rPr>
          <w:rFonts w:hint="eastAsia" w:ascii="宋体" w:hAnsi="宋体" w:cs="宋体"/>
          <w:b/>
          <w:bCs/>
          <w:sz w:val="24"/>
          <w:szCs w:val="22"/>
          <w:highlight w:val="none"/>
        </w:rPr>
        <w:t>（二）报价文件符合性审查中，存在下列情形之一的，经评标委员会认定后作无效标处理：</w:t>
      </w:r>
    </w:p>
    <w:p w14:paraId="7586BC89">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（1）投标文件没有对本招标文件作出实质性响应的，或不满足（不响应）本招标文件中标注“▲”的实质性要求条款的，或存在招标文件中明确规定的其他无效标情形的；</w:t>
      </w:r>
    </w:p>
    <w:p w14:paraId="4CFBCF1A">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（2）投标文件存在一个或一个以上备选（替代）投标方案的；</w:t>
      </w:r>
    </w:p>
    <w:p w14:paraId="7344F1AF">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（3）未按照招标文件标明的币种报价的，或者投标报价涵盖的内容不符合招标文件要求的；</w:t>
      </w:r>
    </w:p>
    <w:p w14:paraId="36F8AD3A">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（4）《开标一览表》总价与《投标报价明细表》总价不一致且拒不接受修正的；</w:t>
      </w:r>
    </w:p>
    <w:p w14:paraId="7D1A5E36">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（5）投标报价具有选择性，唱标价格与《投标文件》承诺的优惠（折扣）后价格不一致的；</w:t>
      </w:r>
    </w:p>
    <w:p w14:paraId="779D3D24">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（6）投标报价超过采购预算（或最高限价）的；</w:t>
      </w:r>
    </w:p>
    <w:p w14:paraId="663F9446">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（7）仅提交“备份投标文件”的；</w:t>
      </w:r>
    </w:p>
    <w:p w14:paraId="3028278F">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（8）投标文件组成内容不齐全，本招标文件规定必须提供而未提供的（属于资格审查范围的除外）；</w:t>
      </w:r>
    </w:p>
    <w:p w14:paraId="0F826288">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（9）投标文件标注的响应或偏离情况与事实不符，或提供了虚假材料的；</w:t>
      </w:r>
    </w:p>
    <w:p w14:paraId="180ABD1F">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（10）不响应或擅自改变本招标文件要求或投标文件有采购人不能接受的附加条件的；</w:t>
      </w:r>
    </w:p>
    <w:p w14:paraId="6F060D33">
      <w:pPr>
        <w:adjustRightInd w:val="0"/>
        <w:snapToGrid w:val="0"/>
        <w:spacing w:line="360" w:lineRule="auto"/>
        <w:ind w:firstLine="480" w:firstLineChars="200"/>
        <w:jc w:val="left"/>
        <w:rPr>
          <w:rFonts w:hint="eastAsia" w:ascii="宋体" w:hAnsi="宋体" w:cs="宋体"/>
          <w:sz w:val="24"/>
          <w:szCs w:val="22"/>
          <w:highlight w:val="none"/>
        </w:rPr>
      </w:pPr>
      <w:r>
        <w:rPr>
          <w:rFonts w:hint="eastAsia" w:ascii="宋体" w:hAnsi="宋体" w:cs="宋体"/>
          <w:sz w:val="24"/>
          <w:szCs w:val="22"/>
          <w:highlight w:val="none"/>
        </w:rPr>
        <w:t>（11）评审委员会认为投标人报价明显低于其他合格投标人的报价，有可能影响产品质量或者不能诚信履约的，应当要求其在合理时间内提供书面说明，必要时提供相关证明材料；投标人不能证明其报价合理性的</w:t>
      </w:r>
      <w:r>
        <w:rPr>
          <w:rFonts w:hint="eastAsia" w:ascii="宋体" w:hAnsi="宋体" w:cs="宋体"/>
          <w:b/>
          <w:bCs/>
          <w:sz w:val="24"/>
          <w:szCs w:val="22"/>
          <w:highlight w:val="none"/>
        </w:rPr>
        <w:t>（供应商不得进行影响产品质量或者诚信履约的恶意报价。供应商在项目评审前准备好报价核算、报价明细、报价说明等材料，以备评审专家核查，供应商报价低于项目预算50%的，应当在报价文件中详细阐述不影响产品质量或者诚信履约的具体原因。）</w:t>
      </w:r>
      <w:r>
        <w:rPr>
          <w:rFonts w:hint="eastAsia" w:ascii="宋体" w:hAnsi="宋体" w:cs="宋体"/>
          <w:sz w:val="24"/>
          <w:szCs w:val="22"/>
          <w:highlight w:val="none"/>
        </w:rPr>
        <w:t>；</w:t>
      </w:r>
    </w:p>
    <w:p w14:paraId="56354D8B">
      <w:pPr>
        <w:adjustRightInd w:val="0"/>
        <w:snapToGrid w:val="0"/>
        <w:spacing w:line="436" w:lineRule="exact"/>
        <w:ind w:firstLine="480" w:firstLineChars="200"/>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w:t>
      </w:r>
      <w:r>
        <w:rPr>
          <w:rFonts w:hint="eastAsia" w:ascii="宋体" w:hAnsi="宋体" w:eastAsia="宋体" w:cs="宋体"/>
          <w:sz w:val="24"/>
          <w:szCs w:val="22"/>
          <w:highlight w:val="none"/>
        </w:rPr>
        <w:t>12</w:t>
      </w:r>
      <w:r>
        <w:rPr>
          <w:rFonts w:hint="eastAsia" w:ascii="宋体" w:hAnsi="宋体" w:eastAsia="宋体" w:cs="宋体"/>
          <w:sz w:val="24"/>
          <w:szCs w:val="22"/>
          <w:highlight w:val="none"/>
          <w:lang w:val="zh-CN"/>
        </w:rPr>
        <w:t>）不同供应商的电子投标（响应）文件上传计算机的网卡MAC地址或硬盘序列号等硬件信息相同的；</w:t>
      </w:r>
    </w:p>
    <w:p w14:paraId="55ECBC9D">
      <w:pPr>
        <w:adjustRightInd w:val="0"/>
        <w:snapToGrid w:val="0"/>
        <w:spacing w:line="436" w:lineRule="exact"/>
        <w:ind w:firstLine="480" w:firstLineChars="200"/>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w:t>
      </w:r>
      <w:r>
        <w:rPr>
          <w:rFonts w:hint="eastAsia" w:ascii="宋体" w:hAnsi="宋体" w:eastAsia="宋体" w:cs="宋体"/>
          <w:sz w:val="24"/>
          <w:szCs w:val="22"/>
          <w:highlight w:val="none"/>
        </w:rPr>
        <w:t>13</w:t>
      </w:r>
      <w:r>
        <w:rPr>
          <w:rFonts w:hint="eastAsia" w:ascii="宋体" w:hAnsi="宋体" w:eastAsia="宋体" w:cs="宋体"/>
          <w:sz w:val="24"/>
          <w:szCs w:val="22"/>
          <w:highlight w:val="none"/>
          <w:lang w:val="zh-CN"/>
        </w:rPr>
        <w:t>）上传的电子投标（响应）文件若出现使用本项目其他投标（响应）供应商的数字证书加密的，或者加盖本项目其他投标（响应）供应商的电子印章的；</w:t>
      </w:r>
    </w:p>
    <w:p w14:paraId="760CBB2F">
      <w:pPr>
        <w:adjustRightInd w:val="0"/>
        <w:snapToGrid w:val="0"/>
        <w:spacing w:line="436" w:lineRule="exact"/>
        <w:ind w:firstLine="480" w:firstLineChars="200"/>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w:t>
      </w:r>
      <w:r>
        <w:rPr>
          <w:rFonts w:hint="eastAsia" w:ascii="宋体" w:hAnsi="宋体" w:eastAsia="宋体" w:cs="宋体"/>
          <w:sz w:val="24"/>
          <w:szCs w:val="22"/>
          <w:highlight w:val="none"/>
        </w:rPr>
        <w:t>14</w:t>
      </w:r>
      <w:r>
        <w:rPr>
          <w:rFonts w:hint="eastAsia" w:ascii="宋体" w:hAnsi="宋体" w:eastAsia="宋体" w:cs="宋体"/>
          <w:sz w:val="24"/>
          <w:szCs w:val="22"/>
          <w:highlight w:val="none"/>
          <w:lang w:val="zh-CN"/>
        </w:rPr>
        <w:t>）不同供应商的投标（响应）文件的内容存在三处（含）以上错误一致的；</w:t>
      </w:r>
    </w:p>
    <w:p w14:paraId="6175E658">
      <w:pPr>
        <w:adjustRightInd w:val="0"/>
        <w:snapToGrid w:val="0"/>
        <w:spacing w:line="436" w:lineRule="exact"/>
        <w:ind w:firstLine="480" w:firstLineChars="200"/>
        <w:rPr>
          <w:rFonts w:hint="eastAsia" w:ascii="宋体" w:hAnsi="宋体" w:eastAsia="宋体" w:cs="宋体"/>
          <w:sz w:val="24"/>
          <w:szCs w:val="22"/>
          <w:highlight w:val="none"/>
        </w:rPr>
      </w:pPr>
      <w:r>
        <w:rPr>
          <w:rFonts w:hint="eastAsia" w:ascii="宋体" w:hAnsi="宋体" w:eastAsia="宋体" w:cs="宋体"/>
          <w:sz w:val="24"/>
          <w:szCs w:val="22"/>
          <w:highlight w:val="none"/>
          <w:lang w:val="zh-CN"/>
        </w:rPr>
        <w:t>（</w:t>
      </w:r>
      <w:r>
        <w:rPr>
          <w:rFonts w:hint="eastAsia" w:ascii="宋体" w:hAnsi="宋体" w:eastAsia="宋体" w:cs="宋体"/>
          <w:sz w:val="24"/>
          <w:szCs w:val="22"/>
          <w:highlight w:val="none"/>
        </w:rPr>
        <w:t>15</w:t>
      </w:r>
      <w:r>
        <w:rPr>
          <w:rFonts w:hint="eastAsia" w:ascii="宋体" w:hAnsi="宋体" w:eastAsia="宋体" w:cs="宋体"/>
          <w:sz w:val="24"/>
          <w:szCs w:val="22"/>
          <w:highlight w:val="none"/>
          <w:lang w:val="zh-CN"/>
        </w:rPr>
        <w:t>）不同供应商联系人为同一人或不同联系人的联系电话一致的；</w:t>
      </w:r>
    </w:p>
    <w:p w14:paraId="0312A9F2">
      <w:pPr>
        <w:adjustRightInd w:val="0"/>
        <w:snapToGrid w:val="0"/>
        <w:spacing w:line="436" w:lineRule="exact"/>
        <w:ind w:firstLine="480" w:firstLineChars="200"/>
        <w:rPr>
          <w:rFonts w:hint="eastAsia" w:ascii="宋体" w:hAnsi="宋体" w:eastAsia="宋体" w:cs="宋体"/>
          <w:sz w:val="24"/>
          <w:szCs w:val="22"/>
          <w:highlight w:val="none"/>
        </w:rPr>
      </w:pPr>
      <w:r>
        <w:rPr>
          <w:rFonts w:hint="eastAsia" w:ascii="宋体" w:hAnsi="宋体" w:eastAsia="宋体" w:cs="宋体"/>
          <w:sz w:val="24"/>
          <w:szCs w:val="22"/>
          <w:highlight w:val="none"/>
        </w:rPr>
        <w:t>（16）违反国家或政府部门相关法律、法规、文件规定的。</w:t>
      </w:r>
    </w:p>
    <w:p w14:paraId="7E0E5292">
      <w:pPr>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2"/>
          <w:highlight w:val="none"/>
        </w:rPr>
        <w:t>（三）串通投标认定，</w:t>
      </w:r>
      <w:r>
        <w:rPr>
          <w:rFonts w:hint="eastAsia" w:ascii="宋体" w:hAnsi="宋体" w:cs="宋体"/>
          <w:b/>
          <w:bCs/>
          <w:sz w:val="24"/>
          <w:szCs w:val="24"/>
          <w:highlight w:val="none"/>
        </w:rPr>
        <w:t>有下列情形之一的，视为投标人串通投标，其投标无效：</w:t>
      </w:r>
    </w:p>
    <w:p w14:paraId="0682AAF3">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1.不同投标人的投标文件由同一单位或者个人编制或同一IP地址上传；</w:t>
      </w:r>
    </w:p>
    <w:p w14:paraId="5DE4D2B7">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2.不同投标人的投标文件MAC地址相同或计算机硬盘序列号相同或响应文件细节错误一致且无合理解释等情形；</w:t>
      </w:r>
    </w:p>
    <w:p w14:paraId="2E74974A">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3.不同投标人委托同一单位或者个人办理投标事宜；</w:t>
      </w:r>
    </w:p>
    <w:p w14:paraId="49DCBF6F">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4.不同投标人的投标文件载明的项目管理成员或者联系人员为同一人；</w:t>
      </w:r>
    </w:p>
    <w:p w14:paraId="34A8DF17">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5.不同投标人的投标文件异常一致或者投标报价呈规律性差异；</w:t>
      </w:r>
    </w:p>
    <w:p w14:paraId="4D83400F">
      <w:pPr>
        <w:spacing w:line="360" w:lineRule="auto"/>
        <w:ind w:firstLine="480" w:firstLineChars="200"/>
        <w:jc w:val="left"/>
        <w:rPr>
          <w:highlight w:val="none"/>
        </w:rPr>
      </w:pPr>
      <w:r>
        <w:rPr>
          <w:rFonts w:hint="eastAsia" w:ascii="宋体" w:hAnsi="宋体" w:cs="宋体"/>
          <w:sz w:val="24"/>
          <w:szCs w:val="24"/>
          <w:highlight w:val="none"/>
        </w:rPr>
        <w:t>6.不同投标人的投标文件相互混装。</w:t>
      </w:r>
    </w:p>
    <w:p w14:paraId="3F3D5CF6">
      <w:pPr>
        <w:adjustRightInd w:val="0"/>
        <w:snapToGrid w:val="0"/>
        <w:spacing w:line="436" w:lineRule="exact"/>
        <w:rPr>
          <w:rFonts w:hint="eastAsia" w:ascii="宋体" w:hAnsi="宋体" w:cs="宋体"/>
          <w:sz w:val="24"/>
          <w:highlight w:val="none"/>
        </w:rPr>
      </w:pPr>
      <w:r>
        <w:rPr>
          <w:rFonts w:hint="eastAsia" w:ascii="宋体" w:hAnsi="宋体" w:cs="宋体"/>
          <w:b/>
          <w:sz w:val="24"/>
          <w:highlight w:val="none"/>
        </w:rPr>
        <w:t>3.投标报价的错误修正</w:t>
      </w:r>
    </w:p>
    <w:p w14:paraId="30241738">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评标委员会将对确定为实质上响应招标文件要求的投标文件报价部分进行校核，看其在投标报价方面是否有计算、累计或表达上的错误，修正错误的原则及顺序如下：</w:t>
      </w:r>
    </w:p>
    <w:p w14:paraId="739B8E9D">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（1）投标文件中开标一览表(报价表)内容与投标文件中明细表内容不一致的，以开标一览表为准；</w:t>
      </w:r>
    </w:p>
    <w:p w14:paraId="31BB23FB">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（2）投标文件的大写金额和小写金额不一致的，以大写金额为准；</w:t>
      </w:r>
    </w:p>
    <w:p w14:paraId="73603344">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（3）如分项价格或单价有遗报，应视作已含在投标总价中；其投标总价不予调整。其分项价或单价由评标委员会在投标总价不变的前提下根据合理的原则对其予以确定；</w:t>
      </w:r>
    </w:p>
    <w:p w14:paraId="4C9BA4CC">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（4）如有多报、重报，其投标总价在评标过程中不予调整。如其中标，其合同价按其投标单价予以调整；</w:t>
      </w:r>
    </w:p>
    <w:p w14:paraId="0A0E11EF">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（5）单价金额小数点有明显错位的，应以总价为准，并修改单价。</w:t>
      </w:r>
    </w:p>
    <w:p w14:paraId="58D2BFE9">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按上述修正错误的原则，调整或修正投标文件的投标报价。经投标人确认后，调整后的投标报价对投标人起约束作用。如果投标人不接受或者投标人在评标结束之前不能到场确认的，评标委员会将把调整或修正后的投标报价作为该投标人的投标报价，进入商务报价评标，但不接受修正的投标人最终将丧失其中标候选人资格。</w:t>
      </w:r>
    </w:p>
    <w:p w14:paraId="28192F6E">
      <w:pPr>
        <w:adjustRightInd w:val="0"/>
        <w:snapToGrid w:val="0"/>
        <w:spacing w:line="436" w:lineRule="exact"/>
        <w:rPr>
          <w:rFonts w:hint="eastAsia" w:ascii="宋体" w:hAnsi="宋体" w:cs="宋体"/>
          <w:b/>
          <w:sz w:val="24"/>
          <w:szCs w:val="22"/>
          <w:highlight w:val="none"/>
        </w:rPr>
      </w:pPr>
      <w:r>
        <w:rPr>
          <w:rFonts w:hint="eastAsia" w:ascii="宋体" w:hAnsi="宋体" w:cs="宋体"/>
          <w:b/>
          <w:sz w:val="24"/>
          <w:szCs w:val="22"/>
          <w:highlight w:val="none"/>
        </w:rPr>
        <w:t>4.废标</w:t>
      </w:r>
    </w:p>
    <w:p w14:paraId="693D4402">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在招标采购中，出现下列情形之一的，本项目废标：</w:t>
      </w:r>
    </w:p>
    <w:p w14:paraId="6E66F1A4">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（1）符合专业条件的投标人或者对招标文件作实质响应的投标人不足三家的；</w:t>
      </w:r>
    </w:p>
    <w:p w14:paraId="7E511683">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（2）出现影响采购公正的违法、违规行为的；</w:t>
      </w:r>
    </w:p>
    <w:p w14:paraId="07D99C33">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（3）投标人的报价均超过了采购预算，采购人不能支付的；</w:t>
      </w:r>
    </w:p>
    <w:p w14:paraId="424A06B3">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（4）因重大变故，采购任务取消的。</w:t>
      </w:r>
    </w:p>
    <w:p w14:paraId="2CEFE762">
      <w:pPr>
        <w:adjustRightInd w:val="0"/>
        <w:snapToGrid w:val="0"/>
        <w:spacing w:line="436" w:lineRule="exact"/>
        <w:rPr>
          <w:rFonts w:hint="eastAsia" w:ascii="宋体" w:hAnsi="宋体" w:cs="宋体"/>
          <w:b/>
          <w:sz w:val="24"/>
          <w:szCs w:val="22"/>
          <w:highlight w:val="none"/>
        </w:rPr>
      </w:pPr>
      <w:r>
        <w:rPr>
          <w:rFonts w:hint="eastAsia" w:ascii="宋体" w:hAnsi="宋体" w:cs="宋体"/>
          <w:b/>
          <w:sz w:val="24"/>
          <w:szCs w:val="22"/>
          <w:highlight w:val="none"/>
        </w:rPr>
        <w:t>5.可中止电子交易活动的情形</w:t>
      </w:r>
    </w:p>
    <w:p w14:paraId="0A8C52BA">
      <w:pPr>
        <w:adjustRightInd w:val="0"/>
        <w:snapToGrid w:val="0"/>
        <w:spacing w:line="436" w:lineRule="exact"/>
        <w:ind w:firstLine="482" w:firstLineChars="200"/>
        <w:rPr>
          <w:rFonts w:hint="eastAsia" w:ascii="宋体" w:hAnsi="宋体" w:cs="宋体"/>
          <w:b/>
          <w:bCs/>
          <w:sz w:val="24"/>
          <w:szCs w:val="22"/>
          <w:highlight w:val="none"/>
        </w:rPr>
      </w:pPr>
      <w:r>
        <w:rPr>
          <w:rFonts w:hint="eastAsia" w:ascii="宋体" w:hAnsi="宋体" w:cs="宋体"/>
          <w:b/>
          <w:bCs/>
          <w:sz w:val="24"/>
          <w:szCs w:val="22"/>
          <w:highlight w:val="none"/>
        </w:rPr>
        <w:t>采购过程中出现以下情形，导致电子交易平台无法正常运行，或者无法保证电子交易的公平、公正和安全时，采购组织机构可中止电子交易活动：</w:t>
      </w:r>
    </w:p>
    <w:p w14:paraId="444E5EEB">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（1）电子交易平台发生故障而无法登录访问的；</w:t>
      </w:r>
    </w:p>
    <w:p w14:paraId="0D9C43CD">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（2）电子交易平台应用或数据库出现错误，不能进行正常操作的；</w:t>
      </w:r>
    </w:p>
    <w:p w14:paraId="3EE1CE90">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（3）电子交易平台发现严重安全漏洞，有潜在泄密危险的；</w:t>
      </w:r>
    </w:p>
    <w:p w14:paraId="77BE41E7">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（4）病毒发作导致不能进行正常操作的；</w:t>
      </w:r>
    </w:p>
    <w:p w14:paraId="58F321B8">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（5）其他无法保证电子交易的公平、公正和安全的情况。</w:t>
      </w:r>
    </w:p>
    <w:p w14:paraId="026171C7">
      <w:pPr>
        <w:adjustRightInd w:val="0"/>
        <w:snapToGrid w:val="0"/>
        <w:spacing w:line="436" w:lineRule="exact"/>
        <w:ind w:firstLine="482" w:firstLineChars="200"/>
        <w:rPr>
          <w:rFonts w:hint="eastAsia" w:ascii="宋体" w:hAnsi="宋体" w:cs="宋体"/>
          <w:b/>
          <w:bCs/>
          <w:highlight w:val="none"/>
        </w:rPr>
      </w:pPr>
      <w:r>
        <w:rPr>
          <w:rFonts w:hint="eastAsia" w:ascii="宋体" w:hAnsi="宋体" w:cs="宋体"/>
          <w:b/>
          <w:bCs/>
          <w:sz w:val="24"/>
          <w:szCs w:val="22"/>
          <w:highlight w:val="none"/>
        </w:rPr>
        <w:t>出现前款规定情形，不影响采购公平、公正性的，采购组织机构可以待上述情形消除后继续组织电子交易活动；影响或可能影响采购公平、公正性的，应当重新采购。</w:t>
      </w:r>
    </w:p>
    <w:p w14:paraId="6F56A247">
      <w:pPr>
        <w:pStyle w:val="311"/>
        <w:adjustRightInd w:val="0"/>
        <w:snapToGrid w:val="0"/>
        <w:spacing w:before="0" w:line="436" w:lineRule="exact"/>
        <w:ind w:firstLine="0" w:firstLineChars="0"/>
        <w:rPr>
          <w:rFonts w:hint="eastAsia" w:ascii="宋体" w:hAnsi="宋体" w:cs="宋体"/>
          <w:szCs w:val="24"/>
          <w:highlight w:val="none"/>
        </w:rPr>
      </w:pPr>
      <w:r>
        <w:rPr>
          <w:rFonts w:hint="eastAsia" w:ascii="宋体" w:hAnsi="宋体" w:cs="宋体"/>
          <w:b/>
          <w:highlight w:val="none"/>
        </w:rPr>
        <w:t>（六）投标文件的澄清、说明或补正</w:t>
      </w:r>
    </w:p>
    <w:p w14:paraId="699C6678">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1.对于投标文件中含义不明确、同类问题表述不一致或者有明显文字和计算错误的内容，评标委员会将以书面形式（或通过“政府采购云平台”在线询标）的形式要求投标人在规定的时间内作出必要的澄清、说明或者补正，投标人澄清、说明或补正时间为30分钟。</w:t>
      </w:r>
    </w:p>
    <w:p w14:paraId="3013F0EC">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2.投标人的澄清、说明或者补正应当采用书面（或通过“政府采购云平台”在线答复）形式提交，并加盖公章，或者由法定代表人或其授权的代表签字。投标人的澄清、说明或者补正不得超出投标文件的范围或者改变投标文件的实质性内容。</w:t>
      </w:r>
    </w:p>
    <w:p w14:paraId="080E53B9">
      <w:pPr>
        <w:adjustRightInd w:val="0"/>
        <w:snapToGrid w:val="0"/>
        <w:spacing w:line="436" w:lineRule="exact"/>
        <w:rPr>
          <w:rFonts w:hint="eastAsia" w:ascii="宋体" w:hAnsi="宋体" w:cs="宋体"/>
          <w:b/>
          <w:sz w:val="24"/>
          <w:highlight w:val="none"/>
        </w:rPr>
      </w:pPr>
      <w:r>
        <w:rPr>
          <w:rFonts w:hint="eastAsia" w:ascii="宋体" w:hAnsi="宋体" w:cs="宋体"/>
          <w:b/>
          <w:sz w:val="24"/>
          <w:highlight w:val="none"/>
        </w:rPr>
        <w:t>（七）评标办法</w:t>
      </w:r>
    </w:p>
    <w:bookmarkEnd w:id="55"/>
    <w:p w14:paraId="28AE8659">
      <w:pPr>
        <w:adjustRightInd w:val="0"/>
        <w:snapToGrid w:val="0"/>
        <w:spacing w:line="436" w:lineRule="exact"/>
        <w:ind w:firstLine="480" w:firstLineChars="200"/>
        <w:rPr>
          <w:rFonts w:hint="eastAsia" w:ascii="宋体" w:hAnsi="宋体" w:cs="宋体"/>
          <w:sz w:val="24"/>
          <w:highlight w:val="none"/>
        </w:rPr>
      </w:pPr>
      <w:bookmarkStart w:id="60" w:name="_Toc86216994"/>
      <w:r>
        <w:rPr>
          <w:rFonts w:hint="eastAsia" w:ascii="宋体" w:hAnsi="宋体" w:cs="宋体"/>
          <w:sz w:val="24"/>
          <w:highlight w:val="none"/>
        </w:rPr>
        <w:t>详见“第六部分  评标办法”。</w:t>
      </w:r>
    </w:p>
    <w:p w14:paraId="4A64C944">
      <w:pPr>
        <w:pStyle w:val="311"/>
        <w:adjustRightInd w:val="0"/>
        <w:snapToGrid w:val="0"/>
        <w:spacing w:before="0" w:line="436" w:lineRule="exact"/>
        <w:ind w:firstLine="0" w:firstLineChars="0"/>
        <w:rPr>
          <w:rFonts w:hint="eastAsia" w:ascii="宋体" w:hAnsi="宋体" w:cs="宋体"/>
          <w:b/>
          <w:highlight w:val="none"/>
        </w:rPr>
      </w:pPr>
      <w:r>
        <w:rPr>
          <w:rFonts w:hint="eastAsia" w:ascii="宋体" w:hAnsi="宋体" w:cs="宋体"/>
          <w:b/>
          <w:highlight w:val="none"/>
        </w:rPr>
        <w:t>（八）评标内容的保密</w:t>
      </w:r>
    </w:p>
    <w:p w14:paraId="178A13BE">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1.公开开标后，直到公告中标单位止，凡属于审查、澄清、评价和比较投标的所有资料，都不向投标人或与评标无关的其他人泄露。</w:t>
      </w:r>
    </w:p>
    <w:p w14:paraId="272411ED">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2.在投标文件的审查、澄清、评价和比较以及确定中标人过程中，投标人对招标人、招标代理机构和评标委员会施加影响的任何行为，都将导致取消资格。</w:t>
      </w:r>
    </w:p>
    <w:p w14:paraId="2DD089E4">
      <w:pPr>
        <w:adjustRightInd w:val="0"/>
        <w:snapToGrid w:val="0"/>
        <w:spacing w:line="436" w:lineRule="exact"/>
        <w:jc w:val="center"/>
        <w:outlineLvl w:val="1"/>
        <w:rPr>
          <w:rFonts w:hint="eastAsia" w:ascii="宋体" w:hAnsi="宋体" w:cs="宋体"/>
          <w:b/>
          <w:sz w:val="32"/>
          <w:highlight w:val="none"/>
        </w:rPr>
      </w:pPr>
      <w:bookmarkStart w:id="61" w:name="_Toc23416"/>
      <w:bookmarkStart w:id="62" w:name="_Toc233618978"/>
      <w:bookmarkStart w:id="63" w:name="_Toc522530047"/>
      <w:r>
        <w:rPr>
          <w:rFonts w:hint="eastAsia" w:ascii="宋体" w:hAnsi="宋体" w:cs="宋体"/>
          <w:b/>
          <w:sz w:val="32"/>
          <w:highlight w:val="none"/>
        </w:rPr>
        <w:t>七、定 标</w:t>
      </w:r>
      <w:bookmarkEnd w:id="60"/>
      <w:bookmarkEnd w:id="61"/>
      <w:bookmarkEnd w:id="62"/>
      <w:bookmarkEnd w:id="63"/>
    </w:p>
    <w:p w14:paraId="3446ACAC">
      <w:pPr>
        <w:pStyle w:val="35"/>
        <w:tabs>
          <w:tab w:val="left" w:pos="1440"/>
        </w:tabs>
        <w:adjustRightInd w:val="0"/>
        <w:snapToGrid w:val="0"/>
        <w:spacing w:after="0" w:line="436" w:lineRule="exact"/>
        <w:ind w:left="560"/>
        <w:rPr>
          <w:rFonts w:hint="eastAsia" w:ascii="宋体" w:hAnsi="宋体" w:cs="宋体"/>
          <w:b/>
          <w:sz w:val="24"/>
          <w:highlight w:val="none"/>
        </w:rPr>
      </w:pPr>
      <w:r>
        <w:rPr>
          <w:rFonts w:hint="eastAsia" w:ascii="宋体" w:hAnsi="宋体" w:cs="宋体"/>
          <w:b/>
          <w:sz w:val="24"/>
          <w:highlight w:val="none"/>
        </w:rPr>
        <w:t>（一）定标</w:t>
      </w:r>
      <w:r>
        <w:rPr>
          <w:rFonts w:hint="eastAsia" w:ascii="宋体" w:hAnsi="宋体" w:cs="宋体"/>
          <w:b/>
          <w:sz w:val="24"/>
          <w:highlight w:val="none"/>
        </w:rPr>
        <w:tab/>
      </w:r>
    </w:p>
    <w:p w14:paraId="165B08D8">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评标委员会根据以下规定确定投标人排名并推荐中标候选人。</w:t>
      </w:r>
    </w:p>
    <w:p w14:paraId="3D6F0F73">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1.评标委员会根据各投标人的综合得分（商务技术分与报价得分之和）从高到低依次进行排名排序。特殊情形按以下原则处理：</w:t>
      </w:r>
    </w:p>
    <w:p w14:paraId="68B08578">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（1）综合得分相同的，按投标报价低的优先原则确定排名；</w:t>
      </w:r>
    </w:p>
    <w:p w14:paraId="56FD2C80">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（2）综合得分和投标报价均相同的，按技术资信得分从高到低确定排名；</w:t>
      </w:r>
    </w:p>
    <w:p w14:paraId="49A11785">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（3）综合得分、投标报价和技术资信得分均相同的由评标委员会全体成员记名投票按少数服从多数的原则确定排名。</w:t>
      </w:r>
    </w:p>
    <w:p w14:paraId="44102E2C">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2.根据最终得分排序，通过书面评审报告的形式，向采购人推荐排名第一的投标人为中标候选人。</w:t>
      </w:r>
    </w:p>
    <w:p w14:paraId="3BC81431">
      <w:pPr>
        <w:adjustRightInd w:val="0"/>
        <w:snapToGrid w:val="0"/>
        <w:spacing w:line="436"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3.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14:paraId="05BB7D36">
      <w:pPr>
        <w:pStyle w:val="35"/>
        <w:tabs>
          <w:tab w:val="left" w:pos="1440"/>
        </w:tabs>
        <w:adjustRightInd w:val="0"/>
        <w:snapToGrid w:val="0"/>
        <w:spacing w:after="0" w:line="436" w:lineRule="exact"/>
        <w:ind w:left="560"/>
        <w:rPr>
          <w:rFonts w:hint="eastAsia" w:ascii="宋体" w:hAnsi="宋体" w:cs="宋体"/>
          <w:b/>
          <w:sz w:val="24"/>
          <w:highlight w:val="none"/>
        </w:rPr>
      </w:pPr>
      <w:r>
        <w:rPr>
          <w:rFonts w:hint="eastAsia" w:ascii="宋体" w:hAnsi="宋体" w:cs="宋体"/>
          <w:b/>
          <w:sz w:val="24"/>
          <w:highlight w:val="none"/>
        </w:rPr>
        <w:t>（二）招标结果公告</w:t>
      </w:r>
    </w:p>
    <w:p w14:paraId="04BF3931">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在招标人确认招标结果后招标代理机构按相关政府采购规定将招标结果发布在原招标公告发布媒体。公告有效期为1个工作日。招标人、招标代理机构及评标委员会对未中标的投标人不作落标原因解释。</w:t>
      </w:r>
    </w:p>
    <w:p w14:paraId="3701C599">
      <w:pPr>
        <w:pStyle w:val="35"/>
        <w:tabs>
          <w:tab w:val="left" w:pos="1440"/>
        </w:tabs>
        <w:adjustRightInd w:val="0"/>
        <w:snapToGrid w:val="0"/>
        <w:spacing w:after="0" w:line="436" w:lineRule="exact"/>
        <w:ind w:left="560"/>
        <w:rPr>
          <w:rFonts w:hint="eastAsia" w:ascii="宋体" w:hAnsi="宋体" w:cs="宋体"/>
          <w:b/>
          <w:sz w:val="24"/>
          <w:highlight w:val="none"/>
        </w:rPr>
      </w:pPr>
      <w:bookmarkStart w:id="64" w:name="_Hlt75236103"/>
      <w:bookmarkEnd w:id="64"/>
      <w:bookmarkStart w:id="65" w:name="_Toc86216995"/>
      <w:bookmarkStart w:id="66" w:name="_Toc91899910"/>
      <w:r>
        <w:rPr>
          <w:rFonts w:hint="eastAsia" w:ascii="宋体" w:hAnsi="宋体" w:cs="宋体"/>
          <w:b/>
          <w:sz w:val="24"/>
          <w:highlight w:val="none"/>
        </w:rPr>
        <w:t>（三）中标通知书</w:t>
      </w:r>
      <w:r>
        <w:rPr>
          <w:rFonts w:hint="eastAsia" w:ascii="宋体" w:hAnsi="宋体" w:cs="宋体"/>
          <w:b/>
          <w:sz w:val="24"/>
          <w:highlight w:val="none"/>
        </w:rPr>
        <w:tab/>
      </w:r>
    </w:p>
    <w:p w14:paraId="5A064C48">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在公告中标结果的同时，招标人或者招标代理机构应当向中标人发出中标通知书。</w:t>
      </w:r>
    </w:p>
    <w:p w14:paraId="3EA94DDB">
      <w:pPr>
        <w:adjustRightInd w:val="0"/>
        <w:snapToGrid w:val="0"/>
        <w:spacing w:line="436" w:lineRule="exact"/>
        <w:jc w:val="center"/>
        <w:outlineLvl w:val="1"/>
        <w:rPr>
          <w:rFonts w:hint="eastAsia" w:ascii="宋体" w:hAnsi="宋体" w:cs="宋体"/>
          <w:b/>
          <w:sz w:val="32"/>
          <w:highlight w:val="none"/>
        </w:rPr>
      </w:pPr>
      <w:bookmarkStart w:id="67" w:name="_Toc15506"/>
      <w:bookmarkStart w:id="68" w:name="_Toc233618979"/>
      <w:bookmarkStart w:id="69" w:name="_Toc522530048"/>
      <w:r>
        <w:rPr>
          <w:rFonts w:hint="eastAsia" w:ascii="宋体" w:hAnsi="宋体" w:cs="宋体"/>
          <w:b/>
          <w:sz w:val="32"/>
          <w:highlight w:val="none"/>
        </w:rPr>
        <w:t>八、</w:t>
      </w:r>
      <w:bookmarkEnd w:id="65"/>
      <w:r>
        <w:rPr>
          <w:rFonts w:hint="eastAsia" w:ascii="宋体" w:hAnsi="宋体" w:cs="宋体"/>
          <w:b/>
          <w:sz w:val="32"/>
          <w:highlight w:val="none"/>
        </w:rPr>
        <w:t>合同签订及其他</w:t>
      </w:r>
      <w:bookmarkEnd w:id="67"/>
      <w:bookmarkEnd w:id="68"/>
      <w:bookmarkEnd w:id="69"/>
    </w:p>
    <w:bookmarkEnd w:id="66"/>
    <w:p w14:paraId="001CB363">
      <w:pPr>
        <w:adjustRightInd w:val="0"/>
        <w:snapToGrid w:val="0"/>
        <w:spacing w:line="436" w:lineRule="exact"/>
        <w:rPr>
          <w:rFonts w:hint="eastAsia" w:ascii="宋体" w:hAnsi="宋体" w:cs="宋体"/>
          <w:b/>
          <w:sz w:val="24"/>
          <w:highlight w:val="none"/>
        </w:rPr>
      </w:pPr>
      <w:r>
        <w:rPr>
          <w:rFonts w:hint="eastAsia" w:ascii="宋体" w:hAnsi="宋体" w:cs="宋体"/>
          <w:b/>
          <w:sz w:val="24"/>
          <w:highlight w:val="none"/>
        </w:rPr>
        <w:t>（一）合同的签订</w:t>
      </w:r>
    </w:p>
    <w:p w14:paraId="681A94DC">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中标人接到中标通知书后按规定的日期、时间、地点，由法定代表人或其授权代表与招标人代表按照“第四部分 合同文本”内容签订《采购合同》。</w:t>
      </w:r>
    </w:p>
    <w:p w14:paraId="5ECDA918">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所签订的合同不得对招标文件和中标人投标文件作实质性修改。招标人不得向中标投标人提出任何不合理的要求，作为签订合同的条件，不得与中标人私下订立背离合同实质性内容的协议。</w:t>
      </w:r>
    </w:p>
    <w:p w14:paraId="12DCD889">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招标文件及补充文件、中标人的投标文件及投标修改文件、评标过程中有关澄清文件和中标通知书均作为合同附件。</w:t>
      </w:r>
    </w:p>
    <w:p w14:paraId="3D6BB8F1">
      <w:pPr>
        <w:tabs>
          <w:tab w:val="left" w:pos="3780"/>
        </w:tabs>
        <w:spacing w:line="436" w:lineRule="exact"/>
        <w:ind w:firstLine="482" w:firstLineChars="200"/>
        <w:rPr>
          <w:rFonts w:hint="eastAsia" w:ascii="宋体" w:hAnsi="宋体" w:cs="宋体"/>
          <w:b/>
          <w:sz w:val="24"/>
          <w:szCs w:val="22"/>
          <w:highlight w:val="none"/>
        </w:rPr>
      </w:pPr>
      <w:r>
        <w:rPr>
          <w:rFonts w:hint="eastAsia" w:ascii="宋体" w:hAnsi="宋体" w:cs="宋体"/>
          <w:b/>
          <w:sz w:val="24"/>
          <w:szCs w:val="22"/>
          <w:highlight w:val="none"/>
        </w:rPr>
        <w:t>中标后，投标人拒绝签订合同的，采购人可以按照评审报告推荐的中标或者成交候选人名单排序，确定下一候选人为中标或者成交投标人，也可以重新开展政府采购活动。投标人中标或者成交后拒绝签订合同的，应按采购预算金额的2%对采购人进行赔偿；赔偿金额不足以弥补采购人损失的，投标人应继续承担超过部分的损失。</w:t>
      </w:r>
    </w:p>
    <w:p w14:paraId="68A2BFBA">
      <w:pPr>
        <w:tabs>
          <w:tab w:val="left" w:pos="3780"/>
        </w:tabs>
        <w:spacing w:line="436" w:lineRule="exact"/>
        <w:ind w:firstLine="482" w:firstLineChars="200"/>
        <w:rPr>
          <w:rFonts w:hint="eastAsia" w:ascii="宋体" w:hAnsi="宋体" w:cs="宋体"/>
          <w:b/>
          <w:sz w:val="24"/>
          <w:szCs w:val="22"/>
          <w:highlight w:val="none"/>
        </w:rPr>
      </w:pPr>
      <w:r>
        <w:rPr>
          <w:rFonts w:hint="eastAsia" w:ascii="宋体" w:hAnsi="宋体" w:cs="宋体"/>
          <w:b/>
          <w:sz w:val="24"/>
          <w:szCs w:val="22"/>
          <w:highlight w:val="none"/>
        </w:rPr>
        <w:t>存在下列行为的，采购代理机构将其失信行为上报政府采购主管部门，由主管部门按有关规定对其违法失信行为记录进行公开：</w:t>
      </w:r>
    </w:p>
    <w:p w14:paraId="46A23C07">
      <w:pPr>
        <w:tabs>
          <w:tab w:val="left" w:pos="3780"/>
        </w:tabs>
        <w:spacing w:line="436" w:lineRule="exact"/>
        <w:ind w:firstLine="482" w:firstLineChars="200"/>
        <w:rPr>
          <w:rFonts w:hint="eastAsia" w:ascii="宋体" w:hAnsi="宋体" w:cs="宋体"/>
          <w:b/>
          <w:sz w:val="24"/>
          <w:szCs w:val="22"/>
          <w:highlight w:val="none"/>
        </w:rPr>
      </w:pPr>
      <w:r>
        <w:rPr>
          <w:rFonts w:hint="eastAsia" w:ascii="宋体" w:hAnsi="宋体" w:cs="宋体"/>
          <w:b/>
          <w:sz w:val="24"/>
          <w:szCs w:val="22"/>
          <w:highlight w:val="none"/>
        </w:rPr>
        <w:t>（1）中标或者成交后，拒绝签订政府采购合同的；</w:t>
      </w:r>
    </w:p>
    <w:p w14:paraId="58E5C33D">
      <w:pPr>
        <w:tabs>
          <w:tab w:val="left" w:pos="3780"/>
        </w:tabs>
        <w:spacing w:line="436" w:lineRule="exact"/>
        <w:ind w:firstLine="482" w:firstLineChars="200"/>
        <w:rPr>
          <w:rFonts w:hint="eastAsia" w:ascii="宋体" w:hAnsi="宋体" w:cs="宋体"/>
          <w:b/>
          <w:sz w:val="24"/>
          <w:szCs w:val="22"/>
          <w:highlight w:val="none"/>
        </w:rPr>
      </w:pPr>
      <w:r>
        <w:rPr>
          <w:rFonts w:hint="eastAsia" w:ascii="宋体" w:hAnsi="宋体" w:cs="宋体"/>
          <w:b/>
          <w:sz w:val="24"/>
          <w:szCs w:val="22"/>
          <w:highlight w:val="none"/>
        </w:rPr>
        <w:t>（2）投标有效期内撤销投标文件的。</w:t>
      </w:r>
    </w:p>
    <w:p w14:paraId="017FEE2E">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如签订合同并生效后，投标人无故拒绝或延期合格交货的，除按照合同条款处罚外，列入不良行为记录一次，并给予通报。</w:t>
      </w:r>
    </w:p>
    <w:p w14:paraId="23E10738">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 xml:space="preserve">中标人因制造商原因无法供货导致无法签订合同的视为“中标后无正当理由不与招标人签订合同”。 </w:t>
      </w:r>
    </w:p>
    <w:p w14:paraId="0ADEC524">
      <w:pPr>
        <w:tabs>
          <w:tab w:val="left" w:pos="0"/>
        </w:tabs>
        <w:spacing w:line="436" w:lineRule="exact"/>
        <w:rPr>
          <w:rFonts w:hint="eastAsia" w:ascii="宋体" w:hAnsi="宋体" w:cs="宋体"/>
          <w:b/>
          <w:sz w:val="24"/>
          <w:highlight w:val="none"/>
        </w:rPr>
      </w:pPr>
      <w:r>
        <w:rPr>
          <w:rFonts w:hint="eastAsia" w:ascii="宋体" w:hAnsi="宋体" w:cs="宋体"/>
          <w:b/>
          <w:sz w:val="24"/>
          <w:highlight w:val="none"/>
        </w:rPr>
        <w:t>（二）售后服务考核</w:t>
      </w:r>
    </w:p>
    <w:p w14:paraId="1F3DB43C">
      <w:pPr>
        <w:adjustRightInd w:val="0"/>
        <w:snapToGrid w:val="0"/>
        <w:spacing w:line="436" w:lineRule="exact"/>
        <w:ind w:firstLine="480" w:firstLineChars="200"/>
        <w:rPr>
          <w:rFonts w:hint="eastAsia" w:ascii="宋体" w:hAnsi="宋体" w:cs="宋体"/>
          <w:sz w:val="24"/>
          <w:highlight w:val="none"/>
        </w:rPr>
      </w:pPr>
      <w:r>
        <w:rPr>
          <w:rFonts w:hint="eastAsia" w:ascii="宋体" w:hAnsi="宋体" w:cs="宋体"/>
          <w:sz w:val="24"/>
          <w:highlight w:val="none"/>
        </w:rPr>
        <w:t>将参照有关法律法规，对投标人进行考核，发现弄虚作假，偷工减料，以次充好，达不到国家、行业有关标准和技术文件规定的，一经查实，招标人将视情况终止合同。</w:t>
      </w:r>
    </w:p>
    <w:p w14:paraId="579D4857">
      <w:pPr>
        <w:adjustRightInd w:val="0"/>
        <w:snapToGrid w:val="0"/>
        <w:spacing w:line="436" w:lineRule="exact"/>
        <w:ind w:firstLine="480" w:firstLineChars="200"/>
        <w:rPr>
          <w:rFonts w:hint="eastAsia" w:ascii="宋体" w:hAnsi="宋体" w:cs="宋体"/>
          <w:sz w:val="24"/>
          <w:szCs w:val="24"/>
          <w:highlight w:val="none"/>
        </w:rPr>
      </w:pPr>
      <w:r>
        <w:rPr>
          <w:rFonts w:hint="eastAsia" w:ascii="宋体" w:hAnsi="宋体" w:cs="宋体"/>
          <w:sz w:val="24"/>
          <w:szCs w:val="24"/>
          <w:lang w:eastAsia="zh-CN"/>
        </w:rPr>
        <w:t>（</w:t>
      </w:r>
      <w:r>
        <w:rPr>
          <w:rFonts w:hint="eastAsia" w:ascii="宋体" w:hAnsi="宋体" w:cs="宋体"/>
          <w:sz w:val="24"/>
          <w:szCs w:val="24"/>
          <w:lang w:val="en-US" w:eastAsia="zh-CN"/>
        </w:rPr>
        <w:t>三</w:t>
      </w:r>
      <w:r>
        <w:rPr>
          <w:rFonts w:hint="eastAsia" w:ascii="宋体" w:hAnsi="宋体" w:cs="宋体"/>
          <w:sz w:val="24"/>
          <w:szCs w:val="24"/>
          <w:lang w:eastAsia="zh-CN"/>
        </w:rPr>
        <w:t>）</w:t>
      </w:r>
      <w:r>
        <w:rPr>
          <w:rFonts w:hint="eastAsia" w:ascii="宋体" w:hAnsi="宋体" w:cs="宋体"/>
          <w:sz w:val="24"/>
          <w:szCs w:val="24"/>
        </w:rPr>
        <w:t>招标服务费</w:t>
      </w:r>
    </w:p>
    <w:p w14:paraId="759D4F26">
      <w:pPr>
        <w:spacing w:line="360" w:lineRule="auto"/>
        <w:ind w:firstLine="480" w:firstLineChars="200"/>
        <w:contextualSpacing/>
        <w:rPr>
          <w:color w:val="auto"/>
          <w:sz w:val="24"/>
          <w:szCs w:val="24"/>
        </w:rPr>
      </w:pPr>
      <w:r>
        <w:rPr>
          <w:rFonts w:hint="eastAsia"/>
          <w:color w:val="auto"/>
          <w:sz w:val="24"/>
          <w:szCs w:val="24"/>
          <w:lang w:val="en-US" w:eastAsia="zh-CN"/>
        </w:rPr>
        <w:t>1、</w:t>
      </w:r>
      <w:r>
        <w:rPr>
          <w:rFonts w:hint="eastAsia"/>
          <w:color w:val="auto"/>
          <w:sz w:val="24"/>
          <w:szCs w:val="24"/>
        </w:rPr>
        <w:t>本次采购招标代理服务费</w:t>
      </w:r>
      <w:bookmarkStart w:id="70" w:name="OLE_LINK5"/>
      <w:r>
        <w:rPr>
          <w:rFonts w:hint="eastAsia"/>
          <w:color w:val="auto"/>
          <w:sz w:val="24"/>
          <w:szCs w:val="24"/>
        </w:rPr>
        <w:t>按国家计委计价格《【2002】1980号文件》文件中的</w:t>
      </w:r>
      <w:r>
        <w:rPr>
          <w:rFonts w:hint="eastAsia"/>
          <w:color w:val="auto"/>
          <w:sz w:val="24"/>
          <w:szCs w:val="24"/>
          <w:lang w:val="en-US" w:eastAsia="zh-CN"/>
        </w:rPr>
        <w:t>货物</w:t>
      </w:r>
      <w:r>
        <w:rPr>
          <w:rFonts w:hint="eastAsia"/>
          <w:color w:val="auto"/>
          <w:sz w:val="24"/>
          <w:szCs w:val="24"/>
        </w:rPr>
        <w:t>类收费标准收取</w:t>
      </w:r>
      <w:bookmarkEnd w:id="70"/>
      <w:r>
        <w:rPr>
          <w:rFonts w:hint="eastAsia"/>
          <w:color w:val="auto"/>
          <w:sz w:val="24"/>
          <w:szCs w:val="24"/>
        </w:rPr>
        <w:t>，不足2000元按2000元收取。由中标人在领取中标通知书时支付给代理机构。</w:t>
      </w:r>
    </w:p>
    <w:tbl>
      <w:tblPr>
        <w:tblStyle w:val="88"/>
        <w:tblW w:w="9104" w:type="dxa"/>
        <w:tblCellSpacing w:w="0" w:type="dxa"/>
        <w:tblInd w:w="23"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666"/>
        <w:gridCol w:w="2146"/>
        <w:gridCol w:w="2146"/>
        <w:gridCol w:w="2146"/>
      </w:tblGrid>
      <w:tr w14:paraId="35DA7B9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2" w:hRule="atLeast"/>
          <w:tblCellSpacing w:w="0" w:type="dxa"/>
        </w:trPr>
        <w:tc>
          <w:tcPr>
            <w:tcW w:w="2666" w:type="dxa"/>
            <w:tcBorders>
              <w:top w:val="outset" w:color="auto" w:sz="6" w:space="0"/>
              <w:left w:val="outset" w:color="auto" w:sz="6" w:space="0"/>
              <w:bottom w:val="outset" w:color="auto" w:sz="6" w:space="0"/>
              <w:right w:val="outset" w:color="auto" w:sz="6" w:space="0"/>
            </w:tcBorders>
          </w:tcPr>
          <w:p w14:paraId="6200EDFC">
            <w:pPr>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中标金额（万元）</w:t>
            </w:r>
          </w:p>
        </w:tc>
        <w:tc>
          <w:tcPr>
            <w:tcW w:w="2146" w:type="dxa"/>
            <w:tcBorders>
              <w:top w:val="outset" w:color="auto" w:sz="6" w:space="0"/>
              <w:left w:val="outset" w:color="auto" w:sz="6" w:space="0"/>
              <w:bottom w:val="outset" w:color="auto" w:sz="6" w:space="0"/>
              <w:right w:val="outset" w:color="auto" w:sz="6" w:space="0"/>
            </w:tcBorders>
            <w:vAlign w:val="center"/>
          </w:tcPr>
          <w:p w14:paraId="450F38C8">
            <w:pPr>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货物招标</w:t>
            </w:r>
          </w:p>
        </w:tc>
        <w:tc>
          <w:tcPr>
            <w:tcW w:w="2146" w:type="dxa"/>
            <w:tcBorders>
              <w:top w:val="outset" w:color="auto" w:sz="6" w:space="0"/>
              <w:left w:val="outset" w:color="auto" w:sz="6" w:space="0"/>
              <w:bottom w:val="outset" w:color="auto" w:sz="6" w:space="0"/>
              <w:right w:val="outset" w:color="auto" w:sz="6" w:space="0"/>
            </w:tcBorders>
            <w:vAlign w:val="center"/>
          </w:tcPr>
          <w:p w14:paraId="0DD1BFDF">
            <w:pPr>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服务招标</w:t>
            </w:r>
          </w:p>
        </w:tc>
        <w:tc>
          <w:tcPr>
            <w:tcW w:w="2146" w:type="dxa"/>
            <w:tcBorders>
              <w:top w:val="outset" w:color="auto" w:sz="6" w:space="0"/>
              <w:left w:val="outset" w:color="auto" w:sz="6" w:space="0"/>
              <w:bottom w:val="outset" w:color="auto" w:sz="6" w:space="0"/>
              <w:right w:val="single" w:color="auto" w:sz="4" w:space="0"/>
            </w:tcBorders>
            <w:vAlign w:val="center"/>
          </w:tcPr>
          <w:p w14:paraId="26CC6DA9">
            <w:pPr>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工程招标</w:t>
            </w:r>
          </w:p>
        </w:tc>
      </w:tr>
      <w:tr w14:paraId="5A61AD1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2" w:hRule="atLeast"/>
          <w:tblCellSpacing w:w="0" w:type="dxa"/>
        </w:trPr>
        <w:tc>
          <w:tcPr>
            <w:tcW w:w="2666" w:type="dxa"/>
            <w:tcBorders>
              <w:top w:val="outset" w:color="auto" w:sz="6" w:space="0"/>
              <w:left w:val="outset" w:color="auto" w:sz="6" w:space="0"/>
              <w:bottom w:val="outset" w:color="auto" w:sz="6" w:space="0"/>
              <w:right w:val="outset" w:color="auto" w:sz="6" w:space="0"/>
            </w:tcBorders>
          </w:tcPr>
          <w:p w14:paraId="1D4E405F">
            <w:pPr>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100以下</w:t>
            </w:r>
          </w:p>
        </w:tc>
        <w:tc>
          <w:tcPr>
            <w:tcW w:w="2146" w:type="dxa"/>
            <w:tcBorders>
              <w:top w:val="outset" w:color="auto" w:sz="6" w:space="0"/>
              <w:left w:val="outset" w:color="auto" w:sz="6" w:space="0"/>
              <w:bottom w:val="outset" w:color="auto" w:sz="6" w:space="0"/>
              <w:right w:val="outset" w:color="auto" w:sz="6" w:space="0"/>
            </w:tcBorders>
          </w:tcPr>
          <w:p w14:paraId="6FDAC48B">
            <w:pPr>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1.5%</w:t>
            </w:r>
          </w:p>
        </w:tc>
        <w:tc>
          <w:tcPr>
            <w:tcW w:w="2146" w:type="dxa"/>
            <w:tcBorders>
              <w:top w:val="outset" w:color="auto" w:sz="6" w:space="0"/>
              <w:left w:val="outset" w:color="auto" w:sz="6" w:space="0"/>
              <w:bottom w:val="outset" w:color="auto" w:sz="6" w:space="0"/>
              <w:right w:val="outset" w:color="auto" w:sz="6" w:space="0"/>
            </w:tcBorders>
          </w:tcPr>
          <w:p w14:paraId="0CB6826A">
            <w:pPr>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1.5%</w:t>
            </w:r>
          </w:p>
        </w:tc>
        <w:tc>
          <w:tcPr>
            <w:tcW w:w="2146" w:type="dxa"/>
            <w:tcBorders>
              <w:top w:val="outset" w:color="auto" w:sz="6" w:space="0"/>
              <w:left w:val="outset" w:color="auto" w:sz="6" w:space="0"/>
              <w:bottom w:val="outset" w:color="auto" w:sz="6" w:space="0"/>
              <w:right w:val="single" w:color="auto" w:sz="4" w:space="0"/>
            </w:tcBorders>
          </w:tcPr>
          <w:p w14:paraId="04058B9B">
            <w:pPr>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1.0%</w:t>
            </w:r>
          </w:p>
        </w:tc>
      </w:tr>
      <w:tr w14:paraId="49941A5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2" w:hRule="atLeast"/>
          <w:tblCellSpacing w:w="0" w:type="dxa"/>
        </w:trPr>
        <w:tc>
          <w:tcPr>
            <w:tcW w:w="2666" w:type="dxa"/>
            <w:tcBorders>
              <w:top w:val="outset" w:color="auto" w:sz="6" w:space="0"/>
              <w:left w:val="outset" w:color="auto" w:sz="6" w:space="0"/>
              <w:bottom w:val="outset" w:color="auto" w:sz="6" w:space="0"/>
              <w:right w:val="outset" w:color="auto" w:sz="6" w:space="0"/>
            </w:tcBorders>
          </w:tcPr>
          <w:p w14:paraId="5EDB5CEA">
            <w:pPr>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100-500</w:t>
            </w:r>
          </w:p>
        </w:tc>
        <w:tc>
          <w:tcPr>
            <w:tcW w:w="2146" w:type="dxa"/>
            <w:tcBorders>
              <w:top w:val="outset" w:color="auto" w:sz="6" w:space="0"/>
              <w:left w:val="outset" w:color="auto" w:sz="6" w:space="0"/>
              <w:bottom w:val="outset" w:color="auto" w:sz="6" w:space="0"/>
              <w:right w:val="outset" w:color="auto" w:sz="6" w:space="0"/>
            </w:tcBorders>
          </w:tcPr>
          <w:p w14:paraId="1D7DB809">
            <w:pPr>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1.1%</w:t>
            </w:r>
          </w:p>
        </w:tc>
        <w:tc>
          <w:tcPr>
            <w:tcW w:w="2146" w:type="dxa"/>
            <w:tcBorders>
              <w:top w:val="outset" w:color="auto" w:sz="6" w:space="0"/>
              <w:left w:val="outset" w:color="auto" w:sz="6" w:space="0"/>
              <w:bottom w:val="outset" w:color="auto" w:sz="6" w:space="0"/>
              <w:right w:val="outset" w:color="auto" w:sz="6" w:space="0"/>
            </w:tcBorders>
          </w:tcPr>
          <w:p w14:paraId="5FBE4BD5">
            <w:pPr>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0.8%</w:t>
            </w:r>
          </w:p>
        </w:tc>
        <w:tc>
          <w:tcPr>
            <w:tcW w:w="2146" w:type="dxa"/>
            <w:tcBorders>
              <w:top w:val="outset" w:color="auto" w:sz="6" w:space="0"/>
              <w:left w:val="outset" w:color="auto" w:sz="6" w:space="0"/>
              <w:bottom w:val="outset" w:color="auto" w:sz="6" w:space="0"/>
              <w:right w:val="single" w:color="auto" w:sz="4" w:space="0"/>
            </w:tcBorders>
          </w:tcPr>
          <w:p w14:paraId="7000863E">
            <w:pPr>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0.7%</w:t>
            </w:r>
          </w:p>
        </w:tc>
      </w:tr>
      <w:tr w14:paraId="4378E4F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87" w:hRule="atLeast"/>
          <w:tblCellSpacing w:w="0" w:type="dxa"/>
        </w:trPr>
        <w:tc>
          <w:tcPr>
            <w:tcW w:w="2666" w:type="dxa"/>
            <w:tcBorders>
              <w:top w:val="outset" w:color="auto" w:sz="6" w:space="0"/>
              <w:left w:val="outset" w:color="auto" w:sz="6" w:space="0"/>
              <w:bottom w:val="outset" w:color="auto" w:sz="6" w:space="0"/>
              <w:right w:val="outset" w:color="auto" w:sz="6" w:space="0"/>
            </w:tcBorders>
          </w:tcPr>
          <w:p w14:paraId="79F2F081">
            <w:pPr>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500-1000</w:t>
            </w:r>
          </w:p>
        </w:tc>
        <w:tc>
          <w:tcPr>
            <w:tcW w:w="2146" w:type="dxa"/>
            <w:tcBorders>
              <w:top w:val="outset" w:color="auto" w:sz="6" w:space="0"/>
              <w:left w:val="outset" w:color="auto" w:sz="6" w:space="0"/>
              <w:bottom w:val="outset" w:color="auto" w:sz="6" w:space="0"/>
              <w:right w:val="outset" w:color="auto" w:sz="6" w:space="0"/>
            </w:tcBorders>
          </w:tcPr>
          <w:p w14:paraId="0D5D756D">
            <w:pPr>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0.8%</w:t>
            </w:r>
          </w:p>
        </w:tc>
        <w:tc>
          <w:tcPr>
            <w:tcW w:w="2146" w:type="dxa"/>
            <w:tcBorders>
              <w:top w:val="outset" w:color="auto" w:sz="6" w:space="0"/>
              <w:left w:val="outset" w:color="auto" w:sz="6" w:space="0"/>
              <w:bottom w:val="outset" w:color="auto" w:sz="6" w:space="0"/>
              <w:right w:val="outset" w:color="auto" w:sz="6" w:space="0"/>
            </w:tcBorders>
          </w:tcPr>
          <w:p w14:paraId="7512EC11">
            <w:pPr>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0.45%</w:t>
            </w:r>
          </w:p>
        </w:tc>
        <w:tc>
          <w:tcPr>
            <w:tcW w:w="2146" w:type="dxa"/>
            <w:tcBorders>
              <w:top w:val="outset" w:color="auto" w:sz="6" w:space="0"/>
              <w:left w:val="outset" w:color="auto" w:sz="6" w:space="0"/>
              <w:bottom w:val="outset" w:color="auto" w:sz="6" w:space="0"/>
              <w:right w:val="single" w:color="auto" w:sz="4" w:space="0"/>
            </w:tcBorders>
          </w:tcPr>
          <w:p w14:paraId="2057642A">
            <w:pPr>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0.55%</w:t>
            </w:r>
          </w:p>
        </w:tc>
      </w:tr>
    </w:tbl>
    <w:p w14:paraId="739E47EB">
      <w:pPr>
        <w:autoSpaceDE w:val="0"/>
        <w:autoSpaceDN w:val="0"/>
        <w:spacing w:line="420" w:lineRule="exact"/>
        <w:ind w:firstLine="480" w:firstLineChars="200"/>
        <w:jc w:val="left"/>
        <w:rPr>
          <w:rFonts w:ascii="宋体" w:hAnsi="宋体"/>
          <w:b w:val="0"/>
          <w:bCs w:val="0"/>
          <w:color w:val="auto"/>
          <w:sz w:val="24"/>
          <w:szCs w:val="24"/>
          <w:highlight w:val="none"/>
          <w:lang w:val="zh-CN"/>
        </w:rPr>
      </w:pPr>
      <w:r>
        <w:rPr>
          <w:rFonts w:hint="eastAsia" w:ascii="宋体" w:hAnsi="宋体" w:cs="宋体"/>
          <w:b w:val="0"/>
          <w:bCs w:val="0"/>
          <w:color w:val="auto"/>
          <w:sz w:val="24"/>
          <w:szCs w:val="24"/>
        </w:rPr>
        <w:t>2</w:t>
      </w:r>
      <w:r>
        <w:rPr>
          <w:rFonts w:hint="eastAsia" w:ascii="宋体" w:hAnsi="宋体"/>
          <w:b w:val="0"/>
          <w:bCs w:val="0"/>
          <w:color w:val="auto"/>
          <w:sz w:val="24"/>
          <w:szCs w:val="24"/>
          <w:highlight w:val="none"/>
          <w:lang w:val="zh-CN"/>
        </w:rPr>
        <w:t>、</w:t>
      </w:r>
      <w:r>
        <w:rPr>
          <w:rFonts w:hint="eastAsia" w:ascii="宋体" w:hAnsi="宋体"/>
          <w:b w:val="0"/>
          <w:bCs w:val="0"/>
          <w:color w:val="auto"/>
          <w:sz w:val="24"/>
          <w:szCs w:val="24"/>
          <w:highlight w:val="none"/>
          <w:lang w:val="en-US" w:eastAsia="zh-CN"/>
        </w:rPr>
        <w:t>采购</w:t>
      </w:r>
      <w:r>
        <w:rPr>
          <w:rFonts w:hint="eastAsia" w:ascii="宋体" w:hAnsi="宋体"/>
          <w:b w:val="0"/>
          <w:bCs w:val="0"/>
          <w:color w:val="auto"/>
          <w:sz w:val="24"/>
          <w:szCs w:val="24"/>
          <w:highlight w:val="none"/>
          <w:lang w:val="zh-CN"/>
        </w:rPr>
        <w:t>代理服务费等费用按实收取，由中标人支付；</w:t>
      </w:r>
    </w:p>
    <w:p w14:paraId="15CDCE0D">
      <w:pPr>
        <w:autoSpaceDE w:val="0"/>
        <w:autoSpaceDN w:val="0"/>
        <w:spacing w:line="420" w:lineRule="exact"/>
        <w:ind w:firstLine="480" w:firstLineChars="200"/>
        <w:jc w:val="left"/>
        <w:rPr>
          <w:rFonts w:ascii="宋体" w:hAnsi="宋体"/>
          <w:b w:val="0"/>
          <w:bCs w:val="0"/>
          <w:color w:val="auto"/>
          <w:sz w:val="24"/>
          <w:szCs w:val="24"/>
          <w:highlight w:val="none"/>
          <w:lang w:val="zh-CN"/>
        </w:rPr>
      </w:pPr>
      <w:r>
        <w:rPr>
          <w:rFonts w:ascii="宋体" w:hAnsi="宋体"/>
          <w:b w:val="0"/>
          <w:bCs w:val="0"/>
          <w:color w:val="auto"/>
          <w:sz w:val="24"/>
          <w:szCs w:val="24"/>
          <w:highlight w:val="none"/>
          <w:lang w:val="zh-CN"/>
        </w:rPr>
        <w:t>3</w:t>
      </w:r>
      <w:r>
        <w:rPr>
          <w:rFonts w:hint="eastAsia" w:ascii="宋体" w:hAnsi="宋体"/>
          <w:b w:val="0"/>
          <w:bCs w:val="0"/>
          <w:color w:val="auto"/>
          <w:sz w:val="24"/>
          <w:szCs w:val="24"/>
          <w:highlight w:val="none"/>
          <w:lang w:val="zh-CN"/>
        </w:rPr>
        <w:t>、以上费用不在报价中单列，请各供应商在报价时考虑；</w:t>
      </w:r>
    </w:p>
    <w:p w14:paraId="4538C879">
      <w:pPr>
        <w:autoSpaceDE w:val="0"/>
        <w:autoSpaceDN w:val="0"/>
        <w:spacing w:line="420" w:lineRule="exact"/>
        <w:ind w:firstLine="480" w:firstLineChars="200"/>
        <w:jc w:val="left"/>
        <w:rPr>
          <w:rFonts w:ascii="宋体" w:hAnsi="宋体"/>
          <w:b w:val="0"/>
          <w:bCs w:val="0"/>
          <w:color w:val="auto"/>
          <w:sz w:val="24"/>
          <w:szCs w:val="24"/>
          <w:highlight w:val="none"/>
          <w:lang w:val="zh-CN"/>
        </w:rPr>
      </w:pPr>
      <w:r>
        <w:rPr>
          <w:rFonts w:ascii="宋体" w:hAnsi="宋体"/>
          <w:b w:val="0"/>
          <w:bCs w:val="0"/>
          <w:color w:val="auto"/>
          <w:sz w:val="24"/>
          <w:szCs w:val="24"/>
          <w:highlight w:val="none"/>
          <w:lang w:val="zh-CN"/>
        </w:rPr>
        <w:t>4</w:t>
      </w:r>
      <w:r>
        <w:rPr>
          <w:rFonts w:hint="eastAsia" w:ascii="宋体" w:hAnsi="宋体"/>
          <w:b w:val="0"/>
          <w:bCs w:val="0"/>
          <w:color w:val="auto"/>
          <w:sz w:val="24"/>
          <w:szCs w:val="24"/>
          <w:highlight w:val="none"/>
          <w:lang w:val="zh-CN"/>
        </w:rPr>
        <w:t>、采购代理服务费用由中标人在领取中标通知书之前支付给</w:t>
      </w:r>
      <w:r>
        <w:rPr>
          <w:rFonts w:hint="eastAsia" w:ascii="宋体" w:hAnsi="宋体"/>
          <w:b w:val="0"/>
          <w:bCs w:val="0"/>
          <w:color w:val="auto"/>
          <w:sz w:val="24"/>
          <w:szCs w:val="24"/>
          <w:highlight w:val="none"/>
          <w:lang w:val="en-US" w:eastAsia="zh-CN"/>
        </w:rPr>
        <w:t>采购</w:t>
      </w:r>
      <w:r>
        <w:rPr>
          <w:rFonts w:hint="eastAsia" w:ascii="宋体" w:hAnsi="宋体"/>
          <w:b w:val="0"/>
          <w:bCs w:val="0"/>
          <w:color w:val="auto"/>
          <w:sz w:val="24"/>
          <w:szCs w:val="24"/>
          <w:highlight w:val="none"/>
          <w:lang w:val="zh-CN"/>
        </w:rPr>
        <w:t>代理机构。</w:t>
      </w:r>
    </w:p>
    <w:p w14:paraId="023468F2">
      <w:pPr>
        <w:pStyle w:val="2"/>
        <w:rPr>
          <w:rFonts w:hint="eastAsia"/>
          <w:sz w:val="24"/>
          <w:szCs w:val="24"/>
        </w:rPr>
        <w:sectPr>
          <w:footerReference r:id="rId10" w:type="default"/>
          <w:pgSz w:w="11906" w:h="16838"/>
          <w:pgMar w:top="1440" w:right="1440" w:bottom="1440" w:left="1440" w:header="851" w:footer="851" w:gutter="0"/>
          <w:pgNumType w:start="1"/>
          <w:cols w:space="720" w:num="1"/>
          <w:docGrid w:linePitch="381" w:charSpace="0"/>
        </w:sectPr>
      </w:pPr>
    </w:p>
    <w:p w14:paraId="6A2BBFB5">
      <w:pPr>
        <w:pStyle w:val="311"/>
        <w:numPr>
          <w:ilvl w:val="0"/>
          <w:numId w:val="4"/>
        </w:numPr>
        <w:spacing w:before="0" w:line="276" w:lineRule="auto"/>
        <w:ind w:firstLine="0" w:firstLineChars="0"/>
        <w:jc w:val="center"/>
        <w:outlineLvl w:val="0"/>
        <w:rPr>
          <w:rFonts w:hint="eastAsia" w:ascii="宋体" w:hAnsi="宋体" w:cs="宋体"/>
          <w:b/>
          <w:sz w:val="36"/>
          <w:highlight w:val="none"/>
        </w:rPr>
      </w:pPr>
      <w:bookmarkStart w:id="71" w:name="OLE_LINK3"/>
      <w:r>
        <w:rPr>
          <w:rFonts w:hint="eastAsia" w:ascii="宋体" w:hAnsi="宋体" w:cs="宋体"/>
          <w:b/>
          <w:sz w:val="36"/>
          <w:highlight w:val="none"/>
        </w:rPr>
        <w:t>采购需求</w:t>
      </w:r>
    </w:p>
    <w:p w14:paraId="2B6673A3">
      <w:pPr>
        <w:spacing w:line="360" w:lineRule="auto"/>
        <w:ind w:firstLine="482" w:firstLineChars="200"/>
        <w:jc w:val="left"/>
        <w:rPr>
          <w:highlight w:val="none"/>
        </w:rPr>
      </w:pPr>
      <w:bookmarkStart w:id="72" w:name="_Toc492733886"/>
      <w:bookmarkStart w:id="73" w:name="_Toc1203"/>
      <w:bookmarkStart w:id="74" w:name="_Toc233618986"/>
      <w:bookmarkStart w:id="75" w:name="_Toc86217003"/>
      <w:r>
        <w:rPr>
          <w:rFonts w:hint="eastAsia" w:ascii="宋体" w:hAnsi="宋体" w:cs="宋体"/>
          <w:b/>
          <w:bCs/>
          <w:sz w:val="24"/>
          <w:szCs w:val="24"/>
          <w:highlight w:val="none"/>
        </w:rPr>
        <w:t>一、采购清单：</w:t>
      </w:r>
    </w:p>
    <w:p w14:paraId="1C5D5876">
      <w:pPr>
        <w:tabs>
          <w:tab w:val="left" w:pos="4500"/>
        </w:tabs>
        <w:autoSpaceDE w:val="0"/>
        <w:autoSpaceDN w:val="0"/>
        <w:adjustRightInd w:val="0"/>
        <w:snapToGrid w:val="0"/>
        <w:spacing w:line="360" w:lineRule="auto"/>
        <w:jc w:val="center"/>
        <w:textAlignment w:val="bottom"/>
        <w:rPr>
          <w:rFonts w:hint="default" w:ascii="宋体" w:hAnsi="宋体" w:cs="宋体"/>
          <w:b/>
          <w:sz w:val="36"/>
          <w:highlight w:val="none"/>
          <w:u w:val="none"/>
          <w:lang w:val="en-US" w:eastAsia="zh-CN"/>
        </w:rPr>
      </w:pPr>
      <w:r>
        <w:rPr>
          <w:rFonts w:hint="eastAsia" w:ascii="宋体" w:hAnsi="宋体" w:cs="宋体"/>
          <w:b/>
          <w:sz w:val="36"/>
          <w:highlight w:val="none"/>
          <w:u w:val="none"/>
          <w:lang w:eastAsia="zh-CN"/>
        </w:rPr>
        <w:t>衢州市柯城区九龙幼儿园悦澜湾园区智能化提升工程及设施设备采购-网络系统改造及班级一体机采购</w:t>
      </w:r>
      <w:r>
        <w:rPr>
          <w:rFonts w:hint="eastAsia" w:ascii="宋体" w:hAnsi="宋体" w:cs="宋体"/>
          <w:b/>
          <w:sz w:val="36"/>
          <w:highlight w:val="none"/>
          <w:u w:val="none"/>
          <w:lang w:val="en-US" w:eastAsia="zh-CN"/>
        </w:rPr>
        <w:t>清单</w:t>
      </w:r>
    </w:p>
    <w:tbl>
      <w:tblPr>
        <w:tblStyle w:val="88"/>
        <w:tblW w:w="1388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2"/>
        <w:gridCol w:w="1380"/>
        <w:gridCol w:w="8585"/>
        <w:gridCol w:w="855"/>
        <w:gridCol w:w="1019"/>
        <w:gridCol w:w="1185"/>
      </w:tblGrid>
      <w:tr w14:paraId="39714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62"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468F9B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38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F3E1B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858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64911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w:t>
            </w:r>
          </w:p>
        </w:tc>
        <w:tc>
          <w:tcPr>
            <w:tcW w:w="85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CED98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019"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DDBD0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1185"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14:paraId="52DFA9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342EE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62"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38243336">
            <w:pPr>
              <w:jc w:val="center"/>
              <w:rPr>
                <w:rFonts w:hint="eastAsia" w:ascii="宋体" w:hAnsi="宋体" w:eastAsia="宋体" w:cs="宋体"/>
                <w:i w:val="0"/>
                <w:iCs w:val="0"/>
                <w:color w:val="000000"/>
                <w:sz w:val="20"/>
                <w:szCs w:val="20"/>
                <w:u w:val="none"/>
              </w:rPr>
            </w:pPr>
          </w:p>
        </w:tc>
        <w:tc>
          <w:tcPr>
            <w:tcW w:w="138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9D4BF02">
            <w:pPr>
              <w:jc w:val="center"/>
              <w:rPr>
                <w:rFonts w:hint="eastAsia" w:ascii="宋体" w:hAnsi="宋体" w:eastAsia="宋体" w:cs="宋体"/>
                <w:i w:val="0"/>
                <w:iCs w:val="0"/>
                <w:color w:val="000000"/>
                <w:sz w:val="20"/>
                <w:szCs w:val="20"/>
                <w:u w:val="none"/>
              </w:rPr>
            </w:pPr>
          </w:p>
        </w:tc>
        <w:tc>
          <w:tcPr>
            <w:tcW w:w="858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2433CF0">
            <w:pPr>
              <w:jc w:val="center"/>
              <w:rPr>
                <w:rFonts w:hint="eastAsia" w:ascii="宋体" w:hAnsi="宋体" w:eastAsia="宋体" w:cs="宋体"/>
                <w:i w:val="0"/>
                <w:iCs w:val="0"/>
                <w:color w:val="000000"/>
                <w:sz w:val="20"/>
                <w:szCs w:val="20"/>
                <w:u w:val="none"/>
              </w:rPr>
            </w:pPr>
          </w:p>
        </w:tc>
        <w:tc>
          <w:tcPr>
            <w:tcW w:w="85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D4F923E">
            <w:pPr>
              <w:jc w:val="center"/>
              <w:rPr>
                <w:rFonts w:hint="eastAsia" w:ascii="宋体" w:hAnsi="宋体" w:eastAsia="宋体" w:cs="宋体"/>
                <w:i w:val="0"/>
                <w:iCs w:val="0"/>
                <w:color w:val="000000"/>
                <w:sz w:val="20"/>
                <w:szCs w:val="20"/>
                <w:u w:val="none"/>
              </w:rPr>
            </w:pPr>
          </w:p>
        </w:tc>
        <w:tc>
          <w:tcPr>
            <w:tcW w:w="1019"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DCC738A">
            <w:pPr>
              <w:jc w:val="center"/>
              <w:rPr>
                <w:rFonts w:hint="eastAsia" w:ascii="宋体" w:hAnsi="宋体" w:eastAsia="宋体" w:cs="宋体"/>
                <w:i w:val="0"/>
                <w:iCs w:val="0"/>
                <w:color w:val="000000"/>
                <w:sz w:val="20"/>
                <w:szCs w:val="20"/>
                <w:u w:val="none"/>
              </w:rPr>
            </w:pPr>
          </w:p>
        </w:tc>
        <w:tc>
          <w:tcPr>
            <w:tcW w:w="1185"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14:paraId="7C989FE5">
            <w:pPr>
              <w:jc w:val="center"/>
              <w:rPr>
                <w:rFonts w:hint="eastAsia" w:ascii="宋体" w:hAnsi="宋体" w:eastAsia="宋体" w:cs="宋体"/>
                <w:i w:val="0"/>
                <w:iCs w:val="0"/>
                <w:color w:val="000000"/>
                <w:sz w:val="20"/>
                <w:szCs w:val="20"/>
                <w:u w:val="none"/>
              </w:rPr>
            </w:pPr>
          </w:p>
        </w:tc>
      </w:tr>
      <w:tr w14:paraId="1F83E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62"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7A12DF8E">
            <w:pPr>
              <w:jc w:val="center"/>
              <w:rPr>
                <w:rFonts w:hint="eastAsia" w:ascii="宋体" w:hAnsi="宋体" w:eastAsia="宋体" w:cs="宋体"/>
                <w:i w:val="0"/>
                <w:iCs w:val="0"/>
                <w:color w:val="000000"/>
                <w:sz w:val="20"/>
                <w:szCs w:val="20"/>
                <w:u w:val="none"/>
              </w:rPr>
            </w:pPr>
          </w:p>
        </w:tc>
        <w:tc>
          <w:tcPr>
            <w:tcW w:w="138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A19FC7D">
            <w:pPr>
              <w:jc w:val="center"/>
              <w:rPr>
                <w:rFonts w:hint="eastAsia" w:ascii="宋体" w:hAnsi="宋体" w:eastAsia="宋体" w:cs="宋体"/>
                <w:i w:val="0"/>
                <w:iCs w:val="0"/>
                <w:color w:val="000000"/>
                <w:sz w:val="20"/>
                <w:szCs w:val="20"/>
                <w:u w:val="none"/>
              </w:rPr>
            </w:pPr>
          </w:p>
        </w:tc>
        <w:tc>
          <w:tcPr>
            <w:tcW w:w="858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A5190E1">
            <w:pPr>
              <w:jc w:val="center"/>
              <w:rPr>
                <w:rFonts w:hint="eastAsia" w:ascii="宋体" w:hAnsi="宋体" w:eastAsia="宋体" w:cs="宋体"/>
                <w:i w:val="0"/>
                <w:iCs w:val="0"/>
                <w:color w:val="000000"/>
                <w:sz w:val="20"/>
                <w:szCs w:val="20"/>
                <w:u w:val="none"/>
              </w:rPr>
            </w:pPr>
          </w:p>
        </w:tc>
        <w:tc>
          <w:tcPr>
            <w:tcW w:w="85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85EC544">
            <w:pPr>
              <w:jc w:val="center"/>
              <w:rPr>
                <w:rFonts w:hint="eastAsia" w:ascii="宋体" w:hAnsi="宋体" w:eastAsia="宋体" w:cs="宋体"/>
                <w:i w:val="0"/>
                <w:iCs w:val="0"/>
                <w:color w:val="000000"/>
                <w:sz w:val="20"/>
                <w:szCs w:val="20"/>
                <w:u w:val="none"/>
              </w:rPr>
            </w:pPr>
          </w:p>
        </w:tc>
        <w:tc>
          <w:tcPr>
            <w:tcW w:w="1019"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4D727DA">
            <w:pPr>
              <w:jc w:val="center"/>
              <w:rPr>
                <w:rFonts w:hint="eastAsia" w:ascii="宋体" w:hAnsi="宋体" w:eastAsia="宋体" w:cs="宋体"/>
                <w:i w:val="0"/>
                <w:iCs w:val="0"/>
                <w:color w:val="000000"/>
                <w:sz w:val="20"/>
                <w:szCs w:val="20"/>
                <w:u w:val="none"/>
              </w:rPr>
            </w:pPr>
          </w:p>
        </w:tc>
        <w:tc>
          <w:tcPr>
            <w:tcW w:w="1185"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14:paraId="6EFAE0A6">
            <w:pPr>
              <w:jc w:val="center"/>
              <w:rPr>
                <w:rFonts w:hint="eastAsia" w:ascii="宋体" w:hAnsi="宋体" w:eastAsia="宋体" w:cs="宋体"/>
                <w:i w:val="0"/>
                <w:iCs w:val="0"/>
                <w:color w:val="000000"/>
                <w:sz w:val="20"/>
                <w:szCs w:val="20"/>
                <w:u w:val="none"/>
              </w:rPr>
            </w:pPr>
          </w:p>
        </w:tc>
      </w:tr>
      <w:tr w14:paraId="08810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6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A873D9F">
            <w:pPr>
              <w:jc w:val="right"/>
              <w:rPr>
                <w:rFonts w:hint="eastAsia" w:ascii="宋体" w:hAnsi="宋体" w:eastAsia="宋体" w:cs="宋体"/>
                <w:i w:val="0"/>
                <w:iCs w:val="0"/>
                <w:color w:val="000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2576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综合布线系统</w:t>
            </w:r>
          </w:p>
        </w:tc>
        <w:tc>
          <w:tcPr>
            <w:tcW w:w="8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5937D3">
            <w:pPr>
              <w:jc w:val="lef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AD31FB">
            <w:pPr>
              <w:jc w:val="left"/>
              <w:rPr>
                <w:rFonts w:hint="eastAsia" w:ascii="宋体" w:hAnsi="宋体" w:eastAsia="宋体" w:cs="宋体"/>
                <w:i w:val="0"/>
                <w:iCs w:val="0"/>
                <w:color w:val="000000"/>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8489A1">
            <w:pPr>
              <w:jc w:val="left"/>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1BD82C8">
            <w:pPr>
              <w:jc w:val="left"/>
              <w:rPr>
                <w:rFonts w:hint="eastAsia" w:ascii="宋体" w:hAnsi="宋体" w:eastAsia="宋体" w:cs="宋体"/>
                <w:i w:val="0"/>
                <w:iCs w:val="0"/>
                <w:color w:val="000000"/>
                <w:sz w:val="20"/>
                <w:szCs w:val="20"/>
                <w:u w:val="none"/>
              </w:rPr>
            </w:pPr>
          </w:p>
        </w:tc>
      </w:tr>
      <w:tr w14:paraId="5216D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5" w:hRule="atLeast"/>
        </w:trPr>
        <w:tc>
          <w:tcPr>
            <w:tcW w:w="86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3C49F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DAE0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信息插座</w:t>
            </w:r>
          </w:p>
        </w:tc>
        <w:tc>
          <w:tcPr>
            <w:tcW w:w="8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0684A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单口面板（含PVC86型明装底盒）</w:t>
            </w:r>
          </w:p>
          <w:p w14:paraId="6B6E242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1、面板类型：86*86mm型；</w:t>
            </w:r>
          </w:p>
          <w:p w14:paraId="6226B35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2、面板端口数：单口；</w:t>
            </w:r>
          </w:p>
          <w:p w14:paraId="2F0AA53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3、面板材料:ABS工程塑料,采用平板略带弧度设计,有便于用户端口标记的透明标示片。 </w:t>
            </w:r>
          </w:p>
          <w:p w14:paraId="4D4580C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4.符合标准GB 17466.1 家用和类似用途固定式电气装置电器附件安装盒和外壳 《第1 部分: 通用要求》，满足850 摄氏度灼热丝实验要求；</w:t>
            </w:r>
          </w:p>
          <w:p w14:paraId="03ECD10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5、防尘门材料:优质ABS工程塑料；</w:t>
            </w:r>
          </w:p>
          <w:p w14:paraId="35AFE71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6、连接方式：直接卡接信息模块； </w:t>
            </w:r>
          </w:p>
          <w:p w14:paraId="4E2446C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7、边框拆卸：侧面拆卸边框；</w:t>
            </w:r>
          </w:p>
          <w:p w14:paraId="4667FB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8、安装方式：使用面板包装内配套的双螺丝明装或暗装；</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0BC5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B193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18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D813A42">
            <w:pPr>
              <w:jc w:val="left"/>
              <w:rPr>
                <w:rFonts w:hint="eastAsia" w:ascii="宋体" w:hAnsi="宋体" w:eastAsia="宋体" w:cs="宋体"/>
                <w:i w:val="0"/>
                <w:iCs w:val="0"/>
                <w:color w:val="000000"/>
                <w:sz w:val="20"/>
                <w:szCs w:val="20"/>
                <w:u w:val="none"/>
              </w:rPr>
            </w:pPr>
          </w:p>
        </w:tc>
      </w:tr>
      <w:tr w14:paraId="47466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0" w:hRule="atLeast"/>
        </w:trPr>
        <w:tc>
          <w:tcPr>
            <w:tcW w:w="86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0EF54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2565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信息插座</w:t>
            </w:r>
          </w:p>
        </w:tc>
        <w:tc>
          <w:tcPr>
            <w:tcW w:w="8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B85DB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六类非屏蔽模块</w:t>
            </w:r>
          </w:p>
          <w:p w14:paraId="6CC3EEA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1、符合ISO/IEC11801、TIA/EIA568C、YD/T926.3 标准，支持带宽不低于 250MHz；</w:t>
            </w:r>
          </w:p>
          <w:p w14:paraId="776D41E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2、采用用抗冲击高耐用性优质聚碳酸酯塑料作为主体；</w:t>
            </w:r>
          </w:p>
          <w:p w14:paraId="53603AB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3、采用内置式卡钩结构满足高密度应用需求；</w:t>
            </w:r>
          </w:p>
          <w:p w14:paraId="2CE0479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4、采用簧片空间排列和PCB 布线相结合的双重EMC性能设计；</w:t>
            </w:r>
          </w:p>
          <w:p w14:paraId="43C5841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5、模块前部可以安装彩色的电话和电脑标识，以区分模块的具体应用；</w:t>
            </w:r>
          </w:p>
          <w:p w14:paraId="3A8BA54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6、兼容568A 和568B 两种接续标准；</w:t>
            </w:r>
          </w:p>
          <w:p w14:paraId="49768E3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7、簧片使用优质锡青铜带,簧片接触针部位镀金不小于30 微英寸,满足元件级性能要求；</w:t>
            </w:r>
          </w:p>
          <w:p w14:paraId="3629700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8、IDC 簧片支持线径范围：0.45-0.6mm或更优；</w:t>
            </w:r>
          </w:p>
          <w:p w14:paraId="579411E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9、寿命：插头插座可重复插拔次数≥750 次；IDC 端接次数≥200 次</w:t>
            </w:r>
          </w:p>
          <w:p w14:paraId="56704A48">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10、具体安装方式按现场实际情况</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17E6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0270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18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99A424F">
            <w:pPr>
              <w:jc w:val="left"/>
              <w:rPr>
                <w:rFonts w:hint="eastAsia" w:ascii="宋体" w:hAnsi="宋体" w:eastAsia="宋体" w:cs="宋体"/>
                <w:i w:val="0"/>
                <w:iCs w:val="0"/>
                <w:color w:val="000000"/>
                <w:sz w:val="20"/>
                <w:szCs w:val="20"/>
                <w:u w:val="none"/>
              </w:rPr>
            </w:pPr>
          </w:p>
        </w:tc>
      </w:tr>
      <w:tr w14:paraId="2FA64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86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C9E35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D267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跳块</w:t>
            </w:r>
          </w:p>
        </w:tc>
        <w:tc>
          <w:tcPr>
            <w:tcW w:w="8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D8E5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非屏蔽六类RJ45水晶头，具体安装方式按现场实际情况</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DD36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5E27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118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ED2B67D">
            <w:pPr>
              <w:jc w:val="left"/>
              <w:rPr>
                <w:rFonts w:hint="eastAsia" w:ascii="宋体" w:hAnsi="宋体" w:eastAsia="宋体" w:cs="宋体"/>
                <w:i w:val="0"/>
                <w:iCs w:val="0"/>
                <w:color w:val="000000"/>
                <w:sz w:val="20"/>
                <w:szCs w:val="20"/>
                <w:u w:val="none"/>
              </w:rPr>
            </w:pPr>
          </w:p>
        </w:tc>
      </w:tr>
      <w:tr w14:paraId="01F2C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86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08A7C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CE9D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跳线</w:t>
            </w:r>
          </w:p>
        </w:tc>
        <w:tc>
          <w:tcPr>
            <w:tcW w:w="8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B8DA9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六类非屏蔽跳线（RJ45-RJ45)，2米</w:t>
            </w:r>
          </w:p>
          <w:p w14:paraId="4121BD3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1、符合ANSI/TIA-568-C.2、ISO/IEC 11801、YD/T926.3标准； </w:t>
            </w:r>
          </w:p>
          <w:p w14:paraId="77000A9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2、跳线接头类型：注塑RJ45端子-注塑RJ45端子 ；</w:t>
            </w:r>
          </w:p>
          <w:p w14:paraId="02DE0C0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3、跳线线缆类型：24AWG对绞芯线 （多股）；</w:t>
            </w:r>
          </w:p>
          <w:p w14:paraId="492CA8D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4、跳线线缆护套材质：PVC、绝缘层材质：PE、护套颜色：灰、红、蓝、黄、绿等可选； </w:t>
            </w:r>
          </w:p>
          <w:p w14:paraId="3300DD5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5、跳线弯曲半径：≥4D(D：跳线外径)； </w:t>
            </w:r>
          </w:p>
          <w:p w14:paraId="260C59D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7、水晶头塑料材质：聚碳酸酯（PC）；</w:t>
            </w:r>
          </w:p>
          <w:p w14:paraId="78E67DC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8、可提供568A及568B两种接线规格；</w:t>
            </w:r>
          </w:p>
          <w:p w14:paraId="3206A89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9、采用十字骨架结构；</w:t>
            </w:r>
          </w:p>
          <w:p w14:paraId="37286D4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10、簧片镀金：不小于50微英寸；</w:t>
            </w:r>
          </w:p>
          <w:p w14:paraId="58B6AFF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11、单根导体直流电阻：≤9.0Ω/100m；</w:t>
            </w:r>
          </w:p>
          <w:p w14:paraId="7F7B4A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12、插拔寿命插拔次数：≥750次</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F669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60313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18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2EB7937">
            <w:pPr>
              <w:jc w:val="left"/>
              <w:rPr>
                <w:rFonts w:hint="eastAsia" w:ascii="宋体" w:hAnsi="宋体" w:eastAsia="宋体" w:cs="宋体"/>
                <w:i w:val="0"/>
                <w:iCs w:val="0"/>
                <w:color w:val="000000"/>
                <w:sz w:val="20"/>
                <w:szCs w:val="20"/>
                <w:u w:val="none"/>
              </w:rPr>
            </w:pPr>
          </w:p>
        </w:tc>
      </w:tr>
      <w:tr w14:paraId="01E05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0" w:hRule="atLeast"/>
        </w:trPr>
        <w:tc>
          <w:tcPr>
            <w:tcW w:w="86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F92B9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04E1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双绞线缆</w:t>
            </w:r>
          </w:p>
        </w:tc>
        <w:tc>
          <w:tcPr>
            <w:tcW w:w="8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0895F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非屏蔽六类双绞线</w:t>
            </w:r>
          </w:p>
          <w:p w14:paraId="22195B8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1、护套材质：PVC、绝缘层材料：PE、含十字骨架、线规：24AWG；</w:t>
            </w:r>
          </w:p>
          <w:p w14:paraId="0D5CA5B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2、导体采用99.99%以上纯铜，导体直径不小于0.515（±0.005） mm；  </w:t>
            </w:r>
          </w:p>
          <w:p w14:paraId="7B8CD20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3、符合YD/T 1219、ISO/IEC 11801、ANSI/TIA-568-C.2标准；</w:t>
            </w:r>
          </w:p>
          <w:p w14:paraId="3B44E14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4、工作电容最大值：≤5.6nF/120m；</w:t>
            </w:r>
          </w:p>
          <w:p w14:paraId="0ED03C2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5、单根导体直流电阻：≤9.5Ω/120m at 20℃； </w:t>
            </w:r>
          </w:p>
          <w:p w14:paraId="5AAD5F9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6、线对直流电阻不平衡性：≤2.5%</w:t>
            </w:r>
          </w:p>
          <w:p w14:paraId="221478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7、敷设方式：具体安装方式按现场实际情况</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1D88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66295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9860</w:t>
            </w:r>
          </w:p>
        </w:tc>
        <w:tc>
          <w:tcPr>
            <w:tcW w:w="118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AF4E301">
            <w:pPr>
              <w:jc w:val="left"/>
              <w:rPr>
                <w:rFonts w:hint="eastAsia" w:ascii="宋体" w:hAnsi="宋体" w:eastAsia="宋体" w:cs="宋体"/>
                <w:i w:val="0"/>
                <w:iCs w:val="0"/>
                <w:color w:val="000000"/>
                <w:sz w:val="20"/>
                <w:szCs w:val="20"/>
                <w:u w:val="none"/>
              </w:rPr>
            </w:pPr>
          </w:p>
        </w:tc>
      </w:tr>
      <w:tr w14:paraId="7F20E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trPr>
        <w:tc>
          <w:tcPr>
            <w:tcW w:w="86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08024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4E40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线管理器</w:t>
            </w:r>
          </w:p>
        </w:tc>
        <w:tc>
          <w:tcPr>
            <w:tcW w:w="8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129F1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理线架</w:t>
            </w:r>
          </w:p>
          <w:p w14:paraId="29166D7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1、符合YD/T926.3、ISO/IEC 11801、ANSI/TIA-568-C.2标准；</w:t>
            </w:r>
          </w:p>
          <w:p w14:paraId="4E57F7F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2、选用优质冷轧钢板制作，厚度不小于1.2mm，表面脱脂、酸洗、磷化、静电喷塑处理；</w:t>
            </w:r>
          </w:p>
          <w:p w14:paraId="449E1C9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3、盖板和线环选用优质PC/ABS</w:t>
            </w:r>
          </w:p>
          <w:p w14:paraId="522E3D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4、具体安装方式按现场实际情况</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6D1F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8200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8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D18F8FE">
            <w:pPr>
              <w:jc w:val="left"/>
              <w:rPr>
                <w:rFonts w:hint="eastAsia" w:ascii="宋体" w:hAnsi="宋体" w:eastAsia="宋体" w:cs="宋体"/>
                <w:i w:val="0"/>
                <w:iCs w:val="0"/>
                <w:color w:val="000000"/>
                <w:sz w:val="20"/>
                <w:szCs w:val="20"/>
                <w:u w:val="none"/>
              </w:rPr>
            </w:pPr>
          </w:p>
        </w:tc>
      </w:tr>
      <w:tr w14:paraId="57027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0" w:hRule="atLeast"/>
        </w:trPr>
        <w:tc>
          <w:tcPr>
            <w:tcW w:w="86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2235C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3ED2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跳线</w:t>
            </w:r>
          </w:p>
        </w:tc>
        <w:tc>
          <w:tcPr>
            <w:tcW w:w="8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4D822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单模双芯LC-LC光纤跳线（3M）</w:t>
            </w:r>
          </w:p>
          <w:p w14:paraId="4D9307D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1、产品符合YD/T1272.1-2003、YD/T1258.3-2009、GB/T12357.1-2004标准；</w:t>
            </w:r>
          </w:p>
          <w:p w14:paraId="12A24BB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2、连接器采用句型结构及弹性卡子锁紧结构,防拉设计，防腐蚀主体；                                                                                                             3、机械耐久性：500次≤0.2dB（插入损耗变化量）/500次＜5dB（回波损耗变化量）、重复性：10次≤0.2dB（插入损耗变化量）/10次＜5dB（回波损耗变化量）；</w:t>
            </w:r>
          </w:p>
          <w:p w14:paraId="4C6976F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4、插拔力：≤19.6N； </w:t>
            </w:r>
          </w:p>
          <w:p w14:paraId="214DFF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5、符合CE认证                                                                                                                        </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4A7B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BB9C9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18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C1FD29A">
            <w:pPr>
              <w:jc w:val="left"/>
              <w:rPr>
                <w:rFonts w:hint="eastAsia" w:ascii="宋体" w:hAnsi="宋体" w:eastAsia="宋体" w:cs="宋体"/>
                <w:i w:val="0"/>
                <w:iCs w:val="0"/>
                <w:color w:val="000000"/>
                <w:sz w:val="20"/>
                <w:szCs w:val="20"/>
                <w:u w:val="none"/>
              </w:rPr>
            </w:pPr>
          </w:p>
        </w:tc>
      </w:tr>
      <w:tr w14:paraId="463C4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6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DA564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4C8D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光缆</w:t>
            </w:r>
          </w:p>
        </w:tc>
        <w:tc>
          <w:tcPr>
            <w:tcW w:w="8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2B14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12芯光纤，具体安装方式按现场实际情况</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3DA4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841C8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8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B2AE935">
            <w:pPr>
              <w:jc w:val="left"/>
              <w:rPr>
                <w:rFonts w:hint="eastAsia" w:ascii="宋体" w:hAnsi="宋体" w:eastAsia="宋体" w:cs="宋体"/>
                <w:i w:val="0"/>
                <w:iCs w:val="0"/>
                <w:color w:val="000000"/>
                <w:sz w:val="20"/>
                <w:szCs w:val="20"/>
                <w:u w:val="none"/>
              </w:rPr>
            </w:pPr>
          </w:p>
        </w:tc>
      </w:tr>
      <w:tr w14:paraId="4C48E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5" w:hRule="atLeast"/>
        </w:trPr>
        <w:tc>
          <w:tcPr>
            <w:tcW w:w="86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B891D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D6EB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配线架</w:t>
            </w:r>
          </w:p>
        </w:tc>
        <w:tc>
          <w:tcPr>
            <w:tcW w:w="8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C907F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12口光纤配线架</w:t>
            </w:r>
          </w:p>
          <w:p w14:paraId="2C242EF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1、符合YD/T 778-2011标准；</w:t>
            </w:r>
          </w:p>
          <w:p w14:paraId="6C0124C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2、19”机柜式固定安装，1U可安装24个法兰，</w:t>
            </w:r>
          </w:p>
          <w:p w14:paraId="5DC763F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3、光纤配线架需采用透明塑料法兰条，支持SC\FC\LC\ST光纤产品适配器和超五类，六类铜缆模块混插；</w:t>
            </w:r>
          </w:p>
          <w:p w14:paraId="4B7083B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4、内置绕纤盘，使纤芯有合理的弯曲度；</w:t>
            </w:r>
          </w:p>
          <w:p w14:paraId="23C930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5、面板采用不低于1.2 mm 的冷钢板，黑色烤漆工艺；</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88E1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AF8BC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8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41FECED">
            <w:pPr>
              <w:jc w:val="left"/>
              <w:rPr>
                <w:rFonts w:hint="eastAsia" w:ascii="宋体" w:hAnsi="宋体" w:eastAsia="宋体" w:cs="宋体"/>
                <w:i w:val="0"/>
                <w:iCs w:val="0"/>
                <w:color w:val="000000"/>
                <w:sz w:val="20"/>
                <w:szCs w:val="20"/>
                <w:u w:val="none"/>
              </w:rPr>
            </w:pPr>
          </w:p>
        </w:tc>
      </w:tr>
      <w:tr w14:paraId="2E2A4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86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99A46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64F1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机柜、机架</w:t>
            </w:r>
          </w:p>
        </w:tc>
        <w:tc>
          <w:tcPr>
            <w:tcW w:w="8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BDF7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600*600*600优质冷轧钢板、整体焊接式机柜框架、优质钢化玻璃门；</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4CA8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8606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8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98F0119">
            <w:pPr>
              <w:jc w:val="left"/>
              <w:rPr>
                <w:rFonts w:hint="eastAsia" w:ascii="宋体" w:hAnsi="宋体" w:eastAsia="宋体" w:cs="宋体"/>
                <w:i w:val="0"/>
                <w:iCs w:val="0"/>
                <w:color w:val="000000"/>
                <w:sz w:val="20"/>
                <w:szCs w:val="20"/>
                <w:u w:val="none"/>
              </w:rPr>
            </w:pPr>
          </w:p>
        </w:tc>
      </w:tr>
      <w:tr w14:paraId="21EA3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6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53079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20DB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8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E713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PVC20管，具体敷设方式按现场实际</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4520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FDD3A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18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6D7AF33">
            <w:pPr>
              <w:jc w:val="left"/>
              <w:rPr>
                <w:rFonts w:hint="eastAsia" w:ascii="宋体" w:hAnsi="宋体" w:eastAsia="宋体" w:cs="宋体"/>
                <w:i w:val="0"/>
                <w:iCs w:val="0"/>
                <w:color w:val="000000"/>
                <w:sz w:val="20"/>
                <w:szCs w:val="20"/>
                <w:u w:val="none"/>
              </w:rPr>
            </w:pPr>
          </w:p>
        </w:tc>
      </w:tr>
      <w:tr w14:paraId="537FE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ACDFC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7EA0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线槽</w:t>
            </w:r>
          </w:p>
        </w:tc>
        <w:tc>
          <w:tcPr>
            <w:tcW w:w="8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D7B3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PVC线槽40*30</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D7BE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85E2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8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59B918E">
            <w:pPr>
              <w:jc w:val="left"/>
              <w:rPr>
                <w:rFonts w:hint="eastAsia" w:ascii="宋体" w:hAnsi="宋体" w:eastAsia="宋体" w:cs="宋体"/>
                <w:i w:val="0"/>
                <w:iCs w:val="0"/>
                <w:color w:val="000000"/>
                <w:sz w:val="20"/>
                <w:szCs w:val="20"/>
                <w:u w:val="none"/>
              </w:rPr>
            </w:pPr>
          </w:p>
        </w:tc>
      </w:tr>
      <w:tr w14:paraId="41A5A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6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6135DE9">
            <w:pPr>
              <w:jc w:val="right"/>
              <w:rPr>
                <w:rFonts w:hint="eastAsia" w:ascii="宋体" w:hAnsi="宋体" w:eastAsia="宋体" w:cs="宋体"/>
                <w:i w:val="0"/>
                <w:iCs w:val="0"/>
                <w:color w:val="000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2290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计算机网络系统</w:t>
            </w:r>
          </w:p>
        </w:tc>
        <w:tc>
          <w:tcPr>
            <w:tcW w:w="8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5E34E1">
            <w:pPr>
              <w:jc w:val="lef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814AFE">
            <w:pPr>
              <w:jc w:val="left"/>
              <w:rPr>
                <w:rFonts w:hint="eastAsia" w:ascii="宋体" w:hAnsi="宋体" w:eastAsia="宋体" w:cs="宋体"/>
                <w:i w:val="0"/>
                <w:iCs w:val="0"/>
                <w:color w:val="000000"/>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E784BA">
            <w:pPr>
              <w:jc w:val="left"/>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F89D618">
            <w:pPr>
              <w:jc w:val="left"/>
              <w:rPr>
                <w:rFonts w:hint="eastAsia" w:ascii="宋体" w:hAnsi="宋体" w:eastAsia="宋体" w:cs="宋体"/>
                <w:i w:val="0"/>
                <w:iCs w:val="0"/>
                <w:color w:val="000000"/>
                <w:sz w:val="20"/>
                <w:szCs w:val="20"/>
                <w:u w:val="none"/>
              </w:rPr>
            </w:pPr>
          </w:p>
        </w:tc>
      </w:tr>
      <w:tr w14:paraId="2FF33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5" w:hRule="atLeast"/>
        </w:trPr>
        <w:tc>
          <w:tcPr>
            <w:tcW w:w="86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10519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A4E9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w:t>
            </w:r>
          </w:p>
        </w:tc>
        <w:tc>
          <w:tcPr>
            <w:tcW w:w="8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ADF52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24口千兆POE交换机</w:t>
            </w:r>
          </w:p>
          <w:p w14:paraId="691F020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1.交换容量≥336Gbps，转发性能≥126Mpps，提供官网截图和链接证明。</w:t>
            </w:r>
          </w:p>
          <w:p w14:paraId="4081FE1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2.固化10/100/1000M以太网端口≥24个，SFP非复用口≥4个。</w:t>
            </w:r>
          </w:p>
          <w:p w14:paraId="0D044FE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3.★要求所投设备MAC地址≥16K，提供官网截图和链接证明。</w:t>
            </w:r>
          </w:p>
          <w:p w14:paraId="0A4FB29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4.≥24个电口支持POE和POE+远程供电，整机POE功率输出≥370W，提供官网截图和链接证明。</w:t>
            </w:r>
          </w:p>
          <w:p w14:paraId="62FED63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5.★投标产品面板自带一键查看PoE供电状态功能的PoE按钮，轻按即可查看设备当前的通信状态和供电状态，提供所投产品官网截图、实物照片。</w:t>
            </w:r>
          </w:p>
          <w:p w14:paraId="117DFF7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6.支持IPv4和IPv6的静态路由、RIP/RIPng、OSPFv2/OSPFv3等三层路由协议。</w:t>
            </w:r>
          </w:p>
          <w:p w14:paraId="02E488C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7.要求所投设备支持1对1、1对多、多对1和基于流的本地、远程镜像；且支持RSPAN和ERSPAN。</w:t>
            </w:r>
          </w:p>
          <w:p w14:paraId="66C47B5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8.支持CPU保护功能，能够针对发往CPU处理的各种报文进行流区分和优先级队列分级处理，保护交换机在各种环境下稳定工作。</w:t>
            </w:r>
          </w:p>
          <w:p w14:paraId="0535C8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9.支持专门基础网络保护机制，能够限制用户向网络中发送数据包的速率，对有攻击行为的用户进行隔离，保证设备和整网的安全稳定运行。</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2A22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C866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8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4654A5B">
            <w:pPr>
              <w:jc w:val="left"/>
              <w:rPr>
                <w:rFonts w:hint="eastAsia" w:ascii="宋体" w:hAnsi="宋体" w:eastAsia="宋体" w:cs="宋体"/>
                <w:i w:val="0"/>
                <w:iCs w:val="0"/>
                <w:color w:val="000000"/>
                <w:sz w:val="20"/>
                <w:szCs w:val="20"/>
                <w:u w:val="none"/>
              </w:rPr>
            </w:pPr>
          </w:p>
        </w:tc>
      </w:tr>
      <w:tr w14:paraId="582E3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0" w:hRule="atLeast"/>
        </w:trPr>
        <w:tc>
          <w:tcPr>
            <w:tcW w:w="86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09B51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0A0A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w:t>
            </w:r>
          </w:p>
        </w:tc>
        <w:tc>
          <w:tcPr>
            <w:tcW w:w="8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3C4DC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24口千兆交换机</w:t>
            </w:r>
          </w:p>
          <w:p w14:paraId="1460442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1.交换容量≥336Gbps，提供官网截图和链接证明。</w:t>
            </w:r>
          </w:p>
          <w:p w14:paraId="0AD0EDD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2.转发性能≥126Mpps，提供官网截图和链接证明。</w:t>
            </w:r>
          </w:p>
          <w:p w14:paraId="5D48B1F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3.固化10/100/1000M自适应以太网端口≥24个，1G SFP光接口≥4个</w:t>
            </w:r>
          </w:p>
          <w:p w14:paraId="7D6ED3A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4.要求所投设备MAC地址≥16K。</w:t>
            </w:r>
          </w:p>
          <w:p w14:paraId="3F898CF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5.要求所投设备支持1对1、基于流、基于VLAN的镜像；支持RSPAN</w:t>
            </w:r>
          </w:p>
          <w:p w14:paraId="279B155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6.支持CPU保护功能，能限制非法报文对CPU的攻击，保护交换机在各种环境下稳定工作。</w:t>
            </w:r>
          </w:p>
          <w:p w14:paraId="3136830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7.支持专门基础网络保护机制，能够限制用户向网络中发送数据包的速率，对有攻击行为的用户进行隔离，保证设备和整网的安全稳定运行，提供官网截图和链接证明。</w:t>
            </w:r>
          </w:p>
          <w:p w14:paraId="6FFCB3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8.★提供工信部设备进网许可证。</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E773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7D98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8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5C25497">
            <w:pPr>
              <w:jc w:val="left"/>
              <w:rPr>
                <w:rFonts w:hint="eastAsia" w:ascii="宋体" w:hAnsi="宋体" w:eastAsia="宋体" w:cs="宋体"/>
                <w:i w:val="0"/>
                <w:iCs w:val="0"/>
                <w:color w:val="000000"/>
                <w:sz w:val="20"/>
                <w:szCs w:val="20"/>
                <w:u w:val="none"/>
              </w:rPr>
            </w:pPr>
          </w:p>
        </w:tc>
      </w:tr>
      <w:tr w14:paraId="43247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6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36AFA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70D7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接口卡</w:t>
            </w:r>
          </w:p>
        </w:tc>
        <w:tc>
          <w:tcPr>
            <w:tcW w:w="8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1C78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光模块-SFP-GE-单模模块-(1310nm,10km,LC)</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D866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74B69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8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7845EF5">
            <w:pPr>
              <w:jc w:val="left"/>
              <w:rPr>
                <w:rFonts w:hint="eastAsia" w:ascii="宋体" w:hAnsi="宋体" w:eastAsia="宋体" w:cs="宋体"/>
                <w:i w:val="0"/>
                <w:iCs w:val="0"/>
                <w:color w:val="000000"/>
                <w:sz w:val="20"/>
                <w:szCs w:val="20"/>
                <w:u w:val="none"/>
              </w:rPr>
            </w:pPr>
          </w:p>
        </w:tc>
      </w:tr>
      <w:tr w14:paraId="05FA3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86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C28E6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0BC8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w:t>
            </w:r>
          </w:p>
        </w:tc>
        <w:tc>
          <w:tcPr>
            <w:tcW w:w="8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0CA81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核心交换机</w:t>
            </w:r>
          </w:p>
          <w:p w14:paraId="722CD2C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1.交换容量≥6.4Tbps/64Tbps，转发性能≥2880Mpps/12600Mpps，提供官网截图及链接证明；</w:t>
            </w:r>
          </w:p>
          <w:p w14:paraId="3C100CF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2.要求独立业务插槽≥8个，提供官网截图及链接证明；</w:t>
            </w:r>
          </w:p>
          <w:p w14:paraId="10BEE5E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3.提供千兆光口≥24个，千兆电口≥24个，1G/10G SFP+光口≥4个；</w:t>
            </w:r>
          </w:p>
          <w:p w14:paraId="5FF40A7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4.支持独立的路由板卡和无线控制器板卡，可实现NAT、无线控制等功能，提供官网截图及链接证明；</w:t>
            </w:r>
          </w:p>
          <w:p w14:paraId="51FC3D0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5.内存≥2GB，Flash≥4GB，支持1个硬盘，硬盘容量≥1TB；</w:t>
            </w:r>
          </w:p>
          <w:p w14:paraId="0221914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6.支持可拔插双模块化电源，实现1+1冗余，支持热插拔。 </w:t>
            </w:r>
          </w:p>
          <w:p w14:paraId="09FA02D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7.支持POE/POE+，最大可支持POE供电端口≥48个，POE最大输出功率≥1040W；</w:t>
            </w:r>
          </w:p>
          <w:p w14:paraId="05677E5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8.为提高设备内部空间利用率，要求采用高密度端口设计；同时符合业界主流机柜的尺寸规范要求，设备高度≤2U，设备深度≤400mm；</w:t>
            </w:r>
          </w:p>
          <w:p w14:paraId="6CC1254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9.采用正交交换架构，交换网板与线卡成垂直90°正交连接，业务板槽位采用竖插槽方式设计；</w:t>
            </w:r>
          </w:p>
          <w:p w14:paraId="522A2F9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N:1虚拟化：可将多台物理设备虚拟化为1台逻辑设备，VSU和外围设备通过聚合链路连接，如果其中一台设备或者一条成员链路出现故障，切换到另一条成员链路的时间毫秒级。提供具有CMA或CAL或CNAS认证章的第三方权威机构检验报告证明；</w:t>
            </w:r>
          </w:p>
          <w:p w14:paraId="3C17B30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11.支持静态路由、等价路由、策略路由；支持OSPF v2/v3、RIPv1/v2、RIPng、BGPv4、BGP4+、IS-ISv4/v6等路由协议；</w:t>
            </w:r>
          </w:p>
          <w:p w14:paraId="27F8706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12.为保障业务安全，产品具备安全特性。支持一般性防攻击、AAA、RADIUS、ARP安全等；</w:t>
            </w:r>
          </w:p>
          <w:p w14:paraId="0F809A8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13.支持IEEE 802.1d(STP)、 802.1w(RSTP)、 802.1s(MSTP)，支持端口聚合，支持一对一镜像、多对一镜像、一对多镜像，支持流镜像，支持SPAN、RSPAN远程镜像；</w:t>
            </w:r>
          </w:p>
          <w:p w14:paraId="621AA2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支持快速检测链路的通断和光纤链路的单向性，并支持端口下的环路检测功能，当设备端口检测到环路时，执行关联策略并通告控制器对应的接口告警信息并记录。提供具有CMA或CAL或CNAS认证章的第三方权威机构检验报告证明；</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1A1D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E4A5D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C96983D">
            <w:pPr>
              <w:jc w:val="left"/>
              <w:rPr>
                <w:rFonts w:hint="eastAsia" w:ascii="宋体" w:hAnsi="宋体" w:eastAsia="宋体" w:cs="宋体"/>
                <w:i w:val="0"/>
                <w:iCs w:val="0"/>
                <w:color w:val="000000"/>
                <w:sz w:val="20"/>
                <w:szCs w:val="20"/>
                <w:u w:val="none"/>
              </w:rPr>
            </w:pPr>
          </w:p>
        </w:tc>
      </w:tr>
      <w:tr w14:paraId="3411E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0" w:hRule="atLeast"/>
        </w:trPr>
        <w:tc>
          <w:tcPr>
            <w:tcW w:w="86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5E30D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CE9A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集线器</w:t>
            </w:r>
          </w:p>
        </w:tc>
        <w:tc>
          <w:tcPr>
            <w:tcW w:w="8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DFCA2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面板式AP（Wi-Fi 6）</w:t>
            </w:r>
          </w:p>
          <w:p w14:paraId="609887E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1.支持802.11ax标准，采用双射频设计，整机空间流≥4条。提供官网截图和链接证明。</w:t>
            </w:r>
          </w:p>
          <w:p w14:paraId="54A8B15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2.整机最大接入速率≥2.975Gbps，提供官网截图和链接证明。</w:t>
            </w:r>
          </w:p>
          <w:p w14:paraId="2589E26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3.5GHz单射频支持2*2 MU-MIMO，且单射频最大接入速率≥2.4Gbps，提供官网截图和链接证明。</w:t>
            </w:r>
          </w:p>
          <w:p w14:paraId="3CEE107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4.1G以太网上联口≥1个，1G以太网下联口≥4个，提供官网截图和链接证明。</w:t>
            </w:r>
          </w:p>
          <w:p w14:paraId="37C4DFA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5.★面板型AP，支持嵌入86面板安装方式，提供官网截图和链接证明。</w:t>
            </w:r>
          </w:p>
          <w:p w14:paraId="36CDF01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6.考虑安装后的美观度，面板AP厚度≤43mm，外露墙体部分尺寸≤86mm×120mm×24.1mm（宽×高×深），提供官网参数截图或产品实物证明。</w:t>
            </w:r>
          </w:p>
          <w:p w14:paraId="62A12AF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7.★整机功耗&lt;10W，提供官网截图和链接证明。</w:t>
            </w:r>
          </w:p>
          <w:p w14:paraId="0F88BA6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8.为保证用电安全与电源的易获得性，同时支持802.3af和本地DC12V电源供电模式，提供官网截图和链接证明。</w:t>
            </w:r>
          </w:p>
          <w:p w14:paraId="796B5EB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9.支持SSID隐藏，每个SSID可配置单独的认证方式、加密机制，VLAN属性。</w:t>
            </w:r>
          </w:p>
          <w:p w14:paraId="10ED018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10.支持基于SSID、射频卡的用户数限制。</w:t>
            </w:r>
          </w:p>
          <w:p w14:paraId="46B173C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11.支持基于终端数或流量的智能负载均衡。</w:t>
            </w:r>
          </w:p>
          <w:p w14:paraId="33E123D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支持带宽限制，支持基于STA/SSID/AP的限速。</w:t>
            </w:r>
          </w:p>
          <w:p w14:paraId="54D784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支持Fat/Fit模式切换。当工作在Fit（瘦）模式时，可通过AC系列无线控制器切换为Fat模式；当工作在Fat（胖）模式时，可通过本地控制口、Telnet方式切换为Fit模式。</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7592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BD58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8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75B76E7">
            <w:pPr>
              <w:jc w:val="left"/>
              <w:rPr>
                <w:rFonts w:hint="eastAsia" w:ascii="宋体" w:hAnsi="宋体" w:eastAsia="宋体" w:cs="宋体"/>
                <w:i w:val="0"/>
                <w:iCs w:val="0"/>
                <w:color w:val="000000"/>
                <w:sz w:val="20"/>
                <w:szCs w:val="20"/>
                <w:u w:val="none"/>
              </w:rPr>
            </w:pPr>
          </w:p>
        </w:tc>
      </w:tr>
      <w:tr w14:paraId="0D95F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5" w:hRule="atLeast"/>
        </w:trPr>
        <w:tc>
          <w:tcPr>
            <w:tcW w:w="86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E8795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55D9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集线器</w:t>
            </w:r>
          </w:p>
        </w:tc>
        <w:tc>
          <w:tcPr>
            <w:tcW w:w="8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BDEAD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室内AP</w:t>
            </w:r>
          </w:p>
          <w:p w14:paraId="03670FD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1.支持802.11ax协议；整机支持≥4条空间流；整机最大无线速率≥2.97Gbps。提供官网截图和链接证明。</w:t>
            </w:r>
          </w:p>
          <w:p w14:paraId="02E2509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2.★由于AP部署在开放环境中，为保障设备受到外部机械碰撞仍可以保持结构完整、功能完备，要求所投室内无线接入点符合国标GB/T 20138-2006即《电器设备外壳对外界机械碰撞的防护等级（IK代码）》标准，至少达到防护等级IK08，提供第三方权威测试报告（需具备CNAS标志）复印件。</w:t>
            </w:r>
          </w:p>
          <w:p w14:paraId="707FF15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3.★内置蓝牙5.1。提供官网截图和链接证明。</w:t>
            </w:r>
          </w:p>
          <w:p w14:paraId="5115C90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4.至少支持1个1000M自适应以太网端口；至少支持1个2.5G SFP光口；提供官网截图和链接证明。</w:t>
            </w:r>
          </w:p>
          <w:p w14:paraId="11E644F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5.为快速建立高度隔离的安全网络，设备应支持实现AP虚拟化功能，实现一台AP虚拟为多台AP，分别受不同AC设备独立管理，互不影响。不同虚拟AP之间数据隔离，虚拟AP在AC上不占用AP License。</w:t>
            </w:r>
          </w:p>
          <w:p w14:paraId="066ED6B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6.提供无线电发射设备型号核准复印件及工信部官网的查询截图。产品型号需和核准型号保持一致。</w:t>
            </w:r>
          </w:p>
          <w:p w14:paraId="48E8CBF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7.AP整机最大终端接入数≥128个。</w:t>
            </w:r>
          </w:p>
          <w:p w14:paraId="1EB683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8.所投AP具有WLAN自动网优功能，不借助任何网络优化软件，仅通过AP配置进行无线网络优化，降低无线网络中的频段干扰。</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E29D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92B76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8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043F5B5">
            <w:pPr>
              <w:jc w:val="left"/>
              <w:rPr>
                <w:rFonts w:hint="eastAsia" w:ascii="宋体" w:hAnsi="宋体" w:eastAsia="宋体" w:cs="宋体"/>
                <w:i w:val="0"/>
                <w:iCs w:val="0"/>
                <w:color w:val="000000"/>
                <w:sz w:val="20"/>
                <w:szCs w:val="20"/>
                <w:u w:val="none"/>
              </w:rPr>
            </w:pPr>
          </w:p>
        </w:tc>
      </w:tr>
      <w:tr w14:paraId="49825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0" w:hRule="atLeast"/>
        </w:trPr>
        <w:tc>
          <w:tcPr>
            <w:tcW w:w="86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7E9ED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C14B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集线器</w:t>
            </w:r>
          </w:p>
        </w:tc>
        <w:tc>
          <w:tcPr>
            <w:tcW w:w="8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0B8E0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室外AP</w:t>
            </w:r>
          </w:p>
          <w:p w14:paraId="255A40D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1.支持标准的802.11ax协议，采用双射频设计，整机空间流≥4条。提供官网截图和链接证明。</w:t>
            </w:r>
          </w:p>
          <w:p w14:paraId="431D204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2.至少支持1个2.5G SFP光口；1个10/100/1000Base-T以太网接口。</w:t>
            </w:r>
          </w:p>
          <w:p w14:paraId="0065178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3.★整机最大无线接入速率≥2.975Gbps。提供官网截图和链接证明。</w:t>
            </w:r>
          </w:p>
          <w:p w14:paraId="2F28A7E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4.防护等级至少达到IP68。要求提供官网截图和链接证明</w:t>
            </w:r>
          </w:p>
          <w:p w14:paraId="0B5AECA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5.支持标准的802.3af/802.3at协议进行PoE供电，整机功耗≤12.95w。提供官网截图和链接证明。</w:t>
            </w:r>
          </w:p>
          <w:p w14:paraId="2064EA8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6.★设备支持内置全向天线。提供官网截图和链接证明。</w:t>
            </w:r>
          </w:p>
          <w:p w14:paraId="269F2D0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7.★提供无线电发射设备型号核准证复印件及国家无线电监测中心的查询截图。</w:t>
            </w:r>
          </w:p>
          <w:p w14:paraId="73598DF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8.★投标AP符合无线技术行业标准，遵守标准协议，确保投标产品具有更好的通用性和兼容性。提供投标AP的Wi-Fi联盟认证，证书的产品信息（Product Name）必须与投标AP型号一致，Wi-Fi联盟官网可查</w:t>
            </w:r>
          </w:p>
          <w:p w14:paraId="459DB28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9.支持蓝牙5.0</w:t>
            </w:r>
          </w:p>
          <w:p w14:paraId="2BCE87C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10.支持胖/瘦AP两种工作模式的切换，在瘦AP工作模式时，AP与控制器之间采用国际标准的CAPWAP协议通信。</w:t>
            </w:r>
          </w:p>
          <w:p w14:paraId="599F7E0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11.为增强无线网络可靠性，支持当AC宕机时，AP切换为智能转发模式继续传输数据，保证无线用户正常使用。</w:t>
            </w:r>
          </w:p>
          <w:p w14:paraId="298AC7B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12.最大接入用户数≥1024，提供官网截图和链接证明。</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12F7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0CCAD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8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ACEDC3E">
            <w:pPr>
              <w:jc w:val="left"/>
              <w:rPr>
                <w:rFonts w:hint="eastAsia" w:ascii="宋体" w:hAnsi="宋体" w:eastAsia="宋体" w:cs="宋体"/>
                <w:i w:val="0"/>
                <w:iCs w:val="0"/>
                <w:color w:val="000000"/>
                <w:sz w:val="20"/>
                <w:szCs w:val="20"/>
                <w:u w:val="none"/>
              </w:rPr>
            </w:pPr>
          </w:p>
        </w:tc>
      </w:tr>
      <w:tr w14:paraId="62D55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6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DE8D76A">
            <w:pPr>
              <w:jc w:val="right"/>
              <w:rPr>
                <w:rFonts w:hint="eastAsia" w:ascii="宋体" w:hAnsi="宋体" w:eastAsia="宋体" w:cs="宋体"/>
                <w:i w:val="0"/>
                <w:iCs w:val="0"/>
                <w:color w:val="000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45D2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综合安防系统</w:t>
            </w:r>
          </w:p>
        </w:tc>
        <w:tc>
          <w:tcPr>
            <w:tcW w:w="8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0C8AA5">
            <w:pPr>
              <w:jc w:val="lef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171ED4">
            <w:pPr>
              <w:jc w:val="left"/>
              <w:rPr>
                <w:rFonts w:hint="eastAsia" w:ascii="宋体" w:hAnsi="宋体" w:eastAsia="宋体" w:cs="宋体"/>
                <w:i w:val="0"/>
                <w:iCs w:val="0"/>
                <w:color w:val="000000"/>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106FDD">
            <w:pPr>
              <w:jc w:val="left"/>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BB9AE3F">
            <w:pPr>
              <w:jc w:val="left"/>
              <w:rPr>
                <w:rFonts w:hint="eastAsia" w:ascii="宋体" w:hAnsi="宋体" w:eastAsia="宋体" w:cs="宋体"/>
                <w:i w:val="0"/>
                <w:iCs w:val="0"/>
                <w:color w:val="000000"/>
                <w:sz w:val="20"/>
                <w:szCs w:val="20"/>
                <w:u w:val="none"/>
              </w:rPr>
            </w:pPr>
          </w:p>
        </w:tc>
      </w:tr>
      <w:tr w14:paraId="53A04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5" w:hRule="atLeast"/>
        </w:trPr>
        <w:tc>
          <w:tcPr>
            <w:tcW w:w="86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C3705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8C29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w:t>
            </w:r>
          </w:p>
        </w:tc>
        <w:tc>
          <w:tcPr>
            <w:tcW w:w="8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15616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24口千兆POE交换机</w:t>
            </w:r>
          </w:p>
          <w:p w14:paraId="1F6F196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1.交换容量≥336Gbps，转发性能≥126Mpps。</w:t>
            </w:r>
          </w:p>
          <w:p w14:paraId="6D2DCBB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2.固化10/100/1000M以太网端口≥24个，SFP非复用口≥4个。</w:t>
            </w:r>
          </w:p>
          <w:p w14:paraId="4362554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3.要求设备MAC地址≥16K。</w:t>
            </w:r>
          </w:p>
          <w:p w14:paraId="66E11AD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4.≥24个电口支持POE和POE+远程供电，整机POE功率输出≥370W。</w:t>
            </w:r>
          </w:p>
          <w:p w14:paraId="70CA82A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5.面板自带一键查看PoE供电状态功能的PoE按钮，轻按即可查看设备当前的通信状态和供电状态。</w:t>
            </w:r>
          </w:p>
          <w:p w14:paraId="01B53DB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6.支持IPv4和IPv6的静态路由、RIP/RIPng、OSPFv2/OSPFv3等三层路由协议。</w:t>
            </w:r>
          </w:p>
          <w:p w14:paraId="2A51D0F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7.要求设备支持1对1、1对多、多对1和基于流的本地、远程镜像；且支持RSPAN和ERSPAN。</w:t>
            </w:r>
          </w:p>
          <w:p w14:paraId="1CE3F0A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8.支持CPU保护功能，能够针对发往CPU处理的各种报文进行流区分和优先级队列分级处理，保护交换机在各种环境下稳定工作。</w:t>
            </w:r>
          </w:p>
          <w:p w14:paraId="02BFF0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9.支持专门基础网络保护机制，能够限制用户向网络中发送数据包的速率，对有攻击行为的用户进行隔离，保证设备和整网的安全稳定运行。</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2796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C00F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E4F4EA0">
            <w:pPr>
              <w:jc w:val="left"/>
              <w:rPr>
                <w:rFonts w:hint="eastAsia" w:ascii="宋体" w:hAnsi="宋体" w:eastAsia="宋体" w:cs="宋体"/>
                <w:i w:val="0"/>
                <w:iCs w:val="0"/>
                <w:color w:val="000000"/>
                <w:sz w:val="20"/>
                <w:szCs w:val="20"/>
                <w:u w:val="none"/>
              </w:rPr>
            </w:pPr>
          </w:p>
        </w:tc>
      </w:tr>
      <w:tr w14:paraId="75226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0" w:hRule="atLeast"/>
        </w:trPr>
        <w:tc>
          <w:tcPr>
            <w:tcW w:w="86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A7EB8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7A40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监控摄像设备</w:t>
            </w:r>
          </w:p>
        </w:tc>
        <w:tc>
          <w:tcPr>
            <w:tcW w:w="8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3A1EC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200W网络半球型摄像机</w:t>
            </w:r>
          </w:p>
          <w:p w14:paraId="2C7E873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 最高分辨率可达1920 × 1080 @25 fps，在该分辨率下可输出实时图像</w:t>
            </w:r>
          </w:p>
          <w:p w14:paraId="06FB840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 支持用户登录锁定机制，及密码复杂度提示</w:t>
            </w:r>
          </w:p>
          <w:p w14:paraId="6170A3F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 支持2项智能侦测：越界侦测，区域入侵侦测</w:t>
            </w:r>
          </w:p>
          <w:p w14:paraId="313FD16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4、支持ROI感兴趣区域增强编码，Smart265/264编码，可根据场景情况自适应调整码率分配，有效节省存储成本</w:t>
            </w:r>
          </w:p>
          <w:p w14:paraId="788A9BD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 、支持背光补偿，强光抑制，3D数字降噪，适应不同使用环境</w:t>
            </w:r>
          </w:p>
          <w:p w14:paraId="36B585D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6、支持开放型网络视频接口，ISAPI，SDK，GB28181协议</w:t>
            </w:r>
          </w:p>
          <w:p w14:paraId="5E6A7F0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 1个内置麦克风</w:t>
            </w:r>
          </w:p>
          <w:p w14:paraId="24E893F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8、采用高效阵列红外灯，使用寿命长，红外照射距离最远可达30 m</w:t>
            </w:r>
          </w:p>
          <w:p w14:paraId="50542F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 符合IP66防尘防水设计，可靠性高</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2B6D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AE43A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8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BC1FCB7">
            <w:pPr>
              <w:jc w:val="left"/>
              <w:rPr>
                <w:rFonts w:hint="eastAsia" w:ascii="宋体" w:hAnsi="宋体" w:eastAsia="宋体" w:cs="宋体"/>
                <w:i w:val="0"/>
                <w:iCs w:val="0"/>
                <w:color w:val="000000"/>
                <w:sz w:val="20"/>
                <w:szCs w:val="20"/>
                <w:u w:val="none"/>
              </w:rPr>
            </w:pPr>
          </w:p>
        </w:tc>
      </w:tr>
      <w:tr w14:paraId="7F2B0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0" w:hRule="atLeast"/>
        </w:trPr>
        <w:tc>
          <w:tcPr>
            <w:tcW w:w="86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62C46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92CF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监控摄像设备</w:t>
            </w:r>
          </w:p>
        </w:tc>
        <w:tc>
          <w:tcPr>
            <w:tcW w:w="8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32B3D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200W网络枪型摄像机（含枪机支架）</w:t>
            </w:r>
          </w:p>
          <w:p w14:paraId="4D04FC8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 最高分辨率可达1920 × 1080 @25 fps，在该分辨率下可输出实时图像</w:t>
            </w:r>
          </w:p>
          <w:p w14:paraId="21F3F54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2、支持用户登录锁定机制，及密码复杂度提示</w:t>
            </w:r>
          </w:p>
          <w:p w14:paraId="798BC9D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 支持2项智能侦测：越界侦测，区域入侵侦测</w:t>
            </w:r>
          </w:p>
          <w:p w14:paraId="28CA2B0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4、支持ROI感兴趣区域增强编码，Smart265/264编码，可根据场景情况自适应调整码率分配，有效节省存储成本</w:t>
            </w:r>
          </w:p>
          <w:p w14:paraId="00CFFB9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 支持背光补偿，强光抑制，3D数字降噪，适应不同使用环境</w:t>
            </w:r>
          </w:p>
          <w:p w14:paraId="6128761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 采用高效阵列红外灯，使用寿命长，红外照射距离最远可达30 m</w:t>
            </w:r>
          </w:p>
          <w:p w14:paraId="731CC8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 符合IP66防尘防水设计，可靠性高</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824C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EDAE4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8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FFBDF23">
            <w:pPr>
              <w:jc w:val="left"/>
              <w:rPr>
                <w:rFonts w:hint="eastAsia" w:ascii="宋体" w:hAnsi="宋体" w:eastAsia="宋体" w:cs="宋体"/>
                <w:i w:val="0"/>
                <w:iCs w:val="0"/>
                <w:color w:val="000000"/>
                <w:sz w:val="20"/>
                <w:szCs w:val="20"/>
                <w:u w:val="none"/>
              </w:rPr>
            </w:pPr>
          </w:p>
        </w:tc>
      </w:tr>
      <w:tr w14:paraId="0EFE7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C9B98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8847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网络服务器</w:t>
            </w:r>
          </w:p>
        </w:tc>
        <w:tc>
          <w:tcPr>
            <w:tcW w:w="8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80933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视频存储服务器</w:t>
            </w:r>
          </w:p>
          <w:p w14:paraId="1E75E70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过前置灯状态，可以快速判断关键部件的异常状态：1.可通过设备定位灯，在多台设备中快速定位某一台设备；2.设备正常时报警灯不亮；异常时报警灯根据不同报警级别（紧急、严重、警告）进行不同频率的显示；3.当出现网络不通、网口降速，IP地址冲突，MAC冲突等异常情况时，网络灯红色常亮，故障恢复后，恢复为正常状态；4.出现任意一个系统卡缺失、系统卡错误，系统卡空间不足的情况时，状态灯红色常亮进行预警。故障SSD盘，组成RAID1</w:t>
            </w:r>
          </w:p>
          <w:p w14:paraId="4EC8711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设备具备1个定位灯、1个电源灯、1个设备报警灯、1个就绪灯、1个网络状态灯、1个系统盘状态灯、1个硬盘状态灯，机箱具备防尘滤网，采用双立柱防震设计。设备左右侧面各2个抬手，具备前面板抽拉标签卡</w:t>
            </w:r>
          </w:p>
          <w:p w14:paraId="171D5C21">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4U机架式24盘位网络存储设备，搭载64位多核处理器，1+1冗余电源、冗余风扇，实现7×24小</w:t>
            </w:r>
            <w:r>
              <w:rPr>
                <w:rFonts w:hint="eastAsia" w:ascii="宋体" w:hAnsi="宋体" w:eastAsia="宋体" w:cs="宋体"/>
                <w:i w:val="0"/>
                <w:iCs w:val="0"/>
                <w:color w:val="auto"/>
                <w:kern w:val="0"/>
                <w:sz w:val="20"/>
                <w:szCs w:val="20"/>
                <w:u w:val="none"/>
                <w:lang w:val="en-US" w:eastAsia="zh-CN" w:bidi="ar"/>
              </w:rPr>
              <w:t>时稳定运行</w:t>
            </w:r>
          </w:p>
          <w:p w14:paraId="4200F678">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【硬件规格】</w:t>
            </w:r>
          </w:p>
          <w:p w14:paraId="54AF4750">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处理器：国产自研，核数≥8核，频率≥2.8GHz，CPU需符合国家安全可靠测评要求。</w:t>
            </w:r>
          </w:p>
          <w:p w14:paraId="22F8B7F9">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系统内存：16GB（可扩展至128GB）</w:t>
            </w:r>
          </w:p>
          <w:p w14:paraId="10075027">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系统盘：1×240GB SSD（后置）</w:t>
            </w:r>
          </w:p>
          <w:p w14:paraId="34EAA278">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存储接口：24个SATA接口，支持硬盘热插拔，可满配4TB/6TB/8TB/10TB/16TB/25TB硬盘恢复后，恢复为正常状态 </w:t>
            </w:r>
          </w:p>
          <w:p w14:paraId="43909499">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每个控制单元支持双系统应用，外置系统盘支持RAID1模式，系统盘支持热插拔，当主系统出现故障时，备用系统可接管工作；支持系统盘为独立的2块HDD（SATA、SAS）或网络接口：4个2.5G数据网口，1个千兆管理口</w:t>
            </w:r>
          </w:p>
          <w:p w14:paraId="49C303D3">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其他接口：1×COM，2×USB2.0（前置），2×USB3.0（后置），1×VGA（前置），1×HDMI（后置）</w:t>
            </w:r>
          </w:p>
          <w:p w14:paraId="0B7A469C">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整机电源：550W，1+1冗余电源。</w:t>
            </w:r>
          </w:p>
          <w:p w14:paraId="068605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auto"/>
                <w:kern w:val="0"/>
                <w:sz w:val="20"/>
                <w:szCs w:val="20"/>
                <w:u w:val="none"/>
                <w:lang w:val="en-US" w:eastAsia="zh-CN" w:bidi="ar"/>
              </w:rPr>
              <w:t>▲产品通过中国信息安全测评中心测评（投标人提供承诺函并加盖公章）</w:t>
            </w:r>
            <w:r>
              <w:rPr>
                <w:rFonts w:hint="eastAsia" w:ascii="宋体" w:hAnsi="宋体" w:cs="宋体"/>
                <w:i w:val="0"/>
                <w:iCs w:val="0"/>
                <w:color w:val="auto"/>
                <w:kern w:val="0"/>
                <w:sz w:val="20"/>
                <w:szCs w:val="20"/>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EAE6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C8E5A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CAA0F7C">
            <w:pPr>
              <w:jc w:val="left"/>
              <w:rPr>
                <w:rFonts w:hint="eastAsia" w:ascii="宋体" w:hAnsi="宋体" w:eastAsia="宋体" w:cs="宋体"/>
                <w:i w:val="0"/>
                <w:iCs w:val="0"/>
                <w:color w:val="000000"/>
                <w:sz w:val="20"/>
                <w:szCs w:val="20"/>
                <w:u w:val="none"/>
              </w:rPr>
            </w:pPr>
          </w:p>
        </w:tc>
      </w:tr>
      <w:tr w14:paraId="53D3F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5" w:hRule="atLeast"/>
        </w:trPr>
        <w:tc>
          <w:tcPr>
            <w:tcW w:w="86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FD14F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09DB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企业级硬盘</w:t>
            </w:r>
          </w:p>
        </w:tc>
        <w:tc>
          <w:tcPr>
            <w:tcW w:w="8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019E9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16TB容量，3.5英寸，SATA3.0接口，7200RPM</w:t>
            </w:r>
          </w:p>
          <w:p w14:paraId="77563C8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氦气盘， CMR传统磁记录</w:t>
            </w:r>
          </w:p>
          <w:p w14:paraId="65D9849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传输速率269 MB/s，512MB高速缓存，流畅存储视频有效防止丢帧</w:t>
            </w:r>
          </w:p>
          <w:p w14:paraId="7B6A214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MTBF可达2,500,000小时</w:t>
            </w:r>
          </w:p>
          <w:p w14:paraId="0F7D547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满足数据严苛的7*24小时运行可靠性、安全性的需求</w:t>
            </w:r>
          </w:p>
          <w:p w14:paraId="2E47158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支持5年有限质保服务</w:t>
            </w:r>
          </w:p>
          <w:p w14:paraId="13EB440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接口类型：SATA3.0</w:t>
            </w:r>
          </w:p>
          <w:p w14:paraId="0BEA005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尺寸：3.5寸</w:t>
            </w:r>
          </w:p>
          <w:p w14:paraId="2298631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转速：7200</w:t>
            </w:r>
          </w:p>
          <w:p w14:paraId="55A8C5A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平均读写功率（W）：6.4W</w:t>
            </w:r>
          </w:p>
          <w:p w14:paraId="4DF16FB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缓存：512MB</w:t>
            </w:r>
          </w:p>
          <w:p w14:paraId="131C9EC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标称容量：16TB</w:t>
            </w:r>
          </w:p>
          <w:p w14:paraId="75D396B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刻录技术：CMR</w:t>
            </w:r>
          </w:p>
          <w:p w14:paraId="16F684C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接口传输速率（最大值）：6Gb/s</w:t>
            </w:r>
          </w:p>
          <w:p w14:paraId="7A9D78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MTBF：2500000 h</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AA19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349F9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8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68703E4">
            <w:pPr>
              <w:jc w:val="left"/>
              <w:rPr>
                <w:rFonts w:hint="eastAsia" w:ascii="宋体" w:hAnsi="宋体" w:eastAsia="宋体" w:cs="宋体"/>
                <w:i w:val="0"/>
                <w:iCs w:val="0"/>
                <w:color w:val="000000"/>
                <w:sz w:val="20"/>
                <w:szCs w:val="20"/>
                <w:u w:val="none"/>
              </w:rPr>
            </w:pPr>
          </w:p>
        </w:tc>
      </w:tr>
      <w:tr w14:paraId="66E7F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0" w:hRule="atLeast"/>
        </w:trPr>
        <w:tc>
          <w:tcPr>
            <w:tcW w:w="86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ADED3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8132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高清视频解码器</w:t>
            </w:r>
          </w:p>
        </w:tc>
        <w:tc>
          <w:tcPr>
            <w:tcW w:w="8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007EA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超高清解码器</w:t>
            </w:r>
          </w:p>
          <w:p w14:paraId="0EFCE15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视频输入</w:t>
            </w:r>
          </w:p>
          <w:p w14:paraId="0F2CFB1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支持电脑、视频会议终端等视频输入信号源，支持2路1080P@50/60 或1路4K@30，通过HDMI 1.4本地输入，HDMI可内嵌音频</w:t>
            </w:r>
          </w:p>
          <w:p w14:paraId="5519753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支持网络IPC、NVR等设备类型作为网络信号源输入</w:t>
            </w:r>
          </w:p>
          <w:p w14:paraId="6442422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视频输出</w:t>
            </w:r>
          </w:p>
          <w:p w14:paraId="581BDA2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•支持HDMI 1.4视频信号输出，支持4K分辨率（3840 × 2160@30 Hz）超高清输出；支持对接LED显示系统，视频输出最大的LED带载能力为单口260 W</w:t>
            </w:r>
          </w:p>
          <w:p w14:paraId="135D293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•支持两种音频输出方式：HDMI内嵌音频和外置音频输出</w:t>
            </w:r>
          </w:p>
          <w:p w14:paraId="45C928B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视频编解码</w:t>
            </w:r>
          </w:p>
          <w:p w14:paraId="3FE54F8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•采用H.264/H.265编码标准，默认采用H.265，支持子码流及主码流编码</w:t>
            </w:r>
          </w:p>
          <w:p w14:paraId="78FBF8A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•支持网络设备解码，支持H.264、H.265、Smart264、Smart265、MJPEG等主流码流格式，支持PS、TS、ES、RTP等主流封装格式，支持子码流及主码流切换</w:t>
            </w:r>
          </w:p>
          <w:p w14:paraId="32640D4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•最大支持3200w分辨率解码，具有64个解码通道，支持32路200W或64路720P视频同时解码上墙</w:t>
            </w:r>
          </w:p>
          <w:p w14:paraId="538B03B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•支持加密码流、多轨码流、智能码流解码；支持码流修改和切换；支持解码异常提示</w:t>
            </w:r>
          </w:p>
          <w:p w14:paraId="5B3A245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电视墙功能</w:t>
            </w:r>
          </w:p>
          <w:p w14:paraId="30EC282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支持单面电视墙拼接、开窗、窗口跨屏漫游、场景轮巡和窗口轮巡功能，单屏支持4个1080P或2个4K图层，单窗口支持1/4/6/8/9/16/25/36窗口分屏功能，整机最大支持64个场景，整机支持256个平台预案轮巡组</w:t>
            </w:r>
          </w:p>
          <w:p w14:paraId="5CA2F17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支持RTP\RTSP协议进行网络源预览，可通过smartwall客户端进行桌面投屏上墙</w:t>
            </w:r>
          </w:p>
          <w:p w14:paraId="66EF59D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•支持电视墙界面对网络信号源云台八个方向、自动扫描、光圈、调焦、聚焦、调用预置点等操作</w:t>
            </w:r>
          </w:p>
          <w:p w14:paraId="58E02E1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•支持电视墙窗口开始/停止预览、开始/停止解码、开始/停止轮巡、打开/关闭声音、置顶、置底等操作</w:t>
            </w:r>
          </w:p>
          <w:p w14:paraId="1D3A0AA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解码分辨率：最高3200W像素</w:t>
            </w:r>
          </w:p>
          <w:p w14:paraId="5EA3182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视频解码能力：H.264/H.265：支持2路3200W，或2路2400W，或4路1200W，或8路800W，或10路600W，或16路400W，或32路1080P，或64路720P及以下分辨率实时解码</w:t>
            </w:r>
          </w:p>
          <w:p w14:paraId="4CBBAFD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MJPEG：4路1080P及以下分辨率实时解码 </w:t>
            </w:r>
          </w:p>
          <w:p w14:paraId="4AA49A3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单口画面分割数：1,2,4,6,8,9,12,16,25,36 </w:t>
            </w:r>
          </w:p>
          <w:p w14:paraId="2808D5D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音频输入接口：2路HDMI内嵌 </w:t>
            </w:r>
          </w:p>
          <w:p w14:paraId="214D541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视频输入接口：2路HDMI 1.4，最大支持4K（仅奇数口） </w:t>
            </w:r>
          </w:p>
          <w:p w14:paraId="355FAAB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视频输出分辨率：3840 × 2160@30 Hz、2560 × 1440@30 Hz、1920 × 1200@60 Hz、1920 × 1080@60 Hz、1920 × 1080@50 Hz、1680 × 1050@60 Hz、1600 × 1200@60 Hz、1280 × 1024@60 Hz、1280 × 720@60 Hz、1280 × 720@50 Hz、1024 × 768@60 Hz</w:t>
            </w:r>
          </w:p>
          <w:p w14:paraId="77FC78D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视频输出LED带载能力：单口带载260W，宽度144～4096，高度144～2160，宽度2对齐，高度2对齐</w:t>
            </w:r>
          </w:p>
          <w:p w14:paraId="53D287C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视频输出接口类型：4路HDMI 1.4，支持4K </w:t>
            </w:r>
          </w:p>
          <w:p w14:paraId="706AA68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机箱接口：RJ45 10M/100 M/1000 Mbps 自适应以太网接口*1； 光口 100base-FX/1000base-X*1， 支持光电自适应；报警输入*8；报警输出*8；232接口 *1（RJ45）；485接口*1；USB 2.0接口*2</w:t>
            </w:r>
          </w:p>
          <w:p w14:paraId="327C095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★支持客户端软件将电脑投屏后，通过设备对电脑进行远程操作。（提供封面具有CNAS认证标识的公安部报告证明）</w:t>
            </w:r>
          </w:p>
          <w:p w14:paraId="6952306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★支持不通过IP网络，通过红外遥控器实现解码图像切换、场景切换、屏幕亮度调节。（提供封面具有CNAS认证标识的公安部报告证明）</w:t>
            </w:r>
          </w:p>
          <w:p w14:paraId="226A7E3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值岗检测：支持接入具有值岗检测功能的前端摄像机，支持人员是否在岗、是否玩手机、是否睡觉的检测，可对前端码流里面的智能信息进行解码并显示，并触发报警弹窗、联动报警输出。（提供封面具有CNAS认证标识的公安部报告证明）</w:t>
            </w:r>
          </w:p>
          <w:p w14:paraId="7F2D820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区域入侵场景：支持接入具有区域入侵功能的前端摄像机，支持区域入侵侦测、越界侦测、进入区域侦测、离开区域侦测，可对前端码流里面的智能信息进行解码并显示，并触发报警弹窗、联动报警输出。（提供封面具有CNAS认证标识的公安部报告证明）</w:t>
            </w:r>
          </w:p>
          <w:p w14:paraId="1C7EB9A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★支持通过键盘控制画面上墙、点位切换、画面分割、场景切换的功能。（需搭配键盘使用）</w:t>
            </w:r>
          </w:p>
          <w:p w14:paraId="7D20E4E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★可通过控制面板进行监控场景切换，最大可支持切换场景数为4个，场景切换时间≤2s，过程中无黑屏、闪屏现象。（需搭配LCD拼接屏使用）</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B6F9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11C8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3AE5218">
            <w:pPr>
              <w:jc w:val="left"/>
              <w:rPr>
                <w:rFonts w:hint="eastAsia" w:ascii="宋体" w:hAnsi="宋体" w:eastAsia="宋体" w:cs="宋体"/>
                <w:i w:val="0"/>
                <w:iCs w:val="0"/>
                <w:color w:val="000000"/>
                <w:sz w:val="20"/>
                <w:szCs w:val="20"/>
                <w:u w:val="none"/>
              </w:rPr>
            </w:pPr>
          </w:p>
        </w:tc>
      </w:tr>
      <w:tr w14:paraId="6AB72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6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A839658">
            <w:pPr>
              <w:jc w:val="right"/>
              <w:rPr>
                <w:rFonts w:hint="eastAsia" w:ascii="宋体" w:hAnsi="宋体" w:eastAsia="宋体" w:cs="宋体"/>
                <w:i w:val="0"/>
                <w:iCs w:val="0"/>
                <w:color w:val="000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70A1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中心机房</w:t>
            </w:r>
          </w:p>
        </w:tc>
        <w:tc>
          <w:tcPr>
            <w:tcW w:w="8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ED7EDA">
            <w:pPr>
              <w:jc w:val="lef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036985">
            <w:pPr>
              <w:jc w:val="left"/>
              <w:rPr>
                <w:rFonts w:hint="eastAsia" w:ascii="宋体" w:hAnsi="宋体" w:eastAsia="宋体" w:cs="宋体"/>
                <w:i w:val="0"/>
                <w:iCs w:val="0"/>
                <w:color w:val="000000"/>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32FC47">
            <w:pPr>
              <w:jc w:val="left"/>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B3686A4">
            <w:pPr>
              <w:jc w:val="left"/>
              <w:rPr>
                <w:rFonts w:hint="eastAsia" w:ascii="宋体" w:hAnsi="宋体" w:eastAsia="宋体" w:cs="宋体"/>
                <w:i w:val="0"/>
                <w:iCs w:val="0"/>
                <w:color w:val="000000"/>
                <w:sz w:val="20"/>
                <w:szCs w:val="20"/>
                <w:u w:val="none"/>
              </w:rPr>
            </w:pPr>
          </w:p>
        </w:tc>
      </w:tr>
      <w:tr w14:paraId="15303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4FFE0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EB25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机柜、机架</w:t>
            </w:r>
          </w:p>
        </w:tc>
        <w:tc>
          <w:tcPr>
            <w:tcW w:w="8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FDC94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机柜（含底座）</w:t>
            </w:r>
          </w:p>
          <w:p w14:paraId="1856F7F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1）尺寸：600*1000*2000）SPCC 优质冷轧钢板酸洗硅烷化处理，抗腐蚀性好；</w:t>
            </w:r>
          </w:p>
          <w:p w14:paraId="017F871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3）防护等级：IP20；</w:t>
            </w:r>
          </w:p>
          <w:p w14:paraId="2BC5B89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4）可同时安装脚轮和支脚，便于运输；</w:t>
            </w:r>
          </w:p>
          <w:p w14:paraId="7F3545B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5）前门两侧分别安装不锈钢金属理线环，走线管理，美观大方；</w:t>
            </w:r>
          </w:p>
          <w:p w14:paraId="718084B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6）附赠防火泥，耐油耐热，耐水耐腐蚀，满足机柜防火防护要求；</w:t>
            </w:r>
          </w:p>
          <w:p w14:paraId="4F42A89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7）配有接地装置及接地线，有效保护，安全可靠；</w:t>
            </w:r>
          </w:p>
          <w:p w14:paraId="5D42FDA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 侧门塑扣模具成型、安装简单、卡接牢固、模刻有品牌logo；</w:t>
            </w:r>
          </w:p>
          <w:p w14:paraId="35B8281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9）为响应国家环保要求产品需为节能环保产品、绿色环保产品。 </w:t>
            </w:r>
          </w:p>
          <w:p w14:paraId="4A9709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10）5#角钢制作设备底座，上下5#镀锌角钢焊接框，600mm一档横梁</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73C3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DEEB3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2937797">
            <w:pPr>
              <w:jc w:val="left"/>
              <w:rPr>
                <w:rFonts w:hint="eastAsia" w:ascii="宋体" w:hAnsi="宋体" w:eastAsia="宋体" w:cs="宋体"/>
                <w:i w:val="0"/>
                <w:iCs w:val="0"/>
                <w:color w:val="000000"/>
                <w:sz w:val="20"/>
                <w:szCs w:val="20"/>
                <w:u w:val="none"/>
              </w:rPr>
            </w:pPr>
          </w:p>
        </w:tc>
      </w:tr>
      <w:tr w14:paraId="3724E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86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27A30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58B27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PDU</w:t>
            </w:r>
          </w:p>
        </w:tc>
        <w:tc>
          <w:tcPr>
            <w:tcW w:w="8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10D4D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PDU</w:t>
            </w:r>
          </w:p>
          <w:p w14:paraId="58DE0A3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1、10A；</w:t>
            </w:r>
          </w:p>
          <w:p w14:paraId="758286F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2、不少于8个插座</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4831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64390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8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418C083">
            <w:pPr>
              <w:jc w:val="left"/>
              <w:rPr>
                <w:rFonts w:hint="eastAsia" w:ascii="宋体" w:hAnsi="宋体" w:eastAsia="宋体" w:cs="宋体"/>
                <w:i w:val="0"/>
                <w:iCs w:val="0"/>
                <w:color w:val="000000"/>
                <w:sz w:val="20"/>
                <w:szCs w:val="20"/>
                <w:u w:val="none"/>
              </w:rPr>
            </w:pPr>
          </w:p>
        </w:tc>
      </w:tr>
      <w:tr w14:paraId="5DA21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86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4CB51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C095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w:t>
            </w:r>
          </w:p>
        </w:tc>
        <w:tc>
          <w:tcPr>
            <w:tcW w:w="8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A47E9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1.名称:铜芯电源线</w:t>
            </w:r>
          </w:p>
          <w:p w14:paraId="7396C24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2.配线形式:桥架配线</w:t>
            </w:r>
          </w:p>
          <w:p w14:paraId="30D52B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3.型号、规格:RVV3*2.5</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1849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ACD8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8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0FEA1F4">
            <w:pPr>
              <w:jc w:val="left"/>
              <w:rPr>
                <w:rFonts w:hint="eastAsia" w:ascii="宋体" w:hAnsi="宋体" w:eastAsia="宋体" w:cs="宋体"/>
                <w:i w:val="0"/>
                <w:iCs w:val="0"/>
                <w:color w:val="000000"/>
                <w:sz w:val="20"/>
                <w:szCs w:val="20"/>
                <w:u w:val="none"/>
              </w:rPr>
            </w:pPr>
          </w:p>
        </w:tc>
      </w:tr>
      <w:tr w14:paraId="0274A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6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F9D30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E13B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桥架</w:t>
            </w:r>
          </w:p>
        </w:tc>
        <w:tc>
          <w:tcPr>
            <w:tcW w:w="8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44B28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机房专用桥架</w:t>
            </w:r>
          </w:p>
          <w:p w14:paraId="5E5739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电镀锌网格桥架</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0885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33F9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8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EF5F422">
            <w:pPr>
              <w:jc w:val="left"/>
              <w:rPr>
                <w:rFonts w:hint="eastAsia" w:ascii="宋体" w:hAnsi="宋体" w:eastAsia="宋体" w:cs="宋体"/>
                <w:i w:val="0"/>
                <w:iCs w:val="0"/>
                <w:color w:val="000000"/>
                <w:sz w:val="20"/>
                <w:szCs w:val="20"/>
                <w:u w:val="none"/>
              </w:rPr>
            </w:pPr>
          </w:p>
        </w:tc>
      </w:tr>
      <w:tr w14:paraId="69653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6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048EB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5FCD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铁构件</w:t>
            </w:r>
          </w:p>
        </w:tc>
        <w:tc>
          <w:tcPr>
            <w:tcW w:w="8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6F2E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1、名称：桥架支撑架安装</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9211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7B7D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w:t>
            </w:r>
          </w:p>
        </w:tc>
        <w:tc>
          <w:tcPr>
            <w:tcW w:w="118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6BCBADD">
            <w:pPr>
              <w:jc w:val="left"/>
              <w:rPr>
                <w:rFonts w:hint="eastAsia" w:ascii="宋体" w:hAnsi="宋体" w:eastAsia="宋体" w:cs="宋体"/>
                <w:i w:val="0"/>
                <w:iCs w:val="0"/>
                <w:color w:val="000000"/>
                <w:sz w:val="20"/>
                <w:szCs w:val="20"/>
                <w:u w:val="none"/>
              </w:rPr>
            </w:pPr>
          </w:p>
        </w:tc>
      </w:tr>
      <w:tr w14:paraId="0789C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6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2E940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149C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金属结构刷油</w:t>
            </w:r>
          </w:p>
        </w:tc>
        <w:tc>
          <w:tcPr>
            <w:tcW w:w="8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BF4C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1、名称：一般钢结构 红丹防锈漆2遍</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0725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5BCF4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w:t>
            </w:r>
          </w:p>
        </w:tc>
        <w:tc>
          <w:tcPr>
            <w:tcW w:w="118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F1C78F6">
            <w:pPr>
              <w:jc w:val="left"/>
              <w:rPr>
                <w:rFonts w:hint="eastAsia" w:ascii="宋体" w:hAnsi="宋体" w:eastAsia="宋体" w:cs="宋体"/>
                <w:i w:val="0"/>
                <w:iCs w:val="0"/>
                <w:color w:val="000000"/>
                <w:sz w:val="20"/>
                <w:szCs w:val="20"/>
                <w:u w:val="none"/>
              </w:rPr>
            </w:pPr>
          </w:p>
        </w:tc>
      </w:tr>
      <w:tr w14:paraId="72017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0" w:hRule="atLeast"/>
        </w:trPr>
        <w:tc>
          <w:tcPr>
            <w:tcW w:w="86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6FB28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65A1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防静电活动地板</w:t>
            </w:r>
          </w:p>
        </w:tc>
        <w:tc>
          <w:tcPr>
            <w:tcW w:w="8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F49F4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地板板基：地板为全钢组件，底面采用深级拉伸钢板，表面采用硬质钢板，上下钢板冲压、点焊成形，地板基体表面经磷化后进行静电喷涂处理，喷涂层材料为热固性环氧塑料粉末，表面达到柔光、防腐、耐磨效果。内腔内填充发泡水泥，表面粘贴防静电瓷砖，达到整体合一的效果。</w:t>
            </w:r>
          </w:p>
          <w:p w14:paraId="734E1F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支承系统：防静电瓷砖架空地板采用四角支承式，支架采用镀锌处理，支承高度可从80mm-1000mm,通过旋转支架上托片进行调节，调整范围为±20mm，支承高度调整后，可通过拧紧罗母进行锁定。600*600*30mm单片；</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EFF0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4DEDB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18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4881118">
            <w:pPr>
              <w:jc w:val="left"/>
              <w:rPr>
                <w:rFonts w:hint="eastAsia" w:ascii="宋体" w:hAnsi="宋体" w:eastAsia="宋体" w:cs="宋体"/>
                <w:i w:val="0"/>
                <w:iCs w:val="0"/>
                <w:color w:val="000000"/>
                <w:sz w:val="20"/>
                <w:szCs w:val="20"/>
                <w:u w:val="none"/>
              </w:rPr>
            </w:pPr>
          </w:p>
        </w:tc>
      </w:tr>
      <w:tr w14:paraId="458FB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6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963AFA8">
            <w:pPr>
              <w:jc w:val="right"/>
              <w:rPr>
                <w:rFonts w:hint="eastAsia" w:ascii="宋体" w:hAnsi="宋体" w:eastAsia="宋体" w:cs="宋体"/>
                <w:i w:val="0"/>
                <w:iCs w:val="0"/>
                <w:color w:val="000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D803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智慧一体机</w:t>
            </w:r>
          </w:p>
        </w:tc>
        <w:tc>
          <w:tcPr>
            <w:tcW w:w="8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54FB7A">
            <w:pPr>
              <w:jc w:val="lef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0A278C">
            <w:pPr>
              <w:jc w:val="left"/>
              <w:rPr>
                <w:rFonts w:hint="eastAsia" w:ascii="宋体" w:hAnsi="宋体" w:eastAsia="宋体" w:cs="宋体"/>
                <w:i w:val="0"/>
                <w:iCs w:val="0"/>
                <w:color w:val="000000"/>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DADA8C">
            <w:pPr>
              <w:jc w:val="left"/>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21C8886">
            <w:pPr>
              <w:jc w:val="left"/>
              <w:rPr>
                <w:rFonts w:hint="eastAsia" w:ascii="宋体" w:hAnsi="宋体" w:eastAsia="宋体" w:cs="宋体"/>
                <w:i w:val="0"/>
                <w:iCs w:val="0"/>
                <w:color w:val="000000"/>
                <w:sz w:val="20"/>
                <w:szCs w:val="20"/>
                <w:u w:val="none"/>
              </w:rPr>
            </w:pPr>
          </w:p>
        </w:tc>
      </w:tr>
      <w:tr w14:paraId="05EA7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0" w:hRule="atLeast"/>
        </w:trPr>
        <w:tc>
          <w:tcPr>
            <w:tcW w:w="86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60B72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4E76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显示设备</w:t>
            </w:r>
          </w:p>
        </w:tc>
        <w:tc>
          <w:tcPr>
            <w:tcW w:w="8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56AC1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智慧一体机</w:t>
            </w:r>
          </w:p>
          <w:p w14:paraId="511CC0C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智能交互平板显示尺寸≧65英寸，分辨率：3840*2160 ，采用红外触控技术，在双系统下均支持40点同时触控</w:t>
            </w:r>
          </w:p>
          <w:p w14:paraId="4795635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智能交互平板表面玻璃应采用高强度钢化玻璃，玻璃厚度≤3.2mm，硬度可达莫氏7级，高于石墨1-9H硬度</w:t>
            </w:r>
          </w:p>
          <w:p w14:paraId="49111F6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智能交互平板双侧边框宽度≤17mm，提升视觉效果及教学沉浸感。</w:t>
            </w:r>
          </w:p>
          <w:p w14:paraId="727AAA3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智能交互平板前面板至少具备1路HDMI接口（非转接），2路USB3.0接口，1路USB Type-c接口</w:t>
            </w:r>
          </w:p>
          <w:p w14:paraId="2770C5C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★智能交互平板后置标配VGA输入≥1路， HDMI输入≥1路（需提供CMA或CNAS认证检测机构出具的检测报告并加盖公章）。</w:t>
            </w:r>
          </w:p>
          <w:p w14:paraId="60EBDDA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智能交互平板具有通屏笔槽结构，可放置书写笔、粉笔、水性笔等。</w:t>
            </w:r>
          </w:p>
          <w:p w14:paraId="53A4741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★智能交互平板前置中文按键≥7个，可实现音量加减、窗口关闭、触控开关等功能，且按键均具备两种及以上明确的功能（需提供CMA或CNAS认证检测机构出具的检测报告并加盖公章）。</w:t>
            </w:r>
          </w:p>
          <w:p w14:paraId="6706775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智能交互平板内置Wi-Fi6无线网卡，在Android和Windows系统下，可实现Wi-Fi无线上网连接、AP无线热点发射，在Android和Windows系统下支持无线设备同时连接数量≥30个。</w:t>
            </w:r>
          </w:p>
          <w:p w14:paraId="7E1C138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整机内置蓝牙Bluetooth 5.4模块，支持连接外部蓝牙音箱播放音频。</w:t>
            </w:r>
          </w:p>
          <w:p w14:paraId="1626D9B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★无需打开智能交互平板背板，前置接口面板和前置按键面板支持单独前拆（需提供CMA或CNAS认证检测机构出具的检测报告并加盖公章）。</w:t>
            </w:r>
          </w:p>
          <w:p w14:paraId="69A7B46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★前置U盘接口需采用隐藏式设计，具有翻转式防护盖板，盖板高度≥4cm。为方便不同厚度U盘接入，开合角度≥100°（需提供CMA或CNAS认证检测机构出具的检测报告并加盖公章）。</w:t>
            </w:r>
          </w:p>
          <w:p w14:paraId="61C0E10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★智能交互平板具备前置电脑还原按键，为避免误碰按键采用针孔式设计，并配有中文标识（需提供CMA或CNAS认证检测机构出具的检测报告并加盖公章）。</w:t>
            </w:r>
          </w:p>
          <w:p w14:paraId="3F85D54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★采用针孔阵列发声设计，智能交互平板下边框具有4个发声单元，总功率≥40W, 扬声器在100%音量下，1米处声压级≥90dB，10米处声压级≥80dB；谐振频率不高于260Hz。（需提供CMA或CNAS认证检测机构出具的检测报告并加盖公章）</w:t>
            </w:r>
          </w:p>
          <w:p w14:paraId="0C54222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★智能交互平板具备≥12核芯片驱动， Android 系统版本≥14.0，内存≥2G，存储≥8G。（需提供CMA或CNAS认证检测机构出具的检测报告并加盖公章）</w:t>
            </w:r>
          </w:p>
          <w:p w14:paraId="6CA6C9A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★内置一体化超高清5K摄像头，单颗摄像头有效像素≥1900W，可输出最大分辨率5104*3864的图片与视频，支持搭配AI软件实现自动点名点数功能。（需提供CMA或CNAS认证检测机构出具的检测报告并加盖公章）</w:t>
            </w:r>
          </w:p>
          <w:p w14:paraId="55932C2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智能交互平板左右两侧可提供与教学应用密切相关的快捷键，数量各不少于15个，并支持自定义设置：时间，显示模式，单侧显示、双侧同时显示，该快捷键至少具有关闭窗口、展台、桌面、多屏互动等教学常用按键。</w:t>
            </w:r>
          </w:p>
          <w:p w14:paraId="4F9E81A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智能交互平板具有悬浮菜单，两指可快速移动悬浮菜单至按压位置，悬浮菜单可进行自定义分组，可添加AI互动软件等不少于30个应用。</w:t>
            </w:r>
          </w:p>
          <w:p w14:paraId="0EE0EA8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智能交互平板触摸支持动态压力模拟，支持无任何电子功能的普通书写笔，在交互平板上书写或点压时，整机能感应压力变化，书写或点压过程笔迹呈现不同粗细。</w:t>
            </w:r>
          </w:p>
          <w:p w14:paraId="659293A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安卓白板软件具备面积识别功能，通过接触交互设备的面积大小实现智能擦除、粗细笔迹书写。</w:t>
            </w:r>
          </w:p>
          <w:p w14:paraId="4336B67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智能交互平板采用硬件低蓝光背光技术，在源头减少有害蓝光波段能量，蓝光占比（有害蓝光415～455nm能量综合）/（整体蓝光400～500能量综合）＜50%。</w:t>
            </w:r>
          </w:p>
          <w:p w14:paraId="4F00B43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智能交互平板全通道支持纸质护眼模式，可实现画面纹理的实时调整；支持纸质纹理：素描纸、宣纸、水彩纸；支持透明度调节与色温调节；显示画面各像素点灰度不规则，减少背景干扰。</w:t>
            </w:r>
          </w:p>
          <w:p w14:paraId="690D97E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通过五指抓取屏幕任意位置可调出多任务处理窗口，并对正在运行的应用进行浏览、快速切换或结束进程。</w:t>
            </w:r>
          </w:p>
          <w:p w14:paraId="4988C25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具备ECO光感模块，在关闭推拉黑板，可自动进入黑屏节能模式，并可自主选择时间间隔。</w:t>
            </w:r>
          </w:p>
          <w:p w14:paraId="1E95875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智能交互平板背光系统支持DC调光方式，多级亮度调节。</w:t>
            </w:r>
          </w:p>
          <w:p w14:paraId="6976ADE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在任意信号源下，从屏幕下方任意位置向上滑动，可调用快捷设置菜单；无需切换系统，可快速调节Windows 和Android 的设置，并支持拖拽到屏幕任意位置。</w:t>
            </w:r>
          </w:p>
          <w:p w14:paraId="70692A7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★智能交互平板采用OPS-C 标准的80pin针口设计（需提供CMA或CNAS认证检测机构出具的检测报告并加盖公章）。</w:t>
            </w:r>
          </w:p>
          <w:p w14:paraId="72536C3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智能交互平板满足《GB 40070-2021儿童青少年学习用品近视防控卫生要求》，亮度均匀性≥70%，闪烁等级≤-30db（60Hz）（需提供CMA或CNAS认证检测机构出具的检测报告并加盖公章）。</w:t>
            </w:r>
          </w:p>
          <w:p w14:paraId="45B086EC">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bookmarkStart w:id="76" w:name="_Hlk166234550"/>
            <w:r>
              <w:rPr>
                <w:rFonts w:hint="eastAsia" w:ascii="宋体" w:hAnsi="宋体" w:eastAsia="宋体" w:cs="宋体"/>
                <w:i w:val="0"/>
                <w:iCs w:val="0"/>
                <w:color w:val="000000"/>
                <w:kern w:val="0"/>
                <w:sz w:val="20"/>
                <w:szCs w:val="20"/>
                <w:u w:val="none"/>
                <w:lang w:val="en-US" w:eastAsia="zh-CN" w:bidi="ar"/>
              </w:rPr>
              <w:t>Ops参数</w:t>
            </w:r>
          </w:p>
          <w:p w14:paraId="11327A3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80pin Intel通用标准接口,即插即用，易于维护；</w:t>
            </w:r>
          </w:p>
          <w:p w14:paraId="7A0DAC0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尺寸长度≥220mm，厚度≤30mm</w:t>
            </w:r>
          </w:p>
          <w:p w14:paraId="58863E5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CPU采用Intel第12代及以上平台处理器酷睿I5处理器；</w:t>
            </w:r>
          </w:p>
          <w:p w14:paraId="311213E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内存：≥8G DDR4；</w:t>
            </w:r>
          </w:p>
          <w:p w14:paraId="1D915FC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硬盘：≥256G SSD固态硬盘； </w:t>
            </w:r>
          </w:p>
          <w:p w14:paraId="7AADA1E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接口：整机非外扩展具备5个USB接口；具有独立非外扩展的视频输出接口：≥1路HDMI等；</w:t>
            </w:r>
            <w:bookmarkEnd w:id="76"/>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9888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0358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18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A884452">
            <w:pPr>
              <w:jc w:val="left"/>
              <w:rPr>
                <w:rFonts w:hint="eastAsia" w:ascii="宋体" w:hAnsi="宋体" w:eastAsia="宋体" w:cs="宋体"/>
                <w:i w:val="0"/>
                <w:iCs w:val="0"/>
                <w:color w:val="000000"/>
                <w:sz w:val="20"/>
                <w:szCs w:val="20"/>
                <w:u w:val="none"/>
              </w:rPr>
            </w:pPr>
          </w:p>
        </w:tc>
      </w:tr>
    </w:tbl>
    <w:p w14:paraId="14AF16F9">
      <w:pPr>
        <w:pStyle w:val="5"/>
        <w:rPr>
          <w:rFonts w:hint="eastAsia"/>
        </w:rPr>
        <w:sectPr>
          <w:headerReference r:id="rId11" w:type="default"/>
          <w:footerReference r:id="rId12" w:type="default"/>
          <w:pgSz w:w="16838" w:h="11906" w:orient="landscape"/>
          <w:pgMar w:top="1440" w:right="1440" w:bottom="1440" w:left="1440" w:header="851" w:footer="851" w:gutter="0"/>
          <w:cols w:space="720" w:num="1"/>
          <w:titlePg/>
          <w:docGrid w:linePitch="381" w:charSpace="0"/>
        </w:sectPr>
      </w:pPr>
    </w:p>
    <w:p w14:paraId="0678ED34">
      <w:pPr>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二、商务要求</w:t>
      </w:r>
    </w:p>
    <w:p w14:paraId="6830A1A1">
      <w:pPr>
        <w:spacing w:line="440" w:lineRule="exact"/>
        <w:ind w:firstLine="562" w:firstLineChars="200"/>
        <w:rPr>
          <w:rFonts w:hint="eastAsia" w:ascii="宋体" w:hAnsi="宋体"/>
          <w:b/>
          <w:szCs w:val="21"/>
          <w:highlight w:val="none"/>
        </w:rPr>
      </w:pPr>
      <w:r>
        <w:rPr>
          <w:rFonts w:hint="eastAsia" w:ascii="宋体" w:hAnsi="宋体"/>
          <w:b/>
          <w:szCs w:val="21"/>
          <w:highlight w:val="none"/>
        </w:rPr>
        <w:t>▲1.供货期：</w:t>
      </w:r>
    </w:p>
    <w:p w14:paraId="2CB5911B">
      <w:pPr>
        <w:autoSpaceDE w:val="0"/>
        <w:autoSpaceDN w:val="0"/>
        <w:adjustRightInd w:val="0"/>
        <w:snapToGrid w:val="0"/>
        <w:spacing w:line="440" w:lineRule="exact"/>
        <w:ind w:firstLine="480" w:firstLineChars="200"/>
        <w:textAlignment w:val="bottom"/>
        <w:rPr>
          <w:rFonts w:hint="eastAsia" w:ascii="宋体" w:hAnsi="宋体" w:cs="宋体"/>
          <w:bCs/>
          <w:sz w:val="24"/>
          <w:highlight w:val="none"/>
        </w:rPr>
      </w:pPr>
      <w:r>
        <w:rPr>
          <w:rFonts w:hint="eastAsia" w:ascii="宋体" w:hAnsi="宋体" w:cs="宋体"/>
          <w:bCs/>
          <w:sz w:val="24"/>
          <w:highlight w:val="none"/>
        </w:rPr>
        <w:t>合同签订后30天内完成供货及安装、调试，具体时间以采购人书面通知为准。</w:t>
      </w:r>
    </w:p>
    <w:p w14:paraId="4C8C76B3">
      <w:pPr>
        <w:spacing w:line="440" w:lineRule="exact"/>
        <w:ind w:firstLine="562" w:firstLineChars="200"/>
        <w:rPr>
          <w:rFonts w:hint="eastAsia" w:ascii="宋体" w:hAnsi="宋体"/>
          <w:b/>
          <w:szCs w:val="21"/>
          <w:highlight w:val="none"/>
        </w:rPr>
      </w:pPr>
      <w:r>
        <w:rPr>
          <w:rFonts w:hint="eastAsia" w:ascii="宋体" w:hAnsi="宋体"/>
          <w:b/>
          <w:szCs w:val="21"/>
          <w:highlight w:val="none"/>
        </w:rPr>
        <w:t>2.项目验收</w:t>
      </w:r>
    </w:p>
    <w:p w14:paraId="43B28C37">
      <w:pPr>
        <w:autoSpaceDE w:val="0"/>
        <w:autoSpaceDN w:val="0"/>
        <w:adjustRightInd w:val="0"/>
        <w:snapToGrid w:val="0"/>
        <w:spacing w:line="440" w:lineRule="exact"/>
        <w:ind w:firstLine="480" w:firstLineChars="200"/>
        <w:textAlignment w:val="bottom"/>
        <w:rPr>
          <w:rFonts w:hint="eastAsia" w:ascii="宋体" w:hAnsi="宋体" w:cs="宋体"/>
          <w:bCs/>
          <w:sz w:val="24"/>
          <w:highlight w:val="none"/>
        </w:rPr>
      </w:pPr>
      <w:r>
        <w:rPr>
          <w:rFonts w:hint="eastAsia" w:ascii="宋体" w:hAnsi="宋体" w:cs="宋体"/>
          <w:bCs/>
          <w:sz w:val="24"/>
          <w:highlight w:val="none"/>
        </w:rPr>
        <w:t>2.1验收按国家有关规范标准（国家无验收规范标准的按双方合同规定的要求）进行。</w:t>
      </w:r>
    </w:p>
    <w:p w14:paraId="33B9F5FE">
      <w:pPr>
        <w:autoSpaceDE w:val="0"/>
        <w:autoSpaceDN w:val="0"/>
        <w:adjustRightInd w:val="0"/>
        <w:snapToGrid w:val="0"/>
        <w:spacing w:line="440" w:lineRule="exact"/>
        <w:ind w:firstLine="480" w:firstLineChars="200"/>
        <w:textAlignment w:val="bottom"/>
        <w:rPr>
          <w:rFonts w:hint="eastAsia" w:ascii="宋体" w:hAnsi="宋体" w:cs="宋体"/>
          <w:bCs/>
          <w:sz w:val="24"/>
          <w:highlight w:val="none"/>
        </w:rPr>
      </w:pPr>
      <w:r>
        <w:rPr>
          <w:rFonts w:hint="eastAsia" w:ascii="宋体" w:hAnsi="宋体" w:cs="宋体"/>
          <w:bCs/>
          <w:sz w:val="24"/>
          <w:highlight w:val="none"/>
        </w:rPr>
        <w:t>2.2学校在中标人送货、交付时需对产品进行检查验收，如果发现数量不足或有质量、技术等问题，中标人应负责根据合同及采购人的要求采取补足或更换等处理措施，并承担由此发生的一切损失和费用。验收合格后，在验收单上签字并加盖单位公章。中标供应商在服务期间，应按照招投标文件要求以及承诺做好各项服务工作。</w:t>
      </w:r>
    </w:p>
    <w:p w14:paraId="001EED37">
      <w:pPr>
        <w:autoSpaceDE w:val="0"/>
        <w:autoSpaceDN w:val="0"/>
        <w:adjustRightInd w:val="0"/>
        <w:snapToGrid w:val="0"/>
        <w:spacing w:line="440" w:lineRule="exact"/>
        <w:ind w:firstLine="480" w:firstLineChars="200"/>
        <w:textAlignment w:val="bottom"/>
        <w:rPr>
          <w:rFonts w:hint="eastAsia" w:ascii="宋体" w:hAnsi="宋体" w:cs="宋体"/>
          <w:bCs/>
          <w:sz w:val="24"/>
          <w:highlight w:val="none"/>
        </w:rPr>
      </w:pPr>
      <w:r>
        <w:rPr>
          <w:rFonts w:hint="eastAsia" w:ascii="宋体" w:hAnsi="宋体" w:cs="宋体"/>
          <w:bCs/>
          <w:sz w:val="24"/>
          <w:highlight w:val="none"/>
        </w:rPr>
        <w:t>2.5中标人应保证产品是全新、未使用过的合格产品。</w:t>
      </w:r>
      <w:r>
        <w:rPr>
          <w:rFonts w:hint="eastAsia" w:ascii="宋体" w:hAnsi="宋体" w:eastAsia="宋体" w:cs="宋体"/>
          <w:sz w:val="24"/>
          <w:szCs w:val="24"/>
          <w:lang w:val="en-US" w:eastAsia="zh-CN"/>
        </w:rPr>
        <w:t>符合国家标准要求的合格产品</w:t>
      </w:r>
      <w:r>
        <w:rPr>
          <w:rFonts w:hint="eastAsia" w:ascii="宋体" w:hAnsi="宋体" w:cs="宋体"/>
          <w:bCs/>
          <w:sz w:val="24"/>
          <w:highlight w:val="none"/>
        </w:rPr>
        <w:t>并完全符合项目需求规定的质量、规格和性能的要求。在产品质保期内中标人应对由于设计、工艺或者材料的缺陷而发生的任何不足负责。</w:t>
      </w:r>
    </w:p>
    <w:p w14:paraId="3D7F0596">
      <w:pPr>
        <w:autoSpaceDE w:val="0"/>
        <w:autoSpaceDN w:val="0"/>
        <w:adjustRightInd w:val="0"/>
        <w:snapToGrid w:val="0"/>
        <w:spacing w:line="440" w:lineRule="exact"/>
        <w:ind w:firstLine="480" w:firstLineChars="200"/>
        <w:textAlignment w:val="bottom"/>
        <w:rPr>
          <w:rFonts w:hint="eastAsia" w:ascii="宋体" w:hAnsi="宋体" w:cs="宋体"/>
          <w:bCs/>
          <w:sz w:val="24"/>
          <w:highlight w:val="none"/>
        </w:rPr>
      </w:pPr>
      <w:r>
        <w:rPr>
          <w:rFonts w:hint="eastAsia" w:ascii="宋体" w:hAnsi="宋体" w:cs="宋体"/>
          <w:bCs/>
          <w:sz w:val="24"/>
          <w:highlight w:val="none"/>
        </w:rPr>
        <w:t>2.6产品保护：在验收前，如货物被损坏，中标人有责任修理或赔偿损失。</w:t>
      </w:r>
    </w:p>
    <w:p w14:paraId="4D062495">
      <w:pPr>
        <w:spacing w:line="440" w:lineRule="exact"/>
        <w:ind w:firstLine="562" w:firstLineChars="200"/>
        <w:rPr>
          <w:rFonts w:hint="eastAsia" w:ascii="宋体" w:hAnsi="宋体"/>
          <w:b/>
          <w:szCs w:val="21"/>
          <w:highlight w:val="none"/>
        </w:rPr>
      </w:pPr>
      <w:r>
        <w:rPr>
          <w:rFonts w:hint="eastAsia" w:ascii="宋体" w:hAnsi="宋体"/>
          <w:b/>
          <w:szCs w:val="21"/>
          <w:highlight w:val="none"/>
        </w:rPr>
        <w:t>3.质保期</w:t>
      </w:r>
    </w:p>
    <w:p w14:paraId="7FB64F3A">
      <w:pPr>
        <w:autoSpaceDE w:val="0"/>
        <w:autoSpaceDN w:val="0"/>
        <w:adjustRightInd w:val="0"/>
        <w:snapToGrid w:val="0"/>
        <w:spacing w:line="440" w:lineRule="exact"/>
        <w:ind w:firstLine="562" w:firstLineChars="200"/>
        <w:textAlignment w:val="bottom"/>
        <w:rPr>
          <w:rFonts w:hint="eastAsia" w:ascii="宋体" w:hAnsi="宋体" w:cs="宋体"/>
          <w:bCs/>
          <w:sz w:val="24"/>
          <w:highlight w:val="none"/>
        </w:rPr>
      </w:pPr>
      <w:r>
        <w:rPr>
          <w:rFonts w:hint="eastAsia" w:ascii="宋体" w:hAnsi="宋体"/>
          <w:b/>
          <w:szCs w:val="21"/>
          <w:highlight w:val="none"/>
        </w:rPr>
        <w:t>▲</w:t>
      </w:r>
      <w:r>
        <w:rPr>
          <w:rFonts w:hint="eastAsia" w:ascii="宋体" w:hAnsi="宋体" w:cs="宋体"/>
          <w:bCs/>
          <w:sz w:val="24"/>
          <w:highlight w:val="none"/>
        </w:rPr>
        <w:t>3.1</w:t>
      </w:r>
      <w:r>
        <w:rPr>
          <w:rFonts w:hint="eastAsia" w:ascii="宋体" w:hAnsi="宋体" w:cs="宋体"/>
          <w:bCs/>
          <w:color w:val="auto"/>
          <w:sz w:val="24"/>
          <w:highlight w:val="none"/>
        </w:rPr>
        <w:t>质保期3年（从项目验收合格后开始计算）。若投标人承诺提供的质保高于采购需求的，按投标人承诺</w:t>
      </w:r>
      <w:r>
        <w:rPr>
          <w:rFonts w:hint="eastAsia" w:ascii="宋体" w:hAnsi="宋体" w:cs="宋体"/>
          <w:bCs/>
          <w:sz w:val="24"/>
          <w:highlight w:val="none"/>
        </w:rPr>
        <w:t>为准。</w:t>
      </w:r>
    </w:p>
    <w:p w14:paraId="100A61E1">
      <w:pPr>
        <w:autoSpaceDE w:val="0"/>
        <w:autoSpaceDN w:val="0"/>
        <w:adjustRightInd w:val="0"/>
        <w:snapToGrid w:val="0"/>
        <w:spacing w:line="440" w:lineRule="exact"/>
        <w:ind w:firstLine="480" w:firstLineChars="200"/>
        <w:textAlignment w:val="bottom"/>
        <w:rPr>
          <w:rFonts w:hint="eastAsia" w:ascii="宋体" w:hAnsi="宋体" w:cs="宋体"/>
          <w:bCs/>
          <w:sz w:val="24"/>
          <w:highlight w:val="none"/>
        </w:rPr>
      </w:pPr>
      <w:r>
        <w:rPr>
          <w:rFonts w:hint="eastAsia" w:ascii="宋体" w:hAnsi="宋体" w:cs="宋体"/>
          <w:bCs/>
          <w:sz w:val="24"/>
          <w:highlight w:val="none"/>
        </w:rPr>
        <w:t>3.2质保期内出现的质量问题，中标人必须在接到采购人通知后2小时内响应，4小时内到场，24小时内解决问题；如在24小时之内仍不能排除故障的，中标人应提供与原设备相同或不低于原设备档次的备用设备。故障排除后中标人应出具书面故障诊断报告备案。</w:t>
      </w:r>
    </w:p>
    <w:p w14:paraId="7959A750">
      <w:pPr>
        <w:autoSpaceDE w:val="0"/>
        <w:autoSpaceDN w:val="0"/>
        <w:adjustRightInd w:val="0"/>
        <w:snapToGrid w:val="0"/>
        <w:spacing w:line="440" w:lineRule="exact"/>
        <w:ind w:firstLine="480" w:firstLineChars="200"/>
        <w:textAlignment w:val="bottom"/>
        <w:rPr>
          <w:rFonts w:hint="eastAsia" w:ascii="宋体" w:hAnsi="宋体" w:cs="宋体"/>
          <w:bCs/>
          <w:sz w:val="24"/>
          <w:highlight w:val="none"/>
        </w:rPr>
      </w:pPr>
      <w:r>
        <w:rPr>
          <w:rFonts w:hint="eastAsia" w:ascii="宋体" w:hAnsi="宋体" w:cs="宋体"/>
          <w:bCs/>
          <w:sz w:val="24"/>
          <w:highlight w:val="none"/>
        </w:rPr>
        <w:t>3.3出现故障后，中标人如未按上述要求进行响应，采购人可以采取必要的补救措施，由此产生的风险和费用全部由中标人承担。</w:t>
      </w:r>
    </w:p>
    <w:p w14:paraId="7F749933">
      <w:pPr>
        <w:autoSpaceDE w:val="0"/>
        <w:autoSpaceDN w:val="0"/>
        <w:adjustRightInd w:val="0"/>
        <w:snapToGrid w:val="0"/>
        <w:spacing w:line="440" w:lineRule="exact"/>
        <w:ind w:firstLine="480" w:firstLineChars="200"/>
        <w:textAlignment w:val="bottom"/>
        <w:rPr>
          <w:rFonts w:hint="eastAsia" w:ascii="宋体" w:hAnsi="宋体" w:cs="宋体"/>
          <w:bCs/>
          <w:sz w:val="24"/>
          <w:highlight w:val="none"/>
        </w:rPr>
      </w:pPr>
      <w:r>
        <w:rPr>
          <w:rFonts w:hint="eastAsia" w:ascii="宋体" w:hAnsi="宋体" w:cs="宋体"/>
          <w:bCs/>
          <w:sz w:val="24"/>
          <w:highlight w:val="none"/>
        </w:rPr>
        <w:t>3.4质保期内，除人为损坏和不可抗力外，其间所产生的任何维护或维修及更换配件的费用均由中标人承担。</w:t>
      </w:r>
    </w:p>
    <w:p w14:paraId="37264485">
      <w:pPr>
        <w:spacing w:line="440" w:lineRule="exact"/>
        <w:ind w:firstLine="562" w:firstLineChars="200"/>
        <w:rPr>
          <w:rFonts w:hint="eastAsia" w:ascii="宋体" w:hAnsi="宋体"/>
          <w:b/>
          <w:szCs w:val="21"/>
          <w:highlight w:val="none"/>
        </w:rPr>
      </w:pPr>
      <w:r>
        <w:rPr>
          <w:rFonts w:hint="eastAsia" w:ascii="宋体" w:hAnsi="宋体"/>
          <w:b/>
          <w:szCs w:val="21"/>
          <w:highlight w:val="none"/>
        </w:rPr>
        <w:t>4.专利权</w:t>
      </w:r>
    </w:p>
    <w:p w14:paraId="521F7A0F">
      <w:pPr>
        <w:spacing w:line="360" w:lineRule="auto"/>
        <w:ind w:firstLine="480" w:firstLineChars="200"/>
        <w:jc w:val="left"/>
        <w:rPr>
          <w:rFonts w:hint="eastAsia" w:ascii="宋体" w:hAnsi="宋体" w:cs="宋体"/>
          <w:sz w:val="24"/>
          <w:szCs w:val="24"/>
          <w:highlight w:val="none"/>
        </w:rPr>
      </w:pPr>
      <w:r>
        <w:rPr>
          <w:rFonts w:hint="eastAsia" w:ascii="宋体" w:hAnsi="宋体" w:cs="宋体"/>
          <w:bCs/>
          <w:sz w:val="24"/>
          <w:highlight w:val="none"/>
        </w:rPr>
        <w:t>中标人应保护采购人在使用该产品或其任何一部分时不受第三方提出侵犯专利权、商标权或工业设计权等知识产权等的指控。如果任何第三方提出侵权指控，中标人须与第三方交涉并承担可能发生的一切法律责任和费用。</w:t>
      </w:r>
    </w:p>
    <w:bookmarkEnd w:id="71"/>
    <w:p w14:paraId="1C9A5FD4">
      <w:pPr>
        <w:pStyle w:val="86"/>
        <w:spacing w:line="360" w:lineRule="auto"/>
        <w:ind w:firstLine="240"/>
        <w:jc w:val="left"/>
        <w:rPr>
          <w:rFonts w:hint="eastAsia" w:ascii="宋体" w:hAnsi="宋体" w:eastAsia="宋体" w:cs="宋体"/>
          <w:sz w:val="24"/>
          <w:szCs w:val="24"/>
          <w:highlight w:val="none"/>
        </w:rPr>
      </w:pPr>
    </w:p>
    <w:p w14:paraId="695AFB57">
      <w:pPr>
        <w:rPr>
          <w:rFonts w:hint="eastAsia" w:ascii="宋体" w:hAnsi="宋体" w:cs="宋体"/>
          <w:sz w:val="24"/>
          <w:szCs w:val="24"/>
          <w:highlight w:val="none"/>
        </w:rPr>
      </w:pPr>
    </w:p>
    <w:p w14:paraId="626922B4">
      <w:pPr>
        <w:rPr>
          <w:rFonts w:hint="eastAsia" w:ascii="宋体" w:hAnsi="宋体" w:cs="宋体"/>
          <w:sz w:val="24"/>
          <w:szCs w:val="24"/>
          <w:highlight w:val="none"/>
        </w:rPr>
      </w:pPr>
    </w:p>
    <w:p w14:paraId="76653505">
      <w:pPr>
        <w:pStyle w:val="45"/>
        <w:snapToGrid w:val="0"/>
        <w:spacing w:line="380" w:lineRule="exact"/>
        <w:ind w:firstLine="723" w:firstLineChars="200"/>
        <w:jc w:val="center"/>
        <w:rPr>
          <w:rFonts w:hint="eastAsia" w:hAnsi="宋体" w:cs="宋体"/>
          <w:b/>
          <w:sz w:val="36"/>
          <w:highlight w:val="none"/>
        </w:rPr>
      </w:pPr>
      <w:r>
        <w:rPr>
          <w:rFonts w:hint="eastAsia" w:hAnsi="宋体" w:cs="宋体"/>
          <w:b/>
          <w:sz w:val="36"/>
          <w:highlight w:val="none"/>
        </w:rPr>
        <w:t>第四部分  合同文本</w:t>
      </w:r>
      <w:bookmarkEnd w:id="72"/>
      <w:bookmarkEnd w:id="73"/>
    </w:p>
    <w:p w14:paraId="23AFF4A8">
      <w:pPr>
        <w:pStyle w:val="445"/>
        <w:jc w:val="center"/>
        <w:rPr>
          <w:rFonts w:hint="eastAsia" w:ascii="宋体" w:hAnsi="宋体" w:eastAsia="宋体" w:cs="宋体"/>
          <w:highlight w:val="none"/>
        </w:rPr>
      </w:pPr>
    </w:p>
    <w:p w14:paraId="58E54B05">
      <w:pPr>
        <w:pStyle w:val="45"/>
        <w:snapToGrid w:val="0"/>
        <w:spacing w:line="360" w:lineRule="auto"/>
        <w:jc w:val="center"/>
        <w:rPr>
          <w:rFonts w:hint="eastAsia" w:hAnsi="宋体" w:cs="宋体"/>
          <w:bCs/>
          <w:sz w:val="24"/>
          <w:szCs w:val="24"/>
          <w:highlight w:val="none"/>
        </w:rPr>
      </w:pPr>
      <w:r>
        <w:rPr>
          <w:rFonts w:hint="eastAsia" w:hAnsi="宋体" w:cs="宋体"/>
          <w:bCs/>
          <w:sz w:val="24"/>
          <w:szCs w:val="24"/>
          <w:highlight w:val="none"/>
        </w:rPr>
        <w:t>（最终以双方实际签订合同条款为准）</w:t>
      </w:r>
    </w:p>
    <w:p w14:paraId="6F7BF74C">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合同编号：</w:t>
      </w:r>
    </w:p>
    <w:p w14:paraId="01CB21D0">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 xml:space="preserve">甲  方： </w:t>
      </w:r>
    </w:p>
    <w:p w14:paraId="68DCDE22">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 xml:space="preserve">乙  方： </w:t>
      </w:r>
    </w:p>
    <w:p w14:paraId="7C42B9AF">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 xml:space="preserve">合同签订地： </w:t>
      </w:r>
    </w:p>
    <w:p w14:paraId="26DA5EAB">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 xml:space="preserve">签约时间：   年    月   日                                          </w:t>
      </w:r>
    </w:p>
    <w:p w14:paraId="226E95C6">
      <w:pPr>
        <w:spacing w:line="360" w:lineRule="auto"/>
        <w:ind w:firstLine="480" w:firstLineChars="200"/>
        <w:jc w:val="left"/>
        <w:rPr>
          <w:rFonts w:hint="eastAsia" w:ascii="宋体" w:hAnsi="宋体" w:cs="宋体"/>
          <w:sz w:val="24"/>
          <w:szCs w:val="24"/>
          <w:highlight w:val="none"/>
        </w:rPr>
      </w:pPr>
      <w:bookmarkStart w:id="77" w:name="_Toc213148696"/>
      <w:bookmarkStart w:id="78" w:name="_Toc212953362"/>
      <w:bookmarkStart w:id="79" w:name="_Toc215121745"/>
      <w:bookmarkStart w:id="80" w:name="_Toc212909821"/>
      <w:r>
        <w:rPr>
          <w:rFonts w:hint="eastAsia" w:ascii="宋体" w:hAnsi="宋体" w:cs="宋体"/>
          <w:sz w:val="24"/>
          <w:szCs w:val="24"/>
          <w:highlight w:val="none"/>
        </w:rPr>
        <w:t>甲、乙双方根据</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采购结果及其他有关法律、行政法规，遵循平等、自愿、公平和诚实信用的原则，双方就本项目实施事项协商一致，订立本合同，共同遵守。</w:t>
      </w:r>
      <w:bookmarkEnd w:id="77"/>
      <w:bookmarkEnd w:id="78"/>
      <w:bookmarkEnd w:id="79"/>
      <w:bookmarkEnd w:id="80"/>
    </w:p>
    <w:p w14:paraId="077483A2">
      <w:pPr>
        <w:pStyle w:val="45"/>
        <w:spacing w:line="360" w:lineRule="auto"/>
        <w:ind w:firstLine="480" w:firstLineChars="200"/>
        <w:rPr>
          <w:rFonts w:hint="eastAsia" w:hAnsi="宋体" w:cs="宋体"/>
          <w:sz w:val="24"/>
          <w:szCs w:val="24"/>
          <w:highlight w:val="none"/>
        </w:rPr>
      </w:pPr>
      <w:r>
        <w:rPr>
          <w:rFonts w:hint="eastAsia" w:hAnsi="宋体" w:cs="宋体"/>
          <w:sz w:val="24"/>
          <w:szCs w:val="24"/>
          <w:highlight w:val="none"/>
        </w:rPr>
        <w:t>一、合同金额及清单:</w:t>
      </w:r>
    </w:p>
    <w:p w14:paraId="1BEA81E5">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1.合同总价为：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元（大写：人民币</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p>
    <w:p w14:paraId="0E85EFD5">
      <w:pPr>
        <w:pStyle w:val="45"/>
        <w:spacing w:line="360" w:lineRule="auto"/>
        <w:ind w:firstLine="480" w:firstLineChars="200"/>
        <w:rPr>
          <w:rFonts w:hint="eastAsia" w:hAnsi="宋体" w:cs="宋体"/>
          <w:sz w:val="24"/>
          <w:szCs w:val="24"/>
          <w:highlight w:val="none"/>
        </w:rPr>
      </w:pPr>
      <w:r>
        <w:rPr>
          <w:rFonts w:hint="eastAsia" w:hAnsi="宋体" w:cs="宋体"/>
          <w:sz w:val="24"/>
          <w:szCs w:val="24"/>
          <w:highlight w:val="none"/>
        </w:rPr>
        <w:t xml:space="preserve">（按实结算，最终结算价=投标报价*实际完成量) </w:t>
      </w:r>
    </w:p>
    <w:tbl>
      <w:tblPr>
        <w:tblStyle w:val="88"/>
        <w:tblW w:w="9176" w:type="dxa"/>
        <w:tblInd w:w="0" w:type="dxa"/>
        <w:tblLayout w:type="fixed"/>
        <w:tblCellMar>
          <w:top w:w="0" w:type="dxa"/>
          <w:left w:w="108" w:type="dxa"/>
          <w:bottom w:w="0" w:type="dxa"/>
          <w:right w:w="108" w:type="dxa"/>
        </w:tblCellMar>
      </w:tblPr>
      <w:tblGrid>
        <w:gridCol w:w="840"/>
        <w:gridCol w:w="2208"/>
        <w:gridCol w:w="1332"/>
        <w:gridCol w:w="1050"/>
        <w:gridCol w:w="945"/>
        <w:gridCol w:w="1380"/>
        <w:gridCol w:w="1421"/>
      </w:tblGrid>
      <w:tr w14:paraId="2CAEA0C2">
        <w:tblPrEx>
          <w:tblCellMar>
            <w:top w:w="0" w:type="dxa"/>
            <w:left w:w="108" w:type="dxa"/>
            <w:bottom w:w="0" w:type="dxa"/>
            <w:right w:w="108" w:type="dxa"/>
          </w:tblCellMar>
        </w:tblPrEx>
        <w:trPr>
          <w:cantSplit/>
          <w:trHeight w:val="57" w:hRule="atLeast"/>
        </w:trPr>
        <w:tc>
          <w:tcPr>
            <w:tcW w:w="840" w:type="dxa"/>
            <w:tcBorders>
              <w:top w:val="single" w:color="000000" w:sz="4" w:space="0"/>
              <w:left w:val="single" w:color="000000" w:sz="4" w:space="0"/>
              <w:bottom w:val="single" w:color="000000" w:sz="4" w:space="0"/>
              <w:right w:val="single" w:color="000000" w:sz="4" w:space="0"/>
            </w:tcBorders>
            <w:vAlign w:val="center"/>
          </w:tcPr>
          <w:p w14:paraId="434E765A">
            <w:pPr>
              <w:widowControl/>
              <w:spacing w:line="360" w:lineRule="auto"/>
              <w:jc w:val="center"/>
              <w:textAlignment w:val="center"/>
              <w:rPr>
                <w:rFonts w:hint="eastAsia" w:ascii="宋体" w:hAnsi="宋体" w:cs="宋体"/>
                <w:sz w:val="24"/>
                <w:szCs w:val="24"/>
                <w:highlight w:val="none"/>
              </w:rPr>
            </w:pPr>
            <w:r>
              <w:rPr>
                <w:rFonts w:hint="eastAsia" w:ascii="宋体" w:hAnsi="宋体" w:cs="宋体"/>
                <w:sz w:val="24"/>
                <w:szCs w:val="24"/>
                <w:highlight w:val="none"/>
              </w:rPr>
              <w:t>序号</w:t>
            </w:r>
          </w:p>
        </w:tc>
        <w:tc>
          <w:tcPr>
            <w:tcW w:w="2208" w:type="dxa"/>
            <w:tcBorders>
              <w:top w:val="single" w:color="000000" w:sz="4" w:space="0"/>
              <w:left w:val="single" w:color="000000" w:sz="4" w:space="0"/>
              <w:bottom w:val="single" w:color="000000" w:sz="4" w:space="0"/>
              <w:right w:val="single" w:color="000000" w:sz="4" w:space="0"/>
            </w:tcBorders>
            <w:vAlign w:val="center"/>
          </w:tcPr>
          <w:p w14:paraId="341F2879">
            <w:pPr>
              <w:widowControl/>
              <w:spacing w:line="360" w:lineRule="auto"/>
              <w:jc w:val="center"/>
              <w:textAlignment w:val="center"/>
              <w:rPr>
                <w:rFonts w:hint="eastAsia" w:ascii="宋体" w:hAnsi="宋体" w:cs="宋体"/>
                <w:sz w:val="24"/>
                <w:szCs w:val="24"/>
                <w:highlight w:val="none"/>
              </w:rPr>
            </w:pPr>
            <w:r>
              <w:rPr>
                <w:rFonts w:hint="eastAsia" w:ascii="宋体" w:hAnsi="宋体" w:cs="宋体"/>
                <w:sz w:val="24"/>
                <w:szCs w:val="24"/>
                <w:highlight w:val="none"/>
              </w:rPr>
              <w:t>名称</w:t>
            </w:r>
          </w:p>
        </w:tc>
        <w:tc>
          <w:tcPr>
            <w:tcW w:w="1332" w:type="dxa"/>
            <w:tcBorders>
              <w:top w:val="single" w:color="000000" w:sz="4" w:space="0"/>
              <w:left w:val="single" w:color="000000" w:sz="4" w:space="0"/>
              <w:bottom w:val="single" w:color="000000" w:sz="4" w:space="0"/>
              <w:right w:val="single" w:color="000000" w:sz="4" w:space="0"/>
            </w:tcBorders>
            <w:vAlign w:val="center"/>
          </w:tcPr>
          <w:p w14:paraId="2A607244">
            <w:pPr>
              <w:widowControl/>
              <w:spacing w:line="360" w:lineRule="auto"/>
              <w:jc w:val="center"/>
              <w:textAlignment w:val="center"/>
              <w:rPr>
                <w:rFonts w:hint="eastAsia" w:ascii="宋体" w:hAnsi="宋体" w:cs="宋体"/>
                <w:sz w:val="24"/>
                <w:szCs w:val="24"/>
                <w:highlight w:val="none"/>
              </w:rPr>
            </w:pPr>
            <w:r>
              <w:rPr>
                <w:rFonts w:hint="eastAsia" w:ascii="宋体" w:hAnsi="宋体" w:cs="宋体"/>
                <w:sz w:val="24"/>
                <w:szCs w:val="24"/>
                <w:highlight w:val="none"/>
              </w:rPr>
              <w:t>配置参数</w:t>
            </w:r>
          </w:p>
        </w:tc>
        <w:tc>
          <w:tcPr>
            <w:tcW w:w="1050" w:type="dxa"/>
            <w:tcBorders>
              <w:top w:val="single" w:color="000000" w:sz="4" w:space="0"/>
              <w:left w:val="single" w:color="000000" w:sz="4" w:space="0"/>
              <w:bottom w:val="single" w:color="000000" w:sz="4" w:space="0"/>
              <w:right w:val="single" w:color="000000" w:sz="4" w:space="0"/>
            </w:tcBorders>
            <w:vAlign w:val="center"/>
          </w:tcPr>
          <w:p w14:paraId="510C590B">
            <w:pPr>
              <w:widowControl/>
              <w:spacing w:line="360" w:lineRule="auto"/>
              <w:jc w:val="center"/>
              <w:textAlignment w:val="center"/>
              <w:rPr>
                <w:rFonts w:hint="eastAsia" w:ascii="宋体" w:hAnsi="宋体" w:cs="宋体"/>
                <w:sz w:val="24"/>
                <w:szCs w:val="24"/>
                <w:highlight w:val="none"/>
              </w:rPr>
            </w:pPr>
            <w:r>
              <w:rPr>
                <w:rFonts w:hint="eastAsia" w:ascii="宋体" w:hAnsi="宋体" w:cs="宋体"/>
                <w:sz w:val="24"/>
                <w:szCs w:val="24"/>
                <w:highlight w:val="none"/>
              </w:rPr>
              <w:t>单位</w:t>
            </w:r>
          </w:p>
        </w:tc>
        <w:tc>
          <w:tcPr>
            <w:tcW w:w="945" w:type="dxa"/>
            <w:tcBorders>
              <w:top w:val="single" w:color="000000" w:sz="4" w:space="0"/>
              <w:left w:val="single" w:color="000000" w:sz="4" w:space="0"/>
              <w:bottom w:val="single" w:color="000000" w:sz="4" w:space="0"/>
              <w:right w:val="single" w:color="000000" w:sz="4" w:space="0"/>
            </w:tcBorders>
            <w:vAlign w:val="center"/>
          </w:tcPr>
          <w:p w14:paraId="61C0D9A1">
            <w:pPr>
              <w:widowControl/>
              <w:spacing w:line="360" w:lineRule="auto"/>
              <w:jc w:val="center"/>
              <w:textAlignment w:val="center"/>
              <w:rPr>
                <w:rFonts w:hint="eastAsia" w:ascii="宋体" w:hAnsi="宋体" w:cs="宋体"/>
                <w:sz w:val="24"/>
                <w:szCs w:val="24"/>
                <w:highlight w:val="none"/>
              </w:rPr>
            </w:pPr>
            <w:r>
              <w:rPr>
                <w:rFonts w:hint="eastAsia" w:ascii="宋体" w:hAnsi="宋体" w:cs="宋体"/>
                <w:sz w:val="24"/>
                <w:szCs w:val="24"/>
                <w:highlight w:val="none"/>
              </w:rPr>
              <w:t>数量</w:t>
            </w:r>
          </w:p>
        </w:tc>
        <w:tc>
          <w:tcPr>
            <w:tcW w:w="1380" w:type="dxa"/>
            <w:tcBorders>
              <w:top w:val="single" w:color="000000" w:sz="4" w:space="0"/>
              <w:left w:val="single" w:color="000000" w:sz="4" w:space="0"/>
              <w:bottom w:val="single" w:color="000000" w:sz="4" w:space="0"/>
              <w:right w:val="single" w:color="000000" w:sz="4" w:space="0"/>
            </w:tcBorders>
            <w:vAlign w:val="center"/>
          </w:tcPr>
          <w:p w14:paraId="3E69DF23">
            <w:pPr>
              <w:autoSpaceDE w:val="0"/>
              <w:autoSpaceDN w:val="0"/>
              <w:adjustRightIn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单价（元）</w:t>
            </w:r>
          </w:p>
        </w:tc>
        <w:tc>
          <w:tcPr>
            <w:tcW w:w="1421" w:type="dxa"/>
            <w:tcBorders>
              <w:top w:val="single" w:color="000000" w:sz="4" w:space="0"/>
              <w:left w:val="single" w:color="000000" w:sz="4" w:space="0"/>
              <w:bottom w:val="single" w:color="000000" w:sz="4" w:space="0"/>
              <w:right w:val="single" w:color="000000" w:sz="4" w:space="0"/>
            </w:tcBorders>
            <w:vAlign w:val="center"/>
          </w:tcPr>
          <w:p w14:paraId="7EA21FE5">
            <w:pPr>
              <w:autoSpaceDE w:val="0"/>
              <w:autoSpaceDN w:val="0"/>
              <w:adjustRightIn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合计（元）</w:t>
            </w:r>
          </w:p>
        </w:tc>
      </w:tr>
      <w:tr w14:paraId="5B086C96">
        <w:tblPrEx>
          <w:tblCellMar>
            <w:top w:w="0" w:type="dxa"/>
            <w:left w:w="108" w:type="dxa"/>
            <w:bottom w:w="0" w:type="dxa"/>
            <w:right w:w="108" w:type="dxa"/>
          </w:tblCellMar>
        </w:tblPrEx>
        <w:trPr>
          <w:cantSplit/>
          <w:trHeight w:val="57" w:hRule="atLeast"/>
        </w:trPr>
        <w:tc>
          <w:tcPr>
            <w:tcW w:w="840" w:type="dxa"/>
            <w:tcBorders>
              <w:top w:val="single" w:color="000000" w:sz="4" w:space="0"/>
              <w:left w:val="single" w:color="000000" w:sz="4" w:space="0"/>
              <w:bottom w:val="single" w:color="000000" w:sz="4" w:space="0"/>
              <w:right w:val="single" w:color="000000" w:sz="4" w:space="0"/>
            </w:tcBorders>
          </w:tcPr>
          <w:p w14:paraId="425A0306">
            <w:pPr>
              <w:spacing w:before="120" w:beforeLines="50" w:line="360" w:lineRule="auto"/>
              <w:jc w:val="center"/>
              <w:rPr>
                <w:rFonts w:hint="eastAsia" w:ascii="宋体" w:hAnsi="宋体" w:cs="宋体"/>
                <w:sz w:val="24"/>
                <w:szCs w:val="24"/>
                <w:highlight w:val="none"/>
              </w:rPr>
            </w:pPr>
          </w:p>
        </w:tc>
        <w:tc>
          <w:tcPr>
            <w:tcW w:w="2208" w:type="dxa"/>
            <w:tcBorders>
              <w:top w:val="single" w:color="000000" w:sz="4" w:space="0"/>
              <w:left w:val="single" w:color="000000" w:sz="4" w:space="0"/>
              <w:bottom w:val="single" w:color="000000" w:sz="4" w:space="0"/>
              <w:right w:val="single" w:color="000000" w:sz="4" w:space="0"/>
            </w:tcBorders>
          </w:tcPr>
          <w:p w14:paraId="1232E123">
            <w:pPr>
              <w:spacing w:before="120" w:beforeLines="50" w:line="360" w:lineRule="auto"/>
              <w:rPr>
                <w:rFonts w:hint="eastAsia" w:ascii="宋体" w:hAnsi="宋体" w:cs="宋体"/>
                <w:sz w:val="24"/>
                <w:szCs w:val="24"/>
                <w:highlight w:val="none"/>
              </w:rPr>
            </w:pPr>
          </w:p>
        </w:tc>
        <w:tc>
          <w:tcPr>
            <w:tcW w:w="1332" w:type="dxa"/>
            <w:tcBorders>
              <w:top w:val="single" w:color="000000" w:sz="4" w:space="0"/>
              <w:left w:val="single" w:color="000000" w:sz="4" w:space="0"/>
              <w:bottom w:val="single" w:color="000000" w:sz="4" w:space="0"/>
              <w:right w:val="single" w:color="000000" w:sz="4" w:space="0"/>
            </w:tcBorders>
          </w:tcPr>
          <w:p w14:paraId="44F3BB07">
            <w:pPr>
              <w:spacing w:before="120" w:beforeLines="50" w:line="360" w:lineRule="auto"/>
              <w:jc w:val="center"/>
              <w:rPr>
                <w:rFonts w:hint="eastAsia" w:ascii="宋体" w:hAnsi="宋体" w:cs="宋体"/>
                <w:sz w:val="24"/>
                <w:szCs w:val="24"/>
                <w:highlight w:val="none"/>
              </w:rPr>
            </w:pPr>
          </w:p>
        </w:tc>
        <w:tc>
          <w:tcPr>
            <w:tcW w:w="1050" w:type="dxa"/>
            <w:tcBorders>
              <w:top w:val="single" w:color="000000" w:sz="4" w:space="0"/>
              <w:left w:val="single" w:color="000000" w:sz="4" w:space="0"/>
              <w:bottom w:val="single" w:color="000000" w:sz="4" w:space="0"/>
              <w:right w:val="single" w:color="000000" w:sz="4" w:space="0"/>
            </w:tcBorders>
          </w:tcPr>
          <w:p w14:paraId="555AE80A">
            <w:pPr>
              <w:spacing w:before="120" w:beforeLines="50" w:line="360" w:lineRule="auto"/>
              <w:jc w:val="center"/>
              <w:rPr>
                <w:rFonts w:hint="eastAsia" w:ascii="宋体" w:hAnsi="宋体" w:cs="宋体"/>
                <w:sz w:val="24"/>
                <w:szCs w:val="24"/>
                <w:highlight w:val="none"/>
              </w:rPr>
            </w:pPr>
          </w:p>
        </w:tc>
        <w:tc>
          <w:tcPr>
            <w:tcW w:w="945" w:type="dxa"/>
            <w:tcBorders>
              <w:top w:val="single" w:color="000000" w:sz="4" w:space="0"/>
              <w:left w:val="single" w:color="000000" w:sz="4" w:space="0"/>
              <w:bottom w:val="single" w:color="000000" w:sz="4" w:space="0"/>
              <w:right w:val="single" w:color="000000" w:sz="4" w:space="0"/>
            </w:tcBorders>
          </w:tcPr>
          <w:p w14:paraId="1B84A213">
            <w:pPr>
              <w:spacing w:before="120" w:beforeLines="50" w:line="360" w:lineRule="auto"/>
              <w:jc w:val="center"/>
              <w:rPr>
                <w:rFonts w:hint="eastAsia" w:ascii="宋体" w:hAnsi="宋体" w:cs="宋体"/>
                <w:sz w:val="24"/>
                <w:szCs w:val="24"/>
                <w:highlight w:val="none"/>
              </w:rPr>
            </w:pPr>
          </w:p>
        </w:tc>
        <w:tc>
          <w:tcPr>
            <w:tcW w:w="1380" w:type="dxa"/>
            <w:tcBorders>
              <w:top w:val="single" w:color="000000" w:sz="4" w:space="0"/>
              <w:left w:val="single" w:color="000000" w:sz="4" w:space="0"/>
              <w:bottom w:val="single" w:color="000000" w:sz="4" w:space="0"/>
              <w:right w:val="single" w:color="000000" w:sz="4" w:space="0"/>
            </w:tcBorders>
            <w:vAlign w:val="center"/>
          </w:tcPr>
          <w:p w14:paraId="4A4A6F98">
            <w:pPr>
              <w:pStyle w:val="45"/>
              <w:tabs>
                <w:tab w:val="left" w:pos="180"/>
              </w:tabs>
              <w:spacing w:line="360" w:lineRule="auto"/>
              <w:ind w:firstLine="480"/>
              <w:rPr>
                <w:rFonts w:hint="eastAsia" w:hAnsi="宋体" w:cs="宋体"/>
                <w:sz w:val="24"/>
                <w:szCs w:val="24"/>
                <w:highlight w:val="none"/>
              </w:rPr>
            </w:pPr>
          </w:p>
        </w:tc>
        <w:tc>
          <w:tcPr>
            <w:tcW w:w="1421" w:type="dxa"/>
            <w:tcBorders>
              <w:top w:val="single" w:color="000000" w:sz="4" w:space="0"/>
              <w:left w:val="single" w:color="000000" w:sz="4" w:space="0"/>
              <w:bottom w:val="single" w:color="000000" w:sz="4" w:space="0"/>
              <w:right w:val="single" w:color="000000" w:sz="4" w:space="0"/>
            </w:tcBorders>
            <w:vAlign w:val="center"/>
          </w:tcPr>
          <w:p w14:paraId="24A7F901">
            <w:pPr>
              <w:pStyle w:val="45"/>
              <w:tabs>
                <w:tab w:val="left" w:pos="180"/>
              </w:tabs>
              <w:spacing w:line="360" w:lineRule="auto"/>
              <w:ind w:firstLine="480"/>
              <w:rPr>
                <w:rFonts w:hint="eastAsia" w:hAnsi="宋体" w:cs="宋体"/>
                <w:sz w:val="24"/>
                <w:szCs w:val="24"/>
                <w:highlight w:val="none"/>
              </w:rPr>
            </w:pPr>
          </w:p>
        </w:tc>
      </w:tr>
      <w:tr w14:paraId="5E93507D">
        <w:tblPrEx>
          <w:tblCellMar>
            <w:top w:w="0" w:type="dxa"/>
            <w:left w:w="108" w:type="dxa"/>
            <w:bottom w:w="0" w:type="dxa"/>
            <w:right w:w="108" w:type="dxa"/>
          </w:tblCellMar>
        </w:tblPrEx>
        <w:trPr>
          <w:cantSplit/>
          <w:trHeight w:val="57" w:hRule="atLeast"/>
        </w:trPr>
        <w:tc>
          <w:tcPr>
            <w:tcW w:w="840" w:type="dxa"/>
            <w:tcBorders>
              <w:top w:val="single" w:color="000000" w:sz="4" w:space="0"/>
              <w:left w:val="single" w:color="000000" w:sz="4" w:space="0"/>
              <w:bottom w:val="single" w:color="000000" w:sz="4" w:space="0"/>
              <w:right w:val="single" w:color="000000" w:sz="4" w:space="0"/>
            </w:tcBorders>
          </w:tcPr>
          <w:p w14:paraId="6D3A8C6F">
            <w:pPr>
              <w:spacing w:before="120" w:beforeLines="50" w:line="360" w:lineRule="auto"/>
              <w:jc w:val="center"/>
              <w:rPr>
                <w:rFonts w:hint="eastAsia" w:ascii="宋体" w:hAnsi="宋体" w:cs="宋体"/>
                <w:sz w:val="24"/>
                <w:szCs w:val="24"/>
                <w:highlight w:val="none"/>
              </w:rPr>
            </w:pPr>
          </w:p>
        </w:tc>
        <w:tc>
          <w:tcPr>
            <w:tcW w:w="2208" w:type="dxa"/>
            <w:tcBorders>
              <w:top w:val="single" w:color="000000" w:sz="4" w:space="0"/>
              <w:left w:val="single" w:color="000000" w:sz="4" w:space="0"/>
              <w:bottom w:val="single" w:color="000000" w:sz="4" w:space="0"/>
              <w:right w:val="single" w:color="000000" w:sz="4" w:space="0"/>
            </w:tcBorders>
          </w:tcPr>
          <w:p w14:paraId="7A2A6546">
            <w:pPr>
              <w:spacing w:before="120" w:beforeLines="50" w:line="360" w:lineRule="auto"/>
              <w:rPr>
                <w:rFonts w:hint="eastAsia" w:ascii="宋体" w:hAnsi="宋体" w:cs="宋体"/>
                <w:sz w:val="24"/>
                <w:szCs w:val="24"/>
                <w:highlight w:val="none"/>
              </w:rPr>
            </w:pPr>
          </w:p>
        </w:tc>
        <w:tc>
          <w:tcPr>
            <w:tcW w:w="1332" w:type="dxa"/>
            <w:tcBorders>
              <w:top w:val="single" w:color="000000" w:sz="4" w:space="0"/>
              <w:left w:val="single" w:color="000000" w:sz="4" w:space="0"/>
              <w:bottom w:val="single" w:color="000000" w:sz="4" w:space="0"/>
              <w:right w:val="single" w:color="000000" w:sz="4" w:space="0"/>
            </w:tcBorders>
          </w:tcPr>
          <w:p w14:paraId="477C1E73">
            <w:pPr>
              <w:spacing w:before="120" w:beforeLines="50" w:line="360" w:lineRule="auto"/>
              <w:jc w:val="center"/>
              <w:rPr>
                <w:rFonts w:hint="eastAsia" w:ascii="宋体" w:hAnsi="宋体" w:cs="宋体"/>
                <w:sz w:val="24"/>
                <w:szCs w:val="24"/>
                <w:highlight w:val="none"/>
              </w:rPr>
            </w:pPr>
          </w:p>
        </w:tc>
        <w:tc>
          <w:tcPr>
            <w:tcW w:w="1050" w:type="dxa"/>
            <w:tcBorders>
              <w:top w:val="single" w:color="000000" w:sz="4" w:space="0"/>
              <w:left w:val="single" w:color="000000" w:sz="4" w:space="0"/>
              <w:bottom w:val="single" w:color="000000" w:sz="4" w:space="0"/>
              <w:right w:val="single" w:color="000000" w:sz="4" w:space="0"/>
            </w:tcBorders>
          </w:tcPr>
          <w:p w14:paraId="7FA8EA87">
            <w:pPr>
              <w:spacing w:before="120" w:beforeLines="50" w:line="360" w:lineRule="auto"/>
              <w:jc w:val="center"/>
              <w:rPr>
                <w:rFonts w:hint="eastAsia" w:ascii="宋体" w:hAnsi="宋体" w:cs="宋体"/>
                <w:sz w:val="24"/>
                <w:szCs w:val="24"/>
                <w:highlight w:val="none"/>
              </w:rPr>
            </w:pPr>
          </w:p>
        </w:tc>
        <w:tc>
          <w:tcPr>
            <w:tcW w:w="945" w:type="dxa"/>
            <w:tcBorders>
              <w:top w:val="single" w:color="000000" w:sz="4" w:space="0"/>
              <w:left w:val="single" w:color="000000" w:sz="4" w:space="0"/>
              <w:bottom w:val="single" w:color="000000" w:sz="4" w:space="0"/>
              <w:right w:val="single" w:color="000000" w:sz="4" w:space="0"/>
            </w:tcBorders>
          </w:tcPr>
          <w:p w14:paraId="0E3A4B8F">
            <w:pPr>
              <w:spacing w:before="120" w:beforeLines="50" w:line="360" w:lineRule="auto"/>
              <w:jc w:val="center"/>
              <w:rPr>
                <w:rFonts w:hint="eastAsia" w:ascii="宋体" w:hAnsi="宋体" w:cs="宋体"/>
                <w:sz w:val="24"/>
                <w:szCs w:val="24"/>
                <w:highlight w:val="none"/>
              </w:rPr>
            </w:pPr>
          </w:p>
        </w:tc>
        <w:tc>
          <w:tcPr>
            <w:tcW w:w="1380" w:type="dxa"/>
            <w:tcBorders>
              <w:top w:val="single" w:color="000000" w:sz="4" w:space="0"/>
              <w:left w:val="single" w:color="000000" w:sz="4" w:space="0"/>
              <w:bottom w:val="single" w:color="000000" w:sz="4" w:space="0"/>
              <w:right w:val="single" w:color="000000" w:sz="4" w:space="0"/>
            </w:tcBorders>
            <w:vAlign w:val="center"/>
          </w:tcPr>
          <w:p w14:paraId="6D717301">
            <w:pPr>
              <w:pStyle w:val="45"/>
              <w:tabs>
                <w:tab w:val="left" w:pos="180"/>
              </w:tabs>
              <w:spacing w:line="360" w:lineRule="auto"/>
              <w:ind w:firstLine="480"/>
              <w:rPr>
                <w:rFonts w:hint="eastAsia" w:hAnsi="宋体" w:cs="宋体"/>
                <w:sz w:val="24"/>
                <w:szCs w:val="24"/>
                <w:highlight w:val="none"/>
              </w:rPr>
            </w:pPr>
          </w:p>
        </w:tc>
        <w:tc>
          <w:tcPr>
            <w:tcW w:w="1421" w:type="dxa"/>
            <w:tcBorders>
              <w:top w:val="single" w:color="000000" w:sz="4" w:space="0"/>
              <w:left w:val="single" w:color="000000" w:sz="4" w:space="0"/>
              <w:bottom w:val="single" w:color="000000" w:sz="4" w:space="0"/>
              <w:right w:val="single" w:color="000000" w:sz="4" w:space="0"/>
            </w:tcBorders>
            <w:vAlign w:val="center"/>
          </w:tcPr>
          <w:p w14:paraId="3455E733">
            <w:pPr>
              <w:pStyle w:val="45"/>
              <w:tabs>
                <w:tab w:val="left" w:pos="180"/>
              </w:tabs>
              <w:spacing w:line="360" w:lineRule="auto"/>
              <w:ind w:firstLine="480"/>
              <w:rPr>
                <w:rFonts w:hint="eastAsia" w:hAnsi="宋体" w:cs="宋体"/>
                <w:sz w:val="24"/>
                <w:szCs w:val="24"/>
                <w:highlight w:val="none"/>
              </w:rPr>
            </w:pPr>
          </w:p>
        </w:tc>
      </w:tr>
      <w:tr w14:paraId="34DB53AA">
        <w:tblPrEx>
          <w:tblCellMar>
            <w:top w:w="0" w:type="dxa"/>
            <w:left w:w="108" w:type="dxa"/>
            <w:bottom w:w="0" w:type="dxa"/>
            <w:right w:w="108" w:type="dxa"/>
          </w:tblCellMar>
        </w:tblPrEx>
        <w:trPr>
          <w:cantSplit/>
          <w:trHeight w:val="57" w:hRule="atLeast"/>
        </w:trPr>
        <w:tc>
          <w:tcPr>
            <w:tcW w:w="840" w:type="dxa"/>
            <w:tcBorders>
              <w:top w:val="single" w:color="000000" w:sz="4" w:space="0"/>
              <w:left w:val="single" w:color="000000" w:sz="4" w:space="0"/>
              <w:bottom w:val="single" w:color="000000" w:sz="4" w:space="0"/>
              <w:right w:val="single" w:color="000000" w:sz="4" w:space="0"/>
            </w:tcBorders>
          </w:tcPr>
          <w:p w14:paraId="5483B7C1">
            <w:pPr>
              <w:spacing w:before="120" w:beforeLines="50" w:line="360" w:lineRule="auto"/>
              <w:jc w:val="center"/>
              <w:rPr>
                <w:rFonts w:hint="eastAsia" w:ascii="宋体" w:hAnsi="宋体" w:cs="宋体"/>
                <w:sz w:val="24"/>
                <w:szCs w:val="24"/>
                <w:highlight w:val="none"/>
              </w:rPr>
            </w:pPr>
          </w:p>
        </w:tc>
        <w:tc>
          <w:tcPr>
            <w:tcW w:w="2208" w:type="dxa"/>
            <w:tcBorders>
              <w:top w:val="single" w:color="000000" w:sz="4" w:space="0"/>
              <w:left w:val="single" w:color="000000" w:sz="4" w:space="0"/>
              <w:bottom w:val="single" w:color="000000" w:sz="4" w:space="0"/>
              <w:right w:val="single" w:color="000000" w:sz="4" w:space="0"/>
            </w:tcBorders>
          </w:tcPr>
          <w:p w14:paraId="5C2D59FA">
            <w:pPr>
              <w:spacing w:before="120" w:beforeLines="50" w:line="360" w:lineRule="auto"/>
              <w:rPr>
                <w:rFonts w:hint="eastAsia" w:ascii="宋体" w:hAnsi="宋体" w:cs="宋体"/>
                <w:sz w:val="24"/>
                <w:szCs w:val="24"/>
                <w:highlight w:val="none"/>
              </w:rPr>
            </w:pPr>
          </w:p>
        </w:tc>
        <w:tc>
          <w:tcPr>
            <w:tcW w:w="1332" w:type="dxa"/>
            <w:tcBorders>
              <w:top w:val="single" w:color="000000" w:sz="4" w:space="0"/>
              <w:left w:val="single" w:color="000000" w:sz="4" w:space="0"/>
              <w:bottom w:val="single" w:color="000000" w:sz="4" w:space="0"/>
              <w:right w:val="single" w:color="000000" w:sz="4" w:space="0"/>
            </w:tcBorders>
          </w:tcPr>
          <w:p w14:paraId="52E1B71E">
            <w:pPr>
              <w:spacing w:before="120" w:beforeLines="50" w:line="360" w:lineRule="auto"/>
              <w:jc w:val="center"/>
              <w:rPr>
                <w:rFonts w:hint="eastAsia" w:ascii="宋体" w:hAnsi="宋体" w:cs="宋体"/>
                <w:sz w:val="24"/>
                <w:szCs w:val="24"/>
                <w:highlight w:val="none"/>
              </w:rPr>
            </w:pPr>
          </w:p>
        </w:tc>
        <w:tc>
          <w:tcPr>
            <w:tcW w:w="1050" w:type="dxa"/>
            <w:tcBorders>
              <w:top w:val="single" w:color="000000" w:sz="4" w:space="0"/>
              <w:left w:val="single" w:color="000000" w:sz="4" w:space="0"/>
              <w:bottom w:val="single" w:color="000000" w:sz="4" w:space="0"/>
              <w:right w:val="single" w:color="000000" w:sz="4" w:space="0"/>
            </w:tcBorders>
          </w:tcPr>
          <w:p w14:paraId="383AD7EF">
            <w:pPr>
              <w:spacing w:before="120" w:beforeLines="50" w:line="360" w:lineRule="auto"/>
              <w:jc w:val="center"/>
              <w:rPr>
                <w:rFonts w:hint="eastAsia" w:ascii="宋体" w:hAnsi="宋体" w:cs="宋体"/>
                <w:sz w:val="24"/>
                <w:szCs w:val="24"/>
                <w:highlight w:val="none"/>
              </w:rPr>
            </w:pPr>
          </w:p>
        </w:tc>
        <w:tc>
          <w:tcPr>
            <w:tcW w:w="945" w:type="dxa"/>
            <w:tcBorders>
              <w:top w:val="single" w:color="000000" w:sz="4" w:space="0"/>
              <w:left w:val="single" w:color="000000" w:sz="4" w:space="0"/>
              <w:bottom w:val="single" w:color="000000" w:sz="4" w:space="0"/>
              <w:right w:val="single" w:color="000000" w:sz="4" w:space="0"/>
            </w:tcBorders>
          </w:tcPr>
          <w:p w14:paraId="447AC417">
            <w:pPr>
              <w:spacing w:before="120" w:beforeLines="50" w:line="360" w:lineRule="auto"/>
              <w:jc w:val="center"/>
              <w:rPr>
                <w:rFonts w:hint="eastAsia" w:ascii="宋体" w:hAnsi="宋体" w:cs="宋体"/>
                <w:sz w:val="24"/>
                <w:szCs w:val="24"/>
                <w:highlight w:val="none"/>
              </w:rPr>
            </w:pPr>
          </w:p>
        </w:tc>
        <w:tc>
          <w:tcPr>
            <w:tcW w:w="1380" w:type="dxa"/>
            <w:tcBorders>
              <w:top w:val="single" w:color="000000" w:sz="4" w:space="0"/>
              <w:left w:val="single" w:color="000000" w:sz="4" w:space="0"/>
              <w:bottom w:val="single" w:color="000000" w:sz="4" w:space="0"/>
              <w:right w:val="single" w:color="000000" w:sz="4" w:space="0"/>
            </w:tcBorders>
            <w:vAlign w:val="center"/>
          </w:tcPr>
          <w:p w14:paraId="34C17F26">
            <w:pPr>
              <w:pStyle w:val="45"/>
              <w:tabs>
                <w:tab w:val="left" w:pos="180"/>
              </w:tabs>
              <w:spacing w:line="360" w:lineRule="auto"/>
              <w:ind w:firstLine="480"/>
              <w:rPr>
                <w:rFonts w:hint="eastAsia" w:hAnsi="宋体" w:cs="宋体"/>
                <w:sz w:val="24"/>
                <w:szCs w:val="24"/>
                <w:highlight w:val="none"/>
              </w:rPr>
            </w:pPr>
          </w:p>
        </w:tc>
        <w:tc>
          <w:tcPr>
            <w:tcW w:w="1421" w:type="dxa"/>
            <w:tcBorders>
              <w:top w:val="single" w:color="000000" w:sz="4" w:space="0"/>
              <w:left w:val="single" w:color="000000" w:sz="4" w:space="0"/>
              <w:bottom w:val="single" w:color="000000" w:sz="4" w:space="0"/>
              <w:right w:val="single" w:color="000000" w:sz="4" w:space="0"/>
            </w:tcBorders>
            <w:vAlign w:val="center"/>
          </w:tcPr>
          <w:p w14:paraId="7E3791A5">
            <w:pPr>
              <w:pStyle w:val="45"/>
              <w:tabs>
                <w:tab w:val="left" w:pos="180"/>
              </w:tabs>
              <w:spacing w:line="360" w:lineRule="auto"/>
              <w:ind w:firstLine="480"/>
              <w:rPr>
                <w:rFonts w:hint="eastAsia" w:hAnsi="宋体" w:cs="宋体"/>
                <w:sz w:val="24"/>
                <w:szCs w:val="24"/>
                <w:highlight w:val="none"/>
              </w:rPr>
            </w:pPr>
          </w:p>
        </w:tc>
      </w:tr>
      <w:tr w14:paraId="3544DB6C">
        <w:tblPrEx>
          <w:tblCellMar>
            <w:top w:w="0" w:type="dxa"/>
            <w:left w:w="108" w:type="dxa"/>
            <w:bottom w:w="0" w:type="dxa"/>
            <w:right w:w="108" w:type="dxa"/>
          </w:tblCellMar>
        </w:tblPrEx>
        <w:trPr>
          <w:cantSplit/>
          <w:trHeight w:val="57" w:hRule="atLeast"/>
        </w:trPr>
        <w:tc>
          <w:tcPr>
            <w:tcW w:w="840" w:type="dxa"/>
            <w:tcBorders>
              <w:top w:val="single" w:color="000000" w:sz="4" w:space="0"/>
              <w:left w:val="single" w:color="000000" w:sz="4" w:space="0"/>
              <w:bottom w:val="single" w:color="000000" w:sz="4" w:space="0"/>
              <w:right w:val="single" w:color="000000" w:sz="4" w:space="0"/>
            </w:tcBorders>
          </w:tcPr>
          <w:p w14:paraId="5D2569D0">
            <w:pPr>
              <w:spacing w:before="120" w:beforeLines="50" w:line="360" w:lineRule="auto"/>
              <w:jc w:val="center"/>
              <w:rPr>
                <w:rFonts w:hint="eastAsia" w:ascii="宋体" w:hAnsi="宋体" w:cs="宋体"/>
                <w:sz w:val="24"/>
                <w:szCs w:val="24"/>
                <w:highlight w:val="none"/>
              </w:rPr>
            </w:pPr>
          </w:p>
        </w:tc>
        <w:tc>
          <w:tcPr>
            <w:tcW w:w="2208" w:type="dxa"/>
            <w:tcBorders>
              <w:top w:val="single" w:color="000000" w:sz="4" w:space="0"/>
              <w:left w:val="single" w:color="000000" w:sz="4" w:space="0"/>
              <w:bottom w:val="single" w:color="000000" w:sz="4" w:space="0"/>
              <w:right w:val="single" w:color="000000" w:sz="4" w:space="0"/>
            </w:tcBorders>
          </w:tcPr>
          <w:p w14:paraId="7F592E38">
            <w:pPr>
              <w:spacing w:before="120" w:beforeLines="50" w:line="360" w:lineRule="auto"/>
              <w:rPr>
                <w:rFonts w:hint="eastAsia" w:ascii="宋体" w:hAnsi="宋体" w:cs="宋体"/>
                <w:sz w:val="24"/>
                <w:szCs w:val="24"/>
                <w:highlight w:val="none"/>
              </w:rPr>
            </w:pPr>
          </w:p>
        </w:tc>
        <w:tc>
          <w:tcPr>
            <w:tcW w:w="1332" w:type="dxa"/>
            <w:tcBorders>
              <w:top w:val="single" w:color="000000" w:sz="4" w:space="0"/>
              <w:left w:val="single" w:color="000000" w:sz="4" w:space="0"/>
              <w:bottom w:val="single" w:color="000000" w:sz="4" w:space="0"/>
              <w:right w:val="single" w:color="000000" w:sz="4" w:space="0"/>
            </w:tcBorders>
          </w:tcPr>
          <w:p w14:paraId="1B4F1C7F">
            <w:pPr>
              <w:spacing w:before="120" w:beforeLines="50" w:line="360" w:lineRule="auto"/>
              <w:jc w:val="center"/>
              <w:rPr>
                <w:rFonts w:hint="eastAsia" w:ascii="宋体" w:hAnsi="宋体" w:cs="宋体"/>
                <w:sz w:val="24"/>
                <w:szCs w:val="24"/>
                <w:highlight w:val="none"/>
              </w:rPr>
            </w:pPr>
          </w:p>
        </w:tc>
        <w:tc>
          <w:tcPr>
            <w:tcW w:w="1050" w:type="dxa"/>
            <w:tcBorders>
              <w:top w:val="single" w:color="000000" w:sz="4" w:space="0"/>
              <w:left w:val="single" w:color="000000" w:sz="4" w:space="0"/>
              <w:bottom w:val="single" w:color="000000" w:sz="4" w:space="0"/>
              <w:right w:val="single" w:color="000000" w:sz="4" w:space="0"/>
            </w:tcBorders>
          </w:tcPr>
          <w:p w14:paraId="4504FB3E">
            <w:pPr>
              <w:spacing w:before="120" w:beforeLines="50" w:line="360" w:lineRule="auto"/>
              <w:jc w:val="center"/>
              <w:rPr>
                <w:rFonts w:hint="eastAsia" w:ascii="宋体" w:hAnsi="宋体" w:cs="宋体"/>
                <w:sz w:val="24"/>
                <w:szCs w:val="24"/>
                <w:highlight w:val="none"/>
              </w:rPr>
            </w:pPr>
          </w:p>
        </w:tc>
        <w:tc>
          <w:tcPr>
            <w:tcW w:w="945" w:type="dxa"/>
            <w:tcBorders>
              <w:top w:val="single" w:color="000000" w:sz="4" w:space="0"/>
              <w:left w:val="single" w:color="000000" w:sz="4" w:space="0"/>
              <w:bottom w:val="single" w:color="000000" w:sz="4" w:space="0"/>
              <w:right w:val="single" w:color="000000" w:sz="4" w:space="0"/>
            </w:tcBorders>
          </w:tcPr>
          <w:p w14:paraId="6B2761D2">
            <w:pPr>
              <w:spacing w:before="120" w:beforeLines="50" w:line="360" w:lineRule="auto"/>
              <w:jc w:val="center"/>
              <w:rPr>
                <w:rFonts w:hint="eastAsia" w:ascii="宋体" w:hAnsi="宋体" w:cs="宋体"/>
                <w:sz w:val="24"/>
                <w:szCs w:val="24"/>
                <w:highlight w:val="none"/>
              </w:rPr>
            </w:pPr>
          </w:p>
        </w:tc>
        <w:tc>
          <w:tcPr>
            <w:tcW w:w="1380" w:type="dxa"/>
            <w:tcBorders>
              <w:top w:val="single" w:color="000000" w:sz="4" w:space="0"/>
              <w:left w:val="single" w:color="000000" w:sz="4" w:space="0"/>
              <w:bottom w:val="single" w:color="000000" w:sz="4" w:space="0"/>
              <w:right w:val="single" w:color="000000" w:sz="4" w:space="0"/>
            </w:tcBorders>
            <w:vAlign w:val="center"/>
          </w:tcPr>
          <w:p w14:paraId="60E0AF7F">
            <w:pPr>
              <w:pStyle w:val="45"/>
              <w:tabs>
                <w:tab w:val="left" w:pos="180"/>
              </w:tabs>
              <w:spacing w:line="360" w:lineRule="auto"/>
              <w:ind w:firstLine="480"/>
              <w:rPr>
                <w:rFonts w:hint="eastAsia" w:hAnsi="宋体" w:cs="宋体"/>
                <w:sz w:val="24"/>
                <w:szCs w:val="24"/>
                <w:highlight w:val="none"/>
              </w:rPr>
            </w:pPr>
          </w:p>
        </w:tc>
        <w:tc>
          <w:tcPr>
            <w:tcW w:w="1421" w:type="dxa"/>
            <w:tcBorders>
              <w:top w:val="single" w:color="000000" w:sz="4" w:space="0"/>
              <w:left w:val="single" w:color="000000" w:sz="4" w:space="0"/>
              <w:bottom w:val="single" w:color="000000" w:sz="4" w:space="0"/>
              <w:right w:val="single" w:color="000000" w:sz="4" w:space="0"/>
            </w:tcBorders>
            <w:vAlign w:val="center"/>
          </w:tcPr>
          <w:p w14:paraId="26B97EDE">
            <w:pPr>
              <w:pStyle w:val="45"/>
              <w:tabs>
                <w:tab w:val="left" w:pos="180"/>
              </w:tabs>
              <w:spacing w:line="360" w:lineRule="auto"/>
              <w:ind w:firstLine="480"/>
              <w:rPr>
                <w:rFonts w:hint="eastAsia" w:hAnsi="宋体" w:cs="宋体"/>
                <w:sz w:val="24"/>
                <w:szCs w:val="24"/>
                <w:highlight w:val="none"/>
              </w:rPr>
            </w:pPr>
          </w:p>
        </w:tc>
      </w:tr>
      <w:tr w14:paraId="1DB45194">
        <w:tblPrEx>
          <w:tblCellMar>
            <w:top w:w="0" w:type="dxa"/>
            <w:left w:w="108" w:type="dxa"/>
            <w:bottom w:w="0" w:type="dxa"/>
            <w:right w:w="108" w:type="dxa"/>
          </w:tblCellMar>
        </w:tblPrEx>
        <w:trPr>
          <w:cantSplit/>
          <w:trHeight w:val="57" w:hRule="atLeast"/>
        </w:trPr>
        <w:tc>
          <w:tcPr>
            <w:tcW w:w="840" w:type="dxa"/>
            <w:tcBorders>
              <w:top w:val="single" w:color="000000" w:sz="4" w:space="0"/>
              <w:left w:val="single" w:color="000000" w:sz="4" w:space="0"/>
              <w:bottom w:val="single" w:color="000000" w:sz="4" w:space="0"/>
              <w:right w:val="single" w:color="000000" w:sz="4" w:space="0"/>
            </w:tcBorders>
          </w:tcPr>
          <w:p w14:paraId="2DA290BB">
            <w:pPr>
              <w:spacing w:before="120" w:beforeLines="50" w:line="360" w:lineRule="auto"/>
              <w:jc w:val="center"/>
              <w:rPr>
                <w:rFonts w:hint="eastAsia" w:ascii="宋体" w:hAnsi="宋体" w:cs="宋体"/>
                <w:sz w:val="24"/>
                <w:szCs w:val="24"/>
                <w:highlight w:val="none"/>
              </w:rPr>
            </w:pPr>
          </w:p>
        </w:tc>
        <w:tc>
          <w:tcPr>
            <w:tcW w:w="2208" w:type="dxa"/>
            <w:tcBorders>
              <w:top w:val="single" w:color="000000" w:sz="4" w:space="0"/>
              <w:left w:val="single" w:color="000000" w:sz="4" w:space="0"/>
              <w:bottom w:val="single" w:color="000000" w:sz="4" w:space="0"/>
              <w:right w:val="single" w:color="000000" w:sz="4" w:space="0"/>
            </w:tcBorders>
          </w:tcPr>
          <w:p w14:paraId="50972F3F">
            <w:pPr>
              <w:spacing w:before="120" w:beforeLines="50" w:line="360" w:lineRule="auto"/>
              <w:rPr>
                <w:rFonts w:hint="eastAsia" w:ascii="宋体" w:hAnsi="宋体" w:cs="宋体"/>
                <w:sz w:val="24"/>
                <w:szCs w:val="24"/>
                <w:highlight w:val="none"/>
              </w:rPr>
            </w:pPr>
          </w:p>
        </w:tc>
        <w:tc>
          <w:tcPr>
            <w:tcW w:w="1332" w:type="dxa"/>
            <w:tcBorders>
              <w:top w:val="single" w:color="000000" w:sz="4" w:space="0"/>
              <w:left w:val="single" w:color="000000" w:sz="4" w:space="0"/>
              <w:bottom w:val="single" w:color="000000" w:sz="4" w:space="0"/>
              <w:right w:val="single" w:color="000000" w:sz="4" w:space="0"/>
            </w:tcBorders>
          </w:tcPr>
          <w:p w14:paraId="52FC7182">
            <w:pPr>
              <w:spacing w:before="120" w:beforeLines="50" w:line="360" w:lineRule="auto"/>
              <w:jc w:val="center"/>
              <w:rPr>
                <w:rFonts w:hint="eastAsia" w:ascii="宋体" w:hAnsi="宋体" w:cs="宋体"/>
                <w:sz w:val="24"/>
                <w:szCs w:val="24"/>
                <w:highlight w:val="none"/>
              </w:rPr>
            </w:pPr>
          </w:p>
        </w:tc>
        <w:tc>
          <w:tcPr>
            <w:tcW w:w="1050" w:type="dxa"/>
            <w:tcBorders>
              <w:top w:val="single" w:color="000000" w:sz="4" w:space="0"/>
              <w:left w:val="single" w:color="000000" w:sz="4" w:space="0"/>
              <w:bottom w:val="single" w:color="000000" w:sz="4" w:space="0"/>
              <w:right w:val="single" w:color="000000" w:sz="4" w:space="0"/>
            </w:tcBorders>
          </w:tcPr>
          <w:p w14:paraId="399B581A">
            <w:pPr>
              <w:spacing w:before="120" w:beforeLines="50" w:line="360" w:lineRule="auto"/>
              <w:jc w:val="center"/>
              <w:rPr>
                <w:rFonts w:hint="eastAsia" w:ascii="宋体" w:hAnsi="宋体" w:cs="宋体"/>
                <w:sz w:val="24"/>
                <w:szCs w:val="24"/>
                <w:highlight w:val="none"/>
              </w:rPr>
            </w:pPr>
          </w:p>
        </w:tc>
        <w:tc>
          <w:tcPr>
            <w:tcW w:w="945" w:type="dxa"/>
            <w:tcBorders>
              <w:top w:val="single" w:color="000000" w:sz="4" w:space="0"/>
              <w:left w:val="single" w:color="000000" w:sz="4" w:space="0"/>
              <w:bottom w:val="single" w:color="000000" w:sz="4" w:space="0"/>
              <w:right w:val="single" w:color="000000" w:sz="4" w:space="0"/>
            </w:tcBorders>
          </w:tcPr>
          <w:p w14:paraId="178FA90D">
            <w:pPr>
              <w:spacing w:before="120" w:beforeLines="50" w:line="360" w:lineRule="auto"/>
              <w:jc w:val="center"/>
              <w:rPr>
                <w:rFonts w:hint="eastAsia" w:ascii="宋体" w:hAnsi="宋体" w:cs="宋体"/>
                <w:sz w:val="24"/>
                <w:szCs w:val="24"/>
                <w:highlight w:val="none"/>
              </w:rPr>
            </w:pPr>
          </w:p>
        </w:tc>
        <w:tc>
          <w:tcPr>
            <w:tcW w:w="1380" w:type="dxa"/>
            <w:tcBorders>
              <w:top w:val="single" w:color="000000" w:sz="4" w:space="0"/>
              <w:left w:val="single" w:color="000000" w:sz="4" w:space="0"/>
              <w:bottom w:val="single" w:color="000000" w:sz="4" w:space="0"/>
              <w:right w:val="single" w:color="000000" w:sz="4" w:space="0"/>
            </w:tcBorders>
            <w:vAlign w:val="center"/>
          </w:tcPr>
          <w:p w14:paraId="7D5515C3">
            <w:pPr>
              <w:pStyle w:val="45"/>
              <w:tabs>
                <w:tab w:val="left" w:pos="180"/>
              </w:tabs>
              <w:spacing w:line="360" w:lineRule="auto"/>
              <w:ind w:firstLine="480"/>
              <w:rPr>
                <w:rFonts w:hint="eastAsia" w:hAnsi="宋体" w:cs="宋体"/>
                <w:sz w:val="24"/>
                <w:szCs w:val="24"/>
                <w:highlight w:val="none"/>
              </w:rPr>
            </w:pPr>
          </w:p>
        </w:tc>
        <w:tc>
          <w:tcPr>
            <w:tcW w:w="1421" w:type="dxa"/>
            <w:tcBorders>
              <w:top w:val="single" w:color="000000" w:sz="4" w:space="0"/>
              <w:left w:val="single" w:color="000000" w:sz="4" w:space="0"/>
              <w:bottom w:val="single" w:color="000000" w:sz="4" w:space="0"/>
              <w:right w:val="single" w:color="000000" w:sz="4" w:space="0"/>
            </w:tcBorders>
            <w:vAlign w:val="center"/>
          </w:tcPr>
          <w:p w14:paraId="4430C2F7">
            <w:pPr>
              <w:pStyle w:val="45"/>
              <w:tabs>
                <w:tab w:val="left" w:pos="180"/>
              </w:tabs>
              <w:spacing w:line="360" w:lineRule="auto"/>
              <w:ind w:firstLine="480"/>
              <w:rPr>
                <w:rFonts w:hint="eastAsia" w:hAnsi="宋体" w:cs="宋体"/>
                <w:sz w:val="24"/>
                <w:szCs w:val="24"/>
                <w:highlight w:val="none"/>
              </w:rPr>
            </w:pPr>
          </w:p>
        </w:tc>
      </w:tr>
      <w:tr w14:paraId="4913376B">
        <w:tblPrEx>
          <w:tblCellMar>
            <w:top w:w="0" w:type="dxa"/>
            <w:left w:w="108" w:type="dxa"/>
            <w:bottom w:w="0" w:type="dxa"/>
            <w:right w:w="108" w:type="dxa"/>
          </w:tblCellMar>
        </w:tblPrEx>
        <w:trPr>
          <w:cantSplit/>
          <w:trHeight w:val="57" w:hRule="atLeast"/>
        </w:trPr>
        <w:tc>
          <w:tcPr>
            <w:tcW w:w="840" w:type="dxa"/>
            <w:tcBorders>
              <w:top w:val="single" w:color="000000" w:sz="4" w:space="0"/>
              <w:left w:val="single" w:color="000000" w:sz="4" w:space="0"/>
              <w:bottom w:val="single" w:color="000000" w:sz="4" w:space="0"/>
              <w:right w:val="single" w:color="000000" w:sz="4" w:space="0"/>
            </w:tcBorders>
          </w:tcPr>
          <w:p w14:paraId="29AA580F">
            <w:pPr>
              <w:spacing w:before="120" w:beforeLines="50" w:line="360" w:lineRule="auto"/>
              <w:jc w:val="center"/>
              <w:rPr>
                <w:rFonts w:hint="eastAsia" w:ascii="宋体" w:hAnsi="宋体" w:cs="宋体"/>
                <w:sz w:val="24"/>
                <w:szCs w:val="24"/>
                <w:highlight w:val="none"/>
              </w:rPr>
            </w:pPr>
          </w:p>
        </w:tc>
        <w:tc>
          <w:tcPr>
            <w:tcW w:w="2208" w:type="dxa"/>
            <w:tcBorders>
              <w:top w:val="single" w:color="000000" w:sz="4" w:space="0"/>
              <w:left w:val="single" w:color="000000" w:sz="4" w:space="0"/>
              <w:bottom w:val="single" w:color="000000" w:sz="4" w:space="0"/>
              <w:right w:val="single" w:color="000000" w:sz="4" w:space="0"/>
            </w:tcBorders>
          </w:tcPr>
          <w:p w14:paraId="07010142">
            <w:pPr>
              <w:spacing w:before="120" w:beforeLines="50" w:line="360" w:lineRule="auto"/>
              <w:rPr>
                <w:rFonts w:hint="eastAsia" w:ascii="宋体" w:hAnsi="宋体" w:cs="宋体"/>
                <w:sz w:val="24"/>
                <w:szCs w:val="24"/>
                <w:highlight w:val="none"/>
              </w:rPr>
            </w:pPr>
          </w:p>
        </w:tc>
        <w:tc>
          <w:tcPr>
            <w:tcW w:w="1332" w:type="dxa"/>
            <w:tcBorders>
              <w:top w:val="single" w:color="000000" w:sz="4" w:space="0"/>
              <w:left w:val="single" w:color="000000" w:sz="4" w:space="0"/>
              <w:bottom w:val="single" w:color="000000" w:sz="4" w:space="0"/>
              <w:right w:val="single" w:color="000000" w:sz="4" w:space="0"/>
            </w:tcBorders>
          </w:tcPr>
          <w:p w14:paraId="4C99F13B">
            <w:pPr>
              <w:spacing w:before="120" w:beforeLines="50" w:line="360" w:lineRule="auto"/>
              <w:jc w:val="center"/>
              <w:rPr>
                <w:rFonts w:hint="eastAsia" w:ascii="宋体" w:hAnsi="宋体" w:cs="宋体"/>
                <w:sz w:val="24"/>
                <w:szCs w:val="24"/>
                <w:highlight w:val="none"/>
              </w:rPr>
            </w:pPr>
          </w:p>
        </w:tc>
        <w:tc>
          <w:tcPr>
            <w:tcW w:w="1050" w:type="dxa"/>
            <w:tcBorders>
              <w:top w:val="single" w:color="000000" w:sz="4" w:space="0"/>
              <w:left w:val="single" w:color="000000" w:sz="4" w:space="0"/>
              <w:bottom w:val="single" w:color="000000" w:sz="4" w:space="0"/>
              <w:right w:val="single" w:color="000000" w:sz="4" w:space="0"/>
            </w:tcBorders>
          </w:tcPr>
          <w:p w14:paraId="48C83D60">
            <w:pPr>
              <w:spacing w:before="120" w:beforeLines="50" w:line="360" w:lineRule="auto"/>
              <w:jc w:val="center"/>
              <w:rPr>
                <w:rFonts w:hint="eastAsia" w:ascii="宋体" w:hAnsi="宋体" w:cs="宋体"/>
                <w:sz w:val="24"/>
                <w:szCs w:val="24"/>
                <w:highlight w:val="none"/>
              </w:rPr>
            </w:pPr>
          </w:p>
        </w:tc>
        <w:tc>
          <w:tcPr>
            <w:tcW w:w="945" w:type="dxa"/>
            <w:tcBorders>
              <w:top w:val="single" w:color="000000" w:sz="4" w:space="0"/>
              <w:left w:val="single" w:color="000000" w:sz="4" w:space="0"/>
              <w:bottom w:val="single" w:color="000000" w:sz="4" w:space="0"/>
              <w:right w:val="single" w:color="000000" w:sz="4" w:space="0"/>
            </w:tcBorders>
          </w:tcPr>
          <w:p w14:paraId="44E756A7">
            <w:pPr>
              <w:spacing w:before="120" w:beforeLines="50" w:line="360" w:lineRule="auto"/>
              <w:jc w:val="center"/>
              <w:rPr>
                <w:rFonts w:hint="eastAsia" w:ascii="宋体" w:hAnsi="宋体" w:cs="宋体"/>
                <w:sz w:val="24"/>
                <w:szCs w:val="24"/>
                <w:highlight w:val="none"/>
              </w:rPr>
            </w:pPr>
          </w:p>
        </w:tc>
        <w:tc>
          <w:tcPr>
            <w:tcW w:w="1380" w:type="dxa"/>
            <w:tcBorders>
              <w:top w:val="single" w:color="000000" w:sz="4" w:space="0"/>
              <w:left w:val="single" w:color="000000" w:sz="4" w:space="0"/>
              <w:bottom w:val="single" w:color="000000" w:sz="4" w:space="0"/>
              <w:right w:val="single" w:color="000000" w:sz="4" w:space="0"/>
            </w:tcBorders>
            <w:vAlign w:val="center"/>
          </w:tcPr>
          <w:p w14:paraId="79F42925">
            <w:pPr>
              <w:pStyle w:val="45"/>
              <w:tabs>
                <w:tab w:val="left" w:pos="180"/>
              </w:tabs>
              <w:spacing w:line="360" w:lineRule="auto"/>
              <w:ind w:firstLine="480"/>
              <w:rPr>
                <w:rFonts w:hint="eastAsia" w:hAnsi="宋体" w:cs="宋体"/>
                <w:sz w:val="24"/>
                <w:szCs w:val="24"/>
                <w:highlight w:val="none"/>
              </w:rPr>
            </w:pPr>
          </w:p>
        </w:tc>
        <w:tc>
          <w:tcPr>
            <w:tcW w:w="1421" w:type="dxa"/>
            <w:tcBorders>
              <w:top w:val="single" w:color="000000" w:sz="4" w:space="0"/>
              <w:left w:val="single" w:color="000000" w:sz="4" w:space="0"/>
              <w:bottom w:val="single" w:color="000000" w:sz="4" w:space="0"/>
              <w:right w:val="single" w:color="000000" w:sz="4" w:space="0"/>
            </w:tcBorders>
            <w:vAlign w:val="center"/>
          </w:tcPr>
          <w:p w14:paraId="26DB6089">
            <w:pPr>
              <w:pStyle w:val="45"/>
              <w:tabs>
                <w:tab w:val="left" w:pos="180"/>
              </w:tabs>
              <w:spacing w:line="360" w:lineRule="auto"/>
              <w:ind w:firstLine="480"/>
              <w:rPr>
                <w:rFonts w:hint="eastAsia" w:hAnsi="宋体" w:cs="宋体"/>
                <w:sz w:val="24"/>
                <w:szCs w:val="24"/>
                <w:highlight w:val="none"/>
              </w:rPr>
            </w:pPr>
          </w:p>
        </w:tc>
      </w:tr>
    </w:tbl>
    <w:p w14:paraId="0141E0F0">
      <w:pPr>
        <w:spacing w:line="360" w:lineRule="auto"/>
        <w:rPr>
          <w:rFonts w:hint="eastAsia" w:ascii="宋体" w:hAnsi="宋体" w:cs="宋体"/>
          <w:sz w:val="24"/>
          <w:szCs w:val="24"/>
          <w:highlight w:val="none"/>
        </w:rPr>
      </w:pPr>
      <w:r>
        <w:rPr>
          <w:rFonts w:hint="eastAsia" w:ascii="宋体" w:hAnsi="宋体" w:cs="宋体"/>
          <w:sz w:val="24"/>
          <w:szCs w:val="24"/>
          <w:highlight w:val="none"/>
        </w:rPr>
        <w:t>注：1.实际供货数量根据项目实际需求，以采购人的书面通知或传真为准。</w:t>
      </w:r>
    </w:p>
    <w:p w14:paraId="575EFB3A">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2.本项目采用固定综合单价合同，按实结算。合同期间综合单价不予调整。</w:t>
      </w:r>
    </w:p>
    <w:p w14:paraId="71D8C812">
      <w:pPr>
        <w:spacing w:line="360" w:lineRule="auto"/>
        <w:ind w:firstLine="480" w:firstLineChars="200"/>
        <w:rPr>
          <w:rFonts w:hint="eastAsia" w:ascii="宋体" w:hAnsi="宋体" w:cs="宋体"/>
          <w:bCs/>
          <w:sz w:val="24"/>
          <w:szCs w:val="24"/>
          <w:highlight w:val="none"/>
        </w:rPr>
      </w:pPr>
      <w:r>
        <w:rPr>
          <w:rFonts w:hint="eastAsia" w:ascii="宋体" w:hAnsi="宋体" w:cs="宋体"/>
          <w:sz w:val="24"/>
          <w:szCs w:val="24"/>
          <w:highlight w:val="none"/>
        </w:rPr>
        <w:t>以上综合单价</w:t>
      </w:r>
      <w:r>
        <w:rPr>
          <w:rFonts w:hint="eastAsia" w:ascii="宋体" w:hAnsi="宋体" w:cs="宋体"/>
          <w:bCs/>
          <w:sz w:val="24"/>
          <w:szCs w:val="24"/>
          <w:highlight w:val="none"/>
          <w:lang w:val="zh-CN"/>
        </w:rPr>
        <w:t>包括本次的货物价款、人工费、材料费、运输保险费、安装调试费（含安装人工等相关人工费用）、售后服务、各项税金、验收费等所有费用。</w:t>
      </w:r>
    </w:p>
    <w:p w14:paraId="24804457">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二、组成合同的文件</w:t>
      </w:r>
    </w:p>
    <w:p w14:paraId="67CA835D">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1. 组成本合同的文件包括：</w:t>
      </w:r>
    </w:p>
    <w:p w14:paraId="5F1E64BE">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1.1本合同条款</w:t>
      </w:r>
    </w:p>
    <w:p w14:paraId="2C0BC4AF">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1.2成交通知书</w:t>
      </w:r>
    </w:p>
    <w:p w14:paraId="5A854A7C">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1.3采购文件</w:t>
      </w:r>
    </w:p>
    <w:p w14:paraId="468759E1">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1.4标准、规范及有关技术文件</w:t>
      </w:r>
    </w:p>
    <w:p w14:paraId="518FD69E">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1.5投标响应文件</w:t>
      </w:r>
    </w:p>
    <w:p w14:paraId="162948FD">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双方有关本项目的洽商、变更、调整等书面协议或文件视为本合同的组成部分。</w:t>
      </w:r>
    </w:p>
    <w:p w14:paraId="48E1C05E">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2.本合同文件解释</w:t>
      </w:r>
    </w:p>
    <w:p w14:paraId="179DA14E">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解释合同文件的优先顺序按第3.1款顺序，当合同文件出现含糊不清或不一致时，由双方协商解决。</w:t>
      </w:r>
    </w:p>
    <w:p w14:paraId="1541E7EF">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3.适用的法律、法规和规章</w:t>
      </w:r>
    </w:p>
    <w:p w14:paraId="1C6B70F3">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适用于本合同的法律、法规和规章是中华人民共和国法律、行政法规以及国务院有关部门的规章和地方法规和规章。</w:t>
      </w:r>
    </w:p>
    <w:p w14:paraId="60D8EBCC">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三、质量保证</w:t>
      </w:r>
    </w:p>
    <w:p w14:paraId="7CDAE2EC">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乙方保证本合同中所供应的货物符合国家技术规格和质量标准的出厂合格产品；如发生所供商品与合同不符，甲方有权拒收或退货，由此产生的一切责任和后果由乙方承担。</w:t>
      </w:r>
    </w:p>
    <w:p w14:paraId="74407490">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四、交货地点、时间及要求</w:t>
      </w:r>
    </w:p>
    <w:p w14:paraId="67C4A9D4">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交货地点：甲方指定地点</w:t>
      </w:r>
    </w:p>
    <w:p w14:paraId="7EB40B0B">
      <w:pPr>
        <w:numPr>
          <w:ilvl w:val="0"/>
          <w:numId w:val="5"/>
        </w:num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履约保证金</w:t>
      </w:r>
    </w:p>
    <w:p w14:paraId="5C18ADD0">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本项目不收取履约保证金。</w:t>
      </w:r>
    </w:p>
    <w:p w14:paraId="39D0F87A">
      <w:pPr>
        <w:numPr>
          <w:ilvl w:val="0"/>
          <w:numId w:val="5"/>
        </w:num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付款方式：</w:t>
      </w:r>
    </w:p>
    <w:p w14:paraId="20D93A16">
      <w:pPr>
        <w:numPr>
          <w:ilvl w:val="0"/>
          <w:numId w:val="6"/>
        </w:num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甲方在合同生效以及具备实施条件后</w:t>
      </w:r>
      <w:r>
        <w:rPr>
          <w:rFonts w:hint="eastAsia" w:ascii="宋体" w:hAnsi="宋体" w:cs="宋体"/>
          <w:sz w:val="24"/>
          <w:szCs w:val="24"/>
          <w:highlight w:val="none"/>
          <w:u w:val="single"/>
        </w:rPr>
        <w:t>7</w:t>
      </w:r>
      <w:r>
        <w:rPr>
          <w:rFonts w:hint="eastAsia" w:ascii="宋体" w:hAnsi="宋体" w:cs="宋体"/>
          <w:sz w:val="24"/>
          <w:szCs w:val="24"/>
          <w:highlight w:val="none"/>
        </w:rPr>
        <w:t>个工作日内支付至合同总价的</w:t>
      </w:r>
      <w:r>
        <w:rPr>
          <w:rFonts w:ascii="宋体" w:hAnsi="宋体" w:cs="宋体"/>
          <w:sz w:val="24"/>
          <w:szCs w:val="24"/>
          <w:highlight w:val="none"/>
        </w:rPr>
        <w:t>40</w:t>
      </w:r>
      <w:r>
        <w:rPr>
          <w:rFonts w:hint="eastAsia" w:ascii="宋体" w:hAnsi="宋体" w:cs="宋体"/>
          <w:sz w:val="24"/>
          <w:szCs w:val="24"/>
          <w:highlight w:val="none"/>
        </w:rPr>
        <w:t>%作为预付款；</w:t>
      </w:r>
    </w:p>
    <w:p w14:paraId="489628B2">
      <w:pPr>
        <w:numPr>
          <w:ilvl w:val="0"/>
          <w:numId w:val="6"/>
        </w:num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货物到场且收到投标人货物清单明细及发票后支付合同价的20%，</w:t>
      </w:r>
    </w:p>
    <w:p w14:paraId="43A4122D">
      <w:pPr>
        <w:numPr>
          <w:ilvl w:val="0"/>
          <w:numId w:val="6"/>
        </w:num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货物安装调试完成并验收合格后支付至合同价的100%。</w:t>
      </w:r>
    </w:p>
    <w:p w14:paraId="085A1634">
      <w:pPr>
        <w:pStyle w:val="34"/>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七、质保期</w:t>
      </w:r>
    </w:p>
    <w:p w14:paraId="031271CE">
      <w:pPr>
        <w:pStyle w:val="34"/>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 验收合格之日起提供</w:t>
      </w:r>
      <w:r>
        <w:rPr>
          <w:rFonts w:hint="eastAsia" w:ascii="宋体" w:hAnsi="宋体" w:cs="宋体"/>
          <w:sz w:val="24"/>
          <w:szCs w:val="24"/>
          <w:highlight w:val="none"/>
          <w:u w:val="single"/>
        </w:rPr>
        <w:t xml:space="preserve">  </w:t>
      </w:r>
      <w:r>
        <w:rPr>
          <w:rFonts w:hint="eastAsia" w:ascii="宋体" w:hAnsi="宋体" w:cs="宋体"/>
          <w:b/>
          <w:bCs/>
          <w:sz w:val="24"/>
          <w:szCs w:val="24"/>
          <w:highlight w:val="none"/>
          <w:u w:val="single"/>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年免费质保。</w:t>
      </w:r>
    </w:p>
    <w:p w14:paraId="6B977690">
      <w:pPr>
        <w:pStyle w:val="34"/>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八、验收</w:t>
      </w:r>
    </w:p>
    <w:p w14:paraId="48834619">
      <w:pPr>
        <w:pStyle w:val="34"/>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1.验收由甲方按规定组织相关人员进行验收。</w:t>
      </w:r>
    </w:p>
    <w:p w14:paraId="6F2503EC">
      <w:pPr>
        <w:pStyle w:val="34"/>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2.甲方依据采购文件上的技术规格要求和国家有关质量标准进行现场验收。验收合格后由甲方在验收单上签字并加盖单位公章。</w:t>
      </w:r>
    </w:p>
    <w:p w14:paraId="7A146293">
      <w:pPr>
        <w:pStyle w:val="34"/>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 3.验收时乙方必须在现场，验收费用由乙方负责。</w:t>
      </w:r>
    </w:p>
    <w:p w14:paraId="7B16ACB1">
      <w:pPr>
        <w:pStyle w:val="34"/>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 九、质量保证及后续服务</w:t>
      </w:r>
    </w:p>
    <w:p w14:paraId="2FEBF5EB">
      <w:pPr>
        <w:pStyle w:val="34"/>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 1.乙方应按采购文件规定的货物性能、技术要求、质量标准向甲方提供未经使用的全新产品。</w:t>
      </w:r>
    </w:p>
    <w:p w14:paraId="0A45F657">
      <w:pPr>
        <w:pStyle w:val="34"/>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 2.乙方提供的货物在质保期内因货物本身的质量问题发生故障，乙方应负责免费更换。对达不到技术要求者，根据实际情况，经双方协商，可按按以下办法处理：</w:t>
      </w:r>
    </w:p>
    <w:p w14:paraId="39082366">
      <w:pPr>
        <w:pStyle w:val="34"/>
        <w:spacing w:line="360" w:lineRule="auto"/>
        <w:ind w:firstLine="240" w:firstLineChars="100"/>
        <w:rPr>
          <w:rFonts w:hint="eastAsia" w:ascii="宋体" w:hAnsi="宋体" w:cs="宋体"/>
          <w:sz w:val="24"/>
          <w:szCs w:val="24"/>
          <w:highlight w:val="none"/>
        </w:rPr>
      </w:pPr>
      <w:r>
        <w:rPr>
          <w:rFonts w:hint="eastAsia" w:ascii="宋体" w:hAnsi="宋体" w:cs="宋体"/>
          <w:sz w:val="24"/>
          <w:szCs w:val="24"/>
          <w:highlight w:val="none"/>
        </w:rPr>
        <w:t>（1）更换：由乙方承担所发生的全部费用。</w:t>
      </w:r>
    </w:p>
    <w:p w14:paraId="0842D7F3">
      <w:pPr>
        <w:pStyle w:val="34"/>
        <w:spacing w:line="360" w:lineRule="auto"/>
        <w:ind w:firstLine="240" w:firstLineChars="100"/>
        <w:rPr>
          <w:rFonts w:hint="eastAsia" w:ascii="宋体" w:hAnsi="宋体" w:cs="宋体"/>
          <w:sz w:val="24"/>
          <w:szCs w:val="24"/>
          <w:highlight w:val="none"/>
        </w:rPr>
      </w:pPr>
      <w:r>
        <w:rPr>
          <w:rFonts w:hint="eastAsia" w:ascii="宋体" w:hAnsi="宋体" w:cs="宋体"/>
          <w:sz w:val="24"/>
          <w:szCs w:val="24"/>
          <w:highlight w:val="none"/>
        </w:rPr>
        <w:t>（2）贬值处理：由甲乙双方合议定价。</w:t>
      </w:r>
    </w:p>
    <w:p w14:paraId="07633B3B">
      <w:pPr>
        <w:pStyle w:val="34"/>
        <w:spacing w:line="360" w:lineRule="auto"/>
        <w:ind w:firstLine="240" w:firstLineChars="100"/>
        <w:rPr>
          <w:rFonts w:hint="eastAsia" w:ascii="宋体" w:hAnsi="宋体" w:cs="宋体"/>
          <w:sz w:val="24"/>
          <w:szCs w:val="24"/>
          <w:highlight w:val="none"/>
        </w:rPr>
      </w:pPr>
      <w:r>
        <w:rPr>
          <w:rFonts w:hint="eastAsia" w:ascii="宋体" w:hAnsi="宋体" w:cs="宋体"/>
          <w:sz w:val="24"/>
          <w:szCs w:val="24"/>
          <w:highlight w:val="none"/>
        </w:rPr>
        <w:t>（3）退货处理：乙方应退还甲方支付的合同款，同日时应承担该货物的直接费用（运输、保险、检验、货款利息及银行手续费等）。</w:t>
      </w:r>
    </w:p>
    <w:p w14:paraId="04E3F185">
      <w:pPr>
        <w:pStyle w:val="34"/>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十、违约责任</w:t>
      </w:r>
    </w:p>
    <w:p w14:paraId="37B53FCD">
      <w:pPr>
        <w:pStyle w:val="34"/>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1.甲方逾期验收和办理货款支付手续的，甲方应按逾期付款该批次货款总额每日百分之一向乙方支付违约金。</w:t>
      </w:r>
    </w:p>
    <w:p w14:paraId="3F5D7610">
      <w:pPr>
        <w:pStyle w:val="34"/>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2.乙方逾期交付货物的，全额没收履约保证金，甲方可解除本合同。</w:t>
      </w:r>
    </w:p>
    <w:p w14:paraId="7F870E70">
      <w:pPr>
        <w:pStyle w:val="34"/>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7B41DB97">
      <w:pPr>
        <w:pStyle w:val="34"/>
        <w:spacing w:line="360" w:lineRule="auto"/>
        <w:ind w:firstLine="480" w:firstLineChars="200"/>
        <w:rPr>
          <w:rFonts w:hint="eastAsia" w:ascii="宋体" w:hAnsi="宋体" w:cs="宋体"/>
          <w:sz w:val="24"/>
          <w:szCs w:val="24"/>
          <w:highlight w:val="none"/>
        </w:rPr>
      </w:pPr>
      <w:r>
        <w:rPr>
          <w:rFonts w:hint="eastAsia" w:ascii="宋体" w:hAnsi="宋体" w:eastAsia="宋体" w:cs="宋体"/>
          <w:sz w:val="24"/>
          <w:szCs w:val="24"/>
          <w:highlight w:val="none"/>
        </w:rPr>
        <w:t xml:space="preserve"> 4.乙方对甲方下达的任何一项任务必须无条件接受，不得推托，如果无故推托一次，则在合同价中扣除5000元，推托三次以上，甲方可单方面解除合同</w:t>
      </w:r>
      <w:r>
        <w:rPr>
          <w:rFonts w:hint="eastAsia" w:ascii="宋体" w:hAnsi="宋体" w:cs="宋体"/>
          <w:sz w:val="24"/>
          <w:szCs w:val="24"/>
          <w:highlight w:val="none"/>
        </w:rPr>
        <w:t>。</w:t>
      </w:r>
    </w:p>
    <w:p w14:paraId="28922844">
      <w:pPr>
        <w:widowControl/>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十一、安全责任</w:t>
      </w:r>
    </w:p>
    <w:p w14:paraId="0A1F8EA6">
      <w:pPr>
        <w:widowControl/>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项目实施过程中的各种意外，其责任由乙方承担，甲方不承担任何责任。</w:t>
      </w:r>
    </w:p>
    <w:p w14:paraId="77B036E4">
      <w:pPr>
        <w:widowControl/>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十二、不可抗力事件处理</w:t>
      </w:r>
    </w:p>
    <w:p w14:paraId="3E36B8B2">
      <w:pPr>
        <w:widowControl/>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1.在合同有效期内，任何一方因不可抗力事件导致不能履行合同，则合同履行期可延长其延长期与不可抗力影响期相同</w:t>
      </w:r>
    </w:p>
    <w:p w14:paraId="545865D8">
      <w:pPr>
        <w:widowControl/>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 xml:space="preserve">  2.不可抗力事件发生后，应立即通知对方，并寄送有关权威机构出具的证明。</w:t>
      </w:r>
    </w:p>
    <w:p w14:paraId="0B2F8673">
      <w:pPr>
        <w:widowControl/>
        <w:spacing w:line="360" w:lineRule="auto"/>
        <w:ind w:left="716" w:leftChars="170" w:hanging="240" w:hangingChars="100"/>
        <w:jc w:val="left"/>
        <w:rPr>
          <w:rFonts w:hint="eastAsia" w:ascii="宋体" w:hAnsi="宋体" w:cs="宋体"/>
          <w:sz w:val="24"/>
          <w:szCs w:val="24"/>
          <w:highlight w:val="none"/>
        </w:rPr>
      </w:pPr>
      <w:r>
        <w:rPr>
          <w:rFonts w:hint="eastAsia" w:ascii="宋体" w:hAnsi="宋体" w:cs="宋体"/>
          <w:sz w:val="24"/>
          <w:szCs w:val="24"/>
          <w:highlight w:val="none"/>
        </w:rPr>
        <w:t xml:space="preserve">  3.不可抗力事件延续120天以上，双方应通过友好协商，确定是否继续履行合同。 十三、诉讼</w:t>
      </w:r>
    </w:p>
    <w:p w14:paraId="39458FFE">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双方在执行合同中所发生的一切争议，应通过协商解决。如协商不成，可向甲方所在地法院起诉。</w:t>
      </w:r>
    </w:p>
    <w:p w14:paraId="3CB1CF2D">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十四、合同生效及其它</w:t>
      </w:r>
    </w:p>
    <w:p w14:paraId="0C65CB44">
      <w:pPr>
        <w:pStyle w:val="45"/>
        <w:spacing w:line="360" w:lineRule="auto"/>
        <w:ind w:firstLine="480"/>
        <w:rPr>
          <w:rFonts w:hint="eastAsia" w:hAnsi="宋体" w:cs="宋体"/>
          <w:sz w:val="24"/>
          <w:szCs w:val="24"/>
          <w:highlight w:val="none"/>
        </w:rPr>
      </w:pPr>
      <w:r>
        <w:rPr>
          <w:rFonts w:hint="eastAsia" w:hAnsi="宋体" w:cs="宋体"/>
          <w:sz w:val="24"/>
          <w:szCs w:val="24"/>
          <w:highlight w:val="none"/>
        </w:rPr>
        <w:t>1.合同经双方法定代表人或授权代表签字并加盖单位公章后生效。</w:t>
      </w:r>
    </w:p>
    <w:p w14:paraId="3833A1FB">
      <w:pPr>
        <w:pStyle w:val="45"/>
        <w:spacing w:line="360" w:lineRule="auto"/>
        <w:ind w:firstLine="480"/>
        <w:rPr>
          <w:rFonts w:hint="eastAsia" w:hAnsi="宋体" w:cs="宋体"/>
          <w:sz w:val="24"/>
          <w:szCs w:val="24"/>
          <w:highlight w:val="none"/>
        </w:rPr>
      </w:pPr>
      <w:r>
        <w:rPr>
          <w:rFonts w:hint="eastAsia" w:hAnsi="宋体" w:cs="宋体"/>
          <w:sz w:val="24"/>
          <w:szCs w:val="24"/>
          <w:highlight w:val="none"/>
        </w:rPr>
        <w:t>2.乙方必须在开工前办理所有保险并提供复印件一份由甲方保管。</w:t>
      </w:r>
    </w:p>
    <w:p w14:paraId="2FD9EF74">
      <w:pPr>
        <w:pStyle w:val="45"/>
        <w:spacing w:line="360" w:lineRule="auto"/>
        <w:ind w:firstLine="480"/>
        <w:rPr>
          <w:rFonts w:hint="eastAsia" w:hAnsi="宋体" w:cs="宋体"/>
          <w:sz w:val="24"/>
          <w:szCs w:val="24"/>
          <w:highlight w:val="none"/>
        </w:rPr>
      </w:pPr>
      <w:r>
        <w:rPr>
          <w:rFonts w:hint="eastAsia" w:hAnsi="宋体" w:cs="宋体"/>
          <w:sz w:val="24"/>
          <w:szCs w:val="24"/>
          <w:highlight w:val="none"/>
        </w:rPr>
        <w:t>3.本合同未尽事宜，遵照《中华人民共和国民法典》有关条文执行。</w:t>
      </w:r>
    </w:p>
    <w:p w14:paraId="56C403BD">
      <w:pPr>
        <w:pStyle w:val="45"/>
        <w:spacing w:line="360" w:lineRule="auto"/>
        <w:ind w:firstLine="480"/>
        <w:rPr>
          <w:rFonts w:hint="eastAsia" w:hAnsi="宋体" w:cs="宋体"/>
          <w:sz w:val="24"/>
          <w:szCs w:val="24"/>
          <w:highlight w:val="none"/>
        </w:rPr>
      </w:pPr>
      <w:r>
        <w:rPr>
          <w:rFonts w:hint="eastAsia" w:hAnsi="宋体" w:cs="宋体"/>
          <w:sz w:val="24"/>
          <w:szCs w:val="24"/>
          <w:highlight w:val="none"/>
        </w:rPr>
        <w:t>4.本本合同一式四份，甲、乙双方各执二份。</w:t>
      </w:r>
    </w:p>
    <w:p w14:paraId="2D73FB41">
      <w:pPr>
        <w:pStyle w:val="45"/>
        <w:spacing w:line="360" w:lineRule="auto"/>
        <w:ind w:firstLine="480"/>
        <w:rPr>
          <w:rFonts w:hint="eastAsia" w:hAnsi="宋体" w:cs="宋体"/>
          <w:sz w:val="24"/>
          <w:szCs w:val="24"/>
          <w:highlight w:val="none"/>
        </w:rPr>
      </w:pPr>
    </w:p>
    <w:p w14:paraId="26273F07">
      <w:pPr>
        <w:pStyle w:val="45"/>
        <w:spacing w:line="360" w:lineRule="auto"/>
        <w:ind w:firstLine="480"/>
        <w:rPr>
          <w:rFonts w:hint="eastAsia" w:hAnsi="宋体" w:cs="宋体"/>
          <w:sz w:val="24"/>
          <w:szCs w:val="24"/>
          <w:highlight w:val="none"/>
        </w:rPr>
      </w:pPr>
    </w:p>
    <w:p w14:paraId="38D05841">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甲方（盖章）：                             乙方（盖章）：       </w:t>
      </w:r>
    </w:p>
    <w:p w14:paraId="2BD6935A">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法定代表人                                法定代表人</w:t>
      </w:r>
    </w:p>
    <w:p w14:paraId="61DFA016">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或受委托人（签字）：                       或受委托人（签字）：  </w:t>
      </w:r>
    </w:p>
    <w:p w14:paraId="5B0D5544">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联系人：                                  联系人： </w:t>
      </w:r>
    </w:p>
    <w:p w14:paraId="298CF369">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地址：                                    地址：  </w:t>
      </w:r>
    </w:p>
    <w:p w14:paraId="1F62D797">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电话：                                    电话： </w:t>
      </w:r>
    </w:p>
    <w:p w14:paraId="2DF58A88">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传真：                                    传真： </w:t>
      </w:r>
    </w:p>
    <w:p w14:paraId="3FD0529B">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开户银行：                                开户银行：  </w:t>
      </w:r>
    </w:p>
    <w:p w14:paraId="35FDDDEC">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帐号：                                    帐号：</w:t>
      </w:r>
    </w:p>
    <w:p w14:paraId="673789DD">
      <w:pPr>
        <w:autoSpaceDE w:val="0"/>
        <w:autoSpaceDN w:val="0"/>
        <w:spacing w:line="440" w:lineRule="exact"/>
        <w:rPr>
          <w:rFonts w:hint="eastAsia" w:ascii="宋体" w:hAnsi="宋体" w:cs="宋体"/>
          <w:b/>
          <w:bCs/>
          <w:spacing w:val="-6"/>
          <w:sz w:val="24"/>
          <w:szCs w:val="24"/>
          <w:highlight w:val="none"/>
          <w:lang w:val="zh-CN"/>
        </w:rPr>
      </w:pPr>
    </w:p>
    <w:p w14:paraId="58B0C909">
      <w:pPr>
        <w:autoSpaceDE w:val="0"/>
        <w:autoSpaceDN w:val="0"/>
        <w:spacing w:line="440" w:lineRule="exact"/>
        <w:rPr>
          <w:rFonts w:hint="eastAsia" w:ascii="宋体" w:hAnsi="宋体" w:cs="宋体"/>
          <w:b/>
          <w:bCs/>
          <w:spacing w:val="-6"/>
          <w:sz w:val="24"/>
          <w:szCs w:val="24"/>
          <w:highlight w:val="none"/>
          <w:lang w:val="zh-CN"/>
        </w:rPr>
      </w:pPr>
    </w:p>
    <w:p w14:paraId="111D51BD">
      <w:pPr>
        <w:autoSpaceDE w:val="0"/>
        <w:autoSpaceDN w:val="0"/>
        <w:spacing w:line="440" w:lineRule="exact"/>
        <w:rPr>
          <w:rFonts w:hint="eastAsia" w:ascii="宋体" w:hAnsi="宋体" w:cs="宋体"/>
          <w:b/>
          <w:bCs/>
          <w:spacing w:val="-6"/>
          <w:sz w:val="24"/>
          <w:szCs w:val="24"/>
          <w:highlight w:val="none"/>
          <w:lang w:val="zh-CN"/>
        </w:rPr>
      </w:pPr>
      <w:r>
        <w:rPr>
          <w:rFonts w:hint="eastAsia" w:ascii="宋体" w:hAnsi="宋体" w:cs="宋体"/>
          <w:b/>
          <w:bCs/>
          <w:spacing w:val="-6"/>
          <w:sz w:val="24"/>
          <w:szCs w:val="24"/>
          <w:highlight w:val="none"/>
          <w:lang w:val="zh-CN"/>
        </w:rPr>
        <w:t>注：本合同仅作示范文本，具体以双方签定的正式合同为准，合同内容不得违背本招标文件实质性要求。</w:t>
      </w:r>
    </w:p>
    <w:p w14:paraId="2CD56F9E">
      <w:pPr>
        <w:pStyle w:val="45"/>
        <w:snapToGrid w:val="0"/>
        <w:spacing w:line="380" w:lineRule="exact"/>
        <w:ind w:firstLine="420" w:firstLineChars="200"/>
        <w:jc w:val="center"/>
        <w:rPr>
          <w:rFonts w:hint="eastAsia" w:hAnsi="宋体" w:cs="宋体"/>
          <w:b/>
          <w:sz w:val="24"/>
          <w:highlight w:val="none"/>
        </w:rPr>
      </w:pPr>
      <w:r>
        <w:rPr>
          <w:highlight w:val="none"/>
        </w:rPr>
        <w:br w:type="page"/>
      </w:r>
      <w:r>
        <w:rPr>
          <w:rFonts w:hint="eastAsia" w:hAnsi="宋体" w:cs="宋体"/>
          <w:b/>
          <w:sz w:val="36"/>
          <w:highlight w:val="none"/>
        </w:rPr>
        <w:t xml:space="preserve">第五部分 </w:t>
      </w:r>
      <w:bookmarkEnd w:id="74"/>
      <w:bookmarkEnd w:id="75"/>
      <w:r>
        <w:rPr>
          <w:rFonts w:hint="eastAsia" w:hAnsi="宋体" w:cs="宋体"/>
          <w:b/>
          <w:sz w:val="36"/>
          <w:highlight w:val="none"/>
        </w:rPr>
        <w:t>投标文件部分格式文件</w:t>
      </w:r>
    </w:p>
    <w:p w14:paraId="1327BD78">
      <w:pPr>
        <w:pStyle w:val="45"/>
        <w:adjustRightInd w:val="0"/>
        <w:snapToGrid w:val="0"/>
        <w:spacing w:line="360" w:lineRule="auto"/>
        <w:jc w:val="center"/>
        <w:outlineLvl w:val="1"/>
        <w:rPr>
          <w:rFonts w:hint="eastAsia" w:hAnsi="宋体" w:cs="宋体"/>
          <w:b/>
          <w:sz w:val="28"/>
          <w:highlight w:val="none"/>
          <w:lang w:val="zh-CN"/>
        </w:rPr>
      </w:pPr>
      <w:bookmarkStart w:id="81" w:name="_Toc2553"/>
      <w:bookmarkStart w:id="82" w:name="_Toc519670202"/>
      <w:bookmarkStart w:id="83" w:name="_Toc522530052"/>
      <w:bookmarkStart w:id="84" w:name="_Toc233618990"/>
      <w:bookmarkStart w:id="85" w:name="_Toc233618989"/>
    </w:p>
    <w:p w14:paraId="769C597D">
      <w:pPr>
        <w:pStyle w:val="45"/>
        <w:adjustRightInd w:val="0"/>
        <w:snapToGrid w:val="0"/>
        <w:spacing w:line="360" w:lineRule="auto"/>
        <w:jc w:val="center"/>
        <w:outlineLvl w:val="1"/>
        <w:rPr>
          <w:rFonts w:hint="eastAsia" w:hAnsi="宋体" w:cs="宋体"/>
          <w:b/>
          <w:sz w:val="28"/>
          <w:highlight w:val="none"/>
        </w:rPr>
      </w:pPr>
      <w:r>
        <w:rPr>
          <w:rFonts w:hint="eastAsia" w:hAnsi="宋体" w:cs="宋体"/>
          <w:b/>
          <w:sz w:val="28"/>
          <w:highlight w:val="none"/>
          <w:lang w:val="zh-CN"/>
        </w:rPr>
        <w:t>格式</w:t>
      </w:r>
      <w:r>
        <w:rPr>
          <w:rFonts w:hint="eastAsia" w:hAnsi="宋体" w:cs="宋体"/>
          <w:b/>
          <w:sz w:val="28"/>
          <w:highlight w:val="none"/>
        </w:rPr>
        <w:t>一：资格审查资料</w:t>
      </w:r>
      <w:bookmarkEnd w:id="81"/>
    </w:p>
    <w:p w14:paraId="672219C0">
      <w:pPr>
        <w:spacing w:line="500" w:lineRule="exact"/>
        <w:jc w:val="center"/>
        <w:rPr>
          <w:rFonts w:hint="eastAsia" w:ascii="宋体" w:hAnsi="宋体" w:cs="宋体"/>
          <w:b/>
          <w:sz w:val="30"/>
          <w:szCs w:val="30"/>
          <w:highlight w:val="none"/>
        </w:rPr>
      </w:pPr>
      <w:r>
        <w:rPr>
          <w:rFonts w:hint="eastAsia" w:ascii="宋体" w:hAnsi="宋体" w:cs="宋体"/>
          <w:b/>
          <w:sz w:val="30"/>
          <w:szCs w:val="30"/>
          <w:highlight w:val="none"/>
        </w:rPr>
        <w:t>资格审查资料</w:t>
      </w:r>
    </w:p>
    <w:p w14:paraId="2242D902">
      <w:pPr>
        <w:autoSpaceDE w:val="0"/>
        <w:autoSpaceDN w:val="0"/>
        <w:adjustRightInd w:val="0"/>
        <w:snapToGrid w:val="0"/>
        <w:spacing w:line="300" w:lineRule="auto"/>
        <w:ind w:firstLine="560" w:firstLineChars="200"/>
        <w:jc w:val="left"/>
        <w:rPr>
          <w:rFonts w:hint="eastAsia" w:ascii="宋体" w:hAnsi="宋体" w:cs="宋体"/>
          <w:kern w:val="0"/>
          <w:szCs w:val="21"/>
          <w:highlight w:val="none"/>
        </w:rPr>
      </w:pPr>
    </w:p>
    <w:p w14:paraId="798BD7AC">
      <w:pPr>
        <w:pStyle w:val="45"/>
        <w:snapToGrid w:val="0"/>
        <w:spacing w:line="400" w:lineRule="exact"/>
        <w:ind w:firstLine="480" w:firstLineChars="200"/>
        <w:rPr>
          <w:rFonts w:hint="eastAsia" w:hAnsi="宋体" w:cs="宋体"/>
          <w:sz w:val="24"/>
          <w:szCs w:val="24"/>
          <w:highlight w:val="none"/>
        </w:rPr>
      </w:pPr>
      <w:r>
        <w:rPr>
          <w:rFonts w:hint="eastAsia" w:hAnsi="宋体" w:cs="宋体"/>
          <w:sz w:val="24"/>
          <w:szCs w:val="24"/>
          <w:highlight w:val="none"/>
        </w:rPr>
        <w:t>（一）资格审查须知</w:t>
      </w:r>
    </w:p>
    <w:p w14:paraId="04DDD94C">
      <w:pPr>
        <w:pStyle w:val="45"/>
        <w:snapToGrid w:val="0"/>
        <w:spacing w:line="400" w:lineRule="exact"/>
        <w:ind w:firstLine="480" w:firstLineChars="200"/>
        <w:rPr>
          <w:rFonts w:hint="eastAsia" w:hAnsi="宋体" w:cs="宋体"/>
          <w:sz w:val="24"/>
          <w:szCs w:val="24"/>
          <w:highlight w:val="none"/>
        </w:rPr>
      </w:pPr>
      <w:r>
        <w:rPr>
          <w:rFonts w:hint="eastAsia" w:hAnsi="宋体" w:cs="宋体"/>
          <w:sz w:val="24"/>
          <w:szCs w:val="24"/>
          <w:highlight w:val="none"/>
        </w:rPr>
        <w:t>1.投标人必须认真填写招标文件规定的所有表格，并对其真实性负责，采购人有权对其进行调查核实和要求澄清。</w:t>
      </w:r>
    </w:p>
    <w:p w14:paraId="4DE5FD2B">
      <w:pPr>
        <w:pStyle w:val="45"/>
        <w:snapToGrid w:val="0"/>
        <w:spacing w:line="400" w:lineRule="exact"/>
        <w:ind w:firstLine="480" w:firstLineChars="200"/>
        <w:rPr>
          <w:rFonts w:hint="eastAsia" w:hAnsi="宋体" w:cs="宋体"/>
          <w:sz w:val="24"/>
          <w:szCs w:val="24"/>
          <w:highlight w:val="none"/>
        </w:rPr>
      </w:pPr>
      <w:r>
        <w:rPr>
          <w:rFonts w:hint="eastAsia" w:hAnsi="宋体" w:cs="宋体"/>
          <w:sz w:val="24"/>
          <w:szCs w:val="24"/>
          <w:highlight w:val="none"/>
        </w:rPr>
        <w:t>2.资格审查按通过和不通过两种方式进行评定，投标人的资格等方面的要求作为资格审查通过的强制性资格条件，经核实有一项不符合要求，则投标人的资格为不通过，不通过的投标人对其投标文件不进行后续评审。</w:t>
      </w:r>
    </w:p>
    <w:p w14:paraId="0B2E3C2E">
      <w:pPr>
        <w:pStyle w:val="45"/>
        <w:snapToGrid w:val="0"/>
        <w:spacing w:line="400" w:lineRule="exact"/>
        <w:ind w:firstLine="480" w:firstLineChars="200"/>
        <w:rPr>
          <w:rFonts w:hint="eastAsia" w:hAnsi="宋体" w:cs="宋体"/>
          <w:sz w:val="24"/>
          <w:szCs w:val="24"/>
          <w:highlight w:val="none"/>
        </w:rPr>
      </w:pPr>
      <w:r>
        <w:rPr>
          <w:rFonts w:hint="eastAsia" w:hAnsi="宋体" w:cs="宋体"/>
          <w:sz w:val="24"/>
          <w:szCs w:val="24"/>
          <w:highlight w:val="none"/>
        </w:rPr>
        <w:t>（二）资格审查资料格式</w:t>
      </w:r>
    </w:p>
    <w:bookmarkEnd w:id="82"/>
    <w:p w14:paraId="07C77739">
      <w:pPr>
        <w:pStyle w:val="45"/>
        <w:snapToGrid w:val="0"/>
        <w:spacing w:line="400" w:lineRule="exact"/>
        <w:ind w:firstLine="480" w:firstLineChars="200"/>
        <w:rPr>
          <w:rFonts w:hint="eastAsia" w:hAnsi="宋体" w:cs="宋体"/>
          <w:sz w:val="24"/>
          <w:szCs w:val="24"/>
          <w:highlight w:val="none"/>
        </w:rPr>
      </w:pPr>
      <w:r>
        <w:rPr>
          <w:rFonts w:hint="eastAsia" w:hAnsi="宋体" w:cs="宋体"/>
          <w:sz w:val="24"/>
          <w:szCs w:val="24"/>
          <w:highlight w:val="none"/>
        </w:rPr>
        <w:t>表1：</w:t>
      </w:r>
      <w:bookmarkStart w:id="86" w:name="OLE_LINK6"/>
      <w:r>
        <w:rPr>
          <w:rFonts w:hint="eastAsia" w:hAnsi="宋体" w:cs="宋体"/>
          <w:sz w:val="24"/>
          <w:szCs w:val="24"/>
          <w:highlight w:val="none"/>
        </w:rPr>
        <w:t xml:space="preserve">强制性资格条件表 </w:t>
      </w:r>
      <w:bookmarkEnd w:id="86"/>
    </w:p>
    <w:p w14:paraId="0A357644">
      <w:pPr>
        <w:pStyle w:val="45"/>
        <w:snapToGrid w:val="0"/>
        <w:spacing w:line="400" w:lineRule="exact"/>
        <w:ind w:firstLine="480" w:firstLineChars="200"/>
        <w:rPr>
          <w:rFonts w:hint="eastAsia" w:hAnsi="宋体" w:cs="宋体"/>
          <w:sz w:val="24"/>
          <w:szCs w:val="24"/>
          <w:highlight w:val="none"/>
        </w:rPr>
      </w:pPr>
      <w:r>
        <w:rPr>
          <w:rFonts w:hint="eastAsia" w:hAnsi="宋体" w:cs="宋体"/>
          <w:sz w:val="24"/>
          <w:szCs w:val="24"/>
          <w:highlight w:val="none"/>
        </w:rPr>
        <w:t>表2：</w:t>
      </w:r>
      <w:r>
        <w:rPr>
          <w:rFonts w:hint="eastAsia" w:hAnsi="宋体" w:cs="宋体"/>
          <w:sz w:val="24"/>
          <w:szCs w:val="24"/>
          <w:highlight w:val="none"/>
          <w:lang w:val="zh-CN"/>
        </w:rPr>
        <w:t>符合资格条件的声明函</w:t>
      </w:r>
    </w:p>
    <w:p w14:paraId="4006B6CA">
      <w:pPr>
        <w:pStyle w:val="45"/>
        <w:snapToGrid w:val="0"/>
        <w:spacing w:line="400" w:lineRule="exact"/>
        <w:ind w:firstLine="480" w:firstLineChars="200"/>
        <w:rPr>
          <w:rFonts w:hint="eastAsia" w:hAnsi="宋体" w:cs="宋体"/>
          <w:sz w:val="24"/>
          <w:szCs w:val="24"/>
          <w:highlight w:val="none"/>
        </w:rPr>
      </w:pPr>
      <w:r>
        <w:rPr>
          <w:rFonts w:hint="eastAsia" w:hAnsi="宋体" w:cs="宋体"/>
          <w:sz w:val="24"/>
          <w:szCs w:val="24"/>
          <w:highlight w:val="none"/>
        </w:rPr>
        <w:t>表3：与其他供应商无利害关系的声明函</w:t>
      </w:r>
    </w:p>
    <w:p w14:paraId="5C9F440A">
      <w:pPr>
        <w:pStyle w:val="45"/>
        <w:snapToGrid w:val="0"/>
        <w:spacing w:line="400" w:lineRule="exact"/>
        <w:ind w:firstLine="480" w:firstLineChars="200"/>
        <w:rPr>
          <w:rFonts w:hint="eastAsia" w:hAnsi="宋体" w:cs="宋体"/>
          <w:sz w:val="24"/>
          <w:szCs w:val="24"/>
          <w:highlight w:val="none"/>
        </w:rPr>
      </w:pPr>
      <w:r>
        <w:rPr>
          <w:rFonts w:hint="eastAsia" w:hAnsi="宋体" w:cs="宋体"/>
          <w:sz w:val="24"/>
          <w:szCs w:val="24"/>
          <w:highlight w:val="none"/>
        </w:rPr>
        <w:t>表4：</w:t>
      </w:r>
      <w:r>
        <w:rPr>
          <w:rFonts w:hint="eastAsia" w:hAnsi="宋体" w:cs="宋体"/>
          <w:sz w:val="24"/>
          <w:szCs w:val="24"/>
          <w:highlight w:val="none"/>
          <w:lang w:val="zh-CN"/>
        </w:rPr>
        <w:t>企业类型的声明函</w:t>
      </w:r>
    </w:p>
    <w:p w14:paraId="6502199C">
      <w:pPr>
        <w:pStyle w:val="45"/>
        <w:snapToGrid w:val="0"/>
        <w:spacing w:line="400" w:lineRule="exact"/>
        <w:ind w:firstLine="480" w:firstLineChars="200"/>
        <w:rPr>
          <w:rFonts w:hint="eastAsia" w:hAnsi="宋体" w:cs="宋体"/>
          <w:sz w:val="24"/>
          <w:szCs w:val="24"/>
          <w:highlight w:val="none"/>
        </w:rPr>
      </w:pPr>
      <w:r>
        <w:rPr>
          <w:rFonts w:hint="eastAsia" w:hAnsi="宋体" w:cs="宋体"/>
          <w:sz w:val="24"/>
          <w:szCs w:val="24"/>
          <w:highlight w:val="none"/>
        </w:rPr>
        <w:t>表5：非联合体的声明函</w:t>
      </w:r>
    </w:p>
    <w:p w14:paraId="1C9D57AE">
      <w:pPr>
        <w:pStyle w:val="34"/>
        <w:rPr>
          <w:rFonts w:hint="eastAsia" w:ascii="宋体" w:hAnsi="宋体" w:cs="宋体"/>
          <w:b/>
          <w:sz w:val="30"/>
          <w:szCs w:val="30"/>
          <w:highlight w:val="none"/>
        </w:rPr>
      </w:pPr>
    </w:p>
    <w:p w14:paraId="5B39782A">
      <w:pPr>
        <w:spacing w:line="500" w:lineRule="exact"/>
        <w:rPr>
          <w:rFonts w:hint="eastAsia" w:ascii="宋体" w:hAnsi="宋体" w:cs="宋体"/>
          <w:b/>
          <w:sz w:val="30"/>
          <w:szCs w:val="30"/>
          <w:highlight w:val="none"/>
        </w:rPr>
      </w:pPr>
    </w:p>
    <w:p w14:paraId="46C3C7D0">
      <w:pPr>
        <w:spacing w:line="500" w:lineRule="exact"/>
        <w:rPr>
          <w:rFonts w:hint="eastAsia" w:ascii="宋体" w:hAnsi="宋体" w:cs="宋体"/>
          <w:b/>
          <w:sz w:val="30"/>
          <w:szCs w:val="30"/>
          <w:highlight w:val="none"/>
        </w:rPr>
      </w:pPr>
    </w:p>
    <w:p w14:paraId="5FD54742">
      <w:pPr>
        <w:pStyle w:val="34"/>
        <w:rPr>
          <w:rFonts w:hint="eastAsia" w:ascii="宋体" w:hAnsi="宋体" w:cs="宋体"/>
          <w:b/>
          <w:sz w:val="30"/>
          <w:szCs w:val="30"/>
          <w:highlight w:val="none"/>
        </w:rPr>
      </w:pPr>
    </w:p>
    <w:p w14:paraId="141BA0DF">
      <w:pPr>
        <w:pStyle w:val="86"/>
        <w:ind w:firstLine="210"/>
        <w:rPr>
          <w:rFonts w:hint="eastAsia" w:ascii="宋体" w:hAnsi="宋体" w:eastAsia="宋体" w:cs="宋体"/>
          <w:highlight w:val="none"/>
        </w:rPr>
      </w:pPr>
    </w:p>
    <w:p w14:paraId="02F74217">
      <w:pPr>
        <w:spacing w:line="500" w:lineRule="exact"/>
        <w:rPr>
          <w:rFonts w:hint="eastAsia" w:ascii="宋体" w:hAnsi="宋体" w:cs="宋体"/>
          <w:b/>
          <w:sz w:val="30"/>
          <w:szCs w:val="30"/>
          <w:highlight w:val="none"/>
        </w:rPr>
      </w:pPr>
    </w:p>
    <w:p w14:paraId="62AF0CDF">
      <w:pPr>
        <w:spacing w:line="500" w:lineRule="exact"/>
        <w:rPr>
          <w:rFonts w:hint="eastAsia" w:ascii="宋体" w:hAnsi="宋体" w:cs="宋体"/>
          <w:b/>
          <w:sz w:val="30"/>
          <w:szCs w:val="30"/>
          <w:highlight w:val="none"/>
        </w:rPr>
      </w:pPr>
    </w:p>
    <w:p w14:paraId="708DC0C5">
      <w:pPr>
        <w:spacing w:line="500" w:lineRule="exact"/>
        <w:rPr>
          <w:rFonts w:hint="eastAsia" w:ascii="宋体" w:hAnsi="宋体" w:cs="宋体"/>
          <w:b/>
          <w:sz w:val="30"/>
          <w:szCs w:val="30"/>
          <w:highlight w:val="none"/>
        </w:rPr>
      </w:pPr>
    </w:p>
    <w:p w14:paraId="09293CC8">
      <w:pPr>
        <w:pStyle w:val="34"/>
        <w:rPr>
          <w:highlight w:val="none"/>
        </w:rPr>
      </w:pPr>
    </w:p>
    <w:p w14:paraId="0E0D77D6">
      <w:pPr>
        <w:spacing w:line="500" w:lineRule="exact"/>
        <w:rPr>
          <w:rFonts w:hint="eastAsia" w:ascii="宋体" w:hAnsi="宋体" w:cs="宋体"/>
          <w:b/>
          <w:sz w:val="30"/>
          <w:szCs w:val="30"/>
          <w:highlight w:val="none"/>
        </w:rPr>
      </w:pPr>
    </w:p>
    <w:p w14:paraId="35BB028B">
      <w:pPr>
        <w:pStyle w:val="35"/>
        <w:ind w:left="560"/>
        <w:rPr>
          <w:rFonts w:hint="eastAsia" w:ascii="宋体" w:hAnsi="宋体" w:cs="宋体"/>
          <w:highlight w:val="none"/>
        </w:rPr>
      </w:pPr>
    </w:p>
    <w:p w14:paraId="3CEBF696">
      <w:pPr>
        <w:spacing w:line="340" w:lineRule="exact"/>
        <w:rPr>
          <w:rFonts w:hint="eastAsia" w:ascii="宋体" w:hAnsi="宋体" w:cs="宋体"/>
          <w:b/>
          <w:sz w:val="30"/>
          <w:szCs w:val="30"/>
          <w:highlight w:val="none"/>
        </w:rPr>
        <w:sectPr>
          <w:pgSz w:w="11906" w:h="16838"/>
          <w:pgMar w:top="1440" w:right="1440" w:bottom="1440" w:left="1440" w:header="851" w:footer="851" w:gutter="0"/>
          <w:cols w:space="720" w:num="1"/>
          <w:titlePg/>
          <w:docGrid w:linePitch="381" w:charSpace="0"/>
        </w:sectPr>
      </w:pPr>
    </w:p>
    <w:p w14:paraId="311FE374">
      <w:pPr>
        <w:spacing w:line="340" w:lineRule="exact"/>
        <w:rPr>
          <w:rFonts w:hint="eastAsia" w:ascii="宋体" w:hAnsi="宋体" w:cs="宋体"/>
          <w:highlight w:val="none"/>
        </w:rPr>
      </w:pPr>
      <w:r>
        <w:rPr>
          <w:rFonts w:hint="eastAsia" w:ascii="宋体" w:hAnsi="宋体" w:cs="宋体"/>
          <w:b/>
          <w:sz w:val="30"/>
          <w:szCs w:val="30"/>
          <w:highlight w:val="none"/>
        </w:rPr>
        <w:t>表1：强制性资格条件</w:t>
      </w:r>
    </w:p>
    <w:p w14:paraId="2F65B2FB">
      <w:pPr>
        <w:spacing w:line="340" w:lineRule="exact"/>
        <w:jc w:val="center"/>
        <w:rPr>
          <w:rFonts w:hint="eastAsia" w:ascii="宋体" w:hAnsi="宋体" w:cs="宋体"/>
          <w:kern w:val="0"/>
          <w:highlight w:val="none"/>
        </w:rPr>
      </w:pPr>
      <w:r>
        <w:rPr>
          <w:rFonts w:hint="eastAsia" w:ascii="宋体" w:hAnsi="宋体" w:cs="宋体"/>
          <w:b/>
          <w:sz w:val="30"/>
          <w:szCs w:val="30"/>
          <w:highlight w:val="none"/>
        </w:rPr>
        <w:t>强制性资格条件表</w:t>
      </w:r>
    </w:p>
    <w:tbl>
      <w:tblPr>
        <w:tblStyle w:val="88"/>
        <w:tblW w:w="10027" w:type="dxa"/>
        <w:jc w:val="center"/>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
      <w:tblGrid>
        <w:gridCol w:w="738"/>
        <w:gridCol w:w="5193"/>
        <w:gridCol w:w="4096"/>
      </w:tblGrid>
      <w:tr w14:paraId="22414A7D">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8" w:type="dxa"/>
            <w:vAlign w:val="center"/>
          </w:tcPr>
          <w:p w14:paraId="6B9018DA">
            <w:pPr>
              <w:spacing w:line="400" w:lineRule="exact"/>
              <w:jc w:val="center"/>
              <w:rPr>
                <w:rFonts w:hint="eastAsia" w:ascii="宋体" w:hAnsi="宋体" w:cs="宋体"/>
                <w:b/>
                <w:sz w:val="20"/>
                <w:highlight w:val="none"/>
              </w:rPr>
            </w:pPr>
            <w:r>
              <w:rPr>
                <w:rFonts w:hint="eastAsia" w:ascii="宋体" w:hAnsi="宋体" w:cs="宋体"/>
                <w:b/>
                <w:sz w:val="20"/>
                <w:highlight w:val="none"/>
              </w:rPr>
              <w:t>序号</w:t>
            </w:r>
          </w:p>
        </w:tc>
        <w:tc>
          <w:tcPr>
            <w:tcW w:w="5193" w:type="dxa"/>
            <w:vAlign w:val="center"/>
          </w:tcPr>
          <w:p w14:paraId="121662F4">
            <w:pPr>
              <w:spacing w:line="400" w:lineRule="exact"/>
              <w:jc w:val="center"/>
              <w:rPr>
                <w:rFonts w:hint="eastAsia" w:ascii="宋体" w:hAnsi="宋体" w:cs="宋体"/>
                <w:b/>
                <w:sz w:val="20"/>
                <w:highlight w:val="none"/>
              </w:rPr>
            </w:pPr>
            <w:r>
              <w:rPr>
                <w:rFonts w:hint="eastAsia" w:ascii="宋体" w:hAnsi="宋体" w:cs="宋体"/>
                <w:b/>
                <w:sz w:val="20"/>
                <w:highlight w:val="none"/>
              </w:rPr>
              <w:t>资格条件要求</w:t>
            </w:r>
          </w:p>
        </w:tc>
        <w:tc>
          <w:tcPr>
            <w:tcW w:w="4096" w:type="dxa"/>
            <w:vAlign w:val="center"/>
          </w:tcPr>
          <w:p w14:paraId="7FDED293">
            <w:pPr>
              <w:spacing w:line="400" w:lineRule="exact"/>
              <w:jc w:val="center"/>
              <w:rPr>
                <w:rFonts w:hint="eastAsia" w:ascii="宋体" w:hAnsi="宋体" w:cs="宋体"/>
                <w:b/>
                <w:sz w:val="20"/>
                <w:highlight w:val="none"/>
              </w:rPr>
            </w:pPr>
            <w:r>
              <w:rPr>
                <w:rFonts w:hint="eastAsia" w:ascii="宋体" w:hAnsi="宋体" w:cs="宋体"/>
                <w:b/>
                <w:sz w:val="20"/>
                <w:highlight w:val="none"/>
              </w:rPr>
              <w:t>要求提供的证明材料</w:t>
            </w:r>
          </w:p>
        </w:tc>
      </w:tr>
      <w:tr w14:paraId="72AD5F42">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244" w:hRule="atLeast"/>
          <w:jc w:val="center"/>
        </w:trPr>
        <w:tc>
          <w:tcPr>
            <w:tcW w:w="738" w:type="dxa"/>
            <w:vAlign w:val="center"/>
          </w:tcPr>
          <w:p w14:paraId="3DD36544">
            <w:pPr>
              <w:spacing w:line="400" w:lineRule="exact"/>
              <w:jc w:val="center"/>
              <w:rPr>
                <w:rFonts w:hint="eastAsia" w:ascii="宋体" w:hAnsi="宋体" w:cs="宋体"/>
                <w:b/>
                <w:sz w:val="20"/>
                <w:highlight w:val="none"/>
              </w:rPr>
            </w:pPr>
            <w:r>
              <w:rPr>
                <w:rFonts w:hint="eastAsia" w:ascii="宋体" w:hAnsi="宋体" w:cs="宋体"/>
                <w:sz w:val="20"/>
                <w:highlight w:val="none"/>
              </w:rPr>
              <w:t>1</w:t>
            </w:r>
          </w:p>
        </w:tc>
        <w:tc>
          <w:tcPr>
            <w:tcW w:w="5193" w:type="dxa"/>
            <w:vAlign w:val="center"/>
          </w:tcPr>
          <w:p w14:paraId="71E0C2F5">
            <w:pPr>
              <w:spacing w:line="400" w:lineRule="exact"/>
              <w:jc w:val="center"/>
              <w:rPr>
                <w:rFonts w:hint="eastAsia" w:ascii="宋体" w:hAnsi="宋体" w:cs="宋体"/>
                <w:b/>
                <w:sz w:val="20"/>
                <w:highlight w:val="none"/>
              </w:rPr>
            </w:pPr>
            <w:r>
              <w:rPr>
                <w:rFonts w:hint="eastAsia" w:ascii="宋体" w:hAnsi="宋体" w:cs="宋体"/>
                <w:sz w:val="20"/>
                <w:highlight w:val="none"/>
              </w:rPr>
              <w:t>基本资格要求：</w:t>
            </w:r>
          </w:p>
        </w:tc>
        <w:tc>
          <w:tcPr>
            <w:tcW w:w="4096" w:type="dxa"/>
            <w:vAlign w:val="center"/>
          </w:tcPr>
          <w:p w14:paraId="56A4285D">
            <w:pPr>
              <w:spacing w:line="400" w:lineRule="exact"/>
              <w:jc w:val="center"/>
              <w:rPr>
                <w:rFonts w:hint="eastAsia" w:ascii="宋体" w:hAnsi="宋体" w:cs="宋体"/>
                <w:b/>
                <w:sz w:val="20"/>
                <w:highlight w:val="none"/>
              </w:rPr>
            </w:pPr>
          </w:p>
        </w:tc>
      </w:tr>
      <w:tr w14:paraId="655D7E45">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1827" w:hRule="atLeast"/>
          <w:jc w:val="center"/>
        </w:trPr>
        <w:tc>
          <w:tcPr>
            <w:tcW w:w="738" w:type="dxa"/>
            <w:vAlign w:val="center"/>
          </w:tcPr>
          <w:p w14:paraId="002C6144">
            <w:pPr>
              <w:spacing w:line="400" w:lineRule="exact"/>
              <w:jc w:val="center"/>
              <w:rPr>
                <w:rFonts w:hint="eastAsia" w:ascii="宋体" w:hAnsi="宋体" w:cs="宋体"/>
                <w:sz w:val="20"/>
                <w:highlight w:val="none"/>
              </w:rPr>
            </w:pPr>
            <w:r>
              <w:rPr>
                <w:rFonts w:hint="eastAsia" w:ascii="宋体" w:hAnsi="宋体" w:cs="宋体"/>
                <w:sz w:val="20"/>
                <w:highlight w:val="none"/>
              </w:rPr>
              <w:t>1.1</w:t>
            </w:r>
          </w:p>
        </w:tc>
        <w:tc>
          <w:tcPr>
            <w:tcW w:w="5193" w:type="dxa"/>
            <w:vAlign w:val="center"/>
          </w:tcPr>
          <w:p w14:paraId="419C0B9A">
            <w:pPr>
              <w:spacing w:line="400" w:lineRule="exact"/>
              <w:rPr>
                <w:rFonts w:hint="eastAsia" w:ascii="宋体" w:hAnsi="宋体" w:cs="宋体"/>
                <w:sz w:val="20"/>
                <w:highlight w:val="none"/>
              </w:rPr>
            </w:pPr>
            <w:r>
              <w:rPr>
                <w:rFonts w:hint="eastAsia" w:ascii="宋体" w:hAnsi="宋体" w:cs="宋体"/>
                <w:sz w:val="20"/>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tc>
        <w:tc>
          <w:tcPr>
            <w:tcW w:w="4096" w:type="dxa"/>
            <w:vAlign w:val="center"/>
          </w:tcPr>
          <w:p w14:paraId="1A75D8A2">
            <w:pPr>
              <w:rPr>
                <w:rFonts w:hint="eastAsia" w:ascii="宋体" w:hAnsi="宋体" w:cs="宋体"/>
                <w:color w:val="36363D"/>
                <w:sz w:val="20"/>
                <w:highlight w:val="none"/>
                <w:lang w:val="zh-CN"/>
              </w:rPr>
            </w:pPr>
            <w:r>
              <w:rPr>
                <w:rFonts w:hint="eastAsia" w:ascii="宋体" w:hAnsi="宋体" w:cs="宋体"/>
                <w:color w:val="36363D"/>
                <w:sz w:val="20"/>
                <w:highlight w:val="none"/>
                <w:lang w:val="zh-CN"/>
              </w:rPr>
              <w:t>（1）营业执照（或事业法人登记证或其他工商等登记证明材料）复印件（供应商为自然人的，提供自然人的身份证明）。</w:t>
            </w:r>
          </w:p>
          <w:p w14:paraId="36047DDE">
            <w:pPr>
              <w:spacing w:line="400" w:lineRule="exact"/>
              <w:rPr>
                <w:rFonts w:hint="eastAsia" w:ascii="宋体" w:hAnsi="宋体" w:cs="宋体"/>
                <w:sz w:val="20"/>
                <w:highlight w:val="none"/>
                <w:lang w:val="zh-CN"/>
              </w:rPr>
            </w:pPr>
            <w:r>
              <w:rPr>
                <w:rFonts w:hint="eastAsia" w:ascii="宋体" w:hAnsi="宋体" w:cs="宋体"/>
                <w:color w:val="36363D"/>
                <w:sz w:val="20"/>
                <w:highlight w:val="none"/>
                <w:lang w:val="zh-CN"/>
              </w:rPr>
              <w:t>（2）符合资格条件的声明函</w:t>
            </w:r>
            <w:r>
              <w:rPr>
                <w:rFonts w:hint="eastAsia" w:ascii="宋体" w:hAnsi="宋体" w:cs="宋体"/>
                <w:sz w:val="20"/>
                <w:highlight w:val="none"/>
              </w:rPr>
              <w:t>，详见表2。</w:t>
            </w:r>
          </w:p>
        </w:tc>
      </w:tr>
      <w:tr w14:paraId="3A0BBC5D">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524" w:hRule="atLeast"/>
          <w:jc w:val="center"/>
        </w:trPr>
        <w:tc>
          <w:tcPr>
            <w:tcW w:w="738" w:type="dxa"/>
            <w:vAlign w:val="center"/>
          </w:tcPr>
          <w:p w14:paraId="4EC207FD">
            <w:pPr>
              <w:spacing w:line="400" w:lineRule="exact"/>
              <w:jc w:val="center"/>
              <w:rPr>
                <w:rFonts w:hint="eastAsia" w:ascii="宋体" w:hAnsi="宋体" w:cs="宋体"/>
                <w:sz w:val="20"/>
                <w:highlight w:val="none"/>
              </w:rPr>
            </w:pPr>
            <w:r>
              <w:rPr>
                <w:rFonts w:hint="eastAsia" w:ascii="宋体" w:hAnsi="宋体" w:cs="宋体"/>
                <w:sz w:val="20"/>
                <w:highlight w:val="none"/>
              </w:rPr>
              <w:t>2</w:t>
            </w:r>
          </w:p>
        </w:tc>
        <w:tc>
          <w:tcPr>
            <w:tcW w:w="5193" w:type="dxa"/>
            <w:vAlign w:val="center"/>
          </w:tcPr>
          <w:p w14:paraId="04B95679">
            <w:pPr>
              <w:jc w:val="left"/>
              <w:rPr>
                <w:rFonts w:hint="eastAsia" w:ascii="宋体" w:hAnsi="宋体" w:cs="宋体"/>
                <w:sz w:val="20"/>
                <w:highlight w:val="none"/>
              </w:rPr>
            </w:pPr>
            <w:r>
              <w:rPr>
                <w:rFonts w:hint="eastAsia" w:ascii="宋体" w:hAnsi="宋体" w:cs="宋体"/>
                <w:b/>
                <w:bCs/>
                <w:color w:val="36363D"/>
                <w:sz w:val="20"/>
                <w:highlight w:val="none"/>
                <w:lang w:val="zh-CN"/>
              </w:rPr>
              <w:t>落实政府采购政策需满足的资格要求：</w:t>
            </w:r>
          </w:p>
        </w:tc>
        <w:tc>
          <w:tcPr>
            <w:tcW w:w="4096" w:type="dxa"/>
            <w:vAlign w:val="center"/>
          </w:tcPr>
          <w:p w14:paraId="5537001A">
            <w:pPr>
              <w:jc w:val="left"/>
              <w:rPr>
                <w:rFonts w:hint="eastAsia" w:ascii="宋体" w:hAnsi="宋体" w:cs="宋体"/>
                <w:sz w:val="20"/>
                <w:highlight w:val="none"/>
              </w:rPr>
            </w:pPr>
            <w:r>
              <w:rPr>
                <w:rFonts w:hint="eastAsia" w:ascii="宋体" w:hAnsi="宋体" w:cs="宋体"/>
                <w:b/>
                <w:bCs/>
                <w:color w:val="36363D"/>
                <w:sz w:val="20"/>
                <w:highlight w:val="none"/>
                <w:lang w:val="zh-CN"/>
              </w:rPr>
              <w:t>/</w:t>
            </w:r>
          </w:p>
        </w:tc>
      </w:tr>
      <w:tr w14:paraId="2106C8B9">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524" w:hRule="atLeast"/>
          <w:jc w:val="center"/>
        </w:trPr>
        <w:tc>
          <w:tcPr>
            <w:tcW w:w="738" w:type="dxa"/>
            <w:vAlign w:val="center"/>
          </w:tcPr>
          <w:p w14:paraId="6F460A3C">
            <w:pPr>
              <w:spacing w:line="400" w:lineRule="exact"/>
              <w:jc w:val="center"/>
              <w:rPr>
                <w:rFonts w:hint="eastAsia" w:ascii="宋体" w:hAnsi="宋体" w:cs="宋体"/>
                <w:sz w:val="20"/>
                <w:highlight w:val="none"/>
              </w:rPr>
            </w:pPr>
            <w:r>
              <w:rPr>
                <w:rFonts w:hint="eastAsia" w:ascii="宋体" w:hAnsi="宋体" w:cs="宋体"/>
                <w:sz w:val="20"/>
                <w:highlight w:val="none"/>
              </w:rPr>
              <w:t>3</w:t>
            </w:r>
          </w:p>
        </w:tc>
        <w:tc>
          <w:tcPr>
            <w:tcW w:w="5193" w:type="dxa"/>
            <w:vAlign w:val="center"/>
          </w:tcPr>
          <w:p w14:paraId="6D038074">
            <w:pPr>
              <w:jc w:val="left"/>
              <w:rPr>
                <w:rFonts w:hint="eastAsia" w:ascii="宋体" w:hAnsi="宋体" w:cs="宋体"/>
                <w:sz w:val="20"/>
                <w:highlight w:val="none"/>
                <w:lang w:val="zh-CN"/>
              </w:rPr>
            </w:pPr>
            <w:r>
              <w:rPr>
                <w:rFonts w:hint="eastAsia" w:ascii="宋体" w:hAnsi="宋体" w:cs="宋体"/>
                <w:b/>
                <w:bCs/>
                <w:color w:val="36363D"/>
                <w:sz w:val="20"/>
                <w:highlight w:val="none"/>
                <w:lang w:val="zh-CN"/>
              </w:rPr>
              <w:t>特定资格要求</w:t>
            </w:r>
          </w:p>
        </w:tc>
        <w:tc>
          <w:tcPr>
            <w:tcW w:w="4096" w:type="dxa"/>
            <w:vAlign w:val="center"/>
          </w:tcPr>
          <w:p w14:paraId="3A63C845">
            <w:pPr>
              <w:jc w:val="left"/>
              <w:rPr>
                <w:rFonts w:hint="eastAsia" w:ascii="宋体" w:hAnsi="宋体" w:cs="宋体"/>
                <w:sz w:val="20"/>
                <w:highlight w:val="none"/>
              </w:rPr>
            </w:pPr>
          </w:p>
        </w:tc>
      </w:tr>
      <w:tr w14:paraId="117B0467">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323" w:hRule="atLeast"/>
          <w:jc w:val="center"/>
        </w:trPr>
        <w:tc>
          <w:tcPr>
            <w:tcW w:w="738" w:type="dxa"/>
            <w:vAlign w:val="center"/>
          </w:tcPr>
          <w:p w14:paraId="1C4F29E4">
            <w:pPr>
              <w:spacing w:line="400" w:lineRule="exact"/>
              <w:jc w:val="center"/>
              <w:rPr>
                <w:rFonts w:hint="eastAsia" w:ascii="宋体" w:hAnsi="宋体" w:cs="宋体"/>
                <w:sz w:val="20"/>
                <w:highlight w:val="none"/>
              </w:rPr>
            </w:pPr>
            <w:r>
              <w:rPr>
                <w:rFonts w:hint="eastAsia" w:ascii="宋体" w:hAnsi="宋体" w:cs="宋体"/>
                <w:sz w:val="20"/>
                <w:highlight w:val="none"/>
              </w:rPr>
              <w:t>3.1</w:t>
            </w:r>
          </w:p>
        </w:tc>
        <w:tc>
          <w:tcPr>
            <w:tcW w:w="5193" w:type="dxa"/>
            <w:vAlign w:val="center"/>
          </w:tcPr>
          <w:p w14:paraId="2406CAA6">
            <w:pPr>
              <w:spacing w:line="400" w:lineRule="exact"/>
              <w:jc w:val="left"/>
              <w:rPr>
                <w:rFonts w:hint="eastAsia" w:ascii="宋体" w:hAnsi="宋体" w:cs="宋体"/>
                <w:kern w:val="0"/>
                <w:sz w:val="20"/>
                <w:highlight w:val="none"/>
              </w:rPr>
            </w:pPr>
            <w:r>
              <w:rPr>
                <w:rFonts w:hint="eastAsia" w:ascii="宋体" w:hAnsi="宋体" w:cs="宋体"/>
                <w:sz w:val="20"/>
                <w:highlight w:val="none"/>
                <w:lang w:val="zh-CN"/>
              </w:rPr>
              <w:t>单位负责人为同一人或者存在直接控股、管理关系的不同投标人，不得参加同一合同项下的政府采购活动</w:t>
            </w:r>
          </w:p>
        </w:tc>
        <w:tc>
          <w:tcPr>
            <w:tcW w:w="4096" w:type="dxa"/>
            <w:vAlign w:val="center"/>
          </w:tcPr>
          <w:p w14:paraId="33990C56">
            <w:pPr>
              <w:spacing w:line="400" w:lineRule="exact"/>
              <w:rPr>
                <w:rFonts w:hint="eastAsia" w:ascii="宋体" w:hAnsi="宋体" w:cs="宋体"/>
                <w:kern w:val="0"/>
                <w:sz w:val="20"/>
                <w:highlight w:val="none"/>
              </w:rPr>
            </w:pPr>
            <w:r>
              <w:rPr>
                <w:rFonts w:hint="eastAsia" w:ascii="宋体" w:hAnsi="宋体" w:cs="宋体"/>
                <w:sz w:val="20"/>
                <w:highlight w:val="none"/>
              </w:rPr>
              <w:t>与其他供应商无利害关系的声明函，详见表3。</w:t>
            </w:r>
          </w:p>
        </w:tc>
      </w:tr>
      <w:tr w14:paraId="3A573CAD">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323" w:hRule="atLeast"/>
          <w:jc w:val="center"/>
        </w:trPr>
        <w:tc>
          <w:tcPr>
            <w:tcW w:w="738" w:type="dxa"/>
            <w:vAlign w:val="center"/>
          </w:tcPr>
          <w:p w14:paraId="3764AFFF">
            <w:pPr>
              <w:spacing w:line="400" w:lineRule="exact"/>
              <w:jc w:val="center"/>
              <w:rPr>
                <w:rFonts w:hint="eastAsia" w:ascii="宋体" w:hAnsi="宋体" w:cs="宋体"/>
                <w:sz w:val="20"/>
                <w:highlight w:val="none"/>
              </w:rPr>
            </w:pPr>
            <w:r>
              <w:rPr>
                <w:rFonts w:hint="eastAsia" w:ascii="宋体" w:hAnsi="宋体" w:cs="宋体"/>
                <w:sz w:val="20"/>
                <w:highlight w:val="none"/>
              </w:rPr>
              <w:t>3.2</w:t>
            </w:r>
          </w:p>
        </w:tc>
        <w:tc>
          <w:tcPr>
            <w:tcW w:w="5193" w:type="dxa"/>
            <w:vAlign w:val="center"/>
          </w:tcPr>
          <w:p w14:paraId="2CC0958A">
            <w:pPr>
              <w:widowControl/>
              <w:spacing w:line="400" w:lineRule="exact"/>
              <w:jc w:val="left"/>
              <w:rPr>
                <w:rFonts w:hint="eastAsia" w:ascii="宋体" w:hAnsi="宋体" w:cs="宋体"/>
                <w:kern w:val="0"/>
                <w:sz w:val="20"/>
                <w:highlight w:val="none"/>
              </w:rPr>
            </w:pPr>
            <w:r>
              <w:rPr>
                <w:rFonts w:hint="eastAsia" w:ascii="宋体" w:hAnsi="宋体" w:cs="宋体"/>
                <w:kern w:val="0"/>
                <w:sz w:val="20"/>
                <w:highlight w:val="none"/>
              </w:rPr>
              <w:t>根据《关于规范政府采购投标人资格设定及资格审查的通知》（浙财采监[2013]24 号）第 6 条规定接受金融、保险、通讯等特定行业的全国性企业所设立的区域性分支机构以及个体工商户、个人独资企业、合伙企业（应依法办理了工商、税务和社保登记手续，并且获得总公司（总机构）授权或能够提供房产权证或其他有效财产证明材料（在投标文件中提供相关材料），能证明其具备实际承担责任的能力和法定的缔结合同能力，可以独立参加政府采购活动，由单位负责人签署相关文件材料）；</w:t>
            </w:r>
          </w:p>
        </w:tc>
        <w:tc>
          <w:tcPr>
            <w:tcW w:w="4096" w:type="dxa"/>
            <w:vAlign w:val="center"/>
          </w:tcPr>
          <w:p w14:paraId="7335A90B">
            <w:pPr>
              <w:rPr>
                <w:rFonts w:hint="eastAsia" w:ascii="宋体" w:hAnsi="宋体" w:cs="宋体"/>
                <w:sz w:val="20"/>
                <w:highlight w:val="none"/>
                <w:lang w:val="zh-CN"/>
              </w:rPr>
            </w:pPr>
            <w:r>
              <w:rPr>
                <w:rFonts w:hint="eastAsia" w:ascii="宋体" w:hAnsi="宋体" w:cs="宋体"/>
                <w:sz w:val="20"/>
                <w:highlight w:val="none"/>
                <w:lang w:val="zh-CN"/>
              </w:rPr>
              <w:t>◇属于此种情形的供应商除基本资格要求应提供资料外。还应提供以下资料：</w:t>
            </w:r>
          </w:p>
          <w:p w14:paraId="6CA309FF">
            <w:pPr>
              <w:rPr>
                <w:rFonts w:hint="eastAsia" w:ascii="宋体" w:hAnsi="宋体" w:cs="宋体"/>
                <w:sz w:val="20"/>
                <w:highlight w:val="none"/>
                <w:lang w:val="zh-CN"/>
              </w:rPr>
            </w:pPr>
            <w:r>
              <w:rPr>
                <w:rFonts w:hint="eastAsia" w:ascii="宋体" w:hAnsi="宋体" w:cs="宋体"/>
                <w:sz w:val="20"/>
                <w:highlight w:val="none"/>
                <w:lang w:val="zh-CN"/>
              </w:rPr>
              <w:t>（1）金融、保险、通讯等特定行业的全国性企业所设立的区域性分支机构提供总公司（总机构）授权；</w:t>
            </w:r>
          </w:p>
          <w:p w14:paraId="45C37758">
            <w:pPr>
              <w:rPr>
                <w:rFonts w:hint="eastAsia" w:ascii="宋体" w:hAnsi="宋体" w:cs="宋体"/>
                <w:sz w:val="20"/>
                <w:highlight w:val="none"/>
                <w:lang w:val="zh-CN"/>
              </w:rPr>
            </w:pPr>
            <w:r>
              <w:rPr>
                <w:rFonts w:hint="eastAsia" w:ascii="宋体" w:hAnsi="宋体" w:cs="宋体"/>
                <w:sz w:val="20"/>
                <w:highlight w:val="none"/>
                <w:lang w:val="zh-CN"/>
              </w:rPr>
              <w:t>（2）个体工商户、个人独资企业、合伙企业应提供房产权证或其他有效财产证明材料。</w:t>
            </w:r>
          </w:p>
          <w:p w14:paraId="76C6409C">
            <w:pPr>
              <w:rPr>
                <w:rFonts w:hint="eastAsia" w:ascii="宋体" w:hAnsi="宋体" w:cs="宋体"/>
                <w:sz w:val="20"/>
                <w:highlight w:val="none"/>
                <w:lang w:val="zh-CN"/>
              </w:rPr>
            </w:pPr>
            <w:r>
              <w:rPr>
                <w:rFonts w:hint="eastAsia" w:ascii="宋体" w:hAnsi="宋体" w:cs="宋体"/>
                <w:sz w:val="20"/>
                <w:highlight w:val="none"/>
                <w:lang w:val="zh-CN"/>
              </w:rPr>
              <w:t>◇不属于此种情况的供应商提供以下资料：</w:t>
            </w:r>
          </w:p>
          <w:p w14:paraId="2EA9921D">
            <w:pPr>
              <w:widowControl/>
              <w:spacing w:line="400" w:lineRule="exact"/>
              <w:jc w:val="left"/>
              <w:rPr>
                <w:rFonts w:hint="eastAsia" w:ascii="宋体" w:hAnsi="宋体" w:cs="宋体"/>
                <w:kern w:val="0"/>
                <w:sz w:val="20"/>
                <w:highlight w:val="none"/>
              </w:rPr>
            </w:pPr>
            <w:r>
              <w:rPr>
                <w:rFonts w:hint="eastAsia" w:ascii="宋体" w:hAnsi="宋体" w:cs="宋体"/>
                <w:sz w:val="20"/>
                <w:highlight w:val="none"/>
                <w:lang w:val="zh-CN"/>
              </w:rPr>
              <w:t>（3）企业类型的声明函</w:t>
            </w:r>
            <w:r>
              <w:rPr>
                <w:rFonts w:hint="eastAsia" w:ascii="宋体" w:hAnsi="宋体" w:cs="宋体"/>
                <w:sz w:val="20"/>
                <w:highlight w:val="none"/>
              </w:rPr>
              <w:t>，详见表4。</w:t>
            </w:r>
          </w:p>
        </w:tc>
      </w:tr>
      <w:tr w14:paraId="315A968D">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323" w:hRule="atLeast"/>
          <w:jc w:val="center"/>
        </w:trPr>
        <w:tc>
          <w:tcPr>
            <w:tcW w:w="738" w:type="dxa"/>
            <w:vAlign w:val="center"/>
          </w:tcPr>
          <w:p w14:paraId="3FBF8008">
            <w:pPr>
              <w:spacing w:line="400" w:lineRule="exact"/>
              <w:jc w:val="center"/>
              <w:rPr>
                <w:rFonts w:hint="eastAsia" w:ascii="宋体" w:hAnsi="宋体" w:cs="宋体"/>
                <w:sz w:val="20"/>
                <w:highlight w:val="none"/>
              </w:rPr>
            </w:pPr>
            <w:r>
              <w:rPr>
                <w:rFonts w:hint="eastAsia" w:ascii="宋体" w:hAnsi="宋体" w:cs="宋体"/>
                <w:sz w:val="20"/>
                <w:highlight w:val="none"/>
              </w:rPr>
              <w:t>3.3</w:t>
            </w:r>
          </w:p>
        </w:tc>
        <w:tc>
          <w:tcPr>
            <w:tcW w:w="5193" w:type="dxa"/>
            <w:shd w:val="clear" w:color="auto" w:fill="auto"/>
            <w:vAlign w:val="center"/>
          </w:tcPr>
          <w:p w14:paraId="309F7BD0">
            <w:pPr>
              <w:widowControl/>
              <w:spacing w:line="400" w:lineRule="exact"/>
              <w:jc w:val="left"/>
              <w:rPr>
                <w:rFonts w:hint="eastAsia" w:ascii="宋体" w:hAnsi="宋体" w:cs="宋体"/>
                <w:kern w:val="0"/>
                <w:sz w:val="20"/>
                <w:highlight w:val="none"/>
              </w:rPr>
            </w:pPr>
            <w:r>
              <w:rPr>
                <w:rFonts w:hint="eastAsia" w:ascii="宋体" w:hAnsi="宋体" w:cs="宋体"/>
                <w:kern w:val="0"/>
                <w:sz w:val="20"/>
                <w:highlight w:val="none"/>
              </w:rPr>
              <w:t>非联合体。</w:t>
            </w:r>
          </w:p>
        </w:tc>
        <w:tc>
          <w:tcPr>
            <w:tcW w:w="4096" w:type="dxa"/>
            <w:shd w:val="clear" w:color="auto" w:fill="auto"/>
            <w:vAlign w:val="center"/>
          </w:tcPr>
          <w:p w14:paraId="715DAA49">
            <w:pPr>
              <w:widowControl/>
              <w:spacing w:line="400" w:lineRule="exact"/>
              <w:jc w:val="left"/>
              <w:rPr>
                <w:rFonts w:hint="eastAsia" w:ascii="宋体" w:hAnsi="宋体" w:cs="宋体"/>
                <w:kern w:val="0"/>
                <w:sz w:val="20"/>
                <w:highlight w:val="none"/>
              </w:rPr>
            </w:pPr>
            <w:r>
              <w:rPr>
                <w:rFonts w:hint="eastAsia" w:ascii="宋体" w:hAnsi="宋体" w:cs="宋体"/>
                <w:kern w:val="0"/>
                <w:sz w:val="20"/>
                <w:highlight w:val="none"/>
              </w:rPr>
              <w:t>非联合体的声明函，</w:t>
            </w:r>
            <w:r>
              <w:rPr>
                <w:rFonts w:hint="eastAsia" w:ascii="宋体" w:hAnsi="宋体" w:cs="宋体"/>
                <w:sz w:val="20"/>
                <w:highlight w:val="none"/>
              </w:rPr>
              <w:t>详见表5</w:t>
            </w:r>
            <w:r>
              <w:rPr>
                <w:rFonts w:hint="eastAsia" w:ascii="宋体" w:hAnsi="宋体" w:cs="宋体"/>
                <w:kern w:val="0"/>
                <w:sz w:val="20"/>
                <w:highlight w:val="none"/>
              </w:rPr>
              <w:t>。</w:t>
            </w:r>
          </w:p>
        </w:tc>
      </w:tr>
    </w:tbl>
    <w:p w14:paraId="7B4E6594">
      <w:pPr>
        <w:pStyle w:val="86"/>
        <w:ind w:firstLine="241"/>
        <w:rPr>
          <w:rFonts w:hint="eastAsia" w:ascii="宋体" w:hAnsi="宋体" w:eastAsia="宋体" w:cs="宋体"/>
          <w:highlight w:val="none"/>
        </w:rPr>
      </w:pPr>
      <w:r>
        <w:rPr>
          <w:rFonts w:hint="eastAsia" w:ascii="宋体" w:hAnsi="宋体" w:eastAsia="宋体" w:cs="宋体"/>
          <w:b/>
          <w:bCs/>
          <w:sz w:val="24"/>
          <w:szCs w:val="24"/>
          <w:highlight w:val="none"/>
        </w:rPr>
        <w:t>注：请按以上顺序编排所需资格文件并填写页码，表后附上相关证明文件。如所提供的材料与技术文件要求重复的可用页码指向，复印件加盖投标供应商公章。</w:t>
      </w:r>
    </w:p>
    <w:p w14:paraId="099BCE1D">
      <w:pPr>
        <w:rPr>
          <w:highlight w:val="none"/>
        </w:rPr>
      </w:pPr>
    </w:p>
    <w:p w14:paraId="393EDF04">
      <w:pPr>
        <w:pStyle w:val="86"/>
        <w:ind w:firstLine="210"/>
        <w:rPr>
          <w:rFonts w:hint="eastAsia" w:ascii="宋体" w:hAnsi="宋体" w:eastAsia="宋体" w:cs="宋体"/>
          <w:highlight w:val="none"/>
        </w:rPr>
      </w:pPr>
    </w:p>
    <w:p w14:paraId="184A1435">
      <w:pPr>
        <w:pStyle w:val="34"/>
        <w:spacing w:before="66"/>
        <w:rPr>
          <w:rFonts w:hint="eastAsia" w:ascii="宋体" w:hAnsi="宋体" w:cs="宋体"/>
          <w:sz w:val="24"/>
          <w:highlight w:val="none"/>
        </w:rPr>
        <w:sectPr>
          <w:pgSz w:w="11906" w:h="16838"/>
          <w:pgMar w:top="1440" w:right="1440" w:bottom="1440" w:left="1440" w:header="851" w:footer="851" w:gutter="0"/>
          <w:cols w:space="720" w:num="1"/>
          <w:titlePg/>
          <w:docGrid w:linePitch="381" w:charSpace="0"/>
        </w:sectPr>
      </w:pPr>
    </w:p>
    <w:p w14:paraId="294CAC9B">
      <w:pPr>
        <w:pStyle w:val="34"/>
        <w:spacing w:before="66"/>
        <w:rPr>
          <w:rFonts w:hint="eastAsia" w:ascii="宋体" w:hAnsi="宋体" w:cs="宋体"/>
          <w:sz w:val="24"/>
          <w:highlight w:val="none"/>
        </w:rPr>
      </w:pPr>
      <w:r>
        <w:rPr>
          <w:rFonts w:hint="eastAsia" w:ascii="宋体" w:hAnsi="宋体" w:cs="宋体"/>
          <w:sz w:val="24"/>
          <w:highlight w:val="none"/>
        </w:rPr>
        <w:t>表2：符合资格条件的声明函</w:t>
      </w:r>
    </w:p>
    <w:p w14:paraId="7D86758B">
      <w:pPr>
        <w:pStyle w:val="86"/>
        <w:ind w:firstLine="210"/>
        <w:rPr>
          <w:rFonts w:hint="eastAsia"/>
          <w:highlight w:val="none"/>
        </w:rPr>
      </w:pPr>
    </w:p>
    <w:p w14:paraId="2A586164">
      <w:pPr>
        <w:spacing w:line="400" w:lineRule="exact"/>
        <w:jc w:val="center"/>
        <w:rPr>
          <w:rFonts w:hint="eastAsia" w:ascii="宋体" w:hAnsi="宋体" w:cs="宋体"/>
          <w:b/>
          <w:sz w:val="32"/>
          <w:highlight w:val="none"/>
        </w:rPr>
      </w:pPr>
      <w:r>
        <w:rPr>
          <w:rFonts w:hint="eastAsia" w:ascii="宋体" w:hAnsi="宋体" w:cs="宋体"/>
          <w:b/>
          <w:sz w:val="32"/>
          <w:highlight w:val="none"/>
        </w:rPr>
        <w:t>符合资格条件的声明函</w:t>
      </w:r>
    </w:p>
    <w:p w14:paraId="1B9CF19A">
      <w:pPr>
        <w:adjustRightInd w:val="0"/>
        <w:snapToGrid w:val="0"/>
        <w:spacing w:line="360" w:lineRule="auto"/>
        <w:rPr>
          <w:rFonts w:hint="eastAsia" w:ascii="宋体" w:hAnsi="宋体" w:cs="宋体"/>
          <w:kern w:val="0"/>
          <w:sz w:val="24"/>
          <w:highlight w:val="none"/>
          <w:u w:val="single"/>
          <w:lang w:val="zh-CN"/>
        </w:rPr>
      </w:pPr>
      <w:r>
        <w:rPr>
          <w:rFonts w:hint="eastAsia" w:ascii="宋体" w:hAnsi="宋体" w:cs="宋体"/>
          <w:kern w:val="0"/>
          <w:sz w:val="24"/>
          <w:highlight w:val="none"/>
          <w:u w:val="single"/>
          <w:lang w:val="zh-CN" w:eastAsia="zh-CN"/>
        </w:rPr>
        <w:t>衢州市柯城区九龙幼儿园</w:t>
      </w:r>
      <w:r>
        <w:rPr>
          <w:rFonts w:hint="eastAsia" w:ascii="宋体" w:hAnsi="宋体" w:cs="宋体"/>
          <w:kern w:val="0"/>
          <w:sz w:val="24"/>
          <w:highlight w:val="none"/>
          <w:u w:val="single"/>
          <w:lang w:val="zh-CN"/>
        </w:rPr>
        <w:t>：</w:t>
      </w:r>
    </w:p>
    <w:p w14:paraId="6EED643A">
      <w:pPr>
        <w:adjustRightInd w:val="0"/>
        <w:snapToGrid w:val="0"/>
        <w:spacing w:line="360" w:lineRule="auto"/>
        <w:ind w:firstLine="720" w:firstLineChars="300"/>
        <w:rPr>
          <w:rFonts w:hint="eastAsia" w:ascii="宋体" w:hAnsi="宋体" w:cs="宋体"/>
          <w:kern w:val="0"/>
          <w:sz w:val="24"/>
          <w:highlight w:val="none"/>
          <w:lang w:val="zh-CN"/>
        </w:rPr>
      </w:pPr>
      <w:r>
        <w:rPr>
          <w:rFonts w:hint="eastAsia" w:ascii="宋体" w:hAnsi="宋体" w:cs="宋体"/>
          <w:kern w:val="0"/>
          <w:sz w:val="24"/>
          <w:highlight w:val="none"/>
          <w:lang w:val="zh-CN"/>
        </w:rPr>
        <w:t>我方参与</w:t>
      </w:r>
      <w:r>
        <w:rPr>
          <w:rFonts w:hint="eastAsia" w:ascii="宋体" w:hAnsi="宋体" w:cs="宋体"/>
          <w:kern w:val="0"/>
          <w:sz w:val="24"/>
          <w:highlight w:val="none"/>
          <w:u w:val="single"/>
          <w:lang w:val="zh-CN"/>
        </w:rPr>
        <w:t>衢州市柯城区九龙幼儿园悦澜湾园区智能化提升工程及设施设备采购 - 网络系统改造及班级一体机采购</w:t>
      </w:r>
      <w:r>
        <w:rPr>
          <w:rFonts w:hint="eastAsia" w:ascii="宋体" w:hAnsi="宋体" w:cs="宋体"/>
          <w:kern w:val="0"/>
          <w:sz w:val="24"/>
          <w:highlight w:val="none"/>
          <w:lang w:val="zh-CN"/>
        </w:rPr>
        <w:t>【项目编号：QZOB-2025-072】政府采购活动，郑重承诺：</w:t>
      </w:r>
    </w:p>
    <w:p w14:paraId="242B099F">
      <w:pPr>
        <w:adjustRightInd w:val="0"/>
        <w:snapToGrid w:val="0"/>
        <w:spacing w:line="360" w:lineRule="auto"/>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rPr>
        <w:t>（一）具备《中华人民共和国政府采购法》第二十二条第一款规定的条件：</w:t>
      </w:r>
    </w:p>
    <w:p w14:paraId="221CD8AD">
      <w:pPr>
        <w:adjustRightInd w:val="0"/>
        <w:snapToGrid w:val="0"/>
        <w:spacing w:line="360" w:lineRule="auto"/>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rPr>
        <w:t>.</w:t>
      </w:r>
      <w:r>
        <w:rPr>
          <w:rFonts w:hint="eastAsia" w:ascii="宋体" w:hAnsi="宋体" w:cs="宋体"/>
          <w:kern w:val="0"/>
          <w:sz w:val="24"/>
          <w:highlight w:val="none"/>
          <w:lang w:val="zh-CN"/>
        </w:rPr>
        <w:t>具有独立承担民事责任的能力；</w:t>
      </w:r>
    </w:p>
    <w:p w14:paraId="47B13C5D">
      <w:pPr>
        <w:adjustRightInd w:val="0"/>
        <w:snapToGrid w:val="0"/>
        <w:spacing w:line="360" w:lineRule="auto"/>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rPr>
        <w:t>2</w:t>
      </w:r>
      <w:r>
        <w:rPr>
          <w:rFonts w:hint="eastAsia" w:ascii="宋体" w:hAnsi="宋体" w:cs="宋体"/>
          <w:kern w:val="0"/>
          <w:sz w:val="24"/>
          <w:highlight w:val="none"/>
        </w:rPr>
        <w:t>.</w:t>
      </w:r>
      <w:r>
        <w:rPr>
          <w:rFonts w:hint="eastAsia" w:ascii="宋体" w:hAnsi="宋体" w:cs="宋体"/>
          <w:kern w:val="0"/>
          <w:sz w:val="24"/>
          <w:highlight w:val="none"/>
          <w:lang w:val="zh-CN"/>
        </w:rPr>
        <w:t xml:space="preserve">具有良好的商业信誉和健全的财务会计制度； </w:t>
      </w:r>
    </w:p>
    <w:p w14:paraId="75659B9E">
      <w:pPr>
        <w:adjustRightInd w:val="0"/>
        <w:snapToGrid w:val="0"/>
        <w:spacing w:line="360" w:lineRule="auto"/>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rPr>
        <w:t>3</w:t>
      </w:r>
      <w:r>
        <w:rPr>
          <w:rFonts w:hint="eastAsia" w:ascii="宋体" w:hAnsi="宋体" w:cs="宋体"/>
          <w:kern w:val="0"/>
          <w:sz w:val="24"/>
          <w:highlight w:val="none"/>
        </w:rPr>
        <w:t>.</w:t>
      </w:r>
      <w:r>
        <w:rPr>
          <w:rFonts w:hint="eastAsia" w:ascii="宋体" w:hAnsi="宋体" w:cs="宋体"/>
          <w:kern w:val="0"/>
          <w:sz w:val="24"/>
          <w:highlight w:val="none"/>
          <w:lang w:val="zh-CN"/>
        </w:rPr>
        <w:t>具有履行合同所必需的设备和专业技术能力；</w:t>
      </w:r>
    </w:p>
    <w:p w14:paraId="560FE273">
      <w:pPr>
        <w:adjustRightInd w:val="0"/>
        <w:snapToGrid w:val="0"/>
        <w:spacing w:line="360" w:lineRule="auto"/>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rPr>
        <w:t>4</w:t>
      </w:r>
      <w:r>
        <w:rPr>
          <w:rFonts w:hint="eastAsia" w:ascii="宋体" w:hAnsi="宋体" w:cs="宋体"/>
          <w:kern w:val="0"/>
          <w:sz w:val="24"/>
          <w:highlight w:val="none"/>
        </w:rPr>
        <w:t>.</w:t>
      </w:r>
      <w:r>
        <w:rPr>
          <w:rFonts w:hint="eastAsia" w:ascii="宋体" w:hAnsi="宋体" w:cs="宋体"/>
          <w:kern w:val="0"/>
          <w:sz w:val="24"/>
          <w:highlight w:val="none"/>
          <w:lang w:val="zh-CN"/>
        </w:rPr>
        <w:t>有依法缴纳税收和社会保障资金的良好记录；</w:t>
      </w:r>
    </w:p>
    <w:p w14:paraId="3A6F3EE7">
      <w:pPr>
        <w:adjustRightInd w:val="0"/>
        <w:snapToGrid w:val="0"/>
        <w:spacing w:line="360" w:lineRule="auto"/>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rPr>
        <w:t>5</w:t>
      </w:r>
      <w:r>
        <w:rPr>
          <w:rFonts w:hint="eastAsia" w:ascii="宋体" w:hAnsi="宋体" w:cs="宋体"/>
          <w:kern w:val="0"/>
          <w:sz w:val="24"/>
          <w:highlight w:val="none"/>
        </w:rPr>
        <w:t>.</w:t>
      </w:r>
      <w:r>
        <w:rPr>
          <w:rFonts w:hint="eastAsia" w:ascii="宋体" w:hAnsi="宋体" w:cs="宋体"/>
          <w:kern w:val="0"/>
          <w:sz w:val="24"/>
          <w:highlight w:val="none"/>
          <w:lang w:val="zh-CN"/>
        </w:rPr>
        <w:t>参加政府采购活动前三年内，</w:t>
      </w:r>
      <w:r>
        <w:rPr>
          <w:rFonts w:hint="eastAsia" w:ascii="宋体" w:hAnsi="宋体" w:cs="宋体"/>
          <w:sz w:val="24"/>
          <w:szCs w:val="24"/>
          <w:highlight w:val="none"/>
        </w:rPr>
        <w:t>在经营活动中没有重大违法记录（没有因违法经营受到刑事处罚，没有被责令停产停业、被吊销许可证或者执照、被处以较大数额罚款等行政处罚，没有因违法经营被禁止参加政府采购活动的期限未满情形）</w:t>
      </w:r>
      <w:r>
        <w:rPr>
          <w:rFonts w:hint="eastAsia" w:ascii="宋体" w:hAnsi="宋体" w:cs="宋体"/>
          <w:kern w:val="0"/>
          <w:sz w:val="24"/>
          <w:highlight w:val="none"/>
          <w:lang w:val="zh-CN"/>
        </w:rPr>
        <w:t>；</w:t>
      </w:r>
    </w:p>
    <w:p w14:paraId="58CCF7B0">
      <w:pPr>
        <w:adjustRightInd w:val="0"/>
        <w:snapToGrid w:val="0"/>
        <w:spacing w:line="360" w:lineRule="auto"/>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rPr>
        <w:t>6</w:t>
      </w:r>
      <w:r>
        <w:rPr>
          <w:rFonts w:hint="eastAsia" w:ascii="宋体" w:hAnsi="宋体" w:cs="宋体"/>
          <w:kern w:val="0"/>
          <w:sz w:val="24"/>
          <w:highlight w:val="none"/>
        </w:rPr>
        <w:t>.</w:t>
      </w:r>
      <w:r>
        <w:rPr>
          <w:rFonts w:hint="eastAsia" w:ascii="宋体" w:hAnsi="宋体" w:cs="宋体"/>
          <w:kern w:val="0"/>
          <w:sz w:val="24"/>
          <w:highlight w:val="none"/>
          <w:lang w:val="zh-CN"/>
        </w:rPr>
        <w:t>具有法律、行政法规规定的其他条件。</w:t>
      </w:r>
    </w:p>
    <w:p w14:paraId="4A46F7A0">
      <w:pPr>
        <w:adjustRightInd w:val="0"/>
        <w:snapToGrid w:val="0"/>
        <w:spacing w:line="360" w:lineRule="auto"/>
        <w:ind w:firstLine="240" w:firstLineChars="100"/>
        <w:rPr>
          <w:rFonts w:hint="eastAsia"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kern w:val="0"/>
          <w:sz w:val="24"/>
          <w:highlight w:val="none"/>
        </w:rPr>
        <w:t>截止</w:t>
      </w:r>
      <w:r>
        <w:rPr>
          <w:rFonts w:hint="eastAsia" w:ascii="宋体" w:hAnsi="宋体" w:cs="宋体"/>
          <w:sz w:val="24"/>
          <w:szCs w:val="24"/>
          <w:highlight w:val="none"/>
        </w:rPr>
        <w:t>投标文件提交截止时间，往前追溯三年，期间未被信用中国”网站(www.creditchina.gov.cn)列入失信被执行人名单、重大税收违法案件当事人名单、政府采购不良行为记录名单;未被“中国政府采购网”(www.ccgp.gov.cn)列入政府采购严重违法失信行为记录名单。</w:t>
      </w:r>
    </w:p>
    <w:p w14:paraId="1F96830D">
      <w:pPr>
        <w:adjustRightInd w:val="0"/>
        <w:snapToGrid w:val="0"/>
        <w:spacing w:line="360" w:lineRule="auto"/>
        <w:rPr>
          <w:rFonts w:hint="eastAsia" w:ascii="宋体" w:hAnsi="宋体" w:cs="宋体"/>
          <w:kern w:val="0"/>
          <w:sz w:val="24"/>
          <w:highlight w:val="none"/>
          <w:lang w:val="zh-CN"/>
        </w:rPr>
      </w:pPr>
    </w:p>
    <w:p w14:paraId="6C2E5FF6">
      <w:pPr>
        <w:adjustRightInd w:val="0"/>
        <w:snapToGrid w:val="0"/>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lang w:val="zh-CN"/>
        </w:rPr>
        <w:t>法定/授权代表：</w:t>
      </w:r>
      <w:r>
        <w:rPr>
          <w:rFonts w:hint="eastAsia" w:ascii="宋体" w:hAnsi="宋体" w:cs="宋体"/>
          <w:kern w:val="0"/>
          <w:sz w:val="24"/>
          <w:highlight w:val="none"/>
          <w:u w:val="single"/>
          <w:lang w:val="zh-CN"/>
        </w:rPr>
        <w:t xml:space="preserve">（签字或盖章） </w:t>
      </w:r>
    </w:p>
    <w:p w14:paraId="4A246331">
      <w:pPr>
        <w:adjustRightInd w:val="0"/>
        <w:snapToGrid w:val="0"/>
        <w:spacing w:line="360" w:lineRule="auto"/>
        <w:ind w:firstLine="480" w:firstLineChars="200"/>
        <w:rPr>
          <w:rFonts w:hint="eastAsia" w:ascii="宋体" w:hAnsi="宋体" w:cs="宋体"/>
          <w:kern w:val="0"/>
          <w:sz w:val="24"/>
          <w:highlight w:val="none"/>
          <w:u w:val="single"/>
          <w:lang w:val="zh-CN"/>
        </w:rPr>
      </w:pPr>
      <w:r>
        <w:rPr>
          <w:rFonts w:hint="eastAsia" w:ascii="宋体" w:hAnsi="宋体" w:cs="宋体"/>
          <w:kern w:val="0"/>
          <w:sz w:val="24"/>
          <w:highlight w:val="none"/>
          <w:lang w:val="zh-CN"/>
        </w:rPr>
        <w:t>磋商响应供应商：</w:t>
      </w:r>
      <w:r>
        <w:rPr>
          <w:rFonts w:hint="eastAsia" w:ascii="宋体" w:hAnsi="宋体" w:cs="宋体"/>
          <w:kern w:val="0"/>
          <w:sz w:val="24"/>
          <w:highlight w:val="none"/>
          <w:u w:val="single"/>
          <w:lang w:val="zh-CN"/>
        </w:rPr>
        <w:t xml:space="preserve">（全称加盖公章）       </w:t>
      </w:r>
    </w:p>
    <w:p w14:paraId="70FE2E55">
      <w:pPr>
        <w:adjustRightInd w:val="0"/>
        <w:snapToGrid w:val="0"/>
        <w:spacing w:line="360" w:lineRule="auto"/>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rPr>
        <w:t>日期</w:t>
      </w:r>
      <w:r>
        <w:rPr>
          <w:rFonts w:hint="eastAsia" w:ascii="宋体" w:hAnsi="宋体" w:cs="宋体"/>
          <w:kern w:val="0"/>
          <w:sz w:val="24"/>
          <w:highlight w:val="none"/>
        </w:rPr>
        <w:t>：2025</w:t>
      </w:r>
      <w:r>
        <w:rPr>
          <w:rFonts w:hint="eastAsia" w:ascii="宋体" w:hAnsi="宋体" w:cs="宋体"/>
          <w:kern w:val="0"/>
          <w:sz w:val="24"/>
          <w:highlight w:val="none"/>
          <w:lang w:val="zh-CN"/>
        </w:rPr>
        <w:t>年</w:t>
      </w:r>
      <w:r>
        <w:rPr>
          <w:rFonts w:hint="eastAsia" w:asci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6244636B">
      <w:pPr>
        <w:adjustRightInd w:val="0"/>
        <w:snapToGrid w:val="0"/>
        <w:spacing w:line="360" w:lineRule="auto"/>
        <w:rPr>
          <w:rFonts w:hint="eastAsia" w:ascii="宋体" w:hAnsi="宋体" w:cs="宋体"/>
          <w:kern w:val="0"/>
          <w:sz w:val="24"/>
          <w:highlight w:val="none"/>
          <w:lang w:val="zh-CN"/>
        </w:rPr>
      </w:pPr>
    </w:p>
    <w:p w14:paraId="74A6F97A">
      <w:pPr>
        <w:pStyle w:val="87"/>
        <w:ind w:left="560" w:firstLine="480"/>
        <w:rPr>
          <w:rFonts w:hint="eastAsia" w:ascii="宋体" w:hAnsi="宋体" w:cs="宋体"/>
          <w:kern w:val="0"/>
          <w:sz w:val="24"/>
          <w:highlight w:val="none"/>
          <w:lang w:val="zh-CN"/>
        </w:rPr>
      </w:pPr>
    </w:p>
    <w:p w14:paraId="44BDB5F4">
      <w:pPr>
        <w:spacing w:line="400" w:lineRule="exact"/>
        <w:rPr>
          <w:rFonts w:hint="eastAsia" w:ascii="宋体" w:hAnsi="宋体" w:cs="宋体"/>
          <w:sz w:val="24"/>
          <w:highlight w:val="none"/>
        </w:rPr>
      </w:pPr>
    </w:p>
    <w:p w14:paraId="3CFA3C90">
      <w:pPr>
        <w:pStyle w:val="87"/>
        <w:ind w:left="560" w:firstLine="480"/>
        <w:rPr>
          <w:rFonts w:hint="eastAsia" w:ascii="宋体" w:hAnsi="宋体" w:cs="宋体"/>
          <w:sz w:val="24"/>
          <w:highlight w:val="none"/>
        </w:rPr>
      </w:pPr>
    </w:p>
    <w:p w14:paraId="66F241DE">
      <w:pPr>
        <w:spacing w:line="400" w:lineRule="exact"/>
        <w:rPr>
          <w:rFonts w:hint="eastAsia" w:ascii="宋体" w:hAnsi="宋体" w:cs="宋体"/>
          <w:sz w:val="24"/>
          <w:highlight w:val="none"/>
        </w:rPr>
      </w:pPr>
    </w:p>
    <w:p w14:paraId="76D5CE84">
      <w:pPr>
        <w:pStyle w:val="87"/>
        <w:ind w:left="560"/>
        <w:rPr>
          <w:rFonts w:hint="eastAsia"/>
          <w:highlight w:val="none"/>
        </w:rPr>
      </w:pPr>
    </w:p>
    <w:p w14:paraId="22025246">
      <w:pPr>
        <w:spacing w:line="400" w:lineRule="exact"/>
        <w:rPr>
          <w:rFonts w:hint="eastAsia" w:ascii="宋体" w:hAnsi="宋体" w:cs="宋体"/>
          <w:sz w:val="24"/>
          <w:highlight w:val="none"/>
        </w:rPr>
        <w:sectPr>
          <w:pgSz w:w="11906" w:h="16838"/>
          <w:pgMar w:top="1440" w:right="1440" w:bottom="1440" w:left="1440" w:header="851" w:footer="851" w:gutter="0"/>
          <w:cols w:space="720" w:num="1"/>
          <w:titlePg/>
          <w:docGrid w:linePitch="381" w:charSpace="0"/>
        </w:sectPr>
      </w:pPr>
    </w:p>
    <w:p w14:paraId="2C301B40">
      <w:pPr>
        <w:widowControl/>
        <w:spacing w:line="360" w:lineRule="auto"/>
        <w:jc w:val="left"/>
        <w:rPr>
          <w:rFonts w:hint="eastAsia" w:ascii="宋体" w:hAnsi="宋体" w:cs="宋体"/>
          <w:sz w:val="24"/>
          <w:highlight w:val="none"/>
        </w:rPr>
      </w:pPr>
    </w:p>
    <w:p w14:paraId="4C92208B">
      <w:pPr>
        <w:widowControl/>
        <w:spacing w:line="360" w:lineRule="auto"/>
        <w:jc w:val="left"/>
        <w:rPr>
          <w:rFonts w:hint="eastAsia" w:ascii="宋体" w:hAnsi="宋体" w:cs="宋体"/>
          <w:sz w:val="24"/>
          <w:szCs w:val="24"/>
          <w:highlight w:val="none"/>
        </w:rPr>
      </w:pPr>
      <w:r>
        <w:rPr>
          <w:rFonts w:hint="eastAsia" w:ascii="宋体" w:hAnsi="宋体" w:cs="宋体"/>
          <w:sz w:val="24"/>
          <w:highlight w:val="none"/>
        </w:rPr>
        <w:t>表3：</w:t>
      </w:r>
      <w:r>
        <w:rPr>
          <w:rFonts w:hint="eastAsia" w:ascii="宋体" w:hAnsi="宋体" w:cs="宋体"/>
          <w:sz w:val="24"/>
          <w:szCs w:val="24"/>
          <w:highlight w:val="none"/>
        </w:rPr>
        <w:t>与其他供应商无利害关系的声明函</w:t>
      </w:r>
    </w:p>
    <w:p w14:paraId="1CF75A7A">
      <w:pPr>
        <w:spacing w:line="360" w:lineRule="auto"/>
        <w:jc w:val="center"/>
        <w:rPr>
          <w:rFonts w:hint="eastAsia" w:ascii="宋体" w:hAnsi="宋体" w:cs="宋体"/>
          <w:b/>
          <w:szCs w:val="28"/>
          <w:highlight w:val="none"/>
        </w:rPr>
      </w:pPr>
      <w:r>
        <w:rPr>
          <w:rFonts w:hint="eastAsia" w:ascii="宋体" w:hAnsi="宋体" w:cs="宋体"/>
          <w:b/>
          <w:szCs w:val="28"/>
          <w:highlight w:val="none"/>
        </w:rPr>
        <w:t>与其他供应商无利害关系的声明函</w:t>
      </w:r>
    </w:p>
    <w:p w14:paraId="5856B5F6">
      <w:pPr>
        <w:spacing w:line="360" w:lineRule="auto"/>
        <w:rPr>
          <w:rFonts w:hint="eastAsia" w:ascii="宋体" w:hAnsi="宋体" w:cs="宋体"/>
          <w:sz w:val="24"/>
          <w:szCs w:val="24"/>
          <w:highlight w:val="none"/>
          <w:u w:val="single"/>
        </w:rPr>
      </w:pPr>
      <w:r>
        <w:rPr>
          <w:rFonts w:hint="eastAsia" w:ascii="宋体" w:hAnsi="宋体" w:cs="宋体"/>
          <w:sz w:val="24"/>
          <w:szCs w:val="24"/>
          <w:highlight w:val="none"/>
          <w:u w:val="single"/>
          <w:lang w:val="en-US" w:eastAsia="zh-CN"/>
        </w:rPr>
        <w:t>衢州市柯城区九龙幼儿园</w:t>
      </w:r>
      <w:r>
        <w:rPr>
          <w:rFonts w:hint="eastAsia" w:ascii="宋体" w:hAnsi="宋体" w:cs="宋体"/>
          <w:sz w:val="24"/>
          <w:szCs w:val="24"/>
          <w:highlight w:val="none"/>
          <w:u w:val="single"/>
        </w:rPr>
        <w:t>：</w:t>
      </w:r>
    </w:p>
    <w:p w14:paraId="118F8EB0">
      <w:pPr>
        <w:pStyle w:val="34"/>
        <w:tabs>
          <w:tab w:val="left" w:pos="1903"/>
          <w:tab w:val="left" w:pos="4336"/>
        </w:tabs>
        <w:spacing w:after="0" w:line="360" w:lineRule="auto"/>
        <w:ind w:firstLine="720" w:firstLineChars="300"/>
        <w:rPr>
          <w:rFonts w:hint="eastAsia" w:ascii="宋体" w:hAnsi="宋体" w:cs="宋体"/>
          <w:sz w:val="24"/>
          <w:szCs w:val="24"/>
          <w:highlight w:val="none"/>
        </w:rPr>
      </w:pPr>
      <w:r>
        <w:rPr>
          <w:rFonts w:hint="eastAsia" w:ascii="宋体" w:hAnsi="宋体" w:cs="宋体"/>
          <w:sz w:val="24"/>
          <w:szCs w:val="24"/>
          <w:highlight w:val="none"/>
        </w:rPr>
        <w:t>我方</w:t>
      </w:r>
      <w:r>
        <w:rPr>
          <w:rFonts w:hint="eastAsia" w:ascii="宋体" w:hAnsi="宋体" w:cs="宋体"/>
          <w:sz w:val="24"/>
          <w:szCs w:val="24"/>
          <w:highlight w:val="none"/>
          <w:u w:val="single"/>
        </w:rPr>
        <w:tab/>
      </w:r>
      <w:r>
        <w:rPr>
          <w:rFonts w:hint="eastAsia" w:ascii="宋体" w:hAnsi="宋体" w:cs="宋体"/>
          <w:sz w:val="24"/>
          <w:szCs w:val="24"/>
          <w:highlight w:val="none"/>
          <w:u w:val="single"/>
        </w:rPr>
        <w:t>（供应商）</w:t>
      </w:r>
      <w:r>
        <w:rPr>
          <w:rFonts w:hint="eastAsia" w:ascii="宋体" w:hAnsi="宋体" w:cs="宋体"/>
          <w:sz w:val="24"/>
          <w:szCs w:val="24"/>
          <w:highlight w:val="none"/>
          <w:u w:val="single"/>
        </w:rPr>
        <w:tab/>
      </w:r>
      <w:r>
        <w:rPr>
          <w:rFonts w:hint="eastAsia" w:ascii="宋体" w:hAnsi="宋体" w:cs="宋体"/>
          <w:sz w:val="24"/>
          <w:szCs w:val="24"/>
          <w:highlight w:val="none"/>
        </w:rPr>
        <w:t>参加</w:t>
      </w:r>
      <w:r>
        <w:rPr>
          <w:rFonts w:hint="eastAsia" w:ascii="宋体" w:hAnsi="宋体" w:cs="宋体"/>
          <w:sz w:val="24"/>
          <w:szCs w:val="24"/>
          <w:highlight w:val="none"/>
          <w:u w:val="single"/>
        </w:rPr>
        <w:t xml:space="preserve">              </w:t>
      </w:r>
      <w:r>
        <w:rPr>
          <w:rFonts w:hint="eastAsia" w:ascii="宋体" w:hAnsi="宋体" w:cs="宋体"/>
          <w:sz w:val="24"/>
          <w:szCs w:val="24"/>
          <w:highlight w:val="none"/>
        </w:rPr>
        <w:t>（采购人）</w:t>
      </w:r>
      <w:r>
        <w:rPr>
          <w:rFonts w:hint="eastAsia" w:ascii="宋体" w:hAnsi="宋体" w:cs="宋体"/>
          <w:sz w:val="24"/>
          <w:szCs w:val="24"/>
          <w:highlight w:val="none"/>
          <w:u w:val="single"/>
          <w:lang w:eastAsia="zh-CN"/>
        </w:rPr>
        <w:t>衢州市柯城区九龙幼儿园悦澜湾园区智能化提升工程及设施设备采购 - 网络系统改造及班级一体机采购</w:t>
      </w:r>
      <w:r>
        <w:rPr>
          <w:rFonts w:hint="eastAsia" w:ascii="宋体" w:hAnsi="宋体" w:cs="宋体"/>
          <w:spacing w:val="-3"/>
          <w:sz w:val="24"/>
          <w:szCs w:val="24"/>
          <w:highlight w:val="none"/>
        </w:rPr>
        <w:t>（项目名称）</w:t>
      </w:r>
      <w:r>
        <w:rPr>
          <w:rFonts w:hint="eastAsia" w:ascii="宋体" w:hAnsi="宋体" w:cs="宋体"/>
          <w:spacing w:val="-3"/>
          <w:sz w:val="24"/>
          <w:szCs w:val="24"/>
          <w:highlight w:val="none"/>
          <w:u w:val="single"/>
          <w:lang w:eastAsia="zh-CN"/>
        </w:rPr>
        <w:t>QZOB-2025-072</w:t>
      </w:r>
      <w:r>
        <w:rPr>
          <w:rFonts w:hint="eastAsia" w:ascii="宋体" w:hAnsi="宋体" w:cs="宋体"/>
          <w:spacing w:val="-3"/>
          <w:sz w:val="24"/>
          <w:szCs w:val="24"/>
          <w:highlight w:val="none"/>
        </w:rPr>
        <w:t>（项目编号）政府采购活动，与其他供应商不存在法定代表人为同一人或存在直接控股、管理关系。</w:t>
      </w:r>
    </w:p>
    <w:p w14:paraId="4B61B421">
      <w:pPr>
        <w:pStyle w:val="34"/>
        <w:spacing w:after="0" w:line="360" w:lineRule="auto"/>
        <w:ind w:left="490" w:leftChars="170" w:right="-30" w:hanging="14" w:hangingChars="6"/>
        <w:rPr>
          <w:rFonts w:hint="eastAsia" w:ascii="宋体" w:hAnsi="宋体" w:cs="宋体"/>
          <w:sz w:val="24"/>
          <w:szCs w:val="24"/>
          <w:highlight w:val="none"/>
        </w:rPr>
      </w:pPr>
      <w:r>
        <w:rPr>
          <w:rFonts w:hint="eastAsia" w:ascii="宋体" w:hAnsi="宋体" w:cs="宋体"/>
          <w:sz w:val="24"/>
          <w:szCs w:val="24"/>
          <w:highlight w:val="none"/>
        </w:rPr>
        <w:t>我方对上述声明的真实性负责。如有虚假，愿意承担相应责任，对此无任何异议。特此声明！</w:t>
      </w:r>
    </w:p>
    <w:p w14:paraId="7E4826AF">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供应商全称：（盖单位公章） </w:t>
      </w:r>
    </w:p>
    <w:p w14:paraId="3100F977">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日期：2025年  月  日</w:t>
      </w:r>
    </w:p>
    <w:p w14:paraId="0D6F27AB">
      <w:pPr>
        <w:spacing w:line="400" w:lineRule="exact"/>
        <w:rPr>
          <w:rFonts w:hint="eastAsia" w:ascii="宋体" w:hAnsi="宋体" w:cs="宋体"/>
          <w:sz w:val="24"/>
          <w:highlight w:val="none"/>
        </w:rPr>
      </w:pPr>
    </w:p>
    <w:p w14:paraId="7C519200">
      <w:pPr>
        <w:pStyle w:val="86"/>
        <w:ind w:firstLine="210"/>
        <w:rPr>
          <w:rFonts w:hint="eastAsia"/>
          <w:highlight w:val="none"/>
        </w:rPr>
      </w:pPr>
    </w:p>
    <w:p w14:paraId="605B03C2">
      <w:pPr>
        <w:widowControl/>
        <w:spacing w:line="360" w:lineRule="auto"/>
        <w:jc w:val="left"/>
        <w:rPr>
          <w:rFonts w:hint="eastAsia" w:ascii="宋体" w:hAnsi="宋体" w:cs="宋体"/>
          <w:sz w:val="24"/>
          <w:highlight w:val="none"/>
        </w:rPr>
      </w:pPr>
      <w:r>
        <w:rPr>
          <w:rFonts w:hint="eastAsia" w:ascii="宋体" w:hAnsi="宋体" w:cs="宋体"/>
          <w:sz w:val="24"/>
          <w:highlight w:val="none"/>
        </w:rPr>
        <w:t xml:space="preserve">表4：企业类型的声明函 </w:t>
      </w:r>
    </w:p>
    <w:p w14:paraId="1EAC09C3">
      <w:pPr>
        <w:widowControl/>
        <w:spacing w:line="312" w:lineRule="auto"/>
        <w:jc w:val="center"/>
        <w:rPr>
          <w:rFonts w:hint="eastAsia" w:ascii="宋体" w:hAnsi="宋体" w:cs="宋体"/>
          <w:kern w:val="0"/>
          <w:sz w:val="24"/>
          <w:highlight w:val="none"/>
          <w:lang w:val="zh-CN"/>
        </w:rPr>
      </w:pPr>
      <w:r>
        <w:rPr>
          <w:rFonts w:hint="eastAsia" w:ascii="宋体" w:hAnsi="宋体" w:cs="宋体"/>
          <w:b/>
          <w:sz w:val="32"/>
          <w:highlight w:val="none"/>
        </w:rPr>
        <w:t>企业类型的声明函</w:t>
      </w:r>
    </w:p>
    <w:p w14:paraId="48FF40FA">
      <w:pPr>
        <w:pStyle w:val="87"/>
        <w:ind w:left="0" w:leftChars="0" w:firstLine="0" w:firstLineChars="0"/>
        <w:rPr>
          <w:rFonts w:hint="eastAsia" w:ascii="宋体" w:hAnsi="宋体" w:eastAsia="宋体" w:cs="宋体"/>
          <w:kern w:val="2"/>
          <w:sz w:val="24"/>
          <w:szCs w:val="24"/>
          <w:highlight w:val="none"/>
          <w:u w:val="single"/>
          <w:lang w:val="zh-CN" w:eastAsia="zh-CN" w:bidi="ar-SA"/>
        </w:rPr>
      </w:pPr>
      <w:r>
        <w:rPr>
          <w:rFonts w:hint="eastAsia" w:ascii="宋体" w:hAnsi="宋体" w:eastAsia="宋体" w:cs="宋体"/>
          <w:kern w:val="2"/>
          <w:sz w:val="24"/>
          <w:szCs w:val="24"/>
          <w:highlight w:val="none"/>
          <w:u w:val="single"/>
          <w:lang w:val="en-US" w:eastAsia="zh-CN" w:bidi="ar-SA"/>
        </w:rPr>
        <w:t>衢州市柯城区九龙幼儿园</w:t>
      </w:r>
      <w:r>
        <w:rPr>
          <w:rFonts w:hint="eastAsia" w:ascii="宋体" w:hAnsi="宋体" w:eastAsia="宋体" w:cs="宋体"/>
          <w:kern w:val="2"/>
          <w:sz w:val="24"/>
          <w:szCs w:val="24"/>
          <w:highlight w:val="none"/>
          <w:u w:val="single"/>
          <w:lang w:val="zh-CN" w:eastAsia="zh-CN" w:bidi="ar-SA"/>
        </w:rPr>
        <w:t>：</w:t>
      </w:r>
    </w:p>
    <w:p w14:paraId="036C8713">
      <w:pPr>
        <w:pStyle w:val="87"/>
        <w:ind w:left="0" w:leftChars="0" w:firstLine="48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我方不属于金融、保险、通讯等特定行业的全国性企业所设立的区域性分支机构、个体工商户、 个人独资企业、合伙企业。</w:t>
      </w:r>
    </w:p>
    <w:p w14:paraId="7586859E">
      <w:pPr>
        <w:pStyle w:val="87"/>
        <w:ind w:left="0" w:leftChars="0" w:firstLine="48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我方对上述声明的真实性负责。如有虚假，愿意承担相应责任，对此无任何异议。</w:t>
      </w:r>
    </w:p>
    <w:p w14:paraId="44C0F48F">
      <w:pPr>
        <w:pStyle w:val="87"/>
        <w:ind w:left="0" w:leftChars="0" w:firstLine="0" w:firstLineChars="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特此声明！</w:t>
      </w:r>
    </w:p>
    <w:p w14:paraId="3972FD06">
      <w:pPr>
        <w:pStyle w:val="87"/>
        <w:ind w:left="0" w:leftChars="0" w:firstLine="0" w:firstLineChars="0"/>
        <w:rPr>
          <w:rFonts w:hint="eastAsia" w:ascii="宋体" w:hAnsi="宋体" w:eastAsia="宋体" w:cs="宋体"/>
          <w:sz w:val="24"/>
          <w:szCs w:val="24"/>
          <w:highlight w:val="none"/>
          <w:lang w:val="zh-CN"/>
        </w:rPr>
      </w:pPr>
    </w:p>
    <w:p w14:paraId="0B619850">
      <w:pPr>
        <w:pStyle w:val="87"/>
        <w:ind w:left="0" w:leftChars="0" w:firstLine="0" w:firstLineChars="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供应商全称： （盖单位公章）</w:t>
      </w:r>
    </w:p>
    <w:p w14:paraId="3A1CF354">
      <w:pPr>
        <w:adjustRightInd w:val="0"/>
        <w:snapToGrid w:val="0"/>
        <w:spacing w:line="360" w:lineRule="auto"/>
        <w:rPr>
          <w:rFonts w:hint="eastAsia" w:ascii="宋体" w:hAnsi="宋体" w:cs="宋体"/>
          <w:kern w:val="0"/>
          <w:sz w:val="24"/>
          <w:highlight w:val="none"/>
          <w:u w:val="single"/>
        </w:rPr>
      </w:pPr>
      <w:r>
        <w:rPr>
          <w:rFonts w:hint="eastAsia" w:ascii="宋体" w:hAnsi="宋体" w:cs="宋体"/>
          <w:sz w:val="24"/>
          <w:szCs w:val="24"/>
          <w:highlight w:val="none"/>
          <w:lang w:val="zh-CN"/>
        </w:rPr>
        <w:t>日期：202</w:t>
      </w:r>
      <w:r>
        <w:rPr>
          <w:rFonts w:hint="eastAsia" w:ascii="宋体" w:hAnsi="宋体" w:cs="宋体"/>
          <w:sz w:val="24"/>
          <w:szCs w:val="24"/>
          <w:highlight w:val="none"/>
        </w:rPr>
        <w:t>5</w:t>
      </w:r>
      <w:r>
        <w:rPr>
          <w:rFonts w:hint="eastAsia" w:ascii="宋体" w:hAnsi="宋体" w:cs="宋体"/>
          <w:sz w:val="24"/>
          <w:szCs w:val="24"/>
          <w:highlight w:val="none"/>
          <w:lang w:val="zh-CN"/>
        </w:rPr>
        <w:t xml:space="preserve"> 年 月 日</w:t>
      </w:r>
    </w:p>
    <w:p w14:paraId="03AFB530">
      <w:pPr>
        <w:rPr>
          <w:rFonts w:hint="eastAsia" w:ascii="宋体" w:hAnsi="宋体" w:cs="宋体"/>
          <w:highlight w:val="none"/>
        </w:rPr>
      </w:pPr>
    </w:p>
    <w:p w14:paraId="06C6937C">
      <w:pPr>
        <w:pStyle w:val="59"/>
        <w:rPr>
          <w:rFonts w:hint="eastAsia" w:ascii="宋体" w:hAnsi="宋体" w:cs="宋体"/>
          <w:highlight w:val="none"/>
        </w:rPr>
      </w:pPr>
    </w:p>
    <w:p w14:paraId="0B14B37F">
      <w:pPr>
        <w:rPr>
          <w:highlight w:val="none"/>
        </w:rPr>
      </w:pPr>
    </w:p>
    <w:p w14:paraId="3436D280">
      <w:pPr>
        <w:pStyle w:val="87"/>
        <w:ind w:left="560"/>
        <w:rPr>
          <w:rFonts w:hint="eastAsia"/>
          <w:highlight w:val="none"/>
        </w:rPr>
      </w:pPr>
    </w:p>
    <w:p w14:paraId="258E1D84">
      <w:pPr>
        <w:adjustRightInd w:val="0"/>
        <w:snapToGrid w:val="0"/>
        <w:spacing w:line="360" w:lineRule="auto"/>
        <w:rPr>
          <w:rFonts w:hint="eastAsia" w:ascii="宋体" w:hAnsi="宋体" w:cs="宋体"/>
          <w:sz w:val="24"/>
          <w:highlight w:val="none"/>
        </w:rPr>
        <w:sectPr>
          <w:pgSz w:w="11906" w:h="16838"/>
          <w:pgMar w:top="1440" w:right="1440" w:bottom="1440" w:left="1440" w:header="851" w:footer="851" w:gutter="0"/>
          <w:cols w:space="720" w:num="1"/>
          <w:titlePg/>
          <w:docGrid w:linePitch="381" w:charSpace="0"/>
        </w:sectPr>
      </w:pPr>
    </w:p>
    <w:p w14:paraId="58F3F3F6">
      <w:pPr>
        <w:adjustRightInd w:val="0"/>
        <w:snapToGrid w:val="0"/>
        <w:spacing w:line="360" w:lineRule="auto"/>
        <w:rPr>
          <w:rFonts w:hint="eastAsia" w:ascii="宋体" w:hAnsi="宋体" w:cs="宋体"/>
          <w:b/>
          <w:sz w:val="30"/>
          <w:szCs w:val="30"/>
          <w:highlight w:val="none"/>
        </w:rPr>
      </w:pPr>
      <w:r>
        <w:rPr>
          <w:rFonts w:hint="eastAsia" w:ascii="宋体" w:hAnsi="宋体" w:cs="宋体"/>
          <w:sz w:val="24"/>
          <w:highlight w:val="none"/>
        </w:rPr>
        <w:t>表5：</w:t>
      </w:r>
    </w:p>
    <w:p w14:paraId="21E31BA8">
      <w:pPr>
        <w:widowControl/>
        <w:spacing w:line="360" w:lineRule="auto"/>
        <w:jc w:val="left"/>
        <w:rPr>
          <w:rFonts w:hint="eastAsia" w:ascii="宋体" w:hAnsi="宋体" w:cs="宋体"/>
          <w:sz w:val="24"/>
          <w:szCs w:val="24"/>
          <w:highlight w:val="none"/>
        </w:rPr>
      </w:pPr>
      <w:bookmarkStart w:id="87" w:name="_Toc8165"/>
      <w:r>
        <w:rPr>
          <w:rFonts w:hint="eastAsia" w:ascii="宋体" w:hAnsi="宋体" w:cs="宋体"/>
          <w:sz w:val="24"/>
          <w:szCs w:val="24"/>
          <w:highlight w:val="none"/>
        </w:rPr>
        <w:t>非联合体的声明函</w:t>
      </w:r>
    </w:p>
    <w:p w14:paraId="20A8B61A">
      <w:pPr>
        <w:spacing w:line="360" w:lineRule="auto"/>
        <w:jc w:val="center"/>
        <w:rPr>
          <w:rFonts w:hint="eastAsia" w:ascii="宋体" w:hAnsi="宋体" w:cs="宋体"/>
          <w:b/>
          <w:szCs w:val="28"/>
          <w:highlight w:val="none"/>
        </w:rPr>
      </w:pPr>
      <w:r>
        <w:rPr>
          <w:rFonts w:hint="eastAsia" w:ascii="宋体" w:hAnsi="宋体" w:cs="宋体"/>
          <w:b/>
          <w:szCs w:val="28"/>
          <w:highlight w:val="none"/>
        </w:rPr>
        <w:t xml:space="preserve">非联合体的声明函 </w:t>
      </w:r>
    </w:p>
    <w:p w14:paraId="035ED486">
      <w:pPr>
        <w:spacing w:line="360" w:lineRule="auto"/>
        <w:ind w:firstLine="480" w:firstLineChars="200"/>
        <w:rPr>
          <w:rFonts w:hint="eastAsia" w:ascii="宋体" w:hAnsi="宋体" w:cs="宋体"/>
          <w:sz w:val="24"/>
          <w:szCs w:val="24"/>
          <w:highlight w:val="none"/>
          <w:u w:val="single"/>
        </w:rPr>
      </w:pPr>
      <w:r>
        <w:rPr>
          <w:rFonts w:hint="eastAsia" w:ascii="宋体" w:hAnsi="宋体" w:cs="宋体"/>
          <w:sz w:val="24"/>
          <w:szCs w:val="24"/>
          <w:highlight w:val="none"/>
          <w:u w:val="single"/>
          <w:lang w:val="en-US" w:eastAsia="zh-CN"/>
        </w:rPr>
        <w:t>衢州市柯城区九龙幼儿园</w:t>
      </w:r>
      <w:r>
        <w:rPr>
          <w:rFonts w:hint="eastAsia" w:ascii="宋体" w:hAnsi="宋体" w:cs="宋体"/>
          <w:sz w:val="24"/>
          <w:szCs w:val="24"/>
          <w:highlight w:val="none"/>
          <w:u w:val="single"/>
        </w:rPr>
        <w:t>：</w:t>
      </w:r>
    </w:p>
    <w:p w14:paraId="680BBA52">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我方</w:t>
      </w:r>
      <w:r>
        <w:rPr>
          <w:rFonts w:hint="eastAsia" w:ascii="宋体" w:hAnsi="宋体" w:cs="宋体"/>
          <w:sz w:val="24"/>
          <w:szCs w:val="24"/>
          <w:highlight w:val="none"/>
          <w:u w:val="single"/>
        </w:rPr>
        <w:t xml:space="preserve">    （供应商） </w:t>
      </w:r>
      <w:r>
        <w:rPr>
          <w:rFonts w:hint="eastAsia" w:ascii="宋体" w:hAnsi="宋体" w:cs="宋体"/>
          <w:sz w:val="24"/>
          <w:szCs w:val="24"/>
          <w:highlight w:val="none"/>
        </w:rPr>
        <w:t>独立参加</w:t>
      </w:r>
      <w:r>
        <w:rPr>
          <w:rFonts w:hint="eastAsia" w:ascii="宋体" w:hAnsi="宋体" w:cs="宋体"/>
          <w:sz w:val="24"/>
          <w:szCs w:val="24"/>
          <w:highlight w:val="none"/>
          <w:u w:val="single"/>
          <w:lang w:eastAsia="zh-CN"/>
        </w:rPr>
        <w:t>衢州市柯城区九龙幼儿园悦澜湾园区智能化提升工程及设施设备采购 - 网络系统改造及班级一体机采购</w:t>
      </w:r>
      <w:r>
        <w:rPr>
          <w:rFonts w:hint="eastAsia" w:ascii="宋体" w:hAnsi="宋体" w:cs="宋体"/>
          <w:sz w:val="24"/>
          <w:szCs w:val="24"/>
          <w:highlight w:val="none"/>
          <w:u w:val="single"/>
        </w:rPr>
        <w:t>（项目名称）（项目编号:</w:t>
      </w:r>
      <w:r>
        <w:rPr>
          <w:rFonts w:hint="eastAsia" w:ascii="宋体" w:hAnsi="宋体" w:cs="宋体"/>
          <w:sz w:val="24"/>
          <w:szCs w:val="24"/>
          <w:highlight w:val="none"/>
          <w:u w:val="single"/>
          <w:lang w:eastAsia="zh-CN"/>
        </w:rPr>
        <w:t>QZOB-2025-072</w:t>
      </w:r>
      <w:r>
        <w:rPr>
          <w:rFonts w:hint="eastAsia" w:ascii="宋体" w:hAnsi="宋体" w:cs="宋体"/>
          <w:sz w:val="24"/>
          <w:szCs w:val="24"/>
          <w:highlight w:val="none"/>
          <w:u w:val="single"/>
        </w:rPr>
        <w:t>）</w:t>
      </w:r>
      <w:r>
        <w:rPr>
          <w:rFonts w:hint="eastAsia" w:ascii="宋体" w:hAnsi="宋体" w:cs="宋体"/>
          <w:sz w:val="24"/>
          <w:szCs w:val="24"/>
          <w:highlight w:val="none"/>
        </w:rPr>
        <w:t xml:space="preserve">政府采购活动，未与其他单位组成联合体。 </w:t>
      </w:r>
    </w:p>
    <w:p w14:paraId="24F7CAFC">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本公司对上述声明的真实性负责。如有虚假，将依法承担相应责任。 </w:t>
      </w:r>
    </w:p>
    <w:p w14:paraId="5132EE4D">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特此声明！ </w:t>
      </w:r>
    </w:p>
    <w:p w14:paraId="29ECE820">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供应商全称： （盖单位公章） </w:t>
      </w:r>
    </w:p>
    <w:p w14:paraId="0091D98A">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日期：202</w:t>
      </w:r>
      <w:r>
        <w:rPr>
          <w:rFonts w:hint="eastAsia" w:ascii="宋体" w:hAnsi="宋体" w:cs="宋体"/>
          <w:sz w:val="24"/>
          <w:szCs w:val="24"/>
          <w:highlight w:val="none"/>
          <w:lang w:val="en-US" w:eastAsia="zh-CN"/>
        </w:rPr>
        <w:t>5</w:t>
      </w:r>
      <w:r>
        <w:rPr>
          <w:rFonts w:hint="eastAsia" w:ascii="宋体" w:hAnsi="宋体" w:cs="宋体"/>
          <w:sz w:val="24"/>
          <w:szCs w:val="24"/>
          <w:highlight w:val="none"/>
        </w:rPr>
        <w:t>年  月  日</w:t>
      </w:r>
    </w:p>
    <w:p w14:paraId="7653224D">
      <w:pPr>
        <w:widowControl/>
        <w:spacing w:line="360" w:lineRule="auto"/>
        <w:jc w:val="left"/>
        <w:rPr>
          <w:rFonts w:hint="eastAsia" w:ascii="宋体" w:hAnsi="宋体" w:cs="宋体"/>
          <w:b/>
          <w:bCs/>
          <w:sz w:val="24"/>
          <w:szCs w:val="24"/>
          <w:highlight w:val="none"/>
        </w:rPr>
      </w:pPr>
    </w:p>
    <w:p w14:paraId="6E57D364">
      <w:pPr>
        <w:pStyle w:val="5"/>
        <w:tabs>
          <w:tab w:val="clear" w:pos="1110"/>
        </w:tabs>
        <w:ind w:left="0" w:firstLine="0"/>
        <w:jc w:val="center"/>
        <w:rPr>
          <w:rFonts w:hint="eastAsia" w:ascii="宋体" w:hAnsi="宋体" w:eastAsia="宋体" w:cs="宋体"/>
          <w:kern w:val="0"/>
          <w:sz w:val="30"/>
          <w:szCs w:val="30"/>
          <w:highlight w:val="none"/>
          <w:lang w:val="zh-CN"/>
        </w:rPr>
      </w:pPr>
    </w:p>
    <w:p w14:paraId="3A558C9A">
      <w:pPr>
        <w:spacing w:line="312" w:lineRule="auto"/>
        <w:ind w:firstLine="480" w:firstLineChars="200"/>
        <w:rPr>
          <w:rFonts w:hint="eastAsia" w:ascii="宋体" w:hAnsi="宋体" w:cs="宋体"/>
          <w:sz w:val="24"/>
          <w:szCs w:val="24"/>
          <w:highlight w:val="none"/>
        </w:rPr>
      </w:pPr>
    </w:p>
    <w:p w14:paraId="7EFFD1B9">
      <w:pPr>
        <w:pStyle w:val="45"/>
        <w:adjustRightInd w:val="0"/>
        <w:snapToGrid w:val="0"/>
        <w:spacing w:line="360" w:lineRule="auto"/>
        <w:jc w:val="center"/>
        <w:outlineLvl w:val="1"/>
        <w:rPr>
          <w:rFonts w:hint="eastAsia" w:hAnsi="宋体" w:cs="宋体"/>
          <w:b/>
          <w:sz w:val="28"/>
          <w:highlight w:val="none"/>
        </w:rPr>
      </w:pPr>
    </w:p>
    <w:p w14:paraId="371DA7FC">
      <w:pPr>
        <w:pStyle w:val="45"/>
        <w:adjustRightInd w:val="0"/>
        <w:snapToGrid w:val="0"/>
        <w:spacing w:line="360" w:lineRule="auto"/>
        <w:jc w:val="center"/>
        <w:outlineLvl w:val="1"/>
        <w:rPr>
          <w:rFonts w:hint="eastAsia" w:hAnsi="宋体" w:cs="宋体"/>
          <w:b/>
          <w:sz w:val="28"/>
          <w:highlight w:val="none"/>
        </w:rPr>
      </w:pPr>
    </w:p>
    <w:p w14:paraId="07C2391B">
      <w:pPr>
        <w:rPr>
          <w:rFonts w:hint="eastAsia" w:ascii="宋体" w:hAnsi="宋体" w:cs="宋体"/>
          <w:b/>
          <w:highlight w:val="none"/>
        </w:rPr>
      </w:pPr>
    </w:p>
    <w:p w14:paraId="41156A05">
      <w:pPr>
        <w:pStyle w:val="87"/>
        <w:ind w:left="560" w:firstLine="562"/>
        <w:rPr>
          <w:rFonts w:hint="eastAsia" w:ascii="宋体" w:hAnsi="宋体" w:eastAsia="宋体" w:cs="宋体"/>
          <w:b/>
          <w:sz w:val="28"/>
          <w:highlight w:val="none"/>
        </w:rPr>
      </w:pPr>
    </w:p>
    <w:p w14:paraId="6D9117E8">
      <w:pPr>
        <w:rPr>
          <w:rFonts w:hint="eastAsia" w:ascii="宋体" w:hAnsi="宋体" w:cs="宋体"/>
          <w:b/>
          <w:highlight w:val="none"/>
        </w:rPr>
      </w:pPr>
    </w:p>
    <w:p w14:paraId="724F142B">
      <w:pPr>
        <w:pStyle w:val="87"/>
        <w:ind w:left="560" w:firstLine="562"/>
        <w:rPr>
          <w:rFonts w:hint="eastAsia" w:ascii="宋体" w:hAnsi="宋体" w:eastAsia="宋体" w:cs="宋体"/>
          <w:b/>
          <w:sz w:val="28"/>
          <w:highlight w:val="none"/>
        </w:rPr>
      </w:pPr>
    </w:p>
    <w:p w14:paraId="5EC59D3F">
      <w:pPr>
        <w:rPr>
          <w:rFonts w:hint="eastAsia" w:ascii="宋体" w:hAnsi="宋体" w:cs="宋体"/>
          <w:b/>
          <w:highlight w:val="none"/>
        </w:rPr>
      </w:pPr>
    </w:p>
    <w:p w14:paraId="5E2E5BD1">
      <w:pPr>
        <w:pStyle w:val="87"/>
        <w:ind w:left="560" w:firstLine="562"/>
        <w:rPr>
          <w:rFonts w:hint="eastAsia" w:ascii="宋体" w:hAnsi="宋体" w:eastAsia="宋体" w:cs="宋体"/>
          <w:b/>
          <w:sz w:val="28"/>
          <w:highlight w:val="none"/>
        </w:rPr>
      </w:pPr>
    </w:p>
    <w:p w14:paraId="33854A47">
      <w:pPr>
        <w:rPr>
          <w:rFonts w:hint="eastAsia" w:ascii="宋体" w:hAnsi="宋体" w:cs="宋体"/>
          <w:b/>
          <w:highlight w:val="none"/>
        </w:rPr>
      </w:pPr>
    </w:p>
    <w:p w14:paraId="1B7F481B">
      <w:pPr>
        <w:pStyle w:val="87"/>
        <w:ind w:left="560" w:firstLine="562"/>
        <w:rPr>
          <w:rFonts w:hint="eastAsia" w:ascii="宋体" w:hAnsi="宋体" w:eastAsia="宋体" w:cs="宋体"/>
          <w:b/>
          <w:sz w:val="28"/>
          <w:highlight w:val="none"/>
        </w:rPr>
      </w:pPr>
    </w:p>
    <w:p w14:paraId="7CFE0421">
      <w:pPr>
        <w:rPr>
          <w:rFonts w:hint="eastAsia" w:ascii="宋体" w:hAnsi="宋体" w:cs="宋体"/>
          <w:b/>
          <w:highlight w:val="none"/>
        </w:rPr>
      </w:pPr>
    </w:p>
    <w:p w14:paraId="37F15B67">
      <w:pPr>
        <w:pStyle w:val="87"/>
        <w:ind w:left="560" w:firstLine="562"/>
        <w:rPr>
          <w:rFonts w:hint="eastAsia" w:ascii="宋体" w:hAnsi="宋体" w:eastAsia="宋体" w:cs="宋体"/>
          <w:b/>
          <w:sz w:val="28"/>
          <w:highlight w:val="none"/>
        </w:rPr>
      </w:pPr>
    </w:p>
    <w:p w14:paraId="414C4A2C">
      <w:pPr>
        <w:rPr>
          <w:rFonts w:hint="eastAsia" w:ascii="宋体" w:hAnsi="宋体" w:cs="宋体"/>
          <w:b/>
          <w:highlight w:val="none"/>
        </w:rPr>
      </w:pPr>
    </w:p>
    <w:p w14:paraId="26C645F7">
      <w:pPr>
        <w:pStyle w:val="87"/>
        <w:ind w:left="560" w:firstLine="562"/>
        <w:rPr>
          <w:rFonts w:hint="eastAsia" w:ascii="宋体" w:hAnsi="宋体" w:eastAsia="宋体" w:cs="宋体"/>
          <w:b/>
          <w:sz w:val="28"/>
          <w:highlight w:val="none"/>
        </w:rPr>
      </w:pPr>
    </w:p>
    <w:p w14:paraId="1F76CF40">
      <w:pPr>
        <w:rPr>
          <w:rFonts w:hint="eastAsia" w:ascii="宋体" w:hAnsi="宋体" w:cs="宋体"/>
          <w:b/>
          <w:highlight w:val="none"/>
        </w:rPr>
      </w:pPr>
    </w:p>
    <w:p w14:paraId="2BF99EC5">
      <w:pPr>
        <w:pStyle w:val="87"/>
        <w:ind w:left="560" w:firstLine="562"/>
        <w:rPr>
          <w:rFonts w:hint="eastAsia" w:ascii="宋体" w:hAnsi="宋体" w:eastAsia="宋体" w:cs="宋体"/>
          <w:b/>
          <w:sz w:val="28"/>
          <w:highlight w:val="none"/>
        </w:rPr>
      </w:pPr>
    </w:p>
    <w:p w14:paraId="759CFFB1">
      <w:pPr>
        <w:pStyle w:val="87"/>
        <w:ind w:left="560"/>
        <w:rPr>
          <w:rFonts w:hint="eastAsia"/>
          <w:highlight w:val="none"/>
        </w:rPr>
      </w:pPr>
    </w:p>
    <w:p w14:paraId="230A29A8">
      <w:pPr>
        <w:rPr>
          <w:rFonts w:hint="eastAsia" w:ascii="宋体" w:hAnsi="宋体" w:cs="宋体"/>
          <w:b/>
          <w:highlight w:val="none"/>
        </w:rPr>
      </w:pPr>
    </w:p>
    <w:p w14:paraId="57ECCB5A">
      <w:pPr>
        <w:pStyle w:val="45"/>
        <w:adjustRightInd w:val="0"/>
        <w:snapToGrid w:val="0"/>
        <w:spacing w:line="360" w:lineRule="auto"/>
        <w:jc w:val="center"/>
        <w:outlineLvl w:val="1"/>
        <w:rPr>
          <w:rFonts w:hint="eastAsia" w:hAnsi="宋体" w:cs="宋体"/>
          <w:b/>
          <w:sz w:val="28"/>
          <w:highlight w:val="none"/>
        </w:rPr>
      </w:pPr>
      <w:r>
        <w:rPr>
          <w:rFonts w:hint="eastAsia" w:hAnsi="宋体" w:cs="宋体"/>
          <w:b/>
          <w:sz w:val="28"/>
          <w:highlight w:val="none"/>
        </w:rPr>
        <w:t>格式二：投标声明函</w:t>
      </w:r>
      <w:bookmarkEnd w:id="83"/>
      <w:bookmarkEnd w:id="87"/>
    </w:p>
    <w:p w14:paraId="324213D0">
      <w:pPr>
        <w:adjustRightInd w:val="0"/>
        <w:snapToGrid w:val="0"/>
        <w:spacing w:line="360" w:lineRule="auto"/>
        <w:rPr>
          <w:rFonts w:hint="eastAsia" w:ascii="宋体" w:hAnsi="宋体" w:cs="宋体"/>
          <w:sz w:val="24"/>
          <w:highlight w:val="none"/>
        </w:rPr>
      </w:pPr>
      <w:r>
        <w:rPr>
          <w:rFonts w:hint="eastAsia" w:ascii="宋体" w:hAnsi="宋体" w:cs="宋体"/>
          <w:sz w:val="24"/>
          <w:highlight w:val="none"/>
          <w:lang w:val="en-US" w:eastAsia="zh-CN"/>
        </w:rPr>
        <w:t>衢州市柯城区九龙幼儿园</w:t>
      </w:r>
      <w:r>
        <w:rPr>
          <w:rFonts w:hint="eastAsia" w:ascii="宋体" w:hAnsi="宋体" w:cs="宋体"/>
          <w:sz w:val="24"/>
          <w:highlight w:val="none"/>
        </w:rPr>
        <w:t>：</w:t>
      </w:r>
    </w:p>
    <w:p w14:paraId="2BFEDD6B">
      <w:pPr>
        <w:adjustRightInd w:val="0"/>
        <w:snapToGrid w:val="0"/>
        <w:spacing w:line="360" w:lineRule="auto"/>
        <w:rPr>
          <w:rFonts w:hint="eastAsia" w:ascii="宋体" w:hAnsi="宋体" w:cs="宋体"/>
          <w:b/>
          <w:sz w:val="30"/>
          <w:highlight w:val="none"/>
        </w:rPr>
      </w:pPr>
      <w:r>
        <w:rPr>
          <w:rFonts w:hint="eastAsia" w:ascii="宋体" w:hAnsi="宋体" w:cs="宋体"/>
          <w:sz w:val="24"/>
          <w:highlight w:val="none"/>
          <w:lang w:eastAsia="zh-CN"/>
        </w:rPr>
        <w:t>欧邦工程管理集团有限公司</w:t>
      </w:r>
      <w:r>
        <w:rPr>
          <w:rFonts w:hint="eastAsia" w:ascii="宋体" w:hAnsi="宋体" w:cs="宋体"/>
          <w:sz w:val="24"/>
          <w:highlight w:val="none"/>
        </w:rPr>
        <w:t>：</w:t>
      </w:r>
    </w:p>
    <w:p w14:paraId="6B8116F4">
      <w:pPr>
        <w:pStyle w:val="45"/>
        <w:adjustRightInd w:val="0"/>
        <w:snapToGrid w:val="0"/>
        <w:spacing w:line="360" w:lineRule="auto"/>
        <w:ind w:firstLine="480" w:firstLineChars="200"/>
        <w:rPr>
          <w:rFonts w:hint="eastAsia" w:hAnsi="宋体" w:cs="宋体"/>
          <w:sz w:val="24"/>
          <w:highlight w:val="none"/>
        </w:rPr>
      </w:pPr>
      <w:r>
        <w:rPr>
          <w:rFonts w:hint="eastAsia" w:hAnsi="宋体" w:cs="宋体"/>
          <w:sz w:val="24"/>
          <w:highlight w:val="none"/>
        </w:rPr>
        <w:t>本单位自愿参加</w:t>
      </w:r>
      <w:r>
        <w:rPr>
          <w:rFonts w:hint="eastAsia" w:hAnsi="宋体" w:cs="宋体"/>
          <w:sz w:val="24"/>
          <w:highlight w:val="none"/>
          <w:u w:val="single"/>
        </w:rPr>
        <w:t xml:space="preserve">              （项目名称）(项目编号：</w:t>
      </w:r>
      <w:r>
        <w:rPr>
          <w:rFonts w:hint="eastAsia" w:hAnsi="宋体" w:cs="宋体"/>
          <w:sz w:val="24"/>
          <w:highlight w:val="none"/>
          <w:u w:val="single"/>
          <w:lang w:eastAsia="zh-CN"/>
        </w:rPr>
        <w:t>QZOB-2025-072</w:t>
      </w:r>
      <w:r>
        <w:rPr>
          <w:rFonts w:hint="eastAsia" w:hAnsi="宋体" w:cs="宋体"/>
          <w:sz w:val="24"/>
          <w:highlight w:val="none"/>
          <w:u w:val="single"/>
        </w:rPr>
        <w:t>)</w:t>
      </w:r>
      <w:r>
        <w:rPr>
          <w:rFonts w:hint="eastAsia" w:hAnsi="宋体" w:cs="宋体"/>
          <w:sz w:val="24"/>
          <w:highlight w:val="none"/>
        </w:rPr>
        <w:t>的投标，并保证投标文件中所列举的投报价文件及相关资料和公司基本情况资料是真实的、合法的，我方：</w:t>
      </w:r>
    </w:p>
    <w:p w14:paraId="525A7A9D">
      <w:pPr>
        <w:adjustRightInd w:val="0"/>
        <w:snapToGrid w:val="0"/>
        <w:spacing w:line="360" w:lineRule="auto"/>
        <w:ind w:firstLine="480"/>
        <w:rPr>
          <w:rFonts w:hint="eastAsia" w:ascii="宋体" w:hAnsi="宋体" w:cs="宋体"/>
          <w:kern w:val="0"/>
          <w:sz w:val="24"/>
          <w:highlight w:val="none"/>
        </w:rPr>
      </w:pPr>
      <w:bookmarkStart w:id="88" w:name="_Toc522530053"/>
      <w:r>
        <w:rPr>
          <w:rFonts w:hint="eastAsia" w:ascii="宋体" w:hAnsi="宋体" w:cs="宋体"/>
          <w:kern w:val="0"/>
          <w:sz w:val="24"/>
          <w:highlight w:val="none"/>
        </w:rPr>
        <w:t>1、已详细阅读全部招标文件，包括招标文件补充文件（（如果有，包括相关的补充、更正、澄清公告和文件））、参考资料及有关附件，确认无误。我方完全理解并接受招标文件的各项规定和要求。</w:t>
      </w:r>
    </w:p>
    <w:p w14:paraId="741EA921">
      <w:pPr>
        <w:adjustRightInd w:val="0"/>
        <w:snapToGrid w:val="0"/>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2、同意提供按照贵方可能要求的与投标有关的一切数据或资料等。若贵方需要，我方愿意提供我方作出的一切承诺的证明材料。</w:t>
      </w:r>
    </w:p>
    <w:p w14:paraId="574B5DDC">
      <w:pPr>
        <w:adjustRightInd w:val="0"/>
        <w:snapToGrid w:val="0"/>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3、中标或者成交后，按采购文件规定与采购人签订合同。拒绝签订合同的，承诺按采购预算金额的2%对采购人进行赔偿；赔偿金额不足以弥补采购人损失的，承诺继续承担超过部分的损失。</w:t>
      </w:r>
    </w:p>
    <w:p w14:paraId="015C98F7">
      <w:pPr>
        <w:adjustRightInd w:val="0"/>
        <w:snapToGrid w:val="0"/>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4、同意在招标文件中投标人须知规定的开标日期起遵守本投标书中的承诺且在投标有效期满之前均具有约束力。</w:t>
      </w:r>
    </w:p>
    <w:p w14:paraId="5864FF9D">
      <w:pPr>
        <w:adjustRightInd w:val="0"/>
        <w:snapToGrid w:val="0"/>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5、投标有效期内不撤销投标文件；强行撤销的，承诺按采购预算金额的2%赔偿对采购组织机构造成损失；</w:t>
      </w:r>
    </w:p>
    <w:p w14:paraId="35AF199B">
      <w:pPr>
        <w:adjustRightInd w:val="0"/>
        <w:snapToGrid w:val="0"/>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6、中标或者成交后，按采购文件规定的采购代理服务费标准，承诺在签订合同前向采购代理机构支付采购代理服务费。</w:t>
      </w:r>
    </w:p>
    <w:p w14:paraId="19762002">
      <w:pPr>
        <w:adjustRightInd w:val="0"/>
        <w:snapToGrid w:val="0"/>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7、完全理解贵方不一定要接受最低价的投标。</w:t>
      </w:r>
    </w:p>
    <w:p w14:paraId="63B6B841">
      <w:pPr>
        <w:adjustRightInd w:val="0"/>
        <w:snapToGrid w:val="0"/>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8、单位、法定代表人、本项目授权代表及本项目负责人在参加本项目前三年内（以法院判决书生效日期为准）均无行贿犯罪记录。</w:t>
      </w:r>
    </w:p>
    <w:p w14:paraId="73C7730C">
      <w:pPr>
        <w:adjustRightInd w:val="0"/>
        <w:snapToGrid w:val="0"/>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9、如有列情形之一的，我方愿意被取消中标资格（如中标），同时继续承担其他一切法律后果，并不再寻求任何旨在减轻或免除法律责任的解释：</w:t>
      </w:r>
    </w:p>
    <w:p w14:paraId="4595809B">
      <w:pPr>
        <w:adjustRightInd w:val="0"/>
        <w:snapToGrid w:val="0"/>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(1)提供虚假材料（承诺）谋取中标、成交的；</w:t>
      </w:r>
    </w:p>
    <w:p w14:paraId="13738DDB">
      <w:pPr>
        <w:adjustRightInd w:val="0"/>
        <w:snapToGrid w:val="0"/>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(2)采取不正当手段诋毁、排挤其他投标人的；</w:t>
      </w:r>
    </w:p>
    <w:p w14:paraId="5315D257">
      <w:pPr>
        <w:adjustRightInd w:val="0"/>
        <w:snapToGrid w:val="0"/>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(3)与招标人、其它投标人或者招标代理机构恶意串通的；</w:t>
      </w:r>
    </w:p>
    <w:p w14:paraId="07332DE6">
      <w:pPr>
        <w:adjustRightInd w:val="0"/>
        <w:snapToGrid w:val="0"/>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(4)向招标人、招标代理机构行贿或者提供其他不正当利益的；</w:t>
      </w:r>
    </w:p>
    <w:p w14:paraId="51747F4F">
      <w:pPr>
        <w:adjustRightInd w:val="0"/>
        <w:snapToGrid w:val="0"/>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(5)在招标采购过程中与招标人进行协商谈判的；</w:t>
      </w:r>
    </w:p>
    <w:p w14:paraId="7D44E0B9">
      <w:pPr>
        <w:adjustRightInd w:val="0"/>
        <w:snapToGrid w:val="0"/>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(6)拒绝有关部门监督检查或提供虚假情况的。</w:t>
      </w:r>
    </w:p>
    <w:p w14:paraId="566E100B">
      <w:pPr>
        <w:adjustRightInd w:val="0"/>
        <w:snapToGrid w:val="0"/>
        <w:spacing w:line="360" w:lineRule="auto"/>
        <w:ind w:firstLine="480"/>
        <w:rPr>
          <w:rFonts w:hint="eastAsia" w:ascii="宋体" w:hAnsi="宋体" w:cs="宋体"/>
          <w:kern w:val="0"/>
          <w:sz w:val="24"/>
          <w:highlight w:val="none"/>
        </w:rPr>
      </w:pPr>
    </w:p>
    <w:p w14:paraId="576A5321">
      <w:pPr>
        <w:adjustRightInd w:val="0"/>
        <w:snapToGrid w:val="0"/>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 xml:space="preserve">法定（授权）代表人（签字或盖章）：                      </w:t>
      </w:r>
    </w:p>
    <w:p w14:paraId="250410BA">
      <w:pPr>
        <w:adjustRightInd w:val="0"/>
        <w:snapToGrid w:val="0"/>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 xml:space="preserve">投标人盖章：                            </w:t>
      </w:r>
    </w:p>
    <w:p w14:paraId="28026D17">
      <w:pPr>
        <w:adjustRightInd w:val="0"/>
        <w:snapToGrid w:val="0"/>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 xml:space="preserve">联系电话（手机及座机）：           </w:t>
      </w:r>
    </w:p>
    <w:p w14:paraId="001FC3B5">
      <w:pPr>
        <w:adjustRightInd w:val="0"/>
        <w:snapToGrid w:val="0"/>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 xml:space="preserve">传真：              </w:t>
      </w:r>
    </w:p>
    <w:p w14:paraId="5DA39AA5">
      <w:pPr>
        <w:adjustRightInd w:val="0"/>
        <w:snapToGrid w:val="0"/>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 xml:space="preserve">电子邮件：              </w:t>
      </w:r>
    </w:p>
    <w:p w14:paraId="68708601">
      <w:pPr>
        <w:adjustRightInd w:val="0"/>
        <w:snapToGrid w:val="0"/>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 xml:space="preserve">纳税人识别号：                                                </w:t>
      </w:r>
    </w:p>
    <w:p w14:paraId="3FD1C954">
      <w:pPr>
        <w:adjustRightInd w:val="0"/>
        <w:snapToGrid w:val="0"/>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 xml:space="preserve">开户银行：                                                    </w:t>
      </w:r>
    </w:p>
    <w:p w14:paraId="6E2563BE">
      <w:pPr>
        <w:adjustRightInd w:val="0"/>
        <w:snapToGrid w:val="0"/>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 xml:space="preserve">银行账号：                                                    </w:t>
      </w:r>
    </w:p>
    <w:p w14:paraId="2B707420">
      <w:pPr>
        <w:adjustRightInd w:val="0"/>
        <w:snapToGrid w:val="0"/>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 xml:space="preserve">联系地址：                                                    </w:t>
      </w:r>
    </w:p>
    <w:p w14:paraId="1423AC18">
      <w:pPr>
        <w:adjustRightInd w:val="0"/>
        <w:snapToGrid w:val="0"/>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 xml:space="preserve">邮政编码：                     </w:t>
      </w:r>
    </w:p>
    <w:p w14:paraId="378DDE99">
      <w:pPr>
        <w:adjustRightInd w:val="0"/>
        <w:snapToGrid w:val="0"/>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 xml:space="preserve">日    期：        年  </w:t>
      </w:r>
      <w:r>
        <w:rPr>
          <w:rFonts w:hint="eastAsia" w:ascii="宋体" w:hAnsi="宋体" w:cs="宋体"/>
          <w:kern w:val="0"/>
          <w:sz w:val="24"/>
          <w:highlight w:val="none"/>
        </w:rPr>
        <w:tab/>
      </w:r>
      <w:r>
        <w:rPr>
          <w:rFonts w:hint="eastAsia" w:ascii="宋体" w:hAnsi="宋体" w:cs="宋体"/>
          <w:kern w:val="0"/>
          <w:sz w:val="24"/>
          <w:highlight w:val="none"/>
        </w:rPr>
        <w:t xml:space="preserve"> 月    日</w:t>
      </w:r>
    </w:p>
    <w:p w14:paraId="58A1712B">
      <w:pPr>
        <w:adjustRightInd w:val="0"/>
        <w:snapToGrid w:val="0"/>
        <w:spacing w:line="360" w:lineRule="auto"/>
        <w:ind w:firstLine="480"/>
        <w:rPr>
          <w:rFonts w:hint="eastAsia" w:ascii="宋体" w:hAnsi="宋体" w:cs="宋体"/>
          <w:kern w:val="0"/>
          <w:sz w:val="24"/>
          <w:highlight w:val="none"/>
        </w:rPr>
      </w:pPr>
    </w:p>
    <w:p w14:paraId="447F5371">
      <w:pPr>
        <w:adjustRightInd w:val="0"/>
        <w:snapToGrid w:val="0"/>
        <w:spacing w:line="360" w:lineRule="auto"/>
        <w:ind w:firstLine="480"/>
        <w:rPr>
          <w:rFonts w:hint="eastAsia" w:ascii="宋体" w:hAnsi="宋体" w:cs="宋体"/>
          <w:kern w:val="0"/>
          <w:sz w:val="24"/>
          <w:highlight w:val="none"/>
        </w:rPr>
      </w:pPr>
    </w:p>
    <w:p w14:paraId="32D81185">
      <w:pPr>
        <w:adjustRightInd w:val="0"/>
        <w:snapToGrid w:val="0"/>
        <w:spacing w:line="360" w:lineRule="auto"/>
        <w:rPr>
          <w:rFonts w:hint="eastAsia" w:ascii="宋体" w:hAnsi="宋体" w:cs="宋体"/>
          <w:highlight w:val="none"/>
        </w:rPr>
        <w:sectPr>
          <w:pgSz w:w="11906" w:h="16838"/>
          <w:pgMar w:top="1440" w:right="1440" w:bottom="1440" w:left="1440" w:header="851" w:footer="851" w:gutter="0"/>
          <w:cols w:space="720" w:num="1"/>
          <w:titlePg/>
          <w:docGrid w:linePitch="381" w:charSpace="0"/>
        </w:sectPr>
      </w:pPr>
      <w:r>
        <w:rPr>
          <w:rFonts w:hint="eastAsia" w:ascii="宋体" w:hAnsi="宋体" w:cs="宋体"/>
          <w:b/>
          <w:kern w:val="0"/>
          <w:sz w:val="24"/>
          <w:highlight w:val="none"/>
          <w:lang w:val="zh-CN"/>
        </w:rPr>
        <w:t>注：未按照本投标声明函要求填报的将被视为非实质性响应，从而可能导致该投标文件被拒绝。</w:t>
      </w:r>
    </w:p>
    <w:p w14:paraId="13BC68DA">
      <w:pPr>
        <w:pStyle w:val="45"/>
        <w:adjustRightInd w:val="0"/>
        <w:snapToGrid w:val="0"/>
        <w:spacing w:line="360" w:lineRule="auto"/>
        <w:outlineLvl w:val="1"/>
        <w:rPr>
          <w:rFonts w:hint="eastAsia" w:hAnsi="宋体" w:cs="宋体"/>
          <w:b/>
          <w:sz w:val="28"/>
          <w:highlight w:val="none"/>
        </w:rPr>
      </w:pPr>
      <w:bookmarkStart w:id="89" w:name="_Toc15127"/>
      <w:r>
        <w:rPr>
          <w:rFonts w:hint="eastAsia" w:hAnsi="宋体" w:cs="宋体"/>
          <w:b/>
          <w:kern w:val="0"/>
          <w:sz w:val="30"/>
          <w:highlight w:val="none"/>
          <w:lang w:val="zh-CN"/>
        </w:rPr>
        <w:t>格式三：</w:t>
      </w:r>
      <w:r>
        <w:rPr>
          <w:rFonts w:hint="eastAsia" w:hAnsi="宋体" w:cs="宋体"/>
          <w:b/>
          <w:sz w:val="28"/>
          <w:highlight w:val="none"/>
        </w:rPr>
        <w:t>法定代表人身份证明或法定代表人身份证明及授权委托书</w:t>
      </w:r>
      <w:bookmarkEnd w:id="88"/>
      <w:bookmarkEnd w:id="89"/>
    </w:p>
    <w:p w14:paraId="3E0F2852">
      <w:pPr>
        <w:pStyle w:val="45"/>
        <w:adjustRightInd w:val="0"/>
        <w:snapToGrid w:val="0"/>
        <w:spacing w:line="360" w:lineRule="auto"/>
        <w:jc w:val="center"/>
        <w:rPr>
          <w:rFonts w:hint="eastAsia" w:hAnsi="宋体" w:cs="宋体"/>
          <w:b/>
          <w:sz w:val="28"/>
          <w:highlight w:val="none"/>
        </w:rPr>
      </w:pPr>
    </w:p>
    <w:p w14:paraId="668AA34F">
      <w:pPr>
        <w:pStyle w:val="45"/>
        <w:adjustRightInd w:val="0"/>
        <w:snapToGrid w:val="0"/>
        <w:spacing w:line="360" w:lineRule="auto"/>
        <w:jc w:val="center"/>
        <w:rPr>
          <w:rFonts w:hint="eastAsia" w:hAnsi="宋体" w:cs="宋体"/>
          <w:b/>
          <w:kern w:val="0"/>
          <w:sz w:val="30"/>
          <w:highlight w:val="none"/>
          <w:lang w:val="zh-CN"/>
        </w:rPr>
      </w:pPr>
      <w:r>
        <w:rPr>
          <w:rFonts w:hint="eastAsia" w:hAnsi="宋体" w:cs="宋体"/>
          <w:b/>
          <w:sz w:val="28"/>
          <w:highlight w:val="none"/>
        </w:rPr>
        <w:t>3-1法定代表人身份证明</w:t>
      </w:r>
    </w:p>
    <w:p w14:paraId="6FA7FF83">
      <w:pPr>
        <w:adjustRightInd w:val="0"/>
        <w:snapToGrid w:val="0"/>
        <w:spacing w:line="360" w:lineRule="auto"/>
        <w:rPr>
          <w:rFonts w:hint="eastAsia" w:ascii="宋体" w:hAnsi="宋体" w:cs="宋体"/>
          <w:sz w:val="24"/>
          <w:highlight w:val="none"/>
        </w:rPr>
      </w:pPr>
    </w:p>
    <w:p w14:paraId="1B02416C">
      <w:pPr>
        <w:adjustRightInd w:val="0"/>
        <w:snapToGrid w:val="0"/>
        <w:spacing w:line="324" w:lineRule="auto"/>
        <w:ind w:firstLine="480" w:firstLineChars="200"/>
        <w:rPr>
          <w:rFonts w:hint="eastAsia" w:ascii="宋体" w:hAnsi="宋体" w:cs="宋体"/>
          <w:sz w:val="24"/>
          <w:highlight w:val="none"/>
          <w:u w:val="single"/>
        </w:rPr>
      </w:pPr>
      <w:r>
        <w:rPr>
          <w:rFonts w:hint="eastAsia" w:ascii="宋体" w:hAnsi="宋体" w:cs="宋体"/>
          <w:sz w:val="24"/>
          <w:highlight w:val="none"/>
        </w:rPr>
        <w:t>姓名：</w:t>
      </w:r>
      <w:r>
        <w:rPr>
          <w:rFonts w:hint="eastAsia" w:ascii="宋体" w:hAnsi="宋体" w:cs="宋体"/>
          <w:sz w:val="24"/>
          <w:highlight w:val="none"/>
          <w:u w:val="single"/>
        </w:rPr>
        <w:t xml:space="preserve">          </w:t>
      </w:r>
      <w:r>
        <w:rPr>
          <w:rFonts w:hint="eastAsia" w:ascii="宋体" w:hAnsi="宋体" w:cs="宋体"/>
          <w:sz w:val="24"/>
          <w:highlight w:val="none"/>
        </w:rPr>
        <w:t>性别：</w:t>
      </w:r>
      <w:r>
        <w:rPr>
          <w:rFonts w:hint="eastAsia" w:ascii="宋体" w:hAnsi="宋体" w:cs="宋体"/>
          <w:sz w:val="24"/>
          <w:highlight w:val="none"/>
          <w:u w:val="single"/>
        </w:rPr>
        <w:t xml:space="preserve">        </w:t>
      </w:r>
      <w:r>
        <w:rPr>
          <w:rFonts w:hint="eastAsia" w:ascii="宋体" w:hAnsi="宋体" w:cs="宋体"/>
          <w:sz w:val="24"/>
          <w:highlight w:val="none"/>
        </w:rPr>
        <w:t>年龄：</w:t>
      </w:r>
      <w:r>
        <w:rPr>
          <w:rFonts w:hint="eastAsia" w:ascii="宋体" w:hAnsi="宋体" w:cs="宋体"/>
          <w:sz w:val="24"/>
          <w:highlight w:val="none"/>
          <w:u w:val="single"/>
        </w:rPr>
        <w:t xml:space="preserve">        </w:t>
      </w:r>
      <w:r>
        <w:rPr>
          <w:rFonts w:hint="eastAsia" w:ascii="宋体" w:hAnsi="宋体" w:cs="宋体"/>
          <w:sz w:val="24"/>
          <w:highlight w:val="none"/>
        </w:rPr>
        <w:t>职务：</w:t>
      </w:r>
      <w:r>
        <w:rPr>
          <w:rFonts w:hint="eastAsia" w:ascii="宋体" w:hAnsi="宋体" w:cs="宋体"/>
          <w:sz w:val="24"/>
          <w:highlight w:val="none"/>
          <w:u w:val="single"/>
        </w:rPr>
        <w:t xml:space="preserve">       </w:t>
      </w:r>
    </w:p>
    <w:p w14:paraId="40949763">
      <w:pPr>
        <w:adjustRightInd w:val="0"/>
        <w:snapToGrid w:val="0"/>
        <w:spacing w:line="324" w:lineRule="auto"/>
        <w:ind w:firstLine="480" w:firstLineChars="200"/>
        <w:rPr>
          <w:rFonts w:hint="eastAsia" w:ascii="宋体" w:hAnsi="宋体" w:cs="宋体"/>
          <w:sz w:val="24"/>
          <w:highlight w:val="none"/>
          <w:u w:val="single"/>
        </w:rPr>
      </w:pPr>
      <w:r>
        <w:rPr>
          <w:rFonts w:hint="eastAsia" w:ascii="宋体" w:hAnsi="宋体" w:cs="宋体"/>
          <w:sz w:val="24"/>
          <w:highlight w:val="none"/>
        </w:rPr>
        <w:t>身份证号码：</w:t>
      </w:r>
      <w:r>
        <w:rPr>
          <w:rFonts w:hint="eastAsia" w:ascii="宋体" w:hAnsi="宋体" w:cs="宋体"/>
          <w:sz w:val="24"/>
          <w:highlight w:val="none"/>
          <w:u w:val="single"/>
        </w:rPr>
        <w:t xml:space="preserve">          </w:t>
      </w:r>
      <w:r>
        <w:rPr>
          <w:rFonts w:hint="eastAsia" w:ascii="宋体" w:hAnsi="宋体" w:cs="宋体"/>
          <w:sz w:val="24"/>
          <w:highlight w:val="none"/>
        </w:rPr>
        <w:t>系</w:t>
      </w:r>
      <w:r>
        <w:rPr>
          <w:rFonts w:hint="eastAsia" w:ascii="宋体" w:hAnsi="宋体" w:cs="宋体"/>
          <w:sz w:val="24"/>
          <w:highlight w:val="none"/>
          <w:u w:val="single"/>
        </w:rPr>
        <w:t xml:space="preserve">                  </w:t>
      </w:r>
      <w:r>
        <w:rPr>
          <w:rFonts w:hint="eastAsia" w:ascii="宋体" w:hAnsi="宋体" w:cs="宋体"/>
          <w:sz w:val="24"/>
          <w:highlight w:val="none"/>
        </w:rPr>
        <w:t>（投标人名称）的法定代表人。</w:t>
      </w:r>
    </w:p>
    <w:p w14:paraId="1F8091ED">
      <w:pPr>
        <w:adjustRightInd w:val="0"/>
        <w:snapToGrid w:val="0"/>
        <w:spacing w:line="324" w:lineRule="auto"/>
        <w:ind w:firstLine="560"/>
        <w:rPr>
          <w:rFonts w:hint="eastAsia" w:ascii="宋体" w:hAnsi="宋体" w:cs="宋体"/>
          <w:sz w:val="24"/>
          <w:highlight w:val="none"/>
        </w:rPr>
      </w:pPr>
    </w:p>
    <w:p w14:paraId="226AE639">
      <w:pPr>
        <w:adjustRightInd w:val="0"/>
        <w:snapToGrid w:val="0"/>
        <w:spacing w:line="324" w:lineRule="auto"/>
        <w:ind w:firstLine="480" w:firstLineChars="200"/>
        <w:rPr>
          <w:rFonts w:hint="eastAsia" w:ascii="宋体" w:hAnsi="宋体" w:cs="宋体"/>
          <w:sz w:val="24"/>
          <w:highlight w:val="none"/>
        </w:rPr>
      </w:pPr>
      <w:r>
        <w:rPr>
          <w:rFonts w:hint="eastAsia" w:ascii="宋体" w:hAnsi="宋体" w:cs="宋体"/>
          <w:sz w:val="24"/>
          <w:highlight w:val="none"/>
        </w:rPr>
        <w:t>特此证明。</w:t>
      </w:r>
    </w:p>
    <w:p w14:paraId="7A0EEA3A">
      <w:pPr>
        <w:adjustRightInd w:val="0"/>
        <w:snapToGrid w:val="0"/>
        <w:spacing w:line="324" w:lineRule="auto"/>
        <w:rPr>
          <w:rFonts w:hint="eastAsia" w:ascii="宋体" w:hAnsi="宋体" w:cs="宋体"/>
          <w:sz w:val="24"/>
          <w:highlight w:val="none"/>
        </w:rPr>
      </w:pPr>
      <w:r>
        <w:rPr>
          <w:rFonts w:hint="eastAsia" w:ascii="宋体" w:hAnsi="宋体" w:cs="宋体"/>
          <w:sz w:val="24"/>
          <w:highlight w:val="none"/>
        </w:rPr>
        <w:t>附：法定代表人身份证复印件</w:t>
      </w:r>
    </w:p>
    <w:p w14:paraId="293CA4E3">
      <w:pPr>
        <w:adjustRightInd w:val="0"/>
        <w:snapToGrid w:val="0"/>
        <w:spacing w:line="324" w:lineRule="auto"/>
        <w:rPr>
          <w:rFonts w:hint="eastAsia" w:ascii="宋体" w:hAnsi="宋体" w:cs="宋体"/>
          <w:sz w:val="24"/>
          <w:highlight w:val="none"/>
        </w:rPr>
      </w:pPr>
    </w:p>
    <w:p w14:paraId="168E6F03">
      <w:pPr>
        <w:adjustRightInd w:val="0"/>
        <w:snapToGrid w:val="0"/>
        <w:spacing w:line="324" w:lineRule="auto"/>
        <w:ind w:right="1200"/>
        <w:rPr>
          <w:rFonts w:hint="eastAsia" w:ascii="宋体" w:hAnsi="宋体" w:cs="宋体"/>
          <w:sz w:val="24"/>
          <w:highlight w:val="none"/>
        </w:rPr>
      </w:pPr>
      <w:r>
        <w:rPr>
          <w:rFonts w:hint="eastAsia" w:ascii="宋体" w:hAnsi="宋体" w:cs="宋体"/>
          <w:sz w:val="24"/>
          <w:highlight w:val="none"/>
        </w:rPr>
        <w:t xml:space="preserve">投标人：（全称加盖公章） </w:t>
      </w:r>
    </w:p>
    <w:p w14:paraId="714571B2">
      <w:pPr>
        <w:adjustRightInd w:val="0"/>
        <w:snapToGrid w:val="0"/>
        <w:spacing w:line="324" w:lineRule="auto"/>
        <w:ind w:right="1200"/>
        <w:rPr>
          <w:rFonts w:hint="eastAsia" w:ascii="宋体" w:hAnsi="宋体" w:cs="宋体"/>
          <w:b/>
          <w:sz w:val="24"/>
          <w:highlight w:val="none"/>
        </w:rPr>
      </w:pPr>
      <w:r>
        <w:rPr>
          <w:rFonts w:hint="eastAsia" w:ascii="宋体" w:hAnsi="宋体" w:cs="宋体"/>
          <w:sz w:val="24"/>
          <w:highlight w:val="none"/>
        </w:rPr>
        <w:t>日期：   年    月    日</w:t>
      </w:r>
    </w:p>
    <w:tbl>
      <w:tblPr>
        <w:tblStyle w:val="88"/>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14:paraId="5D6E9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8" w:hRule="atLeast"/>
          <w:jc w:val="center"/>
        </w:trPr>
        <w:tc>
          <w:tcPr>
            <w:tcW w:w="9242" w:type="dxa"/>
            <w:vAlign w:val="center"/>
          </w:tcPr>
          <w:p w14:paraId="1027AEEE">
            <w:pPr>
              <w:adjustRightInd w:val="0"/>
              <w:snapToGrid w:val="0"/>
              <w:spacing w:line="360" w:lineRule="auto"/>
              <w:jc w:val="center"/>
              <w:rPr>
                <w:rFonts w:hint="eastAsia" w:ascii="宋体" w:hAnsi="宋体" w:cs="宋体"/>
                <w:highlight w:val="none"/>
              </w:rPr>
            </w:pPr>
            <w:r>
              <w:rPr>
                <w:rFonts w:hint="eastAsia" w:ascii="宋体" w:hAnsi="宋体" w:cs="宋体"/>
                <w:highlight w:val="none"/>
              </w:rPr>
              <w:t>法定代表人身份证复印件粘贴处（正、反面）</w:t>
            </w:r>
          </w:p>
        </w:tc>
      </w:tr>
    </w:tbl>
    <w:p w14:paraId="77BADE02">
      <w:pPr>
        <w:spacing w:before="120" w:beforeLines="50" w:line="360" w:lineRule="auto"/>
        <w:jc w:val="center"/>
        <w:rPr>
          <w:rFonts w:hint="eastAsia" w:ascii="宋体" w:hAnsi="宋体" w:cs="宋体"/>
          <w:b/>
          <w:highlight w:val="none"/>
        </w:rPr>
      </w:pPr>
    </w:p>
    <w:p w14:paraId="56E3F939">
      <w:pPr>
        <w:spacing w:before="120" w:beforeLines="50" w:line="360" w:lineRule="auto"/>
        <w:jc w:val="center"/>
        <w:rPr>
          <w:rFonts w:hint="eastAsia" w:ascii="宋体" w:hAnsi="宋体" w:cs="宋体"/>
          <w:b/>
          <w:highlight w:val="none"/>
        </w:rPr>
      </w:pPr>
    </w:p>
    <w:p w14:paraId="02DCDB59">
      <w:pPr>
        <w:spacing w:before="120" w:beforeLines="50" w:line="360" w:lineRule="auto"/>
        <w:jc w:val="center"/>
        <w:rPr>
          <w:rFonts w:hint="eastAsia" w:ascii="宋体" w:hAnsi="宋体" w:cs="宋体"/>
          <w:b/>
          <w:highlight w:val="none"/>
        </w:rPr>
      </w:pPr>
    </w:p>
    <w:p w14:paraId="6DD79E6D">
      <w:pPr>
        <w:pStyle w:val="87"/>
        <w:ind w:left="560"/>
        <w:rPr>
          <w:rFonts w:hint="eastAsia" w:ascii="宋体" w:hAnsi="宋体" w:eastAsia="宋体" w:cs="宋体"/>
          <w:highlight w:val="none"/>
        </w:rPr>
      </w:pPr>
    </w:p>
    <w:p w14:paraId="03E5A52E">
      <w:pPr>
        <w:spacing w:before="120" w:beforeLines="50" w:line="360" w:lineRule="auto"/>
        <w:jc w:val="center"/>
        <w:rPr>
          <w:rFonts w:hint="eastAsia" w:ascii="宋体" w:hAnsi="宋体" w:cs="宋体"/>
          <w:b/>
          <w:highlight w:val="none"/>
        </w:rPr>
      </w:pPr>
      <w:r>
        <w:rPr>
          <w:rFonts w:hint="eastAsia" w:ascii="宋体" w:hAnsi="宋体" w:cs="宋体"/>
          <w:b/>
          <w:highlight w:val="none"/>
        </w:rPr>
        <w:t>3-2法定代表人授权委托书</w:t>
      </w:r>
    </w:p>
    <w:p w14:paraId="1BFE7735">
      <w:pPr>
        <w:spacing w:line="324" w:lineRule="auto"/>
        <w:rPr>
          <w:rFonts w:hint="eastAsia" w:ascii="宋体" w:hAnsi="宋体" w:cs="宋体"/>
          <w:kern w:val="0"/>
          <w:sz w:val="24"/>
          <w:highlight w:val="none"/>
        </w:rPr>
      </w:pPr>
      <w:r>
        <w:rPr>
          <w:rFonts w:hint="eastAsia" w:ascii="宋体" w:hAnsi="宋体" w:cs="宋体"/>
          <w:kern w:val="0"/>
          <w:sz w:val="24"/>
          <w:highlight w:val="none"/>
          <w:lang w:val="en-US" w:eastAsia="zh-CN"/>
        </w:rPr>
        <w:t>衢州市柯城区九龙幼儿园</w:t>
      </w:r>
      <w:r>
        <w:rPr>
          <w:rFonts w:hint="eastAsia" w:ascii="宋体" w:hAnsi="宋体" w:cs="宋体"/>
          <w:kern w:val="0"/>
          <w:sz w:val="24"/>
          <w:highlight w:val="none"/>
        </w:rPr>
        <w:t>：</w:t>
      </w:r>
    </w:p>
    <w:p w14:paraId="0C2FE727">
      <w:pPr>
        <w:adjustRightInd w:val="0"/>
        <w:snapToGrid w:val="0"/>
        <w:spacing w:line="324" w:lineRule="auto"/>
        <w:rPr>
          <w:rFonts w:hint="eastAsia" w:ascii="宋体" w:hAnsi="宋体" w:cs="宋体"/>
          <w:sz w:val="24"/>
          <w:highlight w:val="none"/>
        </w:rPr>
      </w:pPr>
      <w:r>
        <w:rPr>
          <w:rFonts w:hint="eastAsia" w:ascii="宋体" w:hAnsi="宋体" w:cs="宋体"/>
          <w:kern w:val="0"/>
          <w:sz w:val="24"/>
          <w:highlight w:val="none"/>
          <w:lang w:val="zh-CN"/>
        </w:rPr>
        <w:t>欧邦工程管理集团有限公司：</w:t>
      </w:r>
    </w:p>
    <w:p w14:paraId="24C36DCE">
      <w:pPr>
        <w:adjustRightInd w:val="0"/>
        <w:snapToGrid w:val="0"/>
        <w:spacing w:line="312" w:lineRule="auto"/>
        <w:ind w:firstLine="480" w:firstLineChars="200"/>
        <w:rPr>
          <w:rFonts w:hint="eastAsia" w:ascii="宋体" w:hAnsi="宋体" w:cs="宋体"/>
          <w:sz w:val="24"/>
          <w:highlight w:val="none"/>
        </w:rPr>
      </w:pPr>
      <w:r>
        <w:rPr>
          <w:rFonts w:hint="eastAsia" w:ascii="宋体" w:hAnsi="宋体" w:cs="宋体"/>
          <w:sz w:val="24"/>
          <w:highlight w:val="none"/>
        </w:rPr>
        <w:t>本人</w:t>
      </w:r>
      <w:r>
        <w:rPr>
          <w:rFonts w:hint="eastAsia" w:ascii="宋体" w:hAnsi="宋体" w:cs="宋体"/>
          <w:sz w:val="24"/>
          <w:highlight w:val="none"/>
          <w:u w:val="single"/>
        </w:rPr>
        <w:t xml:space="preserve">      （姓名）</w:t>
      </w:r>
      <w:r>
        <w:rPr>
          <w:rFonts w:hint="eastAsia" w:ascii="宋体" w:hAnsi="宋体" w:cs="宋体"/>
          <w:sz w:val="24"/>
          <w:highlight w:val="none"/>
        </w:rPr>
        <w:t>系</w:t>
      </w:r>
      <w:r>
        <w:rPr>
          <w:rFonts w:hint="eastAsia" w:ascii="宋体" w:hAnsi="宋体" w:cs="宋体"/>
          <w:sz w:val="24"/>
          <w:highlight w:val="none"/>
          <w:u w:val="single"/>
        </w:rPr>
        <w:t xml:space="preserve">  （投标人名称）</w:t>
      </w:r>
      <w:r>
        <w:rPr>
          <w:rFonts w:hint="eastAsia" w:ascii="宋体" w:hAnsi="宋体" w:cs="宋体"/>
          <w:sz w:val="24"/>
          <w:highlight w:val="none"/>
        </w:rPr>
        <w:t>的法定代表人，现委托</w:t>
      </w:r>
      <w:r>
        <w:rPr>
          <w:rFonts w:hint="eastAsia" w:ascii="宋体" w:hAnsi="宋体" w:cs="宋体"/>
          <w:sz w:val="24"/>
          <w:highlight w:val="none"/>
          <w:u w:val="single"/>
        </w:rPr>
        <w:t xml:space="preserve">      （姓名）  （职务）</w:t>
      </w:r>
      <w:r>
        <w:rPr>
          <w:rFonts w:hint="eastAsia" w:ascii="宋体" w:hAnsi="宋体" w:cs="宋体"/>
          <w:sz w:val="24"/>
          <w:highlight w:val="none"/>
        </w:rPr>
        <w:t>为我方授权代表，以我方名义签署、澄清、说明、补正、递交、撤回、修改</w:t>
      </w:r>
      <w:r>
        <w:rPr>
          <w:rFonts w:hint="eastAsia" w:ascii="宋体" w:hAnsi="宋体" w:cs="宋体"/>
          <w:sz w:val="24"/>
          <w:highlight w:val="none"/>
          <w:u w:val="single"/>
        </w:rPr>
        <w:t xml:space="preserve">      （项目名称）(项目编号：</w:t>
      </w:r>
      <w:r>
        <w:rPr>
          <w:rFonts w:hint="eastAsia" w:ascii="宋体" w:hAnsi="宋体" w:cs="宋体"/>
          <w:sz w:val="24"/>
          <w:highlight w:val="none"/>
          <w:u w:val="single"/>
          <w:lang w:eastAsia="zh-CN"/>
        </w:rPr>
        <w:t>QZOB-2025-072</w:t>
      </w:r>
      <w:r>
        <w:rPr>
          <w:rFonts w:hint="eastAsia" w:ascii="宋体" w:hAnsi="宋体" w:cs="宋体"/>
          <w:sz w:val="24"/>
          <w:highlight w:val="none"/>
          <w:u w:val="single"/>
        </w:rPr>
        <w:t xml:space="preserve">) </w:t>
      </w:r>
      <w:r>
        <w:rPr>
          <w:rFonts w:hint="eastAsia" w:ascii="宋体" w:hAnsi="宋体" w:cs="宋体"/>
          <w:sz w:val="24"/>
          <w:highlight w:val="none"/>
        </w:rPr>
        <w:t>投标文件、签订合同和处理有关事宜，其法律后果由我方承担。</w:t>
      </w:r>
    </w:p>
    <w:p w14:paraId="785838DF">
      <w:pPr>
        <w:adjustRightInd w:val="0"/>
        <w:snapToGrid w:val="0"/>
        <w:spacing w:line="312" w:lineRule="auto"/>
        <w:ind w:firstLine="480" w:firstLineChars="200"/>
        <w:rPr>
          <w:rFonts w:hint="eastAsia" w:ascii="宋体" w:hAnsi="宋体" w:cs="宋体"/>
          <w:sz w:val="24"/>
          <w:highlight w:val="none"/>
        </w:rPr>
      </w:pPr>
      <w:r>
        <w:rPr>
          <w:rFonts w:hint="eastAsia" w:ascii="宋体" w:hAnsi="宋体" w:cs="宋体"/>
          <w:sz w:val="24"/>
          <w:highlight w:val="none"/>
        </w:rPr>
        <w:t>在撤销授权的书面通知以前，本授权书一直有效。被授权人在授权书有效期内签署的所有文件不因授权的撤销而失效。</w:t>
      </w:r>
    </w:p>
    <w:p w14:paraId="6B8AB653">
      <w:pPr>
        <w:adjustRightInd w:val="0"/>
        <w:snapToGrid w:val="0"/>
        <w:spacing w:line="312" w:lineRule="auto"/>
        <w:ind w:firstLine="480" w:firstLineChars="200"/>
        <w:rPr>
          <w:rFonts w:hint="eastAsia" w:ascii="宋体" w:hAnsi="宋体" w:cs="宋体"/>
          <w:sz w:val="24"/>
          <w:highlight w:val="none"/>
        </w:rPr>
      </w:pPr>
      <w:r>
        <w:rPr>
          <w:rFonts w:hint="eastAsia" w:ascii="宋体" w:hAnsi="宋体" w:cs="宋体"/>
          <w:sz w:val="24"/>
          <w:highlight w:val="none"/>
        </w:rPr>
        <w:t>该授权代表无转委托权，特此委托</w:t>
      </w:r>
    </w:p>
    <w:p w14:paraId="43817CF9">
      <w:pPr>
        <w:adjustRightInd w:val="0"/>
        <w:snapToGrid w:val="0"/>
        <w:spacing w:line="312" w:lineRule="auto"/>
        <w:ind w:firstLine="480" w:firstLineChars="200"/>
        <w:rPr>
          <w:rFonts w:hint="eastAsia" w:ascii="宋体" w:hAnsi="宋体" w:cs="宋体"/>
          <w:sz w:val="24"/>
          <w:highlight w:val="none"/>
        </w:rPr>
      </w:pPr>
      <w:r>
        <w:rPr>
          <w:rFonts w:hint="eastAsia" w:ascii="宋体" w:hAnsi="宋体" w:cs="宋体"/>
          <w:sz w:val="24"/>
          <w:highlight w:val="none"/>
        </w:rPr>
        <w:t>附：</w:t>
      </w:r>
    </w:p>
    <w:p w14:paraId="59A428CF">
      <w:pPr>
        <w:adjustRightInd w:val="0"/>
        <w:snapToGrid w:val="0"/>
        <w:spacing w:line="312" w:lineRule="auto"/>
        <w:ind w:firstLine="480" w:firstLineChars="200"/>
        <w:rPr>
          <w:rFonts w:hint="eastAsia" w:ascii="宋体" w:hAnsi="宋体" w:cs="宋体"/>
          <w:sz w:val="24"/>
          <w:highlight w:val="none"/>
        </w:rPr>
      </w:pPr>
      <w:r>
        <w:rPr>
          <w:rFonts w:hint="eastAsia" w:ascii="宋体" w:hAnsi="宋体" w:cs="宋体"/>
          <w:sz w:val="24"/>
          <w:highlight w:val="none"/>
        </w:rPr>
        <w:t>1、委托代理人身份证复印件</w:t>
      </w:r>
    </w:p>
    <w:p w14:paraId="09BE6A90">
      <w:pPr>
        <w:adjustRightInd w:val="0"/>
        <w:snapToGrid w:val="0"/>
        <w:spacing w:line="312" w:lineRule="auto"/>
        <w:ind w:firstLine="482" w:firstLineChars="200"/>
        <w:rPr>
          <w:rFonts w:hint="eastAsia" w:ascii="宋体" w:hAnsi="宋体" w:cs="宋体"/>
          <w:b/>
          <w:bCs/>
          <w:sz w:val="24"/>
          <w:highlight w:val="none"/>
        </w:rPr>
      </w:pPr>
      <w:r>
        <w:rPr>
          <w:rFonts w:hint="eastAsia" w:ascii="宋体" w:hAnsi="宋体" w:cs="宋体"/>
          <w:b/>
          <w:bCs/>
          <w:sz w:val="24"/>
          <w:highlight w:val="none"/>
        </w:rPr>
        <w:t>2、授权代表为投标人在职员工的证明文件（投标人为其缴纳的社保记录或劳务合同等）。</w:t>
      </w:r>
    </w:p>
    <w:p w14:paraId="690AD639">
      <w:pPr>
        <w:adjustRightInd w:val="0"/>
        <w:snapToGrid w:val="0"/>
        <w:spacing w:line="312" w:lineRule="auto"/>
        <w:rPr>
          <w:rFonts w:hint="eastAsia" w:ascii="宋体" w:hAnsi="宋体" w:cs="宋体"/>
          <w:sz w:val="24"/>
          <w:highlight w:val="none"/>
        </w:rPr>
      </w:pPr>
    </w:p>
    <w:p w14:paraId="5FC94696">
      <w:pPr>
        <w:adjustRightInd w:val="0"/>
        <w:snapToGrid w:val="0"/>
        <w:spacing w:line="312" w:lineRule="auto"/>
        <w:rPr>
          <w:rFonts w:hint="eastAsia" w:ascii="宋体" w:hAnsi="宋体" w:cs="宋体"/>
          <w:sz w:val="24"/>
          <w:highlight w:val="none"/>
        </w:rPr>
      </w:pPr>
      <w:r>
        <w:rPr>
          <w:rFonts w:hint="eastAsia" w:ascii="宋体" w:hAnsi="宋体" w:cs="宋体"/>
          <w:sz w:val="24"/>
          <w:highlight w:val="none"/>
        </w:rPr>
        <w:t>投标人：（全称加盖公章）</w:t>
      </w:r>
    </w:p>
    <w:p w14:paraId="47A5C853">
      <w:pPr>
        <w:adjustRightInd w:val="0"/>
        <w:snapToGrid w:val="0"/>
        <w:spacing w:line="312" w:lineRule="auto"/>
        <w:rPr>
          <w:rFonts w:hint="eastAsia" w:ascii="宋体" w:hAnsi="宋体" w:cs="宋体"/>
          <w:sz w:val="24"/>
          <w:highlight w:val="none"/>
        </w:rPr>
      </w:pPr>
      <w:r>
        <w:rPr>
          <w:rFonts w:hint="eastAsia" w:ascii="宋体" w:hAnsi="宋体" w:cs="宋体"/>
          <w:sz w:val="24"/>
          <w:highlight w:val="none"/>
        </w:rPr>
        <w:t>法定代表：（签字或盖章）                        授权代表：（签字或盖章）</w:t>
      </w:r>
    </w:p>
    <w:p w14:paraId="3E02FE35">
      <w:pPr>
        <w:adjustRightInd w:val="0"/>
        <w:snapToGrid w:val="0"/>
        <w:spacing w:line="360" w:lineRule="auto"/>
        <w:ind w:firstLine="5160" w:firstLineChars="2150"/>
        <w:rPr>
          <w:rFonts w:hint="eastAsia" w:ascii="宋体" w:hAnsi="宋体" w:cs="宋体"/>
          <w:sz w:val="24"/>
          <w:highlight w:val="none"/>
        </w:rPr>
      </w:pPr>
      <w:r>
        <w:rPr>
          <w:rFonts w:hint="eastAsia" w:ascii="宋体" w:hAnsi="宋体" w:cs="宋体"/>
          <w:sz w:val="24"/>
          <w:highlight w:val="none"/>
        </w:rPr>
        <w:t>日期：  年  月  日</w:t>
      </w:r>
    </w:p>
    <w:tbl>
      <w:tblPr>
        <w:tblStyle w:val="88"/>
        <w:tblW w:w="9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5"/>
      </w:tblGrid>
      <w:tr w14:paraId="6C247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9" w:hRule="atLeast"/>
          <w:jc w:val="center"/>
        </w:trPr>
        <w:tc>
          <w:tcPr>
            <w:tcW w:w="9425" w:type="dxa"/>
            <w:vAlign w:val="center"/>
          </w:tcPr>
          <w:p w14:paraId="13DEF9DE">
            <w:pPr>
              <w:adjustRightInd w:val="0"/>
              <w:snapToGrid w:val="0"/>
              <w:spacing w:line="360" w:lineRule="auto"/>
              <w:jc w:val="center"/>
              <w:rPr>
                <w:rFonts w:hint="eastAsia" w:ascii="宋体" w:hAnsi="宋体" w:cs="宋体"/>
                <w:highlight w:val="none"/>
              </w:rPr>
            </w:pPr>
            <w:r>
              <w:rPr>
                <w:rFonts w:hint="eastAsia" w:ascii="宋体" w:hAnsi="宋体" w:cs="宋体"/>
                <w:highlight w:val="none"/>
              </w:rPr>
              <w:t>授权代表身份证复印件粘贴处（正、反面）</w:t>
            </w:r>
          </w:p>
        </w:tc>
      </w:tr>
    </w:tbl>
    <w:p w14:paraId="4F3B769D">
      <w:pPr>
        <w:adjustRightInd w:val="0"/>
        <w:snapToGrid w:val="0"/>
        <w:spacing w:line="312" w:lineRule="auto"/>
        <w:rPr>
          <w:rFonts w:hint="eastAsia" w:ascii="宋体" w:hAnsi="宋体" w:cs="宋体"/>
          <w:b/>
          <w:sz w:val="24"/>
          <w:highlight w:val="none"/>
        </w:rPr>
      </w:pPr>
      <w:r>
        <w:rPr>
          <w:rFonts w:hint="eastAsia" w:ascii="宋体" w:hAnsi="宋体" w:cs="宋体"/>
          <w:b/>
          <w:sz w:val="24"/>
          <w:highlight w:val="none"/>
        </w:rPr>
        <w:t>注：如投标文件由授权代表签字或盖章的，投标文件必须附此授权委托书，否则视为无效投标文件。</w:t>
      </w:r>
    </w:p>
    <w:bookmarkEnd w:id="84"/>
    <w:p w14:paraId="37423249">
      <w:pPr>
        <w:pStyle w:val="45"/>
        <w:adjustRightInd w:val="0"/>
        <w:snapToGrid w:val="0"/>
        <w:spacing w:line="360" w:lineRule="auto"/>
        <w:jc w:val="center"/>
        <w:outlineLvl w:val="1"/>
        <w:rPr>
          <w:rFonts w:hint="eastAsia" w:hAnsi="宋体" w:cs="宋体"/>
          <w:b/>
          <w:kern w:val="0"/>
          <w:sz w:val="30"/>
          <w:highlight w:val="none"/>
          <w:lang w:val="zh-CN"/>
        </w:rPr>
      </w:pPr>
      <w:bookmarkStart w:id="90" w:name="_Toc522530054"/>
      <w:bookmarkStart w:id="91" w:name="_Toc354859475"/>
      <w:bookmarkStart w:id="92" w:name="_Toc354859632"/>
      <w:bookmarkStart w:id="93" w:name="_Toc391277571"/>
      <w:bookmarkStart w:id="94" w:name="_Toc354859551"/>
      <w:bookmarkStart w:id="95" w:name="_Toc233618991"/>
    </w:p>
    <w:p w14:paraId="018FFEC7">
      <w:pPr>
        <w:pStyle w:val="45"/>
        <w:adjustRightInd w:val="0"/>
        <w:snapToGrid w:val="0"/>
        <w:spacing w:line="360" w:lineRule="auto"/>
        <w:jc w:val="center"/>
        <w:outlineLvl w:val="1"/>
        <w:rPr>
          <w:rFonts w:hint="eastAsia" w:hAnsi="宋体" w:cs="宋体"/>
          <w:b/>
          <w:kern w:val="0"/>
          <w:sz w:val="30"/>
          <w:highlight w:val="none"/>
          <w:lang w:val="zh-CN"/>
        </w:rPr>
      </w:pPr>
    </w:p>
    <w:p w14:paraId="0C2DCD1F">
      <w:pPr>
        <w:pStyle w:val="45"/>
        <w:adjustRightInd w:val="0"/>
        <w:snapToGrid w:val="0"/>
        <w:spacing w:line="360" w:lineRule="auto"/>
        <w:outlineLvl w:val="1"/>
        <w:rPr>
          <w:rFonts w:hint="eastAsia" w:hAnsi="宋体" w:cs="宋体"/>
          <w:b/>
          <w:kern w:val="0"/>
          <w:sz w:val="30"/>
          <w:highlight w:val="none"/>
          <w:lang w:val="zh-CN"/>
        </w:rPr>
      </w:pPr>
    </w:p>
    <w:p w14:paraId="5422D3E9">
      <w:pPr>
        <w:rPr>
          <w:rFonts w:hint="eastAsia" w:ascii="宋体" w:hAnsi="宋体" w:cs="宋体"/>
          <w:highlight w:val="none"/>
          <w:lang w:val="zh-CN"/>
        </w:rPr>
      </w:pPr>
    </w:p>
    <w:p w14:paraId="57287915">
      <w:pPr>
        <w:pStyle w:val="45"/>
        <w:adjustRightInd w:val="0"/>
        <w:snapToGrid w:val="0"/>
        <w:spacing w:line="360" w:lineRule="auto"/>
        <w:outlineLvl w:val="1"/>
        <w:rPr>
          <w:rFonts w:hint="eastAsia" w:hAnsi="宋体" w:cs="宋体"/>
          <w:b/>
          <w:kern w:val="0"/>
          <w:sz w:val="30"/>
          <w:highlight w:val="none"/>
          <w:lang w:val="zh-CN"/>
        </w:rPr>
      </w:pPr>
    </w:p>
    <w:p w14:paraId="46B9FE49">
      <w:pPr>
        <w:pStyle w:val="45"/>
        <w:adjustRightInd w:val="0"/>
        <w:snapToGrid w:val="0"/>
        <w:spacing w:line="360" w:lineRule="auto"/>
        <w:jc w:val="center"/>
        <w:outlineLvl w:val="1"/>
        <w:rPr>
          <w:rFonts w:hint="eastAsia" w:hAnsi="宋体" w:cs="宋体"/>
          <w:b/>
          <w:kern w:val="0"/>
          <w:sz w:val="30"/>
          <w:highlight w:val="none"/>
          <w:lang w:val="zh-CN"/>
        </w:rPr>
      </w:pPr>
      <w:bookmarkStart w:id="96" w:name="_Toc10253"/>
      <w:r>
        <w:rPr>
          <w:rFonts w:hint="eastAsia" w:hAnsi="宋体" w:cs="宋体"/>
          <w:b/>
          <w:kern w:val="0"/>
          <w:sz w:val="30"/>
          <w:highlight w:val="none"/>
          <w:lang w:val="zh-CN"/>
        </w:rPr>
        <w:t>格式四：以往业绩情况表</w:t>
      </w:r>
      <w:bookmarkEnd w:id="90"/>
      <w:bookmarkEnd w:id="96"/>
    </w:p>
    <w:p w14:paraId="685D0052">
      <w:pPr>
        <w:adjustRightInd w:val="0"/>
        <w:snapToGrid w:val="0"/>
        <w:spacing w:line="360" w:lineRule="auto"/>
        <w:jc w:val="center"/>
        <w:rPr>
          <w:rFonts w:hint="eastAsia" w:ascii="宋体" w:hAnsi="宋体"/>
          <w:b/>
          <w:sz w:val="24"/>
          <w:highlight w:val="none"/>
        </w:rPr>
      </w:pPr>
      <w:bookmarkStart w:id="97" w:name="_Toc522530055"/>
      <w:bookmarkStart w:id="98" w:name="_Toc25910"/>
      <w:r>
        <w:rPr>
          <w:rFonts w:hint="eastAsia" w:ascii="宋体" w:hAnsi="宋体"/>
          <w:b/>
          <w:sz w:val="24"/>
          <w:highlight w:val="none"/>
          <w:u w:val="single"/>
        </w:rPr>
        <w:t xml:space="preserve">     </w:t>
      </w:r>
      <w:r>
        <w:rPr>
          <w:rFonts w:hint="eastAsia" w:ascii="宋体" w:hAnsi="宋体"/>
          <w:b/>
          <w:sz w:val="24"/>
          <w:highlight w:val="none"/>
        </w:rPr>
        <w:t>年</w:t>
      </w:r>
      <w:r>
        <w:rPr>
          <w:rFonts w:hint="eastAsia" w:ascii="宋体" w:hAnsi="宋体"/>
          <w:b/>
          <w:sz w:val="24"/>
          <w:highlight w:val="none"/>
          <w:u w:val="single"/>
        </w:rPr>
        <w:t xml:space="preserve">    </w:t>
      </w:r>
      <w:r>
        <w:rPr>
          <w:rFonts w:hint="eastAsia" w:ascii="宋体" w:hAnsi="宋体"/>
          <w:b/>
          <w:sz w:val="24"/>
          <w:highlight w:val="none"/>
        </w:rPr>
        <w:t xml:space="preserve"> 月</w:t>
      </w:r>
      <w:r>
        <w:rPr>
          <w:rFonts w:hint="eastAsia" w:ascii="宋体" w:hAnsi="宋体"/>
          <w:b/>
          <w:sz w:val="24"/>
          <w:highlight w:val="none"/>
          <w:u w:val="single"/>
        </w:rPr>
        <w:t xml:space="preserve">    </w:t>
      </w:r>
      <w:r>
        <w:rPr>
          <w:rFonts w:hint="eastAsia" w:ascii="宋体" w:hAnsi="宋体"/>
          <w:b/>
          <w:sz w:val="24"/>
          <w:highlight w:val="none"/>
        </w:rPr>
        <w:t xml:space="preserve"> 日以来业绩情况汇总表</w:t>
      </w:r>
    </w:p>
    <w:tbl>
      <w:tblPr>
        <w:tblStyle w:val="88"/>
        <w:tblW w:w="9242"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554"/>
        <w:gridCol w:w="2984"/>
        <w:gridCol w:w="2123"/>
        <w:gridCol w:w="1109"/>
        <w:gridCol w:w="1568"/>
        <w:gridCol w:w="904"/>
      </w:tblGrid>
      <w:tr w14:paraId="4C845B6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54" w:type="dxa"/>
            <w:tcBorders>
              <w:top w:val="single" w:color="auto" w:sz="18" w:space="0"/>
              <w:left w:val="single" w:color="auto" w:sz="18" w:space="0"/>
              <w:bottom w:val="single" w:color="auto" w:sz="4" w:space="0"/>
              <w:right w:val="single" w:color="auto" w:sz="4" w:space="0"/>
            </w:tcBorders>
            <w:vAlign w:val="center"/>
          </w:tcPr>
          <w:p w14:paraId="52E246C5">
            <w:pPr>
              <w:autoSpaceDE w:val="0"/>
              <w:autoSpaceDN w:val="0"/>
              <w:adjustRightInd w:val="0"/>
              <w:jc w:val="center"/>
              <w:rPr>
                <w:rFonts w:hint="eastAsia" w:ascii="宋体" w:hAnsi="宋体" w:cs="宋体"/>
                <w:b/>
                <w:kern w:val="0"/>
                <w:sz w:val="24"/>
                <w:szCs w:val="24"/>
                <w:highlight w:val="none"/>
              </w:rPr>
            </w:pPr>
            <w:r>
              <w:rPr>
                <w:rFonts w:hint="eastAsia" w:ascii="宋体" w:hAnsi="宋体" w:cs="宋体"/>
                <w:b/>
                <w:kern w:val="0"/>
                <w:sz w:val="24"/>
                <w:szCs w:val="24"/>
                <w:highlight w:val="none"/>
              </w:rPr>
              <w:t>序号</w:t>
            </w:r>
          </w:p>
        </w:tc>
        <w:tc>
          <w:tcPr>
            <w:tcW w:w="2984" w:type="dxa"/>
            <w:tcBorders>
              <w:top w:val="single" w:color="auto" w:sz="18" w:space="0"/>
              <w:left w:val="single" w:color="auto" w:sz="4" w:space="0"/>
              <w:bottom w:val="single" w:color="auto" w:sz="4" w:space="0"/>
              <w:right w:val="single" w:color="auto" w:sz="4" w:space="0"/>
            </w:tcBorders>
            <w:vAlign w:val="center"/>
          </w:tcPr>
          <w:p w14:paraId="4DC1CC81">
            <w:pPr>
              <w:autoSpaceDE w:val="0"/>
              <w:autoSpaceDN w:val="0"/>
              <w:adjustRightInd w:val="0"/>
              <w:jc w:val="center"/>
              <w:rPr>
                <w:rFonts w:hint="eastAsia" w:ascii="宋体" w:hAnsi="宋体" w:cs="宋体"/>
                <w:b/>
                <w:kern w:val="0"/>
                <w:sz w:val="24"/>
                <w:szCs w:val="24"/>
                <w:highlight w:val="none"/>
              </w:rPr>
            </w:pPr>
            <w:r>
              <w:rPr>
                <w:rFonts w:hint="eastAsia" w:ascii="宋体" w:hAnsi="宋体" w:cs="宋体"/>
                <w:b/>
                <w:kern w:val="0"/>
                <w:sz w:val="24"/>
                <w:szCs w:val="24"/>
                <w:highlight w:val="none"/>
              </w:rPr>
              <w:t>项目名称</w:t>
            </w:r>
          </w:p>
        </w:tc>
        <w:tc>
          <w:tcPr>
            <w:tcW w:w="2123" w:type="dxa"/>
            <w:tcBorders>
              <w:top w:val="single" w:color="auto" w:sz="18" w:space="0"/>
              <w:left w:val="single" w:color="auto" w:sz="4" w:space="0"/>
              <w:bottom w:val="single" w:color="auto" w:sz="4" w:space="0"/>
              <w:right w:val="single" w:color="auto" w:sz="4" w:space="0"/>
            </w:tcBorders>
            <w:vAlign w:val="center"/>
          </w:tcPr>
          <w:p w14:paraId="1ECF6202">
            <w:pPr>
              <w:autoSpaceDE w:val="0"/>
              <w:autoSpaceDN w:val="0"/>
              <w:adjustRightInd w:val="0"/>
              <w:jc w:val="center"/>
              <w:rPr>
                <w:rFonts w:hint="eastAsia" w:ascii="宋体" w:hAnsi="宋体" w:cs="宋体"/>
                <w:b/>
                <w:kern w:val="0"/>
                <w:sz w:val="24"/>
                <w:szCs w:val="24"/>
                <w:highlight w:val="none"/>
              </w:rPr>
            </w:pPr>
            <w:r>
              <w:rPr>
                <w:rFonts w:hint="eastAsia" w:ascii="宋体" w:hAnsi="宋体" w:cs="宋体"/>
                <w:b/>
                <w:sz w:val="24"/>
                <w:szCs w:val="24"/>
                <w:highlight w:val="none"/>
              </w:rPr>
              <w:t>合同内容</w:t>
            </w:r>
          </w:p>
        </w:tc>
        <w:tc>
          <w:tcPr>
            <w:tcW w:w="1109" w:type="dxa"/>
            <w:tcBorders>
              <w:top w:val="single" w:color="auto" w:sz="18" w:space="0"/>
              <w:left w:val="single" w:color="auto" w:sz="4" w:space="0"/>
              <w:bottom w:val="single" w:color="auto" w:sz="4" w:space="0"/>
              <w:right w:val="single" w:color="auto" w:sz="4" w:space="0"/>
            </w:tcBorders>
            <w:vAlign w:val="center"/>
          </w:tcPr>
          <w:p w14:paraId="14EFA4D8">
            <w:pPr>
              <w:autoSpaceDE w:val="0"/>
              <w:autoSpaceDN w:val="0"/>
              <w:adjustRightInd w:val="0"/>
              <w:jc w:val="center"/>
              <w:rPr>
                <w:rFonts w:hint="eastAsia" w:ascii="宋体" w:hAnsi="宋体" w:cs="宋体"/>
                <w:b/>
                <w:kern w:val="0"/>
                <w:sz w:val="24"/>
                <w:szCs w:val="24"/>
                <w:highlight w:val="none"/>
              </w:rPr>
            </w:pPr>
            <w:r>
              <w:rPr>
                <w:rFonts w:hint="eastAsia" w:ascii="宋体" w:hAnsi="宋体" w:cs="宋体"/>
                <w:b/>
                <w:kern w:val="0"/>
                <w:sz w:val="24"/>
                <w:szCs w:val="24"/>
                <w:highlight w:val="none"/>
              </w:rPr>
              <w:t>合同价</w:t>
            </w:r>
          </w:p>
        </w:tc>
        <w:tc>
          <w:tcPr>
            <w:tcW w:w="1568" w:type="dxa"/>
            <w:tcBorders>
              <w:top w:val="single" w:color="auto" w:sz="18" w:space="0"/>
              <w:left w:val="single" w:color="auto" w:sz="4" w:space="0"/>
              <w:bottom w:val="single" w:color="auto" w:sz="4" w:space="0"/>
              <w:right w:val="single" w:color="auto" w:sz="4" w:space="0"/>
            </w:tcBorders>
            <w:vAlign w:val="center"/>
          </w:tcPr>
          <w:p w14:paraId="4893BC33">
            <w:pPr>
              <w:autoSpaceDE w:val="0"/>
              <w:autoSpaceDN w:val="0"/>
              <w:adjustRightInd w:val="0"/>
              <w:jc w:val="center"/>
              <w:rPr>
                <w:rFonts w:hint="eastAsia" w:ascii="宋体" w:hAnsi="宋体" w:cs="宋体"/>
                <w:b/>
                <w:kern w:val="0"/>
                <w:sz w:val="24"/>
                <w:szCs w:val="24"/>
                <w:highlight w:val="none"/>
              </w:rPr>
            </w:pPr>
            <w:r>
              <w:rPr>
                <w:rFonts w:hint="eastAsia" w:ascii="宋体" w:hAnsi="宋体" w:cs="宋体"/>
                <w:b/>
                <w:kern w:val="0"/>
                <w:sz w:val="24"/>
                <w:szCs w:val="24"/>
                <w:highlight w:val="none"/>
              </w:rPr>
              <w:t>合同签订日期</w:t>
            </w:r>
          </w:p>
        </w:tc>
        <w:tc>
          <w:tcPr>
            <w:tcW w:w="904" w:type="dxa"/>
            <w:tcBorders>
              <w:top w:val="single" w:color="auto" w:sz="18" w:space="0"/>
              <w:left w:val="single" w:color="auto" w:sz="4" w:space="0"/>
              <w:bottom w:val="single" w:color="auto" w:sz="4" w:space="0"/>
              <w:right w:val="single" w:color="auto" w:sz="18" w:space="0"/>
            </w:tcBorders>
            <w:vAlign w:val="center"/>
          </w:tcPr>
          <w:p w14:paraId="66A7C02D">
            <w:pPr>
              <w:autoSpaceDE w:val="0"/>
              <w:autoSpaceDN w:val="0"/>
              <w:adjustRightInd w:val="0"/>
              <w:jc w:val="center"/>
              <w:rPr>
                <w:rFonts w:hint="eastAsia" w:ascii="宋体" w:hAnsi="宋体" w:cs="宋体"/>
                <w:b/>
                <w:kern w:val="0"/>
                <w:sz w:val="24"/>
                <w:szCs w:val="24"/>
                <w:highlight w:val="none"/>
              </w:rPr>
            </w:pPr>
            <w:r>
              <w:rPr>
                <w:rFonts w:hint="eastAsia" w:ascii="宋体" w:hAnsi="宋体" w:cs="宋体"/>
                <w:b/>
                <w:kern w:val="0"/>
                <w:sz w:val="24"/>
                <w:szCs w:val="24"/>
                <w:highlight w:val="none"/>
              </w:rPr>
              <w:t>备注</w:t>
            </w:r>
          </w:p>
        </w:tc>
      </w:tr>
      <w:tr w14:paraId="5BA4450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54" w:type="dxa"/>
            <w:tcBorders>
              <w:top w:val="single" w:color="auto" w:sz="4" w:space="0"/>
              <w:left w:val="single" w:color="auto" w:sz="18" w:space="0"/>
              <w:bottom w:val="single" w:color="auto" w:sz="4" w:space="0"/>
              <w:right w:val="single" w:color="auto" w:sz="4" w:space="0"/>
            </w:tcBorders>
            <w:vAlign w:val="center"/>
          </w:tcPr>
          <w:p w14:paraId="0CB3958D">
            <w:pPr>
              <w:autoSpaceDE w:val="0"/>
              <w:autoSpaceDN w:val="0"/>
              <w:adjustRightInd w:val="0"/>
              <w:jc w:val="center"/>
              <w:rPr>
                <w:rFonts w:hint="eastAsia" w:ascii="宋体" w:hAnsi="宋体" w:cs="宋体"/>
                <w:kern w:val="0"/>
                <w:sz w:val="24"/>
                <w:szCs w:val="24"/>
                <w:highlight w:val="none"/>
              </w:rPr>
            </w:pPr>
            <w:r>
              <w:rPr>
                <w:rFonts w:hint="eastAsia" w:ascii="宋体" w:hAnsi="宋体" w:cs="宋体"/>
                <w:kern w:val="0"/>
                <w:sz w:val="24"/>
                <w:szCs w:val="24"/>
                <w:highlight w:val="none"/>
              </w:rPr>
              <w:t>1</w:t>
            </w:r>
          </w:p>
        </w:tc>
        <w:tc>
          <w:tcPr>
            <w:tcW w:w="2984" w:type="dxa"/>
            <w:tcBorders>
              <w:top w:val="single" w:color="auto" w:sz="4" w:space="0"/>
              <w:left w:val="single" w:color="auto" w:sz="4" w:space="0"/>
              <w:bottom w:val="single" w:color="auto" w:sz="4" w:space="0"/>
              <w:right w:val="single" w:color="auto" w:sz="4" w:space="0"/>
            </w:tcBorders>
            <w:vAlign w:val="center"/>
          </w:tcPr>
          <w:p w14:paraId="607D03DC">
            <w:pPr>
              <w:autoSpaceDE w:val="0"/>
              <w:autoSpaceDN w:val="0"/>
              <w:adjustRightInd w:val="0"/>
              <w:rPr>
                <w:rFonts w:hint="eastAsia" w:ascii="宋体" w:hAnsi="宋体" w:cs="宋体"/>
                <w:kern w:val="0"/>
                <w:sz w:val="24"/>
                <w:szCs w:val="24"/>
                <w:highlight w:val="none"/>
              </w:rPr>
            </w:pPr>
          </w:p>
        </w:tc>
        <w:tc>
          <w:tcPr>
            <w:tcW w:w="2123" w:type="dxa"/>
            <w:tcBorders>
              <w:top w:val="single" w:color="auto" w:sz="4" w:space="0"/>
              <w:left w:val="single" w:color="auto" w:sz="4" w:space="0"/>
              <w:bottom w:val="single" w:color="auto" w:sz="4" w:space="0"/>
              <w:right w:val="single" w:color="auto" w:sz="4" w:space="0"/>
            </w:tcBorders>
            <w:vAlign w:val="center"/>
          </w:tcPr>
          <w:p w14:paraId="3709ED42">
            <w:pPr>
              <w:autoSpaceDE w:val="0"/>
              <w:autoSpaceDN w:val="0"/>
              <w:adjustRightInd w:val="0"/>
              <w:rPr>
                <w:rFonts w:hint="eastAsia" w:ascii="宋体" w:hAnsi="宋体" w:cs="宋体"/>
                <w:kern w:val="0"/>
                <w:sz w:val="24"/>
                <w:szCs w:val="24"/>
                <w:highlight w:val="none"/>
              </w:rPr>
            </w:pPr>
          </w:p>
        </w:tc>
        <w:tc>
          <w:tcPr>
            <w:tcW w:w="1109" w:type="dxa"/>
            <w:tcBorders>
              <w:top w:val="single" w:color="auto" w:sz="4" w:space="0"/>
              <w:left w:val="single" w:color="auto" w:sz="4" w:space="0"/>
              <w:bottom w:val="single" w:color="auto" w:sz="4" w:space="0"/>
              <w:right w:val="single" w:color="auto" w:sz="4" w:space="0"/>
            </w:tcBorders>
            <w:vAlign w:val="center"/>
          </w:tcPr>
          <w:p w14:paraId="12DFCAC1">
            <w:pPr>
              <w:autoSpaceDE w:val="0"/>
              <w:autoSpaceDN w:val="0"/>
              <w:adjustRightInd w:val="0"/>
              <w:rPr>
                <w:rFonts w:hint="eastAsia" w:ascii="宋体" w:hAnsi="宋体" w:cs="宋体"/>
                <w:kern w:val="0"/>
                <w:sz w:val="24"/>
                <w:szCs w:val="24"/>
                <w:highlight w:val="none"/>
              </w:rPr>
            </w:pPr>
          </w:p>
        </w:tc>
        <w:tc>
          <w:tcPr>
            <w:tcW w:w="1568" w:type="dxa"/>
            <w:tcBorders>
              <w:top w:val="single" w:color="auto" w:sz="4" w:space="0"/>
              <w:left w:val="single" w:color="auto" w:sz="4" w:space="0"/>
              <w:bottom w:val="single" w:color="auto" w:sz="4" w:space="0"/>
              <w:right w:val="single" w:color="auto" w:sz="4" w:space="0"/>
            </w:tcBorders>
            <w:vAlign w:val="center"/>
          </w:tcPr>
          <w:p w14:paraId="2E72166C">
            <w:pPr>
              <w:autoSpaceDE w:val="0"/>
              <w:autoSpaceDN w:val="0"/>
              <w:adjustRightInd w:val="0"/>
              <w:rPr>
                <w:rFonts w:hint="eastAsia" w:ascii="宋体" w:hAnsi="宋体" w:cs="宋体"/>
                <w:kern w:val="0"/>
                <w:sz w:val="24"/>
                <w:szCs w:val="24"/>
                <w:highlight w:val="none"/>
              </w:rPr>
            </w:pPr>
          </w:p>
        </w:tc>
        <w:tc>
          <w:tcPr>
            <w:tcW w:w="904" w:type="dxa"/>
            <w:tcBorders>
              <w:top w:val="single" w:color="auto" w:sz="4" w:space="0"/>
              <w:left w:val="single" w:color="auto" w:sz="4" w:space="0"/>
              <w:bottom w:val="single" w:color="auto" w:sz="4" w:space="0"/>
              <w:right w:val="single" w:color="auto" w:sz="18" w:space="0"/>
            </w:tcBorders>
            <w:vAlign w:val="center"/>
          </w:tcPr>
          <w:p w14:paraId="69D2EB93">
            <w:pPr>
              <w:autoSpaceDE w:val="0"/>
              <w:autoSpaceDN w:val="0"/>
              <w:adjustRightInd w:val="0"/>
              <w:rPr>
                <w:rFonts w:hint="eastAsia" w:ascii="宋体" w:hAnsi="宋体" w:cs="宋体"/>
                <w:kern w:val="0"/>
                <w:sz w:val="24"/>
                <w:szCs w:val="24"/>
                <w:highlight w:val="none"/>
              </w:rPr>
            </w:pPr>
          </w:p>
        </w:tc>
      </w:tr>
      <w:tr w14:paraId="5F27CF9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54" w:type="dxa"/>
            <w:tcBorders>
              <w:top w:val="single" w:color="auto" w:sz="4" w:space="0"/>
              <w:left w:val="single" w:color="auto" w:sz="18" w:space="0"/>
              <w:bottom w:val="single" w:color="auto" w:sz="4" w:space="0"/>
              <w:right w:val="single" w:color="auto" w:sz="4" w:space="0"/>
            </w:tcBorders>
            <w:vAlign w:val="center"/>
          </w:tcPr>
          <w:p w14:paraId="47F953EB">
            <w:pPr>
              <w:autoSpaceDE w:val="0"/>
              <w:autoSpaceDN w:val="0"/>
              <w:adjustRightInd w:val="0"/>
              <w:jc w:val="center"/>
              <w:rPr>
                <w:rFonts w:hint="eastAsia" w:ascii="宋体" w:hAnsi="宋体" w:cs="宋体"/>
                <w:kern w:val="0"/>
                <w:sz w:val="24"/>
                <w:szCs w:val="24"/>
                <w:highlight w:val="none"/>
              </w:rPr>
            </w:pPr>
            <w:r>
              <w:rPr>
                <w:rFonts w:hint="eastAsia" w:ascii="宋体" w:hAnsi="宋体" w:cs="宋体"/>
                <w:kern w:val="0"/>
                <w:sz w:val="24"/>
                <w:szCs w:val="24"/>
                <w:highlight w:val="none"/>
              </w:rPr>
              <w:t>2</w:t>
            </w:r>
          </w:p>
        </w:tc>
        <w:tc>
          <w:tcPr>
            <w:tcW w:w="2984" w:type="dxa"/>
            <w:tcBorders>
              <w:top w:val="single" w:color="auto" w:sz="4" w:space="0"/>
              <w:left w:val="single" w:color="auto" w:sz="4" w:space="0"/>
              <w:bottom w:val="single" w:color="auto" w:sz="4" w:space="0"/>
              <w:right w:val="single" w:color="auto" w:sz="4" w:space="0"/>
            </w:tcBorders>
            <w:vAlign w:val="center"/>
          </w:tcPr>
          <w:p w14:paraId="43153C8E">
            <w:pPr>
              <w:autoSpaceDE w:val="0"/>
              <w:autoSpaceDN w:val="0"/>
              <w:adjustRightInd w:val="0"/>
              <w:rPr>
                <w:rFonts w:hint="eastAsia" w:ascii="宋体" w:hAnsi="宋体" w:cs="宋体"/>
                <w:kern w:val="0"/>
                <w:sz w:val="24"/>
                <w:szCs w:val="24"/>
                <w:highlight w:val="none"/>
              </w:rPr>
            </w:pPr>
          </w:p>
        </w:tc>
        <w:tc>
          <w:tcPr>
            <w:tcW w:w="2123" w:type="dxa"/>
            <w:tcBorders>
              <w:top w:val="single" w:color="auto" w:sz="4" w:space="0"/>
              <w:left w:val="single" w:color="auto" w:sz="4" w:space="0"/>
              <w:bottom w:val="single" w:color="auto" w:sz="4" w:space="0"/>
              <w:right w:val="single" w:color="auto" w:sz="4" w:space="0"/>
            </w:tcBorders>
            <w:vAlign w:val="center"/>
          </w:tcPr>
          <w:p w14:paraId="20C0F9CA">
            <w:pPr>
              <w:autoSpaceDE w:val="0"/>
              <w:autoSpaceDN w:val="0"/>
              <w:adjustRightInd w:val="0"/>
              <w:rPr>
                <w:rFonts w:hint="eastAsia" w:ascii="宋体" w:hAnsi="宋体" w:cs="宋体"/>
                <w:kern w:val="0"/>
                <w:sz w:val="24"/>
                <w:szCs w:val="24"/>
                <w:highlight w:val="none"/>
              </w:rPr>
            </w:pPr>
          </w:p>
        </w:tc>
        <w:tc>
          <w:tcPr>
            <w:tcW w:w="1109" w:type="dxa"/>
            <w:tcBorders>
              <w:top w:val="single" w:color="auto" w:sz="4" w:space="0"/>
              <w:left w:val="single" w:color="auto" w:sz="4" w:space="0"/>
              <w:bottom w:val="single" w:color="auto" w:sz="4" w:space="0"/>
              <w:right w:val="single" w:color="auto" w:sz="4" w:space="0"/>
            </w:tcBorders>
            <w:vAlign w:val="center"/>
          </w:tcPr>
          <w:p w14:paraId="263B8AEF">
            <w:pPr>
              <w:autoSpaceDE w:val="0"/>
              <w:autoSpaceDN w:val="0"/>
              <w:adjustRightInd w:val="0"/>
              <w:rPr>
                <w:rFonts w:hint="eastAsia" w:ascii="宋体" w:hAnsi="宋体" w:cs="宋体"/>
                <w:kern w:val="0"/>
                <w:sz w:val="24"/>
                <w:szCs w:val="24"/>
                <w:highlight w:val="none"/>
              </w:rPr>
            </w:pPr>
          </w:p>
        </w:tc>
        <w:tc>
          <w:tcPr>
            <w:tcW w:w="1568" w:type="dxa"/>
            <w:tcBorders>
              <w:top w:val="single" w:color="auto" w:sz="4" w:space="0"/>
              <w:left w:val="single" w:color="auto" w:sz="4" w:space="0"/>
              <w:bottom w:val="single" w:color="auto" w:sz="4" w:space="0"/>
              <w:right w:val="single" w:color="auto" w:sz="4" w:space="0"/>
            </w:tcBorders>
            <w:vAlign w:val="center"/>
          </w:tcPr>
          <w:p w14:paraId="554DB06A">
            <w:pPr>
              <w:autoSpaceDE w:val="0"/>
              <w:autoSpaceDN w:val="0"/>
              <w:adjustRightInd w:val="0"/>
              <w:rPr>
                <w:rFonts w:hint="eastAsia" w:ascii="宋体" w:hAnsi="宋体" w:cs="宋体"/>
                <w:kern w:val="0"/>
                <w:sz w:val="24"/>
                <w:szCs w:val="24"/>
                <w:highlight w:val="none"/>
              </w:rPr>
            </w:pPr>
          </w:p>
        </w:tc>
        <w:tc>
          <w:tcPr>
            <w:tcW w:w="904" w:type="dxa"/>
            <w:tcBorders>
              <w:top w:val="single" w:color="auto" w:sz="4" w:space="0"/>
              <w:left w:val="single" w:color="auto" w:sz="4" w:space="0"/>
              <w:bottom w:val="single" w:color="auto" w:sz="4" w:space="0"/>
              <w:right w:val="single" w:color="auto" w:sz="18" w:space="0"/>
            </w:tcBorders>
            <w:vAlign w:val="center"/>
          </w:tcPr>
          <w:p w14:paraId="2075B830">
            <w:pPr>
              <w:autoSpaceDE w:val="0"/>
              <w:autoSpaceDN w:val="0"/>
              <w:adjustRightInd w:val="0"/>
              <w:rPr>
                <w:rFonts w:hint="eastAsia" w:ascii="宋体" w:hAnsi="宋体" w:cs="宋体"/>
                <w:kern w:val="0"/>
                <w:sz w:val="24"/>
                <w:szCs w:val="24"/>
                <w:highlight w:val="none"/>
              </w:rPr>
            </w:pPr>
          </w:p>
        </w:tc>
      </w:tr>
      <w:tr w14:paraId="5CBE147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54" w:type="dxa"/>
            <w:tcBorders>
              <w:top w:val="single" w:color="auto" w:sz="4" w:space="0"/>
              <w:left w:val="single" w:color="auto" w:sz="18" w:space="0"/>
              <w:bottom w:val="single" w:color="auto" w:sz="4" w:space="0"/>
              <w:right w:val="single" w:color="auto" w:sz="4" w:space="0"/>
            </w:tcBorders>
            <w:vAlign w:val="center"/>
          </w:tcPr>
          <w:p w14:paraId="1552EE7B">
            <w:pPr>
              <w:autoSpaceDE w:val="0"/>
              <w:autoSpaceDN w:val="0"/>
              <w:adjustRightInd w:val="0"/>
              <w:jc w:val="center"/>
              <w:rPr>
                <w:rFonts w:hint="eastAsia" w:ascii="宋体" w:hAnsi="宋体" w:cs="宋体"/>
                <w:kern w:val="0"/>
                <w:sz w:val="24"/>
                <w:szCs w:val="24"/>
                <w:highlight w:val="none"/>
              </w:rPr>
            </w:pPr>
            <w:r>
              <w:rPr>
                <w:rFonts w:hint="eastAsia" w:ascii="宋体" w:hAnsi="宋体" w:cs="宋体"/>
                <w:kern w:val="0"/>
                <w:sz w:val="24"/>
                <w:szCs w:val="24"/>
                <w:highlight w:val="none"/>
              </w:rPr>
              <w:t>3</w:t>
            </w:r>
          </w:p>
        </w:tc>
        <w:tc>
          <w:tcPr>
            <w:tcW w:w="2984" w:type="dxa"/>
            <w:tcBorders>
              <w:top w:val="single" w:color="auto" w:sz="4" w:space="0"/>
              <w:left w:val="single" w:color="auto" w:sz="4" w:space="0"/>
              <w:bottom w:val="single" w:color="auto" w:sz="4" w:space="0"/>
              <w:right w:val="single" w:color="auto" w:sz="4" w:space="0"/>
            </w:tcBorders>
            <w:vAlign w:val="center"/>
          </w:tcPr>
          <w:p w14:paraId="2993A161">
            <w:pPr>
              <w:autoSpaceDE w:val="0"/>
              <w:autoSpaceDN w:val="0"/>
              <w:adjustRightInd w:val="0"/>
              <w:rPr>
                <w:rFonts w:hint="eastAsia" w:ascii="宋体" w:hAnsi="宋体" w:cs="宋体"/>
                <w:kern w:val="0"/>
                <w:sz w:val="24"/>
                <w:szCs w:val="24"/>
                <w:highlight w:val="none"/>
              </w:rPr>
            </w:pPr>
          </w:p>
        </w:tc>
        <w:tc>
          <w:tcPr>
            <w:tcW w:w="2123" w:type="dxa"/>
            <w:tcBorders>
              <w:top w:val="single" w:color="auto" w:sz="4" w:space="0"/>
              <w:left w:val="single" w:color="auto" w:sz="4" w:space="0"/>
              <w:bottom w:val="single" w:color="auto" w:sz="4" w:space="0"/>
              <w:right w:val="single" w:color="auto" w:sz="4" w:space="0"/>
            </w:tcBorders>
            <w:vAlign w:val="center"/>
          </w:tcPr>
          <w:p w14:paraId="1FA2BEA9">
            <w:pPr>
              <w:autoSpaceDE w:val="0"/>
              <w:autoSpaceDN w:val="0"/>
              <w:adjustRightInd w:val="0"/>
              <w:rPr>
                <w:rFonts w:hint="eastAsia" w:ascii="宋体" w:hAnsi="宋体" w:cs="宋体"/>
                <w:kern w:val="0"/>
                <w:sz w:val="24"/>
                <w:szCs w:val="24"/>
                <w:highlight w:val="none"/>
              </w:rPr>
            </w:pPr>
          </w:p>
        </w:tc>
        <w:tc>
          <w:tcPr>
            <w:tcW w:w="1109" w:type="dxa"/>
            <w:tcBorders>
              <w:top w:val="single" w:color="auto" w:sz="4" w:space="0"/>
              <w:left w:val="single" w:color="auto" w:sz="4" w:space="0"/>
              <w:bottom w:val="single" w:color="auto" w:sz="4" w:space="0"/>
              <w:right w:val="single" w:color="auto" w:sz="4" w:space="0"/>
            </w:tcBorders>
            <w:vAlign w:val="center"/>
          </w:tcPr>
          <w:p w14:paraId="41792A9E">
            <w:pPr>
              <w:autoSpaceDE w:val="0"/>
              <w:autoSpaceDN w:val="0"/>
              <w:adjustRightInd w:val="0"/>
              <w:rPr>
                <w:rFonts w:hint="eastAsia" w:ascii="宋体" w:hAnsi="宋体" w:cs="宋体"/>
                <w:kern w:val="0"/>
                <w:sz w:val="24"/>
                <w:szCs w:val="24"/>
                <w:highlight w:val="none"/>
              </w:rPr>
            </w:pPr>
          </w:p>
        </w:tc>
        <w:tc>
          <w:tcPr>
            <w:tcW w:w="1568" w:type="dxa"/>
            <w:tcBorders>
              <w:top w:val="single" w:color="auto" w:sz="4" w:space="0"/>
              <w:left w:val="single" w:color="auto" w:sz="4" w:space="0"/>
              <w:bottom w:val="single" w:color="auto" w:sz="4" w:space="0"/>
              <w:right w:val="single" w:color="auto" w:sz="4" w:space="0"/>
            </w:tcBorders>
            <w:vAlign w:val="center"/>
          </w:tcPr>
          <w:p w14:paraId="6064C557">
            <w:pPr>
              <w:autoSpaceDE w:val="0"/>
              <w:autoSpaceDN w:val="0"/>
              <w:adjustRightInd w:val="0"/>
              <w:rPr>
                <w:rFonts w:hint="eastAsia" w:ascii="宋体" w:hAnsi="宋体" w:cs="宋体"/>
                <w:kern w:val="0"/>
                <w:sz w:val="24"/>
                <w:szCs w:val="24"/>
                <w:highlight w:val="none"/>
              </w:rPr>
            </w:pPr>
          </w:p>
        </w:tc>
        <w:tc>
          <w:tcPr>
            <w:tcW w:w="904" w:type="dxa"/>
            <w:tcBorders>
              <w:top w:val="single" w:color="auto" w:sz="4" w:space="0"/>
              <w:left w:val="single" w:color="auto" w:sz="4" w:space="0"/>
              <w:bottom w:val="single" w:color="auto" w:sz="4" w:space="0"/>
              <w:right w:val="single" w:color="auto" w:sz="18" w:space="0"/>
            </w:tcBorders>
            <w:vAlign w:val="center"/>
          </w:tcPr>
          <w:p w14:paraId="14F3818F">
            <w:pPr>
              <w:autoSpaceDE w:val="0"/>
              <w:autoSpaceDN w:val="0"/>
              <w:adjustRightInd w:val="0"/>
              <w:rPr>
                <w:rFonts w:hint="eastAsia" w:ascii="宋体" w:hAnsi="宋体" w:cs="宋体"/>
                <w:kern w:val="0"/>
                <w:sz w:val="24"/>
                <w:szCs w:val="24"/>
                <w:highlight w:val="none"/>
              </w:rPr>
            </w:pPr>
          </w:p>
        </w:tc>
      </w:tr>
      <w:tr w14:paraId="286DB83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54" w:type="dxa"/>
            <w:tcBorders>
              <w:top w:val="single" w:color="auto" w:sz="4" w:space="0"/>
              <w:left w:val="single" w:color="auto" w:sz="18" w:space="0"/>
              <w:bottom w:val="single" w:color="auto" w:sz="4" w:space="0"/>
              <w:right w:val="single" w:color="auto" w:sz="4" w:space="0"/>
            </w:tcBorders>
            <w:vAlign w:val="center"/>
          </w:tcPr>
          <w:p w14:paraId="03238740">
            <w:pPr>
              <w:autoSpaceDE w:val="0"/>
              <w:autoSpaceDN w:val="0"/>
              <w:adjustRightInd w:val="0"/>
              <w:jc w:val="center"/>
              <w:rPr>
                <w:rFonts w:hint="eastAsia" w:ascii="宋体" w:hAnsi="宋体" w:cs="宋体"/>
                <w:kern w:val="0"/>
                <w:sz w:val="24"/>
                <w:szCs w:val="24"/>
                <w:highlight w:val="none"/>
              </w:rPr>
            </w:pPr>
            <w:r>
              <w:rPr>
                <w:rFonts w:hint="eastAsia" w:ascii="宋体" w:hAnsi="宋体" w:cs="宋体"/>
                <w:kern w:val="0"/>
                <w:sz w:val="24"/>
                <w:szCs w:val="24"/>
                <w:highlight w:val="none"/>
              </w:rPr>
              <w:t>…</w:t>
            </w:r>
          </w:p>
        </w:tc>
        <w:tc>
          <w:tcPr>
            <w:tcW w:w="2984" w:type="dxa"/>
            <w:tcBorders>
              <w:top w:val="single" w:color="auto" w:sz="4" w:space="0"/>
              <w:left w:val="single" w:color="auto" w:sz="4" w:space="0"/>
              <w:bottom w:val="single" w:color="auto" w:sz="4" w:space="0"/>
              <w:right w:val="single" w:color="auto" w:sz="4" w:space="0"/>
            </w:tcBorders>
            <w:vAlign w:val="center"/>
          </w:tcPr>
          <w:p w14:paraId="05086551">
            <w:pPr>
              <w:autoSpaceDE w:val="0"/>
              <w:autoSpaceDN w:val="0"/>
              <w:adjustRightInd w:val="0"/>
              <w:rPr>
                <w:rFonts w:hint="eastAsia" w:ascii="宋体" w:hAnsi="宋体" w:cs="宋体"/>
                <w:kern w:val="0"/>
                <w:sz w:val="24"/>
                <w:szCs w:val="24"/>
                <w:highlight w:val="none"/>
              </w:rPr>
            </w:pPr>
          </w:p>
        </w:tc>
        <w:tc>
          <w:tcPr>
            <w:tcW w:w="2123" w:type="dxa"/>
            <w:tcBorders>
              <w:top w:val="single" w:color="auto" w:sz="4" w:space="0"/>
              <w:left w:val="single" w:color="auto" w:sz="4" w:space="0"/>
              <w:bottom w:val="single" w:color="auto" w:sz="4" w:space="0"/>
              <w:right w:val="single" w:color="auto" w:sz="4" w:space="0"/>
            </w:tcBorders>
            <w:vAlign w:val="center"/>
          </w:tcPr>
          <w:p w14:paraId="2E237759">
            <w:pPr>
              <w:autoSpaceDE w:val="0"/>
              <w:autoSpaceDN w:val="0"/>
              <w:adjustRightInd w:val="0"/>
              <w:rPr>
                <w:rFonts w:hint="eastAsia" w:ascii="宋体" w:hAnsi="宋体" w:cs="宋体"/>
                <w:kern w:val="0"/>
                <w:sz w:val="24"/>
                <w:szCs w:val="24"/>
                <w:highlight w:val="none"/>
              </w:rPr>
            </w:pPr>
          </w:p>
        </w:tc>
        <w:tc>
          <w:tcPr>
            <w:tcW w:w="1109" w:type="dxa"/>
            <w:tcBorders>
              <w:top w:val="single" w:color="auto" w:sz="4" w:space="0"/>
              <w:left w:val="single" w:color="auto" w:sz="4" w:space="0"/>
              <w:bottom w:val="single" w:color="auto" w:sz="4" w:space="0"/>
              <w:right w:val="single" w:color="auto" w:sz="4" w:space="0"/>
            </w:tcBorders>
            <w:vAlign w:val="center"/>
          </w:tcPr>
          <w:p w14:paraId="21A64E2B">
            <w:pPr>
              <w:autoSpaceDE w:val="0"/>
              <w:autoSpaceDN w:val="0"/>
              <w:adjustRightInd w:val="0"/>
              <w:rPr>
                <w:rFonts w:hint="eastAsia" w:ascii="宋体" w:hAnsi="宋体" w:cs="宋体"/>
                <w:kern w:val="0"/>
                <w:sz w:val="24"/>
                <w:szCs w:val="24"/>
                <w:highlight w:val="none"/>
              </w:rPr>
            </w:pPr>
          </w:p>
        </w:tc>
        <w:tc>
          <w:tcPr>
            <w:tcW w:w="1568" w:type="dxa"/>
            <w:tcBorders>
              <w:top w:val="single" w:color="auto" w:sz="4" w:space="0"/>
              <w:left w:val="single" w:color="auto" w:sz="4" w:space="0"/>
              <w:bottom w:val="single" w:color="auto" w:sz="4" w:space="0"/>
              <w:right w:val="single" w:color="auto" w:sz="4" w:space="0"/>
            </w:tcBorders>
            <w:vAlign w:val="center"/>
          </w:tcPr>
          <w:p w14:paraId="04117EBC">
            <w:pPr>
              <w:autoSpaceDE w:val="0"/>
              <w:autoSpaceDN w:val="0"/>
              <w:adjustRightInd w:val="0"/>
              <w:rPr>
                <w:rFonts w:hint="eastAsia" w:ascii="宋体" w:hAnsi="宋体" w:cs="宋体"/>
                <w:kern w:val="0"/>
                <w:sz w:val="24"/>
                <w:szCs w:val="24"/>
                <w:highlight w:val="none"/>
              </w:rPr>
            </w:pPr>
          </w:p>
        </w:tc>
        <w:tc>
          <w:tcPr>
            <w:tcW w:w="904" w:type="dxa"/>
            <w:tcBorders>
              <w:top w:val="single" w:color="auto" w:sz="4" w:space="0"/>
              <w:left w:val="single" w:color="auto" w:sz="4" w:space="0"/>
              <w:bottom w:val="single" w:color="auto" w:sz="4" w:space="0"/>
              <w:right w:val="single" w:color="auto" w:sz="18" w:space="0"/>
            </w:tcBorders>
            <w:vAlign w:val="center"/>
          </w:tcPr>
          <w:p w14:paraId="2E37A97C">
            <w:pPr>
              <w:autoSpaceDE w:val="0"/>
              <w:autoSpaceDN w:val="0"/>
              <w:adjustRightInd w:val="0"/>
              <w:rPr>
                <w:rFonts w:hint="eastAsia" w:ascii="宋体" w:hAnsi="宋体" w:cs="宋体"/>
                <w:kern w:val="0"/>
                <w:sz w:val="24"/>
                <w:szCs w:val="24"/>
                <w:highlight w:val="none"/>
              </w:rPr>
            </w:pPr>
          </w:p>
        </w:tc>
      </w:tr>
      <w:tr w14:paraId="44B9D4B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54" w:type="dxa"/>
            <w:tcBorders>
              <w:top w:val="single" w:color="auto" w:sz="4" w:space="0"/>
              <w:left w:val="single" w:color="auto" w:sz="18" w:space="0"/>
              <w:bottom w:val="single" w:color="auto" w:sz="4" w:space="0"/>
              <w:right w:val="single" w:color="auto" w:sz="4" w:space="0"/>
            </w:tcBorders>
            <w:vAlign w:val="center"/>
          </w:tcPr>
          <w:p w14:paraId="14405CED">
            <w:pPr>
              <w:autoSpaceDE w:val="0"/>
              <w:autoSpaceDN w:val="0"/>
              <w:adjustRightInd w:val="0"/>
              <w:jc w:val="center"/>
              <w:rPr>
                <w:rFonts w:hint="eastAsia" w:ascii="宋体" w:hAnsi="宋体" w:cs="宋体"/>
                <w:kern w:val="0"/>
                <w:sz w:val="24"/>
                <w:szCs w:val="24"/>
                <w:highlight w:val="none"/>
              </w:rPr>
            </w:pPr>
            <w:r>
              <w:rPr>
                <w:rFonts w:hint="eastAsia" w:ascii="宋体" w:hAnsi="宋体" w:cs="宋体"/>
                <w:kern w:val="0"/>
                <w:sz w:val="24"/>
                <w:szCs w:val="24"/>
                <w:highlight w:val="none"/>
              </w:rPr>
              <w:t>…</w:t>
            </w:r>
          </w:p>
        </w:tc>
        <w:tc>
          <w:tcPr>
            <w:tcW w:w="2984" w:type="dxa"/>
            <w:tcBorders>
              <w:top w:val="single" w:color="auto" w:sz="4" w:space="0"/>
              <w:left w:val="single" w:color="auto" w:sz="4" w:space="0"/>
              <w:bottom w:val="single" w:color="auto" w:sz="4" w:space="0"/>
              <w:right w:val="single" w:color="auto" w:sz="4" w:space="0"/>
            </w:tcBorders>
            <w:vAlign w:val="center"/>
          </w:tcPr>
          <w:p w14:paraId="0439AA82">
            <w:pPr>
              <w:autoSpaceDE w:val="0"/>
              <w:autoSpaceDN w:val="0"/>
              <w:adjustRightInd w:val="0"/>
              <w:rPr>
                <w:rFonts w:hint="eastAsia" w:ascii="宋体" w:hAnsi="宋体" w:cs="宋体"/>
                <w:kern w:val="0"/>
                <w:sz w:val="24"/>
                <w:szCs w:val="24"/>
                <w:highlight w:val="none"/>
              </w:rPr>
            </w:pPr>
          </w:p>
        </w:tc>
        <w:tc>
          <w:tcPr>
            <w:tcW w:w="2123" w:type="dxa"/>
            <w:tcBorders>
              <w:top w:val="single" w:color="auto" w:sz="4" w:space="0"/>
              <w:left w:val="single" w:color="auto" w:sz="4" w:space="0"/>
              <w:bottom w:val="single" w:color="auto" w:sz="4" w:space="0"/>
              <w:right w:val="single" w:color="auto" w:sz="4" w:space="0"/>
            </w:tcBorders>
            <w:vAlign w:val="center"/>
          </w:tcPr>
          <w:p w14:paraId="334EF41D">
            <w:pPr>
              <w:autoSpaceDE w:val="0"/>
              <w:autoSpaceDN w:val="0"/>
              <w:adjustRightInd w:val="0"/>
              <w:rPr>
                <w:rFonts w:hint="eastAsia" w:ascii="宋体" w:hAnsi="宋体" w:cs="宋体"/>
                <w:kern w:val="0"/>
                <w:sz w:val="24"/>
                <w:szCs w:val="24"/>
                <w:highlight w:val="none"/>
              </w:rPr>
            </w:pPr>
          </w:p>
        </w:tc>
        <w:tc>
          <w:tcPr>
            <w:tcW w:w="1109" w:type="dxa"/>
            <w:tcBorders>
              <w:top w:val="single" w:color="auto" w:sz="4" w:space="0"/>
              <w:left w:val="single" w:color="auto" w:sz="4" w:space="0"/>
              <w:bottom w:val="single" w:color="auto" w:sz="4" w:space="0"/>
              <w:right w:val="single" w:color="auto" w:sz="4" w:space="0"/>
            </w:tcBorders>
            <w:vAlign w:val="center"/>
          </w:tcPr>
          <w:p w14:paraId="76F7C52D">
            <w:pPr>
              <w:autoSpaceDE w:val="0"/>
              <w:autoSpaceDN w:val="0"/>
              <w:adjustRightInd w:val="0"/>
              <w:rPr>
                <w:rFonts w:hint="eastAsia" w:ascii="宋体" w:hAnsi="宋体" w:cs="宋体"/>
                <w:kern w:val="0"/>
                <w:sz w:val="24"/>
                <w:szCs w:val="24"/>
                <w:highlight w:val="none"/>
              </w:rPr>
            </w:pPr>
          </w:p>
        </w:tc>
        <w:tc>
          <w:tcPr>
            <w:tcW w:w="1568" w:type="dxa"/>
            <w:tcBorders>
              <w:top w:val="single" w:color="auto" w:sz="4" w:space="0"/>
              <w:left w:val="single" w:color="auto" w:sz="4" w:space="0"/>
              <w:bottom w:val="single" w:color="auto" w:sz="4" w:space="0"/>
              <w:right w:val="single" w:color="auto" w:sz="4" w:space="0"/>
            </w:tcBorders>
            <w:vAlign w:val="center"/>
          </w:tcPr>
          <w:p w14:paraId="1A54403B">
            <w:pPr>
              <w:autoSpaceDE w:val="0"/>
              <w:autoSpaceDN w:val="0"/>
              <w:adjustRightInd w:val="0"/>
              <w:rPr>
                <w:rFonts w:hint="eastAsia" w:ascii="宋体" w:hAnsi="宋体" w:cs="宋体"/>
                <w:kern w:val="0"/>
                <w:sz w:val="24"/>
                <w:szCs w:val="24"/>
                <w:highlight w:val="none"/>
              </w:rPr>
            </w:pPr>
          </w:p>
        </w:tc>
        <w:tc>
          <w:tcPr>
            <w:tcW w:w="904" w:type="dxa"/>
            <w:tcBorders>
              <w:top w:val="single" w:color="auto" w:sz="4" w:space="0"/>
              <w:left w:val="single" w:color="auto" w:sz="4" w:space="0"/>
              <w:bottom w:val="single" w:color="auto" w:sz="4" w:space="0"/>
              <w:right w:val="single" w:color="auto" w:sz="18" w:space="0"/>
            </w:tcBorders>
            <w:vAlign w:val="center"/>
          </w:tcPr>
          <w:p w14:paraId="2D30D075">
            <w:pPr>
              <w:autoSpaceDE w:val="0"/>
              <w:autoSpaceDN w:val="0"/>
              <w:adjustRightInd w:val="0"/>
              <w:rPr>
                <w:rFonts w:hint="eastAsia" w:ascii="宋体" w:hAnsi="宋体" w:cs="宋体"/>
                <w:kern w:val="0"/>
                <w:sz w:val="24"/>
                <w:szCs w:val="24"/>
                <w:highlight w:val="none"/>
              </w:rPr>
            </w:pPr>
          </w:p>
        </w:tc>
      </w:tr>
      <w:tr w14:paraId="5516B63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54" w:type="dxa"/>
            <w:tcBorders>
              <w:top w:val="single" w:color="auto" w:sz="4" w:space="0"/>
              <w:left w:val="single" w:color="auto" w:sz="18" w:space="0"/>
              <w:bottom w:val="single" w:color="auto" w:sz="4" w:space="0"/>
              <w:right w:val="single" w:color="auto" w:sz="4" w:space="0"/>
            </w:tcBorders>
            <w:vAlign w:val="center"/>
          </w:tcPr>
          <w:p w14:paraId="28237EBA">
            <w:pPr>
              <w:autoSpaceDE w:val="0"/>
              <w:autoSpaceDN w:val="0"/>
              <w:adjustRightInd w:val="0"/>
              <w:jc w:val="center"/>
              <w:rPr>
                <w:rFonts w:hint="eastAsia" w:ascii="宋体" w:hAnsi="宋体" w:cs="宋体"/>
                <w:kern w:val="0"/>
                <w:sz w:val="24"/>
                <w:szCs w:val="24"/>
                <w:highlight w:val="none"/>
              </w:rPr>
            </w:pPr>
            <w:r>
              <w:rPr>
                <w:rFonts w:hint="eastAsia" w:ascii="宋体" w:hAnsi="宋体" w:cs="宋体"/>
                <w:kern w:val="0"/>
                <w:sz w:val="24"/>
                <w:szCs w:val="24"/>
                <w:highlight w:val="none"/>
              </w:rPr>
              <w:t>…</w:t>
            </w:r>
          </w:p>
        </w:tc>
        <w:tc>
          <w:tcPr>
            <w:tcW w:w="2984" w:type="dxa"/>
            <w:tcBorders>
              <w:top w:val="single" w:color="auto" w:sz="4" w:space="0"/>
              <w:left w:val="single" w:color="auto" w:sz="4" w:space="0"/>
              <w:bottom w:val="single" w:color="auto" w:sz="4" w:space="0"/>
              <w:right w:val="single" w:color="auto" w:sz="4" w:space="0"/>
            </w:tcBorders>
            <w:vAlign w:val="center"/>
          </w:tcPr>
          <w:p w14:paraId="74C16927">
            <w:pPr>
              <w:autoSpaceDE w:val="0"/>
              <w:autoSpaceDN w:val="0"/>
              <w:adjustRightInd w:val="0"/>
              <w:rPr>
                <w:rFonts w:hint="eastAsia" w:ascii="宋体" w:hAnsi="宋体" w:cs="宋体"/>
                <w:kern w:val="0"/>
                <w:sz w:val="24"/>
                <w:szCs w:val="24"/>
                <w:highlight w:val="none"/>
              </w:rPr>
            </w:pPr>
          </w:p>
        </w:tc>
        <w:tc>
          <w:tcPr>
            <w:tcW w:w="2123" w:type="dxa"/>
            <w:tcBorders>
              <w:top w:val="single" w:color="auto" w:sz="4" w:space="0"/>
              <w:left w:val="single" w:color="auto" w:sz="4" w:space="0"/>
              <w:bottom w:val="single" w:color="auto" w:sz="4" w:space="0"/>
              <w:right w:val="single" w:color="auto" w:sz="4" w:space="0"/>
            </w:tcBorders>
            <w:vAlign w:val="center"/>
          </w:tcPr>
          <w:p w14:paraId="3AEBF73A">
            <w:pPr>
              <w:autoSpaceDE w:val="0"/>
              <w:autoSpaceDN w:val="0"/>
              <w:adjustRightInd w:val="0"/>
              <w:rPr>
                <w:rFonts w:hint="eastAsia" w:ascii="宋体" w:hAnsi="宋体" w:cs="宋体"/>
                <w:kern w:val="0"/>
                <w:sz w:val="24"/>
                <w:szCs w:val="24"/>
                <w:highlight w:val="none"/>
              </w:rPr>
            </w:pPr>
          </w:p>
        </w:tc>
        <w:tc>
          <w:tcPr>
            <w:tcW w:w="1109" w:type="dxa"/>
            <w:tcBorders>
              <w:top w:val="single" w:color="auto" w:sz="4" w:space="0"/>
              <w:left w:val="single" w:color="auto" w:sz="4" w:space="0"/>
              <w:bottom w:val="single" w:color="auto" w:sz="4" w:space="0"/>
              <w:right w:val="single" w:color="auto" w:sz="4" w:space="0"/>
            </w:tcBorders>
            <w:vAlign w:val="center"/>
          </w:tcPr>
          <w:p w14:paraId="097841DE">
            <w:pPr>
              <w:autoSpaceDE w:val="0"/>
              <w:autoSpaceDN w:val="0"/>
              <w:adjustRightInd w:val="0"/>
              <w:rPr>
                <w:rFonts w:hint="eastAsia" w:ascii="宋体" w:hAnsi="宋体" w:cs="宋体"/>
                <w:kern w:val="0"/>
                <w:sz w:val="24"/>
                <w:szCs w:val="24"/>
                <w:highlight w:val="none"/>
              </w:rPr>
            </w:pPr>
          </w:p>
        </w:tc>
        <w:tc>
          <w:tcPr>
            <w:tcW w:w="1568" w:type="dxa"/>
            <w:tcBorders>
              <w:top w:val="single" w:color="auto" w:sz="4" w:space="0"/>
              <w:left w:val="single" w:color="auto" w:sz="4" w:space="0"/>
              <w:bottom w:val="single" w:color="auto" w:sz="4" w:space="0"/>
              <w:right w:val="single" w:color="auto" w:sz="4" w:space="0"/>
            </w:tcBorders>
            <w:vAlign w:val="center"/>
          </w:tcPr>
          <w:p w14:paraId="6583944C">
            <w:pPr>
              <w:autoSpaceDE w:val="0"/>
              <w:autoSpaceDN w:val="0"/>
              <w:adjustRightInd w:val="0"/>
              <w:rPr>
                <w:rFonts w:hint="eastAsia" w:ascii="宋体" w:hAnsi="宋体" w:cs="宋体"/>
                <w:kern w:val="0"/>
                <w:sz w:val="24"/>
                <w:szCs w:val="24"/>
                <w:highlight w:val="none"/>
              </w:rPr>
            </w:pPr>
          </w:p>
        </w:tc>
        <w:tc>
          <w:tcPr>
            <w:tcW w:w="904" w:type="dxa"/>
            <w:tcBorders>
              <w:top w:val="single" w:color="auto" w:sz="4" w:space="0"/>
              <w:left w:val="single" w:color="auto" w:sz="4" w:space="0"/>
              <w:bottom w:val="single" w:color="auto" w:sz="4" w:space="0"/>
              <w:right w:val="single" w:color="auto" w:sz="18" w:space="0"/>
            </w:tcBorders>
            <w:vAlign w:val="center"/>
          </w:tcPr>
          <w:p w14:paraId="03DD1FB9">
            <w:pPr>
              <w:autoSpaceDE w:val="0"/>
              <w:autoSpaceDN w:val="0"/>
              <w:adjustRightInd w:val="0"/>
              <w:rPr>
                <w:rFonts w:hint="eastAsia" w:ascii="宋体" w:hAnsi="宋体" w:cs="宋体"/>
                <w:kern w:val="0"/>
                <w:sz w:val="24"/>
                <w:szCs w:val="24"/>
                <w:highlight w:val="none"/>
              </w:rPr>
            </w:pPr>
          </w:p>
        </w:tc>
      </w:tr>
      <w:tr w14:paraId="35D75C1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54" w:type="dxa"/>
            <w:tcBorders>
              <w:top w:val="single" w:color="auto" w:sz="4" w:space="0"/>
              <w:left w:val="single" w:color="auto" w:sz="18" w:space="0"/>
              <w:bottom w:val="single" w:color="auto" w:sz="4" w:space="0"/>
              <w:right w:val="single" w:color="auto" w:sz="4" w:space="0"/>
            </w:tcBorders>
            <w:vAlign w:val="center"/>
          </w:tcPr>
          <w:p w14:paraId="6358B2FE">
            <w:pPr>
              <w:autoSpaceDE w:val="0"/>
              <w:autoSpaceDN w:val="0"/>
              <w:adjustRightInd w:val="0"/>
              <w:jc w:val="center"/>
              <w:rPr>
                <w:rFonts w:hint="eastAsia" w:ascii="宋体" w:hAnsi="宋体" w:cs="宋体"/>
                <w:kern w:val="0"/>
                <w:sz w:val="24"/>
                <w:szCs w:val="24"/>
                <w:highlight w:val="none"/>
              </w:rPr>
            </w:pPr>
            <w:r>
              <w:rPr>
                <w:rFonts w:hint="eastAsia" w:ascii="宋体" w:hAnsi="宋体" w:cs="宋体"/>
                <w:kern w:val="0"/>
                <w:sz w:val="24"/>
                <w:szCs w:val="24"/>
                <w:highlight w:val="none"/>
              </w:rPr>
              <w:t>…</w:t>
            </w:r>
          </w:p>
        </w:tc>
        <w:tc>
          <w:tcPr>
            <w:tcW w:w="2984" w:type="dxa"/>
            <w:tcBorders>
              <w:top w:val="single" w:color="auto" w:sz="4" w:space="0"/>
              <w:left w:val="single" w:color="auto" w:sz="4" w:space="0"/>
              <w:bottom w:val="single" w:color="auto" w:sz="4" w:space="0"/>
              <w:right w:val="single" w:color="auto" w:sz="4" w:space="0"/>
            </w:tcBorders>
            <w:vAlign w:val="center"/>
          </w:tcPr>
          <w:p w14:paraId="5CD7ACC3">
            <w:pPr>
              <w:autoSpaceDE w:val="0"/>
              <w:autoSpaceDN w:val="0"/>
              <w:adjustRightInd w:val="0"/>
              <w:rPr>
                <w:rFonts w:hint="eastAsia" w:ascii="宋体" w:hAnsi="宋体" w:cs="宋体"/>
                <w:kern w:val="0"/>
                <w:sz w:val="24"/>
                <w:szCs w:val="24"/>
                <w:highlight w:val="none"/>
              </w:rPr>
            </w:pPr>
          </w:p>
        </w:tc>
        <w:tc>
          <w:tcPr>
            <w:tcW w:w="2123" w:type="dxa"/>
            <w:tcBorders>
              <w:top w:val="single" w:color="auto" w:sz="4" w:space="0"/>
              <w:left w:val="single" w:color="auto" w:sz="4" w:space="0"/>
              <w:bottom w:val="single" w:color="auto" w:sz="4" w:space="0"/>
              <w:right w:val="single" w:color="auto" w:sz="4" w:space="0"/>
            </w:tcBorders>
            <w:vAlign w:val="center"/>
          </w:tcPr>
          <w:p w14:paraId="590BA3A8">
            <w:pPr>
              <w:autoSpaceDE w:val="0"/>
              <w:autoSpaceDN w:val="0"/>
              <w:adjustRightInd w:val="0"/>
              <w:rPr>
                <w:rFonts w:hint="eastAsia" w:ascii="宋体" w:hAnsi="宋体" w:cs="宋体"/>
                <w:kern w:val="0"/>
                <w:sz w:val="24"/>
                <w:szCs w:val="24"/>
                <w:highlight w:val="none"/>
              </w:rPr>
            </w:pPr>
          </w:p>
        </w:tc>
        <w:tc>
          <w:tcPr>
            <w:tcW w:w="1109" w:type="dxa"/>
            <w:tcBorders>
              <w:top w:val="single" w:color="auto" w:sz="4" w:space="0"/>
              <w:left w:val="single" w:color="auto" w:sz="4" w:space="0"/>
              <w:bottom w:val="single" w:color="auto" w:sz="4" w:space="0"/>
              <w:right w:val="single" w:color="auto" w:sz="4" w:space="0"/>
            </w:tcBorders>
            <w:vAlign w:val="center"/>
          </w:tcPr>
          <w:p w14:paraId="2E9256AC">
            <w:pPr>
              <w:autoSpaceDE w:val="0"/>
              <w:autoSpaceDN w:val="0"/>
              <w:adjustRightInd w:val="0"/>
              <w:rPr>
                <w:rFonts w:hint="eastAsia" w:ascii="宋体" w:hAnsi="宋体" w:cs="宋体"/>
                <w:kern w:val="0"/>
                <w:sz w:val="24"/>
                <w:szCs w:val="24"/>
                <w:highlight w:val="none"/>
              </w:rPr>
            </w:pPr>
          </w:p>
        </w:tc>
        <w:tc>
          <w:tcPr>
            <w:tcW w:w="1568" w:type="dxa"/>
            <w:tcBorders>
              <w:top w:val="single" w:color="auto" w:sz="4" w:space="0"/>
              <w:left w:val="single" w:color="auto" w:sz="4" w:space="0"/>
              <w:bottom w:val="single" w:color="auto" w:sz="4" w:space="0"/>
              <w:right w:val="single" w:color="auto" w:sz="4" w:space="0"/>
            </w:tcBorders>
            <w:vAlign w:val="center"/>
          </w:tcPr>
          <w:p w14:paraId="3F13DAE1">
            <w:pPr>
              <w:autoSpaceDE w:val="0"/>
              <w:autoSpaceDN w:val="0"/>
              <w:adjustRightInd w:val="0"/>
              <w:rPr>
                <w:rFonts w:hint="eastAsia" w:ascii="宋体" w:hAnsi="宋体" w:cs="宋体"/>
                <w:kern w:val="0"/>
                <w:sz w:val="24"/>
                <w:szCs w:val="24"/>
                <w:highlight w:val="none"/>
              </w:rPr>
            </w:pPr>
          </w:p>
        </w:tc>
        <w:tc>
          <w:tcPr>
            <w:tcW w:w="904" w:type="dxa"/>
            <w:tcBorders>
              <w:top w:val="single" w:color="auto" w:sz="4" w:space="0"/>
              <w:left w:val="single" w:color="auto" w:sz="4" w:space="0"/>
              <w:bottom w:val="single" w:color="auto" w:sz="4" w:space="0"/>
              <w:right w:val="single" w:color="auto" w:sz="18" w:space="0"/>
            </w:tcBorders>
            <w:vAlign w:val="center"/>
          </w:tcPr>
          <w:p w14:paraId="77C0ADC5">
            <w:pPr>
              <w:autoSpaceDE w:val="0"/>
              <w:autoSpaceDN w:val="0"/>
              <w:adjustRightInd w:val="0"/>
              <w:rPr>
                <w:rFonts w:hint="eastAsia" w:ascii="宋体" w:hAnsi="宋体" w:cs="宋体"/>
                <w:kern w:val="0"/>
                <w:sz w:val="24"/>
                <w:szCs w:val="24"/>
                <w:highlight w:val="none"/>
              </w:rPr>
            </w:pPr>
          </w:p>
        </w:tc>
      </w:tr>
      <w:tr w14:paraId="173A2D7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54" w:type="dxa"/>
            <w:tcBorders>
              <w:top w:val="single" w:color="auto" w:sz="4" w:space="0"/>
              <w:left w:val="single" w:color="auto" w:sz="18" w:space="0"/>
              <w:bottom w:val="single" w:color="auto" w:sz="4" w:space="0"/>
              <w:right w:val="single" w:color="auto" w:sz="4" w:space="0"/>
            </w:tcBorders>
            <w:vAlign w:val="center"/>
          </w:tcPr>
          <w:p w14:paraId="21F401F9">
            <w:pPr>
              <w:autoSpaceDE w:val="0"/>
              <w:autoSpaceDN w:val="0"/>
              <w:adjustRightInd w:val="0"/>
              <w:jc w:val="center"/>
              <w:rPr>
                <w:rFonts w:hint="eastAsia" w:ascii="宋体" w:hAnsi="宋体" w:cs="宋体"/>
                <w:kern w:val="0"/>
                <w:sz w:val="24"/>
                <w:szCs w:val="24"/>
                <w:highlight w:val="none"/>
              </w:rPr>
            </w:pPr>
            <w:r>
              <w:rPr>
                <w:rFonts w:hint="eastAsia" w:ascii="宋体" w:hAnsi="宋体" w:cs="宋体"/>
                <w:kern w:val="0"/>
                <w:sz w:val="24"/>
                <w:szCs w:val="24"/>
                <w:highlight w:val="none"/>
              </w:rPr>
              <w:t>…</w:t>
            </w:r>
          </w:p>
        </w:tc>
        <w:tc>
          <w:tcPr>
            <w:tcW w:w="2984" w:type="dxa"/>
            <w:tcBorders>
              <w:top w:val="single" w:color="auto" w:sz="4" w:space="0"/>
              <w:left w:val="single" w:color="auto" w:sz="4" w:space="0"/>
              <w:bottom w:val="single" w:color="auto" w:sz="4" w:space="0"/>
              <w:right w:val="single" w:color="auto" w:sz="4" w:space="0"/>
            </w:tcBorders>
            <w:vAlign w:val="center"/>
          </w:tcPr>
          <w:p w14:paraId="28FC625C">
            <w:pPr>
              <w:autoSpaceDE w:val="0"/>
              <w:autoSpaceDN w:val="0"/>
              <w:adjustRightInd w:val="0"/>
              <w:rPr>
                <w:rFonts w:hint="eastAsia" w:ascii="宋体" w:hAnsi="宋体" w:cs="宋体"/>
                <w:kern w:val="0"/>
                <w:sz w:val="24"/>
                <w:szCs w:val="24"/>
                <w:highlight w:val="none"/>
              </w:rPr>
            </w:pPr>
          </w:p>
        </w:tc>
        <w:tc>
          <w:tcPr>
            <w:tcW w:w="2123" w:type="dxa"/>
            <w:tcBorders>
              <w:top w:val="single" w:color="auto" w:sz="4" w:space="0"/>
              <w:left w:val="single" w:color="auto" w:sz="4" w:space="0"/>
              <w:bottom w:val="single" w:color="auto" w:sz="4" w:space="0"/>
              <w:right w:val="single" w:color="auto" w:sz="4" w:space="0"/>
            </w:tcBorders>
            <w:vAlign w:val="center"/>
          </w:tcPr>
          <w:p w14:paraId="75562009">
            <w:pPr>
              <w:autoSpaceDE w:val="0"/>
              <w:autoSpaceDN w:val="0"/>
              <w:adjustRightInd w:val="0"/>
              <w:rPr>
                <w:rFonts w:hint="eastAsia" w:ascii="宋体" w:hAnsi="宋体" w:cs="宋体"/>
                <w:kern w:val="0"/>
                <w:sz w:val="24"/>
                <w:szCs w:val="24"/>
                <w:highlight w:val="none"/>
              </w:rPr>
            </w:pPr>
          </w:p>
        </w:tc>
        <w:tc>
          <w:tcPr>
            <w:tcW w:w="1109" w:type="dxa"/>
            <w:tcBorders>
              <w:top w:val="single" w:color="auto" w:sz="4" w:space="0"/>
              <w:left w:val="single" w:color="auto" w:sz="4" w:space="0"/>
              <w:bottom w:val="single" w:color="auto" w:sz="4" w:space="0"/>
              <w:right w:val="single" w:color="auto" w:sz="4" w:space="0"/>
            </w:tcBorders>
            <w:vAlign w:val="center"/>
          </w:tcPr>
          <w:p w14:paraId="0417F774">
            <w:pPr>
              <w:autoSpaceDE w:val="0"/>
              <w:autoSpaceDN w:val="0"/>
              <w:adjustRightInd w:val="0"/>
              <w:rPr>
                <w:rFonts w:hint="eastAsia" w:ascii="宋体" w:hAnsi="宋体" w:cs="宋体"/>
                <w:kern w:val="0"/>
                <w:sz w:val="24"/>
                <w:szCs w:val="24"/>
                <w:highlight w:val="none"/>
              </w:rPr>
            </w:pPr>
          </w:p>
        </w:tc>
        <w:tc>
          <w:tcPr>
            <w:tcW w:w="1568" w:type="dxa"/>
            <w:tcBorders>
              <w:top w:val="single" w:color="auto" w:sz="4" w:space="0"/>
              <w:left w:val="single" w:color="auto" w:sz="4" w:space="0"/>
              <w:bottom w:val="single" w:color="auto" w:sz="4" w:space="0"/>
              <w:right w:val="single" w:color="auto" w:sz="4" w:space="0"/>
            </w:tcBorders>
            <w:vAlign w:val="center"/>
          </w:tcPr>
          <w:p w14:paraId="267CCC1F">
            <w:pPr>
              <w:autoSpaceDE w:val="0"/>
              <w:autoSpaceDN w:val="0"/>
              <w:adjustRightInd w:val="0"/>
              <w:rPr>
                <w:rFonts w:hint="eastAsia" w:ascii="宋体" w:hAnsi="宋体" w:cs="宋体"/>
                <w:kern w:val="0"/>
                <w:sz w:val="24"/>
                <w:szCs w:val="24"/>
                <w:highlight w:val="none"/>
              </w:rPr>
            </w:pPr>
          </w:p>
        </w:tc>
        <w:tc>
          <w:tcPr>
            <w:tcW w:w="904" w:type="dxa"/>
            <w:tcBorders>
              <w:top w:val="single" w:color="auto" w:sz="4" w:space="0"/>
              <w:left w:val="single" w:color="auto" w:sz="4" w:space="0"/>
              <w:bottom w:val="single" w:color="auto" w:sz="4" w:space="0"/>
              <w:right w:val="single" w:color="auto" w:sz="18" w:space="0"/>
            </w:tcBorders>
            <w:vAlign w:val="center"/>
          </w:tcPr>
          <w:p w14:paraId="1CAF96D5">
            <w:pPr>
              <w:autoSpaceDE w:val="0"/>
              <w:autoSpaceDN w:val="0"/>
              <w:adjustRightInd w:val="0"/>
              <w:rPr>
                <w:rFonts w:hint="eastAsia" w:ascii="宋体" w:hAnsi="宋体" w:cs="宋体"/>
                <w:kern w:val="0"/>
                <w:sz w:val="24"/>
                <w:szCs w:val="24"/>
                <w:highlight w:val="none"/>
              </w:rPr>
            </w:pPr>
          </w:p>
        </w:tc>
      </w:tr>
      <w:tr w14:paraId="48B4154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54" w:type="dxa"/>
            <w:tcBorders>
              <w:top w:val="single" w:color="auto" w:sz="4" w:space="0"/>
              <w:left w:val="single" w:color="auto" w:sz="18" w:space="0"/>
              <w:bottom w:val="single" w:color="auto" w:sz="18" w:space="0"/>
              <w:right w:val="single" w:color="auto" w:sz="4" w:space="0"/>
            </w:tcBorders>
            <w:vAlign w:val="center"/>
          </w:tcPr>
          <w:p w14:paraId="2DEFF286">
            <w:pPr>
              <w:autoSpaceDE w:val="0"/>
              <w:autoSpaceDN w:val="0"/>
              <w:adjustRightInd w:val="0"/>
              <w:jc w:val="center"/>
              <w:rPr>
                <w:rFonts w:hint="eastAsia" w:ascii="宋体" w:hAnsi="宋体" w:cs="宋体"/>
                <w:kern w:val="0"/>
                <w:sz w:val="24"/>
                <w:szCs w:val="24"/>
                <w:highlight w:val="none"/>
              </w:rPr>
            </w:pPr>
            <w:r>
              <w:rPr>
                <w:rFonts w:hint="eastAsia" w:ascii="宋体" w:hAnsi="宋体" w:cs="宋体"/>
                <w:kern w:val="0"/>
                <w:sz w:val="24"/>
                <w:szCs w:val="24"/>
                <w:highlight w:val="none"/>
              </w:rPr>
              <w:t>…</w:t>
            </w:r>
          </w:p>
        </w:tc>
        <w:tc>
          <w:tcPr>
            <w:tcW w:w="2984" w:type="dxa"/>
            <w:tcBorders>
              <w:top w:val="single" w:color="auto" w:sz="4" w:space="0"/>
              <w:left w:val="single" w:color="auto" w:sz="4" w:space="0"/>
              <w:bottom w:val="single" w:color="auto" w:sz="18" w:space="0"/>
              <w:right w:val="single" w:color="auto" w:sz="4" w:space="0"/>
            </w:tcBorders>
            <w:vAlign w:val="center"/>
          </w:tcPr>
          <w:p w14:paraId="6937B78C">
            <w:pPr>
              <w:autoSpaceDE w:val="0"/>
              <w:autoSpaceDN w:val="0"/>
              <w:adjustRightInd w:val="0"/>
              <w:rPr>
                <w:rFonts w:hint="eastAsia" w:ascii="宋体" w:hAnsi="宋体" w:cs="宋体"/>
                <w:kern w:val="0"/>
                <w:sz w:val="24"/>
                <w:szCs w:val="24"/>
                <w:highlight w:val="none"/>
              </w:rPr>
            </w:pPr>
          </w:p>
        </w:tc>
        <w:tc>
          <w:tcPr>
            <w:tcW w:w="2123" w:type="dxa"/>
            <w:tcBorders>
              <w:top w:val="single" w:color="auto" w:sz="4" w:space="0"/>
              <w:left w:val="single" w:color="auto" w:sz="4" w:space="0"/>
              <w:bottom w:val="single" w:color="auto" w:sz="18" w:space="0"/>
              <w:right w:val="single" w:color="auto" w:sz="4" w:space="0"/>
            </w:tcBorders>
            <w:vAlign w:val="center"/>
          </w:tcPr>
          <w:p w14:paraId="198970E5">
            <w:pPr>
              <w:autoSpaceDE w:val="0"/>
              <w:autoSpaceDN w:val="0"/>
              <w:adjustRightInd w:val="0"/>
              <w:rPr>
                <w:rFonts w:hint="eastAsia" w:ascii="宋体" w:hAnsi="宋体" w:cs="宋体"/>
                <w:kern w:val="0"/>
                <w:sz w:val="24"/>
                <w:szCs w:val="24"/>
                <w:highlight w:val="none"/>
              </w:rPr>
            </w:pPr>
          </w:p>
        </w:tc>
        <w:tc>
          <w:tcPr>
            <w:tcW w:w="1109" w:type="dxa"/>
            <w:tcBorders>
              <w:top w:val="single" w:color="auto" w:sz="4" w:space="0"/>
              <w:left w:val="single" w:color="auto" w:sz="4" w:space="0"/>
              <w:bottom w:val="single" w:color="auto" w:sz="18" w:space="0"/>
              <w:right w:val="single" w:color="auto" w:sz="4" w:space="0"/>
            </w:tcBorders>
            <w:vAlign w:val="center"/>
          </w:tcPr>
          <w:p w14:paraId="48BCBE68">
            <w:pPr>
              <w:autoSpaceDE w:val="0"/>
              <w:autoSpaceDN w:val="0"/>
              <w:adjustRightInd w:val="0"/>
              <w:rPr>
                <w:rFonts w:hint="eastAsia" w:ascii="宋体" w:hAnsi="宋体" w:cs="宋体"/>
                <w:kern w:val="0"/>
                <w:sz w:val="24"/>
                <w:szCs w:val="24"/>
                <w:highlight w:val="none"/>
              </w:rPr>
            </w:pPr>
          </w:p>
        </w:tc>
        <w:tc>
          <w:tcPr>
            <w:tcW w:w="1568" w:type="dxa"/>
            <w:tcBorders>
              <w:top w:val="single" w:color="auto" w:sz="4" w:space="0"/>
              <w:left w:val="single" w:color="auto" w:sz="4" w:space="0"/>
              <w:bottom w:val="single" w:color="auto" w:sz="18" w:space="0"/>
              <w:right w:val="single" w:color="auto" w:sz="4" w:space="0"/>
            </w:tcBorders>
            <w:vAlign w:val="center"/>
          </w:tcPr>
          <w:p w14:paraId="0BE184FC">
            <w:pPr>
              <w:autoSpaceDE w:val="0"/>
              <w:autoSpaceDN w:val="0"/>
              <w:adjustRightInd w:val="0"/>
              <w:rPr>
                <w:rFonts w:hint="eastAsia" w:ascii="宋体" w:hAnsi="宋体" w:cs="宋体"/>
                <w:kern w:val="0"/>
                <w:sz w:val="24"/>
                <w:szCs w:val="24"/>
                <w:highlight w:val="none"/>
              </w:rPr>
            </w:pPr>
          </w:p>
        </w:tc>
        <w:tc>
          <w:tcPr>
            <w:tcW w:w="904" w:type="dxa"/>
            <w:tcBorders>
              <w:top w:val="single" w:color="auto" w:sz="4" w:space="0"/>
              <w:left w:val="single" w:color="auto" w:sz="4" w:space="0"/>
              <w:bottom w:val="single" w:color="auto" w:sz="18" w:space="0"/>
              <w:right w:val="single" w:color="auto" w:sz="18" w:space="0"/>
            </w:tcBorders>
            <w:vAlign w:val="center"/>
          </w:tcPr>
          <w:p w14:paraId="65B76BEB">
            <w:pPr>
              <w:autoSpaceDE w:val="0"/>
              <w:autoSpaceDN w:val="0"/>
              <w:adjustRightInd w:val="0"/>
              <w:rPr>
                <w:rFonts w:hint="eastAsia" w:ascii="宋体" w:hAnsi="宋体" w:cs="宋体"/>
                <w:kern w:val="0"/>
                <w:sz w:val="24"/>
                <w:szCs w:val="24"/>
                <w:highlight w:val="none"/>
              </w:rPr>
            </w:pPr>
          </w:p>
        </w:tc>
      </w:tr>
    </w:tbl>
    <w:p w14:paraId="3FA1F946">
      <w:pPr>
        <w:adjustRightInd w:val="0"/>
        <w:snapToGrid w:val="0"/>
        <w:spacing w:line="360" w:lineRule="auto"/>
        <w:rPr>
          <w:rFonts w:hint="eastAsia" w:ascii="宋体" w:hAnsi="宋体" w:cs="宋体"/>
          <w:sz w:val="24"/>
          <w:highlight w:val="none"/>
        </w:rPr>
      </w:pPr>
      <w:r>
        <w:rPr>
          <w:rFonts w:hint="eastAsia" w:ascii="宋体" w:hAnsi="宋体" w:cs="宋体"/>
          <w:b/>
          <w:kern w:val="0"/>
          <w:sz w:val="24"/>
          <w:szCs w:val="24"/>
          <w:highlight w:val="none"/>
        </w:rPr>
        <w:t>注：本表后附评分办法中要求的证明材料。</w:t>
      </w:r>
    </w:p>
    <w:p w14:paraId="43E4C527">
      <w:pPr>
        <w:adjustRightInd w:val="0"/>
        <w:snapToGrid w:val="0"/>
        <w:spacing w:line="360" w:lineRule="auto"/>
        <w:rPr>
          <w:rFonts w:hint="eastAsia" w:ascii="宋体" w:hAnsi="宋体" w:cs="宋体"/>
          <w:kern w:val="0"/>
          <w:sz w:val="24"/>
          <w:highlight w:val="none"/>
          <w:lang w:val="zh-CN"/>
        </w:rPr>
      </w:pPr>
    </w:p>
    <w:p w14:paraId="3A6C3106">
      <w:pPr>
        <w:adjustRightInd w:val="0"/>
        <w:snapToGrid w:val="0"/>
        <w:spacing w:line="360" w:lineRule="auto"/>
        <w:rPr>
          <w:rFonts w:hint="eastAsia" w:ascii="宋体" w:hAnsi="宋体" w:cs="宋体"/>
          <w:kern w:val="0"/>
          <w:sz w:val="24"/>
          <w:highlight w:val="none"/>
        </w:rPr>
      </w:pPr>
      <w:r>
        <w:rPr>
          <w:rFonts w:hint="eastAsia" w:ascii="宋体" w:hAnsi="宋体" w:cs="宋体"/>
          <w:kern w:val="0"/>
          <w:sz w:val="24"/>
          <w:highlight w:val="none"/>
          <w:lang w:val="zh-CN"/>
        </w:rPr>
        <w:t>法定/授权代表：</w:t>
      </w:r>
      <w:r>
        <w:rPr>
          <w:rFonts w:hint="eastAsia" w:ascii="宋体" w:hAnsi="宋体" w:cs="宋体"/>
          <w:kern w:val="0"/>
          <w:sz w:val="24"/>
          <w:highlight w:val="none"/>
          <w:u w:val="single"/>
          <w:lang w:val="zh-CN"/>
        </w:rPr>
        <w:t xml:space="preserve">（签字或盖章） </w:t>
      </w:r>
    </w:p>
    <w:p w14:paraId="63A1946F">
      <w:pPr>
        <w:adjustRightInd w:val="0"/>
        <w:snapToGrid w:val="0"/>
        <w:spacing w:line="360" w:lineRule="auto"/>
        <w:rPr>
          <w:rFonts w:hint="eastAsia" w:ascii="宋体" w:hAnsi="宋体" w:cs="宋体"/>
          <w:kern w:val="0"/>
          <w:sz w:val="24"/>
          <w:highlight w:val="none"/>
          <w:u w:val="single"/>
          <w:lang w:val="zh-CN"/>
        </w:rPr>
      </w:pPr>
      <w:r>
        <w:rPr>
          <w:rFonts w:hint="eastAsia" w:ascii="宋体" w:hAnsi="宋体" w:cs="宋体"/>
          <w:kern w:val="0"/>
          <w:sz w:val="24"/>
          <w:highlight w:val="none"/>
          <w:lang w:val="zh-CN"/>
        </w:rPr>
        <w:t>投标人：</w:t>
      </w:r>
      <w:r>
        <w:rPr>
          <w:rFonts w:hint="eastAsia" w:ascii="宋体" w:hAnsi="宋体" w:cs="宋体"/>
          <w:kern w:val="0"/>
          <w:sz w:val="24"/>
          <w:highlight w:val="none"/>
          <w:u w:val="single"/>
          <w:lang w:val="zh-CN"/>
        </w:rPr>
        <w:t xml:space="preserve">（全称加盖公章）       </w:t>
      </w:r>
    </w:p>
    <w:p w14:paraId="48C85DAF">
      <w:pPr>
        <w:adjustRightInd w:val="0"/>
        <w:snapToGrid w:val="0"/>
        <w:spacing w:line="360" w:lineRule="auto"/>
        <w:rPr>
          <w:rFonts w:hint="eastAsia" w:ascii="宋体" w:hAnsi="宋体" w:cs="宋体"/>
          <w:kern w:val="0"/>
          <w:sz w:val="24"/>
          <w:highlight w:val="none"/>
          <w:lang w:val="zh-CN"/>
        </w:rPr>
      </w:pPr>
      <w:r>
        <w:rPr>
          <w:rFonts w:hint="eastAsia" w:ascii="宋体" w:hAnsi="宋体" w:cs="宋体"/>
          <w:kern w:val="0"/>
          <w:sz w:val="24"/>
          <w:highlight w:val="none"/>
          <w:lang w:val="zh-CN"/>
        </w:rPr>
        <w:t>日期</w:t>
      </w:r>
      <w:r>
        <w:rPr>
          <w:rFonts w:hint="eastAsia" w:ascii="宋体" w:hAnsi="宋体" w:cs="宋体"/>
          <w:kern w:val="0"/>
          <w:sz w:val="24"/>
          <w:highlight w:val="none"/>
        </w:rPr>
        <w:t>：202</w:t>
      </w:r>
      <w:r>
        <w:rPr>
          <w:rFonts w:hint="eastAsia" w:ascii="宋体" w:hAnsi="宋体" w:cs="宋体"/>
          <w:kern w:val="0"/>
          <w:sz w:val="24"/>
          <w:highlight w:val="none"/>
          <w:lang w:val="en-US" w:eastAsia="zh-CN"/>
        </w:rPr>
        <w:t>5</w:t>
      </w:r>
      <w:r>
        <w:rPr>
          <w:rFonts w:hint="eastAsia" w:ascii="宋体" w:hAnsi="宋体" w:cs="宋体"/>
          <w:kern w:val="0"/>
          <w:sz w:val="24"/>
          <w:highlight w:val="none"/>
        </w:rPr>
        <w:t>年</w:t>
      </w:r>
      <w:r>
        <w:rPr>
          <w:rFonts w:hint="eastAsia" w:ascii="宋体" w:hAnsi="宋体" w:cs="宋体"/>
          <w:kern w:val="0"/>
          <w:sz w:val="24"/>
          <w:highlight w:val="none"/>
          <w:u w:val="single"/>
        </w:rPr>
        <w:tab/>
      </w:r>
      <w:r>
        <w:rPr>
          <w:rFonts w:hint="eastAsia" w:ascii="宋体" w:hAnsi="宋体" w:cs="宋体"/>
          <w:kern w:val="0"/>
          <w:sz w:val="24"/>
          <w:highlight w:val="none"/>
          <w:u w:val="singl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lang w:val="zh-CN"/>
        </w:rPr>
        <w:t>日</w:t>
      </w:r>
    </w:p>
    <w:p w14:paraId="49BEE9FA">
      <w:pPr>
        <w:adjustRightInd w:val="0"/>
        <w:snapToGrid w:val="0"/>
        <w:spacing w:line="360" w:lineRule="auto"/>
        <w:jc w:val="center"/>
        <w:rPr>
          <w:rFonts w:hint="eastAsia" w:ascii="宋体" w:hAnsi="宋体" w:cs="宋体"/>
          <w:b/>
          <w:sz w:val="24"/>
          <w:highlight w:val="none"/>
        </w:rPr>
      </w:pPr>
    </w:p>
    <w:p w14:paraId="3C22E8C6">
      <w:pPr>
        <w:pStyle w:val="86"/>
        <w:ind w:firstLine="240"/>
        <w:rPr>
          <w:rFonts w:hint="eastAsia" w:ascii="宋体" w:hAnsi="宋体" w:eastAsia="宋体" w:cs="宋体"/>
          <w:kern w:val="0"/>
          <w:sz w:val="24"/>
          <w:highlight w:val="none"/>
          <w:lang w:val="zh-CN"/>
        </w:rPr>
      </w:pPr>
    </w:p>
    <w:p w14:paraId="2248BC50">
      <w:pPr>
        <w:rPr>
          <w:rFonts w:hint="eastAsia" w:ascii="宋体" w:hAnsi="宋体" w:cs="宋体"/>
          <w:kern w:val="0"/>
          <w:sz w:val="24"/>
          <w:highlight w:val="none"/>
          <w:lang w:val="zh-CN"/>
        </w:rPr>
      </w:pPr>
    </w:p>
    <w:p w14:paraId="5B6D0E5F">
      <w:pPr>
        <w:pStyle w:val="59"/>
        <w:rPr>
          <w:rFonts w:hint="eastAsia" w:ascii="宋体" w:hAnsi="宋体" w:cs="宋体"/>
          <w:kern w:val="0"/>
          <w:sz w:val="24"/>
          <w:highlight w:val="none"/>
          <w:lang w:val="zh-CN"/>
        </w:rPr>
      </w:pPr>
    </w:p>
    <w:p w14:paraId="01CD2D07">
      <w:pPr>
        <w:rPr>
          <w:rFonts w:hint="eastAsia" w:ascii="宋体" w:hAnsi="宋体" w:cs="宋体"/>
          <w:kern w:val="0"/>
          <w:sz w:val="24"/>
          <w:highlight w:val="none"/>
          <w:lang w:val="zh-CN"/>
        </w:rPr>
      </w:pPr>
    </w:p>
    <w:p w14:paraId="37452934">
      <w:pPr>
        <w:pStyle w:val="59"/>
        <w:rPr>
          <w:highlight w:val="none"/>
          <w:lang w:val="zh-CN"/>
        </w:rPr>
      </w:pPr>
    </w:p>
    <w:p w14:paraId="734A8A8E">
      <w:pPr>
        <w:pStyle w:val="45"/>
        <w:adjustRightInd w:val="0"/>
        <w:snapToGrid w:val="0"/>
        <w:spacing w:line="400" w:lineRule="exact"/>
        <w:jc w:val="center"/>
        <w:outlineLvl w:val="1"/>
        <w:rPr>
          <w:rFonts w:hint="eastAsia" w:hAnsi="宋体" w:cs="宋体"/>
          <w:b/>
          <w:sz w:val="28"/>
          <w:highlight w:val="none"/>
          <w:lang w:val="zh-CN"/>
        </w:rPr>
      </w:pPr>
      <w:r>
        <w:rPr>
          <w:rFonts w:hint="eastAsia" w:hAnsi="宋体" w:cs="宋体"/>
          <w:b/>
          <w:sz w:val="28"/>
          <w:highlight w:val="none"/>
        </w:rPr>
        <w:t>格式五：</w:t>
      </w:r>
      <w:bookmarkEnd w:id="97"/>
      <w:bookmarkEnd w:id="98"/>
      <w:bookmarkStart w:id="99" w:name="_Toc522530057"/>
      <w:r>
        <w:rPr>
          <w:rFonts w:hint="eastAsia" w:hAnsi="宋体" w:cs="宋体"/>
          <w:b/>
          <w:sz w:val="28"/>
          <w:highlight w:val="none"/>
          <w:lang w:val="zh-CN"/>
        </w:rPr>
        <w:t>商务/技术偏离表</w:t>
      </w:r>
    </w:p>
    <w:p w14:paraId="0DB25230">
      <w:pPr>
        <w:spacing w:line="400" w:lineRule="exact"/>
        <w:rPr>
          <w:highlight w:val="none"/>
          <w:lang w:val="zh-CN"/>
        </w:rPr>
      </w:pPr>
    </w:p>
    <w:tbl>
      <w:tblPr>
        <w:tblStyle w:val="88"/>
        <w:tblW w:w="9242"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677"/>
        <w:gridCol w:w="2693"/>
        <w:gridCol w:w="2593"/>
        <w:gridCol w:w="1431"/>
        <w:gridCol w:w="1848"/>
      </w:tblGrid>
      <w:tr w14:paraId="61E3763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14:paraId="0D07C4CC">
            <w:pPr>
              <w:adjustRightInd w:val="0"/>
              <w:snapToGrid w:val="0"/>
              <w:spacing w:line="400" w:lineRule="exact"/>
              <w:jc w:val="center"/>
              <w:rPr>
                <w:rFonts w:hint="eastAsia" w:ascii="宋体" w:hAnsi="宋体"/>
                <w:bCs/>
                <w:sz w:val="24"/>
                <w:highlight w:val="none"/>
              </w:rPr>
            </w:pPr>
            <w:r>
              <w:rPr>
                <w:rFonts w:hint="eastAsia" w:ascii="宋体" w:hAnsi="宋体"/>
                <w:bCs/>
                <w:sz w:val="24"/>
                <w:highlight w:val="none"/>
              </w:rPr>
              <w:t>序号</w:t>
            </w:r>
          </w:p>
        </w:tc>
        <w:tc>
          <w:tcPr>
            <w:tcW w:w="2693" w:type="dxa"/>
            <w:vAlign w:val="center"/>
          </w:tcPr>
          <w:p w14:paraId="7E1572EA">
            <w:pPr>
              <w:adjustRightInd w:val="0"/>
              <w:snapToGrid w:val="0"/>
              <w:spacing w:line="400" w:lineRule="exact"/>
              <w:jc w:val="center"/>
              <w:rPr>
                <w:rFonts w:hint="eastAsia" w:ascii="宋体" w:hAnsi="宋体"/>
                <w:bCs/>
                <w:sz w:val="24"/>
                <w:highlight w:val="none"/>
              </w:rPr>
            </w:pPr>
            <w:r>
              <w:rPr>
                <w:rFonts w:hint="eastAsia" w:ascii="宋体" w:hAnsi="宋体"/>
                <w:bCs/>
                <w:sz w:val="24"/>
                <w:highlight w:val="none"/>
              </w:rPr>
              <w:t>招标文件要求</w:t>
            </w:r>
          </w:p>
        </w:tc>
        <w:tc>
          <w:tcPr>
            <w:tcW w:w="2593" w:type="dxa"/>
            <w:vAlign w:val="center"/>
          </w:tcPr>
          <w:p w14:paraId="17E66CAD">
            <w:pPr>
              <w:adjustRightInd w:val="0"/>
              <w:snapToGrid w:val="0"/>
              <w:spacing w:line="400" w:lineRule="exact"/>
              <w:jc w:val="center"/>
              <w:rPr>
                <w:rFonts w:hint="eastAsia" w:ascii="宋体" w:hAnsi="宋体"/>
                <w:bCs/>
                <w:sz w:val="24"/>
                <w:highlight w:val="none"/>
              </w:rPr>
            </w:pPr>
            <w:r>
              <w:rPr>
                <w:rFonts w:hint="eastAsia" w:ascii="宋体" w:hAnsi="宋体"/>
                <w:bCs/>
                <w:sz w:val="24"/>
                <w:highlight w:val="none"/>
              </w:rPr>
              <w:t>投标文件响应</w:t>
            </w:r>
          </w:p>
        </w:tc>
        <w:tc>
          <w:tcPr>
            <w:tcW w:w="1431" w:type="dxa"/>
            <w:vAlign w:val="center"/>
          </w:tcPr>
          <w:p w14:paraId="7DE3F173">
            <w:pPr>
              <w:adjustRightInd w:val="0"/>
              <w:snapToGrid w:val="0"/>
              <w:spacing w:line="400" w:lineRule="exact"/>
              <w:jc w:val="center"/>
              <w:rPr>
                <w:rFonts w:hint="eastAsia" w:ascii="宋体" w:hAnsi="宋体"/>
                <w:bCs/>
                <w:sz w:val="24"/>
                <w:highlight w:val="none"/>
              </w:rPr>
            </w:pPr>
            <w:r>
              <w:rPr>
                <w:rFonts w:hint="eastAsia" w:ascii="宋体" w:hAnsi="宋体"/>
                <w:bCs/>
                <w:sz w:val="24"/>
                <w:highlight w:val="none"/>
              </w:rPr>
              <w:t>正/负偏离</w:t>
            </w:r>
          </w:p>
        </w:tc>
        <w:tc>
          <w:tcPr>
            <w:tcW w:w="1848" w:type="dxa"/>
            <w:vAlign w:val="center"/>
          </w:tcPr>
          <w:p w14:paraId="2CB2C95B">
            <w:pPr>
              <w:adjustRightInd w:val="0"/>
              <w:snapToGrid w:val="0"/>
              <w:spacing w:line="400" w:lineRule="exact"/>
              <w:jc w:val="center"/>
              <w:rPr>
                <w:rFonts w:hint="eastAsia" w:ascii="宋体" w:hAnsi="宋体"/>
                <w:bCs/>
                <w:sz w:val="24"/>
                <w:highlight w:val="none"/>
              </w:rPr>
            </w:pPr>
            <w:r>
              <w:rPr>
                <w:rFonts w:hint="eastAsia" w:ascii="宋体" w:hAnsi="宋体"/>
                <w:bCs/>
                <w:sz w:val="24"/>
                <w:highlight w:val="none"/>
              </w:rPr>
              <w:t>理由</w:t>
            </w:r>
          </w:p>
        </w:tc>
      </w:tr>
      <w:tr w14:paraId="5BBACFD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14:paraId="6E3ABA66">
            <w:pPr>
              <w:autoSpaceDE w:val="0"/>
              <w:autoSpaceDN w:val="0"/>
              <w:adjustRightInd w:val="0"/>
              <w:spacing w:line="400" w:lineRule="exact"/>
              <w:jc w:val="center"/>
              <w:rPr>
                <w:rFonts w:hint="eastAsia" w:ascii="宋体" w:hAnsi="宋体"/>
                <w:kern w:val="0"/>
                <w:sz w:val="24"/>
                <w:highlight w:val="none"/>
              </w:rPr>
            </w:pPr>
            <w:r>
              <w:rPr>
                <w:rFonts w:hint="eastAsia" w:ascii="宋体" w:hAnsi="宋体"/>
                <w:kern w:val="0"/>
                <w:sz w:val="24"/>
                <w:highlight w:val="none"/>
              </w:rPr>
              <w:t>1</w:t>
            </w:r>
          </w:p>
        </w:tc>
        <w:tc>
          <w:tcPr>
            <w:tcW w:w="2693" w:type="dxa"/>
            <w:vAlign w:val="center"/>
          </w:tcPr>
          <w:p w14:paraId="5E0DD184">
            <w:pPr>
              <w:adjustRightInd w:val="0"/>
              <w:snapToGrid w:val="0"/>
              <w:spacing w:line="400" w:lineRule="exact"/>
              <w:jc w:val="center"/>
              <w:rPr>
                <w:rFonts w:hint="eastAsia" w:ascii="宋体" w:hAnsi="宋体"/>
                <w:sz w:val="24"/>
                <w:highlight w:val="none"/>
              </w:rPr>
            </w:pPr>
          </w:p>
        </w:tc>
        <w:tc>
          <w:tcPr>
            <w:tcW w:w="2593" w:type="dxa"/>
            <w:vAlign w:val="center"/>
          </w:tcPr>
          <w:p w14:paraId="532B9589">
            <w:pPr>
              <w:adjustRightInd w:val="0"/>
              <w:snapToGrid w:val="0"/>
              <w:spacing w:line="400" w:lineRule="exact"/>
              <w:jc w:val="center"/>
              <w:rPr>
                <w:rFonts w:hint="eastAsia" w:ascii="宋体" w:hAnsi="宋体"/>
                <w:sz w:val="24"/>
                <w:highlight w:val="none"/>
              </w:rPr>
            </w:pPr>
          </w:p>
        </w:tc>
        <w:tc>
          <w:tcPr>
            <w:tcW w:w="1431" w:type="dxa"/>
            <w:vAlign w:val="center"/>
          </w:tcPr>
          <w:p w14:paraId="4A1487C7">
            <w:pPr>
              <w:adjustRightInd w:val="0"/>
              <w:snapToGrid w:val="0"/>
              <w:spacing w:line="400" w:lineRule="exact"/>
              <w:jc w:val="center"/>
              <w:rPr>
                <w:rFonts w:hint="eastAsia" w:ascii="宋体" w:hAnsi="宋体"/>
                <w:sz w:val="24"/>
                <w:highlight w:val="none"/>
              </w:rPr>
            </w:pPr>
          </w:p>
        </w:tc>
        <w:tc>
          <w:tcPr>
            <w:tcW w:w="1848" w:type="dxa"/>
            <w:vAlign w:val="center"/>
          </w:tcPr>
          <w:p w14:paraId="10A9C36C">
            <w:pPr>
              <w:adjustRightInd w:val="0"/>
              <w:snapToGrid w:val="0"/>
              <w:spacing w:line="400" w:lineRule="exact"/>
              <w:jc w:val="center"/>
              <w:rPr>
                <w:rFonts w:hint="eastAsia" w:ascii="宋体" w:hAnsi="宋体"/>
                <w:sz w:val="24"/>
                <w:highlight w:val="none"/>
              </w:rPr>
            </w:pPr>
          </w:p>
        </w:tc>
      </w:tr>
      <w:tr w14:paraId="306A789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14:paraId="28C346A4">
            <w:pPr>
              <w:autoSpaceDE w:val="0"/>
              <w:autoSpaceDN w:val="0"/>
              <w:adjustRightInd w:val="0"/>
              <w:spacing w:line="400" w:lineRule="exact"/>
              <w:jc w:val="center"/>
              <w:rPr>
                <w:rFonts w:hint="eastAsia" w:ascii="宋体" w:hAnsi="宋体"/>
                <w:kern w:val="0"/>
                <w:sz w:val="24"/>
                <w:highlight w:val="none"/>
              </w:rPr>
            </w:pPr>
            <w:r>
              <w:rPr>
                <w:rFonts w:hint="eastAsia" w:ascii="宋体" w:hAnsi="宋体"/>
                <w:kern w:val="0"/>
                <w:sz w:val="24"/>
                <w:highlight w:val="none"/>
              </w:rPr>
              <w:t>2</w:t>
            </w:r>
          </w:p>
        </w:tc>
        <w:tc>
          <w:tcPr>
            <w:tcW w:w="2693" w:type="dxa"/>
            <w:vAlign w:val="center"/>
          </w:tcPr>
          <w:p w14:paraId="6679C084">
            <w:pPr>
              <w:adjustRightInd w:val="0"/>
              <w:snapToGrid w:val="0"/>
              <w:spacing w:line="400" w:lineRule="exact"/>
              <w:jc w:val="center"/>
              <w:rPr>
                <w:rFonts w:hint="eastAsia" w:ascii="宋体" w:hAnsi="宋体"/>
                <w:sz w:val="24"/>
                <w:highlight w:val="none"/>
              </w:rPr>
            </w:pPr>
          </w:p>
        </w:tc>
        <w:tc>
          <w:tcPr>
            <w:tcW w:w="2593" w:type="dxa"/>
            <w:vAlign w:val="center"/>
          </w:tcPr>
          <w:p w14:paraId="67DB77F8">
            <w:pPr>
              <w:adjustRightInd w:val="0"/>
              <w:snapToGrid w:val="0"/>
              <w:spacing w:line="400" w:lineRule="exact"/>
              <w:jc w:val="center"/>
              <w:rPr>
                <w:rFonts w:hint="eastAsia" w:ascii="宋体" w:hAnsi="宋体"/>
                <w:sz w:val="24"/>
                <w:highlight w:val="none"/>
              </w:rPr>
            </w:pPr>
          </w:p>
        </w:tc>
        <w:tc>
          <w:tcPr>
            <w:tcW w:w="1431" w:type="dxa"/>
            <w:vAlign w:val="center"/>
          </w:tcPr>
          <w:p w14:paraId="69965423">
            <w:pPr>
              <w:adjustRightInd w:val="0"/>
              <w:snapToGrid w:val="0"/>
              <w:spacing w:line="400" w:lineRule="exact"/>
              <w:jc w:val="center"/>
              <w:rPr>
                <w:rFonts w:hint="eastAsia" w:ascii="宋体" w:hAnsi="宋体"/>
                <w:sz w:val="24"/>
                <w:highlight w:val="none"/>
              </w:rPr>
            </w:pPr>
          </w:p>
        </w:tc>
        <w:tc>
          <w:tcPr>
            <w:tcW w:w="1848" w:type="dxa"/>
            <w:vAlign w:val="center"/>
          </w:tcPr>
          <w:p w14:paraId="4726A3E6">
            <w:pPr>
              <w:adjustRightInd w:val="0"/>
              <w:snapToGrid w:val="0"/>
              <w:spacing w:line="400" w:lineRule="exact"/>
              <w:jc w:val="center"/>
              <w:rPr>
                <w:rFonts w:hint="eastAsia" w:ascii="宋体" w:hAnsi="宋体"/>
                <w:sz w:val="24"/>
                <w:highlight w:val="none"/>
              </w:rPr>
            </w:pPr>
          </w:p>
        </w:tc>
      </w:tr>
      <w:tr w14:paraId="620969A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14:paraId="7FA0D7A6">
            <w:pPr>
              <w:autoSpaceDE w:val="0"/>
              <w:autoSpaceDN w:val="0"/>
              <w:adjustRightInd w:val="0"/>
              <w:spacing w:line="400" w:lineRule="exact"/>
              <w:jc w:val="center"/>
              <w:rPr>
                <w:rFonts w:hint="eastAsia" w:ascii="宋体" w:hAnsi="宋体"/>
                <w:kern w:val="0"/>
                <w:sz w:val="24"/>
                <w:highlight w:val="none"/>
              </w:rPr>
            </w:pPr>
            <w:r>
              <w:rPr>
                <w:rFonts w:hint="eastAsia" w:ascii="宋体" w:hAnsi="宋体"/>
                <w:kern w:val="0"/>
                <w:sz w:val="24"/>
                <w:highlight w:val="none"/>
              </w:rPr>
              <w:t>3</w:t>
            </w:r>
          </w:p>
        </w:tc>
        <w:tc>
          <w:tcPr>
            <w:tcW w:w="2693" w:type="dxa"/>
            <w:vAlign w:val="center"/>
          </w:tcPr>
          <w:p w14:paraId="587DEE3E">
            <w:pPr>
              <w:adjustRightInd w:val="0"/>
              <w:snapToGrid w:val="0"/>
              <w:spacing w:line="400" w:lineRule="exact"/>
              <w:jc w:val="center"/>
              <w:rPr>
                <w:rFonts w:hint="eastAsia" w:ascii="宋体" w:hAnsi="宋体"/>
                <w:sz w:val="24"/>
                <w:highlight w:val="none"/>
              </w:rPr>
            </w:pPr>
          </w:p>
        </w:tc>
        <w:tc>
          <w:tcPr>
            <w:tcW w:w="2593" w:type="dxa"/>
            <w:vAlign w:val="center"/>
          </w:tcPr>
          <w:p w14:paraId="7229B2F0">
            <w:pPr>
              <w:adjustRightInd w:val="0"/>
              <w:snapToGrid w:val="0"/>
              <w:spacing w:line="400" w:lineRule="exact"/>
              <w:jc w:val="center"/>
              <w:rPr>
                <w:rFonts w:hint="eastAsia" w:ascii="宋体" w:hAnsi="宋体"/>
                <w:sz w:val="24"/>
                <w:highlight w:val="none"/>
              </w:rPr>
            </w:pPr>
          </w:p>
        </w:tc>
        <w:tc>
          <w:tcPr>
            <w:tcW w:w="1431" w:type="dxa"/>
            <w:vAlign w:val="center"/>
          </w:tcPr>
          <w:p w14:paraId="44C2890A">
            <w:pPr>
              <w:adjustRightInd w:val="0"/>
              <w:snapToGrid w:val="0"/>
              <w:spacing w:line="400" w:lineRule="exact"/>
              <w:jc w:val="center"/>
              <w:rPr>
                <w:rFonts w:hint="eastAsia" w:ascii="宋体" w:hAnsi="宋体"/>
                <w:sz w:val="24"/>
                <w:highlight w:val="none"/>
              </w:rPr>
            </w:pPr>
          </w:p>
        </w:tc>
        <w:tc>
          <w:tcPr>
            <w:tcW w:w="1848" w:type="dxa"/>
            <w:vAlign w:val="center"/>
          </w:tcPr>
          <w:p w14:paraId="7610152E">
            <w:pPr>
              <w:adjustRightInd w:val="0"/>
              <w:snapToGrid w:val="0"/>
              <w:spacing w:line="400" w:lineRule="exact"/>
              <w:jc w:val="center"/>
              <w:rPr>
                <w:rFonts w:hint="eastAsia" w:ascii="宋体" w:hAnsi="宋体"/>
                <w:sz w:val="24"/>
                <w:highlight w:val="none"/>
              </w:rPr>
            </w:pPr>
          </w:p>
        </w:tc>
      </w:tr>
      <w:tr w14:paraId="43A5319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14:paraId="1E278496">
            <w:pPr>
              <w:autoSpaceDE w:val="0"/>
              <w:autoSpaceDN w:val="0"/>
              <w:adjustRightInd w:val="0"/>
              <w:spacing w:line="400" w:lineRule="exact"/>
              <w:jc w:val="center"/>
              <w:rPr>
                <w:rFonts w:hint="eastAsia" w:ascii="宋体" w:hAnsi="宋体"/>
                <w:kern w:val="0"/>
                <w:sz w:val="24"/>
                <w:highlight w:val="none"/>
              </w:rPr>
            </w:pPr>
            <w:r>
              <w:rPr>
                <w:rFonts w:hint="eastAsia" w:ascii="宋体" w:hAnsi="宋体"/>
                <w:kern w:val="0"/>
                <w:sz w:val="24"/>
                <w:highlight w:val="none"/>
              </w:rPr>
              <w:t>…</w:t>
            </w:r>
          </w:p>
        </w:tc>
        <w:tc>
          <w:tcPr>
            <w:tcW w:w="2693" w:type="dxa"/>
            <w:vAlign w:val="center"/>
          </w:tcPr>
          <w:p w14:paraId="6D16428F">
            <w:pPr>
              <w:adjustRightInd w:val="0"/>
              <w:snapToGrid w:val="0"/>
              <w:spacing w:line="400" w:lineRule="exact"/>
              <w:jc w:val="center"/>
              <w:rPr>
                <w:rFonts w:hint="eastAsia" w:ascii="宋体" w:hAnsi="宋体"/>
                <w:sz w:val="24"/>
                <w:highlight w:val="none"/>
              </w:rPr>
            </w:pPr>
          </w:p>
        </w:tc>
        <w:tc>
          <w:tcPr>
            <w:tcW w:w="2593" w:type="dxa"/>
            <w:vAlign w:val="center"/>
          </w:tcPr>
          <w:p w14:paraId="0A046083">
            <w:pPr>
              <w:adjustRightInd w:val="0"/>
              <w:snapToGrid w:val="0"/>
              <w:spacing w:line="400" w:lineRule="exact"/>
              <w:jc w:val="center"/>
              <w:rPr>
                <w:rFonts w:hint="eastAsia" w:ascii="宋体" w:hAnsi="宋体"/>
                <w:sz w:val="24"/>
                <w:highlight w:val="none"/>
              </w:rPr>
            </w:pPr>
          </w:p>
        </w:tc>
        <w:tc>
          <w:tcPr>
            <w:tcW w:w="1431" w:type="dxa"/>
            <w:vAlign w:val="center"/>
          </w:tcPr>
          <w:p w14:paraId="64F73F1B">
            <w:pPr>
              <w:adjustRightInd w:val="0"/>
              <w:snapToGrid w:val="0"/>
              <w:spacing w:line="400" w:lineRule="exact"/>
              <w:jc w:val="center"/>
              <w:rPr>
                <w:rFonts w:hint="eastAsia" w:ascii="宋体" w:hAnsi="宋体"/>
                <w:sz w:val="24"/>
                <w:highlight w:val="none"/>
              </w:rPr>
            </w:pPr>
          </w:p>
        </w:tc>
        <w:tc>
          <w:tcPr>
            <w:tcW w:w="1848" w:type="dxa"/>
            <w:vAlign w:val="center"/>
          </w:tcPr>
          <w:p w14:paraId="7C3CCD84">
            <w:pPr>
              <w:adjustRightInd w:val="0"/>
              <w:snapToGrid w:val="0"/>
              <w:spacing w:line="400" w:lineRule="exact"/>
              <w:jc w:val="center"/>
              <w:rPr>
                <w:rFonts w:hint="eastAsia" w:ascii="宋体" w:hAnsi="宋体"/>
                <w:sz w:val="24"/>
                <w:highlight w:val="none"/>
              </w:rPr>
            </w:pPr>
          </w:p>
        </w:tc>
      </w:tr>
      <w:tr w14:paraId="0D39080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14:paraId="336B882E">
            <w:pPr>
              <w:autoSpaceDE w:val="0"/>
              <w:autoSpaceDN w:val="0"/>
              <w:adjustRightInd w:val="0"/>
              <w:spacing w:line="400" w:lineRule="exact"/>
              <w:jc w:val="center"/>
              <w:rPr>
                <w:rFonts w:hint="eastAsia" w:ascii="宋体" w:hAnsi="宋体"/>
                <w:kern w:val="0"/>
                <w:sz w:val="24"/>
                <w:highlight w:val="none"/>
              </w:rPr>
            </w:pPr>
            <w:r>
              <w:rPr>
                <w:rFonts w:hint="eastAsia" w:ascii="宋体" w:hAnsi="宋体"/>
                <w:kern w:val="0"/>
                <w:sz w:val="24"/>
                <w:highlight w:val="none"/>
              </w:rPr>
              <w:t>…</w:t>
            </w:r>
          </w:p>
        </w:tc>
        <w:tc>
          <w:tcPr>
            <w:tcW w:w="2693" w:type="dxa"/>
            <w:vAlign w:val="center"/>
          </w:tcPr>
          <w:p w14:paraId="3F5413E5">
            <w:pPr>
              <w:adjustRightInd w:val="0"/>
              <w:snapToGrid w:val="0"/>
              <w:spacing w:line="400" w:lineRule="exact"/>
              <w:jc w:val="center"/>
              <w:rPr>
                <w:rFonts w:hint="eastAsia" w:ascii="宋体" w:hAnsi="宋体"/>
                <w:sz w:val="24"/>
                <w:highlight w:val="none"/>
              </w:rPr>
            </w:pPr>
          </w:p>
        </w:tc>
        <w:tc>
          <w:tcPr>
            <w:tcW w:w="2593" w:type="dxa"/>
            <w:vAlign w:val="center"/>
          </w:tcPr>
          <w:p w14:paraId="178C0119">
            <w:pPr>
              <w:adjustRightInd w:val="0"/>
              <w:snapToGrid w:val="0"/>
              <w:spacing w:line="400" w:lineRule="exact"/>
              <w:jc w:val="center"/>
              <w:rPr>
                <w:rFonts w:hint="eastAsia" w:ascii="宋体" w:hAnsi="宋体"/>
                <w:sz w:val="24"/>
                <w:highlight w:val="none"/>
              </w:rPr>
            </w:pPr>
          </w:p>
        </w:tc>
        <w:tc>
          <w:tcPr>
            <w:tcW w:w="1431" w:type="dxa"/>
            <w:vAlign w:val="center"/>
          </w:tcPr>
          <w:p w14:paraId="7112EBCE">
            <w:pPr>
              <w:adjustRightInd w:val="0"/>
              <w:snapToGrid w:val="0"/>
              <w:spacing w:line="400" w:lineRule="exact"/>
              <w:jc w:val="center"/>
              <w:rPr>
                <w:rFonts w:hint="eastAsia" w:ascii="宋体" w:hAnsi="宋体"/>
                <w:sz w:val="24"/>
                <w:highlight w:val="none"/>
              </w:rPr>
            </w:pPr>
          </w:p>
        </w:tc>
        <w:tc>
          <w:tcPr>
            <w:tcW w:w="1848" w:type="dxa"/>
            <w:vAlign w:val="center"/>
          </w:tcPr>
          <w:p w14:paraId="7DED21DD">
            <w:pPr>
              <w:adjustRightInd w:val="0"/>
              <w:snapToGrid w:val="0"/>
              <w:spacing w:line="400" w:lineRule="exact"/>
              <w:jc w:val="center"/>
              <w:rPr>
                <w:rFonts w:hint="eastAsia" w:ascii="宋体" w:hAnsi="宋体"/>
                <w:sz w:val="24"/>
                <w:highlight w:val="none"/>
              </w:rPr>
            </w:pPr>
          </w:p>
        </w:tc>
      </w:tr>
      <w:tr w14:paraId="0800623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14:paraId="5FF4FDC8">
            <w:pPr>
              <w:autoSpaceDE w:val="0"/>
              <w:autoSpaceDN w:val="0"/>
              <w:adjustRightInd w:val="0"/>
              <w:spacing w:line="400" w:lineRule="exact"/>
              <w:jc w:val="center"/>
              <w:rPr>
                <w:rFonts w:hint="eastAsia" w:ascii="宋体" w:hAnsi="宋体"/>
                <w:kern w:val="0"/>
                <w:sz w:val="24"/>
                <w:highlight w:val="none"/>
              </w:rPr>
            </w:pPr>
            <w:r>
              <w:rPr>
                <w:rFonts w:hint="eastAsia" w:ascii="宋体" w:hAnsi="宋体"/>
                <w:kern w:val="0"/>
                <w:sz w:val="24"/>
                <w:highlight w:val="none"/>
              </w:rPr>
              <w:t>…</w:t>
            </w:r>
          </w:p>
        </w:tc>
        <w:tc>
          <w:tcPr>
            <w:tcW w:w="2693" w:type="dxa"/>
            <w:vAlign w:val="center"/>
          </w:tcPr>
          <w:p w14:paraId="54B8BF51">
            <w:pPr>
              <w:adjustRightInd w:val="0"/>
              <w:snapToGrid w:val="0"/>
              <w:spacing w:line="400" w:lineRule="exact"/>
              <w:jc w:val="center"/>
              <w:rPr>
                <w:rFonts w:hint="eastAsia" w:ascii="宋体" w:hAnsi="宋体"/>
                <w:sz w:val="24"/>
                <w:highlight w:val="none"/>
              </w:rPr>
            </w:pPr>
          </w:p>
        </w:tc>
        <w:tc>
          <w:tcPr>
            <w:tcW w:w="2593" w:type="dxa"/>
            <w:vAlign w:val="center"/>
          </w:tcPr>
          <w:p w14:paraId="4E906236">
            <w:pPr>
              <w:adjustRightInd w:val="0"/>
              <w:snapToGrid w:val="0"/>
              <w:spacing w:line="400" w:lineRule="exact"/>
              <w:jc w:val="center"/>
              <w:rPr>
                <w:rFonts w:hint="eastAsia" w:ascii="宋体" w:hAnsi="宋体"/>
                <w:sz w:val="24"/>
                <w:highlight w:val="none"/>
              </w:rPr>
            </w:pPr>
          </w:p>
        </w:tc>
        <w:tc>
          <w:tcPr>
            <w:tcW w:w="1431" w:type="dxa"/>
            <w:vAlign w:val="center"/>
          </w:tcPr>
          <w:p w14:paraId="14149F04">
            <w:pPr>
              <w:adjustRightInd w:val="0"/>
              <w:snapToGrid w:val="0"/>
              <w:spacing w:line="400" w:lineRule="exact"/>
              <w:jc w:val="center"/>
              <w:rPr>
                <w:rFonts w:hint="eastAsia" w:ascii="宋体" w:hAnsi="宋体"/>
                <w:sz w:val="24"/>
                <w:highlight w:val="none"/>
              </w:rPr>
            </w:pPr>
          </w:p>
        </w:tc>
        <w:tc>
          <w:tcPr>
            <w:tcW w:w="1848" w:type="dxa"/>
            <w:vAlign w:val="center"/>
          </w:tcPr>
          <w:p w14:paraId="7625176B">
            <w:pPr>
              <w:adjustRightInd w:val="0"/>
              <w:snapToGrid w:val="0"/>
              <w:spacing w:line="400" w:lineRule="exact"/>
              <w:jc w:val="center"/>
              <w:rPr>
                <w:rFonts w:hint="eastAsia" w:ascii="宋体" w:hAnsi="宋体"/>
                <w:sz w:val="24"/>
                <w:highlight w:val="none"/>
              </w:rPr>
            </w:pPr>
          </w:p>
        </w:tc>
      </w:tr>
      <w:tr w14:paraId="72D1000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14:paraId="11C421F6">
            <w:pPr>
              <w:autoSpaceDE w:val="0"/>
              <w:autoSpaceDN w:val="0"/>
              <w:adjustRightInd w:val="0"/>
              <w:spacing w:line="400" w:lineRule="exact"/>
              <w:jc w:val="center"/>
              <w:rPr>
                <w:rFonts w:hint="eastAsia" w:ascii="宋体" w:hAnsi="宋体"/>
                <w:kern w:val="0"/>
                <w:sz w:val="24"/>
                <w:highlight w:val="none"/>
              </w:rPr>
            </w:pPr>
            <w:r>
              <w:rPr>
                <w:rFonts w:hint="eastAsia" w:ascii="宋体" w:hAnsi="宋体"/>
                <w:kern w:val="0"/>
                <w:sz w:val="24"/>
                <w:highlight w:val="none"/>
              </w:rPr>
              <w:t>…</w:t>
            </w:r>
          </w:p>
        </w:tc>
        <w:tc>
          <w:tcPr>
            <w:tcW w:w="2693" w:type="dxa"/>
            <w:vAlign w:val="center"/>
          </w:tcPr>
          <w:p w14:paraId="2C578F45">
            <w:pPr>
              <w:adjustRightInd w:val="0"/>
              <w:snapToGrid w:val="0"/>
              <w:spacing w:line="400" w:lineRule="exact"/>
              <w:jc w:val="center"/>
              <w:rPr>
                <w:rFonts w:hint="eastAsia" w:ascii="宋体" w:hAnsi="宋体"/>
                <w:sz w:val="24"/>
                <w:highlight w:val="none"/>
              </w:rPr>
            </w:pPr>
          </w:p>
        </w:tc>
        <w:tc>
          <w:tcPr>
            <w:tcW w:w="2593" w:type="dxa"/>
            <w:vAlign w:val="center"/>
          </w:tcPr>
          <w:p w14:paraId="362006AF">
            <w:pPr>
              <w:adjustRightInd w:val="0"/>
              <w:snapToGrid w:val="0"/>
              <w:spacing w:line="400" w:lineRule="exact"/>
              <w:jc w:val="center"/>
              <w:rPr>
                <w:rFonts w:hint="eastAsia" w:ascii="宋体" w:hAnsi="宋体"/>
                <w:sz w:val="24"/>
                <w:highlight w:val="none"/>
              </w:rPr>
            </w:pPr>
          </w:p>
        </w:tc>
        <w:tc>
          <w:tcPr>
            <w:tcW w:w="1431" w:type="dxa"/>
            <w:vAlign w:val="center"/>
          </w:tcPr>
          <w:p w14:paraId="05AD3F65">
            <w:pPr>
              <w:adjustRightInd w:val="0"/>
              <w:snapToGrid w:val="0"/>
              <w:spacing w:line="400" w:lineRule="exact"/>
              <w:jc w:val="center"/>
              <w:rPr>
                <w:rFonts w:hint="eastAsia" w:ascii="宋体" w:hAnsi="宋体"/>
                <w:sz w:val="24"/>
                <w:highlight w:val="none"/>
              </w:rPr>
            </w:pPr>
          </w:p>
        </w:tc>
        <w:tc>
          <w:tcPr>
            <w:tcW w:w="1848" w:type="dxa"/>
            <w:vAlign w:val="center"/>
          </w:tcPr>
          <w:p w14:paraId="6265B4AB">
            <w:pPr>
              <w:adjustRightInd w:val="0"/>
              <w:snapToGrid w:val="0"/>
              <w:spacing w:line="400" w:lineRule="exact"/>
              <w:jc w:val="center"/>
              <w:rPr>
                <w:rFonts w:hint="eastAsia" w:ascii="宋体" w:hAnsi="宋体"/>
                <w:sz w:val="24"/>
                <w:highlight w:val="none"/>
              </w:rPr>
            </w:pPr>
          </w:p>
        </w:tc>
      </w:tr>
      <w:tr w14:paraId="37E0F2E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14:paraId="56FBDD32">
            <w:pPr>
              <w:autoSpaceDE w:val="0"/>
              <w:autoSpaceDN w:val="0"/>
              <w:adjustRightInd w:val="0"/>
              <w:spacing w:line="400" w:lineRule="exact"/>
              <w:jc w:val="center"/>
              <w:rPr>
                <w:rFonts w:hint="eastAsia" w:ascii="宋体" w:hAnsi="宋体"/>
                <w:kern w:val="0"/>
                <w:sz w:val="24"/>
                <w:highlight w:val="none"/>
              </w:rPr>
            </w:pPr>
            <w:r>
              <w:rPr>
                <w:rFonts w:hint="eastAsia" w:ascii="宋体" w:hAnsi="宋体"/>
                <w:kern w:val="0"/>
                <w:sz w:val="24"/>
                <w:highlight w:val="none"/>
              </w:rPr>
              <w:t>…</w:t>
            </w:r>
          </w:p>
        </w:tc>
        <w:tc>
          <w:tcPr>
            <w:tcW w:w="2693" w:type="dxa"/>
            <w:vAlign w:val="center"/>
          </w:tcPr>
          <w:p w14:paraId="1761A55A">
            <w:pPr>
              <w:adjustRightInd w:val="0"/>
              <w:snapToGrid w:val="0"/>
              <w:spacing w:line="400" w:lineRule="exact"/>
              <w:jc w:val="center"/>
              <w:rPr>
                <w:rFonts w:hint="eastAsia" w:ascii="宋体" w:hAnsi="宋体"/>
                <w:sz w:val="24"/>
                <w:highlight w:val="none"/>
              </w:rPr>
            </w:pPr>
          </w:p>
        </w:tc>
        <w:tc>
          <w:tcPr>
            <w:tcW w:w="2593" w:type="dxa"/>
            <w:vAlign w:val="center"/>
          </w:tcPr>
          <w:p w14:paraId="18112D89">
            <w:pPr>
              <w:adjustRightInd w:val="0"/>
              <w:snapToGrid w:val="0"/>
              <w:spacing w:line="400" w:lineRule="exact"/>
              <w:jc w:val="center"/>
              <w:rPr>
                <w:rFonts w:hint="eastAsia" w:ascii="宋体" w:hAnsi="宋体"/>
                <w:sz w:val="24"/>
                <w:highlight w:val="none"/>
              </w:rPr>
            </w:pPr>
          </w:p>
        </w:tc>
        <w:tc>
          <w:tcPr>
            <w:tcW w:w="1431" w:type="dxa"/>
            <w:vAlign w:val="center"/>
          </w:tcPr>
          <w:p w14:paraId="660CB151">
            <w:pPr>
              <w:adjustRightInd w:val="0"/>
              <w:snapToGrid w:val="0"/>
              <w:spacing w:line="400" w:lineRule="exact"/>
              <w:jc w:val="center"/>
              <w:rPr>
                <w:rFonts w:hint="eastAsia" w:ascii="宋体" w:hAnsi="宋体"/>
                <w:sz w:val="24"/>
                <w:highlight w:val="none"/>
              </w:rPr>
            </w:pPr>
          </w:p>
        </w:tc>
        <w:tc>
          <w:tcPr>
            <w:tcW w:w="1848" w:type="dxa"/>
            <w:vAlign w:val="center"/>
          </w:tcPr>
          <w:p w14:paraId="0FFB5462">
            <w:pPr>
              <w:adjustRightInd w:val="0"/>
              <w:snapToGrid w:val="0"/>
              <w:spacing w:line="400" w:lineRule="exact"/>
              <w:jc w:val="center"/>
              <w:rPr>
                <w:rFonts w:hint="eastAsia" w:ascii="宋体" w:hAnsi="宋体"/>
                <w:sz w:val="24"/>
                <w:highlight w:val="none"/>
              </w:rPr>
            </w:pPr>
          </w:p>
        </w:tc>
      </w:tr>
      <w:tr w14:paraId="50BC719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14:paraId="4BD3E781">
            <w:pPr>
              <w:autoSpaceDE w:val="0"/>
              <w:autoSpaceDN w:val="0"/>
              <w:adjustRightInd w:val="0"/>
              <w:spacing w:line="400" w:lineRule="exact"/>
              <w:jc w:val="center"/>
              <w:rPr>
                <w:rFonts w:hint="eastAsia" w:ascii="宋体" w:hAnsi="宋体"/>
                <w:kern w:val="0"/>
                <w:sz w:val="24"/>
                <w:highlight w:val="none"/>
              </w:rPr>
            </w:pPr>
            <w:r>
              <w:rPr>
                <w:rFonts w:hint="eastAsia" w:ascii="宋体" w:hAnsi="宋体"/>
                <w:kern w:val="0"/>
                <w:sz w:val="24"/>
                <w:highlight w:val="none"/>
              </w:rPr>
              <w:t>…</w:t>
            </w:r>
          </w:p>
        </w:tc>
        <w:tc>
          <w:tcPr>
            <w:tcW w:w="2693" w:type="dxa"/>
            <w:vAlign w:val="center"/>
          </w:tcPr>
          <w:p w14:paraId="1B651A4E">
            <w:pPr>
              <w:adjustRightInd w:val="0"/>
              <w:snapToGrid w:val="0"/>
              <w:spacing w:line="400" w:lineRule="exact"/>
              <w:jc w:val="center"/>
              <w:rPr>
                <w:rFonts w:hint="eastAsia" w:ascii="宋体" w:hAnsi="宋体"/>
                <w:sz w:val="24"/>
                <w:highlight w:val="none"/>
              </w:rPr>
            </w:pPr>
          </w:p>
        </w:tc>
        <w:tc>
          <w:tcPr>
            <w:tcW w:w="2593" w:type="dxa"/>
            <w:vAlign w:val="center"/>
          </w:tcPr>
          <w:p w14:paraId="10AEDF08">
            <w:pPr>
              <w:adjustRightInd w:val="0"/>
              <w:snapToGrid w:val="0"/>
              <w:spacing w:line="400" w:lineRule="exact"/>
              <w:jc w:val="center"/>
              <w:rPr>
                <w:rFonts w:hint="eastAsia" w:ascii="宋体" w:hAnsi="宋体"/>
                <w:sz w:val="24"/>
                <w:highlight w:val="none"/>
              </w:rPr>
            </w:pPr>
          </w:p>
        </w:tc>
        <w:tc>
          <w:tcPr>
            <w:tcW w:w="1431" w:type="dxa"/>
            <w:vAlign w:val="center"/>
          </w:tcPr>
          <w:p w14:paraId="1FAEEE54">
            <w:pPr>
              <w:adjustRightInd w:val="0"/>
              <w:snapToGrid w:val="0"/>
              <w:spacing w:line="400" w:lineRule="exact"/>
              <w:jc w:val="center"/>
              <w:rPr>
                <w:rFonts w:hint="eastAsia" w:ascii="宋体" w:hAnsi="宋体"/>
                <w:sz w:val="24"/>
                <w:highlight w:val="none"/>
              </w:rPr>
            </w:pPr>
          </w:p>
        </w:tc>
        <w:tc>
          <w:tcPr>
            <w:tcW w:w="1848" w:type="dxa"/>
            <w:vAlign w:val="center"/>
          </w:tcPr>
          <w:p w14:paraId="14F9DDBE">
            <w:pPr>
              <w:adjustRightInd w:val="0"/>
              <w:snapToGrid w:val="0"/>
              <w:spacing w:line="400" w:lineRule="exact"/>
              <w:jc w:val="center"/>
              <w:rPr>
                <w:rFonts w:hint="eastAsia" w:ascii="宋体" w:hAnsi="宋体"/>
                <w:sz w:val="24"/>
                <w:highlight w:val="none"/>
              </w:rPr>
            </w:pPr>
          </w:p>
        </w:tc>
      </w:tr>
      <w:tr w14:paraId="38FB79D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14:paraId="685F07E5">
            <w:pPr>
              <w:adjustRightInd w:val="0"/>
              <w:snapToGrid w:val="0"/>
              <w:spacing w:line="400" w:lineRule="exact"/>
              <w:jc w:val="center"/>
              <w:rPr>
                <w:rFonts w:hint="eastAsia" w:ascii="宋体" w:hAnsi="宋体"/>
                <w:sz w:val="24"/>
                <w:highlight w:val="none"/>
              </w:rPr>
            </w:pPr>
            <w:r>
              <w:rPr>
                <w:rFonts w:hint="eastAsia" w:ascii="宋体" w:hAnsi="宋体"/>
                <w:kern w:val="0"/>
                <w:sz w:val="24"/>
                <w:highlight w:val="none"/>
              </w:rPr>
              <w:t>…</w:t>
            </w:r>
          </w:p>
        </w:tc>
        <w:tc>
          <w:tcPr>
            <w:tcW w:w="2693" w:type="dxa"/>
            <w:vAlign w:val="center"/>
          </w:tcPr>
          <w:p w14:paraId="20BECC10">
            <w:pPr>
              <w:adjustRightInd w:val="0"/>
              <w:snapToGrid w:val="0"/>
              <w:spacing w:line="400" w:lineRule="exact"/>
              <w:jc w:val="center"/>
              <w:rPr>
                <w:rFonts w:hint="eastAsia" w:ascii="宋体" w:hAnsi="宋体"/>
                <w:sz w:val="24"/>
                <w:highlight w:val="none"/>
              </w:rPr>
            </w:pPr>
          </w:p>
        </w:tc>
        <w:tc>
          <w:tcPr>
            <w:tcW w:w="2593" w:type="dxa"/>
            <w:vAlign w:val="center"/>
          </w:tcPr>
          <w:p w14:paraId="52A73C8E">
            <w:pPr>
              <w:adjustRightInd w:val="0"/>
              <w:snapToGrid w:val="0"/>
              <w:spacing w:line="400" w:lineRule="exact"/>
              <w:jc w:val="center"/>
              <w:rPr>
                <w:rFonts w:hint="eastAsia" w:ascii="宋体" w:hAnsi="宋体"/>
                <w:sz w:val="24"/>
                <w:highlight w:val="none"/>
              </w:rPr>
            </w:pPr>
          </w:p>
        </w:tc>
        <w:tc>
          <w:tcPr>
            <w:tcW w:w="1431" w:type="dxa"/>
            <w:vAlign w:val="center"/>
          </w:tcPr>
          <w:p w14:paraId="74CAFD02">
            <w:pPr>
              <w:adjustRightInd w:val="0"/>
              <w:snapToGrid w:val="0"/>
              <w:spacing w:line="400" w:lineRule="exact"/>
              <w:jc w:val="center"/>
              <w:rPr>
                <w:rFonts w:hint="eastAsia" w:ascii="宋体" w:hAnsi="宋体"/>
                <w:sz w:val="24"/>
                <w:highlight w:val="none"/>
              </w:rPr>
            </w:pPr>
          </w:p>
        </w:tc>
        <w:tc>
          <w:tcPr>
            <w:tcW w:w="1848" w:type="dxa"/>
            <w:vAlign w:val="center"/>
          </w:tcPr>
          <w:p w14:paraId="2A59255F">
            <w:pPr>
              <w:adjustRightInd w:val="0"/>
              <w:snapToGrid w:val="0"/>
              <w:spacing w:line="400" w:lineRule="exact"/>
              <w:jc w:val="center"/>
              <w:rPr>
                <w:rFonts w:hint="eastAsia" w:ascii="宋体" w:hAnsi="宋体"/>
                <w:sz w:val="24"/>
                <w:highlight w:val="none"/>
              </w:rPr>
            </w:pPr>
          </w:p>
        </w:tc>
      </w:tr>
    </w:tbl>
    <w:p w14:paraId="227EF0A6">
      <w:pPr>
        <w:autoSpaceDE w:val="0"/>
        <w:autoSpaceDN w:val="0"/>
        <w:adjustRightInd w:val="0"/>
        <w:spacing w:line="400" w:lineRule="exact"/>
        <w:ind w:firstLine="5160" w:firstLineChars="2150"/>
        <w:rPr>
          <w:rFonts w:hint="eastAsia" w:ascii="宋体" w:hAnsi="宋体"/>
          <w:kern w:val="0"/>
          <w:sz w:val="24"/>
          <w:highlight w:val="none"/>
          <w:lang w:val="zh-CN"/>
        </w:rPr>
      </w:pPr>
    </w:p>
    <w:p w14:paraId="7AE2D037">
      <w:pPr>
        <w:adjustRightInd w:val="0"/>
        <w:snapToGrid w:val="0"/>
        <w:spacing w:line="400" w:lineRule="exact"/>
        <w:rPr>
          <w:rFonts w:hint="eastAsia" w:ascii="宋体" w:hAnsi="宋体"/>
          <w:b/>
          <w:kern w:val="0"/>
          <w:sz w:val="24"/>
          <w:highlight w:val="none"/>
          <w:lang w:val="zh-CN"/>
        </w:rPr>
      </w:pPr>
      <w:r>
        <w:rPr>
          <w:rFonts w:hint="eastAsia" w:ascii="宋体" w:hAnsi="宋体"/>
          <w:b/>
          <w:kern w:val="0"/>
          <w:sz w:val="24"/>
          <w:highlight w:val="none"/>
          <w:lang w:val="zh-CN"/>
        </w:rPr>
        <w:t>注：“商务偏离”是指对“商务部分”中条款的偏离，“技术偏离”是指对“第三部分  采购需求”中条款的偏离。本表仅在有偏离时填写，注明是正/负偏离，并说明理由。“投标文件响应”复制“招标文件要求”内容，不填写或未提供偏离表均视为无偏离。</w:t>
      </w:r>
    </w:p>
    <w:p w14:paraId="6A5ACBDC">
      <w:pPr>
        <w:adjustRightInd w:val="0"/>
        <w:snapToGrid w:val="0"/>
        <w:spacing w:line="400" w:lineRule="exact"/>
        <w:rPr>
          <w:rFonts w:hint="eastAsia" w:ascii="宋体" w:hAnsi="宋体"/>
          <w:kern w:val="0"/>
          <w:sz w:val="24"/>
          <w:highlight w:val="none"/>
          <w:lang w:val="zh-CN"/>
        </w:rPr>
      </w:pPr>
    </w:p>
    <w:p w14:paraId="384B96C2">
      <w:pPr>
        <w:adjustRightInd w:val="0"/>
        <w:snapToGrid w:val="0"/>
        <w:spacing w:line="400" w:lineRule="exact"/>
        <w:rPr>
          <w:rFonts w:hint="eastAsia" w:ascii="宋体" w:hAnsi="宋体"/>
          <w:kern w:val="0"/>
          <w:sz w:val="24"/>
          <w:highlight w:val="none"/>
          <w:lang w:val="zh-CN"/>
        </w:rPr>
      </w:pPr>
    </w:p>
    <w:p w14:paraId="46E3502A">
      <w:pPr>
        <w:adjustRightInd w:val="0"/>
        <w:snapToGrid w:val="0"/>
        <w:spacing w:line="400" w:lineRule="exact"/>
        <w:rPr>
          <w:rFonts w:hint="eastAsia" w:ascii="宋体" w:hAnsi="宋体"/>
          <w:kern w:val="0"/>
          <w:sz w:val="24"/>
          <w:highlight w:val="none"/>
        </w:rPr>
      </w:pPr>
      <w:r>
        <w:rPr>
          <w:rFonts w:hint="eastAsia" w:ascii="宋体" w:hAnsi="宋体"/>
          <w:kern w:val="0"/>
          <w:sz w:val="24"/>
          <w:highlight w:val="none"/>
          <w:lang w:val="zh-CN"/>
        </w:rPr>
        <w:t>法定/授权代表：</w:t>
      </w:r>
      <w:r>
        <w:rPr>
          <w:rFonts w:hint="eastAsia" w:ascii="宋体" w:hAnsi="宋体"/>
          <w:kern w:val="0"/>
          <w:sz w:val="24"/>
          <w:highlight w:val="none"/>
          <w:u w:val="single"/>
          <w:lang w:val="zh-CN"/>
        </w:rPr>
        <w:t xml:space="preserve">（签字或盖章） </w:t>
      </w:r>
    </w:p>
    <w:p w14:paraId="1987443C">
      <w:pPr>
        <w:adjustRightInd w:val="0"/>
        <w:snapToGrid w:val="0"/>
        <w:spacing w:line="400" w:lineRule="exact"/>
        <w:rPr>
          <w:rFonts w:hint="eastAsia" w:ascii="宋体" w:hAnsi="宋体"/>
          <w:kern w:val="0"/>
          <w:sz w:val="24"/>
          <w:highlight w:val="none"/>
          <w:u w:val="single"/>
          <w:lang w:val="zh-CN"/>
        </w:rPr>
      </w:pPr>
      <w:r>
        <w:rPr>
          <w:rFonts w:hint="eastAsia" w:ascii="宋体" w:hAnsi="宋体"/>
          <w:kern w:val="0"/>
          <w:sz w:val="24"/>
          <w:highlight w:val="none"/>
          <w:lang w:val="zh-CN"/>
        </w:rPr>
        <w:t>投标人：</w:t>
      </w:r>
      <w:r>
        <w:rPr>
          <w:rFonts w:hint="eastAsia" w:ascii="宋体" w:hAnsi="宋体"/>
          <w:kern w:val="0"/>
          <w:sz w:val="24"/>
          <w:highlight w:val="none"/>
          <w:u w:val="single"/>
          <w:lang w:val="zh-CN"/>
        </w:rPr>
        <w:t xml:space="preserve">（全称加盖公章）       </w:t>
      </w:r>
    </w:p>
    <w:p w14:paraId="755177A1">
      <w:pPr>
        <w:adjustRightInd w:val="0"/>
        <w:snapToGrid w:val="0"/>
        <w:spacing w:line="400" w:lineRule="exact"/>
        <w:rPr>
          <w:rFonts w:hint="eastAsia" w:ascii="宋体" w:hAnsi="宋体"/>
          <w:kern w:val="0"/>
          <w:sz w:val="24"/>
          <w:highlight w:val="none"/>
          <w:lang w:val="zh-CN"/>
        </w:rPr>
      </w:pPr>
      <w:r>
        <w:rPr>
          <w:rFonts w:hint="eastAsia" w:ascii="宋体" w:hAnsi="宋体"/>
          <w:kern w:val="0"/>
          <w:sz w:val="24"/>
          <w:highlight w:val="none"/>
          <w:lang w:val="zh-CN"/>
        </w:rPr>
        <w:t>日期</w:t>
      </w:r>
      <w:r>
        <w:rPr>
          <w:rFonts w:hint="eastAsia" w:ascii="宋体" w:hAnsi="宋体"/>
          <w:kern w:val="0"/>
          <w:sz w:val="24"/>
          <w:highlight w:val="none"/>
        </w:rPr>
        <w:t xml:space="preserve">： </w:t>
      </w:r>
      <w:r>
        <w:rPr>
          <w:rFonts w:hint="eastAsia" w:ascii="宋体" w:hAnsi="宋体"/>
          <w:kern w:val="0"/>
          <w:sz w:val="24"/>
          <w:highlight w:val="none"/>
          <w:u w:val="single"/>
        </w:rPr>
        <w:t xml:space="preserve">   </w:t>
      </w:r>
      <w:r>
        <w:rPr>
          <w:rFonts w:hint="eastAsia" w:ascii="宋体" w:hAnsi="宋体"/>
          <w:kern w:val="0"/>
          <w:sz w:val="24"/>
          <w:highlight w:val="none"/>
          <w:lang w:val="zh-CN"/>
        </w:rPr>
        <w:t>年</w:t>
      </w:r>
      <w:r>
        <w:rPr>
          <w:rFonts w:hint="eastAsia" w:ascii="宋体" w:hAnsi="宋体"/>
          <w:kern w:val="0"/>
          <w:sz w:val="24"/>
          <w:highlight w:val="none"/>
          <w:u w:val="single"/>
        </w:rPr>
        <w:tab/>
      </w:r>
      <w:r>
        <w:rPr>
          <w:rFonts w:hint="eastAsia" w:ascii="宋体" w:hAnsi="宋体"/>
          <w:kern w:val="0"/>
          <w:sz w:val="24"/>
          <w:highlight w:val="none"/>
          <w:lang w:val="zh-CN"/>
        </w:rPr>
        <w:t>月</w:t>
      </w:r>
      <w:r>
        <w:rPr>
          <w:rFonts w:hint="eastAsia" w:ascii="宋体" w:hAnsi="宋体"/>
          <w:kern w:val="0"/>
          <w:sz w:val="24"/>
          <w:highlight w:val="none"/>
          <w:u w:val="single"/>
        </w:rPr>
        <w:t xml:space="preserve">   </w:t>
      </w:r>
      <w:r>
        <w:rPr>
          <w:rFonts w:hint="eastAsia" w:ascii="宋体" w:hAnsi="宋体"/>
          <w:kern w:val="0"/>
          <w:sz w:val="24"/>
          <w:highlight w:val="none"/>
          <w:lang w:val="zh-CN"/>
        </w:rPr>
        <w:t>日</w:t>
      </w:r>
    </w:p>
    <w:p w14:paraId="5167406A">
      <w:pPr>
        <w:pStyle w:val="35"/>
        <w:spacing w:after="0" w:line="400" w:lineRule="exact"/>
        <w:ind w:left="560"/>
        <w:rPr>
          <w:rFonts w:hint="eastAsia" w:ascii="宋体" w:hAnsi="宋体"/>
          <w:kern w:val="0"/>
          <w:sz w:val="24"/>
          <w:highlight w:val="none"/>
          <w:lang w:val="zh-CN"/>
        </w:rPr>
      </w:pPr>
    </w:p>
    <w:p w14:paraId="011F1620">
      <w:pPr>
        <w:pStyle w:val="87"/>
        <w:spacing w:after="0" w:line="400" w:lineRule="exact"/>
        <w:ind w:left="560" w:firstLine="480"/>
        <w:rPr>
          <w:rFonts w:hint="eastAsia" w:ascii="宋体" w:hAnsi="宋体"/>
          <w:kern w:val="0"/>
          <w:sz w:val="24"/>
          <w:highlight w:val="none"/>
          <w:lang w:val="zh-CN"/>
        </w:rPr>
      </w:pPr>
    </w:p>
    <w:p w14:paraId="20A08785">
      <w:pPr>
        <w:pStyle w:val="86"/>
        <w:spacing w:after="0" w:line="400" w:lineRule="exact"/>
        <w:ind w:firstLine="240"/>
        <w:rPr>
          <w:rFonts w:hint="eastAsia" w:ascii="宋体" w:hAnsi="宋体"/>
          <w:kern w:val="0"/>
          <w:sz w:val="24"/>
          <w:highlight w:val="none"/>
          <w:lang w:val="zh-CN"/>
        </w:rPr>
      </w:pPr>
    </w:p>
    <w:p w14:paraId="497BAE24">
      <w:pPr>
        <w:pStyle w:val="68"/>
        <w:rPr>
          <w:highlight w:val="none"/>
          <w:lang w:val="zh-CN"/>
        </w:rPr>
      </w:pPr>
    </w:p>
    <w:p w14:paraId="28D48298">
      <w:pPr>
        <w:rPr>
          <w:highlight w:val="none"/>
          <w:lang w:val="zh-CN"/>
        </w:rPr>
      </w:pPr>
    </w:p>
    <w:p w14:paraId="7BA2C566">
      <w:pPr>
        <w:pStyle w:val="59"/>
        <w:rPr>
          <w:highlight w:val="none"/>
          <w:lang w:val="zh-CN"/>
        </w:rPr>
      </w:pPr>
    </w:p>
    <w:p w14:paraId="2E7BE57F">
      <w:pPr>
        <w:rPr>
          <w:highlight w:val="none"/>
          <w:lang w:val="zh-CN"/>
        </w:rPr>
      </w:pPr>
    </w:p>
    <w:p w14:paraId="62201453">
      <w:pPr>
        <w:pStyle w:val="59"/>
        <w:rPr>
          <w:highlight w:val="none"/>
          <w:lang w:val="zh-CN"/>
        </w:rPr>
      </w:pPr>
    </w:p>
    <w:p w14:paraId="03B8902B">
      <w:pPr>
        <w:adjustRightInd w:val="0"/>
        <w:snapToGrid w:val="0"/>
        <w:spacing w:line="360" w:lineRule="auto"/>
        <w:ind w:firstLine="562" w:firstLineChars="200"/>
        <w:jc w:val="center"/>
        <w:rPr>
          <w:rFonts w:hint="eastAsia" w:ascii="宋体" w:hAnsi="宋体" w:cs="宋体"/>
          <w:b/>
          <w:highlight w:val="none"/>
        </w:rPr>
      </w:pPr>
    </w:p>
    <w:p w14:paraId="5A7F7732">
      <w:pPr>
        <w:adjustRightInd w:val="0"/>
        <w:snapToGrid w:val="0"/>
        <w:spacing w:line="360" w:lineRule="auto"/>
        <w:ind w:firstLine="562" w:firstLineChars="200"/>
        <w:jc w:val="center"/>
        <w:rPr>
          <w:rFonts w:hint="eastAsia" w:ascii="宋体" w:hAnsi="宋体" w:cs="宋体"/>
          <w:b/>
          <w:szCs w:val="22"/>
          <w:highlight w:val="none"/>
        </w:rPr>
      </w:pPr>
      <w:r>
        <w:rPr>
          <w:rFonts w:hint="eastAsia" w:ascii="宋体" w:hAnsi="宋体" w:cs="宋体"/>
          <w:b/>
          <w:szCs w:val="22"/>
          <w:highlight w:val="none"/>
        </w:rPr>
        <w:t>格式六：拟投入本项目的服务团队情况表</w:t>
      </w:r>
      <w:bookmarkEnd w:id="99"/>
    </w:p>
    <w:tbl>
      <w:tblPr>
        <w:tblStyle w:val="88"/>
        <w:tblW w:w="9223"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252"/>
        <w:gridCol w:w="3392"/>
        <w:gridCol w:w="1417"/>
        <w:gridCol w:w="1555"/>
        <w:gridCol w:w="1052"/>
      </w:tblGrid>
      <w:tr w14:paraId="5EBE694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555" w:type="dxa"/>
            <w:vAlign w:val="center"/>
          </w:tcPr>
          <w:p w14:paraId="670C8E21">
            <w:pPr>
              <w:autoSpaceDE w:val="0"/>
              <w:autoSpaceDN w:val="0"/>
              <w:adjustRightInd w:val="0"/>
              <w:spacing w:line="400" w:lineRule="exact"/>
              <w:jc w:val="center"/>
              <w:rPr>
                <w:rFonts w:hint="eastAsia" w:ascii="宋体" w:hAnsi="宋体" w:cs="宋体"/>
                <w:b/>
                <w:kern w:val="0"/>
                <w:sz w:val="24"/>
                <w:highlight w:val="none"/>
              </w:rPr>
            </w:pPr>
            <w:r>
              <w:rPr>
                <w:rFonts w:hint="eastAsia" w:ascii="宋体" w:hAnsi="宋体" w:cs="宋体"/>
                <w:b/>
                <w:kern w:val="0"/>
                <w:sz w:val="24"/>
                <w:highlight w:val="none"/>
              </w:rPr>
              <w:t>序号</w:t>
            </w:r>
          </w:p>
        </w:tc>
        <w:tc>
          <w:tcPr>
            <w:tcW w:w="1252" w:type="dxa"/>
            <w:vAlign w:val="center"/>
          </w:tcPr>
          <w:p w14:paraId="67B58770">
            <w:pPr>
              <w:autoSpaceDE w:val="0"/>
              <w:autoSpaceDN w:val="0"/>
              <w:adjustRightInd w:val="0"/>
              <w:spacing w:line="400" w:lineRule="exact"/>
              <w:jc w:val="center"/>
              <w:rPr>
                <w:rFonts w:hint="eastAsia" w:ascii="宋体" w:hAnsi="宋体" w:cs="宋体"/>
                <w:b/>
                <w:kern w:val="0"/>
                <w:sz w:val="24"/>
                <w:highlight w:val="none"/>
              </w:rPr>
            </w:pPr>
            <w:r>
              <w:rPr>
                <w:rFonts w:hint="eastAsia" w:ascii="宋体" w:hAnsi="宋体" w:cs="宋体"/>
                <w:b/>
                <w:kern w:val="0"/>
                <w:sz w:val="24"/>
                <w:highlight w:val="none"/>
              </w:rPr>
              <w:t>姓名</w:t>
            </w:r>
          </w:p>
        </w:tc>
        <w:tc>
          <w:tcPr>
            <w:tcW w:w="3392" w:type="dxa"/>
            <w:vAlign w:val="center"/>
          </w:tcPr>
          <w:p w14:paraId="3A19D2C4">
            <w:pPr>
              <w:autoSpaceDE w:val="0"/>
              <w:autoSpaceDN w:val="0"/>
              <w:adjustRightInd w:val="0"/>
              <w:spacing w:line="400" w:lineRule="exact"/>
              <w:jc w:val="center"/>
              <w:rPr>
                <w:rFonts w:hint="eastAsia" w:ascii="宋体" w:hAnsi="宋体" w:cs="宋体"/>
                <w:b/>
                <w:kern w:val="0"/>
                <w:sz w:val="24"/>
                <w:highlight w:val="none"/>
              </w:rPr>
            </w:pPr>
            <w:r>
              <w:rPr>
                <w:rFonts w:hint="eastAsia" w:ascii="宋体" w:hAnsi="宋体" w:cs="宋体"/>
                <w:b/>
                <w:kern w:val="0"/>
                <w:sz w:val="24"/>
                <w:highlight w:val="none"/>
              </w:rPr>
              <w:t>职称及相关专业认证（或执业资格）情况（如评分需要）</w:t>
            </w:r>
          </w:p>
        </w:tc>
        <w:tc>
          <w:tcPr>
            <w:tcW w:w="1417" w:type="dxa"/>
            <w:vAlign w:val="center"/>
          </w:tcPr>
          <w:p w14:paraId="0BB78572">
            <w:pPr>
              <w:autoSpaceDE w:val="0"/>
              <w:autoSpaceDN w:val="0"/>
              <w:adjustRightInd w:val="0"/>
              <w:spacing w:line="400" w:lineRule="exact"/>
              <w:jc w:val="center"/>
              <w:rPr>
                <w:rFonts w:hint="eastAsia" w:ascii="宋体" w:hAnsi="宋体" w:cs="宋体"/>
                <w:b/>
                <w:kern w:val="0"/>
                <w:sz w:val="24"/>
                <w:highlight w:val="none"/>
              </w:rPr>
            </w:pPr>
            <w:r>
              <w:rPr>
                <w:rFonts w:hint="eastAsia" w:ascii="宋体" w:hAnsi="宋体" w:cs="宋体"/>
                <w:b/>
                <w:kern w:val="0"/>
                <w:sz w:val="24"/>
                <w:highlight w:val="none"/>
              </w:rPr>
              <w:t>在本单位工作年限</w:t>
            </w:r>
          </w:p>
        </w:tc>
        <w:tc>
          <w:tcPr>
            <w:tcW w:w="1555" w:type="dxa"/>
            <w:vAlign w:val="center"/>
          </w:tcPr>
          <w:p w14:paraId="1A870A88">
            <w:pPr>
              <w:autoSpaceDE w:val="0"/>
              <w:autoSpaceDN w:val="0"/>
              <w:adjustRightInd w:val="0"/>
              <w:spacing w:line="400" w:lineRule="exact"/>
              <w:jc w:val="center"/>
              <w:rPr>
                <w:rFonts w:hint="eastAsia" w:ascii="宋体" w:hAnsi="宋体" w:cs="宋体"/>
                <w:b/>
                <w:kern w:val="0"/>
                <w:sz w:val="24"/>
                <w:highlight w:val="none"/>
              </w:rPr>
            </w:pPr>
            <w:r>
              <w:rPr>
                <w:rFonts w:hint="eastAsia" w:ascii="宋体" w:hAnsi="宋体" w:cs="宋体"/>
                <w:b/>
                <w:kern w:val="0"/>
                <w:sz w:val="24"/>
                <w:highlight w:val="none"/>
              </w:rPr>
              <w:t>在本项目中拟担任职务</w:t>
            </w:r>
          </w:p>
        </w:tc>
        <w:tc>
          <w:tcPr>
            <w:tcW w:w="1052" w:type="dxa"/>
            <w:vAlign w:val="center"/>
          </w:tcPr>
          <w:p w14:paraId="49ABCC03">
            <w:pPr>
              <w:autoSpaceDE w:val="0"/>
              <w:autoSpaceDN w:val="0"/>
              <w:adjustRightInd w:val="0"/>
              <w:spacing w:line="400" w:lineRule="exact"/>
              <w:jc w:val="center"/>
              <w:rPr>
                <w:rFonts w:hint="eastAsia" w:ascii="宋体" w:hAnsi="宋体" w:cs="宋体"/>
                <w:b/>
                <w:kern w:val="0"/>
                <w:sz w:val="24"/>
                <w:highlight w:val="none"/>
              </w:rPr>
            </w:pPr>
            <w:r>
              <w:rPr>
                <w:rFonts w:hint="eastAsia" w:ascii="宋体" w:hAnsi="宋体" w:cs="宋体"/>
                <w:b/>
                <w:kern w:val="0"/>
                <w:sz w:val="24"/>
                <w:highlight w:val="none"/>
              </w:rPr>
              <w:t>备注</w:t>
            </w:r>
          </w:p>
        </w:tc>
      </w:tr>
      <w:tr w14:paraId="6E3E9B8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014" w:hRule="exact"/>
        </w:trPr>
        <w:tc>
          <w:tcPr>
            <w:tcW w:w="555" w:type="dxa"/>
            <w:vAlign w:val="center"/>
          </w:tcPr>
          <w:p w14:paraId="49DAA37C">
            <w:pPr>
              <w:autoSpaceDE w:val="0"/>
              <w:autoSpaceDN w:val="0"/>
              <w:adjustRightInd w:val="0"/>
              <w:spacing w:line="400" w:lineRule="exact"/>
              <w:jc w:val="center"/>
              <w:rPr>
                <w:rFonts w:hint="eastAsia" w:ascii="宋体" w:hAnsi="宋体" w:cs="宋体"/>
                <w:kern w:val="0"/>
                <w:sz w:val="24"/>
                <w:highlight w:val="none"/>
              </w:rPr>
            </w:pPr>
            <w:r>
              <w:rPr>
                <w:rFonts w:hint="eastAsia" w:ascii="宋体" w:hAnsi="宋体" w:cs="宋体"/>
                <w:kern w:val="0"/>
                <w:sz w:val="24"/>
                <w:highlight w:val="none"/>
              </w:rPr>
              <w:t>1</w:t>
            </w:r>
          </w:p>
        </w:tc>
        <w:tc>
          <w:tcPr>
            <w:tcW w:w="1252" w:type="dxa"/>
            <w:vAlign w:val="center"/>
          </w:tcPr>
          <w:p w14:paraId="63BEB731">
            <w:pPr>
              <w:autoSpaceDE w:val="0"/>
              <w:autoSpaceDN w:val="0"/>
              <w:adjustRightInd w:val="0"/>
              <w:spacing w:line="400" w:lineRule="exact"/>
              <w:rPr>
                <w:rFonts w:hint="eastAsia" w:ascii="宋体" w:hAnsi="宋体" w:cs="宋体"/>
                <w:kern w:val="0"/>
                <w:sz w:val="24"/>
                <w:highlight w:val="none"/>
              </w:rPr>
            </w:pPr>
          </w:p>
        </w:tc>
        <w:tc>
          <w:tcPr>
            <w:tcW w:w="3392" w:type="dxa"/>
            <w:vAlign w:val="center"/>
          </w:tcPr>
          <w:p w14:paraId="2686C944">
            <w:pPr>
              <w:autoSpaceDE w:val="0"/>
              <w:autoSpaceDN w:val="0"/>
              <w:adjustRightInd w:val="0"/>
              <w:spacing w:line="400" w:lineRule="exact"/>
              <w:rPr>
                <w:rFonts w:hint="eastAsia" w:ascii="宋体" w:hAnsi="宋体" w:cs="宋体"/>
                <w:kern w:val="0"/>
                <w:sz w:val="24"/>
                <w:highlight w:val="none"/>
              </w:rPr>
            </w:pPr>
          </w:p>
        </w:tc>
        <w:tc>
          <w:tcPr>
            <w:tcW w:w="1417" w:type="dxa"/>
            <w:vAlign w:val="center"/>
          </w:tcPr>
          <w:p w14:paraId="1BE3EFDA">
            <w:pPr>
              <w:autoSpaceDE w:val="0"/>
              <w:autoSpaceDN w:val="0"/>
              <w:adjustRightInd w:val="0"/>
              <w:spacing w:line="400" w:lineRule="exact"/>
              <w:rPr>
                <w:rFonts w:hint="eastAsia" w:ascii="宋体" w:hAnsi="宋体" w:cs="宋体"/>
                <w:kern w:val="0"/>
                <w:sz w:val="24"/>
                <w:highlight w:val="none"/>
              </w:rPr>
            </w:pPr>
          </w:p>
        </w:tc>
        <w:tc>
          <w:tcPr>
            <w:tcW w:w="1555" w:type="dxa"/>
            <w:vAlign w:val="center"/>
          </w:tcPr>
          <w:p w14:paraId="12752FE0">
            <w:pPr>
              <w:autoSpaceDE w:val="0"/>
              <w:autoSpaceDN w:val="0"/>
              <w:adjustRightInd w:val="0"/>
              <w:spacing w:line="400" w:lineRule="exact"/>
              <w:rPr>
                <w:rFonts w:hint="eastAsia" w:ascii="宋体" w:hAnsi="宋体" w:cs="宋体"/>
                <w:kern w:val="0"/>
                <w:sz w:val="24"/>
                <w:highlight w:val="none"/>
              </w:rPr>
            </w:pPr>
            <w:r>
              <w:rPr>
                <w:rFonts w:hint="eastAsia" w:ascii="宋体" w:hAnsi="宋体" w:cs="宋体"/>
                <w:kern w:val="0"/>
                <w:sz w:val="24"/>
                <w:highlight w:val="none"/>
              </w:rPr>
              <w:t xml:space="preserve"> 项目负责人</w:t>
            </w:r>
          </w:p>
        </w:tc>
        <w:tc>
          <w:tcPr>
            <w:tcW w:w="1052" w:type="dxa"/>
            <w:vAlign w:val="center"/>
          </w:tcPr>
          <w:p w14:paraId="34BA6843">
            <w:pPr>
              <w:autoSpaceDE w:val="0"/>
              <w:autoSpaceDN w:val="0"/>
              <w:adjustRightInd w:val="0"/>
              <w:spacing w:line="400" w:lineRule="exact"/>
              <w:rPr>
                <w:rFonts w:hint="eastAsia" w:ascii="宋体" w:hAnsi="宋体" w:cs="宋体"/>
                <w:kern w:val="0"/>
                <w:sz w:val="24"/>
                <w:highlight w:val="none"/>
              </w:rPr>
            </w:pPr>
          </w:p>
        </w:tc>
      </w:tr>
      <w:tr w14:paraId="203F619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14:paraId="72E20F17">
            <w:pPr>
              <w:autoSpaceDE w:val="0"/>
              <w:autoSpaceDN w:val="0"/>
              <w:adjustRightInd w:val="0"/>
              <w:spacing w:line="400" w:lineRule="exact"/>
              <w:jc w:val="center"/>
              <w:rPr>
                <w:rFonts w:hint="eastAsia" w:ascii="宋体" w:hAnsi="宋体" w:cs="宋体"/>
                <w:kern w:val="0"/>
                <w:sz w:val="24"/>
                <w:highlight w:val="none"/>
              </w:rPr>
            </w:pPr>
            <w:r>
              <w:rPr>
                <w:rFonts w:hint="eastAsia" w:ascii="宋体" w:hAnsi="宋体" w:cs="宋体"/>
                <w:kern w:val="0"/>
                <w:sz w:val="24"/>
                <w:highlight w:val="none"/>
              </w:rPr>
              <w:t>2</w:t>
            </w:r>
          </w:p>
        </w:tc>
        <w:tc>
          <w:tcPr>
            <w:tcW w:w="1252" w:type="dxa"/>
            <w:vAlign w:val="center"/>
          </w:tcPr>
          <w:p w14:paraId="6569DF43">
            <w:pPr>
              <w:autoSpaceDE w:val="0"/>
              <w:autoSpaceDN w:val="0"/>
              <w:adjustRightInd w:val="0"/>
              <w:spacing w:line="400" w:lineRule="exact"/>
              <w:rPr>
                <w:rFonts w:hint="eastAsia" w:ascii="宋体" w:hAnsi="宋体" w:cs="宋体"/>
                <w:kern w:val="0"/>
                <w:sz w:val="24"/>
                <w:highlight w:val="none"/>
              </w:rPr>
            </w:pPr>
          </w:p>
        </w:tc>
        <w:tc>
          <w:tcPr>
            <w:tcW w:w="3392" w:type="dxa"/>
            <w:vAlign w:val="center"/>
          </w:tcPr>
          <w:p w14:paraId="29A6FB90">
            <w:pPr>
              <w:autoSpaceDE w:val="0"/>
              <w:autoSpaceDN w:val="0"/>
              <w:adjustRightInd w:val="0"/>
              <w:spacing w:line="400" w:lineRule="exact"/>
              <w:rPr>
                <w:rFonts w:hint="eastAsia" w:ascii="宋体" w:hAnsi="宋体" w:cs="宋体"/>
                <w:kern w:val="0"/>
                <w:sz w:val="24"/>
                <w:highlight w:val="none"/>
              </w:rPr>
            </w:pPr>
          </w:p>
        </w:tc>
        <w:tc>
          <w:tcPr>
            <w:tcW w:w="1417" w:type="dxa"/>
            <w:vAlign w:val="center"/>
          </w:tcPr>
          <w:p w14:paraId="060D7E36">
            <w:pPr>
              <w:autoSpaceDE w:val="0"/>
              <w:autoSpaceDN w:val="0"/>
              <w:adjustRightInd w:val="0"/>
              <w:spacing w:line="400" w:lineRule="exact"/>
              <w:rPr>
                <w:rFonts w:hint="eastAsia" w:ascii="宋体" w:hAnsi="宋体" w:cs="宋体"/>
                <w:kern w:val="0"/>
                <w:sz w:val="24"/>
                <w:highlight w:val="none"/>
              </w:rPr>
            </w:pPr>
          </w:p>
        </w:tc>
        <w:tc>
          <w:tcPr>
            <w:tcW w:w="1555" w:type="dxa"/>
            <w:vAlign w:val="center"/>
          </w:tcPr>
          <w:p w14:paraId="4EAF8840">
            <w:pPr>
              <w:spacing w:line="360" w:lineRule="auto"/>
              <w:jc w:val="center"/>
              <w:rPr>
                <w:rFonts w:hint="eastAsia" w:ascii="宋体" w:hAnsi="宋体" w:cs="宋体"/>
                <w:kern w:val="0"/>
                <w:sz w:val="24"/>
                <w:highlight w:val="none"/>
              </w:rPr>
            </w:pPr>
          </w:p>
        </w:tc>
        <w:tc>
          <w:tcPr>
            <w:tcW w:w="1052" w:type="dxa"/>
            <w:vAlign w:val="center"/>
          </w:tcPr>
          <w:p w14:paraId="3F0AE6A7">
            <w:pPr>
              <w:autoSpaceDE w:val="0"/>
              <w:autoSpaceDN w:val="0"/>
              <w:adjustRightInd w:val="0"/>
              <w:spacing w:line="400" w:lineRule="exact"/>
              <w:rPr>
                <w:rFonts w:hint="eastAsia" w:ascii="宋体" w:hAnsi="宋体" w:cs="宋体"/>
                <w:kern w:val="0"/>
                <w:sz w:val="24"/>
                <w:highlight w:val="none"/>
              </w:rPr>
            </w:pPr>
          </w:p>
        </w:tc>
      </w:tr>
      <w:tr w14:paraId="24FC973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14:paraId="3A90D925">
            <w:pPr>
              <w:autoSpaceDE w:val="0"/>
              <w:autoSpaceDN w:val="0"/>
              <w:adjustRightInd w:val="0"/>
              <w:spacing w:line="400" w:lineRule="exact"/>
              <w:jc w:val="center"/>
              <w:rPr>
                <w:rFonts w:hint="eastAsia" w:ascii="宋体" w:hAnsi="宋体" w:cs="宋体"/>
                <w:kern w:val="0"/>
                <w:sz w:val="24"/>
                <w:highlight w:val="none"/>
              </w:rPr>
            </w:pPr>
            <w:r>
              <w:rPr>
                <w:rFonts w:hint="eastAsia" w:ascii="宋体" w:hAnsi="宋体" w:cs="宋体"/>
                <w:kern w:val="0"/>
                <w:sz w:val="24"/>
                <w:highlight w:val="none"/>
              </w:rPr>
              <w:t>3</w:t>
            </w:r>
          </w:p>
        </w:tc>
        <w:tc>
          <w:tcPr>
            <w:tcW w:w="1252" w:type="dxa"/>
            <w:vAlign w:val="center"/>
          </w:tcPr>
          <w:p w14:paraId="61E725C0">
            <w:pPr>
              <w:autoSpaceDE w:val="0"/>
              <w:autoSpaceDN w:val="0"/>
              <w:adjustRightInd w:val="0"/>
              <w:spacing w:line="400" w:lineRule="exact"/>
              <w:rPr>
                <w:rFonts w:hint="eastAsia" w:ascii="宋体" w:hAnsi="宋体" w:cs="宋体"/>
                <w:kern w:val="0"/>
                <w:sz w:val="24"/>
                <w:highlight w:val="none"/>
              </w:rPr>
            </w:pPr>
          </w:p>
        </w:tc>
        <w:tc>
          <w:tcPr>
            <w:tcW w:w="3392" w:type="dxa"/>
            <w:vAlign w:val="center"/>
          </w:tcPr>
          <w:p w14:paraId="7BA01143">
            <w:pPr>
              <w:autoSpaceDE w:val="0"/>
              <w:autoSpaceDN w:val="0"/>
              <w:adjustRightInd w:val="0"/>
              <w:spacing w:line="400" w:lineRule="exact"/>
              <w:rPr>
                <w:rFonts w:hint="eastAsia" w:ascii="宋体" w:hAnsi="宋体" w:cs="宋体"/>
                <w:kern w:val="0"/>
                <w:sz w:val="24"/>
                <w:highlight w:val="none"/>
              </w:rPr>
            </w:pPr>
          </w:p>
        </w:tc>
        <w:tc>
          <w:tcPr>
            <w:tcW w:w="1417" w:type="dxa"/>
            <w:vAlign w:val="center"/>
          </w:tcPr>
          <w:p w14:paraId="46C3215D">
            <w:pPr>
              <w:autoSpaceDE w:val="0"/>
              <w:autoSpaceDN w:val="0"/>
              <w:adjustRightInd w:val="0"/>
              <w:spacing w:line="400" w:lineRule="exact"/>
              <w:rPr>
                <w:rFonts w:hint="eastAsia" w:ascii="宋体" w:hAnsi="宋体" w:cs="宋体"/>
                <w:kern w:val="0"/>
                <w:sz w:val="24"/>
                <w:highlight w:val="none"/>
              </w:rPr>
            </w:pPr>
          </w:p>
        </w:tc>
        <w:tc>
          <w:tcPr>
            <w:tcW w:w="1555" w:type="dxa"/>
            <w:vAlign w:val="center"/>
          </w:tcPr>
          <w:p w14:paraId="46E3C786">
            <w:pPr>
              <w:spacing w:line="360" w:lineRule="auto"/>
              <w:jc w:val="center"/>
              <w:rPr>
                <w:rFonts w:hint="eastAsia" w:ascii="宋体" w:hAnsi="宋体" w:cs="宋体"/>
                <w:kern w:val="0"/>
                <w:sz w:val="24"/>
                <w:highlight w:val="none"/>
              </w:rPr>
            </w:pPr>
          </w:p>
        </w:tc>
        <w:tc>
          <w:tcPr>
            <w:tcW w:w="1052" w:type="dxa"/>
            <w:vAlign w:val="center"/>
          </w:tcPr>
          <w:p w14:paraId="2B6A383F">
            <w:pPr>
              <w:autoSpaceDE w:val="0"/>
              <w:autoSpaceDN w:val="0"/>
              <w:adjustRightInd w:val="0"/>
              <w:spacing w:line="400" w:lineRule="exact"/>
              <w:rPr>
                <w:rFonts w:hint="eastAsia" w:ascii="宋体" w:hAnsi="宋体" w:cs="宋体"/>
                <w:kern w:val="0"/>
                <w:sz w:val="24"/>
                <w:highlight w:val="none"/>
              </w:rPr>
            </w:pPr>
          </w:p>
        </w:tc>
      </w:tr>
      <w:tr w14:paraId="5872E68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14:paraId="0940DF29">
            <w:pPr>
              <w:autoSpaceDE w:val="0"/>
              <w:autoSpaceDN w:val="0"/>
              <w:adjustRightInd w:val="0"/>
              <w:spacing w:line="400" w:lineRule="exact"/>
              <w:jc w:val="center"/>
              <w:rPr>
                <w:rFonts w:hint="eastAsia" w:ascii="宋体" w:hAnsi="宋体" w:cs="宋体"/>
                <w:kern w:val="0"/>
                <w:sz w:val="24"/>
                <w:highlight w:val="none"/>
              </w:rPr>
            </w:pPr>
            <w:r>
              <w:rPr>
                <w:rFonts w:hint="eastAsia" w:ascii="宋体" w:hAnsi="宋体" w:cs="宋体"/>
                <w:kern w:val="0"/>
                <w:sz w:val="24"/>
                <w:highlight w:val="none"/>
              </w:rPr>
              <w:t>4</w:t>
            </w:r>
          </w:p>
        </w:tc>
        <w:tc>
          <w:tcPr>
            <w:tcW w:w="1252" w:type="dxa"/>
            <w:vAlign w:val="center"/>
          </w:tcPr>
          <w:p w14:paraId="18BDEFC1">
            <w:pPr>
              <w:autoSpaceDE w:val="0"/>
              <w:autoSpaceDN w:val="0"/>
              <w:adjustRightInd w:val="0"/>
              <w:spacing w:line="400" w:lineRule="exact"/>
              <w:rPr>
                <w:rFonts w:hint="eastAsia" w:ascii="宋体" w:hAnsi="宋体" w:cs="宋体"/>
                <w:kern w:val="0"/>
                <w:sz w:val="24"/>
                <w:highlight w:val="none"/>
              </w:rPr>
            </w:pPr>
          </w:p>
        </w:tc>
        <w:tc>
          <w:tcPr>
            <w:tcW w:w="3392" w:type="dxa"/>
            <w:vAlign w:val="center"/>
          </w:tcPr>
          <w:p w14:paraId="49A37A02">
            <w:pPr>
              <w:autoSpaceDE w:val="0"/>
              <w:autoSpaceDN w:val="0"/>
              <w:adjustRightInd w:val="0"/>
              <w:spacing w:line="400" w:lineRule="exact"/>
              <w:rPr>
                <w:rFonts w:hint="eastAsia" w:ascii="宋体" w:hAnsi="宋体" w:cs="宋体"/>
                <w:kern w:val="0"/>
                <w:sz w:val="24"/>
                <w:highlight w:val="none"/>
              </w:rPr>
            </w:pPr>
          </w:p>
        </w:tc>
        <w:tc>
          <w:tcPr>
            <w:tcW w:w="1417" w:type="dxa"/>
            <w:vAlign w:val="center"/>
          </w:tcPr>
          <w:p w14:paraId="1F8C6FBA">
            <w:pPr>
              <w:autoSpaceDE w:val="0"/>
              <w:autoSpaceDN w:val="0"/>
              <w:adjustRightInd w:val="0"/>
              <w:spacing w:line="400" w:lineRule="exact"/>
              <w:rPr>
                <w:rFonts w:hint="eastAsia" w:ascii="宋体" w:hAnsi="宋体" w:cs="宋体"/>
                <w:kern w:val="0"/>
                <w:sz w:val="24"/>
                <w:highlight w:val="none"/>
              </w:rPr>
            </w:pPr>
          </w:p>
        </w:tc>
        <w:tc>
          <w:tcPr>
            <w:tcW w:w="1555" w:type="dxa"/>
            <w:vAlign w:val="center"/>
          </w:tcPr>
          <w:p w14:paraId="69A6F39B">
            <w:pPr>
              <w:spacing w:line="360" w:lineRule="auto"/>
              <w:jc w:val="center"/>
              <w:rPr>
                <w:rFonts w:hint="eastAsia" w:ascii="宋体" w:hAnsi="宋体" w:cs="宋体"/>
                <w:sz w:val="24"/>
                <w:szCs w:val="24"/>
                <w:highlight w:val="none"/>
              </w:rPr>
            </w:pPr>
          </w:p>
        </w:tc>
        <w:tc>
          <w:tcPr>
            <w:tcW w:w="1052" w:type="dxa"/>
            <w:vAlign w:val="center"/>
          </w:tcPr>
          <w:p w14:paraId="44DC74A0">
            <w:pPr>
              <w:autoSpaceDE w:val="0"/>
              <w:autoSpaceDN w:val="0"/>
              <w:adjustRightInd w:val="0"/>
              <w:spacing w:line="400" w:lineRule="exact"/>
              <w:rPr>
                <w:rFonts w:hint="eastAsia" w:ascii="宋体" w:hAnsi="宋体" w:cs="宋体"/>
                <w:kern w:val="0"/>
                <w:sz w:val="24"/>
                <w:highlight w:val="none"/>
              </w:rPr>
            </w:pPr>
          </w:p>
        </w:tc>
      </w:tr>
      <w:tr w14:paraId="4F1F5A9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14:paraId="4B01CE89">
            <w:pPr>
              <w:autoSpaceDE w:val="0"/>
              <w:autoSpaceDN w:val="0"/>
              <w:adjustRightInd w:val="0"/>
              <w:spacing w:line="400" w:lineRule="exact"/>
              <w:jc w:val="center"/>
              <w:rPr>
                <w:rFonts w:hint="eastAsia" w:ascii="宋体" w:hAnsi="宋体" w:cs="宋体"/>
                <w:kern w:val="0"/>
                <w:sz w:val="24"/>
                <w:highlight w:val="none"/>
              </w:rPr>
            </w:pPr>
            <w:r>
              <w:rPr>
                <w:rFonts w:hint="eastAsia" w:ascii="宋体" w:hAnsi="宋体" w:cs="宋体"/>
                <w:kern w:val="0"/>
                <w:sz w:val="24"/>
                <w:highlight w:val="none"/>
              </w:rPr>
              <w:t>5</w:t>
            </w:r>
          </w:p>
        </w:tc>
        <w:tc>
          <w:tcPr>
            <w:tcW w:w="1252" w:type="dxa"/>
            <w:vAlign w:val="center"/>
          </w:tcPr>
          <w:p w14:paraId="1F5D3849">
            <w:pPr>
              <w:autoSpaceDE w:val="0"/>
              <w:autoSpaceDN w:val="0"/>
              <w:adjustRightInd w:val="0"/>
              <w:spacing w:line="400" w:lineRule="exact"/>
              <w:rPr>
                <w:rFonts w:hint="eastAsia" w:ascii="宋体" w:hAnsi="宋体" w:cs="宋体"/>
                <w:kern w:val="0"/>
                <w:sz w:val="24"/>
                <w:highlight w:val="none"/>
              </w:rPr>
            </w:pPr>
          </w:p>
        </w:tc>
        <w:tc>
          <w:tcPr>
            <w:tcW w:w="3392" w:type="dxa"/>
            <w:vAlign w:val="center"/>
          </w:tcPr>
          <w:p w14:paraId="56450C2E">
            <w:pPr>
              <w:autoSpaceDE w:val="0"/>
              <w:autoSpaceDN w:val="0"/>
              <w:adjustRightInd w:val="0"/>
              <w:spacing w:line="400" w:lineRule="exact"/>
              <w:rPr>
                <w:rFonts w:hint="eastAsia" w:ascii="宋体" w:hAnsi="宋体" w:cs="宋体"/>
                <w:kern w:val="0"/>
                <w:sz w:val="24"/>
                <w:highlight w:val="none"/>
              </w:rPr>
            </w:pPr>
          </w:p>
        </w:tc>
        <w:tc>
          <w:tcPr>
            <w:tcW w:w="1417" w:type="dxa"/>
            <w:vAlign w:val="center"/>
          </w:tcPr>
          <w:p w14:paraId="31F11B60">
            <w:pPr>
              <w:autoSpaceDE w:val="0"/>
              <w:autoSpaceDN w:val="0"/>
              <w:adjustRightInd w:val="0"/>
              <w:spacing w:line="400" w:lineRule="exact"/>
              <w:rPr>
                <w:rFonts w:hint="eastAsia" w:ascii="宋体" w:hAnsi="宋体" w:cs="宋体"/>
                <w:kern w:val="0"/>
                <w:sz w:val="24"/>
                <w:highlight w:val="none"/>
              </w:rPr>
            </w:pPr>
          </w:p>
        </w:tc>
        <w:tc>
          <w:tcPr>
            <w:tcW w:w="1555" w:type="dxa"/>
            <w:vAlign w:val="center"/>
          </w:tcPr>
          <w:p w14:paraId="09B4037A">
            <w:pPr>
              <w:spacing w:line="360" w:lineRule="auto"/>
              <w:jc w:val="center"/>
              <w:rPr>
                <w:rFonts w:hint="eastAsia" w:ascii="宋体" w:hAnsi="宋体" w:cs="宋体"/>
                <w:sz w:val="24"/>
                <w:szCs w:val="24"/>
                <w:highlight w:val="none"/>
              </w:rPr>
            </w:pPr>
          </w:p>
        </w:tc>
        <w:tc>
          <w:tcPr>
            <w:tcW w:w="1052" w:type="dxa"/>
            <w:vAlign w:val="center"/>
          </w:tcPr>
          <w:p w14:paraId="59F60B60">
            <w:pPr>
              <w:autoSpaceDE w:val="0"/>
              <w:autoSpaceDN w:val="0"/>
              <w:adjustRightInd w:val="0"/>
              <w:spacing w:line="400" w:lineRule="exact"/>
              <w:rPr>
                <w:rFonts w:hint="eastAsia" w:ascii="宋体" w:hAnsi="宋体" w:cs="宋体"/>
                <w:kern w:val="0"/>
                <w:sz w:val="24"/>
                <w:highlight w:val="none"/>
              </w:rPr>
            </w:pPr>
          </w:p>
        </w:tc>
      </w:tr>
      <w:tr w14:paraId="6412E48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14:paraId="00E2F7E0">
            <w:pPr>
              <w:autoSpaceDE w:val="0"/>
              <w:autoSpaceDN w:val="0"/>
              <w:adjustRightInd w:val="0"/>
              <w:spacing w:line="400" w:lineRule="exact"/>
              <w:jc w:val="center"/>
              <w:rPr>
                <w:rFonts w:hint="eastAsia" w:ascii="宋体" w:hAnsi="宋体" w:cs="宋体"/>
                <w:kern w:val="0"/>
                <w:sz w:val="24"/>
                <w:highlight w:val="none"/>
              </w:rPr>
            </w:pPr>
            <w:r>
              <w:rPr>
                <w:rFonts w:hint="eastAsia" w:ascii="宋体" w:hAnsi="宋体" w:cs="宋体"/>
                <w:kern w:val="0"/>
                <w:sz w:val="24"/>
                <w:highlight w:val="none"/>
              </w:rPr>
              <w:t>6</w:t>
            </w:r>
          </w:p>
        </w:tc>
        <w:tc>
          <w:tcPr>
            <w:tcW w:w="1252" w:type="dxa"/>
            <w:vAlign w:val="center"/>
          </w:tcPr>
          <w:p w14:paraId="1E4BF583">
            <w:pPr>
              <w:autoSpaceDE w:val="0"/>
              <w:autoSpaceDN w:val="0"/>
              <w:adjustRightInd w:val="0"/>
              <w:spacing w:line="400" w:lineRule="exact"/>
              <w:rPr>
                <w:rFonts w:hint="eastAsia" w:ascii="宋体" w:hAnsi="宋体" w:cs="宋体"/>
                <w:kern w:val="0"/>
                <w:sz w:val="24"/>
                <w:highlight w:val="none"/>
              </w:rPr>
            </w:pPr>
          </w:p>
        </w:tc>
        <w:tc>
          <w:tcPr>
            <w:tcW w:w="3392" w:type="dxa"/>
            <w:vAlign w:val="center"/>
          </w:tcPr>
          <w:p w14:paraId="631671B7">
            <w:pPr>
              <w:autoSpaceDE w:val="0"/>
              <w:autoSpaceDN w:val="0"/>
              <w:adjustRightInd w:val="0"/>
              <w:spacing w:line="400" w:lineRule="exact"/>
              <w:rPr>
                <w:rFonts w:hint="eastAsia" w:ascii="宋体" w:hAnsi="宋体" w:cs="宋体"/>
                <w:kern w:val="0"/>
                <w:sz w:val="24"/>
                <w:highlight w:val="none"/>
              </w:rPr>
            </w:pPr>
          </w:p>
        </w:tc>
        <w:tc>
          <w:tcPr>
            <w:tcW w:w="1417" w:type="dxa"/>
            <w:vAlign w:val="center"/>
          </w:tcPr>
          <w:p w14:paraId="6F1557A0">
            <w:pPr>
              <w:autoSpaceDE w:val="0"/>
              <w:autoSpaceDN w:val="0"/>
              <w:adjustRightInd w:val="0"/>
              <w:spacing w:line="400" w:lineRule="exact"/>
              <w:rPr>
                <w:rFonts w:hint="eastAsia" w:ascii="宋体" w:hAnsi="宋体" w:cs="宋体"/>
                <w:kern w:val="0"/>
                <w:sz w:val="24"/>
                <w:highlight w:val="none"/>
              </w:rPr>
            </w:pPr>
          </w:p>
        </w:tc>
        <w:tc>
          <w:tcPr>
            <w:tcW w:w="1555" w:type="dxa"/>
            <w:vAlign w:val="center"/>
          </w:tcPr>
          <w:p w14:paraId="20CF8B10">
            <w:pPr>
              <w:spacing w:line="360" w:lineRule="auto"/>
              <w:jc w:val="center"/>
              <w:rPr>
                <w:rFonts w:hint="eastAsia" w:ascii="宋体" w:hAnsi="宋体" w:cs="宋体"/>
                <w:kern w:val="0"/>
                <w:sz w:val="24"/>
                <w:highlight w:val="none"/>
              </w:rPr>
            </w:pPr>
          </w:p>
        </w:tc>
        <w:tc>
          <w:tcPr>
            <w:tcW w:w="1052" w:type="dxa"/>
            <w:vAlign w:val="center"/>
          </w:tcPr>
          <w:p w14:paraId="5516BB0E">
            <w:pPr>
              <w:autoSpaceDE w:val="0"/>
              <w:autoSpaceDN w:val="0"/>
              <w:adjustRightInd w:val="0"/>
              <w:spacing w:line="400" w:lineRule="exact"/>
              <w:rPr>
                <w:rFonts w:hint="eastAsia" w:ascii="宋体" w:hAnsi="宋体" w:cs="宋体"/>
                <w:kern w:val="0"/>
                <w:sz w:val="24"/>
                <w:highlight w:val="none"/>
              </w:rPr>
            </w:pPr>
          </w:p>
        </w:tc>
      </w:tr>
      <w:tr w14:paraId="11D97D2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14:paraId="43D6AE3E">
            <w:pPr>
              <w:autoSpaceDE w:val="0"/>
              <w:autoSpaceDN w:val="0"/>
              <w:adjustRightInd w:val="0"/>
              <w:spacing w:line="400" w:lineRule="exact"/>
              <w:jc w:val="center"/>
              <w:rPr>
                <w:rFonts w:hint="eastAsia" w:ascii="宋体" w:hAnsi="宋体" w:cs="宋体"/>
                <w:kern w:val="0"/>
                <w:sz w:val="24"/>
                <w:highlight w:val="none"/>
              </w:rPr>
            </w:pPr>
            <w:r>
              <w:rPr>
                <w:rFonts w:hint="eastAsia" w:ascii="宋体" w:hAnsi="宋体" w:cs="宋体"/>
                <w:kern w:val="0"/>
                <w:sz w:val="24"/>
                <w:highlight w:val="none"/>
              </w:rPr>
              <w:t>7</w:t>
            </w:r>
          </w:p>
        </w:tc>
        <w:tc>
          <w:tcPr>
            <w:tcW w:w="1252" w:type="dxa"/>
            <w:vAlign w:val="center"/>
          </w:tcPr>
          <w:p w14:paraId="1DE76322">
            <w:pPr>
              <w:autoSpaceDE w:val="0"/>
              <w:autoSpaceDN w:val="0"/>
              <w:adjustRightInd w:val="0"/>
              <w:spacing w:line="400" w:lineRule="exact"/>
              <w:rPr>
                <w:rFonts w:hint="eastAsia" w:ascii="宋体" w:hAnsi="宋体" w:cs="宋体"/>
                <w:kern w:val="0"/>
                <w:sz w:val="24"/>
                <w:highlight w:val="none"/>
              </w:rPr>
            </w:pPr>
          </w:p>
        </w:tc>
        <w:tc>
          <w:tcPr>
            <w:tcW w:w="3392" w:type="dxa"/>
            <w:vAlign w:val="center"/>
          </w:tcPr>
          <w:p w14:paraId="50D2C453">
            <w:pPr>
              <w:autoSpaceDE w:val="0"/>
              <w:autoSpaceDN w:val="0"/>
              <w:adjustRightInd w:val="0"/>
              <w:spacing w:line="400" w:lineRule="exact"/>
              <w:rPr>
                <w:rFonts w:hint="eastAsia" w:ascii="宋体" w:hAnsi="宋体" w:cs="宋体"/>
                <w:kern w:val="0"/>
                <w:sz w:val="24"/>
                <w:highlight w:val="none"/>
              </w:rPr>
            </w:pPr>
          </w:p>
        </w:tc>
        <w:tc>
          <w:tcPr>
            <w:tcW w:w="1417" w:type="dxa"/>
            <w:vAlign w:val="center"/>
          </w:tcPr>
          <w:p w14:paraId="40C28E1A">
            <w:pPr>
              <w:autoSpaceDE w:val="0"/>
              <w:autoSpaceDN w:val="0"/>
              <w:adjustRightInd w:val="0"/>
              <w:spacing w:line="400" w:lineRule="exact"/>
              <w:rPr>
                <w:rFonts w:hint="eastAsia" w:ascii="宋体" w:hAnsi="宋体" w:cs="宋体"/>
                <w:kern w:val="0"/>
                <w:sz w:val="24"/>
                <w:highlight w:val="none"/>
              </w:rPr>
            </w:pPr>
          </w:p>
        </w:tc>
        <w:tc>
          <w:tcPr>
            <w:tcW w:w="1555" w:type="dxa"/>
            <w:vAlign w:val="center"/>
          </w:tcPr>
          <w:p w14:paraId="02D24F25">
            <w:pPr>
              <w:spacing w:line="360" w:lineRule="auto"/>
              <w:jc w:val="center"/>
              <w:rPr>
                <w:rFonts w:hint="eastAsia" w:ascii="宋体" w:hAnsi="宋体" w:cs="宋体"/>
                <w:sz w:val="24"/>
                <w:szCs w:val="24"/>
                <w:highlight w:val="none"/>
              </w:rPr>
            </w:pPr>
          </w:p>
        </w:tc>
        <w:tc>
          <w:tcPr>
            <w:tcW w:w="1052" w:type="dxa"/>
            <w:vAlign w:val="center"/>
          </w:tcPr>
          <w:p w14:paraId="5932EDCB">
            <w:pPr>
              <w:autoSpaceDE w:val="0"/>
              <w:autoSpaceDN w:val="0"/>
              <w:adjustRightInd w:val="0"/>
              <w:spacing w:line="400" w:lineRule="exact"/>
              <w:rPr>
                <w:rFonts w:hint="eastAsia" w:ascii="宋体" w:hAnsi="宋体" w:cs="宋体"/>
                <w:kern w:val="0"/>
                <w:sz w:val="24"/>
                <w:highlight w:val="none"/>
              </w:rPr>
            </w:pPr>
          </w:p>
        </w:tc>
      </w:tr>
      <w:tr w14:paraId="4D60158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14:paraId="5FA35467">
            <w:pPr>
              <w:autoSpaceDE w:val="0"/>
              <w:autoSpaceDN w:val="0"/>
              <w:adjustRightInd w:val="0"/>
              <w:spacing w:line="400" w:lineRule="exact"/>
              <w:jc w:val="center"/>
              <w:rPr>
                <w:rFonts w:hint="eastAsia" w:ascii="宋体" w:hAnsi="宋体" w:cs="宋体"/>
                <w:kern w:val="0"/>
                <w:sz w:val="24"/>
                <w:highlight w:val="none"/>
              </w:rPr>
            </w:pPr>
            <w:r>
              <w:rPr>
                <w:rFonts w:hint="eastAsia" w:ascii="宋体" w:hAnsi="宋体" w:cs="宋体"/>
                <w:kern w:val="0"/>
                <w:sz w:val="24"/>
                <w:highlight w:val="none"/>
              </w:rPr>
              <w:t>8</w:t>
            </w:r>
          </w:p>
        </w:tc>
        <w:tc>
          <w:tcPr>
            <w:tcW w:w="1252" w:type="dxa"/>
            <w:vAlign w:val="center"/>
          </w:tcPr>
          <w:p w14:paraId="17E9CA56">
            <w:pPr>
              <w:autoSpaceDE w:val="0"/>
              <w:autoSpaceDN w:val="0"/>
              <w:adjustRightInd w:val="0"/>
              <w:spacing w:line="400" w:lineRule="exact"/>
              <w:rPr>
                <w:rFonts w:hint="eastAsia" w:ascii="宋体" w:hAnsi="宋体" w:cs="宋体"/>
                <w:kern w:val="0"/>
                <w:sz w:val="24"/>
                <w:highlight w:val="none"/>
              </w:rPr>
            </w:pPr>
          </w:p>
        </w:tc>
        <w:tc>
          <w:tcPr>
            <w:tcW w:w="3392" w:type="dxa"/>
            <w:vAlign w:val="center"/>
          </w:tcPr>
          <w:p w14:paraId="7F0413B0">
            <w:pPr>
              <w:autoSpaceDE w:val="0"/>
              <w:autoSpaceDN w:val="0"/>
              <w:adjustRightInd w:val="0"/>
              <w:spacing w:line="400" w:lineRule="exact"/>
              <w:rPr>
                <w:rFonts w:hint="eastAsia" w:ascii="宋体" w:hAnsi="宋体" w:cs="宋体"/>
                <w:kern w:val="0"/>
                <w:sz w:val="24"/>
                <w:highlight w:val="none"/>
              </w:rPr>
            </w:pPr>
          </w:p>
        </w:tc>
        <w:tc>
          <w:tcPr>
            <w:tcW w:w="1417" w:type="dxa"/>
            <w:vAlign w:val="center"/>
          </w:tcPr>
          <w:p w14:paraId="5A744DF5">
            <w:pPr>
              <w:autoSpaceDE w:val="0"/>
              <w:autoSpaceDN w:val="0"/>
              <w:adjustRightInd w:val="0"/>
              <w:spacing w:line="400" w:lineRule="exact"/>
              <w:rPr>
                <w:rFonts w:hint="eastAsia" w:ascii="宋体" w:hAnsi="宋体" w:cs="宋体"/>
                <w:kern w:val="0"/>
                <w:sz w:val="24"/>
                <w:highlight w:val="none"/>
              </w:rPr>
            </w:pPr>
          </w:p>
        </w:tc>
        <w:tc>
          <w:tcPr>
            <w:tcW w:w="1555" w:type="dxa"/>
            <w:vAlign w:val="center"/>
          </w:tcPr>
          <w:p w14:paraId="3ADF9622">
            <w:pPr>
              <w:spacing w:line="360" w:lineRule="auto"/>
              <w:jc w:val="center"/>
              <w:rPr>
                <w:rFonts w:hint="eastAsia" w:ascii="宋体" w:hAnsi="宋体" w:cs="宋体"/>
                <w:kern w:val="0"/>
                <w:sz w:val="24"/>
                <w:highlight w:val="none"/>
              </w:rPr>
            </w:pPr>
          </w:p>
        </w:tc>
        <w:tc>
          <w:tcPr>
            <w:tcW w:w="1052" w:type="dxa"/>
            <w:vAlign w:val="center"/>
          </w:tcPr>
          <w:p w14:paraId="2E8F5FEF">
            <w:pPr>
              <w:autoSpaceDE w:val="0"/>
              <w:autoSpaceDN w:val="0"/>
              <w:adjustRightInd w:val="0"/>
              <w:spacing w:line="400" w:lineRule="exact"/>
              <w:rPr>
                <w:rFonts w:hint="eastAsia" w:ascii="宋体" w:hAnsi="宋体" w:cs="宋体"/>
                <w:kern w:val="0"/>
                <w:sz w:val="24"/>
                <w:highlight w:val="none"/>
              </w:rPr>
            </w:pPr>
          </w:p>
        </w:tc>
      </w:tr>
      <w:tr w14:paraId="69618C4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14:paraId="7A270E12">
            <w:pPr>
              <w:autoSpaceDE w:val="0"/>
              <w:autoSpaceDN w:val="0"/>
              <w:adjustRightInd w:val="0"/>
              <w:spacing w:line="400" w:lineRule="exact"/>
              <w:jc w:val="center"/>
              <w:rPr>
                <w:rFonts w:hint="eastAsia" w:ascii="宋体" w:hAnsi="宋体" w:cs="宋体"/>
                <w:kern w:val="0"/>
                <w:sz w:val="24"/>
                <w:highlight w:val="none"/>
              </w:rPr>
            </w:pPr>
          </w:p>
        </w:tc>
        <w:tc>
          <w:tcPr>
            <w:tcW w:w="1252" w:type="dxa"/>
            <w:vAlign w:val="center"/>
          </w:tcPr>
          <w:p w14:paraId="4753B88F">
            <w:pPr>
              <w:autoSpaceDE w:val="0"/>
              <w:autoSpaceDN w:val="0"/>
              <w:adjustRightInd w:val="0"/>
              <w:spacing w:line="400" w:lineRule="exact"/>
              <w:rPr>
                <w:rFonts w:hint="eastAsia" w:ascii="宋体" w:hAnsi="宋体" w:cs="宋体"/>
                <w:kern w:val="0"/>
                <w:sz w:val="24"/>
                <w:highlight w:val="none"/>
              </w:rPr>
            </w:pPr>
          </w:p>
        </w:tc>
        <w:tc>
          <w:tcPr>
            <w:tcW w:w="3392" w:type="dxa"/>
            <w:vAlign w:val="center"/>
          </w:tcPr>
          <w:p w14:paraId="71DC0EB4">
            <w:pPr>
              <w:autoSpaceDE w:val="0"/>
              <w:autoSpaceDN w:val="0"/>
              <w:adjustRightInd w:val="0"/>
              <w:spacing w:line="400" w:lineRule="exact"/>
              <w:rPr>
                <w:rFonts w:hint="eastAsia" w:ascii="宋体" w:hAnsi="宋体" w:cs="宋体"/>
                <w:kern w:val="0"/>
                <w:sz w:val="24"/>
                <w:highlight w:val="none"/>
              </w:rPr>
            </w:pPr>
          </w:p>
        </w:tc>
        <w:tc>
          <w:tcPr>
            <w:tcW w:w="1417" w:type="dxa"/>
            <w:vAlign w:val="center"/>
          </w:tcPr>
          <w:p w14:paraId="222CF78B">
            <w:pPr>
              <w:autoSpaceDE w:val="0"/>
              <w:autoSpaceDN w:val="0"/>
              <w:adjustRightInd w:val="0"/>
              <w:spacing w:line="400" w:lineRule="exact"/>
              <w:rPr>
                <w:rFonts w:hint="eastAsia" w:ascii="宋体" w:hAnsi="宋体" w:cs="宋体"/>
                <w:kern w:val="0"/>
                <w:sz w:val="24"/>
                <w:highlight w:val="none"/>
              </w:rPr>
            </w:pPr>
          </w:p>
        </w:tc>
        <w:tc>
          <w:tcPr>
            <w:tcW w:w="1555" w:type="dxa"/>
            <w:vAlign w:val="center"/>
          </w:tcPr>
          <w:p w14:paraId="3221558E">
            <w:pPr>
              <w:spacing w:line="360" w:lineRule="auto"/>
              <w:jc w:val="center"/>
              <w:rPr>
                <w:rFonts w:hint="eastAsia" w:ascii="宋体" w:hAnsi="宋体" w:cs="宋体"/>
                <w:sz w:val="24"/>
                <w:szCs w:val="24"/>
                <w:highlight w:val="none"/>
              </w:rPr>
            </w:pPr>
          </w:p>
        </w:tc>
        <w:tc>
          <w:tcPr>
            <w:tcW w:w="1052" w:type="dxa"/>
            <w:vAlign w:val="center"/>
          </w:tcPr>
          <w:p w14:paraId="43DBFC0E">
            <w:pPr>
              <w:autoSpaceDE w:val="0"/>
              <w:autoSpaceDN w:val="0"/>
              <w:adjustRightInd w:val="0"/>
              <w:spacing w:line="400" w:lineRule="exact"/>
              <w:rPr>
                <w:rFonts w:hint="eastAsia" w:ascii="宋体" w:hAnsi="宋体" w:cs="宋体"/>
                <w:kern w:val="0"/>
                <w:sz w:val="24"/>
                <w:highlight w:val="none"/>
              </w:rPr>
            </w:pPr>
          </w:p>
        </w:tc>
      </w:tr>
      <w:tr w14:paraId="0EDECE7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223" w:type="dxa"/>
            <w:gridSpan w:val="6"/>
            <w:vAlign w:val="center"/>
          </w:tcPr>
          <w:p w14:paraId="5E4EC4BF">
            <w:pPr>
              <w:autoSpaceDE w:val="0"/>
              <w:autoSpaceDN w:val="0"/>
              <w:adjustRightInd w:val="0"/>
              <w:spacing w:line="400" w:lineRule="exact"/>
              <w:rPr>
                <w:rFonts w:hint="eastAsia" w:ascii="宋体" w:hAnsi="宋体" w:cs="宋体"/>
                <w:b/>
                <w:kern w:val="0"/>
                <w:sz w:val="24"/>
                <w:highlight w:val="none"/>
              </w:rPr>
            </w:pPr>
          </w:p>
        </w:tc>
      </w:tr>
    </w:tbl>
    <w:p w14:paraId="14A4A253">
      <w:pPr>
        <w:adjustRightInd w:val="0"/>
        <w:snapToGrid w:val="0"/>
        <w:spacing w:line="400" w:lineRule="exact"/>
        <w:rPr>
          <w:rFonts w:hint="eastAsia" w:ascii="宋体" w:hAnsi="宋体" w:cs="宋体"/>
          <w:sz w:val="24"/>
          <w:highlight w:val="none"/>
        </w:rPr>
      </w:pPr>
      <w:r>
        <w:rPr>
          <w:rFonts w:hint="eastAsia" w:ascii="宋体" w:hAnsi="宋体" w:cs="宋体"/>
          <w:bCs/>
          <w:kern w:val="0"/>
          <w:sz w:val="24"/>
          <w:highlight w:val="none"/>
        </w:rPr>
        <w:t>注：</w:t>
      </w:r>
      <w:r>
        <w:rPr>
          <w:rFonts w:hint="eastAsia" w:ascii="宋体" w:hAnsi="宋体" w:cs="宋体"/>
          <w:bCs/>
          <w:sz w:val="24"/>
          <w:highlight w:val="none"/>
        </w:rPr>
        <w:t>本表后附对应的证明材料；“职称及相关专业认证”仅在评分办法有对应评分项时填写；具体内容见评分办法。</w:t>
      </w:r>
    </w:p>
    <w:p w14:paraId="0AF408DF">
      <w:pPr>
        <w:adjustRightInd w:val="0"/>
        <w:snapToGrid w:val="0"/>
        <w:spacing w:line="400" w:lineRule="exact"/>
        <w:rPr>
          <w:rFonts w:hint="eastAsia" w:ascii="宋体" w:hAnsi="宋体" w:cs="宋体"/>
          <w:kern w:val="0"/>
          <w:sz w:val="24"/>
          <w:highlight w:val="none"/>
          <w:lang w:val="zh-CN"/>
        </w:rPr>
      </w:pPr>
    </w:p>
    <w:p w14:paraId="4F0507C3">
      <w:pPr>
        <w:adjustRightInd w:val="0"/>
        <w:snapToGrid w:val="0"/>
        <w:spacing w:line="400" w:lineRule="exact"/>
        <w:rPr>
          <w:rFonts w:hint="eastAsia" w:ascii="宋体" w:hAnsi="宋体" w:cs="宋体"/>
          <w:kern w:val="0"/>
          <w:sz w:val="24"/>
          <w:highlight w:val="none"/>
        </w:rPr>
      </w:pPr>
      <w:r>
        <w:rPr>
          <w:rFonts w:hint="eastAsia" w:ascii="宋体" w:hAnsi="宋体" w:cs="宋体"/>
          <w:kern w:val="0"/>
          <w:sz w:val="24"/>
          <w:highlight w:val="none"/>
          <w:lang w:val="zh-CN"/>
        </w:rPr>
        <w:t>法定/授权代表：</w:t>
      </w:r>
      <w:r>
        <w:rPr>
          <w:rFonts w:hint="eastAsia" w:ascii="宋体" w:hAnsi="宋体" w:cs="宋体"/>
          <w:kern w:val="0"/>
          <w:sz w:val="24"/>
          <w:highlight w:val="none"/>
          <w:u w:val="single"/>
          <w:lang w:val="zh-CN"/>
        </w:rPr>
        <w:t xml:space="preserve">（签字或盖章） </w:t>
      </w:r>
    </w:p>
    <w:p w14:paraId="0F0798E3">
      <w:pPr>
        <w:adjustRightInd w:val="0"/>
        <w:snapToGrid w:val="0"/>
        <w:spacing w:line="400" w:lineRule="exact"/>
        <w:rPr>
          <w:rFonts w:hint="eastAsia" w:ascii="宋体" w:hAnsi="宋体" w:cs="宋体"/>
          <w:kern w:val="0"/>
          <w:sz w:val="24"/>
          <w:highlight w:val="none"/>
          <w:u w:val="single"/>
          <w:lang w:val="zh-CN"/>
        </w:rPr>
      </w:pPr>
      <w:r>
        <w:rPr>
          <w:rFonts w:hint="eastAsia" w:ascii="宋体" w:hAnsi="宋体" w:cs="宋体"/>
          <w:kern w:val="0"/>
          <w:sz w:val="24"/>
          <w:highlight w:val="none"/>
          <w:lang w:val="zh-CN"/>
        </w:rPr>
        <w:t>投标人：</w:t>
      </w:r>
      <w:r>
        <w:rPr>
          <w:rFonts w:hint="eastAsia" w:ascii="宋体" w:hAnsi="宋体" w:cs="宋体"/>
          <w:kern w:val="0"/>
          <w:sz w:val="24"/>
          <w:highlight w:val="none"/>
          <w:u w:val="single"/>
          <w:lang w:val="zh-CN"/>
        </w:rPr>
        <w:t xml:space="preserve">（全称加盖公章）       </w:t>
      </w:r>
    </w:p>
    <w:p w14:paraId="3180F629">
      <w:pPr>
        <w:adjustRightInd w:val="0"/>
        <w:snapToGrid w:val="0"/>
        <w:spacing w:line="400" w:lineRule="exact"/>
        <w:rPr>
          <w:rFonts w:hint="eastAsia" w:ascii="宋体" w:hAnsi="宋体" w:cs="宋体"/>
          <w:kern w:val="0"/>
          <w:sz w:val="24"/>
          <w:highlight w:val="none"/>
          <w:lang w:val="zh-CN"/>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u w:val="single"/>
        </w:rPr>
        <w:t>202</w:t>
      </w:r>
      <w:r>
        <w:rPr>
          <w:rFonts w:hint="eastAsia" w:ascii="宋体" w:hAnsi="宋体" w:cs="宋体"/>
          <w:kern w:val="0"/>
          <w:sz w:val="24"/>
          <w:highlight w:val="none"/>
          <w:u w:val="single"/>
          <w:lang w:val="en-US" w:eastAsia="zh-CN"/>
        </w:rPr>
        <w:t>5</w:t>
      </w:r>
      <w:r>
        <w:rPr>
          <w:rFonts w:hint="eastAsia" w:ascii="宋体" w:hAnsi="宋体" w:cs="宋体"/>
          <w:kern w:val="0"/>
          <w:sz w:val="24"/>
          <w:highlight w:val="none"/>
          <w:lang w:val="zh-CN"/>
        </w:rPr>
        <w:t>年</w:t>
      </w:r>
      <w:r>
        <w:rPr>
          <w:rFonts w:hint="eastAsia" w:ascii="宋体" w:hAnsi="宋体" w:cs="宋体"/>
          <w:kern w:val="0"/>
          <w:sz w:val="24"/>
          <w:highlight w:val="none"/>
          <w:u w:val="single"/>
        </w:rPr>
        <w:tab/>
      </w:r>
      <w:r>
        <w:rPr>
          <w:rFonts w:hint="eastAsia" w:ascii="宋体" w:hAnsi="宋体" w:cs="宋体"/>
          <w:kern w:val="0"/>
          <w:sz w:val="24"/>
          <w:highlight w:val="none"/>
          <w:u w:val="singl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lang w:val="zh-CN"/>
        </w:rPr>
        <w:t>日</w:t>
      </w:r>
    </w:p>
    <w:p w14:paraId="3B70577D">
      <w:pPr>
        <w:autoSpaceDE w:val="0"/>
        <w:autoSpaceDN w:val="0"/>
        <w:adjustRightInd w:val="0"/>
        <w:spacing w:line="360" w:lineRule="auto"/>
        <w:rPr>
          <w:rFonts w:hint="eastAsia" w:ascii="宋体" w:hAnsi="宋体" w:cs="宋体"/>
          <w:kern w:val="0"/>
          <w:sz w:val="24"/>
          <w:highlight w:val="none"/>
        </w:rPr>
      </w:pPr>
    </w:p>
    <w:p w14:paraId="5FD93305">
      <w:pPr>
        <w:pStyle w:val="45"/>
        <w:adjustRightInd w:val="0"/>
        <w:snapToGrid w:val="0"/>
        <w:spacing w:line="360" w:lineRule="auto"/>
        <w:jc w:val="center"/>
        <w:outlineLvl w:val="1"/>
        <w:rPr>
          <w:rFonts w:hint="eastAsia" w:hAnsi="宋体" w:cs="宋体"/>
          <w:b/>
          <w:kern w:val="0"/>
          <w:sz w:val="30"/>
          <w:highlight w:val="none"/>
          <w:lang w:val="zh-CN"/>
        </w:rPr>
      </w:pPr>
    </w:p>
    <w:p w14:paraId="2A873423">
      <w:pPr>
        <w:pStyle w:val="45"/>
        <w:adjustRightInd w:val="0"/>
        <w:snapToGrid w:val="0"/>
        <w:spacing w:line="360" w:lineRule="auto"/>
        <w:jc w:val="center"/>
        <w:outlineLvl w:val="1"/>
        <w:rPr>
          <w:rFonts w:hint="eastAsia" w:hAnsi="宋体" w:cs="宋体"/>
          <w:b/>
          <w:kern w:val="0"/>
          <w:sz w:val="30"/>
          <w:highlight w:val="none"/>
          <w:lang w:val="zh-CN"/>
        </w:rPr>
      </w:pPr>
    </w:p>
    <w:p w14:paraId="1FE7FD15">
      <w:pPr>
        <w:pStyle w:val="45"/>
        <w:adjustRightInd w:val="0"/>
        <w:snapToGrid w:val="0"/>
        <w:spacing w:line="360" w:lineRule="auto"/>
        <w:jc w:val="center"/>
        <w:outlineLvl w:val="1"/>
        <w:rPr>
          <w:rFonts w:hint="eastAsia" w:hAnsi="宋体" w:cs="宋体"/>
          <w:b/>
          <w:kern w:val="0"/>
          <w:sz w:val="30"/>
          <w:highlight w:val="none"/>
          <w:lang w:val="zh-CN"/>
        </w:rPr>
      </w:pPr>
    </w:p>
    <w:p w14:paraId="21E4C45B">
      <w:pPr>
        <w:pStyle w:val="45"/>
        <w:adjustRightInd w:val="0"/>
        <w:snapToGrid w:val="0"/>
        <w:spacing w:line="360" w:lineRule="auto"/>
        <w:jc w:val="center"/>
        <w:outlineLvl w:val="1"/>
        <w:rPr>
          <w:rFonts w:hint="eastAsia" w:hAnsi="宋体" w:cs="宋体"/>
          <w:b/>
          <w:kern w:val="0"/>
          <w:sz w:val="30"/>
          <w:highlight w:val="none"/>
          <w:lang w:val="zh-CN"/>
        </w:rPr>
      </w:pPr>
    </w:p>
    <w:p w14:paraId="604D9399">
      <w:pPr>
        <w:pStyle w:val="45"/>
        <w:adjustRightInd w:val="0"/>
        <w:snapToGrid w:val="0"/>
        <w:spacing w:line="360" w:lineRule="auto"/>
        <w:jc w:val="center"/>
        <w:outlineLvl w:val="1"/>
        <w:rPr>
          <w:rFonts w:hint="eastAsia" w:hAnsi="宋体" w:cs="宋体"/>
          <w:b/>
          <w:kern w:val="0"/>
          <w:sz w:val="30"/>
          <w:highlight w:val="none"/>
          <w:lang w:val="zh-CN"/>
        </w:rPr>
      </w:pPr>
    </w:p>
    <w:p w14:paraId="1B244BCC">
      <w:pPr>
        <w:pStyle w:val="45"/>
        <w:adjustRightInd w:val="0"/>
        <w:snapToGrid w:val="0"/>
        <w:spacing w:line="360" w:lineRule="auto"/>
        <w:jc w:val="center"/>
        <w:outlineLvl w:val="1"/>
        <w:rPr>
          <w:rFonts w:hint="eastAsia" w:hAnsi="宋体" w:cs="宋体"/>
          <w:b/>
          <w:kern w:val="0"/>
          <w:sz w:val="30"/>
          <w:highlight w:val="none"/>
          <w:lang w:val="zh-CN"/>
        </w:rPr>
      </w:pPr>
    </w:p>
    <w:p w14:paraId="5A7C8436">
      <w:pPr>
        <w:pStyle w:val="5"/>
        <w:ind w:left="0" w:firstLine="0"/>
        <w:jc w:val="center"/>
        <w:rPr>
          <w:rFonts w:hint="eastAsia" w:ascii="宋体" w:hAnsi="宋体" w:eastAsia="宋体" w:cs="宋体"/>
          <w:sz w:val="28"/>
          <w:highlight w:val="none"/>
        </w:rPr>
      </w:pPr>
      <w:r>
        <w:rPr>
          <w:rFonts w:hint="eastAsia" w:ascii="宋体" w:hAnsi="宋体" w:eastAsia="宋体" w:cs="宋体"/>
          <w:kern w:val="0"/>
          <w:sz w:val="30"/>
          <w:highlight w:val="none"/>
          <w:lang w:val="zh-CN"/>
        </w:rPr>
        <w:t>格式七：</w:t>
      </w:r>
      <w:bookmarkStart w:id="100" w:name="_Toc522530058"/>
      <w:bookmarkStart w:id="101" w:name="_Toc8841"/>
      <w:r>
        <w:rPr>
          <w:rFonts w:hint="eastAsia" w:ascii="宋体" w:hAnsi="宋体" w:eastAsia="宋体" w:cs="宋体"/>
          <w:sz w:val="28"/>
          <w:szCs w:val="22"/>
          <w:highlight w:val="none"/>
        </w:rPr>
        <w:t>开标一览表</w:t>
      </w:r>
      <w:bookmarkEnd w:id="91"/>
      <w:bookmarkEnd w:id="92"/>
      <w:bookmarkEnd w:id="93"/>
      <w:bookmarkEnd w:id="94"/>
      <w:bookmarkEnd w:id="95"/>
      <w:bookmarkEnd w:id="100"/>
      <w:bookmarkEnd w:id="101"/>
    </w:p>
    <w:p w14:paraId="75E8E0CF">
      <w:pPr>
        <w:adjustRightInd w:val="0"/>
        <w:snapToGrid w:val="0"/>
        <w:spacing w:line="360" w:lineRule="auto"/>
        <w:rPr>
          <w:rFonts w:hint="eastAsia" w:ascii="宋体" w:hAnsi="宋体" w:cs="宋体"/>
          <w:sz w:val="24"/>
          <w:highlight w:val="none"/>
        </w:rPr>
      </w:pPr>
      <w:r>
        <w:rPr>
          <w:rFonts w:hint="eastAsia" w:ascii="宋体" w:hAnsi="宋体" w:cs="宋体"/>
          <w:sz w:val="24"/>
          <w:highlight w:val="none"/>
          <w:lang w:val="en-US" w:eastAsia="zh-CN"/>
        </w:rPr>
        <w:t>衢州市柯城区九龙幼儿园</w:t>
      </w:r>
      <w:r>
        <w:rPr>
          <w:rFonts w:hint="eastAsia" w:ascii="宋体" w:hAnsi="宋体" w:cs="宋体"/>
          <w:sz w:val="24"/>
          <w:highlight w:val="none"/>
        </w:rPr>
        <w:t>：</w:t>
      </w:r>
    </w:p>
    <w:p w14:paraId="02055333">
      <w:pPr>
        <w:adjustRightInd w:val="0"/>
        <w:snapToGrid w:val="0"/>
        <w:spacing w:line="360" w:lineRule="auto"/>
        <w:rPr>
          <w:rFonts w:hint="eastAsia" w:ascii="宋体" w:hAnsi="宋体" w:cs="宋体"/>
          <w:b/>
          <w:sz w:val="30"/>
          <w:highlight w:val="none"/>
        </w:rPr>
      </w:pPr>
      <w:r>
        <w:rPr>
          <w:rFonts w:hint="eastAsia" w:ascii="宋体" w:hAnsi="宋体" w:cs="宋体"/>
          <w:sz w:val="24"/>
          <w:highlight w:val="none"/>
          <w:lang w:eastAsia="zh-CN"/>
        </w:rPr>
        <w:t>欧邦工程管理集团有限公司</w:t>
      </w:r>
      <w:r>
        <w:rPr>
          <w:rFonts w:hint="eastAsia" w:ascii="宋体" w:hAnsi="宋体" w:cs="宋体"/>
          <w:sz w:val="24"/>
          <w:highlight w:val="none"/>
        </w:rPr>
        <w:t>：</w:t>
      </w:r>
    </w:p>
    <w:p w14:paraId="21557185">
      <w:pPr>
        <w:spacing w:before="24" w:beforeLines="10" w:line="312" w:lineRule="auto"/>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rPr>
        <w:t>按贵方招标文件要求，如你方接受本投标文件，我方承诺按照如下开标一览表的价格完成</w:t>
      </w:r>
      <w:r>
        <w:rPr>
          <w:rFonts w:hint="eastAsia" w:ascii="宋体" w:hAnsi="宋体" w:cs="宋体"/>
          <w:kern w:val="0"/>
          <w:sz w:val="24"/>
          <w:highlight w:val="none"/>
          <w:u w:val="single"/>
        </w:rPr>
        <w:t xml:space="preserve">     </w:t>
      </w:r>
      <w:r>
        <w:rPr>
          <w:rFonts w:hint="eastAsia" w:ascii="宋体" w:hAnsi="宋体" w:cs="宋体"/>
          <w:sz w:val="24"/>
          <w:highlight w:val="none"/>
          <w:u w:val="single"/>
        </w:rPr>
        <w:t>（项目名称）</w:t>
      </w:r>
      <w:r>
        <w:rPr>
          <w:rFonts w:hint="eastAsia" w:ascii="宋体" w:hAnsi="宋体" w:cs="宋体"/>
          <w:b/>
          <w:bCs/>
          <w:sz w:val="24"/>
          <w:highlight w:val="none"/>
          <w:u w:val="single"/>
        </w:rPr>
        <w:t xml:space="preserve">   </w:t>
      </w:r>
      <w:r>
        <w:rPr>
          <w:rFonts w:hint="eastAsia" w:ascii="宋体" w:hAnsi="宋体" w:cs="宋体"/>
          <w:sz w:val="24"/>
          <w:highlight w:val="none"/>
          <w:u w:val="single"/>
        </w:rPr>
        <w:t xml:space="preserve"> (项目编号：</w:t>
      </w:r>
      <w:r>
        <w:rPr>
          <w:rFonts w:hint="eastAsia" w:ascii="宋体" w:hAnsi="宋体" w:cs="宋体"/>
          <w:sz w:val="24"/>
          <w:highlight w:val="none"/>
          <w:u w:val="single"/>
          <w:lang w:eastAsia="zh-CN"/>
        </w:rPr>
        <w:t>QZOB-2025-072</w:t>
      </w:r>
      <w:r>
        <w:rPr>
          <w:rFonts w:hint="eastAsia" w:ascii="宋体" w:hAnsi="宋体" w:cs="宋体"/>
          <w:sz w:val="24"/>
          <w:highlight w:val="none"/>
          <w:u w:val="single"/>
        </w:rPr>
        <w:t xml:space="preserve">) </w:t>
      </w:r>
      <w:r>
        <w:rPr>
          <w:rFonts w:hint="eastAsia" w:ascii="宋体" w:hAnsi="宋体" w:cs="宋体"/>
          <w:kern w:val="0"/>
          <w:sz w:val="24"/>
          <w:highlight w:val="none"/>
          <w:lang w:val="zh-CN"/>
        </w:rPr>
        <w:t>的实施。</w:t>
      </w:r>
    </w:p>
    <w:p w14:paraId="65F0B250">
      <w:pPr>
        <w:adjustRightInd w:val="0"/>
        <w:snapToGrid w:val="0"/>
        <w:spacing w:line="360" w:lineRule="auto"/>
        <w:ind w:right="480"/>
        <w:jc w:val="center"/>
        <w:rPr>
          <w:rFonts w:hint="eastAsia" w:ascii="宋体" w:hAnsi="宋体" w:cs="宋体"/>
          <w:b/>
          <w:kern w:val="0"/>
          <w:sz w:val="24"/>
          <w:highlight w:val="none"/>
          <w:lang w:val="zh-CN"/>
        </w:rPr>
      </w:pPr>
      <w:r>
        <w:rPr>
          <w:rFonts w:hint="eastAsia" w:ascii="宋体" w:hAnsi="宋体" w:cs="宋体"/>
          <w:b/>
          <w:kern w:val="0"/>
          <w:sz w:val="24"/>
          <w:highlight w:val="none"/>
          <w:lang w:val="zh-CN"/>
        </w:rPr>
        <w:t xml:space="preserve">                                              货币单位：人民币元</w:t>
      </w:r>
    </w:p>
    <w:tbl>
      <w:tblPr>
        <w:tblStyle w:val="88"/>
        <w:tblW w:w="1034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923"/>
        <w:gridCol w:w="4028"/>
        <w:gridCol w:w="2843"/>
        <w:gridCol w:w="1554"/>
      </w:tblGrid>
      <w:tr w14:paraId="142D69D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9" w:hRule="atLeast"/>
          <w:tblHeader/>
          <w:jc w:val="center"/>
        </w:trPr>
        <w:tc>
          <w:tcPr>
            <w:tcW w:w="1923" w:type="dxa"/>
            <w:tcBorders>
              <w:top w:val="single" w:color="auto" w:sz="4" w:space="0"/>
              <w:right w:val="single" w:color="auto" w:sz="4" w:space="0"/>
            </w:tcBorders>
            <w:vAlign w:val="center"/>
          </w:tcPr>
          <w:p w14:paraId="5DF5A457">
            <w:pPr>
              <w:spacing w:line="400" w:lineRule="exact"/>
              <w:jc w:val="center"/>
              <w:rPr>
                <w:rFonts w:hint="eastAsia" w:ascii="宋体" w:hAnsi="宋体" w:cs="宋体"/>
                <w:b/>
                <w:sz w:val="24"/>
                <w:highlight w:val="none"/>
                <w:lang w:val="en-GB"/>
              </w:rPr>
            </w:pPr>
            <w:r>
              <w:rPr>
                <w:rFonts w:hint="eastAsia" w:ascii="宋体" w:hAnsi="宋体" w:cs="宋体"/>
                <w:b/>
                <w:sz w:val="24"/>
                <w:highlight w:val="none"/>
                <w:lang w:val="en-GB"/>
              </w:rPr>
              <w:t>序号</w:t>
            </w:r>
          </w:p>
        </w:tc>
        <w:tc>
          <w:tcPr>
            <w:tcW w:w="4028" w:type="dxa"/>
            <w:tcBorders>
              <w:top w:val="single" w:color="auto" w:sz="4" w:space="0"/>
              <w:left w:val="single" w:color="auto" w:sz="4" w:space="0"/>
              <w:right w:val="single" w:color="auto" w:sz="4" w:space="0"/>
            </w:tcBorders>
            <w:vAlign w:val="center"/>
          </w:tcPr>
          <w:p w14:paraId="33AE926B">
            <w:pPr>
              <w:spacing w:line="400" w:lineRule="exact"/>
              <w:jc w:val="center"/>
              <w:rPr>
                <w:rFonts w:hint="eastAsia" w:ascii="宋体" w:hAnsi="宋体" w:cs="宋体"/>
                <w:b/>
                <w:sz w:val="24"/>
                <w:szCs w:val="24"/>
                <w:highlight w:val="none"/>
                <w:lang w:val="en-GB"/>
              </w:rPr>
            </w:pPr>
            <w:r>
              <w:rPr>
                <w:rFonts w:hint="eastAsia" w:ascii="宋体" w:hAnsi="宋体" w:cs="宋体"/>
                <w:b/>
                <w:sz w:val="24"/>
                <w:szCs w:val="24"/>
                <w:highlight w:val="none"/>
                <w:lang w:val="en-GB"/>
              </w:rPr>
              <w:t>标项名称</w:t>
            </w:r>
          </w:p>
        </w:tc>
        <w:tc>
          <w:tcPr>
            <w:tcW w:w="2843" w:type="dxa"/>
            <w:tcBorders>
              <w:right w:val="single" w:color="auto" w:sz="4" w:space="0"/>
            </w:tcBorders>
            <w:vAlign w:val="center"/>
          </w:tcPr>
          <w:p w14:paraId="4B33F387">
            <w:pPr>
              <w:spacing w:line="400" w:lineRule="exact"/>
              <w:jc w:val="center"/>
              <w:rPr>
                <w:rFonts w:hint="eastAsia" w:ascii="宋体" w:hAnsi="宋体" w:cs="宋体"/>
                <w:b/>
                <w:sz w:val="24"/>
                <w:szCs w:val="24"/>
                <w:highlight w:val="none"/>
                <w:lang w:val="en-GB"/>
              </w:rPr>
            </w:pPr>
            <w:r>
              <w:rPr>
                <w:rFonts w:hint="eastAsia" w:ascii="宋体" w:hAnsi="宋体" w:cs="宋体"/>
                <w:b/>
                <w:sz w:val="24"/>
                <w:szCs w:val="24"/>
                <w:highlight w:val="none"/>
                <w:lang w:val="en-GB"/>
              </w:rPr>
              <w:t>内容</w:t>
            </w:r>
          </w:p>
        </w:tc>
        <w:tc>
          <w:tcPr>
            <w:tcW w:w="1554" w:type="dxa"/>
            <w:tcBorders>
              <w:right w:val="single" w:color="auto" w:sz="4" w:space="0"/>
            </w:tcBorders>
            <w:vAlign w:val="center"/>
          </w:tcPr>
          <w:p w14:paraId="23126806">
            <w:pPr>
              <w:spacing w:line="400" w:lineRule="exact"/>
              <w:jc w:val="center"/>
              <w:rPr>
                <w:rFonts w:hint="eastAsia" w:ascii="宋体" w:hAnsi="宋体" w:cs="宋体"/>
                <w:b/>
                <w:sz w:val="24"/>
                <w:szCs w:val="24"/>
                <w:highlight w:val="none"/>
                <w:lang w:val="en-GB"/>
              </w:rPr>
            </w:pPr>
            <w:r>
              <w:rPr>
                <w:rFonts w:hint="eastAsia" w:ascii="宋体" w:hAnsi="宋体" w:cs="宋体"/>
                <w:b/>
                <w:sz w:val="24"/>
                <w:szCs w:val="24"/>
                <w:highlight w:val="none"/>
                <w:lang w:val="en-GB"/>
              </w:rPr>
              <w:t>备注</w:t>
            </w:r>
          </w:p>
        </w:tc>
      </w:tr>
      <w:tr w14:paraId="3AD13A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5" w:hRule="atLeast"/>
          <w:jc w:val="center"/>
        </w:trPr>
        <w:tc>
          <w:tcPr>
            <w:tcW w:w="1923" w:type="dxa"/>
            <w:tcBorders>
              <w:right w:val="single" w:color="auto" w:sz="4" w:space="0"/>
            </w:tcBorders>
            <w:vAlign w:val="center"/>
          </w:tcPr>
          <w:p w14:paraId="2D418D9C">
            <w:pPr>
              <w:spacing w:line="400" w:lineRule="exact"/>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1</w:t>
            </w:r>
          </w:p>
        </w:tc>
        <w:tc>
          <w:tcPr>
            <w:tcW w:w="4028" w:type="dxa"/>
            <w:tcBorders>
              <w:left w:val="single" w:color="auto" w:sz="4" w:space="0"/>
              <w:bottom w:val="single" w:color="auto" w:sz="4" w:space="0"/>
              <w:right w:val="single" w:color="auto" w:sz="4" w:space="0"/>
            </w:tcBorders>
            <w:vAlign w:val="center"/>
          </w:tcPr>
          <w:p w14:paraId="46E257DD">
            <w:pPr>
              <w:jc w:val="center"/>
              <w:rPr>
                <w:rFonts w:hint="eastAsia" w:ascii="宋体" w:hAnsi="宋体" w:cs="宋体"/>
                <w:sz w:val="24"/>
                <w:szCs w:val="24"/>
                <w:highlight w:val="none"/>
              </w:rPr>
            </w:pPr>
            <w:bookmarkStart w:id="102" w:name="OLE_LINK2"/>
            <w:r>
              <w:rPr>
                <w:rFonts w:hint="eastAsia" w:ascii="宋体" w:hAnsi="宋体" w:cs="宋体"/>
                <w:sz w:val="24"/>
                <w:szCs w:val="24"/>
                <w:highlight w:val="none"/>
                <w:lang w:eastAsia="zh-CN"/>
              </w:rPr>
              <w:t>衢州市柯城区九龙幼儿园悦澜湾园区智能化提升工程及设施设备采购 - 网络系统改造及班级一体机采购</w:t>
            </w:r>
            <w:bookmarkEnd w:id="102"/>
          </w:p>
        </w:tc>
        <w:tc>
          <w:tcPr>
            <w:tcW w:w="2843" w:type="dxa"/>
            <w:tcBorders>
              <w:bottom w:val="single" w:color="auto" w:sz="4" w:space="0"/>
              <w:right w:val="single" w:color="auto" w:sz="4" w:space="0"/>
            </w:tcBorders>
            <w:vAlign w:val="center"/>
          </w:tcPr>
          <w:p w14:paraId="745189FB">
            <w:pPr>
              <w:jc w:val="center"/>
              <w:rPr>
                <w:rFonts w:hint="eastAsia" w:ascii="宋体" w:hAnsi="宋体" w:cs="宋体"/>
                <w:sz w:val="24"/>
                <w:szCs w:val="24"/>
                <w:highlight w:val="none"/>
              </w:rPr>
            </w:pPr>
          </w:p>
        </w:tc>
        <w:tc>
          <w:tcPr>
            <w:tcW w:w="1554" w:type="dxa"/>
            <w:tcBorders>
              <w:bottom w:val="single" w:color="auto" w:sz="4" w:space="0"/>
              <w:right w:val="single" w:color="auto" w:sz="4" w:space="0"/>
            </w:tcBorders>
            <w:vAlign w:val="center"/>
          </w:tcPr>
          <w:p w14:paraId="77275412">
            <w:pPr>
              <w:spacing w:line="400" w:lineRule="exact"/>
              <w:rPr>
                <w:rFonts w:hint="eastAsia" w:ascii="宋体" w:hAnsi="宋体" w:cs="宋体"/>
                <w:sz w:val="24"/>
                <w:szCs w:val="24"/>
                <w:highlight w:val="none"/>
              </w:rPr>
            </w:pPr>
          </w:p>
        </w:tc>
      </w:tr>
      <w:tr w14:paraId="1A5D23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5" w:hRule="atLeast"/>
          <w:jc w:val="center"/>
        </w:trPr>
        <w:tc>
          <w:tcPr>
            <w:tcW w:w="1923" w:type="dxa"/>
            <w:tcBorders>
              <w:right w:val="single" w:color="auto" w:sz="4" w:space="0"/>
            </w:tcBorders>
            <w:vAlign w:val="center"/>
          </w:tcPr>
          <w:p w14:paraId="07B7E291">
            <w:pPr>
              <w:spacing w:line="400" w:lineRule="exact"/>
              <w:jc w:val="center"/>
              <w:rPr>
                <w:rFonts w:hint="eastAsia" w:ascii="宋体" w:hAnsi="宋体" w:cs="宋体"/>
                <w:sz w:val="24"/>
                <w:highlight w:val="none"/>
              </w:rPr>
            </w:pPr>
            <w:r>
              <w:rPr>
                <w:rFonts w:hint="eastAsia" w:ascii="宋体" w:hAnsi="宋体" w:cs="宋体"/>
                <w:b/>
                <w:sz w:val="24"/>
                <w:highlight w:val="none"/>
                <w:lang w:val="en-GB"/>
              </w:rPr>
              <w:t>投标总报价</w:t>
            </w:r>
          </w:p>
        </w:tc>
        <w:tc>
          <w:tcPr>
            <w:tcW w:w="8425" w:type="dxa"/>
            <w:gridSpan w:val="3"/>
            <w:tcBorders>
              <w:left w:val="single" w:color="auto" w:sz="4" w:space="0"/>
              <w:bottom w:val="single" w:color="auto" w:sz="4" w:space="0"/>
              <w:right w:val="single" w:color="auto" w:sz="4" w:space="0"/>
            </w:tcBorders>
            <w:vAlign w:val="center"/>
          </w:tcPr>
          <w:p w14:paraId="347B88AD">
            <w:pPr>
              <w:spacing w:line="400" w:lineRule="exact"/>
              <w:rPr>
                <w:rFonts w:hint="eastAsia" w:ascii="宋体" w:hAnsi="宋体" w:cs="宋体"/>
                <w:sz w:val="24"/>
                <w:szCs w:val="24"/>
                <w:highlight w:val="none"/>
              </w:rPr>
            </w:pPr>
            <w:r>
              <w:rPr>
                <w:rFonts w:hint="eastAsia" w:ascii="宋体" w:hAnsi="宋体" w:cs="宋体"/>
                <w:sz w:val="24"/>
                <w:szCs w:val="24"/>
                <w:highlight w:val="none"/>
              </w:rPr>
              <w:t>（小写）：</w:t>
            </w:r>
          </w:p>
          <w:p w14:paraId="023730F0">
            <w:pPr>
              <w:spacing w:line="400" w:lineRule="exact"/>
              <w:rPr>
                <w:rFonts w:hint="eastAsia" w:ascii="宋体" w:hAnsi="宋体" w:cs="宋体"/>
                <w:sz w:val="24"/>
                <w:szCs w:val="24"/>
                <w:highlight w:val="none"/>
              </w:rPr>
            </w:pPr>
            <w:r>
              <w:rPr>
                <w:rFonts w:hint="eastAsia" w:ascii="宋体" w:hAnsi="宋体" w:cs="宋体"/>
                <w:sz w:val="24"/>
                <w:szCs w:val="24"/>
                <w:highlight w:val="none"/>
              </w:rPr>
              <w:t>（大写）：</w:t>
            </w:r>
          </w:p>
        </w:tc>
      </w:tr>
      <w:tr w14:paraId="1B75F1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5" w:hRule="atLeast"/>
          <w:jc w:val="center"/>
        </w:trPr>
        <w:tc>
          <w:tcPr>
            <w:tcW w:w="1923" w:type="dxa"/>
            <w:tcBorders>
              <w:right w:val="single" w:color="auto" w:sz="4" w:space="0"/>
            </w:tcBorders>
            <w:vAlign w:val="center"/>
          </w:tcPr>
          <w:p w14:paraId="02308DCA">
            <w:pPr>
              <w:spacing w:line="400" w:lineRule="exact"/>
              <w:jc w:val="center"/>
              <w:rPr>
                <w:rFonts w:hint="eastAsia" w:ascii="宋体" w:hAnsi="宋体" w:cs="宋体"/>
                <w:b/>
                <w:sz w:val="24"/>
                <w:highlight w:val="none"/>
              </w:rPr>
            </w:pPr>
            <w:r>
              <w:rPr>
                <w:rFonts w:hint="eastAsia" w:ascii="宋体" w:hAnsi="宋体" w:cs="宋体"/>
                <w:b/>
                <w:sz w:val="24"/>
                <w:highlight w:val="none"/>
              </w:rPr>
              <w:t>项目负责人</w:t>
            </w:r>
          </w:p>
        </w:tc>
        <w:tc>
          <w:tcPr>
            <w:tcW w:w="8425" w:type="dxa"/>
            <w:gridSpan w:val="3"/>
            <w:tcBorders>
              <w:left w:val="single" w:color="auto" w:sz="4" w:space="0"/>
              <w:bottom w:val="single" w:color="auto" w:sz="4" w:space="0"/>
              <w:right w:val="single" w:color="auto" w:sz="4" w:space="0"/>
            </w:tcBorders>
            <w:vAlign w:val="center"/>
          </w:tcPr>
          <w:p w14:paraId="1BBC2220">
            <w:pPr>
              <w:spacing w:line="400" w:lineRule="exact"/>
              <w:rPr>
                <w:rFonts w:hint="eastAsia" w:ascii="宋体" w:hAnsi="宋体" w:cs="宋体"/>
                <w:sz w:val="24"/>
                <w:highlight w:val="none"/>
              </w:rPr>
            </w:pPr>
          </w:p>
        </w:tc>
      </w:tr>
      <w:tr w14:paraId="1508D84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5" w:hRule="atLeast"/>
          <w:jc w:val="center"/>
        </w:trPr>
        <w:tc>
          <w:tcPr>
            <w:tcW w:w="1923" w:type="dxa"/>
            <w:tcBorders>
              <w:right w:val="single" w:color="auto" w:sz="4" w:space="0"/>
            </w:tcBorders>
            <w:vAlign w:val="center"/>
          </w:tcPr>
          <w:p w14:paraId="16C85893">
            <w:pPr>
              <w:spacing w:line="400" w:lineRule="exact"/>
              <w:jc w:val="center"/>
              <w:rPr>
                <w:rFonts w:hint="eastAsia" w:ascii="宋体" w:hAnsi="宋体" w:cs="宋体"/>
                <w:b/>
                <w:sz w:val="24"/>
                <w:highlight w:val="none"/>
              </w:rPr>
            </w:pPr>
            <w:r>
              <w:rPr>
                <w:rFonts w:hint="eastAsia" w:ascii="宋体" w:hAnsi="宋体" w:cs="宋体"/>
                <w:b/>
                <w:sz w:val="24"/>
                <w:highlight w:val="none"/>
                <w:lang w:val="en-GB"/>
              </w:rPr>
              <w:t>服务期</w:t>
            </w:r>
          </w:p>
        </w:tc>
        <w:tc>
          <w:tcPr>
            <w:tcW w:w="8425" w:type="dxa"/>
            <w:gridSpan w:val="3"/>
            <w:tcBorders>
              <w:left w:val="single" w:color="auto" w:sz="4" w:space="0"/>
              <w:bottom w:val="single" w:color="auto" w:sz="4" w:space="0"/>
              <w:right w:val="single" w:color="auto" w:sz="4" w:space="0"/>
            </w:tcBorders>
            <w:vAlign w:val="center"/>
          </w:tcPr>
          <w:p w14:paraId="1EFAC29E">
            <w:pPr>
              <w:spacing w:line="400" w:lineRule="exact"/>
              <w:rPr>
                <w:rFonts w:hint="eastAsia" w:ascii="宋体" w:hAnsi="宋体" w:cs="宋体"/>
                <w:sz w:val="24"/>
                <w:highlight w:val="none"/>
              </w:rPr>
            </w:pPr>
          </w:p>
        </w:tc>
      </w:tr>
      <w:tr w14:paraId="7CDF4C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5" w:hRule="atLeast"/>
          <w:jc w:val="center"/>
        </w:trPr>
        <w:tc>
          <w:tcPr>
            <w:tcW w:w="10348" w:type="dxa"/>
            <w:gridSpan w:val="4"/>
            <w:tcBorders>
              <w:right w:val="single" w:color="auto" w:sz="4" w:space="0"/>
            </w:tcBorders>
            <w:vAlign w:val="center"/>
          </w:tcPr>
          <w:p w14:paraId="0F5CF994">
            <w:pPr>
              <w:spacing w:line="400" w:lineRule="exact"/>
              <w:rPr>
                <w:rFonts w:hint="eastAsia" w:ascii="宋体" w:hAnsi="宋体" w:cs="宋体"/>
                <w:sz w:val="24"/>
                <w:highlight w:val="none"/>
              </w:rPr>
            </w:pPr>
            <w:r>
              <w:rPr>
                <w:rFonts w:hint="eastAsia" w:ascii="宋体" w:hAnsi="宋体" w:cs="宋体"/>
                <w:sz w:val="24"/>
                <w:highlight w:val="none"/>
              </w:rPr>
              <w:t>本报价已包含招标文件“第二部分 投标人须知 \三、投标文件\（三）投标报价”要求的全部内容。</w:t>
            </w:r>
          </w:p>
        </w:tc>
      </w:tr>
    </w:tbl>
    <w:p w14:paraId="1D898AE1">
      <w:pPr>
        <w:snapToGrid w:val="0"/>
        <w:spacing w:line="436" w:lineRule="exact"/>
        <w:ind w:firstLine="482" w:firstLineChars="200"/>
        <w:jc w:val="left"/>
        <w:rPr>
          <w:rFonts w:hint="eastAsia" w:ascii="宋体" w:hAnsi="宋体" w:cs="宋体"/>
          <w:b/>
          <w:kern w:val="0"/>
          <w:sz w:val="24"/>
          <w:highlight w:val="none"/>
          <w:lang w:val="zh-CN"/>
        </w:rPr>
      </w:pPr>
      <w:r>
        <w:rPr>
          <w:rFonts w:hint="eastAsia" w:ascii="宋体" w:hAnsi="宋体" w:cs="宋体"/>
          <w:b/>
          <w:kern w:val="0"/>
          <w:sz w:val="24"/>
          <w:highlight w:val="none"/>
          <w:lang w:val="zh-CN"/>
        </w:rPr>
        <w:t>注：</w:t>
      </w:r>
    </w:p>
    <w:p w14:paraId="40A1ADBC">
      <w:pPr>
        <w:snapToGrid w:val="0"/>
        <w:spacing w:line="436" w:lineRule="exact"/>
        <w:ind w:firstLine="482" w:firstLineChars="200"/>
        <w:jc w:val="left"/>
        <w:rPr>
          <w:rFonts w:hint="eastAsia" w:ascii="宋体" w:hAnsi="宋体" w:cs="宋体"/>
          <w:bCs/>
          <w:sz w:val="24"/>
          <w:szCs w:val="24"/>
          <w:highlight w:val="none"/>
          <w:lang w:val="zh-CN"/>
        </w:rPr>
      </w:pPr>
      <w:r>
        <w:rPr>
          <w:rFonts w:hint="eastAsia" w:ascii="宋体" w:hAnsi="宋体" w:cs="宋体"/>
          <w:b/>
          <w:kern w:val="0"/>
          <w:sz w:val="24"/>
          <w:highlight w:val="none"/>
        </w:rPr>
        <w:t>1、</w:t>
      </w:r>
      <w:r>
        <w:rPr>
          <w:rFonts w:hint="eastAsia" w:ascii="宋体" w:hAnsi="宋体" w:cs="宋体"/>
          <w:bCs/>
          <w:kern w:val="0"/>
          <w:sz w:val="24"/>
          <w:highlight w:val="none"/>
          <w:lang w:val="zh-CN"/>
        </w:rPr>
        <w:t>报价应包括为货物价款、人工费、材料费、运输保险费、安装调试费（含安装人工等相关人工费用）、售后服务、各项税金、验收费、政策性文件规定及合同包含的所有风险、责任等合同实施过程中的应预见和不可预见费用均计入报价，招</w:t>
      </w:r>
      <w:r>
        <w:rPr>
          <w:rFonts w:hint="eastAsia" w:ascii="宋体" w:hAnsi="宋体" w:cs="宋体"/>
          <w:bCs/>
          <w:sz w:val="24"/>
          <w:highlight w:val="none"/>
          <w:lang w:val="zh-CN"/>
        </w:rPr>
        <w:t>标人不在支付额外费用。</w:t>
      </w:r>
      <w:r>
        <w:rPr>
          <w:rFonts w:hint="eastAsia" w:ascii="宋体" w:hAnsi="宋体" w:cs="宋体"/>
          <w:bCs/>
          <w:sz w:val="24"/>
          <w:szCs w:val="24"/>
          <w:highlight w:val="none"/>
        </w:rPr>
        <w:t>投标人在报价应充分考虑</w:t>
      </w:r>
      <w:r>
        <w:rPr>
          <w:rFonts w:hint="eastAsia" w:ascii="宋体" w:hAnsi="宋体" w:cs="宋体"/>
          <w:bCs/>
          <w:sz w:val="24"/>
          <w:szCs w:val="24"/>
          <w:highlight w:val="none"/>
          <w:lang w:val="zh-CN"/>
        </w:rPr>
        <w:t>。</w:t>
      </w:r>
    </w:p>
    <w:p w14:paraId="1592D087">
      <w:pPr>
        <w:spacing w:line="360" w:lineRule="auto"/>
        <w:ind w:firstLine="482" w:firstLineChars="200"/>
        <w:jc w:val="left"/>
        <w:rPr>
          <w:rFonts w:hint="eastAsia" w:ascii="宋体" w:hAnsi="宋体" w:cs="宋体"/>
          <w:bCs/>
          <w:sz w:val="24"/>
          <w:szCs w:val="24"/>
          <w:highlight w:val="none"/>
        </w:rPr>
      </w:pPr>
      <w:r>
        <w:rPr>
          <w:rFonts w:hint="eastAsia" w:ascii="宋体" w:hAnsi="宋体" w:cs="宋体"/>
          <w:b/>
          <w:sz w:val="24"/>
          <w:szCs w:val="24"/>
          <w:highlight w:val="none"/>
        </w:rPr>
        <w:t>2、供应商报价低于项目预算50%的，应当在报价文件中详细阐述不影响产品质量或者诚信履约的具体原因。</w:t>
      </w:r>
    </w:p>
    <w:p w14:paraId="5F5CEDAC">
      <w:pPr>
        <w:pStyle w:val="584"/>
        <w:spacing w:line="400" w:lineRule="exact"/>
        <w:rPr>
          <w:rFonts w:hint="eastAsia" w:ascii="宋体" w:hAnsi="宋体" w:eastAsia="宋体" w:cs="宋体"/>
          <w:b/>
          <w:color w:val="auto"/>
          <w:szCs w:val="22"/>
          <w:highlight w:val="none"/>
          <w:lang w:val="zh-CN"/>
        </w:rPr>
      </w:pPr>
    </w:p>
    <w:p w14:paraId="0B16D7BF">
      <w:pPr>
        <w:adjustRightInd w:val="0"/>
        <w:snapToGrid w:val="0"/>
        <w:spacing w:line="360" w:lineRule="auto"/>
        <w:rPr>
          <w:rFonts w:hint="eastAsia" w:ascii="宋体" w:hAnsi="宋体" w:cs="宋体"/>
          <w:kern w:val="0"/>
          <w:sz w:val="24"/>
          <w:highlight w:val="none"/>
        </w:rPr>
      </w:pPr>
      <w:r>
        <w:rPr>
          <w:rFonts w:hint="eastAsia" w:ascii="宋体" w:hAnsi="宋体" w:cs="宋体"/>
          <w:kern w:val="0"/>
          <w:sz w:val="24"/>
          <w:highlight w:val="none"/>
          <w:lang w:val="zh-CN"/>
        </w:rPr>
        <w:t>法定/授权代表：</w:t>
      </w:r>
      <w:r>
        <w:rPr>
          <w:rFonts w:hint="eastAsia" w:ascii="宋体" w:hAnsi="宋体" w:cs="宋体"/>
          <w:kern w:val="0"/>
          <w:sz w:val="24"/>
          <w:highlight w:val="none"/>
          <w:u w:val="single"/>
          <w:lang w:val="zh-CN"/>
        </w:rPr>
        <w:t xml:space="preserve">（签字或盖章） </w:t>
      </w:r>
    </w:p>
    <w:p w14:paraId="065F8252">
      <w:pPr>
        <w:adjustRightInd w:val="0"/>
        <w:snapToGrid w:val="0"/>
        <w:spacing w:line="360" w:lineRule="auto"/>
        <w:rPr>
          <w:rFonts w:hint="eastAsia" w:ascii="宋体" w:hAnsi="宋体" w:cs="宋体"/>
          <w:kern w:val="0"/>
          <w:sz w:val="24"/>
          <w:highlight w:val="none"/>
          <w:u w:val="single"/>
          <w:lang w:val="zh-CN"/>
        </w:rPr>
      </w:pPr>
      <w:r>
        <w:rPr>
          <w:rFonts w:hint="eastAsia" w:ascii="宋体" w:hAnsi="宋体" w:cs="宋体"/>
          <w:kern w:val="0"/>
          <w:sz w:val="24"/>
          <w:highlight w:val="none"/>
          <w:lang w:val="zh-CN"/>
        </w:rPr>
        <w:t>投标人：</w:t>
      </w:r>
      <w:r>
        <w:rPr>
          <w:rFonts w:hint="eastAsia" w:ascii="宋体" w:hAnsi="宋体" w:cs="宋体"/>
          <w:kern w:val="0"/>
          <w:sz w:val="24"/>
          <w:highlight w:val="none"/>
          <w:u w:val="single"/>
          <w:lang w:val="zh-CN"/>
        </w:rPr>
        <w:t xml:space="preserve">（全称加盖公章）       </w:t>
      </w:r>
    </w:p>
    <w:p w14:paraId="191745A7">
      <w:pPr>
        <w:adjustRightInd w:val="0"/>
        <w:snapToGrid w:val="0"/>
        <w:spacing w:line="360" w:lineRule="auto"/>
        <w:rPr>
          <w:rFonts w:hint="eastAsia" w:ascii="宋体" w:hAnsi="宋体" w:cs="宋体"/>
          <w:kern w:val="0"/>
          <w:sz w:val="24"/>
          <w:highlight w:val="none"/>
          <w:u w:val="singl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u w:val="singl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u w:val="single"/>
        </w:rPr>
        <w:tab/>
      </w:r>
      <w:r>
        <w:rPr>
          <w:rFonts w:hint="eastAsia" w:ascii="宋体" w:hAnsi="宋体" w:cs="宋体"/>
          <w:kern w:val="0"/>
          <w:sz w:val="24"/>
          <w:highlight w:val="none"/>
          <w:lang w:val="zh-CN"/>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lang w:val="zh-CN"/>
        </w:rPr>
        <w:t>日</w:t>
      </w:r>
    </w:p>
    <w:p w14:paraId="2CD7E48C">
      <w:pPr>
        <w:pStyle w:val="522"/>
        <w:snapToGrid w:val="0"/>
        <w:spacing w:line="400" w:lineRule="exact"/>
        <w:outlineLvl w:val="1"/>
        <w:rPr>
          <w:rFonts w:hint="eastAsia" w:hAnsi="宋体" w:cs="宋体"/>
          <w:b/>
          <w:bCs/>
          <w:highlight w:val="none"/>
        </w:rPr>
      </w:pPr>
      <w:bookmarkStart w:id="103" w:name="_Toc16646"/>
      <w:bookmarkStart w:id="104" w:name="_Toc522530061"/>
    </w:p>
    <w:p w14:paraId="71679045">
      <w:pPr>
        <w:pStyle w:val="522"/>
        <w:snapToGrid w:val="0"/>
        <w:spacing w:line="400" w:lineRule="exact"/>
        <w:outlineLvl w:val="1"/>
        <w:rPr>
          <w:rFonts w:hint="eastAsia" w:hAnsi="宋体" w:cs="宋体"/>
          <w:b/>
          <w:bCs/>
          <w:highlight w:val="none"/>
        </w:rPr>
      </w:pPr>
    </w:p>
    <w:p w14:paraId="334BB474">
      <w:pPr>
        <w:pStyle w:val="5"/>
        <w:kinsoku/>
        <w:overflowPunct/>
        <w:bidi w:val="0"/>
        <w:spacing w:line="400" w:lineRule="exact"/>
        <w:ind w:left="0" w:firstLine="0"/>
        <w:jc w:val="center"/>
        <w:rPr>
          <w:rFonts w:hint="eastAsia" w:ascii="宋体" w:hAnsi="宋体" w:eastAsia="宋体" w:cs="宋体"/>
          <w:color w:val="auto"/>
          <w:sz w:val="28"/>
          <w:highlight w:val="none"/>
          <w:lang w:eastAsia="zh-CN"/>
        </w:rPr>
      </w:pPr>
      <w:r>
        <w:rPr>
          <w:rFonts w:hint="eastAsia" w:ascii="宋体" w:hAnsi="宋体" w:eastAsia="宋体" w:cs="宋体"/>
          <w:color w:val="auto"/>
          <w:sz w:val="28"/>
          <w:highlight w:val="none"/>
          <w:lang w:val="en-US" w:eastAsia="zh-CN"/>
        </w:rPr>
        <w:t>格式八：</w:t>
      </w:r>
      <w:r>
        <w:rPr>
          <w:rFonts w:hint="eastAsia" w:ascii="宋体" w:hAnsi="宋体" w:eastAsia="宋体" w:cs="宋体"/>
          <w:color w:val="auto"/>
          <w:sz w:val="28"/>
          <w:highlight w:val="none"/>
          <w:lang w:eastAsia="zh-CN"/>
        </w:rPr>
        <w:t>投标报价明细表</w:t>
      </w:r>
    </w:p>
    <w:p w14:paraId="32E7FC58">
      <w:pPr>
        <w:rPr>
          <w:rFonts w:hint="eastAsia"/>
          <w:color w:val="auto"/>
          <w:highlight w:val="none"/>
          <w:lang w:eastAsia="zh-CN"/>
        </w:rPr>
      </w:pPr>
    </w:p>
    <w:tbl>
      <w:tblPr>
        <w:tblStyle w:val="89"/>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485"/>
        <w:gridCol w:w="1248"/>
        <w:gridCol w:w="919"/>
        <w:gridCol w:w="949"/>
        <w:gridCol w:w="1"/>
        <w:gridCol w:w="948"/>
        <w:gridCol w:w="2"/>
        <w:gridCol w:w="947"/>
        <w:gridCol w:w="3"/>
        <w:gridCol w:w="1047"/>
        <w:gridCol w:w="1312"/>
      </w:tblGrid>
      <w:tr w14:paraId="5F76C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54" w:type="dxa"/>
            <w:vAlign w:val="center"/>
          </w:tcPr>
          <w:p w14:paraId="6108A6BB">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序号</w:t>
            </w:r>
          </w:p>
        </w:tc>
        <w:tc>
          <w:tcPr>
            <w:tcW w:w="1485" w:type="dxa"/>
            <w:vAlign w:val="center"/>
          </w:tcPr>
          <w:p w14:paraId="6FD197BD">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cs="宋体"/>
                <w:b w:val="0"/>
                <w:bCs w:val="0"/>
                <w:color w:val="auto"/>
                <w:sz w:val="24"/>
                <w:szCs w:val="24"/>
                <w:highlight w:val="none"/>
                <w:u w:val="none"/>
                <w:lang w:eastAsia="zh-CN"/>
              </w:rPr>
              <w:t>名称</w:t>
            </w:r>
          </w:p>
        </w:tc>
        <w:tc>
          <w:tcPr>
            <w:tcW w:w="1248" w:type="dxa"/>
            <w:vAlign w:val="center"/>
          </w:tcPr>
          <w:p w14:paraId="5D3B7FC8">
            <w:pPr>
              <w:spacing w:line="360" w:lineRule="auto"/>
              <w:jc w:val="center"/>
              <w:rPr>
                <w:rFonts w:hint="eastAsia" w:ascii="宋体" w:hAnsi="宋体" w:cs="宋体"/>
                <w:b w:val="0"/>
                <w:bCs w:val="0"/>
                <w:color w:val="auto"/>
                <w:sz w:val="24"/>
                <w:szCs w:val="24"/>
                <w:highlight w:val="none"/>
                <w:u w:val="none"/>
                <w:vertAlign w:val="baseline"/>
                <w:lang w:eastAsia="zh-CN"/>
              </w:rPr>
            </w:pPr>
            <w:r>
              <w:rPr>
                <w:rFonts w:hint="eastAsia" w:ascii="宋体" w:hAnsi="宋体" w:cs="宋体"/>
                <w:b w:val="0"/>
                <w:bCs w:val="0"/>
                <w:color w:val="auto"/>
                <w:sz w:val="24"/>
                <w:szCs w:val="24"/>
                <w:highlight w:val="none"/>
                <w:u w:val="none"/>
                <w:vertAlign w:val="baseline"/>
                <w:lang w:eastAsia="zh-CN"/>
              </w:rPr>
              <w:t>技术参数</w:t>
            </w:r>
          </w:p>
        </w:tc>
        <w:tc>
          <w:tcPr>
            <w:tcW w:w="919" w:type="dxa"/>
            <w:vAlign w:val="center"/>
          </w:tcPr>
          <w:p w14:paraId="2F1AC46E">
            <w:pPr>
              <w:spacing w:line="360" w:lineRule="auto"/>
              <w:jc w:val="center"/>
              <w:rPr>
                <w:rFonts w:hint="eastAsia" w:ascii="宋体" w:hAnsi="宋体" w:cs="宋体"/>
                <w:b w:val="0"/>
                <w:bCs w:val="0"/>
                <w:color w:val="auto"/>
                <w:sz w:val="24"/>
                <w:szCs w:val="24"/>
                <w:highlight w:val="none"/>
                <w:u w:val="none"/>
                <w:vertAlign w:val="baseline"/>
                <w:lang w:eastAsia="zh-CN"/>
              </w:rPr>
            </w:pPr>
            <w:r>
              <w:rPr>
                <w:rFonts w:hint="eastAsia" w:ascii="宋体" w:hAnsi="宋体" w:cs="宋体"/>
                <w:b w:val="0"/>
                <w:bCs w:val="0"/>
                <w:color w:val="auto"/>
                <w:sz w:val="24"/>
                <w:szCs w:val="24"/>
                <w:highlight w:val="none"/>
                <w:u w:val="none"/>
                <w:vertAlign w:val="baseline"/>
                <w:lang w:eastAsia="zh-CN"/>
              </w:rPr>
              <w:t>品牌</w:t>
            </w:r>
          </w:p>
        </w:tc>
        <w:tc>
          <w:tcPr>
            <w:tcW w:w="949" w:type="dxa"/>
            <w:vAlign w:val="center"/>
          </w:tcPr>
          <w:p w14:paraId="0A8CC423">
            <w:pPr>
              <w:spacing w:line="360" w:lineRule="auto"/>
              <w:jc w:val="center"/>
              <w:rPr>
                <w:rFonts w:hint="eastAsia" w:ascii="宋体" w:hAnsi="宋体" w:cs="宋体"/>
                <w:b w:val="0"/>
                <w:bCs w:val="0"/>
                <w:color w:val="auto"/>
                <w:sz w:val="24"/>
                <w:szCs w:val="24"/>
                <w:highlight w:val="none"/>
                <w:u w:val="none"/>
                <w:vertAlign w:val="baseline"/>
                <w:lang w:eastAsia="zh-CN"/>
              </w:rPr>
            </w:pPr>
            <w:r>
              <w:rPr>
                <w:rFonts w:hint="eastAsia" w:ascii="宋体" w:hAnsi="宋体" w:cs="宋体"/>
                <w:b w:val="0"/>
                <w:bCs w:val="0"/>
                <w:color w:val="auto"/>
                <w:sz w:val="24"/>
                <w:szCs w:val="24"/>
                <w:highlight w:val="none"/>
                <w:u w:val="none"/>
                <w:vertAlign w:val="baseline"/>
                <w:lang w:val="en-US" w:eastAsia="zh-CN"/>
              </w:rPr>
              <w:t>数量</w:t>
            </w:r>
          </w:p>
        </w:tc>
        <w:tc>
          <w:tcPr>
            <w:tcW w:w="949" w:type="dxa"/>
            <w:gridSpan w:val="2"/>
            <w:vAlign w:val="center"/>
          </w:tcPr>
          <w:p w14:paraId="4B8D970E">
            <w:pPr>
              <w:spacing w:line="360" w:lineRule="auto"/>
              <w:jc w:val="center"/>
              <w:rPr>
                <w:rFonts w:hint="eastAsia" w:ascii="宋体" w:hAnsi="宋体" w:cs="宋体"/>
                <w:b w:val="0"/>
                <w:bCs w:val="0"/>
                <w:color w:val="auto"/>
                <w:sz w:val="24"/>
                <w:szCs w:val="24"/>
                <w:highlight w:val="none"/>
                <w:u w:val="none"/>
                <w:vertAlign w:val="baseline"/>
                <w:lang w:eastAsia="zh-CN"/>
              </w:rPr>
            </w:pPr>
            <w:r>
              <w:rPr>
                <w:rFonts w:hint="eastAsia" w:ascii="宋体" w:hAnsi="宋体" w:cs="宋体"/>
                <w:b w:val="0"/>
                <w:bCs w:val="0"/>
                <w:color w:val="auto"/>
                <w:sz w:val="24"/>
                <w:szCs w:val="24"/>
                <w:highlight w:val="none"/>
                <w:u w:val="none"/>
                <w:vertAlign w:val="baseline"/>
                <w:lang w:eastAsia="zh-CN"/>
              </w:rPr>
              <w:t>单位</w:t>
            </w:r>
          </w:p>
        </w:tc>
        <w:tc>
          <w:tcPr>
            <w:tcW w:w="949" w:type="dxa"/>
            <w:gridSpan w:val="2"/>
            <w:vAlign w:val="center"/>
          </w:tcPr>
          <w:p w14:paraId="03ABD8CE">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cs="宋体"/>
                <w:b w:val="0"/>
                <w:bCs w:val="0"/>
                <w:color w:val="auto"/>
                <w:sz w:val="24"/>
                <w:szCs w:val="24"/>
                <w:highlight w:val="none"/>
                <w:u w:val="none"/>
                <w:vertAlign w:val="baseline"/>
                <w:lang w:eastAsia="zh-CN"/>
              </w:rPr>
              <w:t>单价</w:t>
            </w:r>
            <w:r>
              <w:rPr>
                <w:rFonts w:hint="eastAsia" w:ascii="宋体" w:hAnsi="宋体" w:eastAsia="宋体" w:cs="宋体"/>
                <w:b w:val="0"/>
                <w:bCs w:val="0"/>
                <w:color w:val="auto"/>
                <w:sz w:val="24"/>
                <w:szCs w:val="24"/>
                <w:highlight w:val="none"/>
                <w:u w:val="none"/>
                <w:vertAlign w:val="baseline"/>
                <w:lang w:eastAsia="zh-CN"/>
              </w:rPr>
              <w:t>（元）</w:t>
            </w:r>
          </w:p>
        </w:tc>
        <w:tc>
          <w:tcPr>
            <w:tcW w:w="1050" w:type="dxa"/>
            <w:gridSpan w:val="2"/>
            <w:vAlign w:val="center"/>
          </w:tcPr>
          <w:p w14:paraId="011544C7">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cs="宋体"/>
                <w:b w:val="0"/>
                <w:bCs w:val="0"/>
                <w:color w:val="auto"/>
                <w:sz w:val="24"/>
                <w:szCs w:val="24"/>
                <w:highlight w:val="none"/>
                <w:u w:val="none"/>
                <w:vertAlign w:val="baseline"/>
                <w:lang w:eastAsia="zh-CN"/>
              </w:rPr>
              <w:t>总价</w:t>
            </w:r>
            <w:r>
              <w:rPr>
                <w:rFonts w:hint="eastAsia" w:ascii="宋体" w:hAnsi="宋体" w:eastAsia="宋体" w:cs="宋体"/>
                <w:b w:val="0"/>
                <w:bCs w:val="0"/>
                <w:color w:val="auto"/>
                <w:sz w:val="24"/>
                <w:szCs w:val="24"/>
                <w:highlight w:val="none"/>
                <w:u w:val="none"/>
                <w:vertAlign w:val="baseline"/>
                <w:lang w:eastAsia="zh-CN"/>
              </w:rPr>
              <w:t>（元）</w:t>
            </w:r>
          </w:p>
        </w:tc>
        <w:tc>
          <w:tcPr>
            <w:tcW w:w="1312" w:type="dxa"/>
            <w:vAlign w:val="center"/>
          </w:tcPr>
          <w:p w14:paraId="3F42ABD0">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备注</w:t>
            </w:r>
          </w:p>
        </w:tc>
      </w:tr>
      <w:tr w14:paraId="23498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54" w:type="dxa"/>
            <w:vAlign w:val="center"/>
          </w:tcPr>
          <w:p w14:paraId="3116D131">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1</w:t>
            </w:r>
          </w:p>
        </w:tc>
        <w:tc>
          <w:tcPr>
            <w:tcW w:w="1485" w:type="dxa"/>
            <w:vAlign w:val="center"/>
          </w:tcPr>
          <w:p w14:paraId="0FBB56A6">
            <w:pPr>
              <w:spacing w:line="360" w:lineRule="auto"/>
              <w:jc w:val="center"/>
              <w:rPr>
                <w:rFonts w:hint="default" w:ascii="宋体" w:hAnsi="宋体" w:eastAsia="宋体" w:cs="宋体"/>
                <w:b w:val="0"/>
                <w:bCs w:val="0"/>
                <w:color w:val="auto"/>
                <w:sz w:val="24"/>
                <w:szCs w:val="24"/>
                <w:highlight w:val="none"/>
                <w:u w:val="none"/>
                <w:vertAlign w:val="baseline"/>
                <w:lang w:val="en-US" w:eastAsia="zh-CN"/>
              </w:rPr>
            </w:pPr>
          </w:p>
        </w:tc>
        <w:tc>
          <w:tcPr>
            <w:tcW w:w="1248" w:type="dxa"/>
            <w:vAlign w:val="center"/>
          </w:tcPr>
          <w:p w14:paraId="1DE5A9D3">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19" w:type="dxa"/>
            <w:vAlign w:val="center"/>
          </w:tcPr>
          <w:p w14:paraId="4D82B6EA">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vAlign w:val="center"/>
          </w:tcPr>
          <w:p w14:paraId="7B403501">
            <w:pPr>
              <w:spacing w:line="360" w:lineRule="auto"/>
              <w:jc w:val="center"/>
              <w:rPr>
                <w:rFonts w:hint="default"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14:paraId="3840C1DC">
            <w:pPr>
              <w:spacing w:line="360" w:lineRule="auto"/>
              <w:jc w:val="center"/>
              <w:rPr>
                <w:rFonts w:hint="default"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14:paraId="7700FE14">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14:paraId="3C436F5B">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312" w:type="dxa"/>
            <w:vAlign w:val="center"/>
          </w:tcPr>
          <w:p w14:paraId="187BFF16">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14:paraId="7A73A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54" w:type="dxa"/>
            <w:vAlign w:val="center"/>
          </w:tcPr>
          <w:p w14:paraId="6EAFF230">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val="en-US" w:eastAsia="zh-CN"/>
              </w:rPr>
              <w:t>2</w:t>
            </w:r>
          </w:p>
        </w:tc>
        <w:tc>
          <w:tcPr>
            <w:tcW w:w="1485" w:type="dxa"/>
            <w:vAlign w:val="center"/>
          </w:tcPr>
          <w:p w14:paraId="24577184">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248" w:type="dxa"/>
            <w:vAlign w:val="center"/>
          </w:tcPr>
          <w:p w14:paraId="0AA51687">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19" w:type="dxa"/>
            <w:vAlign w:val="center"/>
          </w:tcPr>
          <w:p w14:paraId="0567C7DA">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vAlign w:val="center"/>
          </w:tcPr>
          <w:p w14:paraId="24040D6D">
            <w:pPr>
              <w:spacing w:line="360" w:lineRule="auto"/>
              <w:jc w:val="center"/>
              <w:rPr>
                <w:rFonts w:hint="default"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14:paraId="259EE458">
            <w:pPr>
              <w:spacing w:line="360" w:lineRule="auto"/>
              <w:jc w:val="center"/>
              <w:rPr>
                <w:rFonts w:hint="default"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14:paraId="0F400886">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14:paraId="33F4FD50">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312" w:type="dxa"/>
            <w:vAlign w:val="center"/>
          </w:tcPr>
          <w:p w14:paraId="570F74AF">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14:paraId="0796E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54" w:type="dxa"/>
            <w:vAlign w:val="center"/>
          </w:tcPr>
          <w:p w14:paraId="5CF03B19">
            <w:pPr>
              <w:spacing w:line="360" w:lineRule="auto"/>
              <w:jc w:val="center"/>
              <w:rPr>
                <w:rFonts w:hint="default" w:ascii="宋体" w:hAnsi="宋体" w:eastAsia="宋体" w:cs="宋体"/>
                <w:b w:val="0"/>
                <w:bCs w:val="0"/>
                <w:color w:val="auto"/>
                <w:sz w:val="24"/>
                <w:szCs w:val="24"/>
                <w:highlight w:val="none"/>
                <w:u w:val="none"/>
                <w:vertAlign w:val="baseline"/>
                <w:lang w:val="en-US" w:eastAsia="zh-CN"/>
              </w:rPr>
            </w:pPr>
            <w:r>
              <w:rPr>
                <w:rFonts w:hint="eastAsia" w:ascii="宋体" w:hAnsi="宋体" w:cs="宋体"/>
                <w:b w:val="0"/>
                <w:bCs w:val="0"/>
                <w:color w:val="auto"/>
                <w:sz w:val="24"/>
                <w:szCs w:val="24"/>
                <w:highlight w:val="none"/>
                <w:u w:val="none"/>
                <w:vertAlign w:val="baseline"/>
                <w:lang w:val="en-US" w:eastAsia="zh-CN"/>
              </w:rPr>
              <w:t>3</w:t>
            </w:r>
          </w:p>
        </w:tc>
        <w:tc>
          <w:tcPr>
            <w:tcW w:w="1485" w:type="dxa"/>
            <w:vAlign w:val="center"/>
          </w:tcPr>
          <w:p w14:paraId="09BBFD67">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248" w:type="dxa"/>
            <w:vAlign w:val="center"/>
          </w:tcPr>
          <w:p w14:paraId="5CD08DAC">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19" w:type="dxa"/>
            <w:vAlign w:val="center"/>
          </w:tcPr>
          <w:p w14:paraId="1B7D4C3E">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vAlign w:val="center"/>
          </w:tcPr>
          <w:p w14:paraId="42E43A09">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14:paraId="2A6E4A97">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14:paraId="7D55BEBA">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14:paraId="48575C20">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312" w:type="dxa"/>
            <w:vAlign w:val="center"/>
          </w:tcPr>
          <w:p w14:paraId="2F0F9E89">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14:paraId="35BF5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54" w:type="dxa"/>
            <w:vAlign w:val="center"/>
          </w:tcPr>
          <w:p w14:paraId="0D4E4DB7">
            <w:pPr>
              <w:spacing w:line="360" w:lineRule="auto"/>
              <w:jc w:val="center"/>
              <w:rPr>
                <w:rFonts w:hint="default" w:ascii="宋体" w:hAnsi="宋体" w:eastAsia="宋体" w:cs="宋体"/>
                <w:b w:val="0"/>
                <w:bCs w:val="0"/>
                <w:color w:val="auto"/>
                <w:sz w:val="24"/>
                <w:szCs w:val="24"/>
                <w:highlight w:val="none"/>
                <w:u w:val="none"/>
                <w:vertAlign w:val="baseline"/>
                <w:lang w:val="en-US" w:eastAsia="zh-CN"/>
              </w:rPr>
            </w:pPr>
            <w:r>
              <w:rPr>
                <w:rFonts w:hint="eastAsia" w:ascii="宋体" w:hAnsi="宋体" w:cs="宋体"/>
                <w:b w:val="0"/>
                <w:bCs w:val="0"/>
                <w:color w:val="auto"/>
                <w:sz w:val="24"/>
                <w:szCs w:val="24"/>
                <w:highlight w:val="none"/>
                <w:u w:val="none"/>
                <w:vertAlign w:val="baseline"/>
                <w:lang w:val="en-US" w:eastAsia="zh-CN"/>
              </w:rPr>
              <w:t>4</w:t>
            </w:r>
          </w:p>
        </w:tc>
        <w:tc>
          <w:tcPr>
            <w:tcW w:w="1485" w:type="dxa"/>
            <w:vAlign w:val="center"/>
          </w:tcPr>
          <w:p w14:paraId="5292BB1A">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248" w:type="dxa"/>
            <w:vAlign w:val="center"/>
          </w:tcPr>
          <w:p w14:paraId="0F9FB1E8">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19" w:type="dxa"/>
            <w:vAlign w:val="center"/>
          </w:tcPr>
          <w:p w14:paraId="49FC2D18">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vAlign w:val="center"/>
          </w:tcPr>
          <w:p w14:paraId="4DE7AE4D">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14:paraId="6EF9912E">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14:paraId="274E7AB9">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14:paraId="6C90E0C4">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312" w:type="dxa"/>
            <w:vAlign w:val="center"/>
          </w:tcPr>
          <w:p w14:paraId="7498C25F">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14:paraId="36377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54" w:type="dxa"/>
            <w:vAlign w:val="center"/>
          </w:tcPr>
          <w:p w14:paraId="315D9452">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485" w:type="dxa"/>
            <w:vAlign w:val="center"/>
          </w:tcPr>
          <w:p w14:paraId="5B11E938">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248" w:type="dxa"/>
            <w:vAlign w:val="center"/>
          </w:tcPr>
          <w:p w14:paraId="096ACDC7">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19" w:type="dxa"/>
            <w:vAlign w:val="center"/>
          </w:tcPr>
          <w:p w14:paraId="285A1780">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vAlign w:val="center"/>
          </w:tcPr>
          <w:p w14:paraId="39691824">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14:paraId="1929933B">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14:paraId="34B1F05A">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14:paraId="7CAE351E">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312" w:type="dxa"/>
            <w:vAlign w:val="center"/>
          </w:tcPr>
          <w:p w14:paraId="6069CE1D">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14:paraId="13E8A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287" w:type="dxa"/>
            <w:gridSpan w:val="3"/>
            <w:vAlign w:val="center"/>
          </w:tcPr>
          <w:p w14:paraId="7C01DEA3">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eastAsia="zh-CN"/>
              </w:rPr>
              <w:t>合计</w:t>
            </w:r>
          </w:p>
        </w:tc>
        <w:tc>
          <w:tcPr>
            <w:tcW w:w="919" w:type="dxa"/>
            <w:vAlign w:val="center"/>
          </w:tcPr>
          <w:p w14:paraId="40551B72">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50" w:type="dxa"/>
            <w:gridSpan w:val="2"/>
            <w:vAlign w:val="center"/>
          </w:tcPr>
          <w:p w14:paraId="2BAE9BFE">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50" w:type="dxa"/>
            <w:gridSpan w:val="2"/>
            <w:vAlign w:val="center"/>
          </w:tcPr>
          <w:p w14:paraId="78350BBE">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50" w:type="dxa"/>
            <w:gridSpan w:val="2"/>
            <w:vAlign w:val="center"/>
          </w:tcPr>
          <w:p w14:paraId="1EB6840F">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47" w:type="dxa"/>
            <w:vAlign w:val="center"/>
          </w:tcPr>
          <w:p w14:paraId="159A521D">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312" w:type="dxa"/>
            <w:vAlign w:val="center"/>
          </w:tcPr>
          <w:p w14:paraId="6F87D948">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bl>
    <w:p w14:paraId="4D3FD20B">
      <w:pPr>
        <w:rPr>
          <w:rFonts w:hint="eastAsia"/>
          <w:color w:val="auto"/>
          <w:highlight w:val="none"/>
          <w:lang w:eastAsia="zh-CN"/>
        </w:rPr>
      </w:pPr>
    </w:p>
    <w:p w14:paraId="0F94B165">
      <w:pPr>
        <w:adjustRightInd w:val="0"/>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sz w:val="21"/>
          <w:szCs w:val="21"/>
          <w:highlight w:val="none"/>
          <w:lang w:val="en-US" w:eastAsia="zh-CN"/>
        </w:rPr>
        <w:t>注：1</w:t>
      </w:r>
      <w:r>
        <w:rPr>
          <w:rFonts w:hint="eastAsia" w:ascii="宋体" w:hAnsi="宋体" w:cs="宋体"/>
          <w:color w:val="auto"/>
          <w:sz w:val="21"/>
          <w:szCs w:val="21"/>
          <w:highlight w:val="none"/>
          <w:lang w:val="en-US" w:eastAsia="zh-CN"/>
        </w:rPr>
        <w:t>.</w:t>
      </w:r>
      <w:r>
        <w:rPr>
          <w:rFonts w:hint="eastAsia" w:ascii="宋体" w:hAnsi="宋体" w:eastAsia="宋体" w:cs="宋体"/>
          <w:color w:val="auto"/>
          <w:kern w:val="0"/>
          <w:sz w:val="24"/>
          <w:highlight w:val="none"/>
          <w:lang w:val="zh-CN"/>
        </w:rPr>
        <w:t>此报价明细表请按规定要求填报。</w:t>
      </w:r>
    </w:p>
    <w:p w14:paraId="0DF66614">
      <w:pPr>
        <w:adjustRightInd w:val="0"/>
        <w:snapToGrid w:val="0"/>
        <w:spacing w:line="360" w:lineRule="auto"/>
        <w:ind w:firstLine="480" w:firstLineChars="200"/>
        <w:rPr>
          <w:rFonts w:hint="eastAsia" w:eastAsia="宋体"/>
          <w:color w:val="auto"/>
          <w:highlight w:val="none"/>
          <w:lang w:val="en-US" w:eastAsia="zh-CN"/>
        </w:rPr>
      </w:pPr>
      <w:r>
        <w:rPr>
          <w:rFonts w:hint="eastAsia" w:ascii="宋体" w:hAnsi="宋体" w:eastAsia="宋体" w:cs="宋体"/>
          <w:color w:val="auto"/>
          <w:kern w:val="0"/>
          <w:sz w:val="24"/>
          <w:highlight w:val="none"/>
          <w:lang w:val="en-US" w:eastAsia="zh-CN"/>
        </w:rPr>
        <w:t>2</w:t>
      </w: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highlight w:val="none"/>
          <w:lang w:val="en-US" w:eastAsia="zh-CN"/>
        </w:rPr>
        <w:t>以上报价应与“开标一览表”中的“投标报价”相一致。</w:t>
      </w:r>
    </w:p>
    <w:p w14:paraId="18AED49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kern w:val="0"/>
          <w:sz w:val="24"/>
          <w:szCs w:val="20"/>
          <w:highlight w:val="none"/>
          <w:lang w:val="en-US" w:eastAsia="zh-CN" w:bidi="ar-SA"/>
        </w:rPr>
        <w:t>3</w:t>
      </w:r>
      <w:r>
        <w:rPr>
          <w:rFonts w:hint="eastAsia" w:ascii="宋体" w:hAnsi="宋体" w:cs="宋体"/>
          <w:color w:val="auto"/>
          <w:kern w:val="0"/>
          <w:sz w:val="24"/>
          <w:szCs w:val="20"/>
          <w:highlight w:val="none"/>
          <w:lang w:val="en-US" w:eastAsia="zh-CN" w:bidi="ar-SA"/>
        </w:rPr>
        <w:t>.</w:t>
      </w:r>
      <w:r>
        <w:rPr>
          <w:rFonts w:hint="eastAsia" w:ascii="宋体" w:hAnsi="宋体" w:eastAsia="宋体" w:cs="宋体"/>
          <w:color w:val="auto"/>
          <w:kern w:val="0"/>
          <w:sz w:val="24"/>
          <w:szCs w:val="20"/>
          <w:highlight w:val="none"/>
          <w:lang w:val="en-US" w:eastAsia="zh-CN" w:bidi="ar-SA"/>
        </w:rPr>
        <w:t>本项目的投标报价</w:t>
      </w:r>
      <w:r>
        <w:rPr>
          <w:rFonts w:hint="eastAsia" w:ascii="宋体" w:hAnsi="宋体" w:eastAsia="宋体" w:cs="宋体"/>
          <w:bCs/>
          <w:color w:val="auto"/>
          <w:sz w:val="24"/>
          <w:szCs w:val="24"/>
          <w:highlight w:val="none"/>
          <w:lang w:val="zh-CN"/>
        </w:rPr>
        <w:t>包</w:t>
      </w:r>
      <w:r>
        <w:rPr>
          <w:rFonts w:hint="eastAsia" w:ascii="宋体" w:hAnsi="宋体" w:cs="宋体"/>
          <w:bCs/>
          <w:color w:val="auto"/>
          <w:sz w:val="24"/>
          <w:szCs w:val="24"/>
          <w:highlight w:val="none"/>
          <w:lang w:val="zh-CN"/>
        </w:rPr>
        <w:t>括</w:t>
      </w:r>
      <w:r>
        <w:rPr>
          <w:rFonts w:hint="eastAsia" w:ascii="宋体" w:hAnsi="宋体" w:eastAsia="宋体" w:cs="宋体"/>
          <w:bCs/>
          <w:color w:val="auto"/>
          <w:sz w:val="24"/>
          <w:szCs w:val="24"/>
          <w:highlight w:val="none"/>
          <w:lang w:val="zh-CN"/>
        </w:rPr>
        <w:t>本次的</w:t>
      </w:r>
      <w:r>
        <w:rPr>
          <w:rFonts w:hint="eastAsia" w:ascii="宋体" w:hAnsi="宋体" w:cs="宋体"/>
          <w:bCs/>
          <w:sz w:val="24"/>
          <w:szCs w:val="24"/>
          <w:highlight w:val="none"/>
          <w:lang w:val="zh-CN"/>
        </w:rPr>
        <w:t>货物价款、人工费、材料费、运输保险费、安装调试费（含安装人工等相关人工费用）、售后服务、各项税金、验收费</w:t>
      </w:r>
      <w:r>
        <w:rPr>
          <w:rFonts w:hint="eastAsia" w:ascii="宋体" w:hAnsi="宋体" w:cs="宋体"/>
          <w:spacing w:val="-6"/>
          <w:sz w:val="24"/>
          <w:highlight w:val="none"/>
        </w:rPr>
        <w:t>、</w:t>
      </w:r>
      <w:r>
        <w:rPr>
          <w:rFonts w:hint="eastAsia" w:ascii="宋体" w:hAnsi="宋体" w:cs="宋体"/>
          <w:sz w:val="24"/>
          <w:szCs w:val="24"/>
          <w:highlight w:val="none"/>
        </w:rPr>
        <w:t>政策性文件规定及合同包含的所有风险、责任等合同实施过程中的应预见和不可预见费用</w:t>
      </w:r>
      <w:r>
        <w:rPr>
          <w:rFonts w:hint="eastAsia" w:ascii="宋体" w:hAnsi="宋体" w:cs="宋体"/>
          <w:kern w:val="0"/>
          <w:sz w:val="24"/>
          <w:highlight w:val="none"/>
          <w:lang w:val="zh-CN"/>
        </w:rPr>
        <w:t>均计入报价。</w:t>
      </w:r>
    </w:p>
    <w:p w14:paraId="0F555C57">
      <w:pPr>
        <w:pStyle w:val="607"/>
        <w:widowControl/>
        <w:spacing w:line="360" w:lineRule="auto"/>
        <w:ind w:right="112" w:rightChars="40" w:firstLine="450"/>
        <w:jc w:val="left"/>
        <w:rPr>
          <w:rFonts w:hint="eastAsia" w:ascii="宋体" w:hAnsi="宋体" w:eastAsia="宋体" w:cs="宋体"/>
          <w:color w:val="auto"/>
          <w:kern w:val="0"/>
          <w:sz w:val="24"/>
          <w:szCs w:val="20"/>
          <w:highlight w:val="none"/>
          <w:lang w:val="zh-CN" w:eastAsia="zh-CN" w:bidi="ar-SA"/>
        </w:rPr>
      </w:pPr>
      <w:r>
        <w:rPr>
          <w:rFonts w:hint="eastAsia" w:ascii="宋体" w:hAnsi="宋体" w:cs="宋体"/>
          <w:color w:val="auto"/>
          <w:kern w:val="0"/>
          <w:sz w:val="24"/>
          <w:szCs w:val="20"/>
          <w:highlight w:val="none"/>
          <w:lang w:val="en-US" w:eastAsia="zh-CN" w:bidi="ar-SA"/>
        </w:rPr>
        <w:t xml:space="preserve">              </w:t>
      </w:r>
    </w:p>
    <w:p w14:paraId="5A4E0D7B">
      <w:pPr>
        <w:kinsoku/>
        <w:overflowPunct/>
        <w:bidi w:val="0"/>
        <w:adjustRightInd w:val="0"/>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法定/授权代表：</w:t>
      </w:r>
      <w:r>
        <w:rPr>
          <w:rFonts w:hint="eastAsia" w:ascii="宋体" w:hAnsi="宋体" w:eastAsia="宋体" w:cs="宋体"/>
          <w:color w:val="auto"/>
          <w:kern w:val="0"/>
          <w:sz w:val="24"/>
          <w:highlight w:val="none"/>
          <w:u w:val="single"/>
          <w:lang w:val="zh-CN"/>
        </w:rPr>
        <w:t xml:space="preserve">（签字或盖章） </w:t>
      </w:r>
    </w:p>
    <w:p w14:paraId="2621239A">
      <w:pPr>
        <w:kinsoku/>
        <w:overflowPunct/>
        <w:bidi w:val="0"/>
        <w:adjustRightInd w:val="0"/>
        <w:snapToGrid w:val="0"/>
        <w:spacing w:line="400" w:lineRule="exact"/>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投标人：</w:t>
      </w:r>
      <w:r>
        <w:rPr>
          <w:rFonts w:hint="eastAsia" w:ascii="宋体" w:hAnsi="宋体" w:eastAsia="宋体" w:cs="宋体"/>
          <w:color w:val="auto"/>
          <w:kern w:val="0"/>
          <w:sz w:val="24"/>
          <w:highlight w:val="none"/>
          <w:u w:val="single"/>
          <w:lang w:val="zh-CN"/>
        </w:rPr>
        <w:t xml:space="preserve">（全称加盖公章）       </w:t>
      </w:r>
    </w:p>
    <w:p w14:paraId="78A346A5">
      <w:pPr>
        <w:kinsoku/>
        <w:overflowPunct/>
        <w:bidi w:val="0"/>
        <w:adjustRightInd w:val="0"/>
        <w:snapToGrid w:val="0"/>
        <w:spacing w:line="400" w:lineRule="exac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u w:val="none"/>
          <w:lang w:val="en-US" w:eastAsia="zh-CN"/>
        </w:rPr>
        <w:t>2025</w:t>
      </w:r>
      <w:r>
        <w:rPr>
          <w:rFonts w:hint="eastAsia" w:ascii="宋体" w:hAnsi="宋体" w:eastAsia="宋体" w:cs="宋体"/>
          <w:color w:val="auto"/>
          <w:kern w:val="0"/>
          <w:sz w:val="24"/>
          <w:highlight w:val="none"/>
          <w:lang w:val="zh-CN"/>
        </w:rPr>
        <w:t>年</w:t>
      </w:r>
      <w:r>
        <w:rPr>
          <w:rFonts w:hint="eastAsia" w:ascii="宋体" w:hAnsi="宋体" w:cs="宋体"/>
          <w:color w:val="auto"/>
          <w:kern w:val="0"/>
          <w:sz w:val="24"/>
          <w:highlight w:val="none"/>
          <w:u w:val="none"/>
          <w:lang w:val="en-US" w:eastAsia="zh-CN"/>
        </w:rPr>
        <w:t xml:space="preserve">    </w:t>
      </w:r>
      <w:r>
        <w:rPr>
          <w:rFonts w:hint="eastAsia" w:ascii="宋体" w:hAnsi="宋体" w:eastAsia="宋体" w:cs="宋体"/>
          <w:color w:val="auto"/>
          <w:kern w:val="0"/>
          <w:sz w:val="24"/>
          <w:highlight w:val="none"/>
          <w:lang w:val="zh-CN"/>
        </w:rPr>
        <w:t>月</w:t>
      </w:r>
      <w:r>
        <w:rPr>
          <w:rFonts w:hint="eastAsia" w:ascii="宋体" w:hAnsi="宋体" w:cs="宋体"/>
          <w:color w:val="auto"/>
          <w:kern w:val="0"/>
          <w:sz w:val="24"/>
          <w:highlight w:val="none"/>
          <w:u w:val="none"/>
          <w:lang w:val="en-US" w:eastAsia="zh-CN"/>
        </w:rPr>
        <w:t xml:space="preserve">   </w:t>
      </w:r>
      <w:r>
        <w:rPr>
          <w:rFonts w:hint="eastAsia" w:ascii="宋体" w:hAnsi="宋体" w:eastAsia="宋体" w:cs="宋体"/>
          <w:color w:val="auto"/>
          <w:kern w:val="0"/>
          <w:sz w:val="24"/>
          <w:highlight w:val="none"/>
          <w:lang w:val="zh-CN"/>
        </w:rPr>
        <w:t>日</w:t>
      </w:r>
    </w:p>
    <w:p w14:paraId="5955F46B">
      <w:pPr>
        <w:pStyle w:val="522"/>
        <w:snapToGrid w:val="0"/>
        <w:spacing w:line="400" w:lineRule="exact"/>
        <w:jc w:val="center"/>
        <w:outlineLvl w:val="1"/>
        <w:rPr>
          <w:rFonts w:hint="eastAsia" w:hAnsi="宋体" w:cs="宋体"/>
          <w:b/>
          <w:bCs/>
          <w:highlight w:val="none"/>
        </w:rPr>
        <w:sectPr>
          <w:footerReference r:id="rId14" w:type="first"/>
          <w:footerReference r:id="rId13" w:type="default"/>
          <w:pgSz w:w="11906" w:h="16838"/>
          <w:pgMar w:top="1440" w:right="1440" w:bottom="1440" w:left="1440" w:header="851" w:footer="851" w:gutter="0"/>
          <w:cols w:space="720" w:num="1"/>
          <w:titlePg/>
          <w:docGrid w:linePitch="381" w:charSpace="0"/>
        </w:sectPr>
      </w:pPr>
    </w:p>
    <w:p w14:paraId="2D1696DC">
      <w:pPr>
        <w:pStyle w:val="522"/>
        <w:snapToGrid w:val="0"/>
        <w:spacing w:line="400" w:lineRule="exact"/>
        <w:jc w:val="center"/>
        <w:outlineLvl w:val="1"/>
        <w:rPr>
          <w:rFonts w:hint="eastAsia" w:hAnsi="宋体" w:cs="宋体"/>
          <w:sz w:val="24"/>
          <w:szCs w:val="22"/>
          <w:highlight w:val="none"/>
        </w:rPr>
      </w:pPr>
      <w:r>
        <w:rPr>
          <w:rFonts w:hint="eastAsia" w:hAnsi="宋体" w:cs="宋体"/>
          <w:b/>
          <w:bCs/>
          <w:highlight w:val="none"/>
        </w:rPr>
        <w:t>格</w:t>
      </w:r>
      <w:r>
        <w:rPr>
          <w:rFonts w:hint="eastAsia" w:hAnsi="宋体" w:cs="宋体"/>
          <w:b/>
          <w:bCs/>
          <w:szCs w:val="22"/>
          <w:highlight w:val="none"/>
        </w:rPr>
        <w:t>式</w:t>
      </w:r>
      <w:r>
        <w:rPr>
          <w:rFonts w:hint="eastAsia" w:hAnsi="宋体" w:cs="宋体"/>
          <w:b/>
          <w:bCs/>
          <w:szCs w:val="22"/>
          <w:highlight w:val="none"/>
          <w:lang w:val="en-US" w:eastAsia="zh-CN"/>
        </w:rPr>
        <w:t>九</w:t>
      </w:r>
      <w:r>
        <w:rPr>
          <w:rFonts w:hint="eastAsia" w:hAnsi="宋体" w:cs="宋体"/>
          <w:b/>
          <w:bCs/>
          <w:szCs w:val="22"/>
          <w:highlight w:val="none"/>
        </w:rPr>
        <w:t>：小微企业/监狱企业声明函/残疾人福利性单位声明函</w:t>
      </w:r>
    </w:p>
    <w:p w14:paraId="56A6500F">
      <w:pPr>
        <w:pStyle w:val="584"/>
        <w:spacing w:line="400" w:lineRule="exact"/>
        <w:jc w:val="center"/>
        <w:rPr>
          <w:rStyle w:val="606"/>
          <w:rFonts w:hint="eastAsia" w:ascii="宋体" w:hAnsi="宋体" w:eastAsia="宋体" w:cs="宋体"/>
          <w:b/>
          <w:bCs/>
          <w:color w:val="auto"/>
          <w:szCs w:val="24"/>
          <w:highlight w:val="none"/>
        </w:rPr>
      </w:pPr>
    </w:p>
    <w:p w14:paraId="455A3CFF">
      <w:pPr>
        <w:pStyle w:val="584"/>
        <w:spacing w:line="400" w:lineRule="exact"/>
        <w:jc w:val="center"/>
        <w:rPr>
          <w:rStyle w:val="606"/>
          <w:rFonts w:hint="eastAsia" w:ascii="宋体" w:hAnsi="宋体" w:eastAsia="宋体" w:cs="宋体"/>
          <w:b/>
          <w:bCs/>
          <w:color w:val="auto"/>
          <w:szCs w:val="24"/>
          <w:highlight w:val="none"/>
          <w:lang w:val="zh-TW" w:eastAsia="zh-TW"/>
        </w:rPr>
      </w:pPr>
      <w:r>
        <w:rPr>
          <w:rStyle w:val="606"/>
          <w:rFonts w:hint="eastAsia" w:ascii="宋体" w:hAnsi="宋体" w:eastAsia="宋体" w:cs="宋体"/>
          <w:b/>
          <w:bCs/>
          <w:color w:val="auto"/>
          <w:szCs w:val="24"/>
          <w:highlight w:val="none"/>
        </w:rPr>
        <w:t>1</w:t>
      </w:r>
      <w:r>
        <w:rPr>
          <w:rStyle w:val="606"/>
          <w:rFonts w:hint="eastAsia" w:ascii="宋体" w:hAnsi="宋体" w:eastAsia="宋体" w:cs="宋体"/>
          <w:b/>
          <w:bCs/>
          <w:color w:val="auto"/>
          <w:sz w:val="28"/>
          <w:szCs w:val="28"/>
          <w:highlight w:val="none"/>
          <w:lang w:val="en-US" w:eastAsia="zh-CN"/>
        </w:rPr>
        <w:t>.</w:t>
      </w:r>
      <w:r>
        <w:rPr>
          <w:rStyle w:val="606"/>
          <w:rFonts w:hint="eastAsia" w:ascii="宋体" w:hAnsi="宋体" w:eastAsia="宋体" w:cs="宋体"/>
          <w:b/>
          <w:bCs/>
          <w:color w:val="auto"/>
          <w:sz w:val="28"/>
          <w:szCs w:val="28"/>
          <w:highlight w:val="none"/>
          <w:lang w:val="zh-TW" w:eastAsia="zh-TW"/>
        </w:rPr>
        <w:t>中小企业声明函</w:t>
      </w:r>
      <w:r>
        <w:rPr>
          <w:rStyle w:val="606"/>
          <w:rFonts w:hint="eastAsia" w:ascii="宋体" w:hAnsi="宋体" w:eastAsia="宋体" w:cs="宋体"/>
          <w:b/>
          <w:bCs/>
          <w:color w:val="auto"/>
          <w:sz w:val="28"/>
          <w:szCs w:val="28"/>
          <w:highlight w:val="none"/>
        </w:rPr>
        <w:t>(</w:t>
      </w:r>
      <w:r>
        <w:rPr>
          <w:rStyle w:val="606"/>
          <w:rFonts w:hint="eastAsia" w:ascii="宋体" w:hAnsi="宋体" w:eastAsia="宋体" w:cs="宋体"/>
          <w:b/>
          <w:bCs/>
          <w:color w:val="auto"/>
          <w:sz w:val="28"/>
          <w:szCs w:val="28"/>
          <w:highlight w:val="none"/>
          <w:lang w:val="en-US" w:eastAsia="zh-CN"/>
        </w:rPr>
        <w:t>货物</w:t>
      </w:r>
      <w:r>
        <w:rPr>
          <w:rStyle w:val="606"/>
          <w:rFonts w:hint="eastAsia" w:ascii="宋体" w:hAnsi="宋体" w:eastAsia="宋体" w:cs="宋体"/>
          <w:b/>
          <w:bCs/>
          <w:color w:val="auto"/>
          <w:sz w:val="28"/>
          <w:szCs w:val="28"/>
          <w:highlight w:val="none"/>
          <w:lang w:val="zh-TW"/>
        </w:rPr>
        <w:t>类）</w:t>
      </w:r>
    </w:p>
    <w:p w14:paraId="31E2CB8B">
      <w:pPr>
        <w:pStyle w:val="584"/>
        <w:spacing w:line="400" w:lineRule="exact"/>
        <w:rPr>
          <w:rStyle w:val="606"/>
          <w:rFonts w:hint="eastAsia" w:ascii="宋体" w:hAnsi="宋体" w:eastAsia="宋体" w:cs="宋体"/>
          <w:b/>
          <w:bCs/>
          <w:color w:val="auto"/>
          <w:szCs w:val="24"/>
          <w:highlight w:val="none"/>
        </w:rPr>
      </w:pPr>
    </w:p>
    <w:p w14:paraId="11E8535C">
      <w:pPr>
        <w:keepNext w:val="0"/>
        <w:keepLines w:val="0"/>
        <w:pageBreakBefore w:val="0"/>
        <w:kinsoku/>
        <w:overflowPunct/>
        <w:topLinePunct w:val="0"/>
        <w:autoSpaceDE/>
        <w:autoSpaceDN/>
        <w:bidi w:val="0"/>
        <w:adjustRightInd/>
        <w:spacing w:line="440" w:lineRule="exact"/>
        <w:ind w:left="0" w:firstLine="480" w:firstLineChars="200"/>
        <w:textAlignment w:val="auto"/>
        <w:rPr>
          <w:rFonts w:hint="eastAsia" w:ascii="宋体" w:hAnsi="宋体" w:eastAsia="宋体" w:cs="宋体"/>
          <w:color w:val="auto"/>
          <w:sz w:val="24"/>
          <w:szCs w:val="24"/>
          <w:highlight w:val="none"/>
        </w:rPr>
      </w:pPr>
      <w:r>
        <w:rPr>
          <w:rStyle w:val="606"/>
          <w:rFonts w:hint="eastAsia" w:ascii="宋体" w:hAnsi="宋体" w:eastAsia="宋体" w:cs="宋体"/>
          <w:color w:val="auto"/>
          <w:sz w:val="24"/>
          <w:szCs w:val="24"/>
          <w:highlight w:val="none"/>
          <w:lang w:val="zh-TW" w:eastAsia="zh-TW"/>
        </w:rPr>
        <w:t>本公司（联合体）郑重声明，根据《</w:t>
      </w:r>
      <w:r>
        <w:rPr>
          <w:rStyle w:val="606"/>
          <w:rFonts w:hint="eastAsia" w:ascii="宋体" w:hAnsi="宋体" w:eastAsia="宋体" w:cs="宋体"/>
          <w:color w:val="auto"/>
          <w:sz w:val="24"/>
          <w:szCs w:val="24"/>
          <w:highlight w:val="none"/>
          <w:lang w:val="zh-TW"/>
        </w:rPr>
        <w:t>政府采购促进中小企业发展管理办法</w:t>
      </w:r>
      <w:r>
        <w:rPr>
          <w:rStyle w:val="606"/>
          <w:rFonts w:hint="eastAsia" w:ascii="宋体" w:hAnsi="宋体" w:eastAsia="宋体" w:cs="宋体"/>
          <w:color w:val="auto"/>
          <w:sz w:val="24"/>
          <w:szCs w:val="24"/>
          <w:highlight w:val="none"/>
          <w:lang w:val="zh-TW" w:eastAsia="zh-TW"/>
        </w:rPr>
        <w:t>》（</w:t>
      </w:r>
      <w:r>
        <w:rPr>
          <w:rStyle w:val="606"/>
          <w:rFonts w:hint="eastAsia" w:ascii="宋体" w:hAnsi="宋体" w:eastAsia="宋体" w:cs="宋体"/>
          <w:color w:val="auto"/>
          <w:sz w:val="24"/>
          <w:szCs w:val="24"/>
          <w:highlight w:val="none"/>
          <w:lang w:val="zh-TW"/>
        </w:rPr>
        <w:t>财库[2020]46号</w:t>
      </w:r>
      <w:r>
        <w:rPr>
          <w:rStyle w:val="606"/>
          <w:rFonts w:hint="eastAsia" w:ascii="宋体" w:hAnsi="宋体" w:eastAsia="宋体" w:cs="宋体"/>
          <w:color w:val="auto"/>
          <w:sz w:val="24"/>
          <w:szCs w:val="24"/>
          <w:highlight w:val="none"/>
          <w:lang w:val="zh-TW" w:eastAsia="zh-TW"/>
        </w:rPr>
        <w:t>）的规定，本公司（联合体）</w:t>
      </w:r>
      <w:r>
        <w:rPr>
          <w:rStyle w:val="606"/>
          <w:rFonts w:hint="eastAsia" w:ascii="宋体" w:hAnsi="宋体" w:eastAsia="宋体" w:cs="宋体"/>
          <w:color w:val="auto"/>
          <w:sz w:val="24"/>
          <w:szCs w:val="24"/>
          <w:highlight w:val="none"/>
          <w:lang w:val="zh-TW"/>
        </w:rPr>
        <w:t>参加</w:t>
      </w:r>
      <w:r>
        <w:rPr>
          <w:rFonts w:hint="eastAsia" w:ascii="宋体" w:hAnsi="宋体" w:cs="宋体"/>
          <w:sz w:val="24"/>
          <w:highlight w:val="none"/>
          <w:u w:val="single"/>
          <w:lang w:val="en-US" w:eastAsia="zh-CN"/>
        </w:rPr>
        <w:t>衢州市柯城区九龙幼儿园</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lang w:eastAsia="zh-CN"/>
        </w:rPr>
        <w:t>衢州市柯城区九龙幼儿园悦澜湾园区智能化提升工程及设施设备采购-网络系统改造及班级一体机</w:t>
      </w:r>
      <w:r>
        <w:rPr>
          <w:rStyle w:val="606"/>
          <w:rFonts w:hint="eastAsia" w:ascii="宋体" w:hAnsi="宋体" w:eastAsia="宋体" w:cs="宋体"/>
          <w:color w:val="auto"/>
          <w:sz w:val="24"/>
          <w:szCs w:val="24"/>
          <w:highlight w:val="none"/>
          <w:u w:val="single"/>
          <w:lang w:val="zh-TW" w:eastAsia="zh-TW"/>
        </w:rPr>
        <w:t>采购</w:t>
      </w:r>
      <w:r>
        <w:rPr>
          <w:rStyle w:val="606"/>
          <w:rFonts w:hint="eastAsia" w:ascii="宋体" w:hAnsi="宋体" w:eastAsia="宋体" w:cs="宋体"/>
          <w:color w:val="auto"/>
          <w:sz w:val="24"/>
          <w:szCs w:val="24"/>
          <w:highlight w:val="none"/>
          <w:lang w:val="zh-TW" w:eastAsia="zh-TW"/>
        </w:rPr>
        <w:t>活动</w:t>
      </w:r>
      <w:r>
        <w:rPr>
          <w:rFonts w:hint="eastAsia" w:ascii="宋体" w:hAnsi="宋体" w:eastAsia="宋体" w:cs="宋体"/>
          <w:color w:val="auto"/>
          <w:sz w:val="24"/>
          <w:szCs w:val="24"/>
          <w:highlight w:val="none"/>
        </w:rPr>
        <w:t>，提供的货物全部由符合政策要求的中小企业制造。相关企业（含联合体中的中小企业、签订分包意向协议的中小企业）的具体情况如下：</w:t>
      </w:r>
    </w:p>
    <w:p w14:paraId="59EC4F31">
      <w:pPr>
        <w:keepNext w:val="0"/>
        <w:keepLines w:val="0"/>
        <w:pageBreakBefore w:val="0"/>
        <w:kinsoku/>
        <w:overflowPunct/>
        <w:topLinePunct w:val="0"/>
        <w:autoSpaceDE/>
        <w:autoSpaceDN/>
        <w:bidi w:val="0"/>
        <w:adjustRightInd/>
        <w:spacing w:line="44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Style w:val="606"/>
          <w:rFonts w:hint="eastAsia" w:ascii="宋体" w:hAnsi="宋体" w:eastAsia="宋体" w:cs="宋体"/>
          <w:color w:val="auto"/>
          <w:sz w:val="24"/>
          <w:szCs w:val="24"/>
          <w:highlight w:val="none"/>
          <w:u w:val="single"/>
          <w:lang w:val="en-US" w:eastAsia="zh-CN"/>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lang w:val="en-US" w:eastAsia="zh-CN"/>
        </w:rPr>
        <w:t>工业</w:t>
      </w:r>
      <w:r>
        <w:rPr>
          <w:rFonts w:hint="eastAsia" w:ascii="宋体" w:hAnsi="宋体" w:eastAsia="宋体" w:cs="宋体"/>
          <w:color w:val="auto"/>
          <w:sz w:val="24"/>
          <w:szCs w:val="24"/>
          <w:highlight w:val="none"/>
        </w:rPr>
        <w:t>行业 ；制造商为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36D7C692">
      <w:pPr>
        <w:keepNext w:val="0"/>
        <w:keepLines w:val="0"/>
        <w:pageBreakBefore w:val="0"/>
        <w:kinsoku/>
        <w:overflowPunct/>
        <w:topLinePunct w:val="0"/>
        <w:autoSpaceDE/>
        <w:autoSpaceDN/>
        <w:bidi w:val="0"/>
        <w:adjustRightInd/>
        <w:spacing w:line="44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Style w:val="606"/>
          <w:rFonts w:hint="eastAsia" w:ascii="宋体" w:hAnsi="宋体" w:eastAsia="宋体" w:cs="宋体"/>
          <w:color w:val="auto"/>
          <w:sz w:val="24"/>
          <w:szCs w:val="24"/>
          <w:highlight w:val="none"/>
          <w:u w:val="single"/>
          <w:lang w:val="en-US" w:eastAsia="zh-CN"/>
        </w:rPr>
        <w:t>（标的名称）</w:t>
      </w:r>
      <w:r>
        <w:rPr>
          <w:rFonts w:hint="eastAsia" w:ascii="宋体" w:hAnsi="宋体" w:eastAsia="宋体" w:cs="宋体"/>
          <w:color w:val="auto"/>
          <w:sz w:val="24"/>
          <w:szCs w:val="24"/>
          <w:highlight w:val="none"/>
        </w:rPr>
        <w:t xml:space="preserve">，属于 </w:t>
      </w:r>
      <w:r>
        <w:rPr>
          <w:rFonts w:hint="eastAsia" w:ascii="宋体" w:hAnsi="宋体" w:eastAsia="宋体" w:cs="宋体"/>
          <w:color w:val="auto"/>
          <w:sz w:val="24"/>
          <w:szCs w:val="24"/>
          <w:highlight w:val="none"/>
          <w:u w:val="single"/>
          <w:lang w:val="en-US" w:eastAsia="zh-CN"/>
        </w:rPr>
        <w:t>工业</w:t>
      </w:r>
      <w:r>
        <w:rPr>
          <w:rFonts w:hint="eastAsia" w:ascii="宋体" w:hAnsi="宋体" w:eastAsia="宋体" w:cs="宋体"/>
          <w:color w:val="auto"/>
          <w:sz w:val="24"/>
          <w:szCs w:val="24"/>
          <w:highlight w:val="none"/>
        </w:rPr>
        <w:t>行业 ；制造商为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652F40F6">
      <w:pPr>
        <w:keepNext w:val="0"/>
        <w:keepLines w:val="0"/>
        <w:pageBreakBefore w:val="0"/>
        <w:kinsoku/>
        <w:overflowPunct/>
        <w:topLinePunct w:val="0"/>
        <w:autoSpaceDE/>
        <w:autoSpaceDN/>
        <w:bidi w:val="0"/>
        <w:adjustRightInd/>
        <w:spacing w:line="44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70E75FC7">
      <w:pPr>
        <w:keepNext w:val="0"/>
        <w:keepLines w:val="0"/>
        <w:pageBreakBefore w:val="0"/>
        <w:kinsoku/>
        <w:overflowPunct/>
        <w:topLinePunct w:val="0"/>
        <w:autoSpaceDE/>
        <w:autoSpaceDN/>
        <w:bidi w:val="0"/>
        <w:adjustRightInd/>
        <w:spacing w:line="44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以上企业，不属于大企业的分支机构，不存在控股股东为大企业的情形，也不存在与大企业的负责人为同一人的情形。</w:t>
      </w:r>
    </w:p>
    <w:p w14:paraId="27F3256F">
      <w:pPr>
        <w:keepNext w:val="0"/>
        <w:keepLines w:val="0"/>
        <w:pageBreakBefore w:val="0"/>
        <w:kinsoku/>
        <w:overflowPunct/>
        <w:topLinePunct w:val="0"/>
        <w:autoSpaceDE/>
        <w:autoSpaceDN/>
        <w:bidi w:val="0"/>
        <w:adjustRightInd/>
        <w:spacing w:line="44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本企业对上述声明内容的真实性负责。如有虚假，将依法承担相应责任。</w:t>
      </w:r>
    </w:p>
    <w:p w14:paraId="063F7F77">
      <w:pPr>
        <w:pStyle w:val="610"/>
        <w:keepNext w:val="0"/>
        <w:keepLines w:val="0"/>
        <w:pageBreakBefore w:val="0"/>
        <w:kinsoku/>
        <w:overflowPunct/>
        <w:topLinePunct w:val="0"/>
        <w:autoSpaceDE/>
        <w:autoSpaceDN/>
        <w:bidi w:val="0"/>
        <w:adjustRightInd/>
        <w:spacing w:line="440" w:lineRule="exact"/>
        <w:ind w:left="0" w:firstLine="660"/>
        <w:textAlignment w:val="auto"/>
        <w:rPr>
          <w:rFonts w:hint="eastAsia" w:ascii="宋体" w:hAnsi="宋体" w:eastAsia="宋体" w:cs="宋体"/>
          <w:color w:val="auto"/>
          <w:sz w:val="24"/>
          <w:szCs w:val="24"/>
          <w:highlight w:val="none"/>
        </w:rPr>
      </w:pPr>
    </w:p>
    <w:p w14:paraId="1DC18545">
      <w:pPr>
        <w:pStyle w:val="610"/>
        <w:keepNext w:val="0"/>
        <w:keepLines w:val="0"/>
        <w:pageBreakBefore w:val="0"/>
        <w:kinsoku/>
        <w:overflowPunct/>
        <w:topLinePunct w:val="0"/>
        <w:autoSpaceDE/>
        <w:autoSpaceDN/>
        <w:bidi w:val="0"/>
        <w:adjustRightInd/>
        <w:spacing w:line="440" w:lineRule="exact"/>
        <w:ind w:left="0" w:firstLine="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企业名称（盖章）： </w:t>
      </w:r>
    </w:p>
    <w:p w14:paraId="73CDEF3B">
      <w:pPr>
        <w:pStyle w:val="610"/>
        <w:spacing w:line="400" w:lineRule="exact"/>
        <w:ind w:left="0" w:leftChars="0" w:firstLine="0" w:firstLineChars="0"/>
        <w:jc w:val="left"/>
        <w:rPr>
          <w:rFonts w:hint="eastAsia"/>
          <w:sz w:val="24"/>
          <w:szCs w:val="24"/>
          <w:highlight w:val="none"/>
        </w:rPr>
      </w:pPr>
      <w:r>
        <w:rPr>
          <w:rFonts w:hint="eastAsia" w:ascii="宋体" w:hAnsi="宋体" w:eastAsia="宋体" w:cs="宋体"/>
          <w:color w:val="auto"/>
          <w:sz w:val="24"/>
          <w:szCs w:val="24"/>
          <w:highlight w:val="none"/>
        </w:rPr>
        <w:t>日期：</w:t>
      </w:r>
      <w:r>
        <w:rPr>
          <w:rFonts w:hint="eastAsia" w:cs="宋体"/>
          <w:color w:val="auto"/>
          <w:sz w:val="24"/>
          <w:szCs w:val="24"/>
          <w:highlight w:val="none"/>
          <w:lang w:val="en-US" w:eastAsia="zh-CN"/>
        </w:rPr>
        <w:t>2025年  月  日</w:t>
      </w:r>
    </w:p>
    <w:p w14:paraId="3FF2DF94">
      <w:pPr>
        <w:pStyle w:val="610"/>
        <w:spacing w:line="400" w:lineRule="exact"/>
        <w:ind w:left="3860" w:firstLine="80"/>
        <w:jc w:val="left"/>
        <w:rPr>
          <w:rFonts w:hint="eastAsia"/>
          <w:sz w:val="24"/>
          <w:szCs w:val="24"/>
          <w:highlight w:val="none"/>
        </w:rPr>
      </w:pPr>
    </w:p>
    <w:p w14:paraId="6377FFE3">
      <w:pPr>
        <w:pStyle w:val="610"/>
        <w:spacing w:line="400" w:lineRule="exact"/>
        <w:ind w:left="3860" w:firstLine="80"/>
        <w:jc w:val="left"/>
        <w:rPr>
          <w:rFonts w:hint="eastAsia"/>
          <w:sz w:val="24"/>
          <w:szCs w:val="24"/>
          <w:highlight w:val="none"/>
        </w:rPr>
      </w:pPr>
    </w:p>
    <w:p w14:paraId="0DA0A07A">
      <w:pPr>
        <w:pStyle w:val="610"/>
        <w:spacing w:line="400" w:lineRule="exact"/>
        <w:rPr>
          <w:rFonts w:hint="eastAsia"/>
          <w:b/>
          <w:bCs/>
          <w:sz w:val="24"/>
          <w:szCs w:val="24"/>
          <w:highlight w:val="none"/>
          <w:lang w:val="en-US" w:eastAsia="zh-CN"/>
        </w:rPr>
      </w:pPr>
      <w:r>
        <w:rPr>
          <w:rFonts w:hint="eastAsia"/>
          <w:b/>
          <w:bCs/>
          <w:sz w:val="24"/>
          <w:szCs w:val="24"/>
          <w:highlight w:val="none"/>
          <w:lang w:val="en-US" w:eastAsia="zh-CN"/>
        </w:rPr>
        <w:t>注：从业人员、营业收入、资产总额填报上一年度数据，无上一年度数据的新成立企业可不填报。</w:t>
      </w:r>
    </w:p>
    <w:p w14:paraId="66392935">
      <w:pPr>
        <w:pStyle w:val="603"/>
        <w:pBdr>
          <w:top w:val="none" w:color="auto" w:sz="0" w:space="0"/>
          <w:left w:val="none" w:color="auto" w:sz="0" w:space="0"/>
          <w:bottom w:val="none" w:color="auto" w:sz="0" w:space="0"/>
          <w:right w:val="none" w:color="auto" w:sz="0" w:space="0"/>
        </w:pBdr>
        <w:wordWrap w:val="0"/>
        <w:spacing w:line="400" w:lineRule="exact"/>
        <w:ind w:firstLine="570"/>
        <w:rPr>
          <w:rFonts w:hint="eastAsia" w:ascii="宋体" w:hAnsi="宋体" w:cs="宋体"/>
          <w:b/>
          <w:bCs/>
          <w:color w:val="auto"/>
          <w:sz w:val="24"/>
          <w:szCs w:val="24"/>
          <w:highlight w:val="none"/>
        </w:rPr>
      </w:pPr>
    </w:p>
    <w:p w14:paraId="39EEBBA2">
      <w:pPr>
        <w:spacing w:line="400" w:lineRule="exact"/>
        <w:jc w:val="center"/>
        <w:rPr>
          <w:rFonts w:hint="eastAsia" w:ascii="宋体" w:hAnsi="宋体" w:cs="宋体"/>
          <w:b/>
          <w:spacing w:val="6"/>
          <w:sz w:val="24"/>
          <w:szCs w:val="24"/>
          <w:highlight w:val="none"/>
        </w:rPr>
      </w:pPr>
      <w:r>
        <w:rPr>
          <w:rFonts w:hint="eastAsia" w:ascii="宋体" w:hAnsi="宋体" w:cs="宋体"/>
          <w:b/>
          <w:kern w:val="0"/>
          <w:sz w:val="24"/>
          <w:highlight w:val="none"/>
          <w:lang w:val="zh-CN"/>
        </w:rPr>
        <w:br w:type="page"/>
      </w:r>
      <w:r>
        <w:rPr>
          <w:rFonts w:hint="eastAsia" w:ascii="宋体" w:hAnsi="宋体" w:cs="宋体"/>
          <w:b/>
          <w:sz w:val="24"/>
          <w:szCs w:val="24"/>
          <w:highlight w:val="none"/>
        </w:rPr>
        <w:t>2</w:t>
      </w:r>
      <w:r>
        <w:rPr>
          <w:rFonts w:hint="eastAsia" w:ascii="宋体" w:hAnsi="宋体" w:cs="宋体"/>
          <w:b/>
          <w:spacing w:val="6"/>
          <w:sz w:val="24"/>
          <w:szCs w:val="24"/>
          <w:highlight w:val="none"/>
        </w:rPr>
        <w:t>、监狱和戒毒企业证明材料</w:t>
      </w:r>
    </w:p>
    <w:p w14:paraId="16A1067A">
      <w:pPr>
        <w:snapToGrid w:val="0"/>
        <w:spacing w:line="4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监狱和戒毒企业参加投标时应提供由省级以上监狱管理局、戒毒管理局（含新疆生产建设兵团）出具的属于监狱企业的证明文件。</w:t>
      </w:r>
    </w:p>
    <w:p w14:paraId="3A823AE1">
      <w:pPr>
        <w:spacing w:line="400" w:lineRule="exact"/>
        <w:rPr>
          <w:rFonts w:hint="eastAsia" w:ascii="宋体" w:hAnsi="宋体" w:cs="宋体"/>
          <w:sz w:val="24"/>
          <w:szCs w:val="24"/>
          <w:highlight w:val="none"/>
        </w:rPr>
      </w:pPr>
    </w:p>
    <w:p w14:paraId="3119AB4C">
      <w:pPr>
        <w:pStyle w:val="607"/>
        <w:spacing w:line="400" w:lineRule="exact"/>
        <w:jc w:val="center"/>
        <w:rPr>
          <w:rFonts w:hint="eastAsia" w:ascii="宋体" w:hAnsi="宋体" w:cs="宋体"/>
          <w:b/>
          <w:spacing w:val="6"/>
          <w:sz w:val="24"/>
          <w:highlight w:val="none"/>
        </w:rPr>
      </w:pPr>
    </w:p>
    <w:p w14:paraId="40CD491E">
      <w:pPr>
        <w:pStyle w:val="607"/>
        <w:spacing w:line="400" w:lineRule="exact"/>
        <w:jc w:val="center"/>
        <w:rPr>
          <w:rFonts w:hint="eastAsia" w:ascii="宋体" w:hAnsi="宋体" w:cs="宋体"/>
          <w:b/>
          <w:spacing w:val="6"/>
          <w:sz w:val="24"/>
          <w:highlight w:val="none"/>
        </w:rPr>
      </w:pPr>
    </w:p>
    <w:p w14:paraId="1E7ADAD1">
      <w:pPr>
        <w:pStyle w:val="607"/>
        <w:spacing w:line="400" w:lineRule="exact"/>
        <w:jc w:val="center"/>
        <w:rPr>
          <w:rFonts w:hint="eastAsia" w:ascii="宋体" w:hAnsi="宋体" w:cs="宋体"/>
          <w:b/>
          <w:spacing w:val="6"/>
          <w:sz w:val="24"/>
          <w:highlight w:val="none"/>
        </w:rPr>
      </w:pPr>
    </w:p>
    <w:p w14:paraId="6A295260">
      <w:pPr>
        <w:pStyle w:val="607"/>
        <w:spacing w:line="400" w:lineRule="exact"/>
        <w:jc w:val="center"/>
        <w:rPr>
          <w:rFonts w:hint="eastAsia" w:ascii="宋体" w:hAnsi="宋体" w:cs="宋体"/>
          <w:b/>
          <w:spacing w:val="6"/>
          <w:sz w:val="24"/>
          <w:highlight w:val="none"/>
        </w:rPr>
      </w:pPr>
    </w:p>
    <w:p w14:paraId="4E4A0D88">
      <w:pPr>
        <w:pStyle w:val="607"/>
        <w:spacing w:line="400" w:lineRule="exact"/>
        <w:jc w:val="center"/>
        <w:rPr>
          <w:rFonts w:hint="eastAsia" w:ascii="宋体" w:hAnsi="宋体" w:cs="宋体"/>
          <w:b/>
          <w:spacing w:val="6"/>
          <w:sz w:val="24"/>
          <w:highlight w:val="none"/>
        </w:rPr>
      </w:pPr>
    </w:p>
    <w:p w14:paraId="09F60063">
      <w:pPr>
        <w:pStyle w:val="607"/>
        <w:spacing w:line="400" w:lineRule="exact"/>
        <w:jc w:val="center"/>
        <w:rPr>
          <w:rFonts w:hint="eastAsia" w:ascii="宋体" w:hAnsi="宋体" w:cs="宋体"/>
          <w:b/>
          <w:spacing w:val="6"/>
          <w:sz w:val="24"/>
          <w:highlight w:val="none"/>
        </w:rPr>
      </w:pPr>
    </w:p>
    <w:p w14:paraId="3D79919C">
      <w:pPr>
        <w:pStyle w:val="607"/>
        <w:spacing w:line="400" w:lineRule="exact"/>
        <w:jc w:val="center"/>
        <w:rPr>
          <w:rFonts w:hint="eastAsia" w:ascii="宋体" w:hAnsi="宋体" w:cs="宋体"/>
          <w:b/>
          <w:spacing w:val="6"/>
          <w:sz w:val="24"/>
          <w:highlight w:val="none"/>
        </w:rPr>
      </w:pPr>
    </w:p>
    <w:p w14:paraId="7BD3D79F">
      <w:pPr>
        <w:pStyle w:val="607"/>
        <w:spacing w:line="400" w:lineRule="exact"/>
        <w:jc w:val="center"/>
        <w:rPr>
          <w:rFonts w:hint="eastAsia" w:ascii="宋体" w:hAnsi="宋体" w:cs="宋体"/>
          <w:b/>
          <w:spacing w:val="6"/>
          <w:sz w:val="24"/>
          <w:highlight w:val="none"/>
        </w:rPr>
      </w:pPr>
    </w:p>
    <w:p w14:paraId="0903F9AF">
      <w:pPr>
        <w:pStyle w:val="607"/>
        <w:spacing w:line="400" w:lineRule="exact"/>
        <w:jc w:val="center"/>
        <w:rPr>
          <w:rFonts w:hint="eastAsia" w:ascii="宋体" w:hAnsi="宋体" w:cs="宋体"/>
          <w:b/>
          <w:spacing w:val="6"/>
          <w:sz w:val="24"/>
          <w:highlight w:val="none"/>
        </w:rPr>
      </w:pPr>
    </w:p>
    <w:p w14:paraId="788E590E">
      <w:pPr>
        <w:pStyle w:val="607"/>
        <w:spacing w:line="400" w:lineRule="exact"/>
        <w:jc w:val="center"/>
        <w:rPr>
          <w:rFonts w:hint="eastAsia" w:ascii="宋体" w:hAnsi="宋体" w:cs="宋体"/>
          <w:b/>
          <w:spacing w:val="6"/>
          <w:sz w:val="24"/>
          <w:highlight w:val="none"/>
        </w:rPr>
      </w:pPr>
    </w:p>
    <w:p w14:paraId="07FB6DEB">
      <w:pPr>
        <w:pStyle w:val="607"/>
        <w:spacing w:line="400" w:lineRule="exact"/>
        <w:jc w:val="center"/>
        <w:rPr>
          <w:rFonts w:hint="eastAsia" w:ascii="宋体" w:hAnsi="宋体" w:cs="宋体"/>
          <w:b/>
          <w:spacing w:val="6"/>
          <w:sz w:val="24"/>
          <w:highlight w:val="none"/>
        </w:rPr>
      </w:pPr>
      <w:r>
        <w:rPr>
          <w:rFonts w:hint="eastAsia" w:ascii="宋体" w:hAnsi="宋体" w:cs="宋体"/>
          <w:b/>
          <w:spacing w:val="6"/>
          <w:sz w:val="24"/>
          <w:highlight w:val="none"/>
        </w:rPr>
        <w:t>3、残疾人福利性单位声明函</w:t>
      </w:r>
    </w:p>
    <w:p w14:paraId="53B47F5A">
      <w:pPr>
        <w:snapToGrid w:val="0"/>
        <w:spacing w:line="4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E867543">
      <w:pPr>
        <w:snapToGrid w:val="0"/>
        <w:spacing w:line="4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本单位对上述声明的真实性负责。如有虚假，将依法承担相应责任。</w:t>
      </w:r>
    </w:p>
    <w:p w14:paraId="174D75D1">
      <w:pPr>
        <w:snapToGrid w:val="0"/>
        <w:spacing w:line="400" w:lineRule="exact"/>
        <w:ind w:firstLine="480" w:firstLineChars="200"/>
        <w:jc w:val="right"/>
        <w:rPr>
          <w:rFonts w:hint="eastAsia" w:ascii="宋体" w:hAnsi="宋体" w:cs="宋体"/>
          <w:sz w:val="24"/>
          <w:szCs w:val="24"/>
          <w:highlight w:val="none"/>
        </w:rPr>
      </w:pPr>
      <w:r>
        <w:rPr>
          <w:rFonts w:hint="eastAsia" w:ascii="宋体" w:hAnsi="宋体" w:cs="宋体"/>
          <w:sz w:val="24"/>
          <w:szCs w:val="24"/>
          <w:highlight w:val="none"/>
        </w:rPr>
        <w:t xml:space="preserve">      单位名称（盖章）：</w:t>
      </w:r>
    </w:p>
    <w:p w14:paraId="11AD8AAD">
      <w:pPr>
        <w:pStyle w:val="603"/>
        <w:pBdr>
          <w:top w:val="none" w:color="auto" w:sz="0" w:space="0"/>
          <w:left w:val="none" w:color="auto" w:sz="0" w:space="0"/>
          <w:bottom w:val="none" w:color="auto" w:sz="0" w:space="0"/>
          <w:right w:val="none" w:color="auto" w:sz="0" w:space="0"/>
        </w:pBdr>
        <w:snapToGrid w:val="0"/>
        <w:spacing w:line="400" w:lineRule="exact"/>
        <w:ind w:firstLine="0"/>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日  期：</w:t>
      </w:r>
    </w:p>
    <w:p w14:paraId="49ADC7B8">
      <w:pPr>
        <w:pStyle w:val="603"/>
        <w:pBdr>
          <w:top w:val="none" w:color="auto" w:sz="0" w:space="0"/>
          <w:left w:val="none" w:color="auto" w:sz="0" w:space="0"/>
          <w:bottom w:val="none" w:color="auto" w:sz="0" w:space="0"/>
          <w:right w:val="none" w:color="auto" w:sz="0" w:space="0"/>
        </w:pBdr>
        <w:snapToGrid w:val="0"/>
        <w:spacing w:line="400" w:lineRule="exact"/>
        <w:ind w:firstLine="0"/>
        <w:jc w:val="center"/>
        <w:rPr>
          <w:rFonts w:hint="eastAsia" w:ascii="宋体" w:hAnsi="宋体" w:cs="宋体"/>
          <w:color w:val="auto"/>
          <w:kern w:val="0"/>
          <w:sz w:val="24"/>
          <w:szCs w:val="24"/>
          <w:highlight w:val="none"/>
        </w:rPr>
      </w:pPr>
    </w:p>
    <w:p w14:paraId="2AD3B284">
      <w:pPr>
        <w:pStyle w:val="603"/>
        <w:pBdr>
          <w:top w:val="none" w:color="auto" w:sz="0" w:space="0"/>
          <w:left w:val="none" w:color="auto" w:sz="0" w:space="0"/>
          <w:bottom w:val="none" w:color="auto" w:sz="0" w:space="0"/>
          <w:right w:val="none" w:color="auto" w:sz="0" w:space="0"/>
        </w:pBdr>
        <w:snapToGrid w:val="0"/>
        <w:spacing w:line="400" w:lineRule="exact"/>
        <w:ind w:firstLine="0"/>
        <w:jc w:val="center"/>
        <w:rPr>
          <w:rFonts w:hint="eastAsia" w:ascii="宋体" w:hAnsi="宋体" w:cs="宋体"/>
          <w:color w:val="auto"/>
          <w:kern w:val="0"/>
          <w:sz w:val="24"/>
          <w:szCs w:val="24"/>
          <w:highlight w:val="none"/>
        </w:rPr>
      </w:pPr>
    </w:p>
    <w:p w14:paraId="16742F2C">
      <w:pPr>
        <w:pStyle w:val="603"/>
        <w:pBdr>
          <w:top w:val="none" w:color="auto" w:sz="0" w:space="0"/>
          <w:left w:val="none" w:color="auto" w:sz="0" w:space="0"/>
          <w:bottom w:val="none" w:color="auto" w:sz="0" w:space="0"/>
          <w:right w:val="none" w:color="auto" w:sz="0" w:space="0"/>
        </w:pBdr>
        <w:snapToGrid w:val="0"/>
        <w:spacing w:line="400" w:lineRule="exact"/>
        <w:ind w:firstLine="0"/>
        <w:jc w:val="center"/>
        <w:rPr>
          <w:rFonts w:hint="eastAsia" w:ascii="宋体" w:hAnsi="宋体" w:cs="宋体"/>
          <w:color w:val="auto"/>
          <w:kern w:val="0"/>
          <w:sz w:val="24"/>
          <w:szCs w:val="24"/>
          <w:highlight w:val="none"/>
        </w:rPr>
      </w:pPr>
    </w:p>
    <w:p w14:paraId="02426DD3">
      <w:pPr>
        <w:pStyle w:val="603"/>
        <w:pBdr>
          <w:top w:val="none" w:color="auto" w:sz="0" w:space="0"/>
          <w:left w:val="none" w:color="auto" w:sz="0" w:space="0"/>
          <w:bottom w:val="none" w:color="auto" w:sz="0" w:space="0"/>
          <w:right w:val="none" w:color="auto" w:sz="0" w:space="0"/>
        </w:pBdr>
        <w:snapToGrid w:val="0"/>
        <w:spacing w:line="400" w:lineRule="exact"/>
        <w:ind w:firstLine="0"/>
        <w:jc w:val="center"/>
        <w:rPr>
          <w:rFonts w:hint="eastAsia" w:ascii="宋体" w:hAnsi="宋体" w:cs="宋体"/>
          <w:color w:val="auto"/>
          <w:kern w:val="0"/>
          <w:sz w:val="24"/>
          <w:szCs w:val="24"/>
          <w:highlight w:val="none"/>
        </w:rPr>
      </w:pPr>
    </w:p>
    <w:p w14:paraId="497BEC07">
      <w:pPr>
        <w:pStyle w:val="603"/>
        <w:pBdr>
          <w:top w:val="none" w:color="auto" w:sz="0" w:space="0"/>
          <w:left w:val="none" w:color="auto" w:sz="0" w:space="0"/>
          <w:bottom w:val="none" w:color="auto" w:sz="0" w:space="0"/>
          <w:right w:val="none" w:color="auto" w:sz="0" w:space="0"/>
        </w:pBdr>
        <w:snapToGrid w:val="0"/>
        <w:spacing w:line="400" w:lineRule="exact"/>
        <w:ind w:firstLine="0"/>
        <w:jc w:val="center"/>
        <w:rPr>
          <w:rFonts w:hint="eastAsia" w:ascii="宋体" w:hAnsi="宋体" w:cs="宋体"/>
          <w:color w:val="auto"/>
          <w:kern w:val="0"/>
          <w:sz w:val="24"/>
          <w:szCs w:val="24"/>
          <w:highlight w:val="none"/>
        </w:rPr>
      </w:pPr>
    </w:p>
    <w:p w14:paraId="321AA11D">
      <w:pPr>
        <w:pStyle w:val="603"/>
        <w:pBdr>
          <w:top w:val="none" w:color="auto" w:sz="0" w:space="0"/>
          <w:left w:val="none" w:color="auto" w:sz="0" w:space="0"/>
          <w:bottom w:val="none" w:color="auto" w:sz="0" w:space="0"/>
          <w:right w:val="none" w:color="auto" w:sz="0" w:space="0"/>
        </w:pBdr>
        <w:snapToGrid w:val="0"/>
        <w:spacing w:line="400" w:lineRule="exact"/>
        <w:ind w:firstLine="0"/>
        <w:jc w:val="center"/>
        <w:rPr>
          <w:rFonts w:hint="eastAsia" w:ascii="宋体" w:hAnsi="宋体" w:cs="宋体"/>
          <w:color w:val="auto"/>
          <w:kern w:val="0"/>
          <w:sz w:val="24"/>
          <w:szCs w:val="24"/>
          <w:highlight w:val="none"/>
        </w:rPr>
      </w:pPr>
    </w:p>
    <w:p w14:paraId="42A3947A">
      <w:pPr>
        <w:pStyle w:val="603"/>
        <w:pBdr>
          <w:top w:val="none" w:color="auto" w:sz="0" w:space="0"/>
          <w:left w:val="none" w:color="auto" w:sz="0" w:space="0"/>
          <w:bottom w:val="none" w:color="auto" w:sz="0" w:space="0"/>
          <w:right w:val="none" w:color="auto" w:sz="0" w:space="0"/>
        </w:pBdr>
        <w:snapToGrid w:val="0"/>
        <w:spacing w:line="400" w:lineRule="exact"/>
        <w:ind w:firstLine="0"/>
        <w:jc w:val="center"/>
        <w:rPr>
          <w:rFonts w:hint="eastAsia" w:ascii="宋体" w:hAnsi="宋体" w:cs="宋体"/>
          <w:color w:val="auto"/>
          <w:kern w:val="0"/>
          <w:sz w:val="24"/>
          <w:szCs w:val="24"/>
          <w:highlight w:val="none"/>
        </w:rPr>
      </w:pPr>
    </w:p>
    <w:p w14:paraId="1883D5FA">
      <w:pPr>
        <w:pStyle w:val="603"/>
        <w:pBdr>
          <w:top w:val="none" w:color="auto" w:sz="0" w:space="0"/>
          <w:left w:val="none" w:color="auto" w:sz="0" w:space="0"/>
          <w:bottom w:val="none" w:color="auto" w:sz="0" w:space="0"/>
          <w:right w:val="none" w:color="auto" w:sz="0" w:space="0"/>
        </w:pBdr>
        <w:snapToGrid w:val="0"/>
        <w:spacing w:line="400" w:lineRule="exact"/>
        <w:ind w:firstLine="0"/>
        <w:jc w:val="center"/>
        <w:rPr>
          <w:rFonts w:hint="eastAsia" w:ascii="宋体" w:hAnsi="宋体" w:cs="宋体"/>
          <w:color w:val="auto"/>
          <w:kern w:val="0"/>
          <w:sz w:val="24"/>
          <w:szCs w:val="24"/>
          <w:highlight w:val="none"/>
        </w:rPr>
      </w:pPr>
    </w:p>
    <w:p w14:paraId="14B4A081">
      <w:pPr>
        <w:pStyle w:val="603"/>
        <w:pBdr>
          <w:top w:val="none" w:color="auto" w:sz="0" w:space="0"/>
          <w:left w:val="none" w:color="auto" w:sz="0" w:space="0"/>
          <w:bottom w:val="none" w:color="auto" w:sz="0" w:space="0"/>
          <w:right w:val="none" w:color="auto" w:sz="0" w:space="0"/>
        </w:pBdr>
        <w:snapToGrid w:val="0"/>
        <w:spacing w:line="400" w:lineRule="exact"/>
        <w:ind w:firstLine="0"/>
        <w:jc w:val="center"/>
        <w:rPr>
          <w:rFonts w:hint="eastAsia" w:ascii="宋体" w:hAnsi="宋体" w:cs="宋体"/>
          <w:color w:val="auto"/>
          <w:kern w:val="0"/>
          <w:sz w:val="24"/>
          <w:szCs w:val="24"/>
          <w:highlight w:val="none"/>
        </w:rPr>
      </w:pPr>
    </w:p>
    <w:p w14:paraId="707E2FAE">
      <w:pPr>
        <w:pStyle w:val="603"/>
        <w:pBdr>
          <w:top w:val="none" w:color="auto" w:sz="0" w:space="0"/>
          <w:left w:val="none" w:color="auto" w:sz="0" w:space="0"/>
          <w:bottom w:val="none" w:color="auto" w:sz="0" w:space="0"/>
          <w:right w:val="none" w:color="auto" w:sz="0" w:space="0"/>
        </w:pBdr>
        <w:snapToGrid w:val="0"/>
        <w:spacing w:line="400" w:lineRule="exact"/>
        <w:ind w:firstLine="0"/>
        <w:jc w:val="center"/>
        <w:rPr>
          <w:rFonts w:hint="eastAsia" w:ascii="宋体" w:hAnsi="宋体" w:cs="宋体"/>
          <w:color w:val="auto"/>
          <w:kern w:val="0"/>
          <w:sz w:val="24"/>
          <w:szCs w:val="24"/>
          <w:highlight w:val="none"/>
        </w:rPr>
      </w:pPr>
    </w:p>
    <w:p w14:paraId="33F8169B">
      <w:pPr>
        <w:pStyle w:val="5"/>
        <w:ind w:left="0" w:firstLine="0"/>
        <w:rPr>
          <w:rFonts w:hint="eastAsia" w:ascii="宋体" w:hAnsi="宋体" w:eastAsia="宋体" w:cs="宋体"/>
          <w:sz w:val="28"/>
          <w:highlight w:val="none"/>
        </w:rPr>
      </w:pPr>
      <w:r>
        <w:rPr>
          <w:rFonts w:hint="eastAsia" w:ascii="宋体" w:hAnsi="宋体" w:eastAsia="宋体" w:cs="宋体"/>
          <w:sz w:val="28"/>
          <w:highlight w:val="none"/>
        </w:rPr>
        <w:t>投标文件封面</w:t>
      </w:r>
      <w:bookmarkEnd w:id="103"/>
      <w:bookmarkEnd w:id="104"/>
    </w:p>
    <w:p w14:paraId="4F87FD77">
      <w:pPr>
        <w:tabs>
          <w:tab w:val="left" w:pos="4500"/>
        </w:tabs>
        <w:autoSpaceDE w:val="0"/>
        <w:autoSpaceDN w:val="0"/>
        <w:adjustRightInd w:val="0"/>
        <w:snapToGrid w:val="0"/>
        <w:spacing w:line="336" w:lineRule="auto"/>
        <w:jc w:val="center"/>
        <w:textAlignment w:val="bottom"/>
        <w:rPr>
          <w:rFonts w:hint="eastAsia" w:ascii="宋体" w:hAnsi="宋体" w:cs="宋体"/>
          <w:b/>
          <w:sz w:val="44"/>
          <w:szCs w:val="44"/>
          <w:highlight w:val="none"/>
        </w:rPr>
      </w:pPr>
    </w:p>
    <w:p w14:paraId="2F13B12C">
      <w:pPr>
        <w:tabs>
          <w:tab w:val="left" w:pos="4500"/>
        </w:tabs>
        <w:autoSpaceDE w:val="0"/>
        <w:autoSpaceDN w:val="0"/>
        <w:adjustRightInd w:val="0"/>
        <w:snapToGrid w:val="0"/>
        <w:spacing w:line="336" w:lineRule="auto"/>
        <w:jc w:val="center"/>
        <w:textAlignment w:val="bottom"/>
        <w:rPr>
          <w:rFonts w:hint="eastAsia" w:ascii="宋体" w:hAnsi="宋体" w:eastAsia="宋体" w:cs="宋体"/>
          <w:b/>
          <w:sz w:val="44"/>
          <w:szCs w:val="44"/>
          <w:highlight w:val="none"/>
          <w:lang w:eastAsia="zh-CN"/>
        </w:rPr>
      </w:pPr>
      <w:r>
        <w:rPr>
          <w:rFonts w:hint="eastAsia" w:ascii="宋体" w:hAnsi="宋体" w:cs="宋体"/>
          <w:b/>
          <w:sz w:val="44"/>
          <w:szCs w:val="44"/>
          <w:highlight w:val="none"/>
          <w:lang w:eastAsia="zh-CN"/>
        </w:rPr>
        <w:t>衢州市柯城区九龙幼儿园悦澜湾园区智能化提升工程及设施设备采购 - 网络系统改造及班级一体机采购</w:t>
      </w:r>
    </w:p>
    <w:p w14:paraId="2180B0E4">
      <w:pPr>
        <w:spacing w:before="24" w:beforeLines="10" w:line="360" w:lineRule="auto"/>
        <w:jc w:val="center"/>
        <w:rPr>
          <w:rFonts w:hint="eastAsia" w:ascii="宋体" w:hAnsi="宋体" w:eastAsia="宋体" w:cs="宋体"/>
          <w:b/>
          <w:sz w:val="32"/>
          <w:highlight w:val="none"/>
          <w:lang w:eastAsia="zh-CN"/>
        </w:rPr>
      </w:pPr>
      <w:r>
        <w:rPr>
          <w:rFonts w:hint="eastAsia" w:ascii="宋体" w:hAnsi="宋体" w:cs="宋体"/>
          <w:b/>
          <w:sz w:val="32"/>
          <w:highlight w:val="none"/>
        </w:rPr>
        <w:t>项目编号：</w:t>
      </w:r>
      <w:r>
        <w:rPr>
          <w:rFonts w:hint="eastAsia" w:ascii="宋体" w:hAnsi="宋体" w:cs="宋体"/>
          <w:b/>
          <w:sz w:val="32"/>
          <w:highlight w:val="none"/>
          <w:lang w:eastAsia="zh-CN"/>
        </w:rPr>
        <w:t>QZOB-2025-072</w:t>
      </w:r>
    </w:p>
    <w:p w14:paraId="610ECE61">
      <w:pPr>
        <w:pStyle w:val="87"/>
        <w:ind w:left="560"/>
        <w:rPr>
          <w:rFonts w:hint="eastAsia" w:ascii="宋体" w:hAnsi="宋体" w:eastAsia="宋体" w:cs="宋体"/>
          <w:highlight w:val="none"/>
        </w:rPr>
      </w:pPr>
    </w:p>
    <w:bookmarkEnd w:id="11"/>
    <w:bookmarkEnd w:id="12"/>
    <w:bookmarkEnd w:id="13"/>
    <w:bookmarkEnd w:id="14"/>
    <w:bookmarkEnd w:id="85"/>
    <w:p w14:paraId="101037E2">
      <w:pPr>
        <w:adjustRightInd w:val="0"/>
        <w:snapToGrid w:val="0"/>
        <w:spacing w:line="360" w:lineRule="auto"/>
        <w:jc w:val="center"/>
        <w:rPr>
          <w:rFonts w:hint="eastAsia" w:ascii="宋体" w:hAnsi="宋体" w:cs="宋体"/>
          <w:sz w:val="72"/>
          <w:highlight w:val="none"/>
        </w:rPr>
      </w:pPr>
      <w:r>
        <w:rPr>
          <w:rFonts w:hint="eastAsia" w:ascii="宋体" w:hAnsi="宋体" w:cs="宋体"/>
          <w:sz w:val="72"/>
          <w:highlight w:val="none"/>
        </w:rPr>
        <w:t>投</w:t>
      </w:r>
    </w:p>
    <w:p w14:paraId="593C8801">
      <w:pPr>
        <w:spacing w:line="360" w:lineRule="auto"/>
        <w:jc w:val="center"/>
        <w:rPr>
          <w:rFonts w:hint="eastAsia" w:ascii="宋体" w:hAnsi="宋体" w:cs="宋体"/>
          <w:sz w:val="72"/>
          <w:highlight w:val="none"/>
        </w:rPr>
      </w:pPr>
      <w:r>
        <w:rPr>
          <w:rFonts w:hint="eastAsia" w:ascii="宋体" w:hAnsi="宋体" w:cs="宋体"/>
          <w:sz w:val="72"/>
          <w:highlight w:val="none"/>
        </w:rPr>
        <w:t>标</w:t>
      </w:r>
    </w:p>
    <w:p w14:paraId="023A8355">
      <w:pPr>
        <w:spacing w:line="360" w:lineRule="auto"/>
        <w:jc w:val="center"/>
        <w:rPr>
          <w:rFonts w:hint="eastAsia" w:ascii="宋体" w:hAnsi="宋体" w:cs="宋体"/>
          <w:sz w:val="72"/>
          <w:highlight w:val="none"/>
        </w:rPr>
      </w:pPr>
      <w:r>
        <w:rPr>
          <w:rFonts w:hint="eastAsia" w:ascii="宋体" w:hAnsi="宋体" w:cs="宋体"/>
          <w:sz w:val="72"/>
          <w:highlight w:val="none"/>
        </w:rPr>
        <w:t>文</w:t>
      </w:r>
    </w:p>
    <w:p w14:paraId="19CCF5C0">
      <w:pPr>
        <w:spacing w:line="360" w:lineRule="auto"/>
        <w:jc w:val="center"/>
        <w:rPr>
          <w:rFonts w:hint="eastAsia" w:ascii="宋体" w:hAnsi="宋体" w:cs="宋体"/>
          <w:sz w:val="72"/>
          <w:highlight w:val="none"/>
        </w:rPr>
      </w:pPr>
      <w:r>
        <w:rPr>
          <w:rFonts w:hint="eastAsia" w:ascii="宋体" w:hAnsi="宋体" w:cs="宋体"/>
          <w:sz w:val="72"/>
          <w:highlight w:val="none"/>
        </w:rPr>
        <w:t>件</w:t>
      </w:r>
    </w:p>
    <w:p w14:paraId="66FC7E1F">
      <w:pPr>
        <w:spacing w:line="312" w:lineRule="auto"/>
        <w:ind w:firstLine="960" w:firstLineChars="300"/>
        <w:rPr>
          <w:rFonts w:hint="eastAsia" w:ascii="宋体" w:hAnsi="宋体" w:cs="宋体"/>
          <w:sz w:val="32"/>
          <w:highlight w:val="none"/>
        </w:rPr>
      </w:pPr>
      <w:r>
        <w:rPr>
          <w:rFonts w:hint="eastAsia" w:ascii="宋体" w:hAnsi="宋体" w:cs="宋体"/>
          <w:sz w:val="32"/>
          <w:highlight w:val="none"/>
        </w:rPr>
        <w:t>投标人：（加盖公章）</w:t>
      </w:r>
    </w:p>
    <w:p w14:paraId="7F7F6504">
      <w:pPr>
        <w:spacing w:line="312" w:lineRule="auto"/>
        <w:ind w:firstLine="960" w:firstLineChars="300"/>
        <w:rPr>
          <w:rFonts w:hint="eastAsia" w:ascii="宋体" w:hAnsi="宋体" w:cs="宋体"/>
          <w:sz w:val="32"/>
          <w:highlight w:val="none"/>
        </w:rPr>
      </w:pPr>
      <w:r>
        <w:rPr>
          <w:rFonts w:hint="eastAsia" w:ascii="宋体" w:hAnsi="宋体" w:cs="宋体"/>
          <w:sz w:val="32"/>
          <w:highlight w:val="none"/>
        </w:rPr>
        <w:t>地址：</w:t>
      </w:r>
    </w:p>
    <w:p w14:paraId="55535106">
      <w:pPr>
        <w:ind w:firstLine="960" w:firstLineChars="300"/>
        <w:rPr>
          <w:rFonts w:hint="eastAsia" w:ascii="宋体" w:hAnsi="宋体" w:cs="宋体"/>
          <w:sz w:val="32"/>
          <w:highlight w:val="none"/>
          <w:u w:val="single"/>
        </w:rPr>
      </w:pPr>
      <w:r>
        <w:rPr>
          <w:rFonts w:hint="eastAsia" w:ascii="宋体" w:hAnsi="宋体" w:cs="宋体"/>
          <w:sz w:val="32"/>
          <w:highlight w:val="none"/>
        </w:rPr>
        <w:t>日期：</w:t>
      </w:r>
    </w:p>
    <w:p w14:paraId="785835B5">
      <w:pPr>
        <w:pageBreakBefore/>
        <w:adjustRightInd w:val="0"/>
        <w:snapToGrid w:val="0"/>
        <w:spacing w:line="360" w:lineRule="auto"/>
        <w:jc w:val="center"/>
        <w:outlineLvl w:val="0"/>
        <w:rPr>
          <w:rFonts w:hint="eastAsia" w:ascii="宋体" w:hAnsi="宋体" w:cs="宋体"/>
          <w:b/>
          <w:sz w:val="36"/>
          <w:highlight w:val="none"/>
        </w:rPr>
      </w:pPr>
      <w:bookmarkStart w:id="105" w:name="_Toc15453"/>
      <w:r>
        <w:rPr>
          <w:rFonts w:hint="eastAsia" w:ascii="宋体" w:hAnsi="宋体" w:cs="宋体"/>
          <w:b/>
          <w:sz w:val="36"/>
          <w:highlight w:val="none"/>
        </w:rPr>
        <w:t>第六部分  评分办法</w:t>
      </w:r>
      <w:bookmarkEnd w:id="105"/>
    </w:p>
    <w:p w14:paraId="0FEA517B">
      <w:pPr>
        <w:pStyle w:val="4"/>
        <w:topLinePunct/>
        <w:adjustRightInd w:val="0"/>
        <w:snapToGrid w:val="0"/>
        <w:spacing w:line="440" w:lineRule="exact"/>
        <w:jc w:val="left"/>
        <w:rPr>
          <w:rStyle w:val="605"/>
          <w:rFonts w:hint="eastAsia" w:eastAsia="宋体"/>
          <w:sz w:val="24"/>
          <w:szCs w:val="24"/>
          <w:highlight w:val="none"/>
          <w:lang w:eastAsia="zh-CN"/>
        </w:rPr>
      </w:pPr>
      <w:r>
        <w:rPr>
          <w:rStyle w:val="605"/>
          <w:rFonts w:hint="eastAsia"/>
          <w:sz w:val="24"/>
          <w:szCs w:val="24"/>
          <w:highlight w:val="none"/>
        </w:rPr>
        <w:t>一、总则</w:t>
      </w:r>
    </w:p>
    <w:p w14:paraId="6B115B7C">
      <w:pPr>
        <w:pStyle w:val="4"/>
        <w:topLinePunct/>
        <w:adjustRightInd w:val="0"/>
        <w:snapToGrid w:val="0"/>
        <w:spacing w:line="440" w:lineRule="exact"/>
        <w:jc w:val="left"/>
        <w:rPr>
          <w:rStyle w:val="605"/>
          <w:rFonts w:hint="eastAsia"/>
          <w:b w:val="0"/>
          <w:kern w:val="18"/>
          <w:sz w:val="24"/>
          <w:szCs w:val="24"/>
          <w:highlight w:val="none"/>
        </w:rPr>
      </w:pPr>
      <w:r>
        <w:rPr>
          <w:rStyle w:val="605"/>
          <w:rFonts w:hint="eastAsia"/>
          <w:b w:val="0"/>
          <w:sz w:val="24"/>
          <w:szCs w:val="24"/>
          <w:highlight w:val="none"/>
          <w:lang w:val="zh-TW"/>
        </w:rPr>
        <w:t>1</w:t>
      </w:r>
      <w:r>
        <w:rPr>
          <w:rStyle w:val="605"/>
          <w:rFonts w:hint="eastAsia"/>
          <w:b w:val="0"/>
          <w:sz w:val="24"/>
          <w:szCs w:val="24"/>
          <w:highlight w:val="none"/>
        </w:rPr>
        <w:t>、根据《中华人民共和国政府采购法》、《政府采购货物和服务招标投标管理办法》（财政部</w:t>
      </w:r>
      <w:r>
        <w:rPr>
          <w:rStyle w:val="605"/>
          <w:rFonts w:hint="eastAsia"/>
          <w:b w:val="0"/>
          <w:kern w:val="18"/>
          <w:sz w:val="24"/>
          <w:szCs w:val="24"/>
          <w:highlight w:val="none"/>
        </w:rPr>
        <w:t>第87号令）及相关法规的规定，结合采购项目特点制定本评标办法。</w:t>
      </w:r>
    </w:p>
    <w:p w14:paraId="13EF9245">
      <w:pPr>
        <w:pStyle w:val="4"/>
        <w:topLinePunct/>
        <w:adjustRightInd w:val="0"/>
        <w:snapToGrid w:val="0"/>
        <w:spacing w:line="440" w:lineRule="exact"/>
        <w:jc w:val="left"/>
        <w:rPr>
          <w:rStyle w:val="605"/>
          <w:rFonts w:hint="eastAsia"/>
          <w:b w:val="0"/>
          <w:sz w:val="24"/>
          <w:szCs w:val="24"/>
          <w:highlight w:val="none"/>
        </w:rPr>
      </w:pPr>
      <w:r>
        <w:rPr>
          <w:rStyle w:val="605"/>
          <w:rFonts w:hint="eastAsia"/>
          <w:b w:val="0"/>
          <w:sz w:val="24"/>
          <w:szCs w:val="24"/>
          <w:highlight w:val="none"/>
          <w:lang w:val="zh-TW"/>
        </w:rPr>
        <w:t>2</w:t>
      </w:r>
      <w:r>
        <w:rPr>
          <w:rStyle w:val="605"/>
          <w:rFonts w:hint="eastAsia"/>
          <w:b w:val="0"/>
          <w:sz w:val="24"/>
          <w:szCs w:val="24"/>
          <w:highlight w:val="none"/>
        </w:rPr>
        <w:t>、评标工作由采购代理机构负责组织，具体评标事务由评标委员会负责。</w:t>
      </w:r>
    </w:p>
    <w:p w14:paraId="68CB1C08">
      <w:pPr>
        <w:pStyle w:val="4"/>
        <w:topLinePunct/>
        <w:adjustRightInd w:val="0"/>
        <w:snapToGrid w:val="0"/>
        <w:spacing w:line="440" w:lineRule="exact"/>
        <w:ind w:firstLine="240" w:firstLineChars="100"/>
        <w:jc w:val="left"/>
        <w:rPr>
          <w:rStyle w:val="605"/>
          <w:rFonts w:hint="eastAsia"/>
          <w:b w:val="0"/>
          <w:sz w:val="24"/>
          <w:szCs w:val="24"/>
          <w:highlight w:val="none"/>
        </w:rPr>
      </w:pPr>
      <w:r>
        <w:rPr>
          <w:rStyle w:val="605"/>
          <w:rFonts w:hint="eastAsia"/>
          <w:b w:val="0"/>
          <w:sz w:val="24"/>
          <w:szCs w:val="24"/>
          <w:highlight w:val="none"/>
        </w:rPr>
        <w:t>（1）评标委员会由5人组成（由采购人代表和评标专家组成，采购人代表人数不得超过总评委人数的三分之一）。</w:t>
      </w:r>
    </w:p>
    <w:p w14:paraId="52FF5D3C">
      <w:pPr>
        <w:pStyle w:val="4"/>
        <w:topLinePunct/>
        <w:adjustRightInd w:val="0"/>
        <w:snapToGrid w:val="0"/>
        <w:spacing w:line="440" w:lineRule="exact"/>
        <w:ind w:left="244" w:leftChars="87"/>
        <w:jc w:val="left"/>
        <w:rPr>
          <w:rStyle w:val="605"/>
          <w:rFonts w:hint="eastAsia"/>
          <w:b w:val="0"/>
          <w:sz w:val="24"/>
          <w:szCs w:val="24"/>
          <w:highlight w:val="none"/>
        </w:rPr>
      </w:pPr>
      <w:r>
        <w:rPr>
          <w:rStyle w:val="605"/>
          <w:rFonts w:hint="eastAsia"/>
          <w:b w:val="0"/>
          <w:sz w:val="24"/>
          <w:szCs w:val="24"/>
          <w:highlight w:val="none"/>
        </w:rPr>
        <w:t>（2）评标专家确定方式：按相关规定从专家库中抽取。</w:t>
      </w:r>
    </w:p>
    <w:p w14:paraId="46B82366">
      <w:pPr>
        <w:pStyle w:val="4"/>
        <w:topLinePunct/>
        <w:adjustRightInd w:val="0"/>
        <w:snapToGrid w:val="0"/>
        <w:spacing w:line="440" w:lineRule="exact"/>
        <w:ind w:left="4" w:hanging="4"/>
        <w:jc w:val="left"/>
        <w:rPr>
          <w:rStyle w:val="605"/>
          <w:rFonts w:hint="eastAsia" w:eastAsia="宋体"/>
          <w:b w:val="0"/>
          <w:sz w:val="24"/>
          <w:szCs w:val="24"/>
          <w:highlight w:val="none"/>
          <w:lang w:eastAsia="zh-CN"/>
        </w:rPr>
      </w:pPr>
      <w:r>
        <w:rPr>
          <w:rStyle w:val="605"/>
          <w:rFonts w:hint="eastAsia"/>
          <w:b w:val="0"/>
          <w:sz w:val="24"/>
          <w:szCs w:val="24"/>
          <w:highlight w:val="none"/>
          <w:lang w:val="zh-TW"/>
        </w:rPr>
        <w:t>3</w:t>
      </w:r>
      <w:r>
        <w:rPr>
          <w:rStyle w:val="605"/>
          <w:rFonts w:hint="eastAsia"/>
          <w:b w:val="0"/>
          <w:sz w:val="24"/>
          <w:szCs w:val="24"/>
          <w:highlight w:val="none"/>
        </w:rPr>
        <w:t>、评标工作应遵循公平、公正、科学及择优的原则，并以相同的评标程序和标准对待所有的投标人。</w:t>
      </w:r>
    </w:p>
    <w:p w14:paraId="68F9AD70">
      <w:pPr>
        <w:pStyle w:val="4"/>
        <w:topLinePunct/>
        <w:adjustRightInd w:val="0"/>
        <w:snapToGrid w:val="0"/>
        <w:spacing w:line="440" w:lineRule="exact"/>
        <w:ind w:left="4" w:hanging="4"/>
        <w:jc w:val="left"/>
        <w:rPr>
          <w:rStyle w:val="605"/>
          <w:rFonts w:hint="eastAsia" w:eastAsia="宋体"/>
          <w:b w:val="0"/>
          <w:sz w:val="24"/>
          <w:szCs w:val="24"/>
          <w:highlight w:val="none"/>
          <w:lang w:eastAsia="zh-CN"/>
        </w:rPr>
      </w:pPr>
      <w:r>
        <w:rPr>
          <w:rStyle w:val="605"/>
          <w:rFonts w:hint="eastAsia"/>
          <w:b w:val="0"/>
          <w:sz w:val="24"/>
          <w:szCs w:val="24"/>
          <w:highlight w:val="none"/>
          <w:lang w:val="zh-TW"/>
        </w:rPr>
        <w:t>4</w:t>
      </w:r>
      <w:r>
        <w:rPr>
          <w:rStyle w:val="605"/>
          <w:rFonts w:hint="eastAsia"/>
          <w:b w:val="0"/>
          <w:sz w:val="24"/>
          <w:szCs w:val="24"/>
          <w:highlight w:val="none"/>
        </w:rPr>
        <w:t>、评标委员会按照采购项目文件规定的评标方法和标准进行评标，并独立履行下列职责：</w:t>
      </w:r>
    </w:p>
    <w:p w14:paraId="1DCBF1F6">
      <w:pPr>
        <w:pStyle w:val="4"/>
        <w:topLinePunct/>
        <w:adjustRightInd w:val="0"/>
        <w:snapToGrid w:val="0"/>
        <w:spacing w:line="440" w:lineRule="exact"/>
        <w:ind w:left="4" w:hanging="4"/>
        <w:jc w:val="left"/>
        <w:rPr>
          <w:rStyle w:val="605"/>
          <w:rFonts w:hint="eastAsia" w:eastAsia="宋体"/>
          <w:b w:val="0"/>
          <w:sz w:val="24"/>
          <w:szCs w:val="24"/>
          <w:highlight w:val="none"/>
          <w:lang w:eastAsia="zh-CN"/>
        </w:rPr>
      </w:pPr>
      <w:r>
        <w:rPr>
          <w:rStyle w:val="605"/>
          <w:rFonts w:hint="eastAsia"/>
          <w:b w:val="0"/>
          <w:sz w:val="24"/>
          <w:szCs w:val="24"/>
          <w:highlight w:val="none"/>
        </w:rPr>
        <w:t xml:space="preserve"> （</w:t>
      </w:r>
      <w:r>
        <w:rPr>
          <w:rStyle w:val="605"/>
          <w:rFonts w:hint="eastAsia"/>
          <w:b w:val="0"/>
          <w:sz w:val="24"/>
          <w:szCs w:val="24"/>
          <w:highlight w:val="none"/>
          <w:lang w:val="zh-TW"/>
        </w:rPr>
        <w:t>1</w:t>
      </w:r>
      <w:r>
        <w:rPr>
          <w:rStyle w:val="605"/>
          <w:rFonts w:hint="eastAsia"/>
          <w:b w:val="0"/>
          <w:sz w:val="24"/>
          <w:szCs w:val="24"/>
          <w:highlight w:val="none"/>
        </w:rPr>
        <w:t>）审查投标文件是否符合招标文件要求，并作出评价；</w:t>
      </w:r>
    </w:p>
    <w:p w14:paraId="38C42F66">
      <w:pPr>
        <w:pStyle w:val="4"/>
        <w:topLinePunct/>
        <w:adjustRightInd w:val="0"/>
        <w:snapToGrid w:val="0"/>
        <w:spacing w:line="440" w:lineRule="exact"/>
        <w:ind w:left="4" w:hanging="4"/>
        <w:jc w:val="left"/>
        <w:rPr>
          <w:rStyle w:val="605"/>
          <w:rFonts w:hint="eastAsia" w:eastAsia="宋体"/>
          <w:b w:val="0"/>
          <w:sz w:val="24"/>
          <w:szCs w:val="24"/>
          <w:highlight w:val="none"/>
          <w:lang w:eastAsia="zh-CN"/>
        </w:rPr>
      </w:pPr>
      <w:r>
        <w:rPr>
          <w:rStyle w:val="605"/>
          <w:rFonts w:hint="eastAsia"/>
          <w:b w:val="0"/>
          <w:sz w:val="24"/>
          <w:szCs w:val="24"/>
          <w:highlight w:val="none"/>
        </w:rPr>
        <w:t xml:space="preserve"> （</w:t>
      </w:r>
      <w:r>
        <w:rPr>
          <w:rStyle w:val="605"/>
          <w:rFonts w:hint="eastAsia"/>
          <w:b w:val="0"/>
          <w:sz w:val="24"/>
          <w:szCs w:val="24"/>
          <w:highlight w:val="none"/>
          <w:lang w:val="zh-TW"/>
        </w:rPr>
        <w:t>2</w:t>
      </w:r>
      <w:r>
        <w:rPr>
          <w:rStyle w:val="605"/>
          <w:rFonts w:hint="eastAsia"/>
          <w:b w:val="0"/>
          <w:sz w:val="24"/>
          <w:szCs w:val="24"/>
          <w:highlight w:val="none"/>
        </w:rPr>
        <w:t>）要求投标投标人对投标文件有关事项作出解释或者澄清；</w:t>
      </w:r>
    </w:p>
    <w:p w14:paraId="66387BFF">
      <w:pPr>
        <w:pStyle w:val="4"/>
        <w:topLinePunct/>
        <w:adjustRightInd w:val="0"/>
        <w:snapToGrid w:val="0"/>
        <w:spacing w:line="440" w:lineRule="exact"/>
        <w:ind w:left="4" w:hanging="4"/>
        <w:jc w:val="left"/>
        <w:rPr>
          <w:rStyle w:val="605"/>
          <w:rFonts w:hint="eastAsia" w:eastAsia="宋体"/>
          <w:b w:val="0"/>
          <w:sz w:val="24"/>
          <w:szCs w:val="24"/>
          <w:highlight w:val="none"/>
          <w:lang w:eastAsia="zh-CN"/>
        </w:rPr>
      </w:pPr>
      <w:r>
        <w:rPr>
          <w:rStyle w:val="605"/>
          <w:rFonts w:hint="eastAsia"/>
          <w:b w:val="0"/>
          <w:sz w:val="24"/>
          <w:szCs w:val="24"/>
          <w:highlight w:val="none"/>
        </w:rPr>
        <w:t xml:space="preserve"> （</w:t>
      </w:r>
      <w:r>
        <w:rPr>
          <w:rStyle w:val="605"/>
          <w:rFonts w:hint="eastAsia"/>
          <w:b w:val="0"/>
          <w:sz w:val="24"/>
          <w:szCs w:val="24"/>
          <w:highlight w:val="none"/>
          <w:lang w:val="zh-TW"/>
        </w:rPr>
        <w:t>3</w:t>
      </w:r>
      <w:r>
        <w:rPr>
          <w:rStyle w:val="605"/>
          <w:rFonts w:hint="eastAsia"/>
          <w:b w:val="0"/>
          <w:sz w:val="24"/>
          <w:szCs w:val="24"/>
          <w:highlight w:val="none"/>
        </w:rPr>
        <w:t>）推荐中标候选人名单；</w:t>
      </w:r>
    </w:p>
    <w:p w14:paraId="4AC44C66">
      <w:pPr>
        <w:pStyle w:val="4"/>
        <w:topLinePunct/>
        <w:adjustRightInd w:val="0"/>
        <w:snapToGrid w:val="0"/>
        <w:spacing w:line="440" w:lineRule="exact"/>
        <w:ind w:left="4" w:hanging="4"/>
        <w:jc w:val="left"/>
        <w:rPr>
          <w:rStyle w:val="605"/>
          <w:rFonts w:hint="eastAsia" w:eastAsia="宋体"/>
          <w:b w:val="0"/>
          <w:sz w:val="24"/>
          <w:szCs w:val="24"/>
          <w:highlight w:val="none"/>
          <w:lang w:eastAsia="zh-CN"/>
        </w:rPr>
      </w:pPr>
      <w:r>
        <w:rPr>
          <w:rStyle w:val="605"/>
          <w:rFonts w:hint="eastAsia"/>
          <w:b w:val="0"/>
          <w:sz w:val="24"/>
          <w:szCs w:val="24"/>
          <w:highlight w:val="none"/>
        </w:rPr>
        <w:t xml:space="preserve"> （</w:t>
      </w:r>
      <w:r>
        <w:rPr>
          <w:rStyle w:val="605"/>
          <w:rFonts w:hint="eastAsia"/>
          <w:b w:val="0"/>
          <w:sz w:val="24"/>
          <w:szCs w:val="24"/>
          <w:highlight w:val="none"/>
          <w:lang w:val="zh-TW"/>
        </w:rPr>
        <w:t>4</w:t>
      </w:r>
      <w:r>
        <w:rPr>
          <w:rStyle w:val="605"/>
          <w:rFonts w:hint="eastAsia"/>
          <w:b w:val="0"/>
          <w:sz w:val="24"/>
          <w:szCs w:val="24"/>
          <w:highlight w:val="none"/>
        </w:rPr>
        <w:t>）向采购代理机构或者有关部门报告非法干预评标工作的行为。</w:t>
      </w:r>
    </w:p>
    <w:p w14:paraId="60411E4D">
      <w:pPr>
        <w:pStyle w:val="4"/>
        <w:topLinePunct/>
        <w:adjustRightInd w:val="0"/>
        <w:snapToGrid w:val="0"/>
        <w:spacing w:line="440" w:lineRule="exact"/>
        <w:ind w:left="4" w:hanging="4"/>
        <w:jc w:val="left"/>
        <w:rPr>
          <w:rStyle w:val="605"/>
          <w:rFonts w:hint="eastAsia" w:eastAsia="宋体"/>
          <w:sz w:val="24"/>
          <w:szCs w:val="24"/>
          <w:highlight w:val="none"/>
          <w:lang w:eastAsia="zh-CN"/>
        </w:rPr>
      </w:pPr>
      <w:r>
        <w:rPr>
          <w:rStyle w:val="605"/>
          <w:rFonts w:hint="eastAsia"/>
          <w:sz w:val="24"/>
          <w:szCs w:val="24"/>
          <w:highlight w:val="none"/>
        </w:rPr>
        <w:t>二、评标程序</w:t>
      </w:r>
    </w:p>
    <w:p w14:paraId="423004AF">
      <w:pPr>
        <w:pStyle w:val="4"/>
        <w:topLinePunct/>
        <w:adjustRightInd w:val="0"/>
        <w:snapToGrid w:val="0"/>
        <w:spacing w:line="440" w:lineRule="exact"/>
        <w:ind w:left="4" w:hanging="4"/>
        <w:jc w:val="left"/>
        <w:rPr>
          <w:rStyle w:val="605"/>
          <w:rFonts w:hint="eastAsia" w:eastAsia="宋体"/>
          <w:b w:val="0"/>
          <w:sz w:val="24"/>
          <w:szCs w:val="24"/>
          <w:highlight w:val="none"/>
          <w:lang w:eastAsia="zh-CN"/>
        </w:rPr>
      </w:pPr>
      <w:r>
        <w:rPr>
          <w:rStyle w:val="605"/>
          <w:rFonts w:hint="eastAsia"/>
          <w:b w:val="0"/>
          <w:sz w:val="24"/>
          <w:szCs w:val="24"/>
          <w:highlight w:val="none"/>
        </w:rPr>
        <w:t>根据《政府采购货物和服务招标投标管理办法》的规定，评标按照下列工作程序进行：</w:t>
      </w:r>
    </w:p>
    <w:p w14:paraId="290F3034">
      <w:pPr>
        <w:pStyle w:val="4"/>
        <w:topLinePunct/>
        <w:adjustRightInd w:val="0"/>
        <w:snapToGrid w:val="0"/>
        <w:spacing w:line="440" w:lineRule="exact"/>
        <w:ind w:left="4" w:hanging="4"/>
        <w:jc w:val="left"/>
        <w:rPr>
          <w:rStyle w:val="605"/>
          <w:rFonts w:hint="eastAsia" w:eastAsia="宋体"/>
          <w:b w:val="0"/>
          <w:sz w:val="24"/>
          <w:szCs w:val="24"/>
          <w:highlight w:val="none"/>
          <w:lang w:val="zh-TW" w:eastAsia="zh-CN"/>
        </w:rPr>
      </w:pPr>
      <w:r>
        <w:rPr>
          <w:rStyle w:val="605"/>
          <w:rFonts w:hint="eastAsia"/>
          <w:b w:val="0"/>
          <w:sz w:val="24"/>
          <w:szCs w:val="24"/>
          <w:highlight w:val="none"/>
          <w:lang w:val="zh-TW"/>
        </w:rPr>
        <w:t>1、投标文件商务技术部分评审；</w:t>
      </w:r>
    </w:p>
    <w:p w14:paraId="314389FE">
      <w:pPr>
        <w:pStyle w:val="4"/>
        <w:topLinePunct/>
        <w:adjustRightInd w:val="0"/>
        <w:snapToGrid w:val="0"/>
        <w:spacing w:line="440" w:lineRule="exact"/>
        <w:ind w:left="4" w:hanging="4"/>
        <w:jc w:val="left"/>
        <w:rPr>
          <w:rStyle w:val="605"/>
          <w:rFonts w:hint="eastAsia" w:eastAsia="宋体"/>
          <w:b w:val="0"/>
          <w:sz w:val="24"/>
          <w:szCs w:val="24"/>
          <w:highlight w:val="none"/>
          <w:lang w:val="zh-TW" w:eastAsia="zh-CN"/>
        </w:rPr>
      </w:pPr>
      <w:r>
        <w:rPr>
          <w:rStyle w:val="605"/>
          <w:rFonts w:hint="eastAsia"/>
          <w:b w:val="0"/>
          <w:sz w:val="24"/>
          <w:szCs w:val="24"/>
          <w:highlight w:val="none"/>
          <w:lang w:val="zh-TW"/>
        </w:rPr>
        <w:t>2、投标文件报价部分审查；</w:t>
      </w:r>
    </w:p>
    <w:p w14:paraId="28657EC3">
      <w:pPr>
        <w:pStyle w:val="4"/>
        <w:topLinePunct/>
        <w:adjustRightInd w:val="0"/>
        <w:snapToGrid w:val="0"/>
        <w:spacing w:line="440" w:lineRule="exact"/>
        <w:ind w:left="4" w:hanging="4"/>
        <w:jc w:val="left"/>
        <w:rPr>
          <w:rStyle w:val="605"/>
          <w:rFonts w:hint="eastAsia" w:eastAsia="宋体"/>
          <w:b w:val="0"/>
          <w:sz w:val="24"/>
          <w:szCs w:val="24"/>
          <w:highlight w:val="none"/>
          <w:lang w:val="zh-TW" w:eastAsia="zh-CN"/>
        </w:rPr>
      </w:pPr>
      <w:r>
        <w:rPr>
          <w:rStyle w:val="605"/>
          <w:rFonts w:hint="eastAsia"/>
          <w:b w:val="0"/>
          <w:sz w:val="24"/>
          <w:szCs w:val="24"/>
          <w:highlight w:val="none"/>
          <w:lang w:val="zh-TW"/>
        </w:rPr>
        <w:t>3、推荐中标候选人名单，编写评标报告。</w:t>
      </w:r>
    </w:p>
    <w:p w14:paraId="6744BC20">
      <w:pPr>
        <w:pStyle w:val="4"/>
        <w:topLinePunct/>
        <w:adjustRightInd w:val="0"/>
        <w:snapToGrid w:val="0"/>
        <w:spacing w:line="440" w:lineRule="exact"/>
        <w:ind w:left="4" w:hanging="4"/>
        <w:jc w:val="left"/>
        <w:rPr>
          <w:rStyle w:val="605"/>
          <w:rFonts w:hint="eastAsia" w:eastAsia="宋体"/>
          <w:sz w:val="24"/>
          <w:szCs w:val="24"/>
          <w:highlight w:val="none"/>
          <w:lang w:eastAsia="zh-CN"/>
        </w:rPr>
      </w:pPr>
      <w:r>
        <w:rPr>
          <w:rStyle w:val="605"/>
          <w:rFonts w:hint="eastAsia"/>
          <w:sz w:val="24"/>
          <w:szCs w:val="24"/>
          <w:highlight w:val="none"/>
        </w:rPr>
        <w:t>三、定标及定标程序</w:t>
      </w:r>
    </w:p>
    <w:p w14:paraId="152568B9">
      <w:pPr>
        <w:pStyle w:val="4"/>
        <w:topLinePunct/>
        <w:adjustRightInd w:val="0"/>
        <w:snapToGrid w:val="0"/>
        <w:spacing w:line="440" w:lineRule="exact"/>
        <w:ind w:left="4" w:hanging="4"/>
        <w:jc w:val="left"/>
        <w:rPr>
          <w:rStyle w:val="605"/>
          <w:rFonts w:hint="eastAsia" w:eastAsia="宋体"/>
          <w:b w:val="0"/>
          <w:sz w:val="24"/>
          <w:szCs w:val="24"/>
          <w:highlight w:val="none"/>
          <w:lang w:val="zh-TW" w:eastAsia="zh-CN"/>
        </w:rPr>
      </w:pPr>
      <w:r>
        <w:rPr>
          <w:rStyle w:val="605"/>
          <w:rFonts w:hint="eastAsia"/>
          <w:b w:val="0"/>
          <w:sz w:val="24"/>
          <w:szCs w:val="24"/>
          <w:highlight w:val="none"/>
          <w:lang w:val="zh-TW"/>
        </w:rPr>
        <w:t>1、定标原则</w:t>
      </w:r>
    </w:p>
    <w:p w14:paraId="4CA855EA">
      <w:pPr>
        <w:pStyle w:val="4"/>
        <w:topLinePunct/>
        <w:adjustRightInd w:val="0"/>
        <w:snapToGrid w:val="0"/>
        <w:spacing w:line="440" w:lineRule="exact"/>
        <w:ind w:left="4" w:hanging="4"/>
        <w:jc w:val="left"/>
        <w:rPr>
          <w:rStyle w:val="605"/>
          <w:rFonts w:hint="eastAsia" w:eastAsia="宋体"/>
          <w:b w:val="0"/>
          <w:sz w:val="24"/>
          <w:szCs w:val="24"/>
          <w:highlight w:val="none"/>
          <w:lang w:val="zh-TW" w:eastAsia="zh-CN"/>
        </w:rPr>
      </w:pPr>
      <w:r>
        <w:rPr>
          <w:rStyle w:val="605"/>
          <w:rFonts w:hint="eastAsia"/>
          <w:b w:val="0"/>
          <w:sz w:val="24"/>
          <w:szCs w:val="24"/>
          <w:highlight w:val="none"/>
          <w:lang w:val="zh-TW"/>
        </w:rPr>
        <w:t>根据评委会推荐的中标候选人名单，按顺序确定中标人。</w:t>
      </w:r>
    </w:p>
    <w:p w14:paraId="29A8AA14">
      <w:pPr>
        <w:pStyle w:val="4"/>
        <w:topLinePunct/>
        <w:adjustRightInd w:val="0"/>
        <w:snapToGrid w:val="0"/>
        <w:spacing w:line="440" w:lineRule="exact"/>
        <w:ind w:left="4" w:hanging="4"/>
        <w:jc w:val="left"/>
        <w:rPr>
          <w:rStyle w:val="605"/>
          <w:rFonts w:hint="eastAsia"/>
          <w:b w:val="0"/>
          <w:sz w:val="24"/>
          <w:szCs w:val="24"/>
          <w:highlight w:val="none"/>
        </w:rPr>
      </w:pPr>
      <w:r>
        <w:rPr>
          <w:rStyle w:val="605"/>
          <w:rFonts w:hint="eastAsia"/>
          <w:b w:val="0"/>
          <w:sz w:val="24"/>
          <w:szCs w:val="24"/>
          <w:highlight w:val="none"/>
          <w:lang w:val="zh-TW"/>
        </w:rPr>
        <w:t>2、定标程序</w:t>
      </w:r>
    </w:p>
    <w:p w14:paraId="46918E97">
      <w:pPr>
        <w:pStyle w:val="51"/>
        <w:spacing w:line="440" w:lineRule="exact"/>
        <w:ind w:firstLine="240" w:firstLineChars="100"/>
        <w:jc w:val="left"/>
        <w:rPr>
          <w:rStyle w:val="605"/>
          <w:rFonts w:hint="eastAsia"/>
          <w:sz w:val="24"/>
          <w:szCs w:val="24"/>
          <w:highlight w:val="none"/>
          <w:lang w:eastAsia="zh-TW"/>
        </w:rPr>
      </w:pPr>
      <w:r>
        <w:rPr>
          <w:rStyle w:val="605"/>
          <w:rFonts w:hint="eastAsia"/>
          <w:sz w:val="24"/>
          <w:szCs w:val="24"/>
          <w:highlight w:val="none"/>
          <w:lang w:eastAsia="zh-TW"/>
        </w:rPr>
        <w:t>（1）评委会将评标情况写出书面评审报告，推荐中标候选人，并按照综合评分的高低排列顺序，确定中标人；如投标人综合得分相同的，报价低者为中标人。综合得分且报价相同的，商务部分指标优者为中标人；如综合得分、投标报价和商务技术中的商务部分得分均相同的，则抽签选取中标候选人。</w:t>
      </w:r>
    </w:p>
    <w:p w14:paraId="0836E760">
      <w:pPr>
        <w:pStyle w:val="51"/>
        <w:spacing w:line="440" w:lineRule="exact"/>
        <w:ind w:firstLine="240" w:firstLineChars="100"/>
        <w:jc w:val="left"/>
        <w:rPr>
          <w:rStyle w:val="605"/>
          <w:rFonts w:hint="eastAsia" w:eastAsia="宋体"/>
          <w:sz w:val="24"/>
          <w:szCs w:val="24"/>
          <w:highlight w:val="none"/>
          <w:lang w:eastAsia="zh-CN"/>
        </w:rPr>
      </w:pPr>
      <w:r>
        <w:rPr>
          <w:rStyle w:val="605"/>
          <w:rFonts w:hint="eastAsia"/>
          <w:sz w:val="24"/>
          <w:szCs w:val="24"/>
          <w:highlight w:val="none"/>
          <w:lang w:eastAsia="zh-TW"/>
        </w:rPr>
        <w:t>（</w:t>
      </w:r>
      <w:r>
        <w:rPr>
          <w:rStyle w:val="605"/>
          <w:rFonts w:hint="eastAsia"/>
          <w:sz w:val="24"/>
          <w:szCs w:val="24"/>
          <w:highlight w:val="none"/>
          <w:lang w:val="zh-TW" w:eastAsia="zh-TW"/>
        </w:rPr>
        <w:t>2</w:t>
      </w:r>
      <w:r>
        <w:rPr>
          <w:rStyle w:val="605"/>
          <w:rFonts w:hint="eastAsia"/>
          <w:sz w:val="24"/>
          <w:szCs w:val="24"/>
          <w:highlight w:val="none"/>
          <w:lang w:eastAsia="zh-TW"/>
        </w:rPr>
        <w:t>）</w:t>
      </w:r>
      <w:r>
        <w:rPr>
          <w:rStyle w:val="605"/>
          <w:rFonts w:hint="eastAsia"/>
          <w:sz w:val="24"/>
          <w:szCs w:val="24"/>
          <w:highlight w:val="none"/>
        </w:rPr>
        <w:t>评定结果经采购人确定后，采购人在中标人确定之日起2个工作日内将以书面形式发出《中标通知书》，并在浙江政府采购网公告中标结果。</w:t>
      </w:r>
    </w:p>
    <w:p w14:paraId="59182214">
      <w:pPr>
        <w:pStyle w:val="51"/>
        <w:spacing w:line="440" w:lineRule="exact"/>
        <w:ind w:firstLine="240" w:firstLineChars="100"/>
        <w:jc w:val="left"/>
        <w:rPr>
          <w:rStyle w:val="605"/>
          <w:rFonts w:hint="eastAsia"/>
          <w:sz w:val="24"/>
          <w:szCs w:val="24"/>
          <w:highlight w:val="none"/>
        </w:rPr>
      </w:pPr>
      <w:r>
        <w:rPr>
          <w:rStyle w:val="605"/>
          <w:rFonts w:hint="eastAsia"/>
          <w:sz w:val="24"/>
          <w:szCs w:val="24"/>
          <w:highlight w:val="none"/>
        </w:rPr>
        <w:t xml:space="preserve"> （</w:t>
      </w:r>
      <w:r>
        <w:rPr>
          <w:rStyle w:val="605"/>
          <w:rFonts w:hint="eastAsia"/>
          <w:sz w:val="24"/>
          <w:szCs w:val="24"/>
          <w:highlight w:val="none"/>
          <w:lang w:val="zh-TW"/>
        </w:rPr>
        <w:t>3</w:t>
      </w:r>
      <w:r>
        <w:rPr>
          <w:rStyle w:val="605"/>
          <w:rFonts w:hint="eastAsia"/>
          <w:sz w:val="24"/>
          <w:szCs w:val="24"/>
          <w:highlight w:val="none"/>
        </w:rPr>
        <w:t>）采购代理机构不解释中标或落标原因，不退回投标文件和其他投标资料。</w:t>
      </w:r>
    </w:p>
    <w:p w14:paraId="0DE03056">
      <w:pPr>
        <w:pStyle w:val="51"/>
        <w:spacing w:line="440" w:lineRule="exact"/>
        <w:ind w:firstLine="0" w:firstLineChars="0"/>
        <w:jc w:val="left"/>
        <w:rPr>
          <w:rStyle w:val="605"/>
          <w:rFonts w:hint="eastAsia"/>
          <w:b/>
          <w:sz w:val="24"/>
          <w:szCs w:val="24"/>
          <w:highlight w:val="none"/>
        </w:rPr>
      </w:pPr>
      <w:r>
        <w:rPr>
          <w:rStyle w:val="605"/>
          <w:rFonts w:hint="eastAsia"/>
          <w:b/>
          <w:sz w:val="24"/>
          <w:szCs w:val="24"/>
          <w:highlight w:val="none"/>
        </w:rPr>
        <w:t>四、评标方法</w:t>
      </w:r>
    </w:p>
    <w:p w14:paraId="6CAB0943">
      <w:pPr>
        <w:pStyle w:val="51"/>
        <w:spacing w:line="440" w:lineRule="exact"/>
        <w:ind w:firstLine="240" w:firstLineChars="100"/>
        <w:jc w:val="left"/>
        <w:rPr>
          <w:rStyle w:val="605"/>
          <w:rFonts w:hint="eastAsia"/>
          <w:sz w:val="24"/>
          <w:szCs w:val="24"/>
          <w:highlight w:val="none"/>
          <w:lang w:val="zh-TW"/>
        </w:rPr>
      </w:pPr>
      <w:r>
        <w:rPr>
          <w:rStyle w:val="605"/>
          <w:rFonts w:hint="eastAsia"/>
          <w:sz w:val="24"/>
          <w:szCs w:val="24"/>
          <w:highlight w:val="none"/>
          <w:lang w:val="zh-TW"/>
        </w:rPr>
        <w:t>1</w:t>
      </w:r>
      <w:r>
        <w:rPr>
          <w:rStyle w:val="605"/>
          <w:rFonts w:hint="eastAsia"/>
          <w:sz w:val="24"/>
          <w:szCs w:val="24"/>
          <w:highlight w:val="none"/>
        </w:rPr>
        <w:t>、本次评标采用综合评分法，即在投标文件满足招标文件全部实质性要求的前提下，按照评审因素的量化指标评审得分从高到低的顺序推荐供应商为第一、第二、……中标候选人的评标办法。</w:t>
      </w:r>
    </w:p>
    <w:p w14:paraId="788F4E1E">
      <w:pPr>
        <w:pStyle w:val="51"/>
        <w:spacing w:line="440" w:lineRule="exact"/>
        <w:ind w:firstLine="240" w:firstLineChars="100"/>
        <w:rPr>
          <w:rStyle w:val="605"/>
          <w:rFonts w:hint="eastAsia"/>
          <w:sz w:val="24"/>
          <w:szCs w:val="24"/>
          <w:highlight w:val="none"/>
        </w:rPr>
      </w:pPr>
      <w:r>
        <w:rPr>
          <w:rStyle w:val="605"/>
          <w:rFonts w:hint="eastAsia"/>
          <w:sz w:val="24"/>
          <w:szCs w:val="24"/>
          <w:highlight w:val="none"/>
          <w:lang w:val="zh-TW"/>
        </w:rPr>
        <w:t>2</w:t>
      </w:r>
      <w:r>
        <w:rPr>
          <w:rStyle w:val="605"/>
          <w:rFonts w:hint="eastAsia"/>
          <w:sz w:val="24"/>
          <w:szCs w:val="24"/>
          <w:highlight w:val="none"/>
        </w:rPr>
        <w:t>、本项目为商务技术分70分和报价分</w:t>
      </w:r>
      <w:r>
        <w:rPr>
          <w:rStyle w:val="605"/>
          <w:rFonts w:hint="eastAsia" w:eastAsia="宋体"/>
          <w:sz w:val="24"/>
          <w:szCs w:val="24"/>
          <w:highlight w:val="none"/>
          <w:lang w:val="en-US" w:eastAsia="zh-CN"/>
        </w:rPr>
        <w:t>30</w:t>
      </w:r>
      <w:r>
        <w:rPr>
          <w:rStyle w:val="605"/>
          <w:rFonts w:hint="eastAsia"/>
          <w:sz w:val="24"/>
          <w:szCs w:val="24"/>
          <w:highlight w:val="none"/>
        </w:rPr>
        <w:t>合计评分，满分为</w:t>
      </w:r>
      <w:r>
        <w:rPr>
          <w:rStyle w:val="605"/>
          <w:rFonts w:hint="eastAsia"/>
          <w:sz w:val="24"/>
          <w:szCs w:val="24"/>
          <w:highlight w:val="none"/>
          <w:lang w:val="zh-TW"/>
        </w:rPr>
        <w:t>100</w:t>
      </w:r>
      <w:r>
        <w:rPr>
          <w:rStyle w:val="605"/>
          <w:rFonts w:hint="eastAsia"/>
          <w:sz w:val="24"/>
          <w:szCs w:val="24"/>
          <w:highlight w:val="none"/>
        </w:rPr>
        <w:t>分。</w:t>
      </w:r>
    </w:p>
    <w:p w14:paraId="2CB4BBA0">
      <w:pPr>
        <w:pStyle w:val="51"/>
        <w:keepNext/>
        <w:keepLines/>
        <w:adjustRightInd w:val="0"/>
        <w:snapToGrid w:val="0"/>
        <w:spacing w:line="440" w:lineRule="exact"/>
        <w:ind w:firstLine="0" w:firstLineChars="0"/>
        <w:jc w:val="left"/>
        <w:rPr>
          <w:rStyle w:val="605"/>
          <w:rFonts w:hint="eastAsia"/>
          <w:bCs/>
          <w:sz w:val="24"/>
          <w:szCs w:val="24"/>
          <w:highlight w:val="none"/>
        </w:rPr>
      </w:pPr>
      <w:r>
        <w:rPr>
          <w:rStyle w:val="605"/>
          <w:rFonts w:hint="eastAsia"/>
          <w:b/>
          <w:sz w:val="24"/>
          <w:szCs w:val="24"/>
          <w:highlight w:val="none"/>
        </w:rPr>
        <w:t>五、评标细则及标准</w:t>
      </w:r>
    </w:p>
    <w:p w14:paraId="33AEE555">
      <w:pPr>
        <w:snapToGrid w:val="0"/>
        <w:spacing w:line="440" w:lineRule="exact"/>
        <w:ind w:firstLine="241" w:firstLineChars="100"/>
        <w:rPr>
          <w:rStyle w:val="606"/>
          <w:rFonts w:hint="eastAsia" w:ascii="宋体" w:hAnsi="宋体" w:cs="宋体"/>
          <w:b/>
          <w:bCs/>
          <w:sz w:val="24"/>
          <w:szCs w:val="24"/>
          <w:highlight w:val="none"/>
        </w:rPr>
      </w:pPr>
      <w:r>
        <w:rPr>
          <w:rStyle w:val="605"/>
          <w:rFonts w:hint="eastAsia"/>
          <w:b/>
          <w:sz w:val="24"/>
          <w:szCs w:val="24"/>
          <w:highlight w:val="none"/>
        </w:rPr>
        <w:t>1</w:t>
      </w:r>
      <w:r>
        <w:rPr>
          <w:rStyle w:val="606"/>
          <w:rFonts w:hint="eastAsia" w:ascii="宋体" w:hAnsi="宋体" w:cs="宋体"/>
          <w:b/>
          <w:bCs/>
          <w:sz w:val="24"/>
          <w:szCs w:val="24"/>
          <w:highlight w:val="none"/>
        </w:rPr>
        <w:t>、</w:t>
      </w:r>
      <w:r>
        <w:rPr>
          <w:rStyle w:val="606"/>
          <w:rFonts w:hint="eastAsia" w:ascii="宋体" w:hAnsi="宋体" w:cs="宋体"/>
          <w:b/>
          <w:bCs/>
          <w:sz w:val="24"/>
          <w:szCs w:val="24"/>
          <w:highlight w:val="none"/>
          <w:lang w:val="zh-TW"/>
        </w:rPr>
        <w:t>评标细则</w:t>
      </w:r>
    </w:p>
    <w:p w14:paraId="2C8EC42A">
      <w:pPr>
        <w:widowControl/>
        <w:spacing w:line="440" w:lineRule="exact"/>
        <w:ind w:firstLine="240" w:firstLineChars="100"/>
        <w:jc w:val="left"/>
        <w:rPr>
          <w:rStyle w:val="606"/>
          <w:rFonts w:hint="eastAsia" w:ascii="宋体" w:hAnsi="宋体" w:cs="宋体"/>
          <w:b/>
          <w:bCs/>
          <w:sz w:val="24"/>
          <w:szCs w:val="24"/>
          <w:highlight w:val="none"/>
        </w:rPr>
      </w:pPr>
      <w:r>
        <w:rPr>
          <w:rFonts w:hint="eastAsia" w:ascii="宋体" w:hAnsi="宋体" w:cs="宋体"/>
          <w:sz w:val="24"/>
          <w:szCs w:val="24"/>
          <w:highlight w:val="none"/>
          <w:lang w:val="zh-TW" w:bidi="ar"/>
        </w:rPr>
        <w:t>（1）</w:t>
      </w:r>
      <w:r>
        <w:rPr>
          <w:rStyle w:val="606"/>
          <w:rFonts w:hint="eastAsia" w:ascii="宋体" w:hAnsi="宋体" w:cs="宋体"/>
          <w:b/>
          <w:bCs/>
          <w:sz w:val="24"/>
          <w:szCs w:val="24"/>
          <w:highlight w:val="none"/>
        </w:rPr>
        <w:t>在投标文件评审过程中，如果出现评标委员会成员意见不一致的情况，按照少数服从多数的原则确定。</w:t>
      </w:r>
    </w:p>
    <w:p w14:paraId="45C869A1">
      <w:pPr>
        <w:widowControl/>
        <w:spacing w:line="440" w:lineRule="exact"/>
        <w:ind w:firstLine="240" w:firstLineChars="100"/>
        <w:jc w:val="left"/>
        <w:rPr>
          <w:rStyle w:val="605"/>
          <w:rFonts w:hint="eastAsia"/>
          <w:sz w:val="24"/>
          <w:szCs w:val="24"/>
          <w:highlight w:val="none"/>
          <w:lang w:val="zh-TW"/>
        </w:rPr>
      </w:pPr>
      <w:r>
        <w:rPr>
          <w:rStyle w:val="605"/>
          <w:rFonts w:hint="eastAsia"/>
          <w:sz w:val="24"/>
          <w:szCs w:val="24"/>
          <w:highlight w:val="none"/>
          <w:lang w:val="zh-TW"/>
        </w:rPr>
        <w:t>（2）</w:t>
      </w:r>
      <w:r>
        <w:rPr>
          <w:rFonts w:hint="eastAsia" w:ascii="宋体" w:hAnsi="宋体" w:cs="宋体"/>
          <w:sz w:val="24"/>
          <w:szCs w:val="24"/>
          <w:highlight w:val="none"/>
          <w:lang w:val="zh-TW" w:eastAsia="zh-TW" w:bidi="ar"/>
        </w:rPr>
        <w:t>评标委员会根据表格，对各投标</w:t>
      </w:r>
      <w:r>
        <w:rPr>
          <w:rStyle w:val="605"/>
          <w:rFonts w:hint="eastAsia"/>
          <w:sz w:val="24"/>
          <w:szCs w:val="24"/>
          <w:highlight w:val="none"/>
          <w:lang w:val="zh-TW" w:eastAsia="zh-TW"/>
        </w:rPr>
        <w:t>单位的商务技术标进行书面审核和评论后，由各专家独立</w:t>
      </w:r>
      <w:r>
        <w:rPr>
          <w:rStyle w:val="605"/>
          <w:rFonts w:hint="eastAsia"/>
          <w:sz w:val="24"/>
          <w:szCs w:val="24"/>
          <w:highlight w:val="none"/>
        </w:rPr>
        <w:t>评</w:t>
      </w:r>
      <w:r>
        <w:rPr>
          <w:rStyle w:val="605"/>
          <w:rFonts w:hint="eastAsia"/>
          <w:sz w:val="24"/>
          <w:szCs w:val="24"/>
          <w:highlight w:val="none"/>
          <w:lang w:val="zh-TW" w:eastAsia="zh-TW"/>
        </w:rPr>
        <w:t>分，打分时保留小数</w:t>
      </w:r>
      <w:r>
        <w:rPr>
          <w:rStyle w:val="605"/>
          <w:rFonts w:hint="eastAsia"/>
          <w:sz w:val="24"/>
          <w:szCs w:val="24"/>
          <w:highlight w:val="none"/>
          <w:lang w:val="zh-TW"/>
        </w:rPr>
        <w:t>1</w:t>
      </w:r>
      <w:r>
        <w:rPr>
          <w:rStyle w:val="605"/>
          <w:rFonts w:hint="eastAsia"/>
          <w:sz w:val="24"/>
          <w:szCs w:val="24"/>
          <w:highlight w:val="none"/>
          <w:lang w:val="zh-TW" w:eastAsia="zh-TW"/>
        </w:rPr>
        <w:t>位，每人一份评分表，并签名。在统计得分时，如果发现某一单项评分超过评分细则规定的分值范围，则该张评分表无效。投标人商务技术的最终得分为评标专家组成员的有效评分的算术平均值。计算时保留小数</w:t>
      </w:r>
      <w:r>
        <w:rPr>
          <w:rStyle w:val="605"/>
          <w:rFonts w:hint="eastAsia"/>
          <w:sz w:val="24"/>
          <w:szCs w:val="24"/>
          <w:highlight w:val="none"/>
          <w:lang w:val="zh-TW"/>
        </w:rPr>
        <w:t>2</w:t>
      </w:r>
      <w:r>
        <w:rPr>
          <w:rStyle w:val="605"/>
          <w:rFonts w:hint="eastAsia"/>
          <w:sz w:val="24"/>
          <w:szCs w:val="24"/>
          <w:highlight w:val="none"/>
          <w:lang w:val="zh-TW" w:eastAsia="zh-TW"/>
        </w:rPr>
        <w:t>位</w:t>
      </w:r>
      <w:r>
        <w:rPr>
          <w:rStyle w:val="605"/>
          <w:rFonts w:hint="eastAsia"/>
          <w:sz w:val="24"/>
          <w:szCs w:val="24"/>
          <w:highlight w:val="none"/>
          <w:lang w:val="zh-TW"/>
        </w:rPr>
        <w:t>。</w:t>
      </w:r>
    </w:p>
    <w:p w14:paraId="2E80E293">
      <w:pPr>
        <w:pStyle w:val="51"/>
        <w:spacing w:line="440" w:lineRule="exact"/>
        <w:ind w:firstLine="240" w:firstLineChars="100"/>
        <w:rPr>
          <w:rStyle w:val="605"/>
          <w:rFonts w:hint="eastAsia"/>
          <w:sz w:val="24"/>
          <w:szCs w:val="24"/>
          <w:highlight w:val="none"/>
          <w:lang w:val="zh-TW"/>
        </w:rPr>
      </w:pPr>
      <w:r>
        <w:rPr>
          <w:rStyle w:val="605"/>
          <w:rFonts w:hint="eastAsia"/>
          <w:color w:val="auto"/>
          <w:sz w:val="24"/>
          <w:szCs w:val="24"/>
          <w:highlight w:val="none"/>
          <w:lang w:val="zh-TW"/>
        </w:rPr>
        <w:t>（3）</w:t>
      </w:r>
      <w:r>
        <w:rPr>
          <w:rStyle w:val="605"/>
          <w:rFonts w:hint="eastAsia"/>
          <w:sz w:val="24"/>
          <w:szCs w:val="24"/>
          <w:highlight w:val="none"/>
          <w:lang w:val="zh-TW" w:eastAsia="zh-TW"/>
        </w:rPr>
        <w:t>评标委员</w:t>
      </w:r>
      <w:r>
        <w:rPr>
          <w:rStyle w:val="605"/>
          <w:rFonts w:hint="eastAsia"/>
          <w:sz w:val="24"/>
          <w:szCs w:val="24"/>
          <w:highlight w:val="none"/>
          <w:lang w:val="zh-TW" w:eastAsia="zh-TW"/>
        </w:rPr>
        <w:t>会全体人员对评分细则和投标文件，充分讨论后，按少数服从多数的原则集体统一评分。</w:t>
      </w:r>
    </w:p>
    <w:p w14:paraId="62702232">
      <w:pPr>
        <w:pStyle w:val="584"/>
        <w:spacing w:line="440" w:lineRule="exact"/>
        <w:ind w:firstLine="240" w:firstLineChars="100"/>
        <w:rPr>
          <w:rStyle w:val="606"/>
          <w:rFonts w:hint="eastAsia" w:ascii="宋体" w:hAnsi="宋体" w:eastAsia="宋体" w:cs="宋体"/>
          <w:b/>
          <w:bCs/>
          <w:color w:val="auto"/>
          <w:szCs w:val="24"/>
          <w:highlight w:val="none"/>
        </w:rPr>
      </w:pPr>
      <w:r>
        <w:rPr>
          <w:rStyle w:val="605"/>
          <w:rFonts w:hint="eastAsia" w:eastAsia="宋体"/>
          <w:color w:val="auto"/>
          <w:szCs w:val="24"/>
          <w:highlight w:val="none"/>
          <w:lang w:val="zh-TW" w:eastAsia="zh-CN"/>
        </w:rPr>
        <w:t>（</w:t>
      </w:r>
      <w:r>
        <w:rPr>
          <w:rStyle w:val="605"/>
          <w:rFonts w:hint="eastAsia" w:eastAsia="宋体"/>
          <w:color w:val="auto"/>
          <w:szCs w:val="24"/>
          <w:highlight w:val="none"/>
          <w:lang w:val="en-US" w:eastAsia="zh-CN"/>
        </w:rPr>
        <w:t>4</w:t>
      </w:r>
      <w:r>
        <w:rPr>
          <w:rStyle w:val="605"/>
          <w:rFonts w:hint="eastAsia" w:eastAsia="宋体"/>
          <w:color w:val="auto"/>
          <w:szCs w:val="24"/>
          <w:highlight w:val="none"/>
          <w:lang w:val="zh-TW" w:eastAsia="zh-CN"/>
        </w:rPr>
        <w:t>）</w:t>
      </w:r>
      <w:r>
        <w:rPr>
          <w:rStyle w:val="605"/>
          <w:rFonts w:hint="eastAsia"/>
          <w:color w:val="auto"/>
          <w:szCs w:val="24"/>
          <w:highlight w:val="none"/>
          <w:lang w:val="zh-TW" w:eastAsia="zh-TW"/>
        </w:rPr>
        <w:t>分析总报价及各个分项报价是否合理、报价范围是否完整、有否重大错漏项。如评标委员会一致认为最低投标报价或某些分项明显不合理，有降低质量、不能诚信履约的可能时，评标委员会有权通知投标方限期进行解释。如投标方未在规定期限内做出解释，或所作解释不合理，经评标委员会取得一致意见后，可确定该投标为无效报价。</w:t>
      </w:r>
    </w:p>
    <w:p w14:paraId="61D883FD">
      <w:pPr>
        <w:autoSpaceDE w:val="0"/>
        <w:autoSpaceDN w:val="0"/>
        <w:adjustRightInd w:val="0"/>
        <w:spacing w:line="440" w:lineRule="exact"/>
        <w:ind w:right="-23" w:firstLine="241" w:firstLineChars="100"/>
        <w:rPr>
          <w:rStyle w:val="606"/>
          <w:rFonts w:hint="eastAsia" w:ascii="宋体" w:hAnsi="宋体" w:cs="宋体"/>
          <w:b/>
          <w:bCs/>
          <w:sz w:val="24"/>
          <w:szCs w:val="24"/>
          <w:highlight w:val="none"/>
          <w:lang w:val="zh-TW" w:eastAsia="zh-TW"/>
        </w:rPr>
      </w:pPr>
      <w:r>
        <w:rPr>
          <w:rStyle w:val="606"/>
          <w:rFonts w:hint="eastAsia" w:ascii="宋体" w:hAnsi="宋体" w:cs="宋体"/>
          <w:b/>
          <w:bCs/>
          <w:sz w:val="24"/>
          <w:szCs w:val="24"/>
          <w:highlight w:val="none"/>
          <w:lang w:val="zh-TW" w:eastAsia="zh-TW"/>
        </w:rPr>
        <w:t>评标委员会将推荐综合评分最高的投标者为中标候选人。</w:t>
      </w:r>
    </w:p>
    <w:p w14:paraId="7C084D54">
      <w:pPr>
        <w:pStyle w:val="87"/>
        <w:spacing w:after="0" w:line="440" w:lineRule="exact"/>
        <w:ind w:left="0" w:leftChars="0" w:firstLine="482"/>
        <w:rPr>
          <w:rStyle w:val="606"/>
          <w:rFonts w:hint="eastAsia" w:ascii="宋体" w:hAnsi="宋体" w:eastAsia="宋体" w:cs="宋体"/>
          <w:b/>
          <w:bCs/>
          <w:sz w:val="24"/>
          <w:szCs w:val="24"/>
          <w:highlight w:val="none"/>
        </w:rPr>
      </w:pPr>
      <w:r>
        <w:rPr>
          <w:rStyle w:val="606"/>
          <w:rFonts w:hint="eastAsia" w:ascii="宋体" w:hAnsi="宋体" w:eastAsia="宋体" w:cs="宋体"/>
          <w:b/>
          <w:bCs/>
          <w:sz w:val="24"/>
          <w:szCs w:val="24"/>
          <w:highlight w:val="none"/>
          <w:lang w:val="en-US" w:eastAsia="zh-CN"/>
        </w:rPr>
        <w:t>2、</w:t>
      </w:r>
      <w:r>
        <w:rPr>
          <w:rStyle w:val="606"/>
          <w:rFonts w:hint="eastAsia" w:ascii="宋体" w:hAnsi="宋体" w:eastAsia="宋体" w:cs="宋体"/>
          <w:b/>
          <w:bCs/>
          <w:sz w:val="24"/>
          <w:szCs w:val="24"/>
          <w:highlight w:val="none"/>
        </w:rPr>
        <w:t>评分细则</w:t>
      </w:r>
    </w:p>
    <w:tbl>
      <w:tblPr>
        <w:tblStyle w:val="89"/>
        <w:tblW w:w="9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1228"/>
        <w:gridCol w:w="7033"/>
        <w:gridCol w:w="750"/>
      </w:tblGrid>
      <w:tr w14:paraId="455B7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vAlign w:val="center"/>
          </w:tcPr>
          <w:p w14:paraId="30539579">
            <w:pPr>
              <w:rPr>
                <w:kern w:val="0"/>
                <w:sz w:val="21"/>
                <w:szCs w:val="21"/>
              </w:rPr>
            </w:pPr>
            <w:r>
              <w:rPr>
                <w:rFonts w:hint="eastAsia" w:ascii="宋体" w:hAnsi="宋体" w:cs="宋体"/>
                <w:kern w:val="0"/>
                <w:sz w:val="21"/>
                <w:szCs w:val="21"/>
              </w:rPr>
              <w:t>序号</w:t>
            </w:r>
          </w:p>
        </w:tc>
        <w:tc>
          <w:tcPr>
            <w:tcW w:w="1228" w:type="dxa"/>
            <w:vAlign w:val="center"/>
          </w:tcPr>
          <w:p w14:paraId="119A07D2">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400" w:lineRule="exact"/>
              <w:rPr>
                <w:kern w:val="0"/>
                <w:sz w:val="21"/>
                <w:szCs w:val="21"/>
              </w:rPr>
            </w:pPr>
            <w:r>
              <w:rPr>
                <w:rFonts w:hint="eastAsia" w:ascii="宋体" w:hAnsi="宋体" w:cs="宋体"/>
                <w:kern w:val="0"/>
                <w:sz w:val="21"/>
                <w:szCs w:val="21"/>
              </w:rPr>
              <w:t>评分项目</w:t>
            </w:r>
          </w:p>
        </w:tc>
        <w:tc>
          <w:tcPr>
            <w:tcW w:w="7033" w:type="dxa"/>
            <w:vAlign w:val="center"/>
          </w:tcPr>
          <w:p w14:paraId="5D2AB3FE">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400" w:lineRule="exact"/>
              <w:jc w:val="center"/>
              <w:rPr>
                <w:rFonts w:hint="eastAsia" w:eastAsia="宋体"/>
                <w:kern w:val="0"/>
                <w:sz w:val="21"/>
                <w:szCs w:val="21"/>
                <w:lang w:eastAsia="zh-CN"/>
              </w:rPr>
            </w:pPr>
            <w:r>
              <w:rPr>
                <w:rFonts w:hint="eastAsia" w:ascii="宋体" w:hAnsi="宋体" w:cs="宋体"/>
                <w:kern w:val="0"/>
                <w:sz w:val="21"/>
                <w:szCs w:val="21"/>
              </w:rPr>
              <w:t>评 分 内 容</w:t>
            </w:r>
            <w:r>
              <w:rPr>
                <w:rFonts w:hint="eastAsia" w:ascii="宋体" w:hAnsi="宋体" w:cs="宋体"/>
                <w:kern w:val="0"/>
                <w:sz w:val="21"/>
                <w:szCs w:val="21"/>
                <w:lang w:eastAsia="zh-CN"/>
              </w:rPr>
              <w:t>（</w:t>
            </w:r>
            <w:r>
              <w:rPr>
                <w:rFonts w:hint="eastAsia" w:ascii="宋体" w:hAnsi="宋体" w:cs="宋体"/>
                <w:kern w:val="0"/>
                <w:sz w:val="21"/>
                <w:szCs w:val="21"/>
                <w:lang w:val="en-US" w:eastAsia="zh-CN"/>
              </w:rPr>
              <w:t>70分</w:t>
            </w:r>
            <w:r>
              <w:rPr>
                <w:rFonts w:hint="eastAsia" w:ascii="宋体" w:hAnsi="宋体" w:cs="宋体"/>
                <w:kern w:val="0"/>
                <w:sz w:val="21"/>
                <w:szCs w:val="21"/>
                <w:lang w:eastAsia="zh-CN"/>
              </w:rPr>
              <w:t>）</w:t>
            </w:r>
          </w:p>
        </w:tc>
        <w:tc>
          <w:tcPr>
            <w:tcW w:w="750" w:type="dxa"/>
            <w:vAlign w:val="center"/>
          </w:tcPr>
          <w:p w14:paraId="4A47F3A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400" w:lineRule="exact"/>
              <w:rPr>
                <w:kern w:val="0"/>
                <w:sz w:val="21"/>
                <w:szCs w:val="21"/>
              </w:rPr>
            </w:pPr>
            <w:r>
              <w:rPr>
                <w:rFonts w:hint="eastAsia" w:ascii="宋体" w:hAnsi="宋体" w:cs="宋体"/>
                <w:kern w:val="0"/>
                <w:sz w:val="21"/>
                <w:szCs w:val="21"/>
              </w:rPr>
              <w:t>分值</w:t>
            </w:r>
          </w:p>
        </w:tc>
      </w:tr>
      <w:tr w14:paraId="1993A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6" w:type="dxa"/>
            <w:vAlign w:val="center"/>
          </w:tcPr>
          <w:p w14:paraId="605055ED">
            <w:pPr>
              <w:jc w:val="center"/>
              <w:rPr>
                <w:kern w:val="0"/>
                <w:sz w:val="21"/>
                <w:szCs w:val="21"/>
              </w:rPr>
            </w:pPr>
            <w:r>
              <w:rPr>
                <w:rFonts w:hint="eastAsia" w:ascii="宋体" w:hAnsi="宋体" w:cs="宋体"/>
                <w:kern w:val="0"/>
                <w:sz w:val="21"/>
                <w:szCs w:val="21"/>
              </w:rPr>
              <w:t>1</w:t>
            </w:r>
          </w:p>
        </w:tc>
        <w:tc>
          <w:tcPr>
            <w:tcW w:w="1228" w:type="dxa"/>
            <w:vAlign w:val="center"/>
          </w:tcPr>
          <w:p w14:paraId="04FD4011">
            <w:pPr>
              <w:autoSpaceDE w:val="0"/>
              <w:autoSpaceDN w:val="0"/>
              <w:spacing w:line="340" w:lineRule="exact"/>
              <w:ind w:right="306"/>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体系认证证书</w:t>
            </w:r>
          </w:p>
        </w:tc>
        <w:tc>
          <w:tcPr>
            <w:tcW w:w="7033" w:type="dxa"/>
            <w:vAlign w:val="center"/>
          </w:tcPr>
          <w:p w14:paraId="18B9695E">
            <w:pPr>
              <w:autoSpaceDE w:val="0"/>
              <w:autoSpaceDN w:val="0"/>
              <w:spacing w:line="340" w:lineRule="exact"/>
              <w:ind w:right="306"/>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投标人具有ISO9001质量管理体系认证、ISO14001环境管理体系、ISO45001职业健康安全管理体系、ISO27001信息安全管理体系认证，每提供一项得2分，本项最高得8分。</w:t>
            </w:r>
          </w:p>
          <w:p w14:paraId="028F6CEC">
            <w:pPr>
              <w:autoSpaceDE w:val="0"/>
              <w:autoSpaceDN w:val="0"/>
              <w:spacing w:line="340" w:lineRule="exact"/>
              <w:ind w:right="306" w:firstLine="210" w:firstLineChars="100"/>
              <w:rPr>
                <w:rFonts w:hint="eastAsia" w:ascii="宋体" w:hAnsi="宋体" w:eastAsia="宋体" w:cs="宋体"/>
                <w:color w:val="000000"/>
                <w:kern w:val="2"/>
                <w:sz w:val="21"/>
                <w:szCs w:val="21"/>
                <w:lang w:val="en-US" w:eastAsia="zh-CN" w:bidi="ar-SA"/>
              </w:rPr>
            </w:pPr>
            <w:r>
              <w:rPr>
                <w:rFonts w:hint="eastAsia" w:ascii="宋体" w:hAnsi="宋体" w:eastAsia="宋体" w:cs="宋体"/>
                <w:color w:val="auto"/>
                <w:sz w:val="21"/>
                <w:szCs w:val="21"/>
                <w:lang w:val="en-US" w:eastAsia="zh-CN"/>
              </w:rPr>
              <w:t>注：以上证书须提供证书原件扫描件，并加盖投标单位公章，编入商务技术文件中，未按要求提供不得分</w:t>
            </w:r>
            <w:r>
              <w:rPr>
                <w:rFonts w:hint="eastAsia" w:ascii="宋体" w:hAnsi="宋体" w:eastAsia="宋体" w:cs="宋体"/>
                <w:color w:val="000000"/>
                <w:kern w:val="2"/>
                <w:sz w:val="21"/>
                <w:szCs w:val="21"/>
                <w:lang w:val="en-US" w:eastAsia="zh-CN" w:bidi="ar-SA"/>
              </w:rPr>
              <w:t>。</w:t>
            </w:r>
          </w:p>
        </w:tc>
        <w:tc>
          <w:tcPr>
            <w:tcW w:w="750" w:type="dxa"/>
            <w:vAlign w:val="center"/>
          </w:tcPr>
          <w:p w14:paraId="53525BAC">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400" w:lineRule="exact"/>
              <w:jc w:val="center"/>
              <w:rPr>
                <w:kern w:val="0"/>
                <w:sz w:val="21"/>
                <w:szCs w:val="21"/>
              </w:rPr>
            </w:pPr>
            <w:r>
              <w:rPr>
                <w:rFonts w:hint="eastAsia" w:ascii="宋体" w:hAnsi="宋体" w:cs="宋体"/>
                <w:kern w:val="0"/>
                <w:sz w:val="21"/>
                <w:szCs w:val="21"/>
              </w:rPr>
              <w:t>0-</w:t>
            </w:r>
            <w:r>
              <w:rPr>
                <w:rFonts w:hint="eastAsia" w:ascii="宋体" w:hAnsi="宋体" w:cs="宋体"/>
                <w:kern w:val="0"/>
                <w:sz w:val="21"/>
                <w:szCs w:val="21"/>
                <w:lang w:val="en-US" w:eastAsia="zh-CN"/>
              </w:rPr>
              <w:t>8</w:t>
            </w:r>
            <w:r>
              <w:rPr>
                <w:rFonts w:hint="eastAsia" w:ascii="宋体" w:hAnsi="宋体" w:cs="宋体"/>
                <w:kern w:val="0"/>
                <w:sz w:val="21"/>
                <w:szCs w:val="21"/>
              </w:rPr>
              <w:t>分</w:t>
            </w:r>
          </w:p>
        </w:tc>
      </w:tr>
      <w:tr w14:paraId="15BF8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566" w:type="dxa"/>
            <w:vAlign w:val="center"/>
          </w:tcPr>
          <w:p w14:paraId="3389227F">
            <w:pPr>
              <w:jc w:val="center"/>
              <w:rPr>
                <w:rFonts w:hint="eastAsia" w:eastAsia="宋体"/>
                <w:kern w:val="0"/>
                <w:sz w:val="21"/>
                <w:szCs w:val="21"/>
                <w:lang w:eastAsia="zh-CN"/>
              </w:rPr>
            </w:pPr>
            <w:r>
              <w:rPr>
                <w:rFonts w:hint="eastAsia" w:ascii="宋体" w:hAnsi="宋体" w:cs="宋体"/>
                <w:kern w:val="0"/>
                <w:sz w:val="21"/>
                <w:szCs w:val="21"/>
                <w:lang w:val="en-US" w:eastAsia="zh-CN"/>
              </w:rPr>
              <w:t>2</w:t>
            </w:r>
          </w:p>
        </w:tc>
        <w:tc>
          <w:tcPr>
            <w:tcW w:w="1228" w:type="dxa"/>
            <w:vAlign w:val="center"/>
          </w:tcPr>
          <w:p w14:paraId="2EFD23C6">
            <w:pPr>
              <w:autoSpaceDE w:val="0"/>
              <w:autoSpaceDN w:val="0"/>
              <w:spacing w:line="340" w:lineRule="exact"/>
              <w:ind w:right="306"/>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人员资质</w:t>
            </w:r>
          </w:p>
        </w:tc>
        <w:tc>
          <w:tcPr>
            <w:tcW w:w="7033" w:type="dxa"/>
            <w:vAlign w:val="center"/>
          </w:tcPr>
          <w:p w14:paraId="3B781709">
            <w:pPr>
              <w:autoSpaceDE w:val="0"/>
              <w:autoSpaceDN w:val="0"/>
              <w:spacing w:line="340" w:lineRule="exact"/>
              <w:ind w:right="306"/>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拟派项目负责人同时具有高级工程师（信息技术专业）证书和互联网技术证书的得4分。</w:t>
            </w:r>
          </w:p>
          <w:p w14:paraId="41CA71BB">
            <w:pPr>
              <w:autoSpaceDE w:val="0"/>
              <w:autoSpaceDN w:val="0"/>
              <w:spacing w:line="340" w:lineRule="exact"/>
              <w:ind w:right="306"/>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注:须提供人员资格证书原件的扫描件及投标截止时间前连续三个月社保机构出具的投标人为其缴纳的社保证明至投标文件佐证，否则不得分。</w:t>
            </w:r>
          </w:p>
        </w:tc>
        <w:tc>
          <w:tcPr>
            <w:tcW w:w="750" w:type="dxa"/>
            <w:vAlign w:val="center"/>
          </w:tcPr>
          <w:p w14:paraId="2E9E9B7B">
            <w:pPr>
              <w:overflowPunct w:val="0"/>
              <w:jc w:val="center"/>
              <w:rPr>
                <w:kern w:val="0"/>
                <w:sz w:val="21"/>
                <w:szCs w:val="21"/>
              </w:rPr>
            </w:pPr>
            <w:r>
              <w:rPr>
                <w:rFonts w:hint="eastAsia" w:ascii="宋体" w:hAnsi="宋体" w:cs="宋体"/>
                <w:kern w:val="0"/>
                <w:sz w:val="21"/>
                <w:szCs w:val="21"/>
              </w:rPr>
              <w:t>0-</w:t>
            </w:r>
            <w:r>
              <w:rPr>
                <w:rFonts w:hint="eastAsia" w:ascii="宋体" w:hAnsi="宋体" w:cs="宋体"/>
                <w:kern w:val="0"/>
                <w:sz w:val="21"/>
                <w:szCs w:val="21"/>
                <w:lang w:val="en-US" w:eastAsia="zh-CN"/>
              </w:rPr>
              <w:t>4</w:t>
            </w:r>
            <w:r>
              <w:rPr>
                <w:rFonts w:hint="eastAsia" w:ascii="宋体" w:hAnsi="宋体" w:cs="宋体"/>
                <w:kern w:val="0"/>
                <w:sz w:val="21"/>
                <w:szCs w:val="21"/>
              </w:rPr>
              <w:t>分</w:t>
            </w:r>
          </w:p>
        </w:tc>
      </w:tr>
      <w:tr w14:paraId="65B6B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566" w:type="dxa"/>
            <w:vAlign w:val="center"/>
          </w:tcPr>
          <w:p w14:paraId="6F841F9C">
            <w:pPr>
              <w:adjustRightInd w:val="0"/>
              <w:snapToGrid w:val="0"/>
              <w:spacing w:line="360" w:lineRule="auto"/>
              <w:jc w:val="left"/>
              <w:rPr>
                <w:rFonts w:hint="eastAsia" w:ascii="宋体" w:hAnsi="宋体" w:eastAsia="宋体" w:cs="宋体"/>
                <w:kern w:val="0"/>
                <w:sz w:val="21"/>
                <w:szCs w:val="21"/>
                <w:lang w:eastAsia="zh-CN"/>
              </w:rPr>
            </w:pPr>
            <w:r>
              <w:rPr>
                <w:rFonts w:hint="eastAsia" w:ascii="宋体" w:hAnsi="宋体" w:cs="宋体"/>
                <w:kern w:val="2"/>
                <w:sz w:val="21"/>
                <w:szCs w:val="21"/>
                <w:lang w:val="en-US" w:eastAsia="zh-CN"/>
              </w:rPr>
              <w:t>3</w:t>
            </w:r>
          </w:p>
        </w:tc>
        <w:tc>
          <w:tcPr>
            <w:tcW w:w="1228" w:type="dxa"/>
            <w:vAlign w:val="center"/>
          </w:tcPr>
          <w:p w14:paraId="3ABDA8AC">
            <w:pPr>
              <w:autoSpaceDE w:val="0"/>
              <w:autoSpaceDN w:val="0"/>
              <w:spacing w:line="340" w:lineRule="exact"/>
              <w:ind w:right="306"/>
              <w:rPr>
                <w:rFonts w:hint="eastAsia" w:ascii="宋体" w:hAnsi="宋体" w:eastAsia="宋体" w:cs="宋体"/>
                <w:color w:val="000000"/>
                <w:kern w:val="2"/>
                <w:sz w:val="21"/>
                <w:szCs w:val="21"/>
                <w:lang w:val="en-US" w:eastAsia="zh-CN" w:bidi="ar-SA"/>
              </w:rPr>
            </w:pPr>
            <w:r>
              <w:rPr>
                <w:rFonts w:hint="default" w:ascii="宋体" w:hAnsi="宋体" w:eastAsia="宋体" w:cs="宋体"/>
                <w:color w:val="000000"/>
                <w:kern w:val="2"/>
                <w:sz w:val="21"/>
                <w:szCs w:val="21"/>
                <w:lang w:val="en-US" w:eastAsia="zh-CN" w:bidi="ar-SA"/>
              </w:rPr>
              <w:t>软硬件参数</w:t>
            </w:r>
          </w:p>
        </w:tc>
        <w:tc>
          <w:tcPr>
            <w:tcW w:w="7033" w:type="dxa"/>
            <w:vAlign w:val="center"/>
          </w:tcPr>
          <w:p w14:paraId="76E2E5D7">
            <w:pPr>
              <w:autoSpaceDE w:val="0"/>
              <w:autoSpaceDN w:val="0"/>
              <w:spacing w:line="340" w:lineRule="exact"/>
              <w:ind w:right="306"/>
              <w:rPr>
                <w:rFonts w:hint="eastAsia" w:ascii="宋体" w:hAnsi="宋体" w:eastAsia="宋体" w:cs="宋体"/>
                <w:color w:val="000000"/>
                <w:kern w:val="2"/>
                <w:sz w:val="21"/>
                <w:szCs w:val="21"/>
                <w:lang w:val="en-US" w:eastAsia="zh-CN" w:bidi="ar-SA"/>
              </w:rPr>
            </w:pPr>
            <w:r>
              <w:rPr>
                <w:rFonts w:hint="default" w:ascii="宋体" w:hAnsi="宋体" w:eastAsia="宋体" w:cs="宋体"/>
                <w:color w:val="000000"/>
                <w:kern w:val="2"/>
                <w:sz w:val="21"/>
                <w:szCs w:val="21"/>
                <w:lang w:val="en-US" w:eastAsia="zh-CN" w:bidi="ar-SA"/>
              </w:rPr>
              <w:t>包内产品技术参数全部满足招标文件要求的得</w:t>
            </w:r>
            <w:r>
              <w:rPr>
                <w:rFonts w:hint="eastAsia" w:ascii="宋体" w:hAnsi="宋体" w:eastAsia="宋体" w:cs="宋体"/>
                <w:color w:val="000000"/>
                <w:kern w:val="2"/>
                <w:sz w:val="21"/>
                <w:szCs w:val="21"/>
                <w:lang w:val="en-US" w:eastAsia="zh-CN" w:bidi="ar-SA"/>
              </w:rPr>
              <w:t>20</w:t>
            </w:r>
            <w:r>
              <w:rPr>
                <w:rFonts w:hint="default" w:ascii="宋体" w:hAnsi="宋体" w:eastAsia="宋体" w:cs="宋体"/>
                <w:color w:val="000000"/>
                <w:kern w:val="2"/>
                <w:sz w:val="21"/>
                <w:szCs w:val="21"/>
                <w:lang w:val="en-US" w:eastAsia="zh-CN" w:bidi="ar-SA"/>
              </w:rPr>
              <w:t>分；打★号指标，有负偏离的每项扣2分，非打★号指标，有负偏离的每项扣1分，扣完为止。</w:t>
            </w:r>
          </w:p>
        </w:tc>
        <w:tc>
          <w:tcPr>
            <w:tcW w:w="750" w:type="dxa"/>
            <w:vAlign w:val="center"/>
          </w:tcPr>
          <w:p w14:paraId="79986063">
            <w:pPr>
              <w:adjustRightInd w:val="0"/>
              <w:snapToGrid w:val="0"/>
              <w:spacing w:line="360" w:lineRule="auto"/>
              <w:jc w:val="left"/>
              <w:rPr>
                <w:rFonts w:hint="eastAsia" w:ascii="宋体" w:hAnsi="宋体" w:cs="宋体"/>
                <w:color w:val="auto"/>
                <w:kern w:val="0"/>
                <w:sz w:val="21"/>
                <w:szCs w:val="21"/>
              </w:rPr>
            </w:pPr>
            <w:r>
              <w:rPr>
                <w:rFonts w:hint="eastAsia" w:ascii="宋体" w:hAnsi="宋体" w:cs="宋体"/>
                <w:color w:val="auto"/>
                <w:kern w:val="2"/>
                <w:sz w:val="21"/>
                <w:szCs w:val="21"/>
              </w:rPr>
              <w:t>0-</w:t>
            </w:r>
            <w:r>
              <w:rPr>
                <w:rFonts w:hint="eastAsia" w:ascii="宋体" w:hAnsi="宋体" w:cs="宋体"/>
                <w:color w:val="auto"/>
                <w:kern w:val="2"/>
                <w:sz w:val="21"/>
                <w:szCs w:val="21"/>
                <w:lang w:val="en-US" w:eastAsia="zh-CN"/>
              </w:rPr>
              <w:t>20</w:t>
            </w:r>
            <w:r>
              <w:rPr>
                <w:rFonts w:hint="eastAsia" w:ascii="宋体" w:hAnsi="宋体" w:cs="宋体"/>
                <w:color w:val="auto"/>
                <w:kern w:val="2"/>
                <w:sz w:val="21"/>
                <w:szCs w:val="21"/>
              </w:rPr>
              <w:t>分</w:t>
            </w:r>
          </w:p>
        </w:tc>
      </w:tr>
      <w:tr w14:paraId="5B4C0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7" w:hRule="atLeast"/>
        </w:trPr>
        <w:tc>
          <w:tcPr>
            <w:tcW w:w="566" w:type="dxa"/>
            <w:vAlign w:val="center"/>
          </w:tcPr>
          <w:p w14:paraId="2E7455FD">
            <w:pPr>
              <w:adjustRightInd w:val="0"/>
              <w:snapToGrid w:val="0"/>
              <w:spacing w:line="360" w:lineRule="auto"/>
              <w:jc w:val="left"/>
              <w:rPr>
                <w:rFonts w:hint="eastAsia" w:ascii="宋体" w:hAnsi="宋体" w:eastAsia="宋体" w:cs="宋体"/>
                <w:kern w:val="2"/>
                <w:sz w:val="21"/>
                <w:szCs w:val="21"/>
                <w:lang w:eastAsia="zh-CN"/>
              </w:rPr>
            </w:pPr>
            <w:bookmarkStart w:id="106" w:name="OLE_LINK7" w:colFirst="1" w:colLast="2"/>
            <w:r>
              <w:rPr>
                <w:rFonts w:hint="eastAsia" w:ascii="宋体" w:hAnsi="宋体" w:cs="宋体"/>
                <w:kern w:val="2"/>
                <w:sz w:val="21"/>
                <w:szCs w:val="21"/>
                <w:lang w:val="en-US" w:eastAsia="zh-CN"/>
              </w:rPr>
              <w:t>4</w:t>
            </w:r>
          </w:p>
        </w:tc>
        <w:tc>
          <w:tcPr>
            <w:tcW w:w="1228" w:type="dxa"/>
            <w:vAlign w:val="center"/>
          </w:tcPr>
          <w:p w14:paraId="401399E3">
            <w:pPr>
              <w:autoSpaceDE w:val="0"/>
              <w:autoSpaceDN w:val="0"/>
              <w:spacing w:line="340" w:lineRule="exact"/>
              <w:ind w:right="306"/>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技术方案</w:t>
            </w:r>
          </w:p>
        </w:tc>
        <w:tc>
          <w:tcPr>
            <w:tcW w:w="7033" w:type="dxa"/>
            <w:vAlign w:val="center"/>
          </w:tcPr>
          <w:p w14:paraId="1B1B8CFF">
            <w:pPr>
              <w:autoSpaceDE w:val="0"/>
              <w:autoSpaceDN w:val="0"/>
              <w:spacing w:line="340" w:lineRule="exact"/>
              <w:ind w:right="306"/>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根据对现有项目整体状况有充分调研和分析（内容包括但不限于对项目的现状调查、分析及后期的应用），提出整体的目标架构，对整个项目有整体把握，技术方案规划全面、先进、合理，融合对未来应用的思考：针对现有项目实际需求提供全面、合理的技术方案规划，配置实际可行的得7.1-10分；需求了解一般，技术方案规划、配置比较合理的得4.1-7分；需求缺项或技术方案规划、配置不合理的得1-4分；未提供相关方案内容的不得分。</w:t>
            </w:r>
          </w:p>
        </w:tc>
        <w:tc>
          <w:tcPr>
            <w:tcW w:w="750" w:type="dxa"/>
            <w:vAlign w:val="center"/>
          </w:tcPr>
          <w:p w14:paraId="5B40AD7A">
            <w:pPr>
              <w:adjustRightInd w:val="0"/>
              <w:snapToGrid w:val="0"/>
              <w:spacing w:line="360" w:lineRule="auto"/>
              <w:jc w:val="left"/>
              <w:rPr>
                <w:rFonts w:hint="eastAsia" w:ascii="宋体" w:hAnsi="宋体" w:cs="宋体"/>
                <w:kern w:val="2"/>
                <w:sz w:val="21"/>
                <w:szCs w:val="21"/>
              </w:rPr>
            </w:pPr>
            <w:r>
              <w:rPr>
                <w:rFonts w:hint="eastAsia" w:ascii="宋体" w:hAnsi="宋体" w:cs="宋体"/>
                <w:kern w:val="2"/>
                <w:sz w:val="21"/>
                <w:szCs w:val="21"/>
              </w:rPr>
              <w:t>0-</w:t>
            </w:r>
            <w:r>
              <w:rPr>
                <w:rFonts w:hint="eastAsia" w:ascii="宋体" w:hAnsi="宋体" w:cs="宋体"/>
                <w:kern w:val="2"/>
                <w:sz w:val="21"/>
                <w:szCs w:val="21"/>
                <w:lang w:val="en-US" w:eastAsia="zh-CN"/>
              </w:rPr>
              <w:t>10</w:t>
            </w:r>
            <w:r>
              <w:rPr>
                <w:rFonts w:hint="eastAsia" w:ascii="宋体" w:hAnsi="宋体" w:cs="宋体"/>
                <w:kern w:val="2"/>
                <w:sz w:val="21"/>
                <w:szCs w:val="21"/>
              </w:rPr>
              <w:t>分</w:t>
            </w:r>
          </w:p>
        </w:tc>
      </w:tr>
      <w:bookmarkEnd w:id="106"/>
      <w:tr w14:paraId="7CFF5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566" w:type="dxa"/>
            <w:vAlign w:val="center"/>
          </w:tcPr>
          <w:p w14:paraId="61C0B6C1">
            <w:pPr>
              <w:adjustRightInd w:val="0"/>
              <w:snapToGrid w:val="0"/>
              <w:spacing w:line="360" w:lineRule="auto"/>
              <w:jc w:val="left"/>
              <w:rPr>
                <w:rFonts w:hint="default" w:ascii="宋体" w:hAnsi="宋体" w:cs="宋体"/>
                <w:color w:val="auto"/>
                <w:kern w:val="2"/>
                <w:sz w:val="21"/>
                <w:szCs w:val="21"/>
                <w:lang w:val="en-US" w:eastAsia="zh-CN"/>
              </w:rPr>
            </w:pPr>
            <w:bookmarkStart w:id="107" w:name="OLE_LINK8" w:colFirst="1" w:colLast="2"/>
            <w:r>
              <w:rPr>
                <w:rFonts w:hint="eastAsia" w:ascii="宋体" w:hAnsi="宋体" w:cs="宋体"/>
                <w:color w:val="auto"/>
                <w:kern w:val="2"/>
                <w:sz w:val="21"/>
                <w:szCs w:val="21"/>
                <w:lang w:val="en-US" w:eastAsia="zh-CN"/>
              </w:rPr>
              <w:t>5</w:t>
            </w:r>
          </w:p>
        </w:tc>
        <w:tc>
          <w:tcPr>
            <w:tcW w:w="1228" w:type="dxa"/>
            <w:vAlign w:val="center"/>
          </w:tcPr>
          <w:p w14:paraId="72D8756C">
            <w:pPr>
              <w:widowControl/>
              <w:spacing w:line="360" w:lineRule="auto"/>
              <w:ind w:left="78" w:leftChars="28" w:right="188" w:rightChars="67"/>
              <w:textAlignment w:val="center"/>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en-US" w:eastAsia="zh-CN"/>
              </w:rPr>
              <w:t>实施方案</w:t>
            </w:r>
          </w:p>
        </w:tc>
        <w:tc>
          <w:tcPr>
            <w:tcW w:w="7033" w:type="dxa"/>
            <w:vAlign w:val="top"/>
          </w:tcPr>
          <w:p w14:paraId="72748CB5">
            <w:pPr>
              <w:widowControl/>
              <w:spacing w:line="360" w:lineRule="auto"/>
              <w:ind w:left="0" w:leftChars="0" w:right="188" w:rightChars="67" w:firstLine="367" w:firstLineChars="175"/>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本项目的组织管理、实施（供货、安装、调试、验收）方案，根据投标人提供的施工总体部署方案、施工准备计划方案、施工进度计划、关键节点和线路的保证措施及方案、验收方案、施工质量方案、调试技术方案、文明施工及安全施工方案等方面设计进行打分。方案科学合理、安全严密、条理清晰、完善、重点突出、专业性强的得</w:t>
            </w:r>
            <w:r>
              <w:rPr>
                <w:rFonts w:hint="eastAsia" w:ascii="宋体" w:hAnsi="宋体" w:cs="宋体"/>
                <w:color w:val="auto"/>
                <w:kern w:val="0"/>
                <w:sz w:val="21"/>
                <w:szCs w:val="21"/>
                <w:lang w:val="en-US" w:eastAsia="zh-CN"/>
              </w:rPr>
              <w:t>7</w:t>
            </w:r>
            <w:r>
              <w:rPr>
                <w:rFonts w:hint="eastAsia" w:ascii="宋体" w:hAnsi="宋体" w:eastAsia="宋体" w:cs="宋体"/>
                <w:color w:val="auto"/>
                <w:kern w:val="0"/>
                <w:sz w:val="21"/>
                <w:szCs w:val="21"/>
                <w:lang w:val="en-US" w:eastAsia="zh-CN"/>
              </w:rPr>
              <w:t>.1-</w:t>
            </w:r>
            <w:r>
              <w:rPr>
                <w:rFonts w:hint="eastAsia" w:ascii="宋体" w:hAnsi="宋体" w:cs="宋体"/>
                <w:color w:val="auto"/>
                <w:kern w:val="0"/>
                <w:sz w:val="21"/>
                <w:szCs w:val="21"/>
                <w:lang w:val="en-US" w:eastAsia="zh-CN"/>
              </w:rPr>
              <w:t>10</w:t>
            </w:r>
            <w:r>
              <w:rPr>
                <w:rFonts w:hint="eastAsia" w:ascii="宋体" w:hAnsi="宋体" w:eastAsia="宋体" w:cs="宋体"/>
                <w:color w:val="auto"/>
                <w:kern w:val="0"/>
                <w:sz w:val="21"/>
                <w:szCs w:val="21"/>
                <w:lang w:val="en-US" w:eastAsia="zh-CN"/>
              </w:rPr>
              <w:t>分；方案基本合理、安全可行、具有一定条理、基本完善、专业性一般的得</w:t>
            </w:r>
            <w:r>
              <w:rPr>
                <w:rFonts w:hint="eastAsia" w:ascii="宋体" w:hAnsi="宋体" w:cs="宋体"/>
                <w:color w:val="auto"/>
                <w:kern w:val="0"/>
                <w:sz w:val="21"/>
                <w:szCs w:val="21"/>
                <w:lang w:val="en-US" w:eastAsia="zh-CN"/>
              </w:rPr>
              <w:t>4</w:t>
            </w:r>
            <w:r>
              <w:rPr>
                <w:rFonts w:hint="eastAsia" w:ascii="宋体" w:hAnsi="宋体" w:eastAsia="宋体" w:cs="宋体"/>
                <w:color w:val="auto"/>
                <w:kern w:val="0"/>
                <w:sz w:val="21"/>
                <w:szCs w:val="21"/>
                <w:lang w:val="en-US" w:eastAsia="zh-CN"/>
              </w:rPr>
              <w:t>.1-</w:t>
            </w:r>
            <w:r>
              <w:rPr>
                <w:rFonts w:hint="eastAsia" w:ascii="宋体" w:hAnsi="宋体" w:cs="宋体"/>
                <w:color w:val="auto"/>
                <w:kern w:val="0"/>
                <w:sz w:val="21"/>
                <w:szCs w:val="21"/>
                <w:lang w:val="en-US" w:eastAsia="zh-CN"/>
              </w:rPr>
              <w:t>7</w:t>
            </w:r>
            <w:r>
              <w:rPr>
                <w:rFonts w:hint="eastAsia" w:ascii="宋体" w:hAnsi="宋体" w:eastAsia="宋体" w:cs="宋体"/>
                <w:color w:val="auto"/>
                <w:kern w:val="0"/>
                <w:sz w:val="21"/>
                <w:szCs w:val="21"/>
                <w:lang w:val="en-US" w:eastAsia="zh-CN"/>
              </w:rPr>
              <w:t>分；方案不够合理、可操作性不强的</w:t>
            </w:r>
            <w:r>
              <w:rPr>
                <w:rFonts w:hint="eastAsia" w:ascii="宋体" w:hAnsi="宋体" w:cs="宋体"/>
                <w:color w:val="auto"/>
                <w:kern w:val="0"/>
                <w:sz w:val="21"/>
                <w:szCs w:val="21"/>
                <w:lang w:val="en-US" w:eastAsia="zh-CN"/>
              </w:rPr>
              <w:t>1</w:t>
            </w:r>
            <w:r>
              <w:rPr>
                <w:rFonts w:hint="eastAsia" w:ascii="宋体" w:hAnsi="宋体" w:eastAsia="宋体" w:cs="宋体"/>
                <w:color w:val="auto"/>
                <w:kern w:val="0"/>
                <w:sz w:val="21"/>
                <w:szCs w:val="21"/>
                <w:lang w:val="en-US" w:eastAsia="zh-CN"/>
              </w:rPr>
              <w:t>-</w:t>
            </w:r>
            <w:r>
              <w:rPr>
                <w:rFonts w:hint="eastAsia" w:ascii="宋体" w:hAnsi="宋体" w:cs="宋体"/>
                <w:color w:val="auto"/>
                <w:kern w:val="0"/>
                <w:sz w:val="21"/>
                <w:szCs w:val="21"/>
                <w:lang w:val="en-US" w:eastAsia="zh-CN"/>
              </w:rPr>
              <w:t>4</w:t>
            </w:r>
            <w:r>
              <w:rPr>
                <w:rFonts w:hint="eastAsia" w:ascii="宋体" w:hAnsi="宋体" w:eastAsia="宋体" w:cs="宋体"/>
                <w:color w:val="auto"/>
                <w:kern w:val="0"/>
                <w:sz w:val="21"/>
                <w:szCs w:val="21"/>
                <w:lang w:val="en-US" w:eastAsia="zh-CN"/>
              </w:rPr>
              <w:t>分，未提供方案的不得分。</w:t>
            </w:r>
          </w:p>
        </w:tc>
        <w:tc>
          <w:tcPr>
            <w:tcW w:w="750" w:type="dxa"/>
            <w:vAlign w:val="center"/>
          </w:tcPr>
          <w:p w14:paraId="32E88013">
            <w:pPr>
              <w:adjustRightInd w:val="0"/>
              <w:snapToGrid w:val="0"/>
              <w:spacing w:line="360" w:lineRule="auto"/>
              <w:jc w:val="left"/>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0-</w:t>
            </w:r>
            <w:r>
              <w:rPr>
                <w:rFonts w:hint="eastAsia" w:ascii="宋体" w:hAnsi="宋体" w:cs="宋体"/>
                <w:color w:val="auto"/>
                <w:kern w:val="2"/>
                <w:sz w:val="21"/>
                <w:szCs w:val="21"/>
                <w:lang w:val="en-US" w:eastAsia="zh-CN"/>
              </w:rPr>
              <w:t>10</w:t>
            </w:r>
            <w:r>
              <w:rPr>
                <w:rFonts w:hint="eastAsia" w:ascii="宋体" w:hAnsi="宋体" w:eastAsia="宋体" w:cs="宋体"/>
                <w:color w:val="auto"/>
                <w:kern w:val="2"/>
                <w:sz w:val="21"/>
                <w:szCs w:val="21"/>
                <w:lang w:val="en-US" w:eastAsia="zh-CN"/>
              </w:rPr>
              <w:t>分</w:t>
            </w:r>
          </w:p>
        </w:tc>
      </w:tr>
      <w:bookmarkEnd w:id="107"/>
      <w:tr w14:paraId="71409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1" w:hRule="atLeast"/>
        </w:trPr>
        <w:tc>
          <w:tcPr>
            <w:tcW w:w="566" w:type="dxa"/>
            <w:vAlign w:val="center"/>
          </w:tcPr>
          <w:p w14:paraId="0E8D12F2">
            <w:pPr>
              <w:adjustRightInd w:val="0"/>
              <w:snapToGrid w:val="0"/>
              <w:spacing w:line="360" w:lineRule="auto"/>
              <w:jc w:val="left"/>
              <w:rPr>
                <w:rFonts w:hint="eastAsia" w:ascii="宋体" w:hAnsi="宋体" w:eastAsia="宋体" w:cs="宋体"/>
                <w:kern w:val="2"/>
                <w:sz w:val="21"/>
                <w:szCs w:val="21"/>
                <w:lang w:eastAsia="zh-CN"/>
              </w:rPr>
            </w:pPr>
            <w:bookmarkStart w:id="108" w:name="OLE_LINK9" w:colFirst="1" w:colLast="2"/>
            <w:r>
              <w:rPr>
                <w:rFonts w:hint="eastAsia" w:ascii="宋体" w:hAnsi="宋体" w:cs="宋体"/>
                <w:kern w:val="2"/>
                <w:sz w:val="21"/>
                <w:szCs w:val="21"/>
                <w:lang w:val="en-US" w:eastAsia="zh-CN"/>
              </w:rPr>
              <w:t>6</w:t>
            </w:r>
          </w:p>
        </w:tc>
        <w:tc>
          <w:tcPr>
            <w:tcW w:w="1228" w:type="dxa"/>
            <w:vAlign w:val="center"/>
          </w:tcPr>
          <w:p w14:paraId="551C9552">
            <w:pPr>
              <w:adjustRightInd w:val="0"/>
              <w:snapToGrid w:val="0"/>
              <w:spacing w:line="360" w:lineRule="auto"/>
              <w:jc w:val="left"/>
              <w:rPr>
                <w:rFonts w:hint="eastAsia" w:ascii="宋体" w:hAnsi="宋体" w:eastAsia="宋体" w:cs="宋体"/>
                <w:kern w:val="2"/>
                <w:sz w:val="21"/>
                <w:szCs w:val="21"/>
              </w:rPr>
            </w:pPr>
            <w:r>
              <w:rPr>
                <w:rFonts w:hint="eastAsia" w:ascii="宋体" w:hAnsi="宋体" w:eastAsia="宋体" w:cs="宋体"/>
                <w:kern w:val="2"/>
                <w:sz w:val="21"/>
                <w:szCs w:val="21"/>
              </w:rPr>
              <w:t>售后服务方案</w:t>
            </w:r>
          </w:p>
        </w:tc>
        <w:tc>
          <w:tcPr>
            <w:tcW w:w="7033" w:type="dxa"/>
          </w:tcPr>
          <w:p w14:paraId="3C03739F">
            <w:pPr>
              <w:adjustRightInd w:val="0"/>
              <w:snapToGrid w:val="0"/>
              <w:spacing w:line="360" w:lineRule="auto"/>
              <w:jc w:val="left"/>
              <w:rPr>
                <w:rFonts w:hint="eastAsia" w:ascii="宋体" w:hAnsi="宋体" w:eastAsia="宋体" w:cs="宋体"/>
                <w:kern w:val="2"/>
                <w:sz w:val="21"/>
                <w:szCs w:val="21"/>
                <w:lang w:val="en-US" w:eastAsia="zh-CN"/>
              </w:rPr>
            </w:pPr>
            <w:r>
              <w:rPr>
                <w:rFonts w:hint="eastAsia" w:ascii="宋体" w:hAnsi="宋体" w:cs="宋体"/>
                <w:kern w:val="2"/>
                <w:sz w:val="21"/>
                <w:szCs w:val="21"/>
                <w:lang w:val="en-US" w:eastAsia="zh-CN"/>
              </w:rPr>
              <w:t>1.</w:t>
            </w:r>
            <w:r>
              <w:rPr>
                <w:rFonts w:hint="eastAsia" w:ascii="宋体" w:hAnsi="宋体" w:eastAsia="宋体" w:cs="宋体"/>
                <w:kern w:val="2"/>
                <w:sz w:val="21"/>
                <w:szCs w:val="21"/>
              </w:rPr>
              <w:t>投标人的投标文件有售后服务方案内容的完整性、可行性、到达故障现场时间、故障出现解决方案、定期维护（注明时间）、保修期外维修方案、其他优惠措施方面由评委酌情给分。售后服务体系全面完善，可行性很高得</w:t>
            </w:r>
            <w:r>
              <w:rPr>
                <w:rFonts w:hint="eastAsia" w:ascii="宋体" w:hAnsi="宋体" w:cs="宋体"/>
                <w:kern w:val="2"/>
                <w:sz w:val="21"/>
                <w:szCs w:val="21"/>
                <w:lang w:val="en-US" w:eastAsia="zh-CN"/>
              </w:rPr>
              <w:t>7</w:t>
            </w:r>
            <w:r>
              <w:rPr>
                <w:rFonts w:hint="eastAsia" w:ascii="宋体" w:hAnsi="宋体" w:eastAsia="宋体" w:cs="宋体"/>
                <w:kern w:val="2"/>
                <w:sz w:val="21"/>
                <w:szCs w:val="21"/>
                <w:lang w:val="en-US" w:eastAsia="zh-CN"/>
              </w:rPr>
              <w:t>.1</w:t>
            </w:r>
            <w:r>
              <w:rPr>
                <w:rFonts w:hint="eastAsia" w:ascii="宋体" w:hAnsi="宋体" w:eastAsia="宋体" w:cs="宋体"/>
                <w:kern w:val="2"/>
                <w:sz w:val="21"/>
                <w:szCs w:val="21"/>
              </w:rPr>
              <w:t>-</w:t>
            </w:r>
            <w:r>
              <w:rPr>
                <w:rFonts w:hint="eastAsia" w:ascii="宋体" w:hAnsi="宋体" w:cs="宋体"/>
                <w:kern w:val="2"/>
                <w:sz w:val="21"/>
                <w:szCs w:val="21"/>
                <w:lang w:val="en-US" w:eastAsia="zh-CN"/>
              </w:rPr>
              <w:t>10</w:t>
            </w:r>
            <w:r>
              <w:rPr>
                <w:rFonts w:hint="eastAsia" w:ascii="宋体" w:hAnsi="宋体" w:eastAsia="宋体" w:cs="宋体"/>
                <w:kern w:val="2"/>
                <w:sz w:val="21"/>
                <w:szCs w:val="21"/>
              </w:rPr>
              <w:t>分；售后服务体系较完善得</w:t>
            </w:r>
            <w:r>
              <w:rPr>
                <w:rFonts w:hint="eastAsia" w:ascii="宋体" w:hAnsi="宋体" w:cs="宋体"/>
                <w:kern w:val="2"/>
                <w:sz w:val="21"/>
                <w:szCs w:val="21"/>
                <w:lang w:val="en-US" w:eastAsia="zh-CN"/>
              </w:rPr>
              <w:t>4</w:t>
            </w:r>
            <w:r>
              <w:rPr>
                <w:rFonts w:hint="eastAsia" w:ascii="宋体" w:hAnsi="宋体" w:eastAsia="宋体" w:cs="宋体"/>
                <w:kern w:val="2"/>
                <w:sz w:val="21"/>
                <w:szCs w:val="21"/>
                <w:lang w:val="en-US" w:eastAsia="zh-CN"/>
              </w:rPr>
              <w:t>.1</w:t>
            </w:r>
            <w:r>
              <w:rPr>
                <w:rFonts w:hint="eastAsia" w:ascii="宋体" w:hAnsi="宋体" w:eastAsia="宋体" w:cs="宋体"/>
                <w:kern w:val="2"/>
                <w:sz w:val="21"/>
                <w:szCs w:val="21"/>
              </w:rPr>
              <w:t>-</w:t>
            </w:r>
            <w:r>
              <w:rPr>
                <w:rFonts w:hint="eastAsia" w:ascii="宋体" w:hAnsi="宋体" w:cs="宋体"/>
                <w:kern w:val="2"/>
                <w:sz w:val="21"/>
                <w:szCs w:val="21"/>
                <w:lang w:val="en-US" w:eastAsia="zh-CN"/>
              </w:rPr>
              <w:t>7</w:t>
            </w:r>
            <w:r>
              <w:rPr>
                <w:rFonts w:hint="eastAsia" w:ascii="宋体" w:hAnsi="宋体" w:eastAsia="宋体" w:cs="宋体"/>
                <w:kern w:val="2"/>
                <w:sz w:val="21"/>
                <w:szCs w:val="21"/>
              </w:rPr>
              <w:t>分；售后服务体系不完善，可行性低，能够满足基本需要，但有很多方面需要完善得</w:t>
            </w:r>
            <w:r>
              <w:rPr>
                <w:rFonts w:hint="eastAsia" w:ascii="宋体" w:hAnsi="宋体" w:eastAsia="宋体" w:cs="宋体"/>
                <w:kern w:val="2"/>
                <w:sz w:val="21"/>
                <w:szCs w:val="21"/>
                <w:lang w:val="en-US" w:eastAsia="zh-CN"/>
              </w:rPr>
              <w:t>1</w:t>
            </w:r>
            <w:r>
              <w:rPr>
                <w:rFonts w:hint="eastAsia" w:ascii="宋体" w:hAnsi="宋体" w:eastAsia="宋体" w:cs="宋体"/>
                <w:kern w:val="2"/>
                <w:sz w:val="21"/>
                <w:szCs w:val="21"/>
              </w:rPr>
              <w:t>-</w:t>
            </w:r>
            <w:r>
              <w:rPr>
                <w:rFonts w:hint="eastAsia" w:ascii="宋体" w:hAnsi="宋体" w:cs="宋体"/>
                <w:kern w:val="2"/>
                <w:sz w:val="21"/>
                <w:szCs w:val="21"/>
                <w:lang w:val="en-US" w:eastAsia="zh-CN"/>
              </w:rPr>
              <w:t>4</w:t>
            </w:r>
            <w:r>
              <w:rPr>
                <w:rFonts w:hint="eastAsia" w:ascii="宋体" w:hAnsi="宋体" w:eastAsia="宋体" w:cs="宋体"/>
                <w:kern w:val="2"/>
                <w:sz w:val="21"/>
                <w:szCs w:val="21"/>
              </w:rPr>
              <w:t>分。</w:t>
            </w:r>
            <w:r>
              <w:rPr>
                <w:rFonts w:hint="eastAsia" w:ascii="宋体" w:hAnsi="宋体" w:eastAsia="宋体" w:cs="宋体"/>
                <w:kern w:val="2"/>
                <w:sz w:val="21"/>
                <w:szCs w:val="21"/>
                <w:lang w:val="en-US" w:eastAsia="zh-CN"/>
              </w:rPr>
              <w:t>未提供不得分。</w:t>
            </w:r>
          </w:p>
          <w:p w14:paraId="213622C1">
            <w:pPr>
              <w:adjustRightInd w:val="0"/>
              <w:snapToGrid w:val="0"/>
              <w:spacing w:line="360" w:lineRule="auto"/>
              <w:jc w:val="left"/>
              <w:rPr>
                <w:rFonts w:hint="default" w:ascii="宋体" w:hAnsi="宋体" w:eastAsia="宋体" w:cs="宋体"/>
                <w:sz w:val="21"/>
                <w:szCs w:val="21"/>
                <w:lang w:val="en-US" w:eastAsia="zh-CN"/>
              </w:rPr>
            </w:pPr>
            <w:r>
              <w:rPr>
                <w:rFonts w:hint="eastAsia" w:ascii="宋体" w:hAnsi="宋体" w:cs="宋体"/>
                <w:kern w:val="2"/>
                <w:sz w:val="21"/>
                <w:szCs w:val="21"/>
                <w:lang w:val="en-US" w:eastAsia="zh-CN"/>
              </w:rPr>
              <w:t>2.</w:t>
            </w:r>
            <w:r>
              <w:rPr>
                <w:rFonts w:hint="eastAsia" w:ascii="宋体" w:hAnsi="宋体" w:eastAsia="宋体" w:cs="宋体"/>
                <w:kern w:val="2"/>
                <w:sz w:val="21"/>
                <w:szCs w:val="21"/>
              </w:rPr>
              <w:t>提供售后服务认证证书（五星）</w:t>
            </w:r>
            <w:r>
              <w:rPr>
                <w:rFonts w:hint="eastAsia" w:ascii="宋体" w:hAnsi="宋体" w:eastAsia="宋体" w:cs="宋体"/>
                <w:kern w:val="2"/>
                <w:sz w:val="21"/>
                <w:szCs w:val="21"/>
                <w:lang w:val="en-US" w:eastAsia="zh-CN"/>
              </w:rPr>
              <w:t>及以上的</w:t>
            </w:r>
            <w:r>
              <w:rPr>
                <w:rFonts w:hint="eastAsia" w:ascii="宋体" w:hAnsi="宋体" w:eastAsia="宋体" w:cs="宋体"/>
                <w:kern w:val="2"/>
                <w:sz w:val="21"/>
                <w:szCs w:val="21"/>
              </w:rPr>
              <w:t>的</w:t>
            </w:r>
            <w:r>
              <w:rPr>
                <w:rFonts w:hint="eastAsia" w:ascii="宋体" w:hAnsi="宋体" w:eastAsia="宋体" w:cs="宋体"/>
                <w:kern w:val="2"/>
                <w:sz w:val="21"/>
                <w:szCs w:val="21"/>
                <w:lang w:val="en-US" w:eastAsia="zh-CN"/>
              </w:rPr>
              <w:t>2</w:t>
            </w:r>
            <w:r>
              <w:rPr>
                <w:rFonts w:hint="eastAsia" w:ascii="宋体" w:hAnsi="宋体" w:eastAsia="宋体" w:cs="宋体"/>
                <w:kern w:val="2"/>
                <w:sz w:val="21"/>
                <w:szCs w:val="21"/>
              </w:rPr>
              <w:t>分</w:t>
            </w:r>
            <w:r>
              <w:rPr>
                <w:rFonts w:hint="eastAsia" w:ascii="宋体" w:hAnsi="宋体" w:cs="宋体"/>
                <w:kern w:val="2"/>
                <w:sz w:val="21"/>
                <w:szCs w:val="21"/>
                <w:lang w:eastAsia="zh-CN"/>
              </w:rPr>
              <w:t>，</w:t>
            </w:r>
            <w:r>
              <w:rPr>
                <w:rFonts w:hint="eastAsia" w:ascii="宋体" w:hAnsi="宋体" w:cs="宋体"/>
                <w:kern w:val="2"/>
                <w:sz w:val="21"/>
                <w:szCs w:val="21"/>
                <w:lang w:val="en-US" w:eastAsia="zh-CN"/>
              </w:rPr>
              <w:t>提供相关证书原件扫描件，</w:t>
            </w:r>
            <w:r>
              <w:rPr>
                <w:rFonts w:hint="eastAsia" w:ascii="宋体" w:hAnsi="宋体" w:eastAsia="宋体" w:cs="宋体"/>
                <w:color w:val="auto"/>
                <w:sz w:val="21"/>
                <w:szCs w:val="21"/>
                <w:lang w:val="en-US" w:eastAsia="zh-CN"/>
              </w:rPr>
              <w:t>并加盖投标单位公章，编入商务技术文件中，未按要求提供不得分</w:t>
            </w:r>
            <w:r>
              <w:rPr>
                <w:rFonts w:hint="eastAsia" w:ascii="宋体" w:hAnsi="宋体" w:eastAsia="宋体" w:cs="宋体"/>
                <w:color w:val="000000"/>
                <w:kern w:val="2"/>
                <w:sz w:val="21"/>
                <w:szCs w:val="21"/>
                <w:lang w:val="en-US" w:eastAsia="zh-CN" w:bidi="ar-SA"/>
              </w:rPr>
              <w:t>。</w:t>
            </w:r>
          </w:p>
        </w:tc>
        <w:tc>
          <w:tcPr>
            <w:tcW w:w="750" w:type="dxa"/>
            <w:vAlign w:val="center"/>
          </w:tcPr>
          <w:p w14:paraId="27FEB3B3">
            <w:pPr>
              <w:adjustRightInd w:val="0"/>
              <w:snapToGrid w:val="0"/>
              <w:spacing w:line="360" w:lineRule="auto"/>
              <w:jc w:val="left"/>
              <w:rPr>
                <w:rFonts w:hint="eastAsia" w:ascii="宋体" w:hAnsi="宋体" w:eastAsia="宋体" w:cs="宋体"/>
                <w:kern w:val="2"/>
                <w:sz w:val="21"/>
                <w:szCs w:val="21"/>
              </w:rPr>
            </w:pPr>
            <w:r>
              <w:rPr>
                <w:rFonts w:hint="eastAsia" w:ascii="宋体" w:hAnsi="宋体" w:eastAsia="宋体" w:cs="宋体"/>
                <w:kern w:val="2"/>
                <w:sz w:val="21"/>
                <w:szCs w:val="21"/>
              </w:rPr>
              <w:t>0-</w:t>
            </w:r>
            <w:r>
              <w:rPr>
                <w:rFonts w:hint="eastAsia" w:ascii="宋体" w:hAnsi="宋体" w:cs="宋体"/>
                <w:kern w:val="2"/>
                <w:sz w:val="21"/>
                <w:szCs w:val="21"/>
                <w:lang w:val="en-US" w:eastAsia="zh-CN"/>
              </w:rPr>
              <w:t>12</w:t>
            </w:r>
            <w:r>
              <w:rPr>
                <w:rFonts w:hint="eastAsia" w:ascii="宋体" w:hAnsi="宋体" w:eastAsia="宋体" w:cs="宋体"/>
                <w:kern w:val="2"/>
                <w:sz w:val="21"/>
                <w:szCs w:val="21"/>
              </w:rPr>
              <w:t>分</w:t>
            </w:r>
          </w:p>
        </w:tc>
      </w:tr>
      <w:bookmarkEnd w:id="108"/>
      <w:tr w14:paraId="45FCF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7" w:hRule="atLeast"/>
        </w:trPr>
        <w:tc>
          <w:tcPr>
            <w:tcW w:w="566" w:type="dxa"/>
            <w:vAlign w:val="center"/>
          </w:tcPr>
          <w:p w14:paraId="557E5427">
            <w:pPr>
              <w:adjustRightInd w:val="0"/>
              <w:snapToGrid w:val="0"/>
              <w:spacing w:line="360" w:lineRule="auto"/>
              <w:jc w:val="left"/>
              <w:rPr>
                <w:rFonts w:hint="eastAsia" w:ascii="宋体" w:hAnsi="宋体" w:eastAsia="宋体" w:cs="宋体"/>
                <w:kern w:val="2"/>
                <w:sz w:val="21"/>
                <w:szCs w:val="21"/>
                <w:lang w:eastAsia="zh-CN"/>
              </w:rPr>
            </w:pPr>
            <w:bookmarkStart w:id="109" w:name="OLE_LINK10" w:colFirst="1" w:colLast="2"/>
            <w:bookmarkStart w:id="110" w:name="_GoBack" w:colFirst="1" w:colLast="2"/>
            <w:r>
              <w:rPr>
                <w:rFonts w:hint="eastAsia" w:ascii="宋体" w:hAnsi="宋体" w:cs="宋体"/>
                <w:kern w:val="2"/>
                <w:sz w:val="21"/>
                <w:szCs w:val="21"/>
                <w:lang w:val="en-US" w:eastAsia="zh-CN"/>
              </w:rPr>
              <w:t>7</w:t>
            </w:r>
          </w:p>
        </w:tc>
        <w:tc>
          <w:tcPr>
            <w:tcW w:w="1228" w:type="dxa"/>
            <w:vAlign w:val="center"/>
          </w:tcPr>
          <w:p w14:paraId="6A6F4AAF">
            <w:pPr>
              <w:adjustRightInd w:val="0"/>
              <w:snapToGrid w:val="0"/>
              <w:spacing w:line="360" w:lineRule="auto"/>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培训计划</w:t>
            </w:r>
          </w:p>
        </w:tc>
        <w:tc>
          <w:tcPr>
            <w:tcW w:w="7033" w:type="dxa"/>
          </w:tcPr>
          <w:p w14:paraId="534556FA">
            <w:pPr>
              <w:adjustRightInd w:val="0"/>
              <w:snapToGrid w:val="0"/>
              <w:spacing w:line="360" w:lineRule="auto"/>
              <w:jc w:val="left"/>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投标供应商针对本项目提供培训方案，方案至少包含或满足以下内容：</w:t>
            </w:r>
          </w:p>
          <w:p w14:paraId="40989669">
            <w:pPr>
              <w:adjustRightInd w:val="0"/>
              <w:snapToGrid w:val="0"/>
              <w:spacing w:line="360" w:lineRule="auto"/>
              <w:jc w:val="left"/>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制定合理的培训科目及培训内容，并免费提供培训教材；技术培训课程不少于1场；满足各承建单位的培训需求。</w:t>
            </w:r>
          </w:p>
          <w:p w14:paraId="4DC29DB4">
            <w:pPr>
              <w:adjustRightInd w:val="0"/>
              <w:snapToGrid w:val="0"/>
              <w:spacing w:line="360" w:lineRule="auto"/>
              <w:jc w:val="left"/>
              <w:rPr>
                <w:rFonts w:hint="eastAsia" w:ascii="宋体" w:hAnsi="宋体" w:eastAsia="宋体" w:cs="宋体"/>
                <w:color w:val="auto"/>
                <w:sz w:val="21"/>
                <w:szCs w:val="21"/>
              </w:rPr>
            </w:pPr>
            <w:r>
              <w:rPr>
                <w:rFonts w:hint="eastAsia" w:ascii="宋体" w:hAnsi="宋体" w:eastAsia="宋体" w:cs="宋体"/>
                <w:kern w:val="2"/>
                <w:sz w:val="21"/>
                <w:szCs w:val="21"/>
                <w:lang w:val="en-US" w:eastAsia="zh-CN"/>
              </w:rPr>
              <w:t>培训计划合理规范，培训课程具体丰富，师资配备合理的得4.1-6分；提供的培训计划基本合理规范，培训课程简单，师资配备基本合理的得2.1-4分；提供的培训计划不合理规范，培训课程空洞单一，师资配备不合理的得1--2分，未提供不得分。</w:t>
            </w:r>
          </w:p>
        </w:tc>
        <w:tc>
          <w:tcPr>
            <w:tcW w:w="750" w:type="dxa"/>
            <w:vAlign w:val="center"/>
          </w:tcPr>
          <w:p w14:paraId="57968F1C">
            <w:pPr>
              <w:adjustRightInd w:val="0"/>
              <w:snapToGrid w:val="0"/>
              <w:spacing w:line="360" w:lineRule="auto"/>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0-</w:t>
            </w:r>
            <w:r>
              <w:rPr>
                <w:rFonts w:hint="eastAsia" w:ascii="宋体" w:hAnsi="宋体" w:eastAsia="宋体" w:cs="宋体"/>
                <w:color w:val="auto"/>
                <w:kern w:val="2"/>
                <w:sz w:val="21"/>
                <w:szCs w:val="21"/>
                <w:lang w:val="en-US" w:eastAsia="zh-CN"/>
              </w:rPr>
              <w:t>6</w:t>
            </w:r>
            <w:r>
              <w:rPr>
                <w:rFonts w:hint="eastAsia" w:ascii="宋体" w:hAnsi="宋体" w:eastAsia="宋体" w:cs="宋体"/>
                <w:color w:val="auto"/>
                <w:kern w:val="2"/>
                <w:sz w:val="21"/>
                <w:szCs w:val="21"/>
              </w:rPr>
              <w:t>分</w:t>
            </w:r>
          </w:p>
        </w:tc>
      </w:tr>
      <w:bookmarkEnd w:id="110"/>
      <w:bookmarkEnd w:id="109"/>
    </w:tbl>
    <w:p w14:paraId="31402C18">
      <w:pPr>
        <w:pStyle w:val="35"/>
        <w:spacing w:line="400" w:lineRule="exact"/>
        <w:ind w:left="0" w:leftChars="0" w:right="-216" w:rightChars="-77" w:firstLine="638" w:firstLineChars="266"/>
        <w:rPr>
          <w:rFonts w:hint="eastAsia" w:ascii="宋体" w:hAnsi="宋体" w:eastAsia="宋体" w:cs="Times New Roman"/>
          <w:sz w:val="24"/>
          <w:szCs w:val="24"/>
        </w:rPr>
      </w:pP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、报价分（</w:t>
      </w:r>
      <w:r>
        <w:rPr>
          <w:rFonts w:hint="eastAsia" w:ascii="宋体" w:hAnsi="宋体" w:eastAsia="宋体" w:cs="Times New Roman"/>
          <w:sz w:val="24"/>
          <w:szCs w:val="24"/>
          <w:lang w:val="en-US" w:eastAsia="zh-CN"/>
        </w:rPr>
        <w:t>30</w:t>
      </w:r>
      <w:r>
        <w:rPr>
          <w:rFonts w:hint="eastAsia" w:ascii="宋体" w:hAnsi="宋体" w:eastAsia="宋体" w:cs="Times New Roman"/>
          <w:sz w:val="24"/>
          <w:szCs w:val="24"/>
        </w:rPr>
        <w:t>分）</w:t>
      </w:r>
    </w:p>
    <w:p w14:paraId="3144E990">
      <w:pPr>
        <w:pStyle w:val="35"/>
        <w:spacing w:line="400" w:lineRule="exact"/>
        <w:ind w:left="0" w:leftChars="0" w:right="-216" w:rightChars="-77" w:firstLine="638" w:firstLineChars="266"/>
        <w:rPr>
          <w:rFonts w:hint="eastAsia"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lang w:eastAsia="zh-CN"/>
        </w:rPr>
        <w:t>供应商</w:t>
      </w:r>
      <w:r>
        <w:rPr>
          <w:rFonts w:hint="eastAsia" w:ascii="宋体" w:hAnsi="宋体" w:eastAsia="宋体" w:cs="Times New Roman"/>
          <w:sz w:val="24"/>
          <w:szCs w:val="24"/>
        </w:rPr>
        <w:t>的投标报价应包括</w:t>
      </w:r>
      <w:r>
        <w:rPr>
          <w:rFonts w:hint="eastAsia" w:ascii="宋体" w:hAnsi="宋体" w:eastAsia="宋体" w:cs="Times New Roman"/>
          <w:sz w:val="24"/>
          <w:szCs w:val="24"/>
          <w:lang w:eastAsia="zh-CN"/>
        </w:rPr>
        <w:t>供应商</w:t>
      </w:r>
      <w:r>
        <w:rPr>
          <w:rFonts w:hint="eastAsia" w:ascii="宋体" w:hAnsi="宋体" w:eastAsia="宋体" w:cs="Times New Roman"/>
          <w:sz w:val="24"/>
          <w:szCs w:val="24"/>
        </w:rPr>
        <w:t>在投标文件中提出的各项支付金额的总和，即服务费应包含按要求完成项目编制的全部费用（包括完成专业技术服务所需的人工费、辅助材料费、利润、风险费用（服务过程中可能出现的人员伤亡、质量缺陷以及政策性文件规定对合同价的影响不调整等不利事件所需的费用）、税金等；根据</w:t>
      </w:r>
      <w:r>
        <w:rPr>
          <w:rFonts w:hint="eastAsia" w:ascii="宋体" w:hAnsi="宋体" w:eastAsia="宋体" w:cs="Times New Roman"/>
          <w:sz w:val="24"/>
          <w:szCs w:val="24"/>
          <w:lang w:eastAsia="zh-CN"/>
        </w:rPr>
        <w:t>采购人</w:t>
      </w:r>
      <w:r>
        <w:rPr>
          <w:rFonts w:hint="eastAsia" w:ascii="宋体" w:hAnsi="宋体" w:eastAsia="宋体" w:cs="Times New Roman"/>
          <w:sz w:val="24"/>
          <w:szCs w:val="24"/>
        </w:rPr>
        <w:t>要求进行补充、修改和完善的费用以及其他相关服务直至</w:t>
      </w:r>
      <w:r>
        <w:rPr>
          <w:rFonts w:hint="eastAsia" w:ascii="宋体" w:hAnsi="宋体" w:eastAsia="宋体" w:cs="Times New Roman"/>
          <w:sz w:val="24"/>
          <w:szCs w:val="24"/>
          <w:lang w:eastAsia="zh-CN"/>
        </w:rPr>
        <w:t>采购人</w:t>
      </w:r>
      <w:r>
        <w:rPr>
          <w:rFonts w:hint="eastAsia" w:ascii="宋体" w:hAnsi="宋体" w:eastAsia="宋体" w:cs="Times New Roman"/>
          <w:sz w:val="24"/>
          <w:szCs w:val="24"/>
        </w:rPr>
        <w:t>满意所需要支付的全部费用。</w:t>
      </w:r>
    </w:p>
    <w:p w14:paraId="1FBC65FC">
      <w:pPr>
        <w:pStyle w:val="35"/>
        <w:spacing w:line="400" w:lineRule="exact"/>
        <w:ind w:left="0" w:leftChars="0" w:right="-216" w:rightChars="-77" w:firstLine="638" w:firstLineChars="266"/>
        <w:rPr>
          <w:rFonts w:hint="eastAsia" w:ascii="宋体" w:hAnsi="宋体" w:eastAsia="宋体" w:cs="Times New Roman"/>
          <w:sz w:val="24"/>
          <w:szCs w:val="24"/>
        </w:rPr>
      </w:pPr>
      <w:r>
        <w:rPr>
          <w:rFonts w:hint="eastAsia" w:ascii="宋体" w:hAnsi="宋体" w:eastAsia="宋体" w:cs="Times New Roman"/>
          <w:sz w:val="24"/>
          <w:szCs w:val="24"/>
        </w:rPr>
        <w:t>（1）报价采用低价优先法计算，即满足采购文件要求且投标价格最低的投标报价为评标基准价，其他</w:t>
      </w:r>
      <w:r>
        <w:rPr>
          <w:rFonts w:hint="eastAsia" w:ascii="宋体" w:hAnsi="宋体" w:eastAsia="宋体" w:cs="Times New Roman"/>
          <w:sz w:val="24"/>
          <w:szCs w:val="24"/>
          <w:lang w:eastAsia="zh-CN"/>
        </w:rPr>
        <w:t>供应商</w:t>
      </w:r>
      <w:r>
        <w:rPr>
          <w:rFonts w:hint="eastAsia" w:ascii="宋体" w:hAnsi="宋体" w:eastAsia="宋体" w:cs="Times New Roman"/>
          <w:sz w:val="24"/>
          <w:szCs w:val="24"/>
        </w:rPr>
        <w:t>的价格分按照下列公式计算：</w:t>
      </w:r>
    </w:p>
    <w:p w14:paraId="3C075869">
      <w:pPr>
        <w:pStyle w:val="35"/>
        <w:spacing w:line="400" w:lineRule="exact"/>
        <w:ind w:left="0" w:leftChars="0" w:right="-216" w:rightChars="-77" w:firstLine="638" w:firstLineChars="266"/>
        <w:rPr>
          <w:rFonts w:hint="eastAsia" w:ascii="宋体" w:hAnsi="宋体" w:eastAsia="宋体" w:cs="Times New Roman"/>
          <w:sz w:val="24"/>
          <w:szCs w:val="24"/>
        </w:rPr>
      </w:pPr>
      <w:r>
        <w:rPr>
          <w:rFonts w:hint="eastAsia" w:ascii="宋体" w:hAnsi="宋体" w:eastAsia="宋体" w:cs="Times New Roman"/>
          <w:sz w:val="24"/>
          <w:szCs w:val="24"/>
        </w:rPr>
        <w:t>报价分=（评标基准价/投标报价）×</w:t>
      </w:r>
      <w:r>
        <w:rPr>
          <w:rFonts w:hint="eastAsia" w:ascii="宋体" w:hAnsi="宋体" w:eastAsia="宋体" w:cs="Times New Roman"/>
          <w:sz w:val="24"/>
          <w:szCs w:val="24"/>
          <w:lang w:val="en-US" w:eastAsia="zh-CN"/>
        </w:rPr>
        <w:t>30</w:t>
      </w:r>
      <w:r>
        <w:rPr>
          <w:rFonts w:hint="eastAsia" w:ascii="宋体" w:hAnsi="宋体" w:eastAsia="宋体" w:cs="Times New Roman"/>
          <w:sz w:val="24"/>
          <w:szCs w:val="24"/>
        </w:rPr>
        <w:t>%×100</w:t>
      </w:r>
    </w:p>
    <w:p w14:paraId="5990E849">
      <w:pPr>
        <w:pStyle w:val="35"/>
        <w:spacing w:line="400" w:lineRule="exact"/>
        <w:ind w:left="0" w:leftChars="0" w:right="-216" w:rightChars="-77" w:firstLine="638" w:firstLineChars="266"/>
        <w:rPr>
          <w:rFonts w:hint="eastAsia" w:ascii="宋体" w:hAnsi="宋体" w:eastAsia="宋体" w:cs="Times New Roman"/>
          <w:sz w:val="24"/>
          <w:szCs w:val="24"/>
        </w:rPr>
      </w:pPr>
      <w:r>
        <w:rPr>
          <w:rFonts w:hint="eastAsia" w:ascii="宋体" w:hAnsi="宋体" w:eastAsia="宋体" w:cs="Times New Roman"/>
          <w:sz w:val="24"/>
          <w:szCs w:val="24"/>
          <w:lang w:eastAsia="zh-CN"/>
        </w:rPr>
        <w:t>供应商</w:t>
      </w:r>
      <w:r>
        <w:rPr>
          <w:rFonts w:hint="eastAsia" w:ascii="宋体" w:hAnsi="宋体" w:eastAsia="宋体" w:cs="Times New Roman"/>
          <w:sz w:val="24"/>
          <w:szCs w:val="24"/>
        </w:rPr>
        <w:t>的投标报价超过</w:t>
      </w:r>
      <w:r>
        <w:rPr>
          <w:rFonts w:hint="eastAsia" w:ascii="宋体" w:hAnsi="宋体" w:eastAsia="宋体" w:cs="Times New Roman"/>
          <w:sz w:val="24"/>
          <w:szCs w:val="24"/>
          <w:lang w:eastAsia="zh-CN"/>
        </w:rPr>
        <w:t>采购人</w:t>
      </w:r>
      <w:r>
        <w:rPr>
          <w:rFonts w:hint="eastAsia" w:ascii="宋体" w:hAnsi="宋体" w:eastAsia="宋体" w:cs="Times New Roman"/>
          <w:sz w:val="24"/>
          <w:szCs w:val="24"/>
        </w:rPr>
        <w:t>设定的预算价，将作为无效标。</w:t>
      </w:r>
    </w:p>
    <w:p w14:paraId="459F7895">
      <w:pPr>
        <w:pStyle w:val="51"/>
        <w:spacing w:line="440" w:lineRule="exact"/>
        <w:ind w:firstLine="0" w:firstLineChars="0"/>
        <w:jc w:val="left"/>
        <w:rPr>
          <w:rStyle w:val="605"/>
          <w:rFonts w:hint="eastAsia"/>
          <w:b/>
          <w:sz w:val="24"/>
          <w:szCs w:val="24"/>
          <w:highlight w:val="none"/>
          <w:lang w:val="zh-CN"/>
        </w:rPr>
      </w:pPr>
      <w:r>
        <w:rPr>
          <w:rStyle w:val="605"/>
          <w:rFonts w:hint="eastAsia"/>
          <w:b/>
          <w:sz w:val="24"/>
          <w:szCs w:val="24"/>
          <w:highlight w:val="none"/>
          <w:lang w:val="zh-CN"/>
        </w:rPr>
        <w:t>六、开评标程序</w:t>
      </w:r>
    </w:p>
    <w:p w14:paraId="11E1C705">
      <w:pPr>
        <w:pStyle w:val="584"/>
        <w:spacing w:line="440" w:lineRule="exact"/>
        <w:ind w:firstLine="422"/>
        <w:rPr>
          <w:rStyle w:val="605"/>
          <w:rFonts w:hint="eastAsia"/>
          <w:color w:val="auto"/>
          <w:szCs w:val="24"/>
          <w:highlight w:val="none"/>
          <w:lang w:val="zh-CN"/>
        </w:rPr>
      </w:pPr>
      <w:r>
        <w:rPr>
          <w:rStyle w:val="605"/>
          <w:rFonts w:hint="eastAsia"/>
          <w:color w:val="auto"/>
          <w:szCs w:val="24"/>
          <w:highlight w:val="none"/>
        </w:rPr>
        <w:t>1</w:t>
      </w:r>
      <w:r>
        <w:rPr>
          <w:rStyle w:val="605"/>
          <w:rFonts w:hint="eastAsia" w:eastAsia="宋体"/>
          <w:color w:val="auto"/>
          <w:szCs w:val="24"/>
          <w:highlight w:val="none"/>
          <w:lang w:val="en-US" w:eastAsia="zh-CN"/>
        </w:rPr>
        <w:t>.</w:t>
      </w:r>
      <w:r>
        <w:rPr>
          <w:rStyle w:val="605"/>
          <w:rFonts w:hint="eastAsia"/>
          <w:color w:val="auto"/>
          <w:szCs w:val="24"/>
          <w:highlight w:val="none"/>
          <w:lang w:val="zh-TW"/>
        </w:rPr>
        <w:t>工作人员宣布投标截止时间，截止时间以国家授时中心标准时间为准，宣布招标会议开始。</w:t>
      </w:r>
    </w:p>
    <w:p w14:paraId="1D9CCAF5">
      <w:pPr>
        <w:pStyle w:val="584"/>
        <w:spacing w:line="440" w:lineRule="exact"/>
        <w:ind w:firstLine="422"/>
        <w:rPr>
          <w:rStyle w:val="605"/>
          <w:rFonts w:hint="eastAsia"/>
          <w:color w:val="auto"/>
          <w:szCs w:val="24"/>
          <w:highlight w:val="none"/>
          <w:lang w:val="zh-TW"/>
        </w:rPr>
      </w:pPr>
      <w:r>
        <w:rPr>
          <w:rStyle w:val="605"/>
          <w:rFonts w:hint="eastAsia"/>
          <w:color w:val="auto"/>
          <w:szCs w:val="24"/>
          <w:highlight w:val="none"/>
        </w:rPr>
        <w:t>2</w:t>
      </w:r>
      <w:r>
        <w:rPr>
          <w:rStyle w:val="605"/>
          <w:rFonts w:hint="eastAsia" w:eastAsia="宋体"/>
          <w:color w:val="auto"/>
          <w:szCs w:val="24"/>
          <w:highlight w:val="none"/>
          <w:lang w:val="en-US" w:eastAsia="zh-CN"/>
        </w:rPr>
        <w:t>.</w:t>
      </w:r>
      <w:r>
        <w:rPr>
          <w:rStyle w:val="605"/>
          <w:rFonts w:hint="eastAsia"/>
          <w:color w:val="auto"/>
          <w:szCs w:val="24"/>
          <w:highlight w:val="none"/>
          <w:lang w:val="zh-TW"/>
        </w:rPr>
        <w:t>工作人员确认投标人法定代表人（负责人）或授权委托代理人资格、投标文件递交等情况。</w:t>
      </w:r>
    </w:p>
    <w:p w14:paraId="2322DF10">
      <w:pPr>
        <w:pStyle w:val="584"/>
        <w:spacing w:line="440" w:lineRule="exact"/>
        <w:ind w:firstLine="422"/>
        <w:rPr>
          <w:rStyle w:val="605"/>
          <w:rFonts w:hint="eastAsia"/>
          <w:color w:val="auto"/>
          <w:szCs w:val="24"/>
          <w:highlight w:val="none"/>
          <w:lang w:val="zh-TW"/>
        </w:rPr>
      </w:pPr>
      <w:r>
        <w:rPr>
          <w:rStyle w:val="605"/>
          <w:rFonts w:hint="eastAsia"/>
          <w:color w:val="auto"/>
          <w:szCs w:val="24"/>
          <w:highlight w:val="none"/>
        </w:rPr>
        <w:t>3</w:t>
      </w:r>
      <w:r>
        <w:rPr>
          <w:rStyle w:val="605"/>
          <w:rFonts w:hint="eastAsia" w:eastAsia="宋体"/>
          <w:color w:val="auto"/>
          <w:szCs w:val="24"/>
          <w:highlight w:val="none"/>
          <w:lang w:val="en-US" w:eastAsia="zh-CN"/>
        </w:rPr>
        <w:t>.</w:t>
      </w:r>
      <w:r>
        <w:rPr>
          <w:rStyle w:val="605"/>
          <w:rFonts w:hint="eastAsia"/>
          <w:color w:val="auto"/>
          <w:szCs w:val="24"/>
          <w:highlight w:val="none"/>
          <w:lang w:val="zh-TW"/>
        </w:rPr>
        <w:t>本项目原则上采用政采云电子招投标开标及评审程序，但有下情形之一的，按以下情况处理：</w:t>
      </w:r>
    </w:p>
    <w:p w14:paraId="0BD43C49">
      <w:pPr>
        <w:pStyle w:val="584"/>
        <w:spacing w:line="440" w:lineRule="exact"/>
        <w:ind w:firstLine="422"/>
        <w:rPr>
          <w:rStyle w:val="605"/>
          <w:rFonts w:hint="eastAsia"/>
          <w:color w:val="auto"/>
          <w:szCs w:val="24"/>
          <w:highlight w:val="none"/>
          <w:lang w:val="zh-TW"/>
        </w:rPr>
      </w:pPr>
      <w:r>
        <w:rPr>
          <w:rStyle w:val="605"/>
          <w:rFonts w:hint="eastAsia"/>
          <w:color w:val="auto"/>
          <w:szCs w:val="24"/>
          <w:highlight w:val="none"/>
          <w:lang w:val="zh-TW"/>
        </w:rPr>
        <w:t>若投标人的电子投标文件在规定时间内无法解密或解密失败，工作人员将开启该投标人递交的电子备份投标文件，以完成开标。</w:t>
      </w:r>
    </w:p>
    <w:p w14:paraId="68197D55">
      <w:pPr>
        <w:pStyle w:val="584"/>
        <w:spacing w:line="440" w:lineRule="exact"/>
        <w:ind w:firstLine="422"/>
        <w:rPr>
          <w:rStyle w:val="605"/>
          <w:rFonts w:hint="eastAsia"/>
          <w:color w:val="auto"/>
          <w:szCs w:val="24"/>
          <w:highlight w:val="none"/>
          <w:lang w:val="zh-TW"/>
        </w:rPr>
      </w:pPr>
      <w:r>
        <w:rPr>
          <w:rStyle w:val="605"/>
          <w:rFonts w:hint="eastAsia"/>
          <w:color w:val="auto"/>
          <w:szCs w:val="24"/>
          <w:highlight w:val="none"/>
        </w:rPr>
        <w:t>4</w:t>
      </w:r>
      <w:r>
        <w:rPr>
          <w:rStyle w:val="605"/>
          <w:rFonts w:hint="eastAsia" w:eastAsia="宋体"/>
          <w:color w:val="auto"/>
          <w:szCs w:val="24"/>
          <w:highlight w:val="none"/>
          <w:lang w:val="en-US" w:eastAsia="zh-CN"/>
        </w:rPr>
        <w:t>.</w:t>
      </w:r>
      <w:r>
        <w:rPr>
          <w:rStyle w:val="605"/>
          <w:rFonts w:hint="eastAsia"/>
          <w:color w:val="auto"/>
          <w:szCs w:val="24"/>
          <w:highlight w:val="none"/>
          <w:lang w:val="zh-TW"/>
        </w:rPr>
        <w:t>电子投标开标及评审程序</w:t>
      </w:r>
    </w:p>
    <w:p w14:paraId="34EA044A">
      <w:pPr>
        <w:pStyle w:val="584"/>
        <w:spacing w:line="440" w:lineRule="exact"/>
        <w:ind w:firstLine="422"/>
        <w:rPr>
          <w:rStyle w:val="605"/>
          <w:rFonts w:hint="eastAsia"/>
          <w:color w:val="auto"/>
          <w:szCs w:val="24"/>
          <w:highlight w:val="none"/>
          <w:lang w:val="zh-TW"/>
        </w:rPr>
      </w:pPr>
      <w:r>
        <w:rPr>
          <w:rStyle w:val="605"/>
          <w:rFonts w:hint="eastAsia"/>
          <w:color w:val="auto"/>
          <w:szCs w:val="24"/>
          <w:highlight w:val="none"/>
          <w:lang w:val="zh-TW"/>
        </w:rPr>
        <w:t>（1）投标截止时间后，投标人登录政采云平台，用“项目采购-开标评标”功能对电子投标文件进行在线解密。在线解密电子投标文件时间为开标时间起半个小时内。</w:t>
      </w:r>
    </w:p>
    <w:p w14:paraId="10B35FA1">
      <w:pPr>
        <w:pStyle w:val="584"/>
        <w:spacing w:line="440" w:lineRule="exact"/>
        <w:ind w:firstLine="422"/>
        <w:rPr>
          <w:rStyle w:val="605"/>
          <w:rFonts w:hint="eastAsia"/>
          <w:color w:val="auto"/>
          <w:szCs w:val="24"/>
          <w:highlight w:val="none"/>
          <w:lang w:val="zh-TW"/>
        </w:rPr>
      </w:pPr>
      <w:r>
        <w:rPr>
          <w:rStyle w:val="605"/>
          <w:rFonts w:hint="eastAsia"/>
          <w:color w:val="auto"/>
          <w:szCs w:val="24"/>
          <w:highlight w:val="none"/>
          <w:lang w:val="zh-TW"/>
        </w:rPr>
        <w:t>（2）评标委员会对商务技术文件进行评审；</w:t>
      </w:r>
    </w:p>
    <w:p w14:paraId="4C6867AC">
      <w:pPr>
        <w:pStyle w:val="584"/>
        <w:spacing w:line="440" w:lineRule="exact"/>
        <w:ind w:firstLine="422"/>
        <w:rPr>
          <w:rStyle w:val="605"/>
          <w:rFonts w:hint="eastAsia"/>
          <w:color w:val="auto"/>
          <w:szCs w:val="24"/>
          <w:highlight w:val="none"/>
          <w:lang w:val="zh-TW"/>
        </w:rPr>
      </w:pPr>
      <w:r>
        <w:rPr>
          <w:rStyle w:val="605"/>
          <w:rFonts w:hint="eastAsia"/>
          <w:color w:val="auto"/>
          <w:szCs w:val="24"/>
          <w:highlight w:val="none"/>
          <w:lang w:val="zh-TW"/>
        </w:rPr>
        <w:t>（3）在系统上商务技术</w:t>
      </w:r>
      <w:r>
        <w:rPr>
          <w:rStyle w:val="605"/>
          <w:rFonts w:hint="eastAsia"/>
          <w:color w:val="auto"/>
          <w:szCs w:val="24"/>
          <w:highlight w:val="none"/>
        </w:rPr>
        <w:t>文件</w:t>
      </w:r>
      <w:r>
        <w:rPr>
          <w:rStyle w:val="605"/>
          <w:rFonts w:hint="eastAsia"/>
          <w:color w:val="auto"/>
          <w:szCs w:val="24"/>
          <w:highlight w:val="none"/>
          <w:lang w:val="zh-TW"/>
        </w:rPr>
        <w:t>评审结果；</w:t>
      </w:r>
    </w:p>
    <w:p w14:paraId="5C5E1690">
      <w:pPr>
        <w:pStyle w:val="584"/>
        <w:spacing w:line="440" w:lineRule="exact"/>
        <w:ind w:firstLine="422"/>
        <w:rPr>
          <w:rStyle w:val="605"/>
          <w:rFonts w:hint="eastAsia"/>
          <w:color w:val="auto"/>
          <w:szCs w:val="24"/>
          <w:highlight w:val="none"/>
          <w:lang w:val="zh-TW"/>
        </w:rPr>
      </w:pPr>
      <w:r>
        <w:rPr>
          <w:rStyle w:val="605"/>
          <w:rFonts w:hint="eastAsia"/>
          <w:color w:val="auto"/>
          <w:szCs w:val="24"/>
          <w:highlight w:val="none"/>
          <w:lang w:val="zh-TW"/>
        </w:rPr>
        <w:t>（4）在系统上公开报价开标情况；</w:t>
      </w:r>
    </w:p>
    <w:p w14:paraId="20946D6D">
      <w:pPr>
        <w:pStyle w:val="584"/>
        <w:spacing w:line="440" w:lineRule="exact"/>
        <w:ind w:firstLine="422"/>
        <w:rPr>
          <w:rStyle w:val="605"/>
          <w:rFonts w:hint="eastAsia"/>
          <w:color w:val="auto"/>
          <w:szCs w:val="24"/>
          <w:highlight w:val="none"/>
          <w:lang w:val="zh-TW"/>
        </w:rPr>
      </w:pPr>
      <w:r>
        <w:rPr>
          <w:rStyle w:val="605"/>
          <w:rFonts w:hint="eastAsia"/>
          <w:color w:val="auto"/>
          <w:szCs w:val="24"/>
          <w:highlight w:val="none"/>
          <w:lang w:val="zh-TW"/>
        </w:rPr>
        <w:t>（5）评标委员会对报价情况进行评审；</w:t>
      </w:r>
    </w:p>
    <w:p w14:paraId="7936C3A3">
      <w:pPr>
        <w:pStyle w:val="584"/>
        <w:spacing w:line="440" w:lineRule="exact"/>
        <w:ind w:firstLine="422"/>
        <w:rPr>
          <w:rStyle w:val="605"/>
          <w:rFonts w:hint="eastAsia"/>
          <w:color w:val="auto"/>
          <w:szCs w:val="24"/>
          <w:highlight w:val="none"/>
          <w:lang w:val="zh-TW"/>
        </w:rPr>
      </w:pPr>
      <w:r>
        <w:rPr>
          <w:rStyle w:val="605"/>
          <w:rFonts w:hint="eastAsia"/>
          <w:color w:val="auto"/>
          <w:szCs w:val="24"/>
          <w:highlight w:val="none"/>
          <w:lang w:val="zh-TW"/>
        </w:rPr>
        <w:t>（6）在系统上公布评审结果。</w:t>
      </w:r>
    </w:p>
    <w:p w14:paraId="44FC4AA3">
      <w:pPr>
        <w:pStyle w:val="584"/>
        <w:spacing w:line="440" w:lineRule="exact"/>
        <w:ind w:firstLine="422"/>
        <w:rPr>
          <w:rStyle w:val="605"/>
          <w:rFonts w:hint="eastAsia"/>
          <w:color w:val="auto"/>
          <w:szCs w:val="24"/>
          <w:highlight w:val="none"/>
          <w:lang w:val="zh-TW"/>
        </w:rPr>
      </w:pPr>
      <w:r>
        <w:rPr>
          <w:rStyle w:val="605"/>
          <w:rFonts w:hint="eastAsia"/>
          <w:color w:val="auto"/>
          <w:szCs w:val="24"/>
          <w:highlight w:val="none"/>
          <w:lang w:val="zh-TW"/>
        </w:rPr>
        <w:t>特别说明：政采云公司如对电子化开标及评审程序有调整的，按调整后的程序操作。</w:t>
      </w:r>
    </w:p>
    <w:p w14:paraId="1DC823F6">
      <w:pPr>
        <w:pStyle w:val="584"/>
        <w:spacing w:line="440" w:lineRule="exact"/>
        <w:ind w:firstLine="422"/>
        <w:rPr>
          <w:rFonts w:hint="eastAsia" w:ascii="宋体" w:hAnsi="宋体" w:eastAsia="宋体" w:cs="宋体"/>
          <w:color w:val="auto"/>
          <w:szCs w:val="24"/>
          <w:highlight w:val="none"/>
        </w:rPr>
      </w:pPr>
      <w:r>
        <w:rPr>
          <w:rStyle w:val="605"/>
          <w:rFonts w:hint="eastAsia"/>
          <w:color w:val="auto"/>
          <w:szCs w:val="24"/>
          <w:highlight w:val="none"/>
        </w:rPr>
        <w:t>5</w:t>
      </w:r>
      <w:r>
        <w:rPr>
          <w:rStyle w:val="605"/>
          <w:rFonts w:hint="eastAsia"/>
          <w:color w:val="auto"/>
          <w:szCs w:val="24"/>
          <w:highlight w:val="none"/>
          <w:lang w:val="zh-TW"/>
        </w:rPr>
        <w:t>.开标会结束。</w:t>
      </w:r>
    </w:p>
    <w:sectPr>
      <w:pgSz w:w="11906" w:h="16838"/>
      <w:pgMar w:top="1440" w:right="1440" w:bottom="1440" w:left="1440" w:header="851" w:footer="851" w:gutter="0"/>
      <w:cols w:space="720" w:num="1"/>
      <w:titlePg/>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auto"/>
    <w:pitch w:val="default"/>
    <w:sig w:usb0="00000000" w:usb1="00000000" w:usb2="0000003F" w:usb3="00000000" w:csb0="603F01FF" w:csb1="FFFF0000"/>
  </w:font>
  <w:font w:name="Microsoft YaHei UI">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HYKai U3HK">
    <w:altName w:val="MingLiU-ExtB"/>
    <w:panose1 w:val="00000000000000000000"/>
    <w:charset w:val="88"/>
    <w:family w:val="modern"/>
    <w:pitch w:val="default"/>
    <w:sig w:usb0="00000000" w:usb1="00000000" w:usb2="00000010" w:usb3="00000000" w:csb0="0010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楷体">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CS?o｡ﾀ?">
    <w:altName w:val="MS PGothic"/>
    <w:panose1 w:val="00000000000000000000"/>
    <w:charset w:val="80"/>
    <w:family w:val="modern"/>
    <w:pitch w:val="default"/>
    <w:sig w:usb0="00000000" w:usb1="00000000" w:usb2="00000010" w:usb3="00000000" w:csb0="00020000" w:csb1="00000000"/>
  </w:font>
  <w:font w:name="华文仿宋">
    <w:altName w:val="仿宋"/>
    <w:panose1 w:val="02010600040101010101"/>
    <w:charset w:val="86"/>
    <w:family w:val="auto"/>
    <w:pitch w:val="default"/>
    <w:sig w:usb0="00000000" w:usb1="00000000" w:usb2="00000000" w:usb3="00000000" w:csb0="0004009F" w:csb1="DFD70000"/>
  </w:font>
  <w:font w:name="ヒラギノ角ゴ Pro W3">
    <w:altName w:val="MS Gothic"/>
    <w:panose1 w:val="00000000000000000000"/>
    <w:charset w:val="80"/>
    <w:family w:val="auto"/>
    <w:pitch w:val="default"/>
    <w:sig w:usb0="00000000" w:usb1="00000000" w:usb2="00000012" w:usb3="00000000" w:csb0="0002000D" w:csb1="00000000"/>
  </w:font>
  <w:font w:name="??_GB2312">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MingLiU-ExtB">
    <w:panose1 w:val="02020500000000000000"/>
    <w:charset w:val="88"/>
    <w:family w:val="auto"/>
    <w:pitch w:val="default"/>
    <w:sig w:usb0="8000002F" w:usb1="02000008" w:usb2="00000000" w:usb3="00000000" w:csb0="00100001" w:csb1="00000000"/>
  </w:font>
  <w:font w:name="MS PGothic">
    <w:panose1 w:val="020B0600070205080204"/>
    <w:charset w:val="80"/>
    <w:family w:val="auto"/>
    <w:pitch w:val="default"/>
    <w:sig w:usb0="E00002FF" w:usb1="6AC7FDFB" w:usb2="08000012" w:usb3="00000000" w:csb0="4002009F" w:csb1="DFD70000"/>
  </w:font>
  <w:font w:name="MS Gothic">
    <w:panose1 w:val="020B0609070205080204"/>
    <w:charset w:val="80"/>
    <w:family w:val="auto"/>
    <w:pitch w:val="default"/>
    <w:sig w:usb0="E00002FF" w:usb1="6AC7FDFB" w:usb2="08000012" w:usb3="00000000" w:csb0="4002009F" w:csb1="DFD70000"/>
  </w:font>
  <w:font w:name="方正书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9914F">
    <w:pPr>
      <w:pStyle w:val="55"/>
      <w:jc w:val="center"/>
    </w:pPr>
  </w:p>
  <w:p w14:paraId="17785620">
    <w:pPr>
      <w:pStyle w:val="5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35FD0">
    <w:pPr>
      <w:pStyle w:val="55"/>
      <w:framePr w:wrap="around" w:vAnchor="text" w:hAnchor="margin" w:xAlign="center" w:y="1"/>
      <w:rPr>
        <w:rStyle w:val="93"/>
      </w:rPr>
    </w:pPr>
    <w:r>
      <w:fldChar w:fldCharType="begin"/>
    </w:r>
    <w:r>
      <w:rPr>
        <w:rStyle w:val="93"/>
      </w:rPr>
      <w:instrText xml:space="preserve">PAGE  </w:instrText>
    </w:r>
    <w:r>
      <w:fldChar w:fldCharType="separate"/>
    </w:r>
    <w:r>
      <w:rPr>
        <w:rStyle w:val="93"/>
      </w:rPr>
      <w:t>1</w:t>
    </w:r>
    <w:r>
      <w:fldChar w:fldCharType="end"/>
    </w:r>
  </w:p>
  <w:p w14:paraId="33EF6F9A">
    <w:pPr>
      <w:pStyle w:val="55"/>
    </w:pPr>
  </w:p>
  <w:p w14:paraId="039933E7"/>
  <w:p w14:paraId="2768C6F0"/>
  <w:p w14:paraId="79A4AA7E"/>
  <w:p w14:paraId="3D2DA4A7"/>
  <w:p w14:paraId="1B125E5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DA8A7">
    <w:pPr>
      <w:pStyle w:val="55"/>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405B5">
    <w:pPr>
      <w:pStyle w:val="55"/>
      <w:jc w:val="center"/>
    </w:pPr>
  </w:p>
  <w:p w14:paraId="22AAEA36">
    <w:pPr>
      <w:pStyle w:val="55"/>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F2B03">
    <w:pPr>
      <w:pStyle w:val="55"/>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231B66">
                          <w:pPr>
                            <w:pStyle w:val="55"/>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3A231B66">
                    <w:pPr>
                      <w:pStyle w:val="55"/>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FCB58">
    <w:pPr>
      <w:pStyle w:val="55"/>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9D67BE">
                          <w:pPr>
                            <w:pStyle w:val="55"/>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14:paraId="759D67BE">
                    <w:pPr>
                      <w:pStyle w:val="55"/>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v:textbox>
            </v:shape>
          </w:pict>
        </mc:Fallback>
      </mc:AlternateContent>
    </w:r>
  </w:p>
  <w:p w14:paraId="158A5505">
    <w:pPr>
      <w:pStyle w:val="55"/>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76748">
    <w:pPr>
      <w:pStyle w:val="55"/>
      <w:spacing w:before="120" w:after="120"/>
      <w:ind w:firstLine="422"/>
      <w:jc w:val="center"/>
      <w:rPr>
        <w:b/>
        <w:color w:val="984806"/>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0A91E9">
                          <w:pPr>
                            <w:pStyle w:val="55"/>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760A91E9">
                    <w:pPr>
                      <w:pStyle w:val="55"/>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0A508">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8A4B51">
                          <w:pPr>
                            <w:pStyle w:val="55"/>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14:paraId="638A4B51">
                    <w:pPr>
                      <w:pStyle w:val="55"/>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B740A">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D2F260">
                          <w:pPr>
                            <w:pStyle w:val="55"/>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14:paraId="3FD2F260">
                    <w:pPr>
                      <w:pStyle w:val="55"/>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5B226">
    <w:pPr>
      <w:pStyle w:val="57"/>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FED0C">
    <w:pPr>
      <w:pStyle w:val="57"/>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F05BA">
    <w:pPr>
      <w:pStyle w:val="5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C78FC4"/>
    <w:multiLevelType w:val="singleLevel"/>
    <w:tmpl w:val="99C78FC4"/>
    <w:lvl w:ilvl="0" w:tentative="0">
      <w:start w:val="3"/>
      <w:numFmt w:val="chineseCounting"/>
      <w:suff w:val="space"/>
      <w:lvlText w:val="第%1部分"/>
      <w:lvlJc w:val="left"/>
      <w:rPr>
        <w:rFonts w:hint="eastAsia"/>
      </w:rPr>
    </w:lvl>
  </w:abstractNum>
  <w:abstractNum w:abstractNumId="1">
    <w:nsid w:val="F674539E"/>
    <w:multiLevelType w:val="singleLevel"/>
    <w:tmpl w:val="F674539E"/>
    <w:lvl w:ilvl="0" w:tentative="0">
      <w:start w:val="1"/>
      <w:numFmt w:val="decimal"/>
      <w:suff w:val="nothing"/>
      <w:lvlText w:val="（%1）"/>
      <w:lvlJc w:val="left"/>
    </w:lvl>
  </w:abstractNum>
  <w:abstractNum w:abstractNumId="2">
    <w:nsid w:val="2FF86FF6"/>
    <w:multiLevelType w:val="multilevel"/>
    <w:tmpl w:val="2FF86FF6"/>
    <w:lvl w:ilvl="0" w:tentative="0">
      <w:start w:val="1"/>
      <w:numFmt w:val="decimal"/>
      <w:lvlText w:val="%1"/>
      <w:lvlJc w:val="left"/>
      <w:pPr>
        <w:tabs>
          <w:tab w:val="left" w:pos="0"/>
        </w:tabs>
        <w:ind w:left="425" w:hanging="425"/>
      </w:pPr>
      <w:rPr>
        <w:rFonts w:hint="eastAsia"/>
      </w:rPr>
    </w:lvl>
    <w:lvl w:ilvl="1" w:tentative="0">
      <w:start w:val="1"/>
      <w:numFmt w:val="decimal"/>
      <w:lvlText w:val="%1.%2"/>
      <w:lvlJc w:val="left"/>
      <w:pPr>
        <w:tabs>
          <w:tab w:val="left" w:pos="0"/>
        </w:tabs>
        <w:ind w:left="567" w:hanging="567"/>
      </w:pPr>
      <w:rPr>
        <w:rFonts w:hint="eastAsia"/>
      </w:rPr>
    </w:lvl>
    <w:lvl w:ilvl="2" w:tentative="0">
      <w:start w:val="1"/>
      <w:numFmt w:val="decimal"/>
      <w:pStyle w:val="608"/>
      <w:lvlText w:val="%1.%2.%3"/>
      <w:lvlJc w:val="left"/>
      <w:pPr>
        <w:tabs>
          <w:tab w:val="left" w:pos="142"/>
        </w:tabs>
        <w:ind w:left="851" w:hanging="851"/>
      </w:pPr>
      <w:rPr>
        <w:rFonts w:hint="eastAsia"/>
      </w:rPr>
    </w:lvl>
    <w:lvl w:ilvl="3" w:tentative="0">
      <w:start w:val="1"/>
      <w:numFmt w:val="decimal"/>
      <w:lvlText w:val="%1.%2.%3.%4"/>
      <w:lvlJc w:val="left"/>
      <w:pPr>
        <w:tabs>
          <w:tab w:val="left" w:pos="0"/>
        </w:tabs>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3">
    <w:nsid w:val="3E21619A"/>
    <w:multiLevelType w:val="singleLevel"/>
    <w:tmpl w:val="3E21619A"/>
    <w:lvl w:ilvl="0" w:tentative="0">
      <w:start w:val="1"/>
      <w:numFmt w:val="chineseCounting"/>
      <w:suff w:val="nothing"/>
      <w:lvlText w:val="%1、"/>
      <w:lvlJc w:val="left"/>
      <w:rPr>
        <w:rFonts w:hint="eastAsia"/>
      </w:rPr>
    </w:lvl>
  </w:abstractNum>
  <w:abstractNum w:abstractNumId="4">
    <w:nsid w:val="622880F5"/>
    <w:multiLevelType w:val="singleLevel"/>
    <w:tmpl w:val="622880F5"/>
    <w:lvl w:ilvl="0" w:tentative="0">
      <w:start w:val="5"/>
      <w:numFmt w:val="chineseCounting"/>
      <w:suff w:val="nothing"/>
      <w:lvlText w:val="%1、"/>
      <w:lvlJc w:val="left"/>
    </w:lvl>
  </w:abstractNum>
  <w:abstractNum w:abstractNumId="5">
    <w:nsid w:val="680AB68E"/>
    <w:multiLevelType w:val="singleLevel"/>
    <w:tmpl w:val="680AB68E"/>
    <w:lvl w:ilvl="0" w:tentative="0">
      <w:start w:val="1"/>
      <w:numFmt w:val="decimal"/>
      <w:lvlText w:val="%1."/>
      <w:lvlJc w:val="left"/>
      <w:pPr>
        <w:tabs>
          <w:tab w:val="left" w:pos="312"/>
        </w:tabs>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wZjdkYTdlMmJkMDdhMWQxNjkyZTgwNjNhYmYxOTYifQ=="/>
  </w:docVars>
  <w:rsids>
    <w:rsidRoot w:val="007A5D82"/>
    <w:rsid w:val="00027E82"/>
    <w:rsid w:val="00046B9C"/>
    <w:rsid w:val="000B2404"/>
    <w:rsid w:val="000B2DD3"/>
    <w:rsid w:val="000B6D1D"/>
    <w:rsid w:val="000C5583"/>
    <w:rsid w:val="000D1422"/>
    <w:rsid w:val="00105D0F"/>
    <w:rsid w:val="0013265A"/>
    <w:rsid w:val="0015040C"/>
    <w:rsid w:val="001A0CD4"/>
    <w:rsid w:val="001B2290"/>
    <w:rsid w:val="002131C9"/>
    <w:rsid w:val="002272AD"/>
    <w:rsid w:val="00243D83"/>
    <w:rsid w:val="0025204E"/>
    <w:rsid w:val="002903B8"/>
    <w:rsid w:val="0034556A"/>
    <w:rsid w:val="003A42CB"/>
    <w:rsid w:val="00406FB1"/>
    <w:rsid w:val="00415500"/>
    <w:rsid w:val="00430F02"/>
    <w:rsid w:val="00483399"/>
    <w:rsid w:val="0048446F"/>
    <w:rsid w:val="00496902"/>
    <w:rsid w:val="005016A3"/>
    <w:rsid w:val="00533C8F"/>
    <w:rsid w:val="005512A2"/>
    <w:rsid w:val="00553F2B"/>
    <w:rsid w:val="00560C55"/>
    <w:rsid w:val="005770C6"/>
    <w:rsid w:val="00592201"/>
    <w:rsid w:val="005D5A89"/>
    <w:rsid w:val="00620CEE"/>
    <w:rsid w:val="006475F9"/>
    <w:rsid w:val="00651E9F"/>
    <w:rsid w:val="006557B5"/>
    <w:rsid w:val="0067025D"/>
    <w:rsid w:val="006D68BC"/>
    <w:rsid w:val="006F7EC8"/>
    <w:rsid w:val="007221E1"/>
    <w:rsid w:val="007506F2"/>
    <w:rsid w:val="00785368"/>
    <w:rsid w:val="0079676D"/>
    <w:rsid w:val="007A5D82"/>
    <w:rsid w:val="007C3852"/>
    <w:rsid w:val="00806165"/>
    <w:rsid w:val="00842EA4"/>
    <w:rsid w:val="008618A5"/>
    <w:rsid w:val="0088327D"/>
    <w:rsid w:val="008B6D38"/>
    <w:rsid w:val="008D4084"/>
    <w:rsid w:val="0090511E"/>
    <w:rsid w:val="009175E9"/>
    <w:rsid w:val="00947DB6"/>
    <w:rsid w:val="00965F66"/>
    <w:rsid w:val="009D3545"/>
    <w:rsid w:val="009F125B"/>
    <w:rsid w:val="00A30AEF"/>
    <w:rsid w:val="00A74250"/>
    <w:rsid w:val="00AD3CA6"/>
    <w:rsid w:val="00AE44FE"/>
    <w:rsid w:val="00B1163D"/>
    <w:rsid w:val="00B2721C"/>
    <w:rsid w:val="00B34A9D"/>
    <w:rsid w:val="00B52669"/>
    <w:rsid w:val="00B63531"/>
    <w:rsid w:val="00B648EC"/>
    <w:rsid w:val="00C23D3C"/>
    <w:rsid w:val="00C36099"/>
    <w:rsid w:val="00C40E2E"/>
    <w:rsid w:val="00C83E71"/>
    <w:rsid w:val="00C94444"/>
    <w:rsid w:val="00CB7716"/>
    <w:rsid w:val="00D56667"/>
    <w:rsid w:val="00D7121C"/>
    <w:rsid w:val="00D93836"/>
    <w:rsid w:val="00DC0A28"/>
    <w:rsid w:val="00E20DA8"/>
    <w:rsid w:val="00EB2895"/>
    <w:rsid w:val="00EC7558"/>
    <w:rsid w:val="00F02364"/>
    <w:rsid w:val="00F41063"/>
    <w:rsid w:val="00FC5D2D"/>
    <w:rsid w:val="011D1157"/>
    <w:rsid w:val="016C5D85"/>
    <w:rsid w:val="0173680C"/>
    <w:rsid w:val="01A65DF4"/>
    <w:rsid w:val="01BD38CD"/>
    <w:rsid w:val="01F95856"/>
    <w:rsid w:val="02093ECB"/>
    <w:rsid w:val="0244264F"/>
    <w:rsid w:val="02933FAD"/>
    <w:rsid w:val="02A67119"/>
    <w:rsid w:val="02DE09FE"/>
    <w:rsid w:val="02E3320A"/>
    <w:rsid w:val="03987E90"/>
    <w:rsid w:val="03A37C8B"/>
    <w:rsid w:val="03F24E6B"/>
    <w:rsid w:val="043B3259"/>
    <w:rsid w:val="04671DFA"/>
    <w:rsid w:val="0478263A"/>
    <w:rsid w:val="048B0BE3"/>
    <w:rsid w:val="04E5432C"/>
    <w:rsid w:val="04FF7A9E"/>
    <w:rsid w:val="05363B99"/>
    <w:rsid w:val="055A008C"/>
    <w:rsid w:val="05B81F05"/>
    <w:rsid w:val="05D07D45"/>
    <w:rsid w:val="05F177EF"/>
    <w:rsid w:val="060D2D6D"/>
    <w:rsid w:val="062538CD"/>
    <w:rsid w:val="06707204"/>
    <w:rsid w:val="06712353"/>
    <w:rsid w:val="070D53CC"/>
    <w:rsid w:val="073F1A26"/>
    <w:rsid w:val="07A70B0C"/>
    <w:rsid w:val="07B72919"/>
    <w:rsid w:val="082113BF"/>
    <w:rsid w:val="08441BD1"/>
    <w:rsid w:val="085146E0"/>
    <w:rsid w:val="085B3EDF"/>
    <w:rsid w:val="08790FDD"/>
    <w:rsid w:val="090A0C6C"/>
    <w:rsid w:val="09ED236D"/>
    <w:rsid w:val="09F522CD"/>
    <w:rsid w:val="0A3D0A07"/>
    <w:rsid w:val="0A8A361C"/>
    <w:rsid w:val="0B2A7304"/>
    <w:rsid w:val="0BA76599"/>
    <w:rsid w:val="0BF01F3B"/>
    <w:rsid w:val="0C43318D"/>
    <w:rsid w:val="0C4D4F1D"/>
    <w:rsid w:val="0C9308A7"/>
    <w:rsid w:val="0CB03D5B"/>
    <w:rsid w:val="0CF15AA7"/>
    <w:rsid w:val="0D1E59AF"/>
    <w:rsid w:val="0D2726F4"/>
    <w:rsid w:val="0D3A2FA5"/>
    <w:rsid w:val="0D727687"/>
    <w:rsid w:val="0D9500CF"/>
    <w:rsid w:val="0DBB1D88"/>
    <w:rsid w:val="0DDD00BB"/>
    <w:rsid w:val="0DEA4A36"/>
    <w:rsid w:val="0E445115"/>
    <w:rsid w:val="0E5F4475"/>
    <w:rsid w:val="0E6F26A4"/>
    <w:rsid w:val="0EA939A6"/>
    <w:rsid w:val="0EB80846"/>
    <w:rsid w:val="0EC74BBD"/>
    <w:rsid w:val="0F4D3080"/>
    <w:rsid w:val="0F627E4C"/>
    <w:rsid w:val="0FB10A51"/>
    <w:rsid w:val="0FB9182C"/>
    <w:rsid w:val="0FEA1F6A"/>
    <w:rsid w:val="10032A15"/>
    <w:rsid w:val="100C0AD7"/>
    <w:rsid w:val="106D1D9F"/>
    <w:rsid w:val="107E3BF9"/>
    <w:rsid w:val="10B26D73"/>
    <w:rsid w:val="10EC0DA2"/>
    <w:rsid w:val="11196562"/>
    <w:rsid w:val="112752BD"/>
    <w:rsid w:val="112A1FBA"/>
    <w:rsid w:val="115440FB"/>
    <w:rsid w:val="116B4148"/>
    <w:rsid w:val="11780D9F"/>
    <w:rsid w:val="11C96219"/>
    <w:rsid w:val="12327AA3"/>
    <w:rsid w:val="12816125"/>
    <w:rsid w:val="128D4F87"/>
    <w:rsid w:val="12984FCF"/>
    <w:rsid w:val="132F1043"/>
    <w:rsid w:val="13532CC3"/>
    <w:rsid w:val="13D226AF"/>
    <w:rsid w:val="13F50868"/>
    <w:rsid w:val="142B678F"/>
    <w:rsid w:val="14565D1F"/>
    <w:rsid w:val="14A01887"/>
    <w:rsid w:val="150429F6"/>
    <w:rsid w:val="15156A19"/>
    <w:rsid w:val="15502F5B"/>
    <w:rsid w:val="15A43EEF"/>
    <w:rsid w:val="15C36C81"/>
    <w:rsid w:val="160217CC"/>
    <w:rsid w:val="161327F0"/>
    <w:rsid w:val="16C93224"/>
    <w:rsid w:val="16EF3D98"/>
    <w:rsid w:val="17414F2C"/>
    <w:rsid w:val="177B2B4C"/>
    <w:rsid w:val="17AA23CB"/>
    <w:rsid w:val="17E27FC0"/>
    <w:rsid w:val="18F05CD5"/>
    <w:rsid w:val="196771CE"/>
    <w:rsid w:val="198F4E4D"/>
    <w:rsid w:val="19994FBD"/>
    <w:rsid w:val="19F35C21"/>
    <w:rsid w:val="1A802D6F"/>
    <w:rsid w:val="1AA56983"/>
    <w:rsid w:val="1ACC138E"/>
    <w:rsid w:val="1B1C50CA"/>
    <w:rsid w:val="1B3E61EA"/>
    <w:rsid w:val="1B961026"/>
    <w:rsid w:val="1BF70D78"/>
    <w:rsid w:val="1C1A0896"/>
    <w:rsid w:val="1C2F63A6"/>
    <w:rsid w:val="1C411AC8"/>
    <w:rsid w:val="1C4E6F07"/>
    <w:rsid w:val="1C5922C5"/>
    <w:rsid w:val="1CB13EFF"/>
    <w:rsid w:val="1CFD2715"/>
    <w:rsid w:val="1D1E6F13"/>
    <w:rsid w:val="1DC7617E"/>
    <w:rsid w:val="1DD4732B"/>
    <w:rsid w:val="1DF950D3"/>
    <w:rsid w:val="1EA436E1"/>
    <w:rsid w:val="1EA44EB2"/>
    <w:rsid w:val="1EB64880"/>
    <w:rsid w:val="1ED70904"/>
    <w:rsid w:val="1EDC717A"/>
    <w:rsid w:val="1EE447BD"/>
    <w:rsid w:val="1F0075A3"/>
    <w:rsid w:val="1F26222B"/>
    <w:rsid w:val="1F2666F0"/>
    <w:rsid w:val="1F475D97"/>
    <w:rsid w:val="1F7223F2"/>
    <w:rsid w:val="201C3760"/>
    <w:rsid w:val="20933232"/>
    <w:rsid w:val="20AA1D6D"/>
    <w:rsid w:val="20C57CD1"/>
    <w:rsid w:val="20E666F1"/>
    <w:rsid w:val="20EA3C90"/>
    <w:rsid w:val="212571C8"/>
    <w:rsid w:val="212A476B"/>
    <w:rsid w:val="21383677"/>
    <w:rsid w:val="21457372"/>
    <w:rsid w:val="21F10DE2"/>
    <w:rsid w:val="221424D5"/>
    <w:rsid w:val="22583BC7"/>
    <w:rsid w:val="22F55525"/>
    <w:rsid w:val="23092A84"/>
    <w:rsid w:val="232007CE"/>
    <w:rsid w:val="237301B7"/>
    <w:rsid w:val="23FE323E"/>
    <w:rsid w:val="240F5613"/>
    <w:rsid w:val="24481A30"/>
    <w:rsid w:val="24A57AC7"/>
    <w:rsid w:val="24A64F12"/>
    <w:rsid w:val="24C869D4"/>
    <w:rsid w:val="25077D32"/>
    <w:rsid w:val="250E1CE4"/>
    <w:rsid w:val="251B586A"/>
    <w:rsid w:val="25826320"/>
    <w:rsid w:val="259B384E"/>
    <w:rsid w:val="25A801F9"/>
    <w:rsid w:val="25D82B4F"/>
    <w:rsid w:val="25DD6B68"/>
    <w:rsid w:val="26162AD9"/>
    <w:rsid w:val="262B36B8"/>
    <w:rsid w:val="262C7FFE"/>
    <w:rsid w:val="265A15E2"/>
    <w:rsid w:val="2681149F"/>
    <w:rsid w:val="26896C05"/>
    <w:rsid w:val="268A7BBC"/>
    <w:rsid w:val="269311D6"/>
    <w:rsid w:val="26BA1F5E"/>
    <w:rsid w:val="26C11FC8"/>
    <w:rsid w:val="26D128B1"/>
    <w:rsid w:val="26DD58CA"/>
    <w:rsid w:val="27536561"/>
    <w:rsid w:val="27600C05"/>
    <w:rsid w:val="27D8367E"/>
    <w:rsid w:val="27E03436"/>
    <w:rsid w:val="283E6645"/>
    <w:rsid w:val="284424C4"/>
    <w:rsid w:val="287929B6"/>
    <w:rsid w:val="28880324"/>
    <w:rsid w:val="28A649CC"/>
    <w:rsid w:val="293B67AD"/>
    <w:rsid w:val="295369B9"/>
    <w:rsid w:val="29703C0E"/>
    <w:rsid w:val="2A1D12B0"/>
    <w:rsid w:val="2A2C7628"/>
    <w:rsid w:val="2A3740FB"/>
    <w:rsid w:val="2AEC6457"/>
    <w:rsid w:val="2B316C52"/>
    <w:rsid w:val="2B486B34"/>
    <w:rsid w:val="2B68750C"/>
    <w:rsid w:val="2B805ECF"/>
    <w:rsid w:val="2BBF51B8"/>
    <w:rsid w:val="2BDF5133"/>
    <w:rsid w:val="2C102DF1"/>
    <w:rsid w:val="2C577E1C"/>
    <w:rsid w:val="2CA91BCF"/>
    <w:rsid w:val="2CB84FC8"/>
    <w:rsid w:val="2CC80477"/>
    <w:rsid w:val="2CE60D22"/>
    <w:rsid w:val="2CF50491"/>
    <w:rsid w:val="2D2B69FD"/>
    <w:rsid w:val="2D583FAD"/>
    <w:rsid w:val="2D602BCE"/>
    <w:rsid w:val="2D6218A5"/>
    <w:rsid w:val="2D86754E"/>
    <w:rsid w:val="2D940842"/>
    <w:rsid w:val="2DB25E25"/>
    <w:rsid w:val="2DF55BD7"/>
    <w:rsid w:val="2E0F176C"/>
    <w:rsid w:val="2E3702D7"/>
    <w:rsid w:val="2E404493"/>
    <w:rsid w:val="2E4A46DB"/>
    <w:rsid w:val="2EC75D1E"/>
    <w:rsid w:val="2EF041DA"/>
    <w:rsid w:val="2F096EF5"/>
    <w:rsid w:val="2FEF4A03"/>
    <w:rsid w:val="2FF2065D"/>
    <w:rsid w:val="2FF92D1D"/>
    <w:rsid w:val="31140260"/>
    <w:rsid w:val="313F2FAA"/>
    <w:rsid w:val="314D7236"/>
    <w:rsid w:val="31C2580F"/>
    <w:rsid w:val="31CB7F0F"/>
    <w:rsid w:val="32390F30"/>
    <w:rsid w:val="3267264A"/>
    <w:rsid w:val="32AD78BA"/>
    <w:rsid w:val="32B60AA4"/>
    <w:rsid w:val="32D86D2B"/>
    <w:rsid w:val="32E96DDF"/>
    <w:rsid w:val="32FE7130"/>
    <w:rsid w:val="33614C67"/>
    <w:rsid w:val="336D4581"/>
    <w:rsid w:val="33824DCA"/>
    <w:rsid w:val="33BA0ED1"/>
    <w:rsid w:val="33CE7CF0"/>
    <w:rsid w:val="341777B7"/>
    <w:rsid w:val="34240224"/>
    <w:rsid w:val="343E3ECE"/>
    <w:rsid w:val="344B693C"/>
    <w:rsid w:val="34C41B4E"/>
    <w:rsid w:val="357E7C13"/>
    <w:rsid w:val="3590453D"/>
    <w:rsid w:val="35B40314"/>
    <w:rsid w:val="35BB7E68"/>
    <w:rsid w:val="35C36C7A"/>
    <w:rsid w:val="35DA4271"/>
    <w:rsid w:val="35EE60D6"/>
    <w:rsid w:val="3618174F"/>
    <w:rsid w:val="36855DEE"/>
    <w:rsid w:val="368B1519"/>
    <w:rsid w:val="369E781D"/>
    <w:rsid w:val="370E275D"/>
    <w:rsid w:val="377A31B2"/>
    <w:rsid w:val="380F2CD9"/>
    <w:rsid w:val="38241A18"/>
    <w:rsid w:val="38492A1A"/>
    <w:rsid w:val="386D4A46"/>
    <w:rsid w:val="387B5740"/>
    <w:rsid w:val="39880784"/>
    <w:rsid w:val="39A477F1"/>
    <w:rsid w:val="3A0E6D07"/>
    <w:rsid w:val="3A35512C"/>
    <w:rsid w:val="3A7168DA"/>
    <w:rsid w:val="3A7B17E3"/>
    <w:rsid w:val="3B093107"/>
    <w:rsid w:val="3BF76B93"/>
    <w:rsid w:val="3BFC6515"/>
    <w:rsid w:val="3C4C279A"/>
    <w:rsid w:val="3D10264F"/>
    <w:rsid w:val="3D4A2634"/>
    <w:rsid w:val="3D686D69"/>
    <w:rsid w:val="3E0539F1"/>
    <w:rsid w:val="3E343376"/>
    <w:rsid w:val="3E682791"/>
    <w:rsid w:val="3EA7050A"/>
    <w:rsid w:val="3EE4151D"/>
    <w:rsid w:val="3F036128"/>
    <w:rsid w:val="3F165706"/>
    <w:rsid w:val="3F297B72"/>
    <w:rsid w:val="3F7074B3"/>
    <w:rsid w:val="40096C7C"/>
    <w:rsid w:val="40247403"/>
    <w:rsid w:val="406E447F"/>
    <w:rsid w:val="40E44E88"/>
    <w:rsid w:val="411C7E79"/>
    <w:rsid w:val="41320B37"/>
    <w:rsid w:val="4132695A"/>
    <w:rsid w:val="41841542"/>
    <w:rsid w:val="41E3728F"/>
    <w:rsid w:val="41E427AD"/>
    <w:rsid w:val="41FF4189"/>
    <w:rsid w:val="42082244"/>
    <w:rsid w:val="42621342"/>
    <w:rsid w:val="4266334F"/>
    <w:rsid w:val="426D32C3"/>
    <w:rsid w:val="426F36C4"/>
    <w:rsid w:val="427C635A"/>
    <w:rsid w:val="43024664"/>
    <w:rsid w:val="4345143F"/>
    <w:rsid w:val="435171C2"/>
    <w:rsid w:val="43601F6E"/>
    <w:rsid w:val="44397F00"/>
    <w:rsid w:val="44EB79FC"/>
    <w:rsid w:val="451D594D"/>
    <w:rsid w:val="45732F05"/>
    <w:rsid w:val="45822414"/>
    <w:rsid w:val="45C66EB9"/>
    <w:rsid w:val="466F060F"/>
    <w:rsid w:val="46A4073F"/>
    <w:rsid w:val="46A9137B"/>
    <w:rsid w:val="47452CF6"/>
    <w:rsid w:val="47834466"/>
    <w:rsid w:val="478F3C0D"/>
    <w:rsid w:val="479A4004"/>
    <w:rsid w:val="47B77845"/>
    <w:rsid w:val="48980810"/>
    <w:rsid w:val="4905062F"/>
    <w:rsid w:val="4905711D"/>
    <w:rsid w:val="49A23E49"/>
    <w:rsid w:val="49F153EB"/>
    <w:rsid w:val="49F70BF1"/>
    <w:rsid w:val="4A663F0F"/>
    <w:rsid w:val="4ABC3B25"/>
    <w:rsid w:val="4ACB1BE5"/>
    <w:rsid w:val="4B162A60"/>
    <w:rsid w:val="4B1A16AC"/>
    <w:rsid w:val="4B254E3F"/>
    <w:rsid w:val="4B2E7A87"/>
    <w:rsid w:val="4B8E3B2C"/>
    <w:rsid w:val="4BD8742A"/>
    <w:rsid w:val="4BE918D6"/>
    <w:rsid w:val="4C1075E0"/>
    <w:rsid w:val="4C517353"/>
    <w:rsid w:val="4CE34799"/>
    <w:rsid w:val="4CFB33DC"/>
    <w:rsid w:val="4D8E6102"/>
    <w:rsid w:val="4E0609E9"/>
    <w:rsid w:val="4E662E38"/>
    <w:rsid w:val="4ED80CDA"/>
    <w:rsid w:val="4F0630A2"/>
    <w:rsid w:val="4F3379A8"/>
    <w:rsid w:val="4F510271"/>
    <w:rsid w:val="500A76D1"/>
    <w:rsid w:val="502D6515"/>
    <w:rsid w:val="503D1053"/>
    <w:rsid w:val="503E7050"/>
    <w:rsid w:val="505F5A8C"/>
    <w:rsid w:val="509C514A"/>
    <w:rsid w:val="50A961C1"/>
    <w:rsid w:val="50C62BBE"/>
    <w:rsid w:val="50DD778E"/>
    <w:rsid w:val="51067C16"/>
    <w:rsid w:val="51094E52"/>
    <w:rsid w:val="51954D01"/>
    <w:rsid w:val="52411237"/>
    <w:rsid w:val="524E167B"/>
    <w:rsid w:val="527B679E"/>
    <w:rsid w:val="52EA53FE"/>
    <w:rsid w:val="53046E39"/>
    <w:rsid w:val="53C40E54"/>
    <w:rsid w:val="542573E4"/>
    <w:rsid w:val="545A05A8"/>
    <w:rsid w:val="5469096B"/>
    <w:rsid w:val="54724003"/>
    <w:rsid w:val="547E7C8C"/>
    <w:rsid w:val="549C1A5E"/>
    <w:rsid w:val="555F7CF5"/>
    <w:rsid w:val="55B25162"/>
    <w:rsid w:val="55F05221"/>
    <w:rsid w:val="564660A8"/>
    <w:rsid w:val="564F52B5"/>
    <w:rsid w:val="5662210E"/>
    <w:rsid w:val="56687261"/>
    <w:rsid w:val="568271E3"/>
    <w:rsid w:val="568624C5"/>
    <w:rsid w:val="56EC1FBA"/>
    <w:rsid w:val="572A3B2E"/>
    <w:rsid w:val="577033AB"/>
    <w:rsid w:val="57906ACA"/>
    <w:rsid w:val="57916B07"/>
    <w:rsid w:val="57A92B58"/>
    <w:rsid w:val="57D341F1"/>
    <w:rsid w:val="581C20F6"/>
    <w:rsid w:val="58203209"/>
    <w:rsid w:val="58956051"/>
    <w:rsid w:val="589908D1"/>
    <w:rsid w:val="58B82C90"/>
    <w:rsid w:val="58E2665F"/>
    <w:rsid w:val="58FF6073"/>
    <w:rsid w:val="590C34FE"/>
    <w:rsid w:val="59502101"/>
    <w:rsid w:val="596B5919"/>
    <w:rsid w:val="597520FE"/>
    <w:rsid w:val="597A3AB5"/>
    <w:rsid w:val="59835FD6"/>
    <w:rsid w:val="59F83BFF"/>
    <w:rsid w:val="5A09023F"/>
    <w:rsid w:val="5A340266"/>
    <w:rsid w:val="5A47293F"/>
    <w:rsid w:val="5A571975"/>
    <w:rsid w:val="5A590646"/>
    <w:rsid w:val="5ABB487E"/>
    <w:rsid w:val="5ABF0775"/>
    <w:rsid w:val="5B4D6E71"/>
    <w:rsid w:val="5B5D353A"/>
    <w:rsid w:val="5B8F27D1"/>
    <w:rsid w:val="5BA21A3A"/>
    <w:rsid w:val="5BB53E8E"/>
    <w:rsid w:val="5C641115"/>
    <w:rsid w:val="5CC72378"/>
    <w:rsid w:val="5CC92B56"/>
    <w:rsid w:val="5CD31FD2"/>
    <w:rsid w:val="5D2466DF"/>
    <w:rsid w:val="5D2852F1"/>
    <w:rsid w:val="5D456B0D"/>
    <w:rsid w:val="5DB478FC"/>
    <w:rsid w:val="5DEF181F"/>
    <w:rsid w:val="5EFC2528"/>
    <w:rsid w:val="5F32749F"/>
    <w:rsid w:val="5F37514E"/>
    <w:rsid w:val="5F6532E5"/>
    <w:rsid w:val="5F81444B"/>
    <w:rsid w:val="5F824311"/>
    <w:rsid w:val="6017051A"/>
    <w:rsid w:val="604556EA"/>
    <w:rsid w:val="60746A09"/>
    <w:rsid w:val="6094260A"/>
    <w:rsid w:val="609F412A"/>
    <w:rsid w:val="60B53900"/>
    <w:rsid w:val="60DC455F"/>
    <w:rsid w:val="615E6897"/>
    <w:rsid w:val="6193127D"/>
    <w:rsid w:val="61C270D3"/>
    <w:rsid w:val="620948E3"/>
    <w:rsid w:val="621D2FB3"/>
    <w:rsid w:val="628B380D"/>
    <w:rsid w:val="63192DBC"/>
    <w:rsid w:val="635864F1"/>
    <w:rsid w:val="635A0B09"/>
    <w:rsid w:val="635A4B1E"/>
    <w:rsid w:val="636F300F"/>
    <w:rsid w:val="63BA2769"/>
    <w:rsid w:val="64057582"/>
    <w:rsid w:val="64D442D4"/>
    <w:rsid w:val="655003C1"/>
    <w:rsid w:val="656259AF"/>
    <w:rsid w:val="66590034"/>
    <w:rsid w:val="667C7D90"/>
    <w:rsid w:val="66CD380D"/>
    <w:rsid w:val="672F6B54"/>
    <w:rsid w:val="682B22EE"/>
    <w:rsid w:val="68A50956"/>
    <w:rsid w:val="69394C97"/>
    <w:rsid w:val="6A79777D"/>
    <w:rsid w:val="6ABB4AAB"/>
    <w:rsid w:val="6AD4703F"/>
    <w:rsid w:val="6AF22B49"/>
    <w:rsid w:val="6B1F4A89"/>
    <w:rsid w:val="6B2230D8"/>
    <w:rsid w:val="6B4760F7"/>
    <w:rsid w:val="6B8E754D"/>
    <w:rsid w:val="6BA51BD4"/>
    <w:rsid w:val="6BAB4171"/>
    <w:rsid w:val="6BBF4C36"/>
    <w:rsid w:val="6C0D6E26"/>
    <w:rsid w:val="6C8555BA"/>
    <w:rsid w:val="6D067C9B"/>
    <w:rsid w:val="6D085C3F"/>
    <w:rsid w:val="6D0C3853"/>
    <w:rsid w:val="6D0D4301"/>
    <w:rsid w:val="6D1A3235"/>
    <w:rsid w:val="6D361A59"/>
    <w:rsid w:val="6D3B2367"/>
    <w:rsid w:val="6D645A97"/>
    <w:rsid w:val="6DBE79E8"/>
    <w:rsid w:val="6E0B2E38"/>
    <w:rsid w:val="6E436F2E"/>
    <w:rsid w:val="6E8F5195"/>
    <w:rsid w:val="6EEA017E"/>
    <w:rsid w:val="6F1E54DD"/>
    <w:rsid w:val="6F604695"/>
    <w:rsid w:val="6F7C0352"/>
    <w:rsid w:val="6FAA2EC4"/>
    <w:rsid w:val="6FDE1260"/>
    <w:rsid w:val="6FE37C6B"/>
    <w:rsid w:val="6FF46682"/>
    <w:rsid w:val="6FF605F1"/>
    <w:rsid w:val="702D7172"/>
    <w:rsid w:val="703F41FE"/>
    <w:rsid w:val="706E54C8"/>
    <w:rsid w:val="7083132E"/>
    <w:rsid w:val="70A6675E"/>
    <w:rsid w:val="70AE720C"/>
    <w:rsid w:val="70DC4E25"/>
    <w:rsid w:val="71145BE1"/>
    <w:rsid w:val="716266D2"/>
    <w:rsid w:val="71E1259E"/>
    <w:rsid w:val="728C3623"/>
    <w:rsid w:val="72916065"/>
    <w:rsid w:val="73675010"/>
    <w:rsid w:val="73920F05"/>
    <w:rsid w:val="73976045"/>
    <w:rsid w:val="73A43391"/>
    <w:rsid w:val="73F3727F"/>
    <w:rsid w:val="746475CB"/>
    <w:rsid w:val="746C62BC"/>
    <w:rsid w:val="75004840"/>
    <w:rsid w:val="750D051A"/>
    <w:rsid w:val="751F371C"/>
    <w:rsid w:val="755B338D"/>
    <w:rsid w:val="75954DD4"/>
    <w:rsid w:val="76455A0E"/>
    <w:rsid w:val="772113EB"/>
    <w:rsid w:val="77246AB7"/>
    <w:rsid w:val="7783051C"/>
    <w:rsid w:val="77883207"/>
    <w:rsid w:val="77A824AB"/>
    <w:rsid w:val="77BC475C"/>
    <w:rsid w:val="781333A2"/>
    <w:rsid w:val="781C5BB5"/>
    <w:rsid w:val="781F4920"/>
    <w:rsid w:val="78264294"/>
    <w:rsid w:val="784B607E"/>
    <w:rsid w:val="787A3EB4"/>
    <w:rsid w:val="79003002"/>
    <w:rsid w:val="798745EF"/>
    <w:rsid w:val="79907722"/>
    <w:rsid w:val="79B1652A"/>
    <w:rsid w:val="79DF05CC"/>
    <w:rsid w:val="7A434CC1"/>
    <w:rsid w:val="7A456F9C"/>
    <w:rsid w:val="7A7310CE"/>
    <w:rsid w:val="7A7B5B34"/>
    <w:rsid w:val="7A8557B5"/>
    <w:rsid w:val="7B0376B7"/>
    <w:rsid w:val="7B581679"/>
    <w:rsid w:val="7B8C15C1"/>
    <w:rsid w:val="7C9971B9"/>
    <w:rsid w:val="7C9A3FDD"/>
    <w:rsid w:val="7D34712E"/>
    <w:rsid w:val="7D6272D6"/>
    <w:rsid w:val="7DE215DB"/>
    <w:rsid w:val="7E175259"/>
    <w:rsid w:val="7E225CCF"/>
    <w:rsid w:val="7E5C74B9"/>
    <w:rsid w:val="7E704415"/>
    <w:rsid w:val="7E844ADF"/>
    <w:rsid w:val="7E902A56"/>
    <w:rsid w:val="7EB377D3"/>
    <w:rsid w:val="7EE57C91"/>
    <w:rsid w:val="7F5537F6"/>
    <w:rsid w:val="7F9C297E"/>
    <w:rsid w:val="7FBE00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4">
    <w:name w:val="heading 1"/>
    <w:basedOn w:val="1"/>
    <w:next w:val="1"/>
    <w:link w:val="105"/>
    <w:qFormat/>
    <w:uiPriority w:val="9"/>
    <w:pPr>
      <w:keepNext/>
      <w:widowControl/>
      <w:spacing w:line="360" w:lineRule="auto"/>
      <w:jc w:val="center"/>
      <w:outlineLvl w:val="0"/>
    </w:pPr>
    <w:rPr>
      <w:rFonts w:ascii="黑体"/>
      <w:b/>
      <w:kern w:val="0"/>
      <w:sz w:val="32"/>
    </w:rPr>
  </w:style>
  <w:style w:type="paragraph" w:styleId="5">
    <w:name w:val="heading 2"/>
    <w:basedOn w:val="1"/>
    <w:next w:val="1"/>
    <w:link w:val="184"/>
    <w:qFormat/>
    <w:uiPriority w:val="0"/>
    <w:pPr>
      <w:keepNext/>
      <w:keepLines/>
      <w:tabs>
        <w:tab w:val="left" w:pos="706"/>
        <w:tab w:val="left" w:pos="1110"/>
      </w:tabs>
      <w:spacing w:line="360" w:lineRule="auto"/>
      <w:ind w:left="106" w:firstLine="454"/>
      <w:outlineLvl w:val="1"/>
    </w:pPr>
    <w:rPr>
      <w:rFonts w:eastAsia="黑体"/>
      <w:b/>
      <w:sz w:val="21"/>
    </w:rPr>
  </w:style>
  <w:style w:type="paragraph" w:styleId="6">
    <w:name w:val="heading 3"/>
    <w:basedOn w:val="1"/>
    <w:next w:val="1"/>
    <w:link w:val="107"/>
    <w:qFormat/>
    <w:uiPriority w:val="0"/>
    <w:pPr>
      <w:keepNext/>
      <w:keepLines/>
      <w:widowControl/>
      <w:tabs>
        <w:tab w:val="left" w:pos="720"/>
      </w:tabs>
      <w:spacing w:before="120" w:after="120" w:line="360" w:lineRule="auto"/>
      <w:ind w:left="720" w:hanging="720"/>
      <w:jc w:val="center"/>
      <w:outlineLvl w:val="2"/>
    </w:pPr>
    <w:rPr>
      <w:b/>
      <w:kern w:val="0"/>
      <w:sz w:val="32"/>
    </w:rPr>
  </w:style>
  <w:style w:type="paragraph" w:styleId="7">
    <w:name w:val="heading 4"/>
    <w:basedOn w:val="1"/>
    <w:next w:val="1"/>
    <w:link w:val="108"/>
    <w:qFormat/>
    <w:uiPriority w:val="0"/>
    <w:pPr>
      <w:tabs>
        <w:tab w:val="left" w:pos="720"/>
      </w:tabs>
      <w:spacing w:before="280" w:after="290" w:line="372" w:lineRule="auto"/>
      <w:outlineLvl w:val="3"/>
    </w:pPr>
    <w:rPr>
      <w:rFonts w:ascii="Arial" w:hAnsi="Arial" w:eastAsia="黑体"/>
    </w:rPr>
  </w:style>
  <w:style w:type="paragraph" w:styleId="8">
    <w:name w:val="heading 5"/>
    <w:basedOn w:val="1"/>
    <w:next w:val="2"/>
    <w:link w:val="109"/>
    <w:qFormat/>
    <w:uiPriority w:val="0"/>
    <w:pPr>
      <w:keepNext/>
      <w:keepLines/>
      <w:spacing w:before="280" w:after="290" w:line="372" w:lineRule="auto"/>
      <w:outlineLvl w:val="4"/>
    </w:pPr>
    <w:rPr>
      <w:b/>
    </w:rPr>
  </w:style>
  <w:style w:type="paragraph" w:styleId="9">
    <w:name w:val="heading 6"/>
    <w:basedOn w:val="1"/>
    <w:next w:val="1"/>
    <w:link w:val="110"/>
    <w:qFormat/>
    <w:uiPriority w:val="0"/>
    <w:pPr>
      <w:keepNext/>
      <w:keepLines/>
      <w:widowControl/>
      <w:tabs>
        <w:tab w:val="left" w:pos="1440"/>
      </w:tabs>
      <w:spacing w:before="240" w:after="64" w:line="317" w:lineRule="auto"/>
      <w:ind w:left="1152" w:hanging="1152"/>
      <w:jc w:val="left"/>
      <w:outlineLvl w:val="5"/>
    </w:pPr>
    <w:rPr>
      <w:rFonts w:ascii="Arial" w:hAnsi="Arial" w:eastAsia="黑体"/>
      <w:b/>
      <w:kern w:val="0"/>
      <w:sz w:val="24"/>
    </w:rPr>
  </w:style>
  <w:style w:type="paragraph" w:styleId="10">
    <w:name w:val="heading 7"/>
    <w:basedOn w:val="1"/>
    <w:next w:val="1"/>
    <w:link w:val="111"/>
    <w:qFormat/>
    <w:uiPriority w:val="0"/>
    <w:pPr>
      <w:keepNext/>
      <w:keepLines/>
      <w:widowControl/>
      <w:tabs>
        <w:tab w:val="left" w:pos="2520"/>
      </w:tabs>
      <w:spacing w:before="240" w:after="64" w:line="317" w:lineRule="auto"/>
      <w:ind w:left="1296" w:hanging="1296"/>
      <w:jc w:val="left"/>
      <w:outlineLvl w:val="6"/>
    </w:pPr>
    <w:rPr>
      <w:b/>
      <w:kern w:val="0"/>
      <w:sz w:val="24"/>
    </w:rPr>
  </w:style>
  <w:style w:type="paragraph" w:styleId="11">
    <w:name w:val="heading 8"/>
    <w:basedOn w:val="1"/>
    <w:next w:val="1"/>
    <w:link w:val="112"/>
    <w:qFormat/>
    <w:uiPriority w:val="0"/>
    <w:pPr>
      <w:keepNext/>
      <w:keepLines/>
      <w:widowControl/>
      <w:tabs>
        <w:tab w:val="left" w:pos="1440"/>
      </w:tabs>
      <w:spacing w:before="240" w:after="64" w:line="317" w:lineRule="auto"/>
      <w:ind w:left="1440" w:hanging="1440"/>
      <w:jc w:val="left"/>
      <w:outlineLvl w:val="7"/>
    </w:pPr>
    <w:rPr>
      <w:rFonts w:ascii="Arial" w:hAnsi="Arial" w:eastAsia="黑体"/>
      <w:kern w:val="0"/>
      <w:sz w:val="24"/>
    </w:rPr>
  </w:style>
  <w:style w:type="paragraph" w:styleId="12">
    <w:name w:val="heading 9"/>
    <w:basedOn w:val="1"/>
    <w:next w:val="1"/>
    <w:link w:val="113"/>
    <w:qFormat/>
    <w:uiPriority w:val="0"/>
    <w:pPr>
      <w:keepNext/>
      <w:keepLines/>
      <w:widowControl/>
      <w:tabs>
        <w:tab w:val="left" w:pos="1584"/>
      </w:tabs>
      <w:spacing w:before="240" w:after="64" w:line="317" w:lineRule="auto"/>
      <w:ind w:left="1584" w:hanging="1584"/>
      <w:jc w:val="left"/>
      <w:outlineLvl w:val="8"/>
    </w:pPr>
    <w:rPr>
      <w:rFonts w:ascii="Arial" w:hAnsi="Arial" w:eastAsia="黑体"/>
      <w:kern w:val="0"/>
      <w:sz w:val="21"/>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304"/>
    <w:qFormat/>
    <w:uiPriority w:val="0"/>
    <w:pPr>
      <w:widowControl/>
      <w:ind w:firstLine="420"/>
      <w:jc w:val="left"/>
    </w:pPr>
    <w:rPr>
      <w:rFonts w:asciiTheme="minorHAnsi" w:hAnsiTheme="minorHAnsi" w:cstheme="minorBidi"/>
      <w:sz w:val="24"/>
      <w:szCs w:val="22"/>
    </w:rPr>
  </w:style>
  <w:style w:type="paragraph" w:styleId="3">
    <w:name w:val="macro"/>
    <w:link w:val="337"/>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heme="minorEastAsia" w:cstheme="minorBidi"/>
      <w:kern w:val="2"/>
      <w:sz w:val="24"/>
      <w:szCs w:val="22"/>
      <w:lang w:val="en-US" w:eastAsia="zh-CN" w:bidi="ar-SA"/>
    </w:rPr>
  </w:style>
  <w:style w:type="paragraph" w:styleId="13">
    <w:name w:val="List 3"/>
    <w:basedOn w:val="1"/>
    <w:qFormat/>
    <w:uiPriority w:val="0"/>
    <w:pPr>
      <w:ind w:left="100" w:leftChars="400" w:hanging="200" w:hangingChars="200"/>
    </w:pPr>
    <w:rPr>
      <w:sz w:val="21"/>
    </w:rPr>
  </w:style>
  <w:style w:type="paragraph" w:styleId="14">
    <w:name w:val="toc 7"/>
    <w:basedOn w:val="1"/>
    <w:next w:val="1"/>
    <w:qFormat/>
    <w:uiPriority w:val="0"/>
    <w:pPr>
      <w:ind w:left="1680"/>
      <w:jc w:val="left"/>
    </w:pPr>
    <w:rPr>
      <w:sz w:val="18"/>
    </w:rPr>
  </w:style>
  <w:style w:type="paragraph" w:styleId="15">
    <w:name w:val="List Number 2"/>
    <w:basedOn w:val="1"/>
    <w:qFormat/>
    <w:uiPriority w:val="0"/>
    <w:pPr>
      <w:tabs>
        <w:tab w:val="left" w:pos="0"/>
      </w:tabs>
      <w:ind w:left="1146" w:hanging="720"/>
    </w:pPr>
    <w:rPr>
      <w:sz w:val="21"/>
    </w:rPr>
  </w:style>
  <w:style w:type="paragraph" w:styleId="16">
    <w:name w:val="table of authorities"/>
    <w:basedOn w:val="1"/>
    <w:next w:val="1"/>
    <w:qFormat/>
    <w:uiPriority w:val="0"/>
    <w:pPr>
      <w:ind w:left="420" w:leftChars="200"/>
    </w:pPr>
    <w:rPr>
      <w:sz w:val="21"/>
    </w:rPr>
  </w:style>
  <w:style w:type="paragraph" w:styleId="17">
    <w:name w:val="Note Heading"/>
    <w:basedOn w:val="1"/>
    <w:next w:val="1"/>
    <w:link w:val="333"/>
    <w:qFormat/>
    <w:uiPriority w:val="0"/>
    <w:pPr>
      <w:jc w:val="center"/>
    </w:pPr>
    <w:rPr>
      <w:rFonts w:asciiTheme="minorHAnsi" w:hAnsiTheme="minorHAnsi" w:eastAsiaTheme="minorEastAsia" w:cstheme="minorBidi"/>
      <w:sz w:val="21"/>
      <w:szCs w:val="22"/>
    </w:rPr>
  </w:style>
  <w:style w:type="paragraph" w:styleId="18">
    <w:name w:val="List Bullet 4"/>
    <w:basedOn w:val="1"/>
    <w:qFormat/>
    <w:uiPriority w:val="0"/>
    <w:pPr>
      <w:tabs>
        <w:tab w:val="left" w:pos="1620"/>
      </w:tabs>
      <w:ind w:left="1620" w:hanging="360"/>
    </w:pPr>
    <w:rPr>
      <w:sz w:val="21"/>
    </w:rPr>
  </w:style>
  <w:style w:type="paragraph" w:styleId="19">
    <w:name w:val="index 8"/>
    <w:basedOn w:val="1"/>
    <w:next w:val="1"/>
    <w:qFormat/>
    <w:uiPriority w:val="0"/>
    <w:pPr>
      <w:ind w:left="1400" w:leftChars="1400"/>
    </w:pPr>
    <w:rPr>
      <w:sz w:val="21"/>
    </w:rPr>
  </w:style>
  <w:style w:type="paragraph" w:styleId="20">
    <w:name w:val="E-mail Signature"/>
    <w:basedOn w:val="1"/>
    <w:link w:val="327"/>
    <w:qFormat/>
    <w:uiPriority w:val="0"/>
    <w:rPr>
      <w:rFonts w:asciiTheme="minorHAnsi" w:hAnsiTheme="minorHAnsi" w:eastAsiaTheme="minorEastAsia" w:cstheme="minorBidi"/>
      <w:sz w:val="21"/>
      <w:szCs w:val="22"/>
    </w:rPr>
  </w:style>
  <w:style w:type="paragraph" w:styleId="21">
    <w:name w:val="List Number"/>
    <w:basedOn w:val="1"/>
    <w:qFormat/>
    <w:uiPriority w:val="0"/>
    <w:pPr>
      <w:tabs>
        <w:tab w:val="left" w:pos="360"/>
      </w:tabs>
      <w:ind w:left="360" w:hanging="360"/>
    </w:pPr>
    <w:rPr>
      <w:sz w:val="21"/>
    </w:rPr>
  </w:style>
  <w:style w:type="paragraph" w:styleId="22">
    <w:name w:val="caption"/>
    <w:basedOn w:val="1"/>
    <w:next w:val="1"/>
    <w:qFormat/>
    <w:uiPriority w:val="0"/>
    <w:rPr>
      <w:rFonts w:ascii="Arial" w:hAnsi="Arial" w:eastAsia="黑体"/>
      <w:sz w:val="20"/>
    </w:rPr>
  </w:style>
  <w:style w:type="paragraph" w:styleId="23">
    <w:name w:val="index 5"/>
    <w:basedOn w:val="1"/>
    <w:next w:val="1"/>
    <w:qFormat/>
    <w:uiPriority w:val="0"/>
    <w:pPr>
      <w:ind w:left="800" w:leftChars="800"/>
    </w:pPr>
    <w:rPr>
      <w:sz w:val="21"/>
    </w:rPr>
  </w:style>
  <w:style w:type="paragraph" w:styleId="24">
    <w:name w:val="List Bullet"/>
    <w:basedOn w:val="1"/>
    <w:qFormat/>
    <w:uiPriority w:val="0"/>
    <w:pPr>
      <w:tabs>
        <w:tab w:val="left" w:pos="735"/>
      </w:tabs>
      <w:ind w:left="735"/>
    </w:pPr>
    <w:rPr>
      <w:sz w:val="21"/>
    </w:rPr>
  </w:style>
  <w:style w:type="paragraph" w:styleId="25">
    <w:name w:val="envelope address"/>
    <w:basedOn w:val="1"/>
    <w:qFormat/>
    <w:uiPriority w:val="0"/>
    <w:pPr>
      <w:snapToGrid w:val="0"/>
      <w:ind w:left="100" w:leftChars="1400"/>
    </w:pPr>
    <w:rPr>
      <w:rFonts w:ascii="Arial" w:hAnsi="Arial"/>
      <w:sz w:val="24"/>
    </w:rPr>
  </w:style>
  <w:style w:type="paragraph" w:styleId="26">
    <w:name w:val="Document Map"/>
    <w:basedOn w:val="1"/>
    <w:link w:val="335"/>
    <w:qFormat/>
    <w:uiPriority w:val="0"/>
    <w:pPr>
      <w:shd w:val="clear" w:color="auto" w:fill="000080"/>
    </w:pPr>
    <w:rPr>
      <w:rFonts w:asciiTheme="minorHAnsi" w:hAnsiTheme="minorHAnsi" w:eastAsiaTheme="minorEastAsia" w:cstheme="minorBidi"/>
      <w:szCs w:val="22"/>
      <w:shd w:val="clear" w:color="auto" w:fill="000080"/>
    </w:rPr>
  </w:style>
  <w:style w:type="paragraph" w:styleId="27">
    <w:name w:val="toa heading"/>
    <w:basedOn w:val="1"/>
    <w:next w:val="1"/>
    <w:qFormat/>
    <w:uiPriority w:val="0"/>
    <w:pPr>
      <w:spacing w:before="120"/>
    </w:pPr>
    <w:rPr>
      <w:rFonts w:ascii="Arial" w:hAnsi="Arial"/>
      <w:sz w:val="24"/>
    </w:rPr>
  </w:style>
  <w:style w:type="paragraph" w:styleId="28">
    <w:name w:val="annotation text"/>
    <w:basedOn w:val="1"/>
    <w:link w:val="120"/>
    <w:unhideWhenUsed/>
    <w:qFormat/>
    <w:uiPriority w:val="0"/>
    <w:pPr>
      <w:jc w:val="left"/>
    </w:pPr>
  </w:style>
  <w:style w:type="paragraph" w:styleId="29">
    <w:name w:val="index 6"/>
    <w:basedOn w:val="1"/>
    <w:next w:val="1"/>
    <w:qFormat/>
    <w:uiPriority w:val="0"/>
    <w:pPr>
      <w:ind w:left="1000" w:leftChars="1000"/>
    </w:pPr>
    <w:rPr>
      <w:sz w:val="21"/>
    </w:rPr>
  </w:style>
  <w:style w:type="paragraph" w:styleId="30">
    <w:name w:val="Salutation"/>
    <w:basedOn w:val="1"/>
    <w:next w:val="1"/>
    <w:link w:val="343"/>
    <w:qFormat/>
    <w:uiPriority w:val="0"/>
    <w:rPr>
      <w:rFonts w:ascii="宋体" w:hAnsiTheme="minorHAnsi" w:eastAsiaTheme="minorEastAsia" w:cstheme="minorBidi"/>
      <w:szCs w:val="22"/>
    </w:rPr>
  </w:style>
  <w:style w:type="paragraph" w:styleId="31">
    <w:name w:val="Body Text 3"/>
    <w:basedOn w:val="1"/>
    <w:link w:val="347"/>
    <w:qFormat/>
    <w:uiPriority w:val="0"/>
    <w:pPr>
      <w:spacing w:after="120"/>
    </w:pPr>
    <w:rPr>
      <w:rFonts w:asciiTheme="minorHAnsi" w:hAnsiTheme="minorHAnsi" w:eastAsiaTheme="minorEastAsia" w:cstheme="minorBidi"/>
      <w:sz w:val="16"/>
      <w:szCs w:val="22"/>
    </w:rPr>
  </w:style>
  <w:style w:type="paragraph" w:styleId="32">
    <w:name w:val="Closing"/>
    <w:basedOn w:val="1"/>
    <w:link w:val="332"/>
    <w:qFormat/>
    <w:uiPriority w:val="0"/>
    <w:pPr>
      <w:ind w:left="100" w:leftChars="2100"/>
    </w:pPr>
    <w:rPr>
      <w:rFonts w:asciiTheme="minorHAnsi" w:hAnsiTheme="minorHAnsi" w:eastAsiaTheme="minorEastAsia" w:cstheme="minorBidi"/>
      <w:sz w:val="21"/>
      <w:szCs w:val="22"/>
    </w:rPr>
  </w:style>
  <w:style w:type="paragraph" w:styleId="33">
    <w:name w:val="List Bullet 3"/>
    <w:basedOn w:val="1"/>
    <w:qFormat/>
    <w:uiPriority w:val="0"/>
    <w:pPr>
      <w:tabs>
        <w:tab w:val="left" w:pos="1200"/>
      </w:tabs>
      <w:ind w:left="1200" w:hanging="360"/>
    </w:pPr>
    <w:rPr>
      <w:sz w:val="21"/>
    </w:rPr>
  </w:style>
  <w:style w:type="paragraph" w:styleId="34">
    <w:name w:val="Body Text"/>
    <w:basedOn w:val="1"/>
    <w:next w:val="1"/>
    <w:link w:val="116"/>
    <w:unhideWhenUsed/>
    <w:qFormat/>
    <w:uiPriority w:val="0"/>
    <w:pPr>
      <w:spacing w:after="120"/>
    </w:pPr>
  </w:style>
  <w:style w:type="paragraph" w:styleId="35">
    <w:name w:val="Body Text Indent"/>
    <w:basedOn w:val="1"/>
    <w:next w:val="2"/>
    <w:link w:val="114"/>
    <w:unhideWhenUsed/>
    <w:qFormat/>
    <w:uiPriority w:val="0"/>
    <w:pPr>
      <w:spacing w:after="120"/>
      <w:ind w:left="420" w:leftChars="200"/>
    </w:pPr>
  </w:style>
  <w:style w:type="paragraph" w:styleId="36">
    <w:name w:val="List Number 3"/>
    <w:basedOn w:val="1"/>
    <w:qFormat/>
    <w:uiPriority w:val="0"/>
    <w:pPr>
      <w:tabs>
        <w:tab w:val="left" w:pos="1200"/>
      </w:tabs>
      <w:ind w:left="1200" w:hanging="360"/>
    </w:pPr>
    <w:rPr>
      <w:sz w:val="21"/>
    </w:rPr>
  </w:style>
  <w:style w:type="paragraph" w:styleId="37">
    <w:name w:val="List 2"/>
    <w:basedOn w:val="1"/>
    <w:qFormat/>
    <w:uiPriority w:val="0"/>
    <w:pPr>
      <w:ind w:left="100" w:leftChars="200" w:hanging="200" w:hangingChars="200"/>
    </w:pPr>
    <w:rPr>
      <w:sz w:val="21"/>
    </w:rPr>
  </w:style>
  <w:style w:type="paragraph" w:styleId="38">
    <w:name w:val="List Continue"/>
    <w:basedOn w:val="1"/>
    <w:qFormat/>
    <w:uiPriority w:val="0"/>
    <w:pPr>
      <w:spacing w:after="120"/>
      <w:ind w:left="420" w:leftChars="200"/>
    </w:pPr>
    <w:rPr>
      <w:sz w:val="21"/>
    </w:rPr>
  </w:style>
  <w:style w:type="paragraph" w:styleId="39">
    <w:name w:val="Block Text"/>
    <w:basedOn w:val="1"/>
    <w:qFormat/>
    <w:uiPriority w:val="0"/>
    <w:pPr>
      <w:spacing w:line="240" w:lineRule="exact"/>
      <w:ind w:left="475" w:leftChars="240" w:right="292" w:rightChars="292" w:firstLine="473"/>
    </w:pPr>
    <w:rPr>
      <w:rFonts w:ascii="宋体" w:hAnsi="宋体"/>
      <w:spacing w:val="-6"/>
      <w:sz w:val="21"/>
    </w:rPr>
  </w:style>
  <w:style w:type="paragraph" w:styleId="40">
    <w:name w:val="List Bullet 2"/>
    <w:basedOn w:val="1"/>
    <w:qFormat/>
    <w:uiPriority w:val="0"/>
    <w:pPr>
      <w:tabs>
        <w:tab w:val="left" w:pos="780"/>
      </w:tabs>
      <w:ind w:left="780" w:hanging="360"/>
    </w:pPr>
    <w:rPr>
      <w:sz w:val="21"/>
    </w:rPr>
  </w:style>
  <w:style w:type="paragraph" w:styleId="41">
    <w:name w:val="HTML Address"/>
    <w:basedOn w:val="1"/>
    <w:link w:val="338"/>
    <w:qFormat/>
    <w:uiPriority w:val="0"/>
    <w:rPr>
      <w:rFonts w:asciiTheme="minorHAnsi" w:hAnsiTheme="minorHAnsi" w:eastAsiaTheme="minorEastAsia" w:cstheme="minorBidi"/>
      <w:i/>
      <w:sz w:val="21"/>
      <w:szCs w:val="22"/>
    </w:rPr>
  </w:style>
  <w:style w:type="paragraph" w:styleId="42">
    <w:name w:val="index 4"/>
    <w:basedOn w:val="1"/>
    <w:next w:val="1"/>
    <w:qFormat/>
    <w:uiPriority w:val="0"/>
    <w:pPr>
      <w:ind w:left="600" w:leftChars="600"/>
    </w:pPr>
    <w:rPr>
      <w:sz w:val="21"/>
    </w:rPr>
  </w:style>
  <w:style w:type="paragraph" w:styleId="43">
    <w:name w:val="toc 5"/>
    <w:basedOn w:val="1"/>
    <w:next w:val="1"/>
    <w:qFormat/>
    <w:uiPriority w:val="0"/>
    <w:pPr>
      <w:ind w:left="1120"/>
      <w:jc w:val="left"/>
    </w:pPr>
    <w:rPr>
      <w:sz w:val="18"/>
    </w:rPr>
  </w:style>
  <w:style w:type="paragraph" w:styleId="44">
    <w:name w:val="toc 3"/>
    <w:basedOn w:val="1"/>
    <w:next w:val="1"/>
    <w:qFormat/>
    <w:uiPriority w:val="0"/>
    <w:pPr>
      <w:ind w:left="560"/>
      <w:jc w:val="left"/>
    </w:pPr>
    <w:rPr>
      <w:i/>
      <w:sz w:val="20"/>
    </w:rPr>
  </w:style>
  <w:style w:type="paragraph" w:styleId="45">
    <w:name w:val="Plain Text"/>
    <w:basedOn w:val="1"/>
    <w:link w:val="331"/>
    <w:qFormat/>
    <w:uiPriority w:val="0"/>
    <w:rPr>
      <w:rFonts w:ascii="宋体" w:hAnsi="Courier New" w:cstheme="minorBidi"/>
      <w:sz w:val="21"/>
      <w:szCs w:val="22"/>
    </w:rPr>
  </w:style>
  <w:style w:type="paragraph" w:styleId="46">
    <w:name w:val="List Bullet 5"/>
    <w:basedOn w:val="1"/>
    <w:qFormat/>
    <w:uiPriority w:val="0"/>
    <w:pPr>
      <w:tabs>
        <w:tab w:val="left" w:pos="2040"/>
      </w:tabs>
      <w:ind w:left="2040" w:hanging="360"/>
    </w:pPr>
    <w:rPr>
      <w:sz w:val="21"/>
    </w:rPr>
  </w:style>
  <w:style w:type="paragraph" w:styleId="47">
    <w:name w:val="List Number 4"/>
    <w:basedOn w:val="1"/>
    <w:qFormat/>
    <w:uiPriority w:val="0"/>
    <w:pPr>
      <w:tabs>
        <w:tab w:val="left" w:pos="1620"/>
      </w:tabs>
      <w:ind w:left="1620" w:hanging="360"/>
    </w:pPr>
    <w:rPr>
      <w:sz w:val="21"/>
    </w:rPr>
  </w:style>
  <w:style w:type="paragraph" w:styleId="48">
    <w:name w:val="toc 8"/>
    <w:basedOn w:val="1"/>
    <w:next w:val="1"/>
    <w:qFormat/>
    <w:uiPriority w:val="0"/>
    <w:pPr>
      <w:ind w:left="1960"/>
      <w:jc w:val="left"/>
    </w:pPr>
    <w:rPr>
      <w:sz w:val="18"/>
    </w:rPr>
  </w:style>
  <w:style w:type="paragraph" w:styleId="49">
    <w:name w:val="index 3"/>
    <w:basedOn w:val="1"/>
    <w:next w:val="1"/>
    <w:qFormat/>
    <w:uiPriority w:val="0"/>
    <w:pPr>
      <w:ind w:left="400" w:leftChars="400"/>
    </w:pPr>
    <w:rPr>
      <w:sz w:val="21"/>
    </w:rPr>
  </w:style>
  <w:style w:type="paragraph" w:styleId="50">
    <w:name w:val="Date"/>
    <w:basedOn w:val="1"/>
    <w:next w:val="1"/>
    <w:link w:val="330"/>
    <w:qFormat/>
    <w:uiPriority w:val="0"/>
    <w:pPr>
      <w:adjustRightInd w:val="0"/>
      <w:jc w:val="right"/>
      <w:textAlignment w:val="baseline"/>
    </w:pPr>
    <w:rPr>
      <w:rFonts w:eastAsia="仿宋_GB2312" w:asciiTheme="minorHAnsi" w:hAnsiTheme="minorHAnsi" w:cstheme="minorBidi"/>
      <w:b/>
      <w:szCs w:val="22"/>
    </w:rPr>
  </w:style>
  <w:style w:type="paragraph" w:styleId="51">
    <w:name w:val="Body Text Indent 2"/>
    <w:basedOn w:val="1"/>
    <w:link w:val="334"/>
    <w:qFormat/>
    <w:uiPriority w:val="0"/>
    <w:pPr>
      <w:spacing w:line="520" w:lineRule="exact"/>
      <w:ind w:firstLine="848" w:firstLineChars="303"/>
    </w:pPr>
    <w:rPr>
      <w:rFonts w:ascii="黑体" w:eastAsia="黑体" w:hAnsiTheme="minorHAnsi" w:cstheme="minorBidi"/>
      <w:szCs w:val="22"/>
    </w:rPr>
  </w:style>
  <w:style w:type="paragraph" w:styleId="52">
    <w:name w:val="endnote text"/>
    <w:basedOn w:val="1"/>
    <w:link w:val="326"/>
    <w:qFormat/>
    <w:uiPriority w:val="0"/>
    <w:pPr>
      <w:snapToGrid w:val="0"/>
    </w:pPr>
    <w:rPr>
      <w:rFonts w:asciiTheme="minorHAnsi" w:hAnsiTheme="minorHAnsi" w:eastAsiaTheme="minorEastAsia" w:cstheme="minorBidi"/>
      <w:sz w:val="21"/>
      <w:szCs w:val="22"/>
    </w:rPr>
  </w:style>
  <w:style w:type="paragraph" w:styleId="53">
    <w:name w:val="List Continue 5"/>
    <w:basedOn w:val="1"/>
    <w:qFormat/>
    <w:uiPriority w:val="0"/>
    <w:pPr>
      <w:spacing w:after="120"/>
      <w:ind w:left="2100" w:leftChars="1000"/>
    </w:pPr>
    <w:rPr>
      <w:sz w:val="21"/>
    </w:rPr>
  </w:style>
  <w:style w:type="paragraph" w:styleId="54">
    <w:name w:val="Balloon Text"/>
    <w:basedOn w:val="1"/>
    <w:next w:val="1"/>
    <w:link w:val="342"/>
    <w:qFormat/>
    <w:uiPriority w:val="99"/>
    <w:rPr>
      <w:rFonts w:asciiTheme="minorHAnsi" w:hAnsiTheme="minorHAnsi" w:eastAsiaTheme="minorEastAsia" w:cstheme="minorBidi"/>
      <w:sz w:val="18"/>
      <w:szCs w:val="22"/>
    </w:rPr>
  </w:style>
  <w:style w:type="paragraph" w:styleId="55">
    <w:name w:val="footer"/>
    <w:basedOn w:val="1"/>
    <w:link w:val="104"/>
    <w:unhideWhenUsed/>
    <w:qFormat/>
    <w:uiPriority w:val="99"/>
    <w:pPr>
      <w:tabs>
        <w:tab w:val="center" w:pos="4153"/>
        <w:tab w:val="right" w:pos="8306"/>
      </w:tabs>
      <w:snapToGrid w:val="0"/>
      <w:jc w:val="left"/>
    </w:pPr>
    <w:rPr>
      <w:sz w:val="18"/>
      <w:szCs w:val="18"/>
    </w:rPr>
  </w:style>
  <w:style w:type="paragraph" w:styleId="56">
    <w:name w:val="envelope return"/>
    <w:basedOn w:val="1"/>
    <w:qFormat/>
    <w:uiPriority w:val="0"/>
    <w:pPr>
      <w:snapToGrid w:val="0"/>
    </w:pPr>
    <w:rPr>
      <w:rFonts w:ascii="Arial" w:hAnsi="Arial"/>
      <w:sz w:val="21"/>
    </w:rPr>
  </w:style>
  <w:style w:type="paragraph" w:styleId="57">
    <w:name w:val="header"/>
    <w:basedOn w:val="1"/>
    <w:link w:val="103"/>
    <w:unhideWhenUsed/>
    <w:qFormat/>
    <w:uiPriority w:val="0"/>
    <w:pPr>
      <w:pBdr>
        <w:bottom w:val="single" w:color="auto" w:sz="6" w:space="1"/>
      </w:pBdr>
      <w:tabs>
        <w:tab w:val="center" w:pos="4153"/>
        <w:tab w:val="right" w:pos="8306"/>
      </w:tabs>
      <w:snapToGrid w:val="0"/>
      <w:jc w:val="center"/>
    </w:pPr>
    <w:rPr>
      <w:sz w:val="18"/>
      <w:szCs w:val="18"/>
    </w:rPr>
  </w:style>
  <w:style w:type="paragraph" w:styleId="58">
    <w:name w:val="Signature"/>
    <w:basedOn w:val="1"/>
    <w:link w:val="346"/>
    <w:qFormat/>
    <w:uiPriority w:val="0"/>
    <w:pPr>
      <w:ind w:left="100" w:leftChars="2100"/>
    </w:pPr>
    <w:rPr>
      <w:rFonts w:asciiTheme="minorHAnsi" w:hAnsiTheme="minorHAnsi" w:eastAsiaTheme="minorEastAsia" w:cstheme="minorBidi"/>
      <w:sz w:val="21"/>
      <w:szCs w:val="22"/>
    </w:rPr>
  </w:style>
  <w:style w:type="paragraph" w:styleId="59">
    <w:name w:val="toc 1"/>
    <w:basedOn w:val="1"/>
    <w:next w:val="1"/>
    <w:qFormat/>
    <w:uiPriority w:val="39"/>
    <w:pPr>
      <w:tabs>
        <w:tab w:val="right" w:leader="dot" w:pos="8364"/>
      </w:tabs>
      <w:spacing w:before="120" w:after="120" w:line="360" w:lineRule="auto"/>
      <w:jc w:val="left"/>
    </w:pPr>
    <w:rPr>
      <w:b/>
      <w:caps/>
      <w:sz w:val="20"/>
    </w:rPr>
  </w:style>
  <w:style w:type="paragraph" w:styleId="60">
    <w:name w:val="List Continue 4"/>
    <w:basedOn w:val="1"/>
    <w:qFormat/>
    <w:uiPriority w:val="0"/>
    <w:pPr>
      <w:spacing w:after="120"/>
      <w:ind w:left="1680" w:leftChars="800"/>
    </w:pPr>
    <w:rPr>
      <w:sz w:val="21"/>
    </w:rPr>
  </w:style>
  <w:style w:type="paragraph" w:styleId="61">
    <w:name w:val="toc 4"/>
    <w:basedOn w:val="1"/>
    <w:next w:val="1"/>
    <w:qFormat/>
    <w:uiPriority w:val="0"/>
    <w:pPr>
      <w:ind w:left="840"/>
      <w:jc w:val="left"/>
    </w:pPr>
    <w:rPr>
      <w:sz w:val="18"/>
    </w:rPr>
  </w:style>
  <w:style w:type="paragraph" w:styleId="62">
    <w:name w:val="index heading"/>
    <w:basedOn w:val="1"/>
    <w:next w:val="63"/>
    <w:qFormat/>
    <w:uiPriority w:val="0"/>
    <w:rPr>
      <w:rFonts w:ascii="Arial" w:hAnsi="Arial"/>
      <w:b/>
      <w:sz w:val="21"/>
    </w:rPr>
  </w:style>
  <w:style w:type="paragraph" w:styleId="63">
    <w:name w:val="index 1"/>
    <w:basedOn w:val="1"/>
    <w:next w:val="1"/>
    <w:unhideWhenUsed/>
    <w:qFormat/>
    <w:uiPriority w:val="0"/>
  </w:style>
  <w:style w:type="paragraph" w:styleId="64">
    <w:name w:val="Subtitle"/>
    <w:basedOn w:val="1"/>
    <w:next w:val="1"/>
    <w:link w:val="348"/>
    <w:qFormat/>
    <w:uiPriority w:val="0"/>
    <w:pPr>
      <w:spacing w:before="240" w:after="60" w:line="312" w:lineRule="auto"/>
      <w:jc w:val="center"/>
      <w:outlineLvl w:val="1"/>
    </w:pPr>
    <w:rPr>
      <w:rFonts w:ascii="Cambria" w:hAnsi="Cambria" w:eastAsiaTheme="minorEastAsia" w:cstheme="minorBidi"/>
      <w:b/>
      <w:kern w:val="28"/>
      <w:sz w:val="32"/>
      <w:szCs w:val="22"/>
    </w:rPr>
  </w:style>
  <w:style w:type="paragraph" w:styleId="65">
    <w:name w:val="List Number 5"/>
    <w:basedOn w:val="1"/>
    <w:qFormat/>
    <w:uiPriority w:val="0"/>
    <w:pPr>
      <w:tabs>
        <w:tab w:val="left" w:pos="2040"/>
      </w:tabs>
      <w:ind w:left="2040" w:hanging="360"/>
    </w:pPr>
    <w:rPr>
      <w:sz w:val="21"/>
    </w:rPr>
  </w:style>
  <w:style w:type="paragraph" w:styleId="66">
    <w:name w:val="List"/>
    <w:basedOn w:val="1"/>
    <w:qFormat/>
    <w:uiPriority w:val="0"/>
    <w:pPr>
      <w:ind w:left="200" w:hanging="200" w:hangingChars="200"/>
    </w:pPr>
    <w:rPr>
      <w:sz w:val="21"/>
    </w:rPr>
  </w:style>
  <w:style w:type="paragraph" w:styleId="67">
    <w:name w:val="footnote text"/>
    <w:basedOn w:val="1"/>
    <w:link w:val="349"/>
    <w:qFormat/>
    <w:uiPriority w:val="0"/>
    <w:pPr>
      <w:snapToGrid w:val="0"/>
      <w:jc w:val="left"/>
    </w:pPr>
    <w:rPr>
      <w:rFonts w:asciiTheme="minorHAnsi" w:hAnsiTheme="minorHAnsi" w:eastAsiaTheme="minorEastAsia" w:cstheme="minorBidi"/>
      <w:sz w:val="18"/>
      <w:szCs w:val="22"/>
    </w:rPr>
  </w:style>
  <w:style w:type="paragraph" w:styleId="68">
    <w:name w:val="toc 6"/>
    <w:basedOn w:val="1"/>
    <w:next w:val="1"/>
    <w:qFormat/>
    <w:uiPriority w:val="0"/>
    <w:pPr>
      <w:ind w:left="1400"/>
      <w:jc w:val="left"/>
    </w:pPr>
    <w:rPr>
      <w:sz w:val="18"/>
    </w:rPr>
  </w:style>
  <w:style w:type="paragraph" w:styleId="69">
    <w:name w:val="List 5"/>
    <w:basedOn w:val="1"/>
    <w:qFormat/>
    <w:uiPriority w:val="0"/>
    <w:pPr>
      <w:ind w:left="100" w:leftChars="800" w:hanging="200" w:hangingChars="200"/>
    </w:pPr>
    <w:rPr>
      <w:sz w:val="21"/>
    </w:rPr>
  </w:style>
  <w:style w:type="paragraph" w:styleId="70">
    <w:name w:val="Body Text Indent 3"/>
    <w:basedOn w:val="1"/>
    <w:link w:val="345"/>
    <w:qFormat/>
    <w:uiPriority w:val="0"/>
    <w:pPr>
      <w:spacing w:line="520" w:lineRule="exact"/>
      <w:ind w:firstLine="547"/>
    </w:pPr>
    <w:rPr>
      <w:rFonts w:asciiTheme="minorHAnsi" w:hAnsiTheme="minorHAnsi" w:eastAsiaTheme="minorEastAsia" w:cstheme="minorBidi"/>
      <w:szCs w:val="22"/>
    </w:rPr>
  </w:style>
  <w:style w:type="paragraph" w:styleId="71">
    <w:name w:val="index 7"/>
    <w:basedOn w:val="1"/>
    <w:next w:val="1"/>
    <w:qFormat/>
    <w:uiPriority w:val="0"/>
    <w:pPr>
      <w:ind w:left="1200" w:leftChars="1200"/>
    </w:pPr>
    <w:rPr>
      <w:sz w:val="21"/>
    </w:rPr>
  </w:style>
  <w:style w:type="paragraph" w:styleId="72">
    <w:name w:val="index 9"/>
    <w:basedOn w:val="1"/>
    <w:next w:val="1"/>
    <w:qFormat/>
    <w:uiPriority w:val="0"/>
    <w:pPr>
      <w:ind w:left="1600" w:leftChars="1600"/>
    </w:pPr>
    <w:rPr>
      <w:sz w:val="21"/>
    </w:rPr>
  </w:style>
  <w:style w:type="paragraph" w:styleId="73">
    <w:name w:val="table of figures"/>
    <w:basedOn w:val="1"/>
    <w:next w:val="1"/>
    <w:qFormat/>
    <w:uiPriority w:val="0"/>
    <w:pPr>
      <w:ind w:left="560" w:hanging="560"/>
      <w:jc w:val="left"/>
    </w:pPr>
    <w:rPr>
      <w:smallCaps/>
      <w:sz w:val="20"/>
    </w:rPr>
  </w:style>
  <w:style w:type="paragraph" w:styleId="74">
    <w:name w:val="toc 2"/>
    <w:basedOn w:val="1"/>
    <w:next w:val="1"/>
    <w:qFormat/>
    <w:uiPriority w:val="39"/>
    <w:pPr>
      <w:tabs>
        <w:tab w:val="right" w:leader="dot" w:pos="8364"/>
      </w:tabs>
      <w:spacing w:line="360" w:lineRule="auto"/>
      <w:ind w:left="280"/>
      <w:jc w:val="left"/>
    </w:pPr>
    <w:rPr>
      <w:rFonts w:ascii="仿宋" w:hAnsi="仿宋" w:eastAsia="仿宋"/>
      <w:b/>
      <w:smallCaps/>
      <w:sz w:val="24"/>
    </w:rPr>
  </w:style>
  <w:style w:type="paragraph" w:styleId="75">
    <w:name w:val="toc 9"/>
    <w:basedOn w:val="1"/>
    <w:next w:val="1"/>
    <w:qFormat/>
    <w:uiPriority w:val="0"/>
    <w:pPr>
      <w:ind w:left="2240"/>
      <w:jc w:val="left"/>
    </w:pPr>
    <w:rPr>
      <w:sz w:val="18"/>
    </w:rPr>
  </w:style>
  <w:style w:type="paragraph" w:styleId="76">
    <w:name w:val="Body Text 2"/>
    <w:basedOn w:val="1"/>
    <w:link w:val="328"/>
    <w:qFormat/>
    <w:uiPriority w:val="0"/>
    <w:pPr>
      <w:spacing w:after="120" w:line="480" w:lineRule="auto"/>
    </w:pPr>
    <w:rPr>
      <w:rFonts w:asciiTheme="minorHAnsi" w:hAnsiTheme="minorHAnsi" w:eastAsiaTheme="minorEastAsia" w:cstheme="minorBidi"/>
      <w:sz w:val="21"/>
      <w:szCs w:val="22"/>
    </w:rPr>
  </w:style>
  <w:style w:type="paragraph" w:styleId="77">
    <w:name w:val="List 4"/>
    <w:basedOn w:val="1"/>
    <w:qFormat/>
    <w:uiPriority w:val="0"/>
    <w:pPr>
      <w:ind w:left="100" w:leftChars="600" w:hanging="200" w:hangingChars="200"/>
    </w:pPr>
    <w:rPr>
      <w:sz w:val="21"/>
    </w:rPr>
  </w:style>
  <w:style w:type="paragraph" w:styleId="78">
    <w:name w:val="List Continue 2"/>
    <w:basedOn w:val="1"/>
    <w:qFormat/>
    <w:uiPriority w:val="0"/>
    <w:pPr>
      <w:spacing w:after="120"/>
      <w:ind w:left="840" w:leftChars="400"/>
    </w:pPr>
    <w:rPr>
      <w:sz w:val="21"/>
    </w:rPr>
  </w:style>
  <w:style w:type="paragraph" w:styleId="79">
    <w:name w:val="Message Header"/>
    <w:basedOn w:val="1"/>
    <w:link w:val="350"/>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Theme="minorEastAsia" w:cstheme="minorBidi"/>
      <w:sz w:val="24"/>
      <w:szCs w:val="22"/>
      <w:shd w:val="pct20" w:color="auto" w:fill="auto"/>
    </w:rPr>
  </w:style>
  <w:style w:type="paragraph" w:styleId="80">
    <w:name w:val="HTML Preformatted"/>
    <w:basedOn w:val="1"/>
    <w:link w:val="35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theme="minorBidi"/>
      <w:sz w:val="21"/>
      <w:szCs w:val="22"/>
    </w:rPr>
  </w:style>
  <w:style w:type="paragraph" w:styleId="81">
    <w:name w:val="Normal (Web)"/>
    <w:basedOn w:val="1"/>
    <w:qFormat/>
    <w:uiPriority w:val="99"/>
    <w:pPr>
      <w:widowControl/>
      <w:spacing w:before="100" w:beforeAutospacing="1" w:after="100" w:afterAutospacing="1"/>
      <w:jc w:val="left"/>
    </w:pPr>
    <w:rPr>
      <w:rFonts w:ascii="宋体" w:hAnsi="宋体"/>
      <w:kern w:val="0"/>
      <w:sz w:val="24"/>
    </w:rPr>
  </w:style>
  <w:style w:type="paragraph" w:styleId="82">
    <w:name w:val="List Continue 3"/>
    <w:basedOn w:val="1"/>
    <w:qFormat/>
    <w:uiPriority w:val="0"/>
    <w:pPr>
      <w:spacing w:after="120"/>
      <w:ind w:left="1260" w:leftChars="600"/>
    </w:pPr>
    <w:rPr>
      <w:sz w:val="21"/>
    </w:rPr>
  </w:style>
  <w:style w:type="paragraph" w:styleId="83">
    <w:name w:val="index 2"/>
    <w:basedOn w:val="1"/>
    <w:next w:val="1"/>
    <w:qFormat/>
    <w:uiPriority w:val="0"/>
    <w:pPr>
      <w:ind w:left="200" w:leftChars="200"/>
    </w:pPr>
    <w:rPr>
      <w:sz w:val="21"/>
    </w:rPr>
  </w:style>
  <w:style w:type="paragraph" w:styleId="84">
    <w:name w:val="Title"/>
    <w:basedOn w:val="1"/>
    <w:link w:val="341"/>
    <w:qFormat/>
    <w:uiPriority w:val="0"/>
    <w:pPr>
      <w:widowControl/>
      <w:overflowPunct w:val="0"/>
      <w:autoSpaceDE w:val="0"/>
      <w:autoSpaceDN w:val="0"/>
      <w:adjustRightInd w:val="0"/>
      <w:jc w:val="center"/>
      <w:textAlignment w:val="baseline"/>
    </w:pPr>
    <w:rPr>
      <w:rFonts w:asciiTheme="minorHAnsi" w:hAnsiTheme="minorHAnsi" w:eastAsiaTheme="minorEastAsia" w:cstheme="minorBidi"/>
      <w:b/>
      <w:sz w:val="24"/>
      <w:szCs w:val="22"/>
      <w:lang w:val="en-GB"/>
    </w:rPr>
  </w:style>
  <w:style w:type="paragraph" w:styleId="85">
    <w:name w:val="annotation subject"/>
    <w:basedOn w:val="28"/>
    <w:next w:val="28"/>
    <w:link w:val="352"/>
    <w:qFormat/>
    <w:uiPriority w:val="0"/>
    <w:rPr>
      <w:rFonts w:asciiTheme="minorHAnsi" w:hAnsiTheme="minorHAnsi" w:eastAsiaTheme="minorEastAsia" w:cstheme="minorBidi"/>
      <w:b/>
      <w:sz w:val="21"/>
      <w:szCs w:val="22"/>
    </w:rPr>
  </w:style>
  <w:style w:type="paragraph" w:styleId="86">
    <w:name w:val="Body Text First Indent"/>
    <w:basedOn w:val="34"/>
    <w:next w:val="1"/>
    <w:link w:val="339"/>
    <w:qFormat/>
    <w:uiPriority w:val="0"/>
    <w:pPr>
      <w:ind w:firstLine="420" w:firstLineChars="100"/>
    </w:pPr>
    <w:rPr>
      <w:rFonts w:ascii="等线" w:hAnsi="等线" w:eastAsia="等线" w:cstheme="minorBidi"/>
      <w:sz w:val="21"/>
      <w:szCs w:val="22"/>
    </w:rPr>
  </w:style>
  <w:style w:type="paragraph" w:styleId="87">
    <w:name w:val="Body Text First Indent 2"/>
    <w:basedOn w:val="35"/>
    <w:next w:val="1"/>
    <w:link w:val="340"/>
    <w:qFormat/>
    <w:uiPriority w:val="0"/>
    <w:pPr>
      <w:ind w:firstLine="420" w:firstLineChars="200"/>
    </w:pPr>
    <w:rPr>
      <w:rFonts w:ascii="等线" w:hAnsi="等线" w:eastAsia="等线" w:cstheme="minorBidi"/>
      <w:sz w:val="21"/>
      <w:szCs w:val="22"/>
    </w:rPr>
  </w:style>
  <w:style w:type="table" w:styleId="89">
    <w:name w:val="Table Grid"/>
    <w:basedOn w:val="8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1">
    <w:name w:val="Strong"/>
    <w:qFormat/>
    <w:uiPriority w:val="22"/>
    <w:rPr>
      <w:b/>
    </w:rPr>
  </w:style>
  <w:style w:type="character" w:styleId="92">
    <w:name w:val="endnote reference"/>
    <w:qFormat/>
    <w:uiPriority w:val="0"/>
    <w:rPr>
      <w:vertAlign w:val="superscript"/>
    </w:rPr>
  </w:style>
  <w:style w:type="character" w:styleId="93">
    <w:name w:val="page number"/>
    <w:basedOn w:val="90"/>
    <w:qFormat/>
    <w:uiPriority w:val="0"/>
  </w:style>
  <w:style w:type="character" w:styleId="94">
    <w:name w:val="FollowedHyperlink"/>
    <w:qFormat/>
    <w:uiPriority w:val="0"/>
    <w:rPr>
      <w:color w:val="800080"/>
      <w:u w:val="single"/>
    </w:rPr>
  </w:style>
  <w:style w:type="character" w:styleId="95">
    <w:name w:val="Emphasis"/>
    <w:qFormat/>
    <w:uiPriority w:val="0"/>
    <w:rPr>
      <w:color w:val="CC0000"/>
    </w:rPr>
  </w:style>
  <w:style w:type="character" w:styleId="96">
    <w:name w:val="Hyperlink"/>
    <w:qFormat/>
    <w:uiPriority w:val="99"/>
    <w:rPr>
      <w:color w:val="0000FF"/>
      <w:u w:val="single"/>
    </w:rPr>
  </w:style>
  <w:style w:type="character" w:styleId="97">
    <w:name w:val="annotation reference"/>
    <w:qFormat/>
    <w:uiPriority w:val="0"/>
    <w:rPr>
      <w:sz w:val="21"/>
    </w:rPr>
  </w:style>
  <w:style w:type="character" w:styleId="98">
    <w:name w:val="footnote reference"/>
    <w:qFormat/>
    <w:uiPriority w:val="0"/>
    <w:rPr>
      <w:vertAlign w:val="superscript"/>
    </w:rPr>
  </w:style>
  <w:style w:type="paragraph" w:customStyle="1" w:styleId="99">
    <w:name w:val="模板普通正文"/>
    <w:basedOn w:val="35"/>
    <w:qFormat/>
    <w:uiPriority w:val="0"/>
    <w:pPr>
      <w:spacing w:beforeLines="50" w:after="10"/>
      <w:ind w:firstLine="490" w:firstLineChars="175"/>
      <w:jc w:val="left"/>
    </w:pPr>
  </w:style>
  <w:style w:type="paragraph" w:customStyle="1" w:styleId="100">
    <w:name w:val="_Style 3"/>
    <w:qFormat/>
    <w:uiPriority w:val="0"/>
    <w:rPr>
      <w:rFonts w:ascii="Calibri" w:hAnsi="Calibri" w:eastAsia="宋体" w:cs="Times New Roman"/>
      <w:sz w:val="22"/>
      <w:szCs w:val="22"/>
      <w:lang w:val="en-US" w:eastAsia="zh-CN" w:bidi="ar-SA"/>
    </w:rPr>
  </w:style>
  <w:style w:type="paragraph" w:customStyle="1" w:styleId="101">
    <w:name w:val="表格文字"/>
    <w:basedOn w:val="1"/>
    <w:next w:val="34"/>
    <w:qFormat/>
    <w:uiPriority w:val="0"/>
    <w:pPr>
      <w:adjustRightInd w:val="0"/>
      <w:spacing w:line="420" w:lineRule="atLeast"/>
      <w:textAlignment w:val="baseline"/>
    </w:pPr>
    <w:rPr>
      <w:kern w:val="0"/>
      <w:sz w:val="21"/>
    </w:rPr>
  </w:style>
  <w:style w:type="paragraph" w:customStyle="1" w:styleId="102">
    <w:name w:val="文章正文"/>
    <w:basedOn w:val="1"/>
    <w:qFormat/>
    <w:uiPriority w:val="0"/>
    <w:pPr>
      <w:spacing w:line="360" w:lineRule="auto"/>
      <w:ind w:firstLine="200" w:firstLineChars="200"/>
    </w:pPr>
    <w:rPr>
      <w:sz w:val="24"/>
      <w:szCs w:val="24"/>
    </w:rPr>
  </w:style>
  <w:style w:type="character" w:customStyle="1" w:styleId="103">
    <w:name w:val="页眉 字符1"/>
    <w:basedOn w:val="90"/>
    <w:link w:val="57"/>
    <w:qFormat/>
    <w:uiPriority w:val="99"/>
    <w:rPr>
      <w:sz w:val="18"/>
      <w:szCs w:val="18"/>
    </w:rPr>
  </w:style>
  <w:style w:type="character" w:customStyle="1" w:styleId="104">
    <w:name w:val="页脚 字符1"/>
    <w:basedOn w:val="90"/>
    <w:link w:val="55"/>
    <w:qFormat/>
    <w:uiPriority w:val="99"/>
    <w:rPr>
      <w:sz w:val="18"/>
      <w:szCs w:val="18"/>
    </w:rPr>
  </w:style>
  <w:style w:type="character" w:customStyle="1" w:styleId="105">
    <w:name w:val="标题 1 字符"/>
    <w:basedOn w:val="90"/>
    <w:link w:val="4"/>
    <w:qFormat/>
    <w:uiPriority w:val="9"/>
    <w:rPr>
      <w:rFonts w:ascii="黑体" w:hAnsi="Calibri" w:eastAsia="宋体" w:cs="Times New Roman"/>
      <w:b/>
      <w:kern w:val="0"/>
      <w:sz w:val="32"/>
      <w:szCs w:val="20"/>
    </w:rPr>
  </w:style>
  <w:style w:type="character" w:customStyle="1" w:styleId="106">
    <w:name w:val="标题 2 Char"/>
    <w:basedOn w:val="90"/>
    <w:qFormat/>
    <w:uiPriority w:val="0"/>
    <w:rPr>
      <w:rFonts w:asciiTheme="majorHAnsi" w:hAnsiTheme="majorHAnsi" w:eastAsiaTheme="majorEastAsia" w:cstheme="majorBidi"/>
      <w:b/>
      <w:bCs/>
      <w:sz w:val="32"/>
      <w:szCs w:val="32"/>
    </w:rPr>
  </w:style>
  <w:style w:type="character" w:customStyle="1" w:styleId="107">
    <w:name w:val="标题 3 字符1"/>
    <w:basedOn w:val="90"/>
    <w:link w:val="6"/>
    <w:qFormat/>
    <w:uiPriority w:val="0"/>
    <w:rPr>
      <w:rFonts w:ascii="Calibri" w:hAnsi="Calibri" w:eastAsia="宋体" w:cs="Times New Roman"/>
      <w:b/>
      <w:kern w:val="0"/>
      <w:sz w:val="32"/>
      <w:szCs w:val="20"/>
    </w:rPr>
  </w:style>
  <w:style w:type="character" w:customStyle="1" w:styleId="108">
    <w:name w:val="标题 4 字符1"/>
    <w:basedOn w:val="90"/>
    <w:link w:val="7"/>
    <w:qFormat/>
    <w:uiPriority w:val="0"/>
    <w:rPr>
      <w:rFonts w:ascii="Arial" w:hAnsi="Arial" w:eastAsia="黑体" w:cs="Times New Roman"/>
      <w:b/>
      <w:sz w:val="28"/>
      <w:szCs w:val="20"/>
    </w:rPr>
  </w:style>
  <w:style w:type="character" w:customStyle="1" w:styleId="109">
    <w:name w:val="标题 5 字符1"/>
    <w:basedOn w:val="90"/>
    <w:link w:val="8"/>
    <w:qFormat/>
    <w:uiPriority w:val="0"/>
    <w:rPr>
      <w:rFonts w:ascii="Calibri" w:hAnsi="Calibri" w:eastAsia="宋体" w:cs="Times New Roman"/>
      <w:b/>
      <w:sz w:val="28"/>
      <w:szCs w:val="20"/>
    </w:rPr>
  </w:style>
  <w:style w:type="character" w:customStyle="1" w:styleId="110">
    <w:name w:val="标题 6 字符1"/>
    <w:basedOn w:val="90"/>
    <w:link w:val="9"/>
    <w:qFormat/>
    <w:uiPriority w:val="0"/>
    <w:rPr>
      <w:rFonts w:ascii="Arial" w:hAnsi="Arial" w:eastAsia="黑体" w:cs="Times New Roman"/>
      <w:b/>
      <w:kern w:val="0"/>
      <w:sz w:val="24"/>
      <w:szCs w:val="20"/>
    </w:rPr>
  </w:style>
  <w:style w:type="character" w:customStyle="1" w:styleId="111">
    <w:name w:val="标题 7 字符1"/>
    <w:basedOn w:val="90"/>
    <w:link w:val="10"/>
    <w:qFormat/>
    <w:uiPriority w:val="0"/>
    <w:rPr>
      <w:rFonts w:ascii="Calibri" w:hAnsi="Calibri" w:eastAsia="宋体" w:cs="Times New Roman"/>
      <w:b/>
      <w:kern w:val="0"/>
      <w:sz w:val="24"/>
      <w:szCs w:val="20"/>
    </w:rPr>
  </w:style>
  <w:style w:type="character" w:customStyle="1" w:styleId="112">
    <w:name w:val="标题 8 字符1"/>
    <w:basedOn w:val="90"/>
    <w:link w:val="11"/>
    <w:qFormat/>
    <w:uiPriority w:val="0"/>
    <w:rPr>
      <w:rFonts w:ascii="Arial" w:hAnsi="Arial" w:eastAsia="黑体" w:cs="Times New Roman"/>
      <w:kern w:val="0"/>
      <w:sz w:val="24"/>
      <w:szCs w:val="20"/>
    </w:rPr>
  </w:style>
  <w:style w:type="character" w:customStyle="1" w:styleId="113">
    <w:name w:val="标题 9 字符1"/>
    <w:basedOn w:val="90"/>
    <w:link w:val="12"/>
    <w:qFormat/>
    <w:uiPriority w:val="0"/>
    <w:rPr>
      <w:rFonts w:ascii="Arial" w:hAnsi="Arial" w:eastAsia="黑体" w:cs="Times New Roman"/>
      <w:kern w:val="0"/>
      <w:szCs w:val="20"/>
    </w:rPr>
  </w:style>
  <w:style w:type="character" w:customStyle="1" w:styleId="114">
    <w:name w:val="正文文本缩进 字符1"/>
    <w:basedOn w:val="90"/>
    <w:link w:val="35"/>
    <w:qFormat/>
    <w:uiPriority w:val="0"/>
    <w:rPr>
      <w:rFonts w:ascii="Calibri" w:hAnsi="Calibri" w:eastAsia="宋体" w:cs="Times New Roman"/>
      <w:sz w:val="28"/>
      <w:szCs w:val="20"/>
    </w:rPr>
  </w:style>
  <w:style w:type="character" w:customStyle="1" w:styleId="115">
    <w:name w:val="正文首行缩进 2 Char"/>
    <w:basedOn w:val="114"/>
    <w:qFormat/>
    <w:uiPriority w:val="0"/>
    <w:rPr>
      <w:rFonts w:ascii="Calibri" w:hAnsi="Calibri" w:eastAsia="宋体" w:cs="Times New Roman"/>
      <w:sz w:val="28"/>
      <w:szCs w:val="20"/>
    </w:rPr>
  </w:style>
  <w:style w:type="character" w:customStyle="1" w:styleId="116">
    <w:name w:val="正文文本 字符1"/>
    <w:basedOn w:val="90"/>
    <w:link w:val="34"/>
    <w:qFormat/>
    <w:uiPriority w:val="0"/>
    <w:rPr>
      <w:rFonts w:ascii="Calibri" w:hAnsi="Calibri" w:eastAsia="宋体" w:cs="Times New Roman"/>
      <w:sz w:val="28"/>
      <w:szCs w:val="20"/>
    </w:rPr>
  </w:style>
  <w:style w:type="character" w:customStyle="1" w:styleId="117">
    <w:name w:val="正文首行缩进 Char"/>
    <w:basedOn w:val="116"/>
    <w:link w:val="118"/>
    <w:qFormat/>
    <w:uiPriority w:val="0"/>
    <w:rPr>
      <w:rFonts w:ascii="Calibri" w:hAnsi="Calibri" w:eastAsia="宋体" w:cs="Times New Roman"/>
      <w:sz w:val="28"/>
      <w:szCs w:val="20"/>
    </w:rPr>
  </w:style>
  <w:style w:type="paragraph" w:customStyle="1" w:styleId="118">
    <w:name w:val="正文首行缩进1"/>
    <w:basedOn w:val="34"/>
    <w:link w:val="117"/>
    <w:qFormat/>
    <w:uiPriority w:val="0"/>
    <w:pPr>
      <w:spacing w:after="0"/>
      <w:ind w:firstLine="420" w:firstLineChars="100"/>
    </w:pPr>
  </w:style>
  <w:style w:type="character" w:customStyle="1" w:styleId="119">
    <w:name w:val="标题 Char"/>
    <w:basedOn w:val="90"/>
    <w:qFormat/>
    <w:uiPriority w:val="0"/>
    <w:rPr>
      <w:rFonts w:eastAsia="宋体" w:asciiTheme="majorHAnsi" w:hAnsiTheme="majorHAnsi" w:cstheme="majorBidi"/>
      <w:b/>
      <w:bCs/>
      <w:sz w:val="32"/>
      <w:szCs w:val="32"/>
    </w:rPr>
  </w:style>
  <w:style w:type="character" w:customStyle="1" w:styleId="120">
    <w:name w:val="批注文字 字符1"/>
    <w:basedOn w:val="90"/>
    <w:link w:val="28"/>
    <w:qFormat/>
    <w:uiPriority w:val="0"/>
    <w:rPr>
      <w:rFonts w:ascii="Calibri" w:hAnsi="Calibri" w:eastAsia="宋体" w:cs="Times New Roman"/>
      <w:sz w:val="28"/>
      <w:szCs w:val="20"/>
    </w:rPr>
  </w:style>
  <w:style w:type="character" w:customStyle="1" w:styleId="121">
    <w:name w:val="批注主题 Char"/>
    <w:basedOn w:val="120"/>
    <w:link w:val="122"/>
    <w:qFormat/>
    <w:uiPriority w:val="0"/>
    <w:rPr>
      <w:rFonts w:ascii="Calibri" w:hAnsi="Calibri" w:eastAsia="宋体" w:cs="Times New Roman"/>
      <w:b/>
      <w:bCs/>
      <w:sz w:val="28"/>
      <w:szCs w:val="20"/>
    </w:rPr>
  </w:style>
  <w:style w:type="paragraph" w:customStyle="1" w:styleId="122">
    <w:name w:val="批注主题1"/>
    <w:basedOn w:val="28"/>
    <w:next w:val="28"/>
    <w:link w:val="121"/>
    <w:qFormat/>
    <w:uiPriority w:val="0"/>
    <w:rPr>
      <w:b/>
      <w:bCs/>
    </w:rPr>
  </w:style>
  <w:style w:type="character" w:customStyle="1" w:styleId="123">
    <w:name w:val="宏文本 Char"/>
    <w:basedOn w:val="90"/>
    <w:qFormat/>
    <w:uiPriority w:val="0"/>
    <w:rPr>
      <w:rFonts w:ascii="Courier New" w:hAnsi="Courier New" w:eastAsia="宋体" w:cs="Courier New"/>
      <w:sz w:val="24"/>
      <w:szCs w:val="24"/>
    </w:rPr>
  </w:style>
  <w:style w:type="character" w:customStyle="1" w:styleId="124">
    <w:name w:val="注释标题 Char"/>
    <w:basedOn w:val="90"/>
    <w:qFormat/>
    <w:uiPriority w:val="0"/>
    <w:rPr>
      <w:rFonts w:ascii="Calibri" w:hAnsi="Calibri" w:eastAsia="宋体" w:cs="Times New Roman"/>
      <w:sz w:val="28"/>
      <w:szCs w:val="20"/>
    </w:rPr>
  </w:style>
  <w:style w:type="character" w:customStyle="1" w:styleId="125">
    <w:name w:val="电子邮件签名 Char"/>
    <w:basedOn w:val="90"/>
    <w:qFormat/>
    <w:uiPriority w:val="0"/>
    <w:rPr>
      <w:rFonts w:ascii="Calibri" w:hAnsi="Calibri" w:eastAsia="宋体" w:cs="Times New Roman"/>
      <w:sz w:val="28"/>
      <w:szCs w:val="20"/>
    </w:rPr>
  </w:style>
  <w:style w:type="character" w:customStyle="1" w:styleId="126">
    <w:name w:val="文档结构图 Char"/>
    <w:basedOn w:val="90"/>
    <w:qFormat/>
    <w:uiPriority w:val="0"/>
    <w:rPr>
      <w:rFonts w:ascii="宋体" w:hAnsi="Calibri" w:eastAsia="宋体" w:cs="Times New Roman"/>
      <w:sz w:val="18"/>
      <w:szCs w:val="18"/>
    </w:rPr>
  </w:style>
  <w:style w:type="character" w:customStyle="1" w:styleId="127">
    <w:name w:val="称呼 Char"/>
    <w:basedOn w:val="90"/>
    <w:qFormat/>
    <w:uiPriority w:val="0"/>
    <w:rPr>
      <w:rFonts w:ascii="Calibri" w:hAnsi="Calibri" w:eastAsia="宋体" w:cs="Times New Roman"/>
      <w:sz w:val="28"/>
      <w:szCs w:val="20"/>
    </w:rPr>
  </w:style>
  <w:style w:type="character" w:customStyle="1" w:styleId="128">
    <w:name w:val="正文文本 3 Char"/>
    <w:basedOn w:val="90"/>
    <w:qFormat/>
    <w:uiPriority w:val="0"/>
    <w:rPr>
      <w:rFonts w:ascii="Calibri" w:hAnsi="Calibri" w:eastAsia="宋体" w:cs="Times New Roman"/>
      <w:sz w:val="16"/>
      <w:szCs w:val="16"/>
    </w:rPr>
  </w:style>
  <w:style w:type="character" w:customStyle="1" w:styleId="129">
    <w:name w:val="结束语 Char"/>
    <w:basedOn w:val="90"/>
    <w:qFormat/>
    <w:uiPriority w:val="0"/>
    <w:rPr>
      <w:rFonts w:ascii="Calibri" w:hAnsi="Calibri" w:eastAsia="宋体" w:cs="Times New Roman"/>
      <w:sz w:val="28"/>
      <w:szCs w:val="20"/>
    </w:rPr>
  </w:style>
  <w:style w:type="character" w:customStyle="1" w:styleId="130">
    <w:name w:val="HTML 地址 Char"/>
    <w:basedOn w:val="90"/>
    <w:qFormat/>
    <w:uiPriority w:val="0"/>
    <w:rPr>
      <w:rFonts w:ascii="Calibri" w:hAnsi="Calibri" w:eastAsia="宋体" w:cs="Times New Roman"/>
      <w:i/>
      <w:iCs/>
      <w:sz w:val="28"/>
      <w:szCs w:val="20"/>
    </w:rPr>
  </w:style>
  <w:style w:type="character" w:customStyle="1" w:styleId="131">
    <w:name w:val="纯文本 Char"/>
    <w:basedOn w:val="90"/>
    <w:qFormat/>
    <w:uiPriority w:val="0"/>
    <w:rPr>
      <w:rFonts w:ascii="宋体" w:hAnsi="Courier New" w:eastAsia="宋体" w:cs="Courier New"/>
      <w:szCs w:val="21"/>
    </w:rPr>
  </w:style>
  <w:style w:type="character" w:customStyle="1" w:styleId="132">
    <w:name w:val="日期 Char"/>
    <w:basedOn w:val="90"/>
    <w:qFormat/>
    <w:uiPriority w:val="0"/>
    <w:rPr>
      <w:rFonts w:ascii="Calibri" w:hAnsi="Calibri" w:eastAsia="宋体" w:cs="Times New Roman"/>
      <w:sz w:val="28"/>
      <w:szCs w:val="20"/>
    </w:rPr>
  </w:style>
  <w:style w:type="character" w:customStyle="1" w:styleId="133">
    <w:name w:val="正文文本缩进 2 Char"/>
    <w:basedOn w:val="90"/>
    <w:link w:val="134"/>
    <w:qFormat/>
    <w:uiPriority w:val="0"/>
    <w:rPr>
      <w:rFonts w:ascii="Calibri" w:hAnsi="Calibri" w:eastAsia="宋体" w:cs="Times New Roman"/>
      <w:sz w:val="28"/>
      <w:szCs w:val="20"/>
    </w:rPr>
  </w:style>
  <w:style w:type="paragraph" w:customStyle="1" w:styleId="134">
    <w:name w:val="正文文本缩进 22"/>
    <w:basedOn w:val="1"/>
    <w:link w:val="133"/>
    <w:qFormat/>
    <w:uiPriority w:val="0"/>
    <w:pPr>
      <w:adjustRightInd w:val="0"/>
      <w:spacing w:line="400" w:lineRule="atLeast"/>
      <w:ind w:firstLine="540"/>
      <w:textAlignment w:val="baseline"/>
    </w:pPr>
  </w:style>
  <w:style w:type="character" w:customStyle="1" w:styleId="135">
    <w:name w:val="尾注文本 Char"/>
    <w:basedOn w:val="90"/>
    <w:qFormat/>
    <w:uiPriority w:val="0"/>
    <w:rPr>
      <w:rFonts w:ascii="Calibri" w:hAnsi="Calibri" w:eastAsia="宋体" w:cs="Times New Roman"/>
      <w:sz w:val="28"/>
      <w:szCs w:val="20"/>
    </w:rPr>
  </w:style>
  <w:style w:type="character" w:customStyle="1" w:styleId="136">
    <w:name w:val="批注框文本 Char"/>
    <w:basedOn w:val="90"/>
    <w:qFormat/>
    <w:uiPriority w:val="99"/>
    <w:rPr>
      <w:rFonts w:ascii="Calibri" w:hAnsi="Calibri" w:eastAsia="宋体" w:cs="Times New Roman"/>
      <w:sz w:val="18"/>
      <w:szCs w:val="18"/>
    </w:rPr>
  </w:style>
  <w:style w:type="character" w:customStyle="1" w:styleId="137">
    <w:name w:val="签名 Char"/>
    <w:basedOn w:val="90"/>
    <w:qFormat/>
    <w:uiPriority w:val="0"/>
    <w:rPr>
      <w:rFonts w:ascii="Calibri" w:hAnsi="Calibri" w:eastAsia="宋体" w:cs="Times New Roman"/>
      <w:sz w:val="28"/>
      <w:szCs w:val="20"/>
    </w:rPr>
  </w:style>
  <w:style w:type="character" w:customStyle="1" w:styleId="138">
    <w:name w:val="副标题 Char"/>
    <w:basedOn w:val="90"/>
    <w:qFormat/>
    <w:uiPriority w:val="0"/>
    <w:rPr>
      <w:rFonts w:eastAsia="宋体" w:asciiTheme="majorHAnsi" w:hAnsiTheme="majorHAnsi" w:cstheme="majorBidi"/>
      <w:b/>
      <w:bCs/>
      <w:kern w:val="28"/>
      <w:sz w:val="32"/>
      <w:szCs w:val="32"/>
    </w:rPr>
  </w:style>
  <w:style w:type="character" w:customStyle="1" w:styleId="139">
    <w:name w:val="脚注文本 Char"/>
    <w:basedOn w:val="90"/>
    <w:qFormat/>
    <w:uiPriority w:val="0"/>
    <w:rPr>
      <w:rFonts w:ascii="Calibri" w:hAnsi="Calibri" w:eastAsia="宋体" w:cs="Times New Roman"/>
      <w:sz w:val="18"/>
      <w:szCs w:val="18"/>
    </w:rPr>
  </w:style>
  <w:style w:type="character" w:customStyle="1" w:styleId="140">
    <w:name w:val="正文文本缩进 3 Char"/>
    <w:basedOn w:val="90"/>
    <w:link w:val="141"/>
    <w:qFormat/>
    <w:uiPriority w:val="0"/>
    <w:rPr>
      <w:rFonts w:ascii="Calibri" w:hAnsi="Calibri" w:eastAsia="宋体" w:cs="Times New Roman"/>
      <w:sz w:val="16"/>
      <w:szCs w:val="16"/>
    </w:rPr>
  </w:style>
  <w:style w:type="paragraph" w:customStyle="1" w:styleId="141">
    <w:name w:val="正文文本缩进 31"/>
    <w:basedOn w:val="1"/>
    <w:link w:val="140"/>
    <w:qFormat/>
    <w:uiPriority w:val="0"/>
    <w:pPr>
      <w:spacing w:line="360" w:lineRule="auto"/>
      <w:ind w:firstLine="490" w:firstLineChars="204"/>
    </w:pPr>
    <w:rPr>
      <w:sz w:val="16"/>
      <w:szCs w:val="16"/>
    </w:rPr>
  </w:style>
  <w:style w:type="character" w:customStyle="1" w:styleId="142">
    <w:name w:val="正文文本 2 Char"/>
    <w:basedOn w:val="90"/>
    <w:link w:val="143"/>
    <w:qFormat/>
    <w:uiPriority w:val="0"/>
    <w:rPr>
      <w:rFonts w:ascii="Calibri" w:hAnsi="Calibri" w:eastAsia="宋体" w:cs="Times New Roman"/>
      <w:sz w:val="28"/>
      <w:szCs w:val="20"/>
    </w:rPr>
  </w:style>
  <w:style w:type="paragraph" w:customStyle="1" w:styleId="143">
    <w:name w:val="正文文本 22"/>
    <w:basedOn w:val="1"/>
    <w:link w:val="142"/>
    <w:qFormat/>
    <w:uiPriority w:val="0"/>
    <w:pPr>
      <w:adjustRightInd w:val="0"/>
      <w:ind w:firstLine="510"/>
      <w:jc w:val="left"/>
      <w:textAlignment w:val="baseline"/>
    </w:pPr>
  </w:style>
  <w:style w:type="character" w:customStyle="1" w:styleId="144">
    <w:name w:val="信息标题 Char"/>
    <w:basedOn w:val="90"/>
    <w:qFormat/>
    <w:uiPriority w:val="0"/>
    <w:rPr>
      <w:rFonts w:asciiTheme="majorHAnsi" w:hAnsiTheme="majorHAnsi" w:eastAsiaTheme="majorEastAsia" w:cstheme="majorBidi"/>
      <w:sz w:val="24"/>
      <w:szCs w:val="24"/>
      <w:shd w:val="pct20" w:color="auto" w:fill="auto"/>
    </w:rPr>
  </w:style>
  <w:style w:type="character" w:customStyle="1" w:styleId="145">
    <w:name w:val="HTML 预设格式 Char"/>
    <w:basedOn w:val="90"/>
    <w:link w:val="146"/>
    <w:qFormat/>
    <w:uiPriority w:val="0"/>
    <w:rPr>
      <w:rFonts w:ascii="Courier New" w:hAnsi="Courier New" w:eastAsia="宋体" w:cs="Courier New"/>
      <w:sz w:val="20"/>
      <w:szCs w:val="20"/>
    </w:rPr>
  </w:style>
  <w:style w:type="paragraph" w:customStyle="1" w:styleId="146">
    <w:name w:val="HTML 预设格式1"/>
    <w:basedOn w:val="1"/>
    <w:link w:val="145"/>
    <w:qFormat/>
    <w:uiPriority w:val="0"/>
    <w:rPr>
      <w:rFonts w:ascii="Courier New" w:hAnsi="Courier New" w:cs="Courier New"/>
      <w:sz w:val="20"/>
    </w:rPr>
  </w:style>
  <w:style w:type="character" w:customStyle="1" w:styleId="147">
    <w:name w:val="bemq"/>
    <w:qFormat/>
    <w:uiPriority w:val="0"/>
  </w:style>
  <w:style w:type="character" w:customStyle="1" w:styleId="148">
    <w:name w:val="标题 Char3"/>
    <w:qFormat/>
    <w:uiPriority w:val="0"/>
    <w:rPr>
      <w:b/>
      <w:sz w:val="24"/>
      <w:lang w:val="en-GB"/>
    </w:rPr>
  </w:style>
  <w:style w:type="character" w:customStyle="1" w:styleId="149">
    <w:name w:val="HTML 打字机1"/>
    <w:qFormat/>
    <w:uiPriority w:val="0"/>
    <w:rPr>
      <w:rFonts w:ascii="Courier New" w:hAnsi="Courier New"/>
      <w:sz w:val="20"/>
    </w:rPr>
  </w:style>
  <w:style w:type="character" w:customStyle="1" w:styleId="150">
    <w:name w:val="样式1 Char Char"/>
    <w:link w:val="151"/>
    <w:qFormat/>
    <w:uiPriority w:val="0"/>
    <w:rPr>
      <w:rFonts w:ascii="黑体"/>
      <w:b/>
      <w:sz w:val="32"/>
    </w:rPr>
  </w:style>
  <w:style w:type="paragraph" w:customStyle="1" w:styleId="151">
    <w:name w:val="样式1"/>
    <w:basedOn w:val="4"/>
    <w:link w:val="150"/>
    <w:qFormat/>
    <w:uiPriority w:val="0"/>
    <w:pPr>
      <w:tabs>
        <w:tab w:val="left" w:pos="-839"/>
      </w:tabs>
      <w:ind w:left="1320" w:hanging="1320"/>
    </w:pPr>
    <w:rPr>
      <w:rFonts w:hAnsiTheme="minorHAnsi" w:eastAsiaTheme="minorEastAsia" w:cstheme="minorBidi"/>
      <w:kern w:val="2"/>
      <w:szCs w:val="22"/>
    </w:rPr>
  </w:style>
  <w:style w:type="character" w:customStyle="1" w:styleId="152">
    <w:name w:val="日期 Char1"/>
    <w:qFormat/>
    <w:uiPriority w:val="0"/>
    <w:rPr>
      <w:rFonts w:ascii="Times New Roman" w:hAnsi="Times New Roman" w:eastAsia="宋体"/>
    </w:rPr>
  </w:style>
  <w:style w:type="character" w:customStyle="1" w:styleId="153">
    <w:name w:val="标题 9 字符"/>
    <w:qFormat/>
    <w:uiPriority w:val="0"/>
    <w:rPr>
      <w:rFonts w:ascii="等线 Light" w:hAnsi="等线 Light" w:eastAsia="等线 Light"/>
      <w:kern w:val="2"/>
      <w:sz w:val="21"/>
    </w:rPr>
  </w:style>
  <w:style w:type="character" w:customStyle="1" w:styleId="154">
    <w:name w:val="标题 3 Char Char Char"/>
    <w:qFormat/>
    <w:uiPriority w:val="0"/>
    <w:rPr>
      <w:rFonts w:eastAsia="宋体"/>
      <w:b/>
      <w:kern w:val="2"/>
      <w:sz w:val="32"/>
      <w:lang w:val="en-US" w:eastAsia="zh-CN"/>
    </w:rPr>
  </w:style>
  <w:style w:type="character" w:customStyle="1" w:styleId="155">
    <w:name w:val="正文文本缩进 字符"/>
    <w:qFormat/>
    <w:uiPriority w:val="0"/>
    <w:rPr>
      <w:rFonts w:ascii="Times New Roman" w:hAnsi="Times New Roman" w:eastAsia="宋体"/>
      <w:kern w:val="2"/>
      <w:sz w:val="21"/>
    </w:rPr>
  </w:style>
  <w:style w:type="character" w:customStyle="1" w:styleId="156">
    <w:name w:val="style1 style6 style7"/>
    <w:qFormat/>
    <w:uiPriority w:val="0"/>
  </w:style>
  <w:style w:type="character" w:customStyle="1" w:styleId="157">
    <w:name w:val="h2 Char"/>
    <w:qFormat/>
    <w:uiPriority w:val="0"/>
    <w:rPr>
      <w:rFonts w:ascii="Arial" w:hAnsi="Arial" w:eastAsia="黑体"/>
      <w:color w:val="0000FF"/>
      <w:sz w:val="24"/>
      <w:lang w:val="en-US" w:eastAsia="zh-CN"/>
    </w:rPr>
  </w:style>
  <w:style w:type="character" w:customStyle="1" w:styleId="158">
    <w:name w:val="页脚 字符"/>
    <w:qFormat/>
    <w:uiPriority w:val="0"/>
    <w:rPr>
      <w:kern w:val="2"/>
      <w:sz w:val="18"/>
    </w:rPr>
  </w:style>
  <w:style w:type="character" w:customStyle="1" w:styleId="159">
    <w:name w:val="content3"/>
    <w:qFormat/>
    <w:uiPriority w:val="0"/>
    <w:rPr>
      <w:b/>
      <w:sz w:val="18"/>
    </w:rPr>
  </w:style>
  <w:style w:type="character" w:customStyle="1" w:styleId="160">
    <w:name w:val="street-address"/>
    <w:qFormat/>
    <w:uiPriority w:val="0"/>
  </w:style>
  <w:style w:type="character" w:customStyle="1" w:styleId="161">
    <w:name w:val="正文文本缩进 2 Char1"/>
    <w:qFormat/>
    <w:uiPriority w:val="0"/>
    <w:rPr>
      <w:rFonts w:ascii="黑体" w:eastAsia="黑体"/>
      <w:sz w:val="28"/>
    </w:rPr>
  </w:style>
  <w:style w:type="character" w:customStyle="1" w:styleId="162">
    <w:name w:val="标题 7 字符"/>
    <w:qFormat/>
    <w:uiPriority w:val="0"/>
    <w:rPr>
      <w:rFonts w:ascii="Times New Roman" w:hAnsi="Times New Roman" w:eastAsia="宋体"/>
      <w:b/>
      <w:kern w:val="2"/>
      <w:sz w:val="24"/>
    </w:rPr>
  </w:style>
  <w:style w:type="character" w:customStyle="1" w:styleId="163">
    <w:name w:val="正文（首行缩进两字） + Arial Char Char Char Char Char Char Char Char Char Char Char Char Char Char Char Char Char Char Char Char Char Char Char Char Char Char Char"/>
    <w:qFormat/>
    <w:uiPriority w:val="0"/>
    <w:rPr>
      <w:rFonts w:ascii="Arial" w:hAnsi="Arial" w:eastAsia="宋体"/>
      <w:sz w:val="24"/>
      <w:lang w:val="en-US" w:eastAsia="zh-CN"/>
    </w:rPr>
  </w:style>
  <w:style w:type="character" w:customStyle="1" w:styleId="164">
    <w:name w:val="内文 Char Char"/>
    <w:link w:val="165"/>
    <w:qFormat/>
    <w:uiPriority w:val="0"/>
    <w:rPr>
      <w:rFonts w:ascii="Arial" w:hAnsi="Arial" w:eastAsia="Times New Roman"/>
    </w:rPr>
  </w:style>
  <w:style w:type="paragraph" w:customStyle="1" w:styleId="165">
    <w:name w:val="内文"/>
    <w:link w:val="164"/>
    <w:qFormat/>
    <w:uiPriority w:val="0"/>
    <w:pPr>
      <w:adjustRightInd w:val="0"/>
      <w:snapToGrid w:val="0"/>
      <w:spacing w:line="400" w:lineRule="exact"/>
      <w:ind w:firstLine="200" w:firstLineChars="200"/>
      <w:jc w:val="both"/>
    </w:pPr>
    <w:rPr>
      <w:rFonts w:ascii="Arial" w:hAnsi="Arial" w:eastAsia="Times New Roman" w:cstheme="minorBidi"/>
      <w:kern w:val="2"/>
      <w:sz w:val="21"/>
      <w:szCs w:val="22"/>
      <w:lang w:val="en-US" w:eastAsia="zh-CN" w:bidi="ar-SA"/>
    </w:rPr>
  </w:style>
  <w:style w:type="character" w:customStyle="1" w:styleId="166">
    <w:name w:val="font14news1"/>
    <w:qFormat/>
    <w:uiPriority w:val="0"/>
    <w:rPr>
      <w:color w:val="333333"/>
      <w:sz w:val="21"/>
    </w:rPr>
  </w:style>
  <w:style w:type="character" w:customStyle="1" w:styleId="167">
    <w:name w:val="标题 6 Char1"/>
    <w:qFormat/>
    <w:uiPriority w:val="0"/>
    <w:rPr>
      <w:rFonts w:ascii="Arial" w:hAnsi="Arial" w:eastAsia="黑体"/>
      <w:b/>
      <w:sz w:val="24"/>
      <w:lang w:val="en-US" w:eastAsia="zh-CN"/>
    </w:rPr>
  </w:style>
  <w:style w:type="character" w:customStyle="1" w:styleId="168">
    <w:name w:val="HTML 变量1"/>
    <w:qFormat/>
    <w:uiPriority w:val="0"/>
    <w:rPr>
      <w:i/>
    </w:rPr>
  </w:style>
  <w:style w:type="character" w:customStyle="1" w:styleId="169">
    <w:name w:val="标题 2 Char1"/>
    <w:qFormat/>
    <w:uiPriority w:val="0"/>
    <w:rPr>
      <w:rFonts w:ascii="Arial" w:hAnsi="Arial" w:eastAsia="黑体"/>
      <w:b/>
      <w:sz w:val="32"/>
      <w:lang w:val="en-US" w:eastAsia="zh-CN"/>
    </w:rPr>
  </w:style>
  <w:style w:type="character" w:customStyle="1" w:styleId="170">
    <w:name w:val="样式10 Char"/>
    <w:link w:val="171"/>
    <w:qFormat/>
    <w:uiPriority w:val="0"/>
    <w:rPr>
      <w:b/>
      <w:sz w:val="24"/>
    </w:rPr>
  </w:style>
  <w:style w:type="paragraph" w:customStyle="1" w:styleId="171">
    <w:name w:val="样式10"/>
    <w:basedOn w:val="1"/>
    <w:link w:val="170"/>
    <w:qFormat/>
    <w:uiPriority w:val="0"/>
    <w:pPr>
      <w:spacing w:line="360" w:lineRule="auto"/>
    </w:pPr>
    <w:rPr>
      <w:rFonts w:asciiTheme="minorHAnsi" w:hAnsiTheme="minorHAnsi" w:eastAsiaTheme="minorEastAsia" w:cstheme="minorBidi"/>
      <w:b/>
      <w:sz w:val="24"/>
      <w:szCs w:val="22"/>
    </w:rPr>
  </w:style>
  <w:style w:type="character" w:customStyle="1" w:styleId="172">
    <w:name w:val="注释标题 字符"/>
    <w:qFormat/>
    <w:uiPriority w:val="0"/>
    <w:rPr>
      <w:kern w:val="2"/>
      <w:sz w:val="28"/>
    </w:rPr>
  </w:style>
  <w:style w:type="character" w:customStyle="1" w:styleId="173">
    <w:name w:val="标题 1 Char2"/>
    <w:qFormat/>
    <w:uiPriority w:val="0"/>
    <w:rPr>
      <w:rFonts w:ascii="Arial Unicode MS" w:hAnsi="Arial Unicode MS" w:eastAsia="Arial Unicode MS"/>
      <w:b/>
      <w:kern w:val="36"/>
      <w:sz w:val="48"/>
      <w:lang w:val="en-US" w:eastAsia="zh-CN"/>
    </w:rPr>
  </w:style>
  <w:style w:type="character" w:customStyle="1" w:styleId="174">
    <w:name w:val="Comment Text Char"/>
    <w:qFormat/>
    <w:uiPriority w:val="0"/>
    <w:rPr>
      <w:rFonts w:ascii="Times New Roman" w:hAnsi="Times New Roman" w:eastAsia="宋体"/>
      <w:sz w:val="24"/>
    </w:rPr>
  </w:style>
  <w:style w:type="character" w:customStyle="1" w:styleId="175">
    <w:name w:val="纯文本 字符"/>
    <w:qFormat/>
    <w:uiPriority w:val="0"/>
    <w:rPr>
      <w:rFonts w:ascii="宋体" w:hAnsi="Courier New" w:eastAsia="宋体"/>
      <w:kern w:val="2"/>
      <w:sz w:val="21"/>
    </w:rPr>
  </w:style>
  <w:style w:type="character" w:customStyle="1" w:styleId="176">
    <w:name w:val="页脚 Char2"/>
    <w:qFormat/>
    <w:uiPriority w:val="0"/>
    <w:rPr>
      <w:kern w:val="2"/>
      <w:sz w:val="18"/>
    </w:rPr>
  </w:style>
  <w:style w:type="character" w:customStyle="1" w:styleId="177">
    <w:name w:val="个人撰写风格"/>
    <w:qFormat/>
    <w:uiPriority w:val="0"/>
    <w:rPr>
      <w:rFonts w:ascii="Arial" w:hAnsi="Arial" w:eastAsia="宋体"/>
      <w:color w:val="auto"/>
      <w:sz w:val="20"/>
    </w:rPr>
  </w:style>
  <w:style w:type="character" w:customStyle="1" w:styleId="178">
    <w:name w:val="正文文本缩进 Char1"/>
    <w:qFormat/>
    <w:uiPriority w:val="0"/>
    <w:rPr>
      <w:rFonts w:ascii="宋体" w:hAnsi="宋体" w:eastAsia="宋体"/>
      <w:spacing w:val="-6"/>
      <w:kern w:val="2"/>
      <w:sz w:val="21"/>
      <w:lang w:val="en-US" w:eastAsia="zh-CN"/>
    </w:rPr>
  </w:style>
  <w:style w:type="character" w:customStyle="1" w:styleId="179">
    <w:name w:val="Char Char6"/>
    <w:qFormat/>
    <w:uiPriority w:val="0"/>
    <w:rPr>
      <w:rFonts w:ascii="宋体" w:hAnsi="Courier New" w:eastAsia="宋体"/>
      <w:kern w:val="2"/>
      <w:sz w:val="21"/>
      <w:lang w:val="en-US" w:eastAsia="zh-CN"/>
    </w:rPr>
  </w:style>
  <w:style w:type="character" w:customStyle="1" w:styleId="180">
    <w:name w:val="Char Char"/>
    <w:link w:val="181"/>
    <w:qFormat/>
    <w:uiPriority w:val="0"/>
    <w:rPr>
      <w:rFonts w:eastAsia="仿宋_GB2312"/>
      <w:sz w:val="28"/>
    </w:rPr>
  </w:style>
  <w:style w:type="paragraph" w:customStyle="1" w:styleId="181">
    <w:name w:val="Char12"/>
    <w:basedOn w:val="1"/>
    <w:link w:val="180"/>
    <w:qFormat/>
    <w:uiPriority w:val="0"/>
    <w:rPr>
      <w:rFonts w:eastAsia="仿宋_GB2312" w:asciiTheme="minorHAnsi" w:hAnsiTheme="minorHAnsi" w:cstheme="minorBidi"/>
      <w:szCs w:val="22"/>
    </w:rPr>
  </w:style>
  <w:style w:type="character" w:customStyle="1" w:styleId="182">
    <w:name w:val="Plain Text Char"/>
    <w:qFormat/>
    <w:uiPriority w:val="0"/>
    <w:rPr>
      <w:rFonts w:ascii="宋体" w:hAnsi="Courier New" w:eastAsia="宋体"/>
      <w:kern w:val="2"/>
      <w:sz w:val="21"/>
      <w:lang w:val="en-US" w:eastAsia="zh-CN"/>
    </w:rPr>
  </w:style>
  <w:style w:type="character" w:customStyle="1" w:styleId="183">
    <w:name w:val="zbggmain"/>
    <w:qFormat/>
    <w:uiPriority w:val="0"/>
  </w:style>
  <w:style w:type="character" w:customStyle="1" w:styleId="184">
    <w:name w:val="标题 2 字符"/>
    <w:link w:val="5"/>
    <w:qFormat/>
    <w:uiPriority w:val="0"/>
    <w:rPr>
      <w:rFonts w:ascii="Arial" w:hAnsi="Arial" w:eastAsia="黑体" w:cs="Times New Roman"/>
      <w:b/>
      <w:szCs w:val="20"/>
    </w:rPr>
  </w:style>
  <w:style w:type="character" w:customStyle="1" w:styleId="185">
    <w:name w:val="8953"/>
    <w:qFormat/>
    <w:uiPriority w:val="0"/>
  </w:style>
  <w:style w:type="character" w:customStyle="1" w:styleId="186">
    <w:name w:val="H1 Char"/>
    <w:qFormat/>
    <w:uiPriority w:val="0"/>
    <w:rPr>
      <w:rFonts w:ascii="Arial Unicode MS" w:hAnsi="Arial Unicode MS" w:eastAsia="Arial Unicode MS"/>
      <w:b/>
      <w:kern w:val="36"/>
      <w:sz w:val="48"/>
      <w:lang w:val="en-US" w:eastAsia="zh-CN"/>
    </w:rPr>
  </w:style>
  <w:style w:type="character" w:customStyle="1" w:styleId="187">
    <w:name w:val="样式 标题 3Heading 3 Char1Heading 3 Char Char列表编号33 bullet2ERM... Char"/>
    <w:link w:val="188"/>
    <w:qFormat/>
    <w:uiPriority w:val="0"/>
    <w:rPr>
      <w:b/>
    </w:rPr>
  </w:style>
  <w:style w:type="paragraph" w:customStyle="1" w:styleId="188">
    <w:name w:val="样式 标题 3Heading 3 Char1Heading 3 Char Char列表编号33 bullet2ERM..."/>
    <w:basedOn w:val="6"/>
    <w:link w:val="187"/>
    <w:qFormat/>
    <w:uiPriority w:val="0"/>
    <w:pPr>
      <w:widowControl w:val="0"/>
      <w:tabs>
        <w:tab w:val="clear" w:pos="720"/>
      </w:tabs>
      <w:adjustRightInd w:val="0"/>
      <w:snapToGrid w:val="0"/>
      <w:spacing w:before="0" w:after="0"/>
      <w:ind w:left="0" w:firstLine="0"/>
      <w:jc w:val="both"/>
    </w:pPr>
    <w:rPr>
      <w:rFonts w:asciiTheme="minorHAnsi" w:hAnsiTheme="minorHAnsi" w:eastAsiaTheme="minorEastAsia" w:cstheme="minorBidi"/>
      <w:kern w:val="2"/>
      <w:sz w:val="21"/>
      <w:szCs w:val="22"/>
    </w:rPr>
  </w:style>
  <w:style w:type="character" w:customStyle="1" w:styleId="189">
    <w:name w:val="Char Char12"/>
    <w:qFormat/>
    <w:uiPriority w:val="0"/>
    <w:rPr>
      <w:rFonts w:ascii="Arial" w:hAnsi="Arial" w:eastAsia="黑体"/>
      <w:b/>
      <w:sz w:val="24"/>
    </w:rPr>
  </w:style>
  <w:style w:type="character" w:customStyle="1" w:styleId="190">
    <w:name w:val="页眉 Char1"/>
    <w:qFormat/>
    <w:uiPriority w:val="0"/>
    <w:rPr>
      <w:rFonts w:eastAsia="宋体"/>
      <w:kern w:val="2"/>
      <w:sz w:val="18"/>
      <w:lang w:val="en-US" w:eastAsia="zh-CN"/>
    </w:rPr>
  </w:style>
  <w:style w:type="character" w:customStyle="1" w:styleId="191">
    <w:name w:val="正文文本缩进 2 字符"/>
    <w:qFormat/>
    <w:uiPriority w:val="0"/>
    <w:rPr>
      <w:rFonts w:ascii="Times New Roman" w:hAnsi="Times New Roman" w:eastAsia="宋体"/>
      <w:kern w:val="2"/>
      <w:sz w:val="21"/>
    </w:rPr>
  </w:style>
  <w:style w:type="character" w:customStyle="1" w:styleId="192">
    <w:name w:val="页眉 Char2"/>
    <w:qFormat/>
    <w:uiPriority w:val="0"/>
    <w:rPr>
      <w:kern w:val="2"/>
      <w:sz w:val="18"/>
    </w:rPr>
  </w:style>
  <w:style w:type="character" w:customStyle="1" w:styleId="193">
    <w:name w:val="批注主题 Char1"/>
    <w:qFormat/>
    <w:uiPriority w:val="0"/>
    <w:rPr>
      <w:b/>
    </w:rPr>
  </w:style>
  <w:style w:type="character" w:customStyle="1" w:styleId="194">
    <w:name w:val="qclx"/>
    <w:qFormat/>
    <w:uiPriority w:val="0"/>
  </w:style>
  <w:style w:type="character" w:customStyle="1" w:styleId="195">
    <w:name w:val="even Char Char"/>
    <w:qFormat/>
    <w:uiPriority w:val="0"/>
    <w:rPr>
      <w:rFonts w:ascii="Times New Roman" w:hAnsi="Times New Roman" w:eastAsia="宋体"/>
      <w:sz w:val="18"/>
    </w:rPr>
  </w:style>
  <w:style w:type="character" w:customStyle="1" w:styleId="196">
    <w:name w:val="正文文本缩进 3 Char1"/>
    <w:qFormat/>
    <w:uiPriority w:val="0"/>
    <w:rPr>
      <w:sz w:val="28"/>
    </w:rPr>
  </w:style>
  <w:style w:type="character" w:customStyle="1" w:styleId="197">
    <w:name w:val="信息标题 字符"/>
    <w:qFormat/>
    <w:uiPriority w:val="0"/>
    <w:rPr>
      <w:rFonts w:ascii="等线 Light" w:hAnsi="等线 Light" w:eastAsia="等线 Light"/>
      <w:kern w:val="2"/>
      <w:sz w:val="24"/>
      <w:shd w:val="pct20" w:color="auto" w:fill="auto"/>
    </w:rPr>
  </w:style>
  <w:style w:type="character" w:customStyle="1" w:styleId="198">
    <w:name w:val="标题 5 字符"/>
    <w:qFormat/>
    <w:uiPriority w:val="0"/>
    <w:rPr>
      <w:rFonts w:ascii="Times New Roman" w:hAnsi="Times New Roman" w:eastAsia="宋体"/>
      <w:b/>
      <w:kern w:val="2"/>
      <w:sz w:val="28"/>
    </w:rPr>
  </w:style>
  <w:style w:type="character" w:customStyle="1" w:styleId="199">
    <w:name w:val="HTML 预设格式 Char2"/>
    <w:qFormat/>
    <w:uiPriority w:val="0"/>
    <w:rPr>
      <w:rFonts w:ascii="黑体" w:hAnsi="Courier New" w:eastAsia="黑体"/>
    </w:rPr>
  </w:style>
  <w:style w:type="character" w:customStyle="1" w:styleId="200">
    <w:name w:val="p7"/>
    <w:qFormat/>
    <w:uiPriority w:val="0"/>
  </w:style>
  <w:style w:type="character" w:customStyle="1" w:styleId="201">
    <w:name w:val="签名 字符"/>
    <w:qFormat/>
    <w:uiPriority w:val="0"/>
    <w:rPr>
      <w:kern w:val="2"/>
      <w:sz w:val="28"/>
    </w:rPr>
  </w:style>
  <w:style w:type="character" w:customStyle="1" w:styleId="202">
    <w:name w:val="批注文字 Char1"/>
    <w:qFormat/>
    <w:uiPriority w:val="0"/>
    <w:rPr>
      <w:rFonts w:eastAsia="宋体"/>
      <w:kern w:val="2"/>
      <w:sz w:val="21"/>
      <w:lang w:val="en-US" w:eastAsia="zh-CN"/>
    </w:rPr>
  </w:style>
  <w:style w:type="character" w:customStyle="1" w:styleId="203">
    <w:name w:val="文档结构图 Char1"/>
    <w:qFormat/>
    <w:uiPriority w:val="0"/>
    <w:rPr>
      <w:rFonts w:eastAsia="宋体"/>
      <w:kern w:val="2"/>
      <w:sz w:val="21"/>
      <w:lang w:val="en-US" w:eastAsia="zh-CN"/>
    </w:rPr>
  </w:style>
  <w:style w:type="character" w:customStyle="1" w:styleId="204">
    <w:name w:val="纯文本 Char1"/>
    <w:qFormat/>
    <w:uiPriority w:val="0"/>
    <w:rPr>
      <w:rFonts w:ascii="宋体" w:hAnsi="Courier New" w:eastAsia="宋体"/>
      <w:kern w:val="2"/>
      <w:sz w:val="21"/>
    </w:rPr>
  </w:style>
  <w:style w:type="character" w:customStyle="1" w:styleId="205">
    <w:name w:val="无间隔 Char"/>
    <w:link w:val="206"/>
    <w:qFormat/>
    <w:locked/>
    <w:uiPriority w:val="0"/>
    <w:rPr>
      <w:rFonts w:ascii="宋体" w:hAnsi="宋体"/>
      <w:szCs w:val="24"/>
    </w:rPr>
  </w:style>
  <w:style w:type="paragraph" w:customStyle="1" w:styleId="206">
    <w:name w:val="无间隔1"/>
    <w:basedOn w:val="1"/>
    <w:link w:val="205"/>
    <w:qFormat/>
    <w:uiPriority w:val="0"/>
    <w:rPr>
      <w:rFonts w:ascii="宋体" w:hAnsi="宋体" w:eastAsiaTheme="minorEastAsia" w:cstheme="minorBidi"/>
      <w:sz w:val="21"/>
      <w:szCs w:val="24"/>
    </w:rPr>
  </w:style>
  <w:style w:type="character" w:customStyle="1" w:styleId="207">
    <w:name w:val="HTML 引文1"/>
    <w:qFormat/>
    <w:uiPriority w:val="0"/>
    <w:rPr>
      <w:i/>
    </w:rPr>
  </w:style>
  <w:style w:type="character" w:customStyle="1" w:styleId="208">
    <w:name w:val="Char Char13"/>
    <w:qFormat/>
    <w:uiPriority w:val="0"/>
    <w:rPr>
      <w:rFonts w:ascii="Times New Roman" w:hAnsi="Times New Roman" w:eastAsia="宋体"/>
      <w:b/>
      <w:sz w:val="28"/>
    </w:rPr>
  </w:style>
  <w:style w:type="character" w:customStyle="1" w:styleId="209">
    <w:name w:val="brown1"/>
    <w:qFormat/>
    <w:uiPriority w:val="0"/>
    <w:rPr>
      <w:color w:val="80786A"/>
    </w:rPr>
  </w:style>
  <w:style w:type="character" w:customStyle="1" w:styleId="210">
    <w:name w:val="正文首行缩进 2 字符"/>
    <w:basedOn w:val="211"/>
    <w:qFormat/>
    <w:uiPriority w:val="0"/>
    <w:rPr>
      <w:rFonts w:ascii="黑体" w:eastAsia="黑体"/>
      <w:sz w:val="28"/>
    </w:rPr>
  </w:style>
  <w:style w:type="character" w:customStyle="1" w:styleId="211">
    <w:name w:val="正文文本缩进 Char2"/>
    <w:qFormat/>
    <w:uiPriority w:val="0"/>
    <w:rPr>
      <w:rFonts w:ascii="黑体" w:eastAsia="黑体"/>
      <w:sz w:val="28"/>
    </w:rPr>
  </w:style>
  <w:style w:type="character" w:customStyle="1" w:styleId="212">
    <w:name w:val="正文非缩进 Char"/>
    <w:qFormat/>
    <w:uiPriority w:val="0"/>
    <w:rPr>
      <w:rFonts w:ascii="宋体" w:eastAsia="宋体"/>
      <w:snapToGrid w:val="0"/>
      <w:color w:val="000000"/>
      <w:kern w:val="28"/>
      <w:sz w:val="28"/>
      <w:lang w:val="en-US" w:eastAsia="zh-CN"/>
    </w:rPr>
  </w:style>
  <w:style w:type="character" w:customStyle="1" w:styleId="213">
    <w:name w:val="标题 1 1 Char"/>
    <w:qFormat/>
    <w:uiPriority w:val="0"/>
    <w:rPr>
      <w:rFonts w:ascii="Times New Roman" w:hAnsi="Times New Roman" w:eastAsia="宋体"/>
      <w:b/>
      <w:kern w:val="44"/>
      <w:sz w:val="44"/>
    </w:rPr>
  </w:style>
  <w:style w:type="character" w:customStyle="1" w:styleId="214">
    <w:name w:val="z-窗体底端 Char"/>
    <w:qFormat/>
    <w:uiPriority w:val="0"/>
    <w:rPr>
      <w:rFonts w:ascii="Arial" w:hAnsi="Arial"/>
      <w:vanish/>
      <w:sz w:val="16"/>
    </w:rPr>
  </w:style>
  <w:style w:type="paragraph" w:customStyle="1" w:styleId="215">
    <w:name w:val="z-窗体底端1"/>
    <w:basedOn w:val="1"/>
    <w:next w:val="1"/>
    <w:link w:val="381"/>
    <w:qFormat/>
    <w:uiPriority w:val="0"/>
    <w:pPr>
      <w:pBdr>
        <w:top w:val="single" w:color="auto" w:sz="6" w:space="1"/>
      </w:pBdr>
      <w:jc w:val="center"/>
    </w:pPr>
    <w:rPr>
      <w:rFonts w:ascii="Arial" w:hAnsi="Arial" w:eastAsiaTheme="minorEastAsia" w:cstheme="minorBidi"/>
      <w:vanish/>
      <w:sz w:val="16"/>
      <w:szCs w:val="22"/>
    </w:rPr>
  </w:style>
  <w:style w:type="character" w:customStyle="1" w:styleId="216">
    <w:name w:val="font161"/>
    <w:qFormat/>
    <w:uiPriority w:val="0"/>
    <w:rPr>
      <w:b/>
      <w:sz w:val="32"/>
    </w:rPr>
  </w:style>
  <w:style w:type="character" w:customStyle="1" w:styleId="217">
    <w:name w:val="脚注文本 字符"/>
    <w:qFormat/>
    <w:uiPriority w:val="0"/>
    <w:rPr>
      <w:kern w:val="2"/>
      <w:sz w:val="18"/>
    </w:rPr>
  </w:style>
  <w:style w:type="character" w:customStyle="1" w:styleId="218">
    <w:name w:val="HTML 代码1"/>
    <w:qFormat/>
    <w:uiPriority w:val="0"/>
    <w:rPr>
      <w:rFonts w:ascii="Courier New" w:hAnsi="Courier New"/>
      <w:sz w:val="20"/>
    </w:rPr>
  </w:style>
  <w:style w:type="character" w:customStyle="1" w:styleId="219">
    <w:name w:val="标题 Char2"/>
    <w:qFormat/>
    <w:uiPriority w:val="0"/>
    <w:rPr>
      <w:rFonts w:ascii="Arial" w:hAnsi="Arial" w:eastAsia="宋体"/>
      <w:b/>
      <w:sz w:val="32"/>
      <w:lang w:val="en-US" w:eastAsia="zh-CN"/>
    </w:rPr>
  </w:style>
  <w:style w:type="character" w:customStyle="1" w:styleId="220">
    <w:name w:val="正文文本 Char2"/>
    <w:qFormat/>
    <w:uiPriority w:val="0"/>
    <w:rPr>
      <w:sz w:val="24"/>
    </w:rPr>
  </w:style>
  <w:style w:type="character" w:customStyle="1" w:styleId="221">
    <w:name w:val="lemmatitleh11"/>
    <w:qFormat/>
    <w:uiPriority w:val="0"/>
  </w:style>
  <w:style w:type="character" w:customStyle="1" w:styleId="222">
    <w:name w:val="Char Char16"/>
    <w:qFormat/>
    <w:uiPriority w:val="0"/>
    <w:rPr>
      <w:kern w:val="2"/>
      <w:sz w:val="18"/>
    </w:rPr>
  </w:style>
  <w:style w:type="character" w:customStyle="1" w:styleId="223">
    <w:name w:val="正文首行缩进 Char1"/>
    <w:qFormat/>
    <w:uiPriority w:val="0"/>
    <w:rPr>
      <w:rFonts w:ascii="等线" w:hAnsi="等线" w:eastAsia="等线"/>
    </w:rPr>
  </w:style>
  <w:style w:type="character" w:customStyle="1" w:styleId="224">
    <w:name w:val="Char Char17"/>
    <w:qFormat/>
    <w:uiPriority w:val="0"/>
    <w:rPr>
      <w:kern w:val="2"/>
      <w:sz w:val="18"/>
    </w:rPr>
  </w:style>
  <w:style w:type="character" w:customStyle="1" w:styleId="225">
    <w:name w:val="font31"/>
    <w:qFormat/>
    <w:uiPriority w:val="0"/>
    <w:rPr>
      <w:rFonts w:hint="eastAsia" w:ascii="宋体" w:hAnsi="宋体" w:eastAsia="宋体"/>
      <w:color w:val="0000FF"/>
      <w:sz w:val="21"/>
      <w:u w:val="none"/>
      <w:vertAlign w:val="superscript"/>
    </w:rPr>
  </w:style>
  <w:style w:type="character" w:customStyle="1" w:styleId="226">
    <w:name w:val="标题 4 Char1"/>
    <w:qFormat/>
    <w:uiPriority w:val="0"/>
    <w:rPr>
      <w:rFonts w:ascii="Arial" w:hAnsi="Arial" w:eastAsia="黑体"/>
      <w:b/>
      <w:kern w:val="2"/>
      <w:sz w:val="28"/>
      <w:lang w:val="en-US" w:eastAsia="zh-CN"/>
    </w:rPr>
  </w:style>
  <w:style w:type="character" w:customStyle="1" w:styleId="227">
    <w:name w:val="p141"/>
    <w:qFormat/>
    <w:uiPriority w:val="0"/>
    <w:rPr>
      <w:sz w:val="21"/>
      <w:szCs w:val="21"/>
    </w:rPr>
  </w:style>
  <w:style w:type="character" w:customStyle="1" w:styleId="228">
    <w:name w:val="批注引用1"/>
    <w:qFormat/>
    <w:uiPriority w:val="0"/>
    <w:rPr>
      <w:sz w:val="21"/>
    </w:rPr>
  </w:style>
  <w:style w:type="character" w:customStyle="1" w:styleId="229">
    <w:name w:val="发布"/>
    <w:qFormat/>
    <w:uiPriority w:val="0"/>
    <w:rPr>
      <w:rFonts w:ascii="黑体" w:eastAsia="黑体"/>
      <w:spacing w:val="22"/>
      <w:w w:val="100"/>
      <w:position w:val="3"/>
      <w:sz w:val="28"/>
    </w:rPr>
  </w:style>
  <w:style w:type="character" w:customStyle="1" w:styleId="230">
    <w:name w:val="j23x"/>
    <w:qFormat/>
    <w:uiPriority w:val="0"/>
  </w:style>
  <w:style w:type="character" w:customStyle="1" w:styleId="231">
    <w:name w:val="纯文本 Char2"/>
    <w:qFormat/>
    <w:uiPriority w:val="0"/>
    <w:rPr>
      <w:rFonts w:ascii="宋体" w:hAnsi="Courier New" w:eastAsia="宋体"/>
      <w:kern w:val="2"/>
      <w:sz w:val="21"/>
      <w:lang w:val="en-US" w:eastAsia="zh-CN"/>
    </w:rPr>
  </w:style>
  <w:style w:type="character" w:customStyle="1" w:styleId="232">
    <w:name w:val="567r"/>
    <w:qFormat/>
    <w:uiPriority w:val="0"/>
  </w:style>
  <w:style w:type="character" w:customStyle="1" w:styleId="233">
    <w:name w:val="文档结构图 字符"/>
    <w:qFormat/>
    <w:uiPriority w:val="0"/>
    <w:rPr>
      <w:rFonts w:ascii="Microsoft YaHei UI" w:hAnsi="Times New Roman" w:eastAsia="Microsoft YaHei UI"/>
      <w:kern w:val="2"/>
      <w:sz w:val="18"/>
    </w:rPr>
  </w:style>
  <w:style w:type="character" w:customStyle="1" w:styleId="234">
    <w:name w:val="正文文本 2 字符"/>
    <w:qFormat/>
    <w:uiPriority w:val="0"/>
    <w:rPr>
      <w:kern w:val="2"/>
      <w:sz w:val="28"/>
    </w:rPr>
  </w:style>
  <w:style w:type="character" w:customStyle="1" w:styleId="235">
    <w:name w:val="font01"/>
    <w:basedOn w:val="90"/>
    <w:qFormat/>
    <w:uiPriority w:val="0"/>
    <w:rPr>
      <w:rFonts w:hint="eastAsia" w:ascii="宋体" w:hAnsi="宋体" w:eastAsia="宋体" w:cs="宋体"/>
      <w:color w:val="000000"/>
      <w:sz w:val="22"/>
      <w:szCs w:val="22"/>
      <w:u w:val="none"/>
    </w:rPr>
  </w:style>
  <w:style w:type="character" w:customStyle="1" w:styleId="236">
    <w:name w:val="Title Char"/>
    <w:qFormat/>
    <w:uiPriority w:val="0"/>
    <w:rPr>
      <w:rFonts w:ascii="Arial" w:hAnsi="Arial" w:eastAsia="宋体"/>
      <w:b/>
      <w:kern w:val="2"/>
      <w:sz w:val="32"/>
      <w:lang w:val="en-US" w:eastAsia="zh-CN"/>
    </w:rPr>
  </w:style>
  <w:style w:type="character" w:customStyle="1" w:styleId="237">
    <w:name w:val="宏文本 字符"/>
    <w:qFormat/>
    <w:uiPriority w:val="0"/>
    <w:rPr>
      <w:rFonts w:ascii="Courier New" w:hAnsi="Courier New"/>
      <w:kern w:val="2"/>
      <w:sz w:val="24"/>
    </w:rPr>
  </w:style>
  <w:style w:type="character" w:customStyle="1" w:styleId="238">
    <w:name w:val="Char Char22"/>
    <w:qFormat/>
    <w:uiPriority w:val="0"/>
    <w:rPr>
      <w:rFonts w:ascii="Arial" w:hAnsi="Arial" w:eastAsia="黑体"/>
      <w:b/>
      <w:kern w:val="2"/>
      <w:sz w:val="32"/>
      <w:lang w:val="en-US" w:eastAsia="zh-CN"/>
    </w:rPr>
  </w:style>
  <w:style w:type="character" w:customStyle="1" w:styleId="239">
    <w:name w:val="尾注文本 字符"/>
    <w:qFormat/>
    <w:uiPriority w:val="0"/>
    <w:rPr>
      <w:kern w:val="2"/>
      <w:sz w:val="28"/>
    </w:rPr>
  </w:style>
  <w:style w:type="character" w:customStyle="1" w:styleId="240">
    <w:name w:val="副标题 Char1"/>
    <w:qFormat/>
    <w:uiPriority w:val="0"/>
    <w:rPr>
      <w:rFonts w:ascii="Calibri Light" w:hAnsi="Calibri Light" w:eastAsia="宋体"/>
      <w:b/>
      <w:kern w:val="28"/>
      <w:sz w:val="32"/>
    </w:rPr>
  </w:style>
  <w:style w:type="character" w:customStyle="1" w:styleId="241">
    <w:name w:val="正文文本 Char1"/>
    <w:qFormat/>
    <w:uiPriority w:val="0"/>
    <w:rPr>
      <w:rFonts w:ascii="宋体" w:hAnsi="宋体" w:eastAsia="宋体"/>
      <w:spacing w:val="-6"/>
      <w:kern w:val="2"/>
      <w:sz w:val="21"/>
      <w:lang w:val="en-US" w:eastAsia="zh-CN"/>
    </w:rPr>
  </w:style>
  <w:style w:type="character" w:customStyle="1" w:styleId="242">
    <w:name w:val="HTML 缩写1"/>
    <w:qFormat/>
    <w:uiPriority w:val="0"/>
  </w:style>
  <w:style w:type="character" w:customStyle="1" w:styleId="243">
    <w:name w:val="标题 1 Char1"/>
    <w:qFormat/>
    <w:uiPriority w:val="0"/>
    <w:rPr>
      <w:rFonts w:eastAsia="宋体"/>
      <w:b/>
      <w:kern w:val="44"/>
      <w:sz w:val="44"/>
      <w:lang w:val="en-US" w:eastAsia="zh-CN"/>
    </w:rPr>
  </w:style>
  <w:style w:type="character" w:customStyle="1" w:styleId="244">
    <w:name w:val="15"/>
    <w:qFormat/>
    <w:uiPriority w:val="0"/>
  </w:style>
  <w:style w:type="character" w:customStyle="1" w:styleId="245">
    <w:name w:val="样式 正文文本 Char"/>
    <w:link w:val="246"/>
    <w:qFormat/>
    <w:uiPriority w:val="0"/>
    <w:rPr>
      <w:rFonts w:ascii="Arial" w:hAnsi="Arial"/>
      <w:color w:val="000000"/>
    </w:rPr>
  </w:style>
  <w:style w:type="paragraph" w:customStyle="1" w:styleId="246">
    <w:name w:val="样式 正文文本"/>
    <w:basedOn w:val="1"/>
    <w:link w:val="245"/>
    <w:qFormat/>
    <w:uiPriority w:val="0"/>
    <w:pPr>
      <w:adjustRightInd w:val="0"/>
      <w:snapToGrid w:val="0"/>
      <w:spacing w:line="400" w:lineRule="exact"/>
      <w:ind w:firstLine="200" w:firstLineChars="200"/>
    </w:pPr>
    <w:rPr>
      <w:rFonts w:ascii="Arial" w:hAnsi="Arial" w:eastAsiaTheme="minorEastAsia" w:cstheme="minorBidi"/>
      <w:color w:val="000000"/>
      <w:sz w:val="21"/>
      <w:szCs w:val="22"/>
    </w:rPr>
  </w:style>
  <w:style w:type="character" w:customStyle="1" w:styleId="247">
    <w:name w:val="正文格式 Char"/>
    <w:link w:val="248"/>
    <w:qFormat/>
    <w:uiPriority w:val="0"/>
    <w:rPr>
      <w:rFonts w:ascii="Times New Roman" w:hAnsi="Times New Roman"/>
      <w:sz w:val="24"/>
    </w:rPr>
  </w:style>
  <w:style w:type="paragraph" w:customStyle="1" w:styleId="248">
    <w:name w:val="正文格式"/>
    <w:basedOn w:val="1"/>
    <w:link w:val="247"/>
    <w:qFormat/>
    <w:uiPriority w:val="0"/>
    <w:pPr>
      <w:widowControl/>
      <w:adjustRightInd w:val="0"/>
      <w:spacing w:line="480" w:lineRule="atLeast"/>
      <w:ind w:firstLine="482"/>
      <w:textAlignment w:val="baseline"/>
    </w:pPr>
    <w:rPr>
      <w:rFonts w:ascii="Times New Roman" w:hAnsi="Times New Roman" w:eastAsiaTheme="minorEastAsia" w:cstheme="minorBidi"/>
      <w:sz w:val="24"/>
      <w:szCs w:val="22"/>
    </w:rPr>
  </w:style>
  <w:style w:type="character" w:customStyle="1" w:styleId="249">
    <w:name w:val="bulletintext1"/>
    <w:qFormat/>
    <w:uiPriority w:val="0"/>
    <w:rPr>
      <w:color w:val="000000"/>
      <w:sz w:val="18"/>
    </w:rPr>
  </w:style>
  <w:style w:type="character" w:customStyle="1" w:styleId="250">
    <w:name w:val="fonts11"/>
    <w:qFormat/>
    <w:uiPriority w:val="0"/>
    <w:rPr>
      <w:sz w:val="18"/>
    </w:rPr>
  </w:style>
  <w:style w:type="character" w:customStyle="1" w:styleId="251">
    <w:name w:val="locality"/>
    <w:qFormat/>
    <w:uiPriority w:val="0"/>
  </w:style>
  <w:style w:type="character" w:customStyle="1" w:styleId="252">
    <w:name w:val="标题 3 字符"/>
    <w:qFormat/>
    <w:uiPriority w:val="0"/>
    <w:rPr>
      <w:rFonts w:ascii="Times New Roman" w:hAnsi="Times New Roman" w:eastAsia="宋体"/>
      <w:b/>
      <w:kern w:val="2"/>
      <w:sz w:val="32"/>
    </w:rPr>
  </w:style>
  <w:style w:type="character" w:customStyle="1" w:styleId="253">
    <w:name w:val="标题 8 字符"/>
    <w:qFormat/>
    <w:uiPriority w:val="0"/>
    <w:rPr>
      <w:rFonts w:ascii="等线 Light" w:hAnsi="等线 Light" w:eastAsia="等线 Light"/>
      <w:kern w:val="2"/>
      <w:sz w:val="24"/>
    </w:rPr>
  </w:style>
  <w:style w:type="character" w:customStyle="1" w:styleId="254">
    <w:name w:val="批注主题 字符"/>
    <w:qFormat/>
    <w:uiPriority w:val="0"/>
    <w:rPr>
      <w:b/>
      <w:kern w:val="2"/>
      <w:sz w:val="28"/>
    </w:rPr>
  </w:style>
  <w:style w:type="character" w:customStyle="1" w:styleId="255">
    <w:name w:val="H3 Char"/>
    <w:qFormat/>
    <w:uiPriority w:val="0"/>
    <w:rPr>
      <w:rFonts w:eastAsia="宋体"/>
      <w:b/>
      <w:kern w:val="2"/>
      <w:sz w:val="32"/>
      <w:lang w:val="en-US" w:eastAsia="zh-CN"/>
    </w:rPr>
  </w:style>
  <w:style w:type="character" w:customStyle="1" w:styleId="256">
    <w:name w:val="标题 9 Char1"/>
    <w:qFormat/>
    <w:uiPriority w:val="0"/>
    <w:rPr>
      <w:rFonts w:ascii="Arial" w:hAnsi="Arial" w:eastAsia="黑体"/>
      <w:sz w:val="21"/>
      <w:lang w:val="en-US" w:eastAsia="zh-CN"/>
    </w:rPr>
  </w:style>
  <w:style w:type="character" w:customStyle="1" w:styleId="257">
    <w:name w:val="公文正文 Char"/>
    <w:link w:val="258"/>
    <w:qFormat/>
    <w:uiPriority w:val="0"/>
    <w:rPr>
      <w:rFonts w:ascii="仿宋_GB2312" w:eastAsia="仿宋_GB2312"/>
      <w:sz w:val="24"/>
    </w:rPr>
  </w:style>
  <w:style w:type="paragraph" w:customStyle="1" w:styleId="258">
    <w:name w:val="公文正文"/>
    <w:basedOn w:val="1"/>
    <w:link w:val="257"/>
    <w:qFormat/>
    <w:uiPriority w:val="0"/>
    <w:pPr>
      <w:spacing w:before="156" w:line="360" w:lineRule="auto"/>
      <w:ind w:firstLine="360" w:firstLineChars="200"/>
    </w:pPr>
    <w:rPr>
      <w:rFonts w:ascii="仿宋_GB2312" w:eastAsia="仿宋_GB2312" w:hAnsiTheme="minorHAnsi" w:cstheme="minorBidi"/>
      <w:sz w:val="24"/>
      <w:szCs w:val="22"/>
    </w:rPr>
  </w:style>
  <w:style w:type="character" w:customStyle="1" w:styleId="259">
    <w:name w:val="正文文本缩进 3 字符"/>
    <w:qFormat/>
    <w:uiPriority w:val="0"/>
    <w:rPr>
      <w:rFonts w:ascii="Times New Roman" w:hAnsi="Times New Roman" w:eastAsia="宋体"/>
      <w:kern w:val="2"/>
      <w:sz w:val="16"/>
    </w:rPr>
  </w:style>
  <w:style w:type="character" w:customStyle="1" w:styleId="260">
    <w:name w:val="my Char"/>
    <w:link w:val="261"/>
    <w:qFormat/>
    <w:uiPriority w:val="0"/>
    <w:rPr>
      <w:rFonts w:ascii="宋体" w:hAnsi="宋体"/>
      <w:sz w:val="24"/>
    </w:rPr>
  </w:style>
  <w:style w:type="paragraph" w:customStyle="1" w:styleId="261">
    <w:name w:val="my"/>
    <w:basedOn w:val="1"/>
    <w:link w:val="260"/>
    <w:qFormat/>
    <w:uiPriority w:val="0"/>
    <w:pPr>
      <w:widowControl/>
      <w:tabs>
        <w:tab w:val="left" w:pos="0"/>
        <w:tab w:val="left" w:pos="5823"/>
      </w:tabs>
      <w:adjustRightInd w:val="0"/>
      <w:ind w:firstLine="480" w:firstLineChars="200"/>
    </w:pPr>
    <w:rPr>
      <w:rFonts w:ascii="宋体" w:hAnsi="宋体" w:eastAsiaTheme="minorEastAsia" w:cstheme="minorBidi"/>
      <w:sz w:val="24"/>
      <w:szCs w:val="22"/>
    </w:rPr>
  </w:style>
  <w:style w:type="character" w:customStyle="1" w:styleId="262">
    <w:name w:val="info1"/>
    <w:qFormat/>
    <w:uiPriority w:val="99"/>
    <w:rPr>
      <w:color w:val="000000"/>
      <w:spacing w:val="15"/>
      <w:sz w:val="24"/>
    </w:rPr>
  </w:style>
  <w:style w:type="character" w:customStyle="1" w:styleId="263">
    <w:name w:val="正文文本 2 Char1"/>
    <w:qFormat/>
    <w:uiPriority w:val="0"/>
  </w:style>
  <w:style w:type="character" w:customStyle="1" w:styleId="264">
    <w:name w:val="HTML 预设格式 Char1"/>
    <w:qFormat/>
    <w:uiPriority w:val="0"/>
    <w:rPr>
      <w:rFonts w:ascii="Courier New" w:hAnsi="Courier New" w:eastAsia="宋体"/>
      <w:kern w:val="2"/>
    </w:rPr>
  </w:style>
  <w:style w:type="character" w:customStyle="1" w:styleId="265">
    <w:name w:val="电子邮件签名 字符"/>
    <w:qFormat/>
    <w:uiPriority w:val="0"/>
    <w:rPr>
      <w:kern w:val="2"/>
      <w:sz w:val="28"/>
    </w:rPr>
  </w:style>
  <w:style w:type="character" w:customStyle="1" w:styleId="266">
    <w:name w:val="称呼 字符"/>
    <w:qFormat/>
    <w:uiPriority w:val="0"/>
    <w:rPr>
      <w:kern w:val="2"/>
      <w:sz w:val="28"/>
    </w:rPr>
  </w:style>
  <w:style w:type="character" w:customStyle="1" w:styleId="267">
    <w:name w:val="标题 4 Char Char Char Char Char Char"/>
    <w:qFormat/>
    <w:uiPriority w:val="0"/>
    <w:rPr>
      <w:rFonts w:eastAsia="宋体"/>
      <w:kern w:val="2"/>
      <w:sz w:val="24"/>
      <w:lang w:val="en-US" w:eastAsia="zh-CN"/>
    </w:rPr>
  </w:style>
  <w:style w:type="character" w:customStyle="1" w:styleId="268">
    <w:name w:val="标题 6 字符"/>
    <w:qFormat/>
    <w:uiPriority w:val="0"/>
    <w:rPr>
      <w:rFonts w:ascii="等线 Light" w:hAnsi="等线 Light" w:eastAsia="等线 Light"/>
      <w:b/>
      <w:kern w:val="2"/>
      <w:sz w:val="24"/>
    </w:rPr>
  </w:style>
  <w:style w:type="character" w:customStyle="1" w:styleId="269">
    <w:name w:val="标题 7 Char1"/>
    <w:qFormat/>
    <w:uiPriority w:val="0"/>
    <w:rPr>
      <w:rFonts w:eastAsia="宋体"/>
      <w:b/>
      <w:sz w:val="24"/>
      <w:lang w:val="en-US" w:eastAsia="zh-CN"/>
    </w:rPr>
  </w:style>
  <w:style w:type="character" w:customStyle="1" w:styleId="270">
    <w:name w:val="副标题 字符"/>
    <w:qFormat/>
    <w:uiPriority w:val="0"/>
    <w:rPr>
      <w:rFonts w:ascii="等线 Light" w:hAnsi="等线 Light"/>
      <w:b/>
      <w:kern w:val="28"/>
      <w:sz w:val="32"/>
    </w:rPr>
  </w:style>
  <w:style w:type="character" w:customStyle="1" w:styleId="271">
    <w:name w:val="font21"/>
    <w:basedOn w:val="90"/>
    <w:qFormat/>
    <w:uiPriority w:val="0"/>
    <w:rPr>
      <w:rFonts w:hint="eastAsia" w:ascii="宋体" w:hAnsi="宋体" w:eastAsia="宋体"/>
      <w:color w:val="FF0000"/>
      <w:sz w:val="21"/>
      <w:u w:val="none"/>
      <w:vertAlign w:val="superscript"/>
    </w:rPr>
  </w:style>
  <w:style w:type="character" w:customStyle="1" w:styleId="272">
    <w:name w:val="font41"/>
    <w:qFormat/>
    <w:uiPriority w:val="0"/>
    <w:rPr>
      <w:rFonts w:hint="eastAsia" w:ascii="宋体" w:hAnsi="宋体" w:eastAsia="宋体" w:cs="宋体"/>
      <w:color w:val="000000"/>
      <w:sz w:val="20"/>
      <w:szCs w:val="20"/>
      <w:u w:val="none"/>
    </w:rPr>
  </w:style>
  <w:style w:type="character" w:customStyle="1" w:styleId="273">
    <w:name w:val="结束语 字符"/>
    <w:qFormat/>
    <w:uiPriority w:val="0"/>
    <w:rPr>
      <w:kern w:val="2"/>
      <w:sz w:val="28"/>
    </w:rPr>
  </w:style>
  <w:style w:type="character" w:customStyle="1" w:styleId="274">
    <w:name w:val="彩色列表 - 着色 1 字符"/>
    <w:link w:val="275"/>
    <w:qFormat/>
    <w:uiPriority w:val="0"/>
  </w:style>
  <w:style w:type="paragraph" w:customStyle="1" w:styleId="275">
    <w:name w:val="彩色列表 - 着色 12"/>
    <w:basedOn w:val="1"/>
    <w:link w:val="274"/>
    <w:qFormat/>
    <w:uiPriority w:val="0"/>
    <w:pPr>
      <w:ind w:firstLine="420" w:firstLineChars="200"/>
    </w:pPr>
    <w:rPr>
      <w:rFonts w:asciiTheme="minorHAnsi" w:hAnsiTheme="minorHAnsi" w:eastAsiaTheme="minorEastAsia" w:cstheme="minorBidi"/>
      <w:sz w:val="21"/>
      <w:szCs w:val="22"/>
    </w:rPr>
  </w:style>
  <w:style w:type="character" w:customStyle="1" w:styleId="276">
    <w:name w:val="正文文本 3 Char1"/>
    <w:qFormat/>
    <w:uiPriority w:val="0"/>
    <w:rPr>
      <w:rFonts w:eastAsia="宋体"/>
      <w:color w:val="FF0000"/>
      <w:kern w:val="2"/>
      <w:sz w:val="24"/>
      <w:lang w:val="en-US" w:eastAsia="zh-CN"/>
    </w:rPr>
  </w:style>
  <w:style w:type="character" w:customStyle="1" w:styleId="277">
    <w:name w:val="纯文本 Char3"/>
    <w:qFormat/>
    <w:uiPriority w:val="0"/>
    <w:rPr>
      <w:rFonts w:ascii="宋体" w:hAnsi="Courier New" w:eastAsia="宋体"/>
    </w:rPr>
  </w:style>
  <w:style w:type="character" w:customStyle="1" w:styleId="278">
    <w:name w:val="个人答复风格"/>
    <w:qFormat/>
    <w:uiPriority w:val="0"/>
    <w:rPr>
      <w:rFonts w:ascii="Arial" w:hAnsi="Arial" w:eastAsia="宋体"/>
      <w:color w:val="auto"/>
      <w:sz w:val="20"/>
    </w:rPr>
  </w:style>
  <w:style w:type="character" w:customStyle="1" w:styleId="279">
    <w:name w:val="标题 3 Char1"/>
    <w:qFormat/>
    <w:uiPriority w:val="0"/>
    <w:rPr>
      <w:rFonts w:eastAsia="宋体"/>
      <w:b/>
      <w:kern w:val="2"/>
      <w:sz w:val="32"/>
      <w:lang w:val="en-US" w:eastAsia="zh-CN"/>
    </w:rPr>
  </w:style>
  <w:style w:type="character" w:customStyle="1" w:styleId="280">
    <w:name w:val="脚注文本 Char1"/>
    <w:qFormat/>
    <w:uiPriority w:val="0"/>
    <w:rPr>
      <w:rFonts w:eastAsia="宋体"/>
      <w:kern w:val="2"/>
      <w:sz w:val="18"/>
      <w:lang w:val="en-US" w:eastAsia="zh-CN"/>
    </w:rPr>
  </w:style>
  <w:style w:type="character" w:customStyle="1" w:styleId="281">
    <w:name w:val="无格式表格 31"/>
    <w:qFormat/>
    <w:uiPriority w:val="0"/>
    <w:rPr>
      <w:i/>
      <w:color w:val="808080"/>
    </w:rPr>
  </w:style>
  <w:style w:type="character" w:customStyle="1" w:styleId="282">
    <w:name w:val="HTML 键盘1"/>
    <w:qFormat/>
    <w:uiPriority w:val="0"/>
    <w:rPr>
      <w:rFonts w:ascii="Courier New" w:hAnsi="Courier New"/>
      <w:sz w:val="20"/>
    </w:rPr>
  </w:style>
  <w:style w:type="character" w:customStyle="1" w:styleId="283">
    <w:name w:val="标题 Char1"/>
    <w:qFormat/>
    <w:uiPriority w:val="0"/>
    <w:rPr>
      <w:rFonts w:ascii="Cambria" w:hAnsi="Cambria" w:eastAsia="宋体"/>
      <w:b/>
      <w:sz w:val="32"/>
    </w:rPr>
  </w:style>
  <w:style w:type="character" w:customStyle="1" w:styleId="284">
    <w:name w:val="样式8 字符"/>
    <w:link w:val="285"/>
    <w:qFormat/>
    <w:uiPriority w:val="0"/>
    <w:rPr>
      <w:rFonts w:ascii="Times New Roman" w:hAnsi="Times New Roman"/>
      <w:sz w:val="24"/>
      <w:szCs w:val="27"/>
    </w:rPr>
  </w:style>
  <w:style w:type="paragraph" w:customStyle="1" w:styleId="285">
    <w:name w:val="样式8"/>
    <w:basedOn w:val="286"/>
    <w:link w:val="284"/>
    <w:qFormat/>
    <w:uiPriority w:val="0"/>
    <w:pPr>
      <w:tabs>
        <w:tab w:val="left" w:pos="1301"/>
        <w:tab w:val="left" w:pos="6043"/>
      </w:tabs>
      <w:ind w:right="0" w:rightChars="0"/>
    </w:pPr>
    <w:rPr>
      <w:rFonts w:eastAsiaTheme="minorEastAsia" w:cstheme="minorBidi"/>
    </w:rPr>
  </w:style>
  <w:style w:type="paragraph" w:customStyle="1" w:styleId="286">
    <w:name w:val="样式6"/>
    <w:basedOn w:val="1"/>
    <w:qFormat/>
    <w:uiPriority w:val="0"/>
    <w:pPr>
      <w:widowControl/>
      <w:tabs>
        <w:tab w:val="left" w:pos="1301"/>
        <w:tab w:val="left" w:pos="6043"/>
      </w:tabs>
      <w:adjustRightInd w:val="0"/>
      <w:snapToGrid w:val="0"/>
      <w:spacing w:line="360" w:lineRule="auto"/>
      <w:ind w:left="709" w:right="100" w:rightChars="100"/>
      <w:textAlignment w:val="baseline"/>
    </w:pPr>
    <w:rPr>
      <w:rFonts w:ascii="Times New Roman" w:hAnsi="Times New Roman"/>
      <w:sz w:val="24"/>
      <w:szCs w:val="27"/>
    </w:rPr>
  </w:style>
  <w:style w:type="character" w:customStyle="1" w:styleId="287">
    <w:name w:val="font11"/>
    <w:basedOn w:val="90"/>
    <w:qFormat/>
    <w:uiPriority w:val="0"/>
    <w:rPr>
      <w:rFonts w:hint="eastAsia" w:ascii="宋体" w:hAnsi="宋体" w:eastAsia="宋体"/>
      <w:color w:val="000000"/>
      <w:sz w:val="21"/>
      <w:u w:val="none"/>
      <w:vertAlign w:val="superscript"/>
    </w:rPr>
  </w:style>
  <w:style w:type="character" w:customStyle="1" w:styleId="288">
    <w:name w:val="页脚 Char1"/>
    <w:qFormat/>
    <w:uiPriority w:val="0"/>
    <w:rPr>
      <w:rFonts w:eastAsia="宋体"/>
      <w:kern w:val="2"/>
      <w:sz w:val="18"/>
      <w:lang w:val="en-US" w:eastAsia="zh-CN"/>
    </w:rPr>
  </w:style>
  <w:style w:type="character" w:customStyle="1" w:styleId="289">
    <w:name w:val="country-name"/>
    <w:qFormat/>
    <w:uiPriority w:val="0"/>
  </w:style>
  <w:style w:type="character" w:customStyle="1" w:styleId="290">
    <w:name w:val="HTML 样本1"/>
    <w:qFormat/>
    <w:uiPriority w:val="0"/>
    <w:rPr>
      <w:rFonts w:ascii="Courier New" w:hAnsi="Courier New"/>
    </w:rPr>
  </w:style>
  <w:style w:type="character" w:customStyle="1" w:styleId="291">
    <w:name w:val="标题 4 字符"/>
    <w:qFormat/>
    <w:uiPriority w:val="0"/>
    <w:rPr>
      <w:rFonts w:ascii="等线 Light" w:hAnsi="等线 Light" w:eastAsia="等线 Light"/>
      <w:b/>
      <w:kern w:val="2"/>
      <w:sz w:val="28"/>
    </w:rPr>
  </w:style>
  <w:style w:type="character" w:customStyle="1" w:styleId="292">
    <w:name w:val="zbggmain style9"/>
    <w:qFormat/>
    <w:uiPriority w:val="0"/>
  </w:style>
  <w:style w:type="character" w:customStyle="1" w:styleId="293">
    <w:name w:val="标题 1 Char Char"/>
    <w:qFormat/>
    <w:uiPriority w:val="0"/>
    <w:rPr>
      <w:rFonts w:ascii="Arial" w:hAnsi="Arial" w:eastAsia="黑体"/>
      <w:kern w:val="44"/>
      <w:sz w:val="24"/>
      <w:lang w:val="en-US" w:eastAsia="zh-CN"/>
    </w:rPr>
  </w:style>
  <w:style w:type="character" w:customStyle="1" w:styleId="294">
    <w:name w:val="批注框文本 Char1"/>
    <w:qFormat/>
    <w:uiPriority w:val="0"/>
    <w:rPr>
      <w:rFonts w:eastAsia="宋体"/>
      <w:kern w:val="2"/>
      <w:sz w:val="18"/>
      <w:lang w:val="en-US" w:eastAsia="zh-CN"/>
    </w:rPr>
  </w:style>
  <w:style w:type="character" w:customStyle="1" w:styleId="295">
    <w:name w:val="HTML 地址 字符"/>
    <w:qFormat/>
    <w:uiPriority w:val="0"/>
    <w:rPr>
      <w:i/>
      <w:kern w:val="2"/>
      <w:sz w:val="28"/>
    </w:rPr>
  </w:style>
  <w:style w:type="character" w:customStyle="1" w:styleId="296">
    <w:name w:val="正文文本 字符"/>
    <w:qFormat/>
    <w:uiPriority w:val="0"/>
    <w:rPr>
      <w:rFonts w:ascii="Times New Roman" w:hAnsi="Times New Roman" w:eastAsia="宋体"/>
      <w:kern w:val="2"/>
      <w:sz w:val="21"/>
    </w:rPr>
  </w:style>
  <w:style w:type="character" w:customStyle="1" w:styleId="297">
    <w:name w:val="页眉 字符"/>
    <w:qFormat/>
    <w:uiPriority w:val="0"/>
    <w:rPr>
      <w:kern w:val="2"/>
      <w:sz w:val="18"/>
    </w:rPr>
  </w:style>
  <w:style w:type="character" w:customStyle="1" w:styleId="298">
    <w:name w:val="标题 5 Char1"/>
    <w:qFormat/>
    <w:uiPriority w:val="0"/>
    <w:rPr>
      <w:rFonts w:eastAsia="宋体"/>
      <w:b/>
      <w:sz w:val="28"/>
      <w:lang w:val="en-US" w:eastAsia="zh-CN"/>
    </w:rPr>
  </w:style>
  <w:style w:type="character" w:customStyle="1" w:styleId="299">
    <w:name w:val="正文文字4 Char Char"/>
    <w:qFormat/>
    <w:uiPriority w:val="0"/>
    <w:rPr>
      <w:rFonts w:ascii="宋体" w:hAnsi="宋体" w:eastAsia="宋体"/>
      <w:spacing w:val="-6"/>
      <w:kern w:val="2"/>
      <w:sz w:val="21"/>
      <w:lang w:val="en-US" w:eastAsia="zh-CN"/>
    </w:rPr>
  </w:style>
  <w:style w:type="character" w:customStyle="1" w:styleId="300">
    <w:name w:val="z-窗体顶端 Char"/>
    <w:link w:val="301"/>
    <w:qFormat/>
    <w:uiPriority w:val="0"/>
    <w:rPr>
      <w:rFonts w:ascii="Arial" w:hAnsi="Arial"/>
      <w:vanish/>
      <w:sz w:val="16"/>
    </w:rPr>
  </w:style>
  <w:style w:type="paragraph" w:customStyle="1" w:styleId="301">
    <w:name w:val="z-窗体顶端1"/>
    <w:basedOn w:val="1"/>
    <w:next w:val="1"/>
    <w:link w:val="300"/>
    <w:qFormat/>
    <w:uiPriority w:val="0"/>
    <w:pPr>
      <w:pBdr>
        <w:bottom w:val="single" w:color="auto" w:sz="6" w:space="1"/>
      </w:pBdr>
      <w:jc w:val="center"/>
    </w:pPr>
    <w:rPr>
      <w:rFonts w:ascii="Arial" w:hAnsi="Arial" w:eastAsiaTheme="minorEastAsia" w:cstheme="minorBidi"/>
      <w:vanish/>
      <w:sz w:val="16"/>
      <w:szCs w:val="22"/>
    </w:rPr>
  </w:style>
  <w:style w:type="character" w:customStyle="1" w:styleId="302">
    <w:name w:val="正文文本 3 字符"/>
    <w:qFormat/>
    <w:uiPriority w:val="0"/>
    <w:rPr>
      <w:kern w:val="2"/>
      <w:sz w:val="16"/>
    </w:rPr>
  </w:style>
  <w:style w:type="character" w:customStyle="1" w:styleId="303">
    <w:name w:val="s81i"/>
    <w:qFormat/>
    <w:uiPriority w:val="0"/>
  </w:style>
  <w:style w:type="character" w:customStyle="1" w:styleId="304">
    <w:name w:val="正文缩进 字符"/>
    <w:link w:val="2"/>
    <w:qFormat/>
    <w:uiPriority w:val="0"/>
    <w:rPr>
      <w:rFonts w:eastAsia="宋体"/>
      <w:sz w:val="24"/>
    </w:rPr>
  </w:style>
  <w:style w:type="character" w:customStyle="1" w:styleId="305">
    <w:name w:val="Char Char23"/>
    <w:qFormat/>
    <w:uiPriority w:val="0"/>
    <w:rPr>
      <w:rFonts w:eastAsia="宋体"/>
      <w:b/>
      <w:kern w:val="44"/>
      <w:sz w:val="44"/>
      <w:lang w:val="en-US" w:eastAsia="zh-CN"/>
    </w:rPr>
  </w:style>
  <w:style w:type="character" w:customStyle="1" w:styleId="306">
    <w:name w:val="apple-converted-space"/>
    <w:qFormat/>
    <w:uiPriority w:val="0"/>
  </w:style>
  <w:style w:type="character" w:customStyle="1" w:styleId="307">
    <w:name w:val="highlight1"/>
    <w:qFormat/>
    <w:uiPriority w:val="0"/>
    <w:rPr>
      <w:color w:val="FF0000"/>
    </w:rPr>
  </w:style>
  <w:style w:type="character" w:customStyle="1" w:styleId="308">
    <w:name w:val="正文2 Char Char"/>
    <w:qFormat/>
    <w:uiPriority w:val="0"/>
    <w:rPr>
      <w:rFonts w:eastAsia="宋体"/>
      <w:kern w:val="2"/>
      <w:sz w:val="24"/>
      <w:lang w:val="en-US" w:eastAsia="zh-CN"/>
    </w:rPr>
  </w:style>
  <w:style w:type="character" w:customStyle="1" w:styleId="309">
    <w:name w:val="标题1"/>
    <w:qFormat/>
    <w:uiPriority w:val="0"/>
    <w:rPr>
      <w:b/>
      <w:sz w:val="28"/>
    </w:rPr>
  </w:style>
  <w:style w:type="character" w:customStyle="1" w:styleId="310">
    <w:name w:val="正文2 Char"/>
    <w:link w:val="311"/>
    <w:qFormat/>
    <w:uiPriority w:val="0"/>
    <w:rPr>
      <w:rFonts w:eastAsia="宋体"/>
      <w:sz w:val="24"/>
    </w:rPr>
  </w:style>
  <w:style w:type="paragraph" w:customStyle="1" w:styleId="311">
    <w:name w:val="正文2"/>
    <w:basedOn w:val="1"/>
    <w:link w:val="310"/>
    <w:qFormat/>
    <w:uiPriority w:val="0"/>
    <w:pPr>
      <w:spacing w:before="156" w:line="360" w:lineRule="auto"/>
      <w:ind w:firstLine="510" w:firstLineChars="200"/>
    </w:pPr>
    <w:rPr>
      <w:rFonts w:asciiTheme="minorHAnsi" w:hAnsiTheme="minorHAnsi" w:cstheme="minorBidi"/>
      <w:sz w:val="24"/>
      <w:szCs w:val="22"/>
    </w:rPr>
  </w:style>
  <w:style w:type="character" w:customStyle="1" w:styleId="312">
    <w:name w:val="HTML 定义1"/>
    <w:qFormat/>
    <w:uiPriority w:val="0"/>
    <w:rPr>
      <w:i/>
    </w:rPr>
  </w:style>
  <w:style w:type="character" w:customStyle="1" w:styleId="313">
    <w:name w:val="批注框文本 字符"/>
    <w:qFormat/>
    <w:uiPriority w:val="0"/>
    <w:rPr>
      <w:rFonts w:ascii="Times New Roman" w:hAnsi="Times New Roman" w:eastAsia="宋体"/>
      <w:kern w:val="2"/>
      <w:sz w:val="18"/>
    </w:rPr>
  </w:style>
  <w:style w:type="character" w:customStyle="1" w:styleId="314">
    <w:name w:val="75pk"/>
    <w:qFormat/>
    <w:uiPriority w:val="0"/>
  </w:style>
  <w:style w:type="character" w:customStyle="1" w:styleId="315">
    <w:name w:val="z-窗体底端 字符"/>
    <w:qFormat/>
    <w:uiPriority w:val="0"/>
    <w:rPr>
      <w:rFonts w:ascii="Arial" w:hAnsi="Arial"/>
      <w:vanish/>
      <w:kern w:val="2"/>
      <w:sz w:val="16"/>
    </w:rPr>
  </w:style>
  <w:style w:type="character" w:customStyle="1" w:styleId="316">
    <w:name w:val="页码1"/>
    <w:qFormat/>
    <w:uiPriority w:val="0"/>
  </w:style>
  <w:style w:type="character" w:customStyle="1" w:styleId="317">
    <w:name w:val="Char Char21"/>
    <w:qFormat/>
    <w:uiPriority w:val="0"/>
    <w:rPr>
      <w:rFonts w:eastAsia="楷体_GB2312"/>
      <w:kern w:val="2"/>
      <w:sz w:val="28"/>
      <w:lang w:val="en-US" w:eastAsia="zh-CN"/>
    </w:rPr>
  </w:style>
  <w:style w:type="character" w:customStyle="1" w:styleId="318">
    <w:name w:val="列出段落 字符"/>
    <w:qFormat/>
    <w:uiPriority w:val="0"/>
    <w:rPr>
      <w:kern w:val="2"/>
      <w:sz w:val="21"/>
    </w:rPr>
  </w:style>
  <w:style w:type="character" w:customStyle="1" w:styleId="319">
    <w:name w:val="批注文字 字符"/>
    <w:qFormat/>
    <w:uiPriority w:val="0"/>
    <w:rPr>
      <w:kern w:val="2"/>
      <w:sz w:val="28"/>
    </w:rPr>
  </w:style>
  <w:style w:type="character" w:customStyle="1" w:styleId="320">
    <w:name w:val="日期 Char2"/>
    <w:qFormat/>
    <w:uiPriority w:val="0"/>
    <w:rPr>
      <w:rFonts w:eastAsia="仿宋_GB2312"/>
      <w:b/>
      <w:sz w:val="28"/>
    </w:rPr>
  </w:style>
  <w:style w:type="character" w:customStyle="1" w:styleId="321">
    <w:name w:val="z-窗体顶端 Char1"/>
    <w:qFormat/>
    <w:uiPriority w:val="0"/>
    <w:rPr>
      <w:rFonts w:ascii="Arial" w:hAnsi="Arial"/>
      <w:vanish/>
      <w:sz w:val="16"/>
    </w:rPr>
  </w:style>
  <w:style w:type="paragraph" w:customStyle="1" w:styleId="322">
    <w:name w:val="z-窗体顶端2"/>
    <w:basedOn w:val="1"/>
    <w:next w:val="1"/>
    <w:link w:val="458"/>
    <w:qFormat/>
    <w:uiPriority w:val="0"/>
    <w:pPr>
      <w:pBdr>
        <w:bottom w:val="single" w:color="auto" w:sz="6" w:space="1"/>
      </w:pBdr>
      <w:jc w:val="center"/>
    </w:pPr>
    <w:rPr>
      <w:rFonts w:ascii="Arial" w:hAnsi="Arial" w:eastAsiaTheme="minorEastAsia" w:cstheme="minorBidi"/>
      <w:vanish/>
      <w:sz w:val="16"/>
      <w:szCs w:val="22"/>
    </w:rPr>
  </w:style>
  <w:style w:type="character" w:customStyle="1" w:styleId="323">
    <w:name w:val="标题 1 1 Char1"/>
    <w:qFormat/>
    <w:uiPriority w:val="0"/>
    <w:rPr>
      <w:rFonts w:ascii="Times New Roman" w:hAnsi="Times New Roman" w:eastAsia="宋体"/>
      <w:b/>
      <w:kern w:val="44"/>
      <w:sz w:val="44"/>
    </w:rPr>
  </w:style>
  <w:style w:type="character" w:customStyle="1" w:styleId="324">
    <w:name w:val="标题 8 Char1"/>
    <w:qFormat/>
    <w:uiPriority w:val="0"/>
    <w:rPr>
      <w:rFonts w:ascii="Arial" w:hAnsi="Arial" w:eastAsia="黑体"/>
      <w:sz w:val="24"/>
      <w:lang w:val="en-US" w:eastAsia="zh-CN"/>
    </w:rPr>
  </w:style>
  <w:style w:type="character" w:customStyle="1" w:styleId="325">
    <w:name w:val="font61"/>
    <w:qFormat/>
    <w:uiPriority w:val="0"/>
    <w:rPr>
      <w:rFonts w:hint="eastAsia" w:ascii="宋体" w:hAnsi="宋体" w:eastAsia="宋体" w:cs="宋体"/>
      <w:color w:val="000000"/>
      <w:sz w:val="20"/>
      <w:szCs w:val="20"/>
      <w:u w:val="none"/>
    </w:rPr>
  </w:style>
  <w:style w:type="character" w:customStyle="1" w:styleId="326">
    <w:name w:val="尾注文本 字符1"/>
    <w:basedOn w:val="90"/>
    <w:link w:val="52"/>
    <w:qFormat/>
    <w:uiPriority w:val="0"/>
  </w:style>
  <w:style w:type="character" w:customStyle="1" w:styleId="327">
    <w:name w:val="电子邮件签名 字符1"/>
    <w:basedOn w:val="90"/>
    <w:link w:val="20"/>
    <w:qFormat/>
    <w:uiPriority w:val="0"/>
  </w:style>
  <w:style w:type="character" w:customStyle="1" w:styleId="328">
    <w:name w:val="正文文本 2 字符1"/>
    <w:basedOn w:val="90"/>
    <w:link w:val="76"/>
    <w:qFormat/>
    <w:uiPriority w:val="0"/>
  </w:style>
  <w:style w:type="character" w:customStyle="1" w:styleId="329">
    <w:name w:val="正文文本 Char3"/>
    <w:basedOn w:val="90"/>
    <w:semiHidden/>
    <w:qFormat/>
    <w:uiPriority w:val="99"/>
    <w:rPr>
      <w:rFonts w:ascii="Calibri" w:hAnsi="Calibri" w:eastAsia="宋体" w:cs="Times New Roman"/>
      <w:sz w:val="28"/>
      <w:szCs w:val="20"/>
    </w:rPr>
  </w:style>
  <w:style w:type="character" w:customStyle="1" w:styleId="330">
    <w:name w:val="日期 字符"/>
    <w:basedOn w:val="90"/>
    <w:link w:val="50"/>
    <w:qFormat/>
    <w:uiPriority w:val="0"/>
    <w:rPr>
      <w:rFonts w:eastAsia="仿宋_GB2312"/>
      <w:b/>
      <w:sz w:val="28"/>
    </w:rPr>
  </w:style>
  <w:style w:type="character" w:customStyle="1" w:styleId="331">
    <w:name w:val="纯文本 字符1"/>
    <w:basedOn w:val="90"/>
    <w:link w:val="45"/>
    <w:qFormat/>
    <w:uiPriority w:val="0"/>
    <w:rPr>
      <w:rFonts w:ascii="宋体" w:hAnsi="Courier New" w:eastAsia="宋体"/>
    </w:rPr>
  </w:style>
  <w:style w:type="character" w:customStyle="1" w:styleId="332">
    <w:name w:val="结束语 字符1"/>
    <w:basedOn w:val="90"/>
    <w:link w:val="32"/>
    <w:qFormat/>
    <w:uiPriority w:val="0"/>
  </w:style>
  <w:style w:type="character" w:customStyle="1" w:styleId="333">
    <w:name w:val="注释标题 字符1"/>
    <w:basedOn w:val="90"/>
    <w:link w:val="17"/>
    <w:qFormat/>
    <w:uiPriority w:val="0"/>
  </w:style>
  <w:style w:type="character" w:customStyle="1" w:styleId="334">
    <w:name w:val="正文文本缩进 2 字符1"/>
    <w:basedOn w:val="90"/>
    <w:link w:val="51"/>
    <w:qFormat/>
    <w:uiPriority w:val="0"/>
    <w:rPr>
      <w:rFonts w:ascii="黑体" w:eastAsia="黑体"/>
      <w:sz w:val="28"/>
    </w:rPr>
  </w:style>
  <w:style w:type="character" w:customStyle="1" w:styleId="335">
    <w:name w:val="文档结构图 字符1"/>
    <w:basedOn w:val="90"/>
    <w:link w:val="26"/>
    <w:qFormat/>
    <w:uiPriority w:val="0"/>
    <w:rPr>
      <w:sz w:val="28"/>
      <w:shd w:val="clear" w:color="auto" w:fill="000080"/>
    </w:rPr>
  </w:style>
  <w:style w:type="character" w:customStyle="1" w:styleId="336">
    <w:name w:val="正文文本缩进 Char3"/>
    <w:basedOn w:val="90"/>
    <w:semiHidden/>
    <w:qFormat/>
    <w:uiPriority w:val="99"/>
    <w:rPr>
      <w:rFonts w:ascii="Calibri" w:hAnsi="Calibri" w:eastAsia="宋体" w:cs="Times New Roman"/>
      <w:sz w:val="28"/>
      <w:szCs w:val="20"/>
    </w:rPr>
  </w:style>
  <w:style w:type="character" w:customStyle="1" w:styleId="337">
    <w:name w:val="宏文本 字符1"/>
    <w:basedOn w:val="90"/>
    <w:link w:val="3"/>
    <w:qFormat/>
    <w:uiPriority w:val="0"/>
    <w:rPr>
      <w:rFonts w:ascii="Courier New" w:hAnsi="Courier New"/>
      <w:sz w:val="24"/>
    </w:rPr>
  </w:style>
  <w:style w:type="character" w:customStyle="1" w:styleId="338">
    <w:name w:val="HTML 地址 字符1"/>
    <w:basedOn w:val="90"/>
    <w:link w:val="41"/>
    <w:qFormat/>
    <w:uiPriority w:val="0"/>
    <w:rPr>
      <w:i/>
    </w:rPr>
  </w:style>
  <w:style w:type="character" w:customStyle="1" w:styleId="339">
    <w:name w:val="正文文本首行缩进 字符"/>
    <w:basedOn w:val="329"/>
    <w:link w:val="86"/>
    <w:qFormat/>
    <w:uiPriority w:val="0"/>
    <w:rPr>
      <w:rFonts w:ascii="等线" w:hAnsi="等线" w:eastAsia="等线" w:cs="Times New Roman"/>
      <w:sz w:val="28"/>
      <w:szCs w:val="20"/>
    </w:rPr>
  </w:style>
  <w:style w:type="character" w:customStyle="1" w:styleId="340">
    <w:name w:val="正文文本首行缩进 2 字符"/>
    <w:basedOn w:val="336"/>
    <w:link w:val="87"/>
    <w:qFormat/>
    <w:uiPriority w:val="0"/>
    <w:rPr>
      <w:rFonts w:ascii="等线" w:hAnsi="等线" w:eastAsia="等线" w:cs="Times New Roman"/>
      <w:sz w:val="28"/>
      <w:szCs w:val="20"/>
    </w:rPr>
  </w:style>
  <w:style w:type="character" w:customStyle="1" w:styleId="341">
    <w:name w:val="标题 字符"/>
    <w:basedOn w:val="90"/>
    <w:link w:val="84"/>
    <w:qFormat/>
    <w:uiPriority w:val="0"/>
    <w:rPr>
      <w:b/>
      <w:sz w:val="24"/>
      <w:lang w:val="en-GB"/>
    </w:rPr>
  </w:style>
  <w:style w:type="character" w:customStyle="1" w:styleId="342">
    <w:name w:val="批注框文本 字符1"/>
    <w:basedOn w:val="90"/>
    <w:link w:val="54"/>
    <w:qFormat/>
    <w:uiPriority w:val="99"/>
    <w:rPr>
      <w:sz w:val="18"/>
    </w:rPr>
  </w:style>
  <w:style w:type="character" w:customStyle="1" w:styleId="343">
    <w:name w:val="称呼 字符1"/>
    <w:basedOn w:val="90"/>
    <w:link w:val="30"/>
    <w:qFormat/>
    <w:uiPriority w:val="0"/>
    <w:rPr>
      <w:rFonts w:ascii="宋体"/>
      <w:sz w:val="28"/>
    </w:rPr>
  </w:style>
  <w:style w:type="character" w:customStyle="1" w:styleId="344">
    <w:name w:val="批注文字 Char2"/>
    <w:basedOn w:val="90"/>
    <w:semiHidden/>
    <w:qFormat/>
    <w:uiPriority w:val="99"/>
    <w:rPr>
      <w:rFonts w:ascii="Calibri" w:hAnsi="Calibri" w:eastAsia="宋体" w:cs="Times New Roman"/>
      <w:sz w:val="28"/>
      <w:szCs w:val="20"/>
    </w:rPr>
  </w:style>
  <w:style w:type="character" w:customStyle="1" w:styleId="345">
    <w:name w:val="正文文本缩进 3 字符1"/>
    <w:basedOn w:val="90"/>
    <w:link w:val="70"/>
    <w:qFormat/>
    <w:uiPriority w:val="0"/>
    <w:rPr>
      <w:sz w:val="28"/>
    </w:rPr>
  </w:style>
  <w:style w:type="character" w:customStyle="1" w:styleId="346">
    <w:name w:val="签名 字符1"/>
    <w:basedOn w:val="90"/>
    <w:link w:val="58"/>
    <w:qFormat/>
    <w:uiPriority w:val="0"/>
  </w:style>
  <w:style w:type="character" w:customStyle="1" w:styleId="347">
    <w:name w:val="正文文本 3 字符1"/>
    <w:basedOn w:val="90"/>
    <w:link w:val="31"/>
    <w:qFormat/>
    <w:uiPriority w:val="0"/>
    <w:rPr>
      <w:sz w:val="16"/>
    </w:rPr>
  </w:style>
  <w:style w:type="character" w:customStyle="1" w:styleId="348">
    <w:name w:val="副标题 字符1"/>
    <w:basedOn w:val="90"/>
    <w:link w:val="64"/>
    <w:qFormat/>
    <w:uiPriority w:val="0"/>
    <w:rPr>
      <w:rFonts w:ascii="Cambria" w:hAnsi="Cambria"/>
      <w:b/>
      <w:kern w:val="28"/>
      <w:sz w:val="32"/>
    </w:rPr>
  </w:style>
  <w:style w:type="character" w:customStyle="1" w:styleId="349">
    <w:name w:val="脚注文本 字符1"/>
    <w:basedOn w:val="90"/>
    <w:link w:val="67"/>
    <w:qFormat/>
    <w:uiPriority w:val="0"/>
    <w:rPr>
      <w:sz w:val="18"/>
    </w:rPr>
  </w:style>
  <w:style w:type="character" w:customStyle="1" w:styleId="350">
    <w:name w:val="信息标题 字符1"/>
    <w:basedOn w:val="90"/>
    <w:link w:val="79"/>
    <w:qFormat/>
    <w:uiPriority w:val="0"/>
    <w:rPr>
      <w:rFonts w:ascii="Arial" w:hAnsi="Arial"/>
      <w:sz w:val="24"/>
      <w:shd w:val="pct20" w:color="auto" w:fill="auto"/>
    </w:rPr>
  </w:style>
  <w:style w:type="character" w:customStyle="1" w:styleId="351">
    <w:name w:val="HTML 预设格式 字符"/>
    <w:basedOn w:val="90"/>
    <w:link w:val="80"/>
    <w:qFormat/>
    <w:uiPriority w:val="0"/>
    <w:rPr>
      <w:rFonts w:ascii="黑体" w:hAnsi="Courier New" w:eastAsia="黑体"/>
    </w:rPr>
  </w:style>
  <w:style w:type="character" w:customStyle="1" w:styleId="352">
    <w:name w:val="批注主题 字符1"/>
    <w:basedOn w:val="344"/>
    <w:link w:val="85"/>
    <w:qFormat/>
    <w:uiPriority w:val="0"/>
    <w:rPr>
      <w:rFonts w:ascii="Calibri" w:hAnsi="Calibri" w:eastAsia="宋体" w:cs="Times New Roman"/>
      <w:b/>
      <w:sz w:val="28"/>
      <w:szCs w:val="20"/>
    </w:rPr>
  </w:style>
  <w:style w:type="paragraph" w:customStyle="1" w:styleId="353">
    <w:name w:val="表1"/>
    <w:basedOn w:val="1"/>
    <w:qFormat/>
    <w:uiPriority w:val="0"/>
    <w:pPr>
      <w:tabs>
        <w:tab w:val="left" w:pos="720"/>
        <w:tab w:val="left" w:pos="851"/>
      </w:tabs>
      <w:overflowPunct w:val="0"/>
      <w:autoSpaceDE w:val="0"/>
      <w:autoSpaceDN w:val="0"/>
      <w:adjustRightInd w:val="0"/>
      <w:spacing w:before="200" w:line="320" w:lineRule="atLeast"/>
      <w:ind w:firstLine="624"/>
      <w:textAlignment w:val="baseline"/>
    </w:pPr>
    <w:rPr>
      <w:kern w:val="0"/>
      <w:sz w:val="24"/>
    </w:rPr>
  </w:style>
  <w:style w:type="paragraph" w:customStyle="1" w:styleId="354">
    <w:name w:val="xl39"/>
    <w:basedOn w:val="1"/>
    <w:qFormat/>
    <w:uiPriority w:val="0"/>
    <w:pPr>
      <w:widowControl/>
      <w:pBdr>
        <w:bottom w:val="single" w:color="auto" w:sz="8" w:space="0"/>
      </w:pBdr>
      <w:spacing w:before="100" w:beforeAutospacing="1" w:after="100" w:afterAutospacing="1"/>
    </w:pPr>
    <w:rPr>
      <w:rFonts w:ascii="Arial Unicode MS" w:hAnsi="Arial Unicode MS" w:eastAsia="Arial Unicode MS"/>
      <w:kern w:val="0"/>
      <w:sz w:val="24"/>
    </w:rPr>
  </w:style>
  <w:style w:type="paragraph" w:customStyle="1" w:styleId="355">
    <w:name w:val="6'"/>
    <w:basedOn w:val="1"/>
    <w:qFormat/>
    <w:uiPriority w:val="0"/>
    <w:pPr>
      <w:autoSpaceDE w:val="0"/>
      <w:autoSpaceDN w:val="0"/>
      <w:adjustRightInd w:val="0"/>
      <w:snapToGrid w:val="0"/>
      <w:spacing w:line="320" w:lineRule="exact"/>
      <w:textAlignment w:val="baseline"/>
    </w:pPr>
    <w:rPr>
      <w:spacing w:val="20"/>
      <w:kern w:val="28"/>
      <w:sz w:val="21"/>
    </w:rPr>
  </w:style>
  <w:style w:type="paragraph" w:customStyle="1" w:styleId="356">
    <w:name w:val="正文A"/>
    <w:qFormat/>
    <w:uiPriority w:val="0"/>
    <w:pPr>
      <w:tabs>
        <w:tab w:val="left" w:pos="0"/>
      </w:tabs>
      <w:adjustRightInd w:val="0"/>
      <w:spacing w:before="120" w:line="360" w:lineRule="auto"/>
      <w:ind w:firstLine="480"/>
      <w:jc w:val="both"/>
    </w:pPr>
    <w:rPr>
      <w:rFonts w:ascii="Calibri" w:hAnsi="Calibri" w:eastAsia="宋体" w:cs="Times New Roman"/>
      <w:snapToGrid w:val="0"/>
      <w:sz w:val="24"/>
      <w:lang w:val="en-US" w:eastAsia="zh-CN" w:bidi="ar-SA"/>
    </w:rPr>
  </w:style>
  <w:style w:type="paragraph" w:customStyle="1" w:styleId="357">
    <w:name w:val="三级条标题"/>
    <w:basedOn w:val="358"/>
    <w:next w:val="359"/>
    <w:qFormat/>
    <w:uiPriority w:val="0"/>
    <w:pPr>
      <w:tabs>
        <w:tab w:val="left" w:pos="360"/>
        <w:tab w:val="left" w:pos="720"/>
        <w:tab w:val="left" w:pos="3600"/>
      </w:tabs>
      <w:ind w:left="2100" w:hanging="420"/>
      <w:jc w:val="left"/>
      <w:outlineLvl w:val="4"/>
    </w:pPr>
    <w:rPr>
      <w:rFonts w:ascii="Times New Roman"/>
      <w:sz w:val="20"/>
    </w:rPr>
  </w:style>
  <w:style w:type="paragraph" w:customStyle="1" w:styleId="358">
    <w:name w:val="二级条标题"/>
    <w:basedOn w:val="1"/>
    <w:next w:val="359"/>
    <w:qFormat/>
    <w:uiPriority w:val="0"/>
    <w:pPr>
      <w:widowControl/>
      <w:tabs>
        <w:tab w:val="left" w:pos="360"/>
      </w:tabs>
      <w:outlineLvl w:val="3"/>
    </w:pPr>
    <w:rPr>
      <w:rFonts w:ascii="黑体" w:eastAsia="黑体"/>
      <w:kern w:val="0"/>
      <w:sz w:val="21"/>
    </w:rPr>
  </w:style>
  <w:style w:type="paragraph" w:customStyle="1" w:styleId="359">
    <w:name w:val="段"/>
    <w:qFormat/>
    <w:uiPriority w:val="0"/>
    <w:pPr>
      <w:ind w:firstLine="200" w:firstLineChars="200"/>
      <w:jc w:val="both"/>
    </w:pPr>
    <w:rPr>
      <w:rFonts w:ascii="宋体" w:hAnsi="Calibri" w:eastAsia="宋体" w:cs="Times New Roman"/>
      <w:sz w:val="21"/>
      <w:lang w:val="en-US" w:eastAsia="zh-CN" w:bidi="ar-SA"/>
    </w:rPr>
  </w:style>
  <w:style w:type="paragraph" w:customStyle="1" w:styleId="360">
    <w:name w:val="reader-word-layer"/>
    <w:basedOn w:val="1"/>
    <w:qFormat/>
    <w:uiPriority w:val="0"/>
    <w:pPr>
      <w:widowControl/>
      <w:spacing w:before="100" w:beforeAutospacing="1" w:after="100" w:afterAutospacing="1"/>
      <w:jc w:val="left"/>
    </w:pPr>
    <w:rPr>
      <w:rFonts w:ascii="宋体" w:hAnsi="宋体"/>
      <w:kern w:val="0"/>
      <w:sz w:val="24"/>
    </w:rPr>
  </w:style>
  <w:style w:type="paragraph" w:customStyle="1" w:styleId="361">
    <w:name w:val="样式 居中"/>
    <w:basedOn w:val="1"/>
    <w:qFormat/>
    <w:uiPriority w:val="0"/>
    <w:pPr>
      <w:spacing w:line="360" w:lineRule="auto"/>
      <w:jc w:val="center"/>
    </w:pPr>
    <w:rPr>
      <w:sz w:val="21"/>
    </w:rPr>
  </w:style>
  <w:style w:type="paragraph" w:customStyle="1" w:styleId="362">
    <w:name w:val="正文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363">
    <w:name w:val="正文文本缩进1"/>
    <w:basedOn w:val="1"/>
    <w:qFormat/>
    <w:uiPriority w:val="0"/>
    <w:pPr>
      <w:spacing w:after="120"/>
      <w:ind w:left="420" w:leftChars="200"/>
    </w:pPr>
    <w:rPr>
      <w:sz w:val="21"/>
    </w:rPr>
  </w:style>
  <w:style w:type="paragraph" w:customStyle="1" w:styleId="364">
    <w:name w:val="编号列项（三级）"/>
    <w:qFormat/>
    <w:uiPriority w:val="0"/>
    <w:pPr>
      <w:ind w:left="800" w:leftChars="600" w:hanging="200" w:hangingChars="200"/>
    </w:pPr>
    <w:rPr>
      <w:rFonts w:ascii="宋体" w:hAnsi="Calibri" w:eastAsia="宋体" w:cs="Times New Roman"/>
      <w:lang w:val="en-US" w:eastAsia="zh-CN" w:bidi="ar-SA"/>
    </w:rPr>
  </w:style>
  <w:style w:type="paragraph" w:customStyle="1" w:styleId="365">
    <w:name w:val="正文文本缩进 21"/>
    <w:basedOn w:val="1"/>
    <w:qFormat/>
    <w:uiPriority w:val="0"/>
    <w:pPr>
      <w:adjustRightInd w:val="0"/>
      <w:spacing w:line="400" w:lineRule="atLeast"/>
      <w:ind w:firstLine="540"/>
      <w:textAlignment w:val="baseline"/>
    </w:pPr>
    <w:rPr>
      <w:rFonts w:ascii="宋体"/>
      <w:kern w:val="0"/>
      <w:sz w:val="24"/>
    </w:rPr>
  </w:style>
  <w:style w:type="paragraph" w:customStyle="1" w:styleId="366">
    <w:name w:val="封面标准名称"/>
    <w:qFormat/>
    <w:uiPriority w:val="0"/>
    <w:pPr>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367">
    <w:name w:val="表名A"/>
    <w:basedOn w:val="1"/>
    <w:qFormat/>
    <w:uiPriority w:val="0"/>
    <w:pPr>
      <w:widowControl/>
      <w:tabs>
        <w:tab w:val="left" w:pos="0"/>
      </w:tabs>
      <w:adjustRightInd w:val="0"/>
      <w:snapToGrid w:val="0"/>
      <w:spacing w:beforeLines="80" w:afterLines="20"/>
    </w:pPr>
    <w:rPr>
      <w:b/>
      <w:snapToGrid w:val="0"/>
      <w:kern w:val="0"/>
      <w:sz w:val="21"/>
    </w:rPr>
  </w:style>
  <w:style w:type="paragraph" w:customStyle="1" w:styleId="368">
    <w:name w:val="样式 正文（首行缩进两字） + 首行缩进:  2 字符"/>
    <w:basedOn w:val="2"/>
    <w:qFormat/>
    <w:uiPriority w:val="0"/>
    <w:pPr>
      <w:widowControl w:val="0"/>
      <w:autoSpaceDE w:val="0"/>
      <w:autoSpaceDN w:val="0"/>
      <w:adjustRightInd w:val="0"/>
      <w:spacing w:line="460" w:lineRule="exact"/>
      <w:ind w:firstLine="536"/>
    </w:pPr>
    <w:rPr>
      <w:rFonts w:hint="eastAsia" w:ascii="宋体"/>
      <w:spacing w:val="6"/>
      <w:kern w:val="24"/>
    </w:rPr>
  </w:style>
  <w:style w:type="paragraph" w:customStyle="1" w:styleId="369">
    <w:name w:val="部分1"/>
    <w:basedOn w:val="1"/>
    <w:qFormat/>
    <w:uiPriority w:val="0"/>
    <w:pPr>
      <w:keepNext/>
      <w:pageBreakBefore/>
      <w:tabs>
        <w:tab w:val="left" w:pos="720"/>
      </w:tabs>
      <w:spacing w:line="360" w:lineRule="auto"/>
      <w:jc w:val="center"/>
      <w:outlineLvl w:val="0"/>
    </w:pPr>
    <w:rPr>
      <w:rFonts w:eastAsia="黑体"/>
      <w:b/>
      <w:kern w:val="44"/>
      <w:sz w:val="36"/>
    </w:rPr>
  </w:style>
  <w:style w:type="paragraph" w:customStyle="1" w:styleId="370">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1">
    <w:name w:val="xl5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方正姚体" w:hAnsi="宋体" w:eastAsia="方正姚体"/>
      <w:color w:val="FF0000"/>
      <w:kern w:val="0"/>
      <w:sz w:val="20"/>
    </w:rPr>
  </w:style>
  <w:style w:type="paragraph" w:customStyle="1" w:styleId="372">
    <w:name w:val="文档结构图1"/>
    <w:basedOn w:val="1"/>
    <w:qFormat/>
    <w:uiPriority w:val="0"/>
    <w:pPr>
      <w:shd w:val="clear" w:color="auto" w:fill="000080"/>
    </w:pPr>
    <w:rPr>
      <w:kern w:val="0"/>
      <w:sz w:val="20"/>
      <w:shd w:val="clear" w:color="auto" w:fill="000080"/>
    </w:rPr>
  </w:style>
  <w:style w:type="paragraph" w:customStyle="1" w:styleId="373">
    <w:name w:val="简单回函地址"/>
    <w:basedOn w:val="1"/>
    <w:qFormat/>
    <w:uiPriority w:val="0"/>
    <w:pPr>
      <w:adjustRightInd w:val="0"/>
      <w:spacing w:line="312" w:lineRule="atLeast"/>
      <w:textAlignment w:val="baseline"/>
    </w:pPr>
    <w:rPr>
      <w:kern w:val="0"/>
      <w:sz w:val="21"/>
    </w:rPr>
  </w:style>
  <w:style w:type="paragraph" w:customStyle="1" w:styleId="374">
    <w:name w:val="Char Char Char Char Char Char3 Char Char Char Char Char Char Char"/>
    <w:basedOn w:val="1"/>
    <w:next w:val="1"/>
    <w:qFormat/>
    <w:uiPriority w:val="0"/>
    <w:rPr>
      <w:rFonts w:eastAsia="黑体"/>
    </w:rPr>
  </w:style>
  <w:style w:type="paragraph" w:customStyle="1" w:styleId="375">
    <w:name w:val="彩色列表 - 强调文字颜色 11"/>
    <w:basedOn w:val="1"/>
    <w:qFormat/>
    <w:uiPriority w:val="0"/>
    <w:pPr>
      <w:spacing w:before="100" w:beforeAutospacing="1" w:after="100" w:afterAutospacing="1" w:line="300" w:lineRule="auto"/>
      <w:ind w:firstLine="420" w:firstLineChars="200"/>
    </w:pPr>
    <w:rPr>
      <w:sz w:val="21"/>
    </w:rPr>
  </w:style>
  <w:style w:type="paragraph" w:customStyle="1" w:styleId="376">
    <w:name w:val="0"/>
    <w:basedOn w:val="1"/>
    <w:qFormat/>
    <w:uiPriority w:val="0"/>
    <w:pPr>
      <w:widowControl/>
    </w:pPr>
    <w:rPr>
      <w:kern w:val="0"/>
      <w:sz w:val="21"/>
    </w:rPr>
  </w:style>
  <w:style w:type="paragraph" w:customStyle="1" w:styleId="377">
    <w:name w:val="正文21"/>
    <w:basedOn w:val="1"/>
    <w:qFormat/>
    <w:uiPriority w:val="0"/>
    <w:pPr>
      <w:adjustRightInd w:val="0"/>
      <w:spacing w:line="420" w:lineRule="atLeast"/>
      <w:textAlignment w:val="baseline"/>
    </w:pPr>
    <w:rPr>
      <w:kern w:val="0"/>
      <w:sz w:val="21"/>
    </w:rPr>
  </w:style>
  <w:style w:type="paragraph" w:customStyle="1" w:styleId="378">
    <w:name w:val="标准书脚_偶数页"/>
    <w:qFormat/>
    <w:uiPriority w:val="0"/>
    <w:pPr>
      <w:spacing w:before="120"/>
    </w:pPr>
    <w:rPr>
      <w:rFonts w:ascii="Calibri" w:hAnsi="Calibri" w:eastAsia="宋体" w:cs="Times New Roman"/>
      <w:sz w:val="18"/>
      <w:lang w:val="en-US" w:eastAsia="zh-CN" w:bidi="ar-SA"/>
    </w:rPr>
  </w:style>
  <w:style w:type="paragraph" w:customStyle="1" w:styleId="379">
    <w:name w:val="目次、索引正文"/>
    <w:qFormat/>
    <w:uiPriority w:val="0"/>
    <w:pPr>
      <w:spacing w:line="320" w:lineRule="exact"/>
      <w:jc w:val="both"/>
    </w:pPr>
    <w:rPr>
      <w:rFonts w:ascii="宋体" w:hAnsi="Calibri" w:eastAsia="宋体" w:cs="Times New Roman"/>
      <w:lang w:val="en-US" w:eastAsia="zh-CN" w:bidi="ar-SA"/>
    </w:rPr>
  </w:style>
  <w:style w:type="paragraph" w:customStyle="1" w:styleId="380">
    <w:name w:val="网格表 31"/>
    <w:basedOn w:val="4"/>
    <w:next w:val="1"/>
    <w:qFormat/>
    <w:uiPriority w:val="0"/>
    <w:pPr>
      <w:keepLines/>
      <w:spacing w:before="480" w:line="276" w:lineRule="auto"/>
      <w:jc w:val="left"/>
      <w:outlineLvl w:val="9"/>
    </w:pPr>
    <w:rPr>
      <w:rFonts w:ascii="Cambria" w:hAnsi="Cambria"/>
      <w:color w:val="365F91"/>
      <w:sz w:val="28"/>
    </w:rPr>
  </w:style>
  <w:style w:type="character" w:customStyle="1" w:styleId="381">
    <w:name w:val="z-窗体底端 Char1"/>
    <w:basedOn w:val="90"/>
    <w:link w:val="215"/>
    <w:qFormat/>
    <w:uiPriority w:val="0"/>
    <w:rPr>
      <w:rFonts w:ascii="Arial" w:hAnsi="Arial"/>
      <w:vanish/>
      <w:sz w:val="16"/>
    </w:rPr>
  </w:style>
  <w:style w:type="paragraph" w:customStyle="1" w:styleId="382">
    <w:name w:val="正文表标题"/>
    <w:next w:val="359"/>
    <w:qFormat/>
    <w:uiPriority w:val="0"/>
    <w:pPr>
      <w:jc w:val="center"/>
    </w:pPr>
    <w:rPr>
      <w:rFonts w:ascii="黑体" w:hAnsi="Calibri" w:eastAsia="黑体" w:cs="Times New Roman"/>
      <w:sz w:val="21"/>
      <w:lang w:val="en-US" w:eastAsia="zh-CN" w:bidi="ar-SA"/>
    </w:rPr>
  </w:style>
  <w:style w:type="paragraph" w:customStyle="1" w:styleId="383">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u w:color="000000"/>
    </w:rPr>
  </w:style>
  <w:style w:type="paragraph" w:customStyle="1" w:styleId="384">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385">
    <w:name w:val="网格表 32"/>
    <w:basedOn w:val="4"/>
    <w:next w:val="1"/>
    <w:qFormat/>
    <w:uiPriority w:val="0"/>
    <w:pPr>
      <w:keepLines/>
      <w:spacing w:before="480" w:line="276" w:lineRule="auto"/>
      <w:jc w:val="left"/>
      <w:outlineLvl w:val="9"/>
    </w:pPr>
    <w:rPr>
      <w:rFonts w:ascii="等线 Light" w:hAnsi="等线 Light" w:eastAsia="等线 Light"/>
      <w:color w:val="2E74B5"/>
      <w:sz w:val="28"/>
    </w:rPr>
  </w:style>
  <w:style w:type="paragraph" w:customStyle="1" w:styleId="386">
    <w:name w:val="四级条标题"/>
    <w:basedOn w:val="357"/>
    <w:next w:val="359"/>
    <w:qFormat/>
    <w:uiPriority w:val="0"/>
    <w:pPr>
      <w:ind w:left="0" w:firstLine="0"/>
      <w:outlineLvl w:val="5"/>
    </w:pPr>
  </w:style>
  <w:style w:type="paragraph" w:customStyle="1" w:styleId="387">
    <w:name w:val="xl5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kern w:val="0"/>
      <w:sz w:val="18"/>
    </w:rPr>
  </w:style>
  <w:style w:type="paragraph" w:customStyle="1" w:styleId="388">
    <w:name w:val="font8"/>
    <w:basedOn w:val="1"/>
    <w:qFormat/>
    <w:uiPriority w:val="0"/>
    <w:pPr>
      <w:widowControl/>
      <w:spacing w:before="100" w:beforeAutospacing="1" w:after="100" w:afterAutospacing="1"/>
    </w:pPr>
    <w:rPr>
      <w:rFonts w:eastAsia="Arial Unicode MS"/>
      <w:kern w:val="0"/>
      <w:sz w:val="24"/>
    </w:rPr>
  </w:style>
  <w:style w:type="paragraph" w:customStyle="1" w:styleId="389">
    <w:name w:val="xl2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pPr>
    <w:rPr>
      <w:rFonts w:ascii="Arial Unicode MS" w:hAnsi="Arial Unicode MS" w:eastAsia="Arial Unicode MS"/>
      <w:kern w:val="0"/>
      <w:sz w:val="24"/>
    </w:rPr>
  </w:style>
  <w:style w:type="paragraph" w:customStyle="1" w:styleId="390">
    <w:name w:val="彩色列表 - 着色 11"/>
    <w:basedOn w:val="1"/>
    <w:qFormat/>
    <w:uiPriority w:val="0"/>
    <w:pPr>
      <w:widowControl/>
      <w:ind w:firstLine="420" w:firstLineChars="200"/>
      <w:jc w:val="left"/>
    </w:pPr>
    <w:rPr>
      <w:rFonts w:ascii="宋体" w:hAnsi="宋体"/>
      <w:kern w:val="0"/>
      <w:sz w:val="24"/>
    </w:rPr>
  </w:style>
  <w:style w:type="paragraph" w:customStyle="1" w:styleId="391">
    <w:name w:val="Char Char20"/>
    <w:basedOn w:val="1"/>
    <w:qFormat/>
    <w:uiPriority w:val="0"/>
    <w:pPr>
      <w:snapToGrid w:val="0"/>
      <w:spacing w:afterLines="30" w:line="360" w:lineRule="auto"/>
      <w:ind w:firstLine="200" w:firstLineChars="200"/>
    </w:pPr>
    <w:rPr>
      <w:sz w:val="21"/>
    </w:rPr>
  </w:style>
  <w:style w:type="paragraph" w:customStyle="1" w:styleId="392">
    <w:name w:val="附录一级条标题"/>
    <w:basedOn w:val="393"/>
    <w:next w:val="359"/>
    <w:qFormat/>
    <w:uiPriority w:val="0"/>
    <w:pPr>
      <w:tabs>
        <w:tab w:val="left" w:pos="720"/>
        <w:tab w:val="left" w:pos="840"/>
        <w:tab w:val="left" w:pos="1440"/>
      </w:tabs>
      <w:autoSpaceDN w:val="0"/>
      <w:ind w:left="0" w:firstLine="0"/>
      <w:outlineLvl w:val="2"/>
    </w:pPr>
  </w:style>
  <w:style w:type="paragraph" w:customStyle="1" w:styleId="393">
    <w:name w:val="附录章标题"/>
    <w:next w:val="359"/>
    <w:qFormat/>
    <w:uiPriority w:val="0"/>
    <w:pPr>
      <w:tabs>
        <w:tab w:val="left" w:pos="720"/>
        <w:tab w:val="left" w:pos="1440"/>
      </w:tabs>
      <w:wordWrap w:val="0"/>
      <w:overflowPunct w:val="0"/>
      <w:autoSpaceDE w:val="0"/>
      <w:spacing w:beforeLines="50" w:afterLines="50"/>
      <w:ind w:left="840" w:hanging="420"/>
      <w:jc w:val="both"/>
      <w:textAlignment w:val="baseline"/>
      <w:outlineLvl w:val="1"/>
    </w:pPr>
    <w:rPr>
      <w:rFonts w:ascii="黑体" w:hAnsi="Calibri" w:eastAsia="黑体" w:cs="Times New Roman"/>
      <w:kern w:val="21"/>
      <w:lang w:val="en-US" w:eastAsia="zh-CN" w:bidi="ar-SA"/>
    </w:rPr>
  </w:style>
  <w:style w:type="paragraph" w:customStyle="1" w:styleId="394">
    <w:name w:val="表格3"/>
    <w:basedOn w:val="1"/>
    <w:qFormat/>
    <w:uiPriority w:val="0"/>
    <w:pPr>
      <w:adjustRightInd w:val="0"/>
      <w:spacing w:line="420" w:lineRule="atLeast"/>
      <w:textAlignment w:val="baseline"/>
    </w:pPr>
    <w:rPr>
      <w:rFonts w:eastAsia="楷体"/>
      <w:kern w:val="0"/>
      <w:sz w:val="21"/>
    </w:rPr>
  </w:style>
  <w:style w:type="paragraph" w:customStyle="1" w:styleId="395">
    <w:name w:val="样式 一号 加粗 居中"/>
    <w:basedOn w:val="1"/>
    <w:qFormat/>
    <w:uiPriority w:val="0"/>
    <w:pPr>
      <w:jc w:val="center"/>
    </w:pPr>
    <w:rPr>
      <w:sz w:val="52"/>
    </w:rPr>
  </w:style>
  <w:style w:type="paragraph" w:customStyle="1" w:styleId="396">
    <w:name w:val="xl26"/>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b/>
      <w:kern w:val="0"/>
      <w:sz w:val="24"/>
    </w:rPr>
  </w:style>
  <w:style w:type="paragraph" w:customStyle="1" w:styleId="397">
    <w:name w:val="字母编号列项（一级）"/>
    <w:qFormat/>
    <w:uiPriority w:val="0"/>
    <w:pPr>
      <w:ind w:left="840" w:leftChars="200" w:hanging="420" w:hangingChars="200"/>
      <w:jc w:val="both"/>
    </w:pPr>
    <w:rPr>
      <w:rFonts w:ascii="宋体" w:hAnsi="Calibri" w:eastAsia="宋体" w:cs="Times New Roman"/>
      <w:lang w:val="en-US" w:eastAsia="zh-CN" w:bidi="ar-SA"/>
    </w:rPr>
  </w:style>
  <w:style w:type="paragraph" w:customStyle="1" w:styleId="398">
    <w:name w:val="aspnumfaautoadjustrightr"/>
    <w:qFormat/>
    <w:uiPriority w:val="0"/>
    <w:pPr>
      <w:widowControl w:val="0"/>
      <w:autoSpaceDE w:val="0"/>
      <w:autoSpaceDN w:val="0"/>
      <w:adjustRightInd w:val="0"/>
      <w:ind w:firstLine="720"/>
      <w:jc w:val="both"/>
    </w:pPr>
    <w:rPr>
      <w:rFonts w:ascii="Calibri" w:hAnsi="Calibri" w:eastAsia="宋体" w:cs="Times New Roman"/>
      <w:lang w:val="en-US" w:eastAsia="zh-CN" w:bidi="ar-SA"/>
    </w:rPr>
  </w:style>
  <w:style w:type="paragraph" w:customStyle="1" w:styleId="399">
    <w:name w:val="表格文字居中"/>
    <w:basedOn w:val="1"/>
    <w:qFormat/>
    <w:uiPriority w:val="0"/>
    <w:pPr>
      <w:adjustRightInd w:val="0"/>
      <w:snapToGrid w:val="0"/>
      <w:textAlignment w:val="center"/>
    </w:pPr>
    <w:rPr>
      <w:rFonts w:ascii="宋体"/>
      <w:snapToGrid w:val="0"/>
      <w:spacing w:val="12"/>
      <w:kern w:val="0"/>
      <w:sz w:val="21"/>
    </w:rPr>
  </w:style>
  <w:style w:type="paragraph" w:customStyle="1" w:styleId="400">
    <w:name w:val="p0"/>
    <w:basedOn w:val="1"/>
    <w:qFormat/>
    <w:uiPriority w:val="0"/>
    <w:pPr>
      <w:widowControl/>
      <w:spacing w:before="100" w:beforeAutospacing="1" w:after="100" w:afterAutospacing="1"/>
      <w:jc w:val="left"/>
    </w:pPr>
    <w:rPr>
      <w:rFonts w:ascii="宋体" w:hAnsi="宋体"/>
      <w:kern w:val="0"/>
      <w:sz w:val="24"/>
    </w:rPr>
  </w:style>
  <w:style w:type="paragraph" w:customStyle="1" w:styleId="401">
    <w:name w:val="正文缩进2"/>
    <w:basedOn w:val="1"/>
    <w:qFormat/>
    <w:uiPriority w:val="0"/>
    <w:pPr>
      <w:ind w:firstLine="420"/>
    </w:pPr>
    <w:rPr>
      <w:sz w:val="21"/>
    </w:rPr>
  </w:style>
  <w:style w:type="paragraph" w:customStyle="1" w:styleId="402">
    <w:name w:val="表头"/>
    <w:basedOn w:val="403"/>
    <w:qFormat/>
    <w:uiPriority w:val="0"/>
    <w:pPr>
      <w:spacing w:before="120" w:after="60"/>
    </w:pPr>
    <w:rPr>
      <w:rFonts w:ascii="黑体" w:eastAsia="黑体"/>
      <w:b/>
    </w:rPr>
  </w:style>
  <w:style w:type="paragraph" w:customStyle="1" w:styleId="403">
    <w:name w:val="表格方字"/>
    <w:basedOn w:val="1"/>
    <w:qFormat/>
    <w:uiPriority w:val="0"/>
    <w:pPr>
      <w:adjustRightInd w:val="0"/>
      <w:spacing w:line="420" w:lineRule="atLeast"/>
      <w:textAlignment w:val="baseline"/>
    </w:pPr>
    <w:rPr>
      <w:kern w:val="0"/>
      <w:sz w:val="21"/>
    </w:rPr>
  </w:style>
  <w:style w:type="paragraph" w:customStyle="1" w:styleId="404">
    <w:name w:val="正文段"/>
    <w:basedOn w:val="1"/>
    <w:qFormat/>
    <w:uiPriority w:val="0"/>
    <w:pPr>
      <w:widowControl/>
      <w:snapToGrid w:val="0"/>
      <w:spacing w:afterLines="50"/>
      <w:ind w:firstLine="200" w:firstLineChars="200"/>
    </w:pPr>
    <w:rPr>
      <w:kern w:val="0"/>
      <w:sz w:val="24"/>
    </w:rPr>
  </w:style>
  <w:style w:type="paragraph" w:customStyle="1" w:styleId="405">
    <w:name w:val="正文A Char Char Char"/>
    <w:qFormat/>
    <w:uiPriority w:val="0"/>
    <w:pPr>
      <w:tabs>
        <w:tab w:val="left" w:pos="0"/>
      </w:tabs>
      <w:adjustRightInd w:val="0"/>
      <w:spacing w:before="120" w:line="360" w:lineRule="auto"/>
      <w:ind w:firstLine="480"/>
      <w:jc w:val="both"/>
    </w:pPr>
    <w:rPr>
      <w:rFonts w:ascii="Calibri" w:hAnsi="Calibri" w:eastAsia="宋体" w:cs="Times New Roman"/>
      <w:snapToGrid w:val="0"/>
      <w:sz w:val="24"/>
      <w:lang w:val="en-US" w:eastAsia="zh-CN" w:bidi="ar-SA"/>
    </w:rPr>
  </w:style>
  <w:style w:type="paragraph" w:customStyle="1" w:styleId="406">
    <w:name w:val="列项●（二级）"/>
    <w:qFormat/>
    <w:uiPriority w:val="0"/>
    <w:pPr>
      <w:tabs>
        <w:tab w:val="left" w:pos="720"/>
        <w:tab w:val="left" w:pos="760"/>
        <w:tab w:val="left" w:pos="840"/>
      </w:tabs>
      <w:ind w:left="600" w:leftChars="400" w:hanging="200" w:hangingChars="200"/>
      <w:jc w:val="both"/>
    </w:pPr>
    <w:rPr>
      <w:rFonts w:ascii="宋体" w:hAnsi="Calibri" w:eastAsia="宋体" w:cs="Times New Roman"/>
      <w:lang w:val="en-US" w:eastAsia="zh-CN" w:bidi="ar-SA"/>
    </w:rPr>
  </w:style>
  <w:style w:type="paragraph" w:customStyle="1" w:styleId="407">
    <w:name w:val="xl560"/>
    <w:basedOn w:val="1"/>
    <w:qFormat/>
    <w:uiPriority w:val="0"/>
    <w:pPr>
      <w:widowControl/>
      <w:spacing w:before="100" w:beforeAutospacing="1" w:after="100" w:afterAutospacing="1"/>
      <w:jc w:val="left"/>
    </w:pPr>
    <w:rPr>
      <w:rFonts w:ascii="宋体" w:hAnsi="宋体"/>
      <w:color w:val="000000"/>
      <w:kern w:val="0"/>
      <w:sz w:val="20"/>
    </w:rPr>
  </w:style>
  <w:style w:type="paragraph" w:customStyle="1" w:styleId="408">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409">
    <w:name w:val="xl557"/>
    <w:basedOn w:val="1"/>
    <w:qFormat/>
    <w:uiPriority w:val="0"/>
    <w:pPr>
      <w:widowControl/>
      <w:spacing w:before="100" w:beforeAutospacing="1" w:after="100" w:afterAutospacing="1"/>
      <w:jc w:val="left"/>
    </w:pPr>
    <w:rPr>
      <w:rFonts w:ascii="宋体" w:hAnsi="宋体"/>
      <w:color w:val="FF0000"/>
      <w:kern w:val="0"/>
      <w:sz w:val="20"/>
    </w:rPr>
  </w:style>
  <w:style w:type="paragraph" w:customStyle="1" w:styleId="410">
    <w:name w:val="1"/>
    <w:basedOn w:val="1"/>
    <w:qFormat/>
    <w:uiPriority w:val="0"/>
    <w:pPr>
      <w:adjustRightInd w:val="0"/>
      <w:spacing w:before="360" w:after="240" w:line="420" w:lineRule="atLeast"/>
      <w:ind w:firstLine="454"/>
      <w:textAlignment w:val="baseline"/>
    </w:pPr>
    <w:rPr>
      <w:b/>
      <w:kern w:val="0"/>
      <w:sz w:val="21"/>
    </w:rPr>
  </w:style>
  <w:style w:type="paragraph" w:customStyle="1" w:styleId="411">
    <w:name w:val="附录四级条标题"/>
    <w:basedOn w:val="412"/>
    <w:next w:val="359"/>
    <w:qFormat/>
    <w:uiPriority w:val="0"/>
    <w:pPr>
      <w:tabs>
        <w:tab w:val="left" w:pos="720"/>
        <w:tab w:val="left" w:pos="840"/>
        <w:tab w:val="left" w:pos="1440"/>
      </w:tabs>
      <w:outlineLvl w:val="5"/>
    </w:pPr>
  </w:style>
  <w:style w:type="paragraph" w:customStyle="1" w:styleId="412">
    <w:name w:val="附录三级条标题"/>
    <w:basedOn w:val="413"/>
    <w:next w:val="359"/>
    <w:qFormat/>
    <w:uiPriority w:val="0"/>
    <w:pPr>
      <w:tabs>
        <w:tab w:val="left" w:pos="720"/>
        <w:tab w:val="left" w:pos="840"/>
        <w:tab w:val="left" w:pos="1440"/>
      </w:tabs>
      <w:outlineLvl w:val="4"/>
    </w:pPr>
  </w:style>
  <w:style w:type="paragraph" w:customStyle="1" w:styleId="413">
    <w:name w:val="附录二级条标题"/>
    <w:basedOn w:val="392"/>
    <w:next w:val="359"/>
    <w:qFormat/>
    <w:uiPriority w:val="0"/>
    <w:pPr>
      <w:outlineLvl w:val="3"/>
    </w:pPr>
  </w:style>
  <w:style w:type="paragraph" w:customStyle="1" w:styleId="414">
    <w:name w:val="引文目录标题1"/>
    <w:basedOn w:val="1"/>
    <w:next w:val="1"/>
    <w:qFormat/>
    <w:uiPriority w:val="0"/>
    <w:pPr>
      <w:spacing w:before="120"/>
    </w:pPr>
    <w:rPr>
      <w:rFonts w:ascii="Arial" w:hAnsi="Arial"/>
      <w:sz w:val="24"/>
    </w:rPr>
  </w:style>
  <w:style w:type="paragraph" w:customStyle="1" w:styleId="415">
    <w:name w:val="Char Char Char Char Char Char Char Char Char"/>
    <w:basedOn w:val="1"/>
    <w:qFormat/>
    <w:uiPriority w:val="0"/>
    <w:pPr>
      <w:widowControl/>
      <w:spacing w:after="160" w:line="240" w:lineRule="exact"/>
      <w:jc w:val="left"/>
    </w:pPr>
    <w:rPr>
      <w:sz w:val="21"/>
    </w:rPr>
  </w:style>
  <w:style w:type="paragraph" w:customStyle="1" w:styleId="416">
    <w:name w:val="默认段落字体 Para Char Char Char Char"/>
    <w:basedOn w:val="1"/>
    <w:qFormat/>
    <w:uiPriority w:val="0"/>
    <w:pPr>
      <w:spacing w:line="360" w:lineRule="auto"/>
      <w:ind w:firstLine="200" w:firstLineChars="200"/>
    </w:pPr>
    <w:rPr>
      <w:rFonts w:ascii="宋体" w:hAnsi="宋体"/>
      <w:sz w:val="24"/>
    </w:rPr>
  </w:style>
  <w:style w:type="paragraph" w:customStyle="1" w:styleId="417">
    <w:name w:val="Char Char Char1 Char"/>
    <w:basedOn w:val="1"/>
    <w:next w:val="1"/>
    <w:qFormat/>
    <w:uiPriority w:val="0"/>
    <w:rPr>
      <w:sz w:val="21"/>
    </w:rPr>
  </w:style>
  <w:style w:type="paragraph" w:customStyle="1" w:styleId="418">
    <w:name w:val="列出段落3"/>
    <w:basedOn w:val="1"/>
    <w:qFormat/>
    <w:uiPriority w:val="0"/>
    <w:pPr>
      <w:spacing w:before="100" w:beforeAutospacing="1" w:after="100" w:afterAutospacing="1" w:line="300" w:lineRule="auto"/>
      <w:ind w:firstLine="420" w:firstLineChars="200"/>
    </w:pPr>
    <w:rPr>
      <w:sz w:val="21"/>
    </w:rPr>
  </w:style>
  <w:style w:type="paragraph" w:customStyle="1" w:styleId="41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kern w:val="0"/>
      <w:sz w:val="24"/>
    </w:rPr>
  </w:style>
  <w:style w:type="paragraph" w:customStyle="1" w:styleId="420">
    <w:name w:val="实施日期"/>
    <w:basedOn w:val="421"/>
    <w:qFormat/>
    <w:uiPriority w:val="0"/>
    <w:pPr>
      <w:jc w:val="right"/>
    </w:pPr>
  </w:style>
  <w:style w:type="paragraph" w:customStyle="1" w:styleId="421">
    <w:name w:val="发布日期"/>
    <w:qFormat/>
    <w:uiPriority w:val="0"/>
    <w:rPr>
      <w:rFonts w:ascii="Calibri" w:hAnsi="Calibri" w:eastAsia="黑体" w:cs="Times New Roman"/>
      <w:sz w:val="28"/>
      <w:lang w:val="en-US" w:eastAsia="zh-CN" w:bidi="ar-SA"/>
    </w:rPr>
  </w:style>
  <w:style w:type="paragraph" w:customStyle="1" w:styleId="422">
    <w:name w:val="一般格式"/>
    <w:basedOn w:val="1"/>
    <w:qFormat/>
    <w:uiPriority w:val="0"/>
    <w:pPr>
      <w:spacing w:line="360" w:lineRule="auto"/>
      <w:ind w:firstLine="200" w:firstLineChars="200"/>
    </w:pPr>
    <w:rPr>
      <w:sz w:val="24"/>
    </w:rPr>
  </w:style>
  <w:style w:type="paragraph" w:customStyle="1" w:styleId="423">
    <w:name w:val="附录图标题"/>
    <w:next w:val="359"/>
    <w:qFormat/>
    <w:uiPriority w:val="0"/>
    <w:pPr>
      <w:tabs>
        <w:tab w:val="left" w:pos="360"/>
      </w:tabs>
      <w:jc w:val="center"/>
    </w:pPr>
    <w:rPr>
      <w:rFonts w:ascii="黑体" w:hAnsi="Calibri" w:eastAsia="黑体" w:cs="Times New Roman"/>
      <w:sz w:val="21"/>
      <w:lang w:val="en-US" w:eastAsia="zh-CN" w:bidi="ar-SA"/>
    </w:rPr>
  </w:style>
  <w:style w:type="paragraph" w:customStyle="1" w:styleId="424">
    <w:name w:val="1.4"/>
    <w:basedOn w:val="1"/>
    <w:qFormat/>
    <w:uiPriority w:val="0"/>
    <w:pPr>
      <w:widowControl/>
      <w:spacing w:line="288" w:lineRule="auto"/>
      <w:ind w:left="3" w:firstLine="503"/>
    </w:pPr>
    <w:rPr>
      <w:rFonts w:ascii="宋体" w:hAnsi="宋体"/>
      <w:kern w:val="0"/>
      <w:sz w:val="24"/>
    </w:rPr>
  </w:style>
  <w:style w:type="paragraph" w:customStyle="1" w:styleId="425">
    <w:name w:val="正文3"/>
    <w:qFormat/>
    <w:uiPriority w:val="0"/>
    <w:pPr>
      <w:widowControl w:val="0"/>
      <w:adjustRightInd w:val="0"/>
      <w:spacing w:line="360" w:lineRule="atLeast"/>
      <w:textAlignment w:val="baseline"/>
    </w:pPr>
    <w:rPr>
      <w:rFonts w:ascii="宋体" w:hAnsi="Calibri" w:eastAsia="宋体" w:cs="Times New Roman"/>
      <w:sz w:val="34"/>
      <w:lang w:val="en-US" w:eastAsia="zh-CN" w:bidi="ar-SA"/>
    </w:rPr>
  </w:style>
  <w:style w:type="paragraph" w:customStyle="1" w:styleId="426">
    <w:name w:val="p17"/>
    <w:basedOn w:val="1"/>
    <w:qFormat/>
    <w:uiPriority w:val="0"/>
    <w:pPr>
      <w:widowControl/>
      <w:spacing w:before="100" w:after="100" w:line="432" w:lineRule="auto"/>
      <w:jc w:val="left"/>
    </w:pPr>
    <w:rPr>
      <w:rFonts w:ascii="宋体" w:hAnsi="宋体"/>
      <w:kern w:val="0"/>
      <w:sz w:val="27"/>
    </w:rPr>
  </w:style>
  <w:style w:type="paragraph" w:customStyle="1" w:styleId="427">
    <w:name w:val="封面标准文稿编辑信息"/>
    <w:qFormat/>
    <w:uiPriority w:val="0"/>
    <w:pPr>
      <w:spacing w:before="180" w:line="180" w:lineRule="exact"/>
      <w:jc w:val="center"/>
    </w:pPr>
    <w:rPr>
      <w:rFonts w:ascii="宋体" w:hAnsi="Calibri" w:eastAsia="宋体" w:cs="Times New Roman"/>
      <w:sz w:val="21"/>
      <w:lang w:val="en-US" w:eastAsia="zh-CN" w:bidi="ar-SA"/>
    </w:rPr>
  </w:style>
  <w:style w:type="paragraph" w:customStyle="1" w:styleId="428">
    <w:name w:val="xl24"/>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kern w:val="0"/>
      <w:sz w:val="24"/>
    </w:rPr>
  </w:style>
  <w:style w:type="paragraph" w:customStyle="1" w:styleId="429">
    <w:name w:val="xl5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30">
    <w:name w:val="正文缩进3"/>
    <w:basedOn w:val="1"/>
    <w:qFormat/>
    <w:uiPriority w:val="0"/>
    <w:pPr>
      <w:ind w:firstLine="420"/>
    </w:pPr>
    <w:rPr>
      <w:sz w:val="21"/>
    </w:rPr>
  </w:style>
  <w:style w:type="paragraph" w:customStyle="1" w:styleId="431">
    <w:name w:val="五级条标题"/>
    <w:basedOn w:val="386"/>
    <w:next w:val="359"/>
    <w:qFormat/>
    <w:uiPriority w:val="0"/>
    <w:pPr>
      <w:outlineLvl w:val="6"/>
    </w:pPr>
  </w:style>
  <w:style w:type="paragraph" w:customStyle="1" w:styleId="432">
    <w:name w:val="正文文本 31"/>
    <w:basedOn w:val="1"/>
    <w:qFormat/>
    <w:uiPriority w:val="0"/>
    <w:rPr>
      <w:rFonts w:eastAsia="隶书"/>
      <w:kern w:val="0"/>
      <w:sz w:val="24"/>
    </w:rPr>
  </w:style>
  <w:style w:type="paragraph" w:customStyle="1" w:styleId="433">
    <w:name w:val="杭州页脚"/>
    <w:basedOn w:val="1"/>
    <w:qFormat/>
    <w:uiPriority w:val="0"/>
    <w:pPr>
      <w:tabs>
        <w:tab w:val="left" w:pos="340"/>
      </w:tabs>
      <w:adjustRightInd w:val="0"/>
      <w:snapToGrid w:val="0"/>
      <w:ind w:left="340" w:hanging="340"/>
    </w:pPr>
    <w:rPr>
      <w:rFonts w:eastAsia="HYKai U3HK"/>
      <w:sz w:val="20"/>
    </w:rPr>
  </w:style>
  <w:style w:type="paragraph" w:customStyle="1" w:styleId="434">
    <w:name w:val="xl38"/>
    <w:basedOn w:val="1"/>
    <w:qFormat/>
    <w:uiPriority w:val="0"/>
    <w:pPr>
      <w:widowControl/>
      <w:pBdr>
        <w:top w:val="single" w:color="auto" w:sz="4" w:space="0"/>
        <w:bottom w:val="single" w:color="auto" w:sz="8" w:space="0"/>
        <w:right w:val="single" w:color="auto" w:sz="8" w:space="0"/>
      </w:pBdr>
      <w:spacing w:before="100" w:beforeAutospacing="1" w:after="100" w:afterAutospacing="1"/>
    </w:pPr>
    <w:rPr>
      <w:rFonts w:ascii="Arial Unicode MS" w:hAnsi="Arial Unicode MS" w:eastAsia="Arial Unicode MS"/>
      <w:b/>
      <w:kern w:val="0"/>
      <w:sz w:val="36"/>
    </w:rPr>
  </w:style>
  <w:style w:type="paragraph" w:customStyle="1" w:styleId="435">
    <w:name w:val="p16"/>
    <w:basedOn w:val="1"/>
    <w:qFormat/>
    <w:uiPriority w:val="0"/>
    <w:pPr>
      <w:widowControl/>
      <w:spacing w:before="100" w:beforeAutospacing="1" w:after="100" w:afterAutospacing="1"/>
      <w:jc w:val="left"/>
    </w:pPr>
    <w:rPr>
      <w:rFonts w:ascii="宋体" w:hAnsi="宋体"/>
      <w:kern w:val="0"/>
      <w:sz w:val="24"/>
    </w:rPr>
  </w:style>
  <w:style w:type="paragraph" w:customStyle="1" w:styleId="436">
    <w:name w:val="xl5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20"/>
    </w:rPr>
  </w:style>
  <w:style w:type="paragraph" w:customStyle="1" w:styleId="437">
    <w:name w:val="Char Char Char"/>
    <w:basedOn w:val="1"/>
    <w:qFormat/>
    <w:uiPriority w:val="0"/>
    <w:pPr>
      <w:spacing w:line="360" w:lineRule="auto"/>
      <w:ind w:firstLine="200" w:firstLineChars="200"/>
    </w:pPr>
    <w:rPr>
      <w:rFonts w:ascii="宋体" w:hAnsi="宋体"/>
      <w:sz w:val="24"/>
    </w:rPr>
  </w:style>
  <w:style w:type="paragraph" w:customStyle="1" w:styleId="438">
    <w:name w:val="样式 标题 3 + (中文) 黑体 小四 非加粗 段前: 7.8 磅 段后: 0 磅 行距: 固定值 20 磅"/>
    <w:basedOn w:val="6"/>
    <w:qFormat/>
    <w:uiPriority w:val="0"/>
    <w:pPr>
      <w:widowControl w:val="0"/>
      <w:tabs>
        <w:tab w:val="clear" w:pos="720"/>
      </w:tabs>
      <w:spacing w:before="0" w:after="0" w:line="400" w:lineRule="exact"/>
      <w:ind w:left="0" w:firstLine="0"/>
      <w:jc w:val="both"/>
    </w:pPr>
    <w:rPr>
      <w:rFonts w:eastAsia="黑体"/>
      <w:b w:val="0"/>
      <w:kern w:val="2"/>
      <w:sz w:val="24"/>
    </w:rPr>
  </w:style>
  <w:style w:type="paragraph" w:customStyle="1" w:styleId="439">
    <w:name w:val="纯文本1"/>
    <w:basedOn w:val="1"/>
    <w:qFormat/>
    <w:uiPriority w:val="0"/>
    <w:pPr>
      <w:widowControl/>
      <w:jc w:val="left"/>
    </w:pPr>
    <w:rPr>
      <w:rFonts w:ascii="宋体" w:hAnsi="Courier New"/>
      <w:kern w:val="0"/>
      <w:sz w:val="20"/>
    </w:rPr>
  </w:style>
  <w:style w:type="paragraph" w:customStyle="1" w:styleId="440">
    <w:name w:val="列出段落1"/>
    <w:basedOn w:val="1"/>
    <w:qFormat/>
    <w:uiPriority w:val="0"/>
    <w:pPr>
      <w:ind w:firstLine="420" w:firstLineChars="200"/>
    </w:pPr>
    <w:rPr>
      <w:sz w:val="21"/>
    </w:rPr>
  </w:style>
  <w:style w:type="paragraph" w:customStyle="1" w:styleId="441">
    <w:name w:val="正文文本 21"/>
    <w:basedOn w:val="1"/>
    <w:qFormat/>
    <w:uiPriority w:val="0"/>
    <w:pPr>
      <w:adjustRightInd w:val="0"/>
      <w:spacing w:line="300" w:lineRule="auto"/>
      <w:jc w:val="center"/>
    </w:pPr>
    <w:rPr>
      <w:rFonts w:hint="eastAsia" w:ascii="宋体" w:hAnsi="宋体"/>
      <w:sz w:val="24"/>
    </w:rPr>
  </w:style>
  <w:style w:type="paragraph" w:customStyle="1" w:styleId="442">
    <w:name w:val="表格文字2"/>
    <w:basedOn w:val="1"/>
    <w:qFormat/>
    <w:uiPriority w:val="0"/>
    <w:rPr>
      <w:spacing w:val="-4"/>
      <w:sz w:val="24"/>
    </w:rPr>
  </w:style>
  <w:style w:type="paragraph" w:customStyle="1" w:styleId="443">
    <w:name w:val="图表左对齐"/>
    <w:basedOn w:val="1"/>
    <w:qFormat/>
    <w:uiPriority w:val="0"/>
    <w:pPr>
      <w:spacing w:line="360" w:lineRule="exact"/>
      <w:jc w:val="left"/>
    </w:pPr>
    <w:rPr>
      <w:spacing w:val="-10"/>
      <w:sz w:val="24"/>
    </w:rPr>
  </w:style>
  <w:style w:type="paragraph" w:customStyle="1" w:styleId="444">
    <w:name w:val="标准书脚_奇数页"/>
    <w:qFormat/>
    <w:uiPriority w:val="0"/>
    <w:pPr>
      <w:spacing w:before="120"/>
      <w:jc w:val="right"/>
    </w:pPr>
    <w:rPr>
      <w:rFonts w:ascii="Calibri" w:hAnsi="Calibri" w:eastAsia="宋体" w:cs="Times New Roman"/>
      <w:sz w:val="18"/>
      <w:lang w:val="en-US" w:eastAsia="zh-CN" w:bidi="ar-SA"/>
    </w:rPr>
  </w:style>
  <w:style w:type="paragraph" w:customStyle="1" w:styleId="445">
    <w:name w:val="样式 标题 2 + Times New Roman 四号 非加粗 段前: 5 磅 段后: 0 磅 行距: 固定值 20..."/>
    <w:basedOn w:val="5"/>
    <w:qFormat/>
    <w:uiPriority w:val="0"/>
    <w:pPr>
      <w:tabs>
        <w:tab w:val="clear" w:pos="706"/>
      </w:tabs>
      <w:spacing w:before="100" w:line="400" w:lineRule="exact"/>
      <w:ind w:left="0" w:firstLine="0"/>
    </w:pPr>
    <w:rPr>
      <w:rFonts w:ascii="Times New Roman" w:hAnsi="Times New Roman"/>
      <w:b w:val="0"/>
      <w:kern w:val="0"/>
      <w:sz w:val="28"/>
    </w:rPr>
  </w:style>
  <w:style w:type="paragraph" w:customStyle="1" w:styleId="446">
    <w:name w:val="Char Char Char Char Char Char Char"/>
    <w:basedOn w:val="1"/>
    <w:qFormat/>
    <w:uiPriority w:val="0"/>
    <w:pPr>
      <w:widowControl/>
      <w:spacing w:after="160" w:line="240" w:lineRule="exact"/>
      <w:jc w:val="left"/>
    </w:pPr>
    <w:rPr>
      <w:rFonts w:ascii="Verdana" w:hAnsi="Verdana" w:eastAsia="仿宋_GB2312"/>
      <w:kern w:val="0"/>
      <w:sz w:val="30"/>
      <w:lang w:eastAsia="en-US"/>
    </w:rPr>
  </w:style>
  <w:style w:type="paragraph" w:customStyle="1" w:styleId="447">
    <w:name w:val="正文1"/>
    <w:basedOn w:val="44"/>
    <w:next w:val="1"/>
    <w:qFormat/>
    <w:uiPriority w:val="0"/>
    <w:pPr>
      <w:autoSpaceDE w:val="0"/>
      <w:autoSpaceDN w:val="0"/>
      <w:adjustRightInd w:val="0"/>
      <w:spacing w:before="120" w:line="360" w:lineRule="auto"/>
      <w:ind w:left="1366" w:hanging="686"/>
      <w:textAlignment w:val="baseline"/>
    </w:pPr>
    <w:rPr>
      <w:sz w:val="21"/>
    </w:rPr>
  </w:style>
  <w:style w:type="paragraph" w:customStyle="1" w:styleId="448">
    <w:name w:val="前言、引言标题"/>
    <w:next w:val="1"/>
    <w:qFormat/>
    <w:uiPriority w:val="0"/>
    <w:pPr>
      <w:shd w:val="clear" w:color="FFFFFF" w:fill="FFFFFF"/>
      <w:spacing w:before="640" w:after="560"/>
      <w:jc w:val="center"/>
      <w:outlineLvl w:val="0"/>
    </w:pPr>
    <w:rPr>
      <w:rFonts w:ascii="黑体" w:hAnsi="Calibri" w:eastAsia="黑体" w:cs="Times New Roman"/>
      <w:sz w:val="32"/>
      <w:lang w:val="en-US" w:eastAsia="zh-CN" w:bidi="ar-SA"/>
    </w:rPr>
  </w:style>
  <w:style w:type="paragraph" w:customStyle="1" w:styleId="449">
    <w:name w:val="纯文本3"/>
    <w:basedOn w:val="1"/>
    <w:qFormat/>
    <w:uiPriority w:val="0"/>
    <w:pPr>
      <w:widowControl/>
      <w:jc w:val="left"/>
    </w:pPr>
    <w:rPr>
      <w:rFonts w:ascii="宋体" w:hAnsi="Courier New"/>
      <w:kern w:val="0"/>
      <w:sz w:val="20"/>
    </w:rPr>
  </w:style>
  <w:style w:type="paragraph" w:customStyle="1" w:styleId="450">
    <w:name w:val="表格6"/>
    <w:basedOn w:val="1"/>
    <w:qFormat/>
    <w:uiPriority w:val="0"/>
    <w:pPr>
      <w:adjustRightInd w:val="0"/>
      <w:spacing w:line="420" w:lineRule="atLeast"/>
      <w:ind w:left="737"/>
      <w:textAlignment w:val="baseline"/>
    </w:pPr>
    <w:rPr>
      <w:rFonts w:ascii="宋体"/>
      <w:kern w:val="0"/>
      <w:sz w:val="21"/>
    </w:rPr>
  </w:style>
  <w:style w:type="paragraph" w:customStyle="1" w:styleId="451">
    <w:name w:val="reader-word-layer reader-word-s1-8"/>
    <w:basedOn w:val="1"/>
    <w:qFormat/>
    <w:uiPriority w:val="0"/>
    <w:pPr>
      <w:widowControl/>
      <w:spacing w:before="100" w:beforeAutospacing="1" w:after="100" w:afterAutospacing="1"/>
      <w:jc w:val="left"/>
    </w:pPr>
    <w:rPr>
      <w:rFonts w:ascii="宋体" w:hAnsi="宋体"/>
      <w:kern w:val="0"/>
      <w:sz w:val="24"/>
    </w:rPr>
  </w:style>
  <w:style w:type="paragraph" w:customStyle="1" w:styleId="452">
    <w:name w:val="默认段落字体 Para Char Char Char Char Char Char Char Char Char Char Char Char Char"/>
    <w:basedOn w:val="1"/>
    <w:qFormat/>
    <w:uiPriority w:val="0"/>
    <w:rPr>
      <w:sz w:val="21"/>
    </w:rPr>
  </w:style>
  <w:style w:type="paragraph" w:customStyle="1" w:styleId="453">
    <w:name w:val="修订1"/>
    <w:qFormat/>
    <w:uiPriority w:val="0"/>
    <w:rPr>
      <w:rFonts w:ascii="宋体" w:hAnsi="Calibri" w:eastAsia="宋体" w:cs="Times New Roman"/>
      <w:kern w:val="2"/>
      <w:sz w:val="28"/>
      <w:lang w:val="en-US" w:eastAsia="zh-CN" w:bidi="ar-SA"/>
    </w:rPr>
  </w:style>
  <w:style w:type="paragraph" w:customStyle="1" w:styleId="454">
    <w:name w:val="xl5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kern w:val="0"/>
      <w:sz w:val="20"/>
    </w:rPr>
  </w:style>
  <w:style w:type="paragraph" w:customStyle="1" w:styleId="455">
    <w:name w:val="列项◆（三级）"/>
    <w:qFormat/>
    <w:uiPriority w:val="0"/>
    <w:pPr>
      <w:tabs>
        <w:tab w:val="left" w:pos="720"/>
        <w:tab w:val="left" w:pos="960"/>
      </w:tabs>
      <w:ind w:left="800" w:leftChars="600" w:hanging="200" w:hangingChars="200"/>
    </w:pPr>
    <w:rPr>
      <w:rFonts w:ascii="宋体" w:hAnsi="Calibri" w:eastAsia="宋体" w:cs="Times New Roman"/>
      <w:lang w:val="en-US" w:eastAsia="zh-CN" w:bidi="ar-SA"/>
    </w:rPr>
  </w:style>
  <w:style w:type="paragraph" w:customStyle="1" w:styleId="456">
    <w:name w:val="目录3"/>
    <w:basedOn w:val="1"/>
    <w:qFormat/>
    <w:uiPriority w:val="0"/>
    <w:pPr>
      <w:adjustRightInd w:val="0"/>
      <w:spacing w:line="420" w:lineRule="atLeast"/>
      <w:ind w:left="454"/>
      <w:textAlignment w:val="baseline"/>
    </w:pPr>
    <w:rPr>
      <w:kern w:val="0"/>
      <w:sz w:val="21"/>
    </w:rPr>
  </w:style>
  <w:style w:type="paragraph" w:customStyle="1" w:styleId="457">
    <w:name w:val="默认段落字体 Para Char Char Char Char Char Char Char Char Char1 Char Char Char Char"/>
    <w:basedOn w:val="1"/>
    <w:qFormat/>
    <w:uiPriority w:val="0"/>
    <w:rPr>
      <w:rFonts w:ascii="Tahoma" w:hAnsi="Tahoma"/>
      <w:sz w:val="24"/>
    </w:rPr>
  </w:style>
  <w:style w:type="character" w:customStyle="1" w:styleId="458">
    <w:name w:val="z-窗体顶端 Char2"/>
    <w:basedOn w:val="90"/>
    <w:link w:val="322"/>
    <w:qFormat/>
    <w:uiPriority w:val="0"/>
    <w:rPr>
      <w:rFonts w:ascii="Arial" w:hAnsi="Arial"/>
      <w:vanish/>
      <w:sz w:val="16"/>
    </w:rPr>
  </w:style>
  <w:style w:type="paragraph" w:customStyle="1" w:styleId="45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楷体" w:hAnsi="华文楷体" w:eastAsia="华文楷体"/>
      <w:kern w:val="0"/>
      <w:sz w:val="24"/>
    </w:rPr>
  </w:style>
  <w:style w:type="paragraph" w:customStyle="1" w:styleId="460">
    <w:name w:val="样式3"/>
    <w:basedOn w:val="6"/>
    <w:qFormat/>
    <w:uiPriority w:val="0"/>
    <w:pPr>
      <w:widowControl w:val="0"/>
      <w:tabs>
        <w:tab w:val="clear" w:pos="720"/>
      </w:tabs>
      <w:ind w:left="0" w:firstLine="0"/>
      <w:jc w:val="both"/>
    </w:pPr>
    <w:rPr>
      <w:b w:val="0"/>
      <w:kern w:val="2"/>
      <w:sz w:val="24"/>
    </w:rPr>
  </w:style>
  <w:style w:type="paragraph" w:customStyle="1" w:styleId="461">
    <w:name w:val="样式 居中 行距: 固定值 60 磅"/>
    <w:basedOn w:val="1"/>
    <w:qFormat/>
    <w:uiPriority w:val="0"/>
    <w:pPr>
      <w:spacing w:line="360" w:lineRule="auto"/>
      <w:jc w:val="center"/>
    </w:pPr>
    <w:rPr>
      <w:sz w:val="21"/>
    </w:rPr>
  </w:style>
  <w:style w:type="paragraph" w:customStyle="1" w:styleId="462">
    <w:name w:val="其他发布部门"/>
    <w:basedOn w:val="463"/>
    <w:qFormat/>
    <w:uiPriority w:val="0"/>
    <w:pPr>
      <w:spacing w:line="0" w:lineRule="atLeast"/>
    </w:pPr>
    <w:rPr>
      <w:rFonts w:ascii="黑体" w:eastAsia="黑体"/>
      <w:b w:val="0"/>
    </w:rPr>
  </w:style>
  <w:style w:type="paragraph" w:customStyle="1" w:styleId="463">
    <w:name w:val="发布部门"/>
    <w:next w:val="359"/>
    <w:qFormat/>
    <w:uiPriority w:val="0"/>
    <w:pPr>
      <w:jc w:val="center"/>
    </w:pPr>
    <w:rPr>
      <w:rFonts w:ascii="宋体" w:hAnsi="Calibri" w:eastAsia="宋体" w:cs="Times New Roman"/>
      <w:b/>
      <w:spacing w:val="20"/>
      <w:w w:val="135"/>
      <w:sz w:val="36"/>
      <w:lang w:val="en-US" w:eastAsia="zh-CN" w:bidi="ar-SA"/>
    </w:rPr>
  </w:style>
  <w:style w:type="paragraph" w:customStyle="1" w:styleId="464">
    <w:name w:val="示例"/>
    <w:next w:val="359"/>
    <w:qFormat/>
    <w:uiPriority w:val="0"/>
    <w:pPr>
      <w:tabs>
        <w:tab w:val="left" w:pos="720"/>
        <w:tab w:val="left" w:pos="816"/>
      </w:tabs>
      <w:ind w:firstLine="419" w:firstLineChars="233"/>
      <w:jc w:val="both"/>
    </w:pPr>
    <w:rPr>
      <w:rFonts w:ascii="宋体" w:hAnsi="Calibri" w:eastAsia="宋体" w:cs="Times New Roman"/>
      <w:sz w:val="18"/>
      <w:lang w:val="en-US" w:eastAsia="zh-CN" w:bidi="ar-SA"/>
    </w:rPr>
  </w:style>
  <w:style w:type="paragraph" w:customStyle="1" w:styleId="465">
    <w:name w:val="xl6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华文楷体" w:hAnsi="华文楷体" w:eastAsia="华文楷体"/>
      <w:kern w:val="0"/>
      <w:sz w:val="24"/>
    </w:rPr>
  </w:style>
  <w:style w:type="paragraph" w:customStyle="1" w:styleId="466">
    <w:name w:val="样式 标题 1 + 黑体 三号 非加粗 居中 段前: 6 磅 段后: 6 磅 行距: 固定值 20 磅"/>
    <w:basedOn w:val="4"/>
    <w:qFormat/>
    <w:uiPriority w:val="0"/>
    <w:pPr>
      <w:keepLines/>
      <w:widowControl w:val="0"/>
      <w:spacing w:before="120" w:after="120" w:line="400" w:lineRule="exact"/>
      <w:jc w:val="both"/>
    </w:pPr>
    <w:rPr>
      <w:rFonts w:hAnsi="黑体" w:eastAsia="黑体"/>
      <w:b w:val="0"/>
      <w:kern w:val="44"/>
    </w:rPr>
  </w:style>
  <w:style w:type="paragraph" w:customStyle="1" w:styleId="467">
    <w:name w:val="标题2"/>
    <w:basedOn w:val="1"/>
    <w:qFormat/>
    <w:uiPriority w:val="0"/>
    <w:rPr>
      <w:rFonts w:ascii="宋体" w:hAnsi="宋体"/>
      <w:b/>
      <w:sz w:val="21"/>
    </w:rPr>
  </w:style>
  <w:style w:type="paragraph" w:customStyle="1" w:styleId="468">
    <w:name w:val="Char"/>
    <w:basedOn w:val="1"/>
    <w:qFormat/>
    <w:uiPriority w:val="0"/>
    <w:rPr>
      <w:rFonts w:ascii="仿宋_GB2312" w:eastAsia="仿宋_GB2312"/>
      <w:b/>
      <w:sz w:val="32"/>
    </w:rPr>
  </w:style>
  <w:style w:type="paragraph" w:customStyle="1" w:styleId="469">
    <w:name w:val="无间隔2"/>
    <w:qFormat/>
    <w:uiPriority w:val="0"/>
    <w:rPr>
      <w:rFonts w:ascii="Calibri" w:hAnsi="Calibri" w:eastAsia="宋体" w:cs="Times New Roman"/>
      <w:sz w:val="22"/>
      <w:lang w:val="en-US" w:eastAsia="en-US" w:bidi="ar-SA"/>
    </w:rPr>
  </w:style>
  <w:style w:type="paragraph" w:customStyle="1" w:styleId="470">
    <w:name w:val="xl5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rPr>
  </w:style>
  <w:style w:type="paragraph" w:customStyle="1" w:styleId="471">
    <w:name w:val="Char Char Char 字元 字元"/>
    <w:basedOn w:val="1"/>
    <w:qFormat/>
    <w:uiPriority w:val="0"/>
    <w:rPr>
      <w:rFonts w:ascii="Tahoma" w:hAnsi="Tahoma"/>
      <w:sz w:val="24"/>
    </w:rPr>
  </w:style>
  <w:style w:type="paragraph" w:customStyle="1" w:styleId="472">
    <w:name w:val="标准书眉_偶数页"/>
    <w:basedOn w:val="1"/>
    <w:next w:val="1"/>
    <w:qFormat/>
    <w:uiPriority w:val="0"/>
    <w:pPr>
      <w:widowControl/>
      <w:tabs>
        <w:tab w:val="center" w:pos="4154"/>
        <w:tab w:val="right" w:pos="8306"/>
      </w:tabs>
      <w:spacing w:after="120"/>
    </w:pPr>
    <w:rPr>
      <w:kern w:val="0"/>
      <w:sz w:val="21"/>
    </w:rPr>
  </w:style>
  <w:style w:type="paragraph" w:customStyle="1" w:styleId="473">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kern w:val="0"/>
      <w:sz w:val="24"/>
    </w:rPr>
  </w:style>
  <w:style w:type="paragraph" w:customStyle="1" w:styleId="474">
    <w:name w:val="样式 正文缩进 + 首行缩进:  2 字符"/>
    <w:basedOn w:val="475"/>
    <w:qFormat/>
    <w:uiPriority w:val="99"/>
    <w:pPr>
      <w:spacing w:line="360" w:lineRule="auto"/>
      <w:ind w:firstLine="200"/>
    </w:pPr>
    <w:rPr>
      <w:rFonts w:ascii="Calibri" w:hAnsi="Calibri"/>
      <w:sz w:val="24"/>
      <w:szCs w:val="24"/>
    </w:rPr>
  </w:style>
  <w:style w:type="paragraph" w:customStyle="1" w:styleId="475">
    <w:name w:val="正文缩进_0"/>
    <w:basedOn w:val="370"/>
    <w:qFormat/>
    <w:uiPriority w:val="0"/>
    <w:pPr>
      <w:ind w:firstLine="420"/>
    </w:pPr>
    <w:rPr>
      <w:rFonts w:ascii="Times New Roman" w:hAnsi="Times New Roman"/>
      <w:kern w:val="0"/>
      <w:szCs w:val="20"/>
    </w:rPr>
  </w:style>
  <w:style w:type="paragraph" w:customStyle="1" w:styleId="476">
    <w:name w:val="列出段落2"/>
    <w:basedOn w:val="1"/>
    <w:qFormat/>
    <w:uiPriority w:val="0"/>
    <w:pPr>
      <w:spacing w:before="100" w:beforeAutospacing="1" w:after="100" w:afterAutospacing="1" w:line="300" w:lineRule="auto"/>
      <w:ind w:firstLine="420" w:firstLineChars="200"/>
    </w:pPr>
    <w:rPr>
      <w:sz w:val="21"/>
    </w:rPr>
  </w:style>
  <w:style w:type="paragraph" w:customStyle="1" w:styleId="477">
    <w:name w:val="xl5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478">
    <w:name w:val="font1"/>
    <w:basedOn w:val="1"/>
    <w:qFormat/>
    <w:uiPriority w:val="0"/>
    <w:pPr>
      <w:widowControl/>
      <w:spacing w:before="100" w:beforeAutospacing="1" w:after="100" w:afterAutospacing="1"/>
      <w:jc w:val="left"/>
    </w:pPr>
    <w:rPr>
      <w:rFonts w:ascii="宋体" w:hAnsi="宋体"/>
      <w:color w:val="000000"/>
      <w:kern w:val="0"/>
      <w:sz w:val="20"/>
    </w:rPr>
  </w:style>
  <w:style w:type="paragraph" w:customStyle="1" w:styleId="479">
    <w:name w:val="表格"/>
    <w:basedOn w:val="1"/>
    <w:qFormat/>
    <w:uiPriority w:val="0"/>
    <w:pPr>
      <w:textAlignment w:val="center"/>
    </w:pPr>
    <w:rPr>
      <w:rFonts w:ascii="华文细黑" w:hAnsi="华文细黑"/>
      <w:kern w:val="0"/>
      <w:sz w:val="21"/>
    </w:rPr>
  </w:style>
  <w:style w:type="paragraph" w:customStyle="1" w:styleId="480">
    <w:name w:val="font5"/>
    <w:basedOn w:val="1"/>
    <w:qFormat/>
    <w:uiPriority w:val="0"/>
    <w:pPr>
      <w:widowControl/>
      <w:spacing w:before="100" w:beforeAutospacing="1" w:after="100" w:afterAutospacing="1"/>
      <w:jc w:val="left"/>
    </w:pPr>
    <w:rPr>
      <w:rFonts w:hint="eastAsia" w:ascii="宋体" w:hAnsi="宋体"/>
      <w:kern w:val="0"/>
      <w:sz w:val="18"/>
    </w:rPr>
  </w:style>
  <w:style w:type="paragraph" w:customStyle="1" w:styleId="481">
    <w:name w:val="图表脚注"/>
    <w:next w:val="359"/>
    <w:qFormat/>
    <w:uiPriority w:val="0"/>
    <w:pPr>
      <w:ind w:left="300" w:leftChars="200" w:hanging="100" w:hangingChars="100"/>
      <w:jc w:val="both"/>
    </w:pPr>
    <w:rPr>
      <w:rFonts w:ascii="宋体" w:hAnsi="Calibri" w:eastAsia="宋体" w:cs="Times New Roman"/>
      <w:sz w:val="18"/>
      <w:lang w:val="en-US" w:eastAsia="zh-CN" w:bidi="ar-SA"/>
    </w:rPr>
  </w:style>
  <w:style w:type="paragraph" w:customStyle="1" w:styleId="482">
    <w:name w:val="末级"/>
    <w:basedOn w:val="1"/>
    <w:qFormat/>
    <w:uiPriority w:val="0"/>
    <w:pPr>
      <w:tabs>
        <w:tab w:val="left" w:pos="851"/>
      </w:tabs>
      <w:spacing w:line="360" w:lineRule="auto"/>
      <w:ind w:firstLine="510"/>
    </w:pPr>
    <w:rPr>
      <w:sz w:val="24"/>
    </w:rPr>
  </w:style>
  <w:style w:type="paragraph" w:customStyle="1" w:styleId="483">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484">
    <w:name w:val="Char Char Char Char Char Char Char Char Char Char Char Char Char Char Char Char Char Char Char Char Char Char Char Char Char"/>
    <w:basedOn w:val="1"/>
    <w:qFormat/>
    <w:uiPriority w:val="0"/>
    <w:rPr>
      <w:rFonts w:ascii="Tahoma" w:hAnsi="Tahoma"/>
      <w:sz w:val="24"/>
    </w:rPr>
  </w:style>
  <w:style w:type="paragraph" w:customStyle="1" w:styleId="485">
    <w:name w:val="bold_10"/>
    <w:basedOn w:val="1"/>
    <w:next w:val="1"/>
    <w:qFormat/>
    <w:uiPriority w:val="0"/>
    <w:pPr>
      <w:widowControl/>
    </w:pPr>
    <w:rPr>
      <w:rFonts w:ascii="Arial" w:hAnsi="Arial"/>
      <w:b/>
      <w:kern w:val="0"/>
      <w:sz w:val="20"/>
      <w:lang w:val="en-AU"/>
    </w:rPr>
  </w:style>
  <w:style w:type="paragraph" w:customStyle="1" w:styleId="486">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7">
    <w:name w:val="p18"/>
    <w:basedOn w:val="1"/>
    <w:qFormat/>
    <w:uiPriority w:val="99"/>
    <w:pPr>
      <w:widowControl/>
      <w:spacing w:line="500" w:lineRule="atLeast"/>
      <w:ind w:firstLine="420"/>
    </w:pPr>
    <w:rPr>
      <w:kern w:val="0"/>
      <w:szCs w:val="28"/>
    </w:rPr>
  </w:style>
  <w:style w:type="paragraph" w:customStyle="1" w:styleId="488">
    <w:name w:val="xl5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rPr>
  </w:style>
  <w:style w:type="paragraph" w:customStyle="1" w:styleId="489">
    <w:name w:val="xl5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方正姚体" w:hAnsi="宋体" w:eastAsia="方正姚体"/>
      <w:color w:val="000000"/>
      <w:kern w:val="0"/>
      <w:sz w:val="20"/>
    </w:rPr>
  </w:style>
  <w:style w:type="paragraph" w:customStyle="1" w:styleId="490">
    <w:name w:val="xl32"/>
    <w:basedOn w:val="1"/>
    <w:qFormat/>
    <w:uiPriority w:val="0"/>
    <w:pPr>
      <w:widowControl/>
      <w:spacing w:before="100" w:beforeAutospacing="1" w:after="100" w:afterAutospacing="1"/>
    </w:pPr>
    <w:rPr>
      <w:rFonts w:ascii="Arial Unicode MS" w:hAnsi="Arial Unicode MS" w:eastAsia="Arial Unicode MS"/>
      <w:b/>
      <w:kern w:val="0"/>
      <w:sz w:val="40"/>
    </w:rPr>
  </w:style>
  <w:style w:type="paragraph" w:customStyle="1" w:styleId="491">
    <w:name w:val="封面一致性程度标识"/>
    <w:qFormat/>
    <w:uiPriority w:val="0"/>
    <w:pPr>
      <w:spacing w:before="440" w:line="400" w:lineRule="exact"/>
      <w:jc w:val="center"/>
    </w:pPr>
    <w:rPr>
      <w:rFonts w:ascii="宋体" w:hAnsi="Calibri" w:eastAsia="宋体" w:cs="Times New Roman"/>
      <w:sz w:val="28"/>
      <w:lang w:val="en-US" w:eastAsia="zh-CN" w:bidi="ar-SA"/>
    </w:rPr>
  </w:style>
  <w:style w:type="paragraph" w:customStyle="1" w:styleId="492">
    <w:name w:val="Char Char3"/>
    <w:basedOn w:val="26"/>
    <w:qFormat/>
    <w:uiPriority w:val="0"/>
    <w:rPr>
      <w:rFonts w:ascii="Tahoma" w:hAnsi="Tahoma"/>
      <w:sz w:val="24"/>
    </w:rPr>
  </w:style>
  <w:style w:type="paragraph" w:customStyle="1" w:styleId="493">
    <w:name w:val="多级符号2"/>
    <w:basedOn w:val="494"/>
    <w:qFormat/>
    <w:uiPriority w:val="0"/>
    <w:pPr>
      <w:outlineLvl w:val="9"/>
    </w:pPr>
    <w:rPr>
      <w:b w:val="0"/>
      <w:sz w:val="24"/>
    </w:rPr>
  </w:style>
  <w:style w:type="paragraph" w:customStyle="1" w:styleId="494">
    <w:name w:val="多级符号1"/>
    <w:basedOn w:val="1"/>
    <w:next w:val="1"/>
    <w:qFormat/>
    <w:uiPriority w:val="0"/>
    <w:pPr>
      <w:spacing w:line="360" w:lineRule="auto"/>
      <w:jc w:val="left"/>
      <w:outlineLvl w:val="0"/>
    </w:pPr>
    <w:rPr>
      <w:rFonts w:eastAsia="仿宋_GB2312"/>
      <w:b/>
      <w:sz w:val="30"/>
    </w:rPr>
  </w:style>
  <w:style w:type="paragraph" w:customStyle="1" w:styleId="495">
    <w:name w:val="reader-word-layer reader-word-s1-9"/>
    <w:basedOn w:val="1"/>
    <w:qFormat/>
    <w:uiPriority w:val="0"/>
    <w:pPr>
      <w:widowControl/>
      <w:spacing w:before="100" w:beforeAutospacing="1" w:after="100" w:afterAutospacing="1"/>
      <w:jc w:val="left"/>
    </w:pPr>
    <w:rPr>
      <w:rFonts w:ascii="宋体" w:hAnsi="宋体"/>
      <w:kern w:val="0"/>
      <w:sz w:val="24"/>
    </w:rPr>
  </w:style>
  <w:style w:type="paragraph" w:customStyle="1" w:styleId="496">
    <w:name w:val="xl29"/>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b/>
      <w:color w:val="FF0000"/>
      <w:kern w:val="0"/>
      <w:sz w:val="24"/>
    </w:rPr>
  </w:style>
  <w:style w:type="paragraph" w:customStyle="1" w:styleId="497">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498">
    <w:name w:val="彩色底纹 - 着色 11"/>
    <w:qFormat/>
    <w:uiPriority w:val="0"/>
    <w:rPr>
      <w:rFonts w:ascii="Calibri" w:hAnsi="Calibri" w:eastAsia="宋体" w:cs="Times New Roman"/>
      <w:kern w:val="2"/>
      <w:sz w:val="21"/>
      <w:lang w:val="en-US" w:eastAsia="zh-CN" w:bidi="ar-SA"/>
    </w:rPr>
  </w:style>
  <w:style w:type="paragraph" w:customStyle="1" w:styleId="499">
    <w:name w:val="xl5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500">
    <w:name w:val="正文文字缩进 2"/>
    <w:basedOn w:val="1"/>
    <w:qFormat/>
    <w:uiPriority w:val="0"/>
    <w:pPr>
      <w:widowControl/>
      <w:spacing w:line="351" w:lineRule="atLeast"/>
      <w:ind w:firstLine="481"/>
      <w:textAlignment w:val="baseline"/>
    </w:pPr>
    <w:rPr>
      <w:rFonts w:ascii="仿宋_GB2312" w:eastAsia="仿宋_GB2312"/>
      <w:color w:val="000000"/>
      <w:kern w:val="0"/>
      <w:sz w:val="24"/>
      <w:u w:color="000000"/>
    </w:rPr>
  </w:style>
  <w:style w:type="paragraph" w:customStyle="1" w:styleId="501">
    <w:name w:val="xl558"/>
    <w:basedOn w:val="1"/>
    <w:qFormat/>
    <w:uiPriority w:val="0"/>
    <w:pPr>
      <w:widowControl/>
      <w:spacing w:before="100" w:beforeAutospacing="1" w:after="100" w:afterAutospacing="1"/>
      <w:jc w:val="left"/>
    </w:pPr>
    <w:rPr>
      <w:rFonts w:ascii="宋体" w:hAnsi="宋体"/>
      <w:kern w:val="0"/>
      <w:sz w:val="20"/>
    </w:rPr>
  </w:style>
  <w:style w:type="paragraph" w:customStyle="1" w:styleId="502">
    <w:name w:val="Table textB"/>
    <w:basedOn w:val="1"/>
    <w:next w:val="1"/>
    <w:qFormat/>
    <w:uiPriority w:val="0"/>
    <w:pPr>
      <w:widowControl/>
      <w:spacing w:before="80" w:after="80"/>
      <w:jc w:val="center"/>
    </w:pPr>
    <w:rPr>
      <w:rFonts w:ascii="Arial" w:hAnsi="Arial"/>
      <w:b/>
      <w:spacing w:val="-5"/>
      <w:kern w:val="0"/>
      <w:sz w:val="18"/>
    </w:rPr>
  </w:style>
  <w:style w:type="paragraph" w:customStyle="1" w:styleId="503">
    <w:name w:val="封面标准代替信息"/>
    <w:basedOn w:val="504"/>
    <w:qFormat/>
    <w:uiPriority w:val="0"/>
    <w:pPr>
      <w:spacing w:before="57"/>
    </w:pPr>
    <w:rPr>
      <w:rFonts w:ascii="宋体"/>
      <w:sz w:val="21"/>
    </w:rPr>
  </w:style>
  <w:style w:type="paragraph" w:customStyle="1" w:styleId="504">
    <w:name w:val="封面标准号2"/>
    <w:basedOn w:val="505"/>
    <w:qFormat/>
    <w:uiPriority w:val="0"/>
    <w:pPr>
      <w:adjustRightInd w:val="0"/>
      <w:spacing w:before="357" w:line="280" w:lineRule="exact"/>
    </w:pPr>
  </w:style>
  <w:style w:type="paragraph" w:customStyle="1" w:styleId="505">
    <w:name w:val="封面标准号1"/>
    <w:qFormat/>
    <w:uiPriority w:val="0"/>
    <w:pPr>
      <w:widowControl w:val="0"/>
      <w:kinsoku w:val="0"/>
      <w:overflowPunct w:val="0"/>
      <w:autoSpaceDE w:val="0"/>
      <w:autoSpaceDN w:val="0"/>
      <w:spacing w:before="308"/>
      <w:jc w:val="right"/>
      <w:textAlignment w:val="center"/>
    </w:pPr>
    <w:rPr>
      <w:rFonts w:ascii="Calibri" w:hAnsi="Calibri" w:eastAsia="宋体" w:cs="Times New Roman"/>
      <w:sz w:val="28"/>
      <w:lang w:val="en-US" w:eastAsia="zh-CN" w:bidi="ar-SA"/>
    </w:rPr>
  </w:style>
  <w:style w:type="paragraph" w:customStyle="1" w:styleId="506">
    <w:name w:val="flName"/>
    <w:basedOn w:val="1"/>
    <w:qFormat/>
    <w:uiPriority w:val="0"/>
    <w:pPr>
      <w:adjustRightInd w:val="0"/>
      <w:spacing w:before="320" w:after="160" w:line="360" w:lineRule="atLeast"/>
      <w:jc w:val="center"/>
      <w:textAlignment w:val="baseline"/>
    </w:pPr>
    <w:rPr>
      <w:rFonts w:ascii="Arial" w:eastAsia="黑体"/>
      <w:kern w:val="0"/>
      <w:sz w:val="32"/>
    </w:rPr>
  </w:style>
  <w:style w:type="paragraph" w:customStyle="1" w:styleId="507">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508">
    <w:name w:val="目次、标准名称标题"/>
    <w:basedOn w:val="1"/>
    <w:next w:val="359"/>
    <w:qFormat/>
    <w:uiPriority w:val="0"/>
    <w:pPr>
      <w:widowControl/>
      <w:shd w:val="clear" w:color="FFFFFF" w:fill="FFFFFF"/>
      <w:spacing w:before="640" w:after="560" w:line="460" w:lineRule="exact"/>
      <w:jc w:val="center"/>
      <w:outlineLvl w:val="0"/>
    </w:pPr>
    <w:rPr>
      <w:rFonts w:ascii="黑体" w:eastAsia="黑体"/>
      <w:kern w:val="0"/>
      <w:sz w:val="32"/>
    </w:rPr>
  </w:style>
  <w:style w:type="paragraph" w:customStyle="1" w:styleId="509">
    <w:name w:val="表中"/>
    <w:basedOn w:val="1"/>
    <w:qFormat/>
    <w:uiPriority w:val="0"/>
    <w:pPr>
      <w:autoSpaceDE w:val="0"/>
      <w:autoSpaceDN w:val="0"/>
      <w:adjustRightInd w:val="0"/>
      <w:spacing w:line="360" w:lineRule="atLeast"/>
    </w:pPr>
    <w:rPr>
      <w:rFonts w:ascii="宋体"/>
      <w:kern w:val="0"/>
      <w:sz w:val="21"/>
    </w:rPr>
  </w:style>
  <w:style w:type="paragraph" w:customStyle="1" w:styleId="510">
    <w:name w:val="1 Char Char Char"/>
    <w:basedOn w:val="1"/>
    <w:next w:val="6"/>
    <w:qFormat/>
    <w:uiPriority w:val="0"/>
    <w:pPr>
      <w:spacing w:line="500" w:lineRule="exact"/>
      <w:ind w:firstLine="200"/>
      <w:jc w:val="center"/>
    </w:pPr>
    <w:rPr>
      <w:rFonts w:ascii="仿宋_GB2312" w:hAnsi="Arial" w:eastAsia="仿宋_GB2312"/>
      <w:sz w:val="32"/>
    </w:rPr>
  </w:style>
  <w:style w:type="paragraph" w:customStyle="1" w:styleId="511">
    <w:name w:val="样式2"/>
    <w:basedOn w:val="73"/>
    <w:qFormat/>
    <w:uiPriority w:val="0"/>
    <w:pPr>
      <w:ind w:left="200" w:leftChars="200" w:hanging="200" w:hangingChars="200"/>
      <w:jc w:val="both"/>
    </w:pPr>
    <w:rPr>
      <w:rFonts w:ascii="Times New Roman" w:hAnsi="Times New Roman"/>
      <w:smallCaps w:val="0"/>
      <w:sz w:val="21"/>
    </w:rPr>
  </w:style>
  <w:style w:type="paragraph" w:customStyle="1" w:styleId="512">
    <w:name w:val="样式 标题 4 + 五号"/>
    <w:basedOn w:val="7"/>
    <w:qFormat/>
    <w:uiPriority w:val="0"/>
    <w:rPr>
      <w:kern w:val="0"/>
      <w:sz w:val="21"/>
    </w:rPr>
  </w:style>
  <w:style w:type="paragraph" w:customStyle="1" w:styleId="51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olor w:val="FF0000"/>
      <w:kern w:val="0"/>
      <w:sz w:val="24"/>
    </w:rPr>
  </w:style>
  <w:style w:type="paragraph" w:customStyle="1" w:styleId="514">
    <w:name w:val="字元 字元 Char Char Char 字元 字元 Char 字元 字元 Char Char 字元 字元1 Char Char Char Char Char Char 字元 字元"/>
    <w:basedOn w:val="1"/>
    <w:qFormat/>
    <w:uiPriority w:val="0"/>
    <w:rPr>
      <w:rFonts w:ascii="Tahoma" w:hAnsi="Tahoma"/>
      <w:sz w:val="24"/>
    </w:rPr>
  </w:style>
  <w:style w:type="paragraph" w:customStyle="1" w:styleId="515">
    <w:name w:val="Default"/>
    <w:qFormat/>
    <w:uiPriority w:val="0"/>
    <w:pPr>
      <w:widowControl w:val="0"/>
      <w:autoSpaceDE w:val="0"/>
      <w:autoSpaceDN w:val="0"/>
      <w:adjustRightInd w:val="0"/>
    </w:pPr>
    <w:rPr>
      <w:rFonts w:ascii="Arial" w:hAnsi="Arial" w:eastAsia="宋体" w:cs="Times New Roman"/>
      <w:color w:val="000000"/>
      <w:sz w:val="24"/>
      <w:lang w:val="en-US" w:eastAsia="zh-CN" w:bidi="ar-SA"/>
    </w:rPr>
  </w:style>
  <w:style w:type="paragraph" w:customStyle="1" w:styleId="516">
    <w:name w:val="Char11"/>
    <w:basedOn w:val="1"/>
    <w:qFormat/>
    <w:uiPriority w:val="0"/>
    <w:pPr>
      <w:widowControl/>
      <w:spacing w:after="160" w:line="240" w:lineRule="exact"/>
      <w:jc w:val="left"/>
    </w:pPr>
    <w:rPr>
      <w:rFonts w:ascii="Tahoma" w:hAnsi="Tahoma"/>
      <w:kern w:val="0"/>
      <w:sz w:val="24"/>
      <w:lang w:eastAsia="en-US"/>
    </w:rPr>
  </w:style>
  <w:style w:type="paragraph" w:customStyle="1" w:styleId="517">
    <w:name w:val="数字编号列项（二级）"/>
    <w:qFormat/>
    <w:uiPriority w:val="0"/>
    <w:pPr>
      <w:ind w:left="1260" w:leftChars="400" w:hanging="420" w:hangingChars="200"/>
      <w:jc w:val="both"/>
    </w:pPr>
    <w:rPr>
      <w:rFonts w:ascii="宋体" w:hAnsi="Calibri" w:eastAsia="宋体" w:cs="Times New Roman"/>
      <w:lang w:val="en-US" w:eastAsia="zh-CN" w:bidi="ar-SA"/>
    </w:rPr>
  </w:style>
  <w:style w:type="paragraph" w:customStyle="1" w:styleId="518">
    <w:name w:val="Char Char Char1 Char Char Char Char Char Char Char Char Char Char Char Char Char"/>
    <w:basedOn w:val="1"/>
    <w:qFormat/>
    <w:uiPriority w:val="0"/>
    <w:rPr>
      <w:rFonts w:ascii="Tahoma" w:hAnsi="Tahoma"/>
      <w:sz w:val="24"/>
    </w:rPr>
  </w:style>
  <w:style w:type="paragraph" w:customStyle="1" w:styleId="519">
    <w:name w:val="参考文献、索引标题"/>
    <w:basedOn w:val="448"/>
    <w:next w:val="1"/>
    <w:qFormat/>
    <w:uiPriority w:val="0"/>
    <w:pPr>
      <w:spacing w:after="200"/>
    </w:pPr>
    <w:rPr>
      <w:sz w:val="21"/>
    </w:rPr>
  </w:style>
  <w:style w:type="paragraph" w:customStyle="1" w:styleId="520">
    <w:name w:val="xl36"/>
    <w:basedOn w:val="1"/>
    <w:qFormat/>
    <w:uiPriority w:val="0"/>
    <w:pPr>
      <w:widowControl/>
      <w:pBdr>
        <w:top w:val="single" w:color="auto" w:sz="4" w:space="0"/>
        <w:left w:val="single" w:color="auto" w:sz="8" w:space="0"/>
        <w:bottom w:val="single" w:color="auto" w:sz="8" w:space="0"/>
      </w:pBdr>
      <w:spacing w:before="100" w:beforeAutospacing="1" w:after="100" w:afterAutospacing="1"/>
    </w:pPr>
    <w:rPr>
      <w:rFonts w:ascii="Arial Unicode MS" w:hAnsi="Arial Unicode MS" w:eastAsia="Arial Unicode MS"/>
      <w:b/>
      <w:kern w:val="0"/>
      <w:sz w:val="36"/>
    </w:rPr>
  </w:style>
  <w:style w:type="paragraph" w:customStyle="1" w:styleId="521">
    <w:name w:val="xl33"/>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pPr>
    <w:rPr>
      <w:rFonts w:ascii="Arial Unicode MS" w:hAnsi="Arial Unicode MS" w:eastAsia="Arial Unicode MS"/>
      <w:b/>
      <w:kern w:val="0"/>
      <w:sz w:val="36"/>
    </w:rPr>
  </w:style>
  <w:style w:type="paragraph" w:customStyle="1" w:styleId="522">
    <w:name w:val="纯文本2"/>
    <w:basedOn w:val="1"/>
    <w:qFormat/>
    <w:uiPriority w:val="0"/>
    <w:pPr>
      <w:adjustRightInd w:val="0"/>
      <w:spacing w:line="360" w:lineRule="atLeast"/>
      <w:textAlignment w:val="baseline"/>
    </w:pPr>
    <w:rPr>
      <w:rFonts w:ascii="宋体" w:hAnsi="Courier New"/>
    </w:rPr>
  </w:style>
  <w:style w:type="paragraph" w:customStyle="1" w:styleId="523">
    <w:name w:val="Körper"/>
    <w:basedOn w:val="1"/>
    <w:qFormat/>
    <w:uiPriority w:val="0"/>
    <w:pPr>
      <w:widowControl/>
      <w:spacing w:before="120" w:line="240" w:lineRule="exact"/>
    </w:pPr>
    <w:rPr>
      <w:rFonts w:ascii="Arial" w:hAnsi="Arial"/>
      <w:kern w:val="0"/>
      <w:sz w:val="20"/>
      <w:lang w:val="de-DE" w:eastAsia="de-DE"/>
    </w:rPr>
  </w:style>
  <w:style w:type="paragraph" w:customStyle="1" w:styleId="524">
    <w:name w:val="2"/>
    <w:basedOn w:val="1"/>
    <w:qFormat/>
    <w:uiPriority w:val="0"/>
    <w:rPr>
      <w:rFonts w:ascii="Tahoma" w:hAnsi="Tahoma"/>
      <w:sz w:val="24"/>
    </w:rPr>
  </w:style>
  <w:style w:type="paragraph" w:customStyle="1" w:styleId="525">
    <w:name w:val="正文2 Char Char Char Char Char Char Char Char Char Char Char Char1 Char Char Char Char Char Char Char Char1 Char Char Char Char Char Char"/>
    <w:basedOn w:val="1"/>
    <w:qFormat/>
    <w:uiPriority w:val="0"/>
    <w:pPr>
      <w:widowControl/>
      <w:spacing w:line="400" w:lineRule="exact"/>
    </w:pPr>
    <w:rPr>
      <w:rFonts w:ascii="Verdana" w:hAnsi="Verdana" w:eastAsia="楷体_GB2312"/>
      <w:kern w:val="0"/>
      <w:lang w:eastAsia="en-US"/>
    </w:rPr>
  </w:style>
  <w:style w:type="paragraph" w:customStyle="1" w:styleId="526">
    <w:name w:val="金宏发行正文 Char"/>
    <w:basedOn w:val="1"/>
    <w:qFormat/>
    <w:uiPriority w:val="99"/>
    <w:pPr>
      <w:spacing w:line="500" w:lineRule="atLeast"/>
      <w:ind w:firstLine="560" w:firstLineChars="200"/>
    </w:pPr>
    <w:rPr>
      <w:rFonts w:ascii="Times New Roman" w:hAnsi="Times New Roman" w:eastAsia="仿宋_GB2312"/>
      <w:szCs w:val="28"/>
    </w:rPr>
  </w:style>
  <w:style w:type="paragraph" w:customStyle="1" w:styleId="527">
    <w:name w:val="样式 三号 加粗 居中"/>
    <w:basedOn w:val="1"/>
    <w:qFormat/>
    <w:uiPriority w:val="0"/>
    <w:pPr>
      <w:spacing w:line="360" w:lineRule="auto"/>
      <w:jc w:val="center"/>
    </w:pPr>
    <w:rPr>
      <w:b/>
      <w:sz w:val="32"/>
    </w:rPr>
  </w:style>
  <w:style w:type="paragraph" w:customStyle="1" w:styleId="528">
    <w:name w:val="标准称谓"/>
    <w:next w:val="1"/>
    <w:qFormat/>
    <w:uiPriority w:val="0"/>
    <w:pPr>
      <w:widowControl w:val="0"/>
      <w:kinsoku w:val="0"/>
      <w:overflowPunct w:val="0"/>
      <w:autoSpaceDE w:val="0"/>
      <w:autoSpaceDN w:val="0"/>
      <w:spacing w:line="0" w:lineRule="atLeast"/>
      <w:jc w:val="distribute"/>
    </w:pPr>
    <w:rPr>
      <w:rFonts w:ascii="宋体" w:hAnsi="Calibri" w:eastAsia="宋体" w:cs="Times New Roman"/>
      <w:b/>
      <w:spacing w:val="20"/>
      <w:w w:val="148"/>
      <w:sz w:val="52"/>
      <w:lang w:val="en-US" w:eastAsia="zh-CN" w:bidi="ar-SA"/>
    </w:rPr>
  </w:style>
  <w:style w:type="paragraph" w:customStyle="1" w:styleId="529">
    <w:name w:val="标准书眉_奇数页"/>
    <w:next w:val="1"/>
    <w:qFormat/>
    <w:uiPriority w:val="0"/>
    <w:pPr>
      <w:tabs>
        <w:tab w:val="center" w:pos="4154"/>
        <w:tab w:val="right" w:pos="8306"/>
      </w:tabs>
      <w:spacing w:after="120"/>
      <w:jc w:val="right"/>
    </w:pPr>
    <w:rPr>
      <w:rFonts w:ascii="Calibri" w:hAnsi="Calibri" w:eastAsia="宋体" w:cs="Times New Roman"/>
      <w:sz w:val="21"/>
      <w:lang w:val="en-US" w:eastAsia="zh-CN" w:bidi="ar-SA"/>
    </w:rPr>
  </w:style>
  <w:style w:type="paragraph" w:customStyle="1" w:styleId="530">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楷体" w:hAnsi="华文楷体" w:eastAsia="华文楷体"/>
      <w:kern w:val="0"/>
      <w:sz w:val="24"/>
    </w:rPr>
  </w:style>
  <w:style w:type="paragraph" w:customStyle="1" w:styleId="531">
    <w:name w:val="xl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华文楷体" w:hAnsi="华文楷体" w:eastAsia="华文楷体"/>
      <w:kern w:val="0"/>
      <w:sz w:val="24"/>
    </w:rPr>
  </w:style>
  <w:style w:type="paragraph" w:customStyle="1" w:styleId="532">
    <w:name w:val="xl31"/>
    <w:basedOn w:val="1"/>
    <w:qFormat/>
    <w:uiPriority w:val="0"/>
    <w:pPr>
      <w:widowControl/>
      <w:pBdr>
        <w:bottom w:val="single" w:color="auto" w:sz="4" w:space="0"/>
      </w:pBdr>
      <w:spacing w:before="100" w:beforeAutospacing="1" w:after="100" w:afterAutospacing="1"/>
      <w:jc w:val="center"/>
    </w:pPr>
    <w:rPr>
      <w:rFonts w:ascii="宋体" w:hAnsi="宋体"/>
      <w:kern w:val="0"/>
      <w:sz w:val="24"/>
    </w:rPr>
  </w:style>
  <w:style w:type="paragraph" w:customStyle="1" w:styleId="533">
    <w:name w:val="修订2"/>
    <w:qFormat/>
    <w:uiPriority w:val="0"/>
    <w:rPr>
      <w:rFonts w:ascii="Calibri" w:hAnsi="Calibri" w:eastAsia="宋体" w:cs="Times New Roman"/>
      <w:kern w:val="2"/>
      <w:sz w:val="28"/>
      <w:lang w:val="en-US" w:eastAsia="zh-CN" w:bidi="ar-SA"/>
    </w:rPr>
  </w:style>
  <w:style w:type="paragraph" w:customStyle="1" w:styleId="534">
    <w:name w:val="标题4"/>
    <w:basedOn w:val="1"/>
    <w:qFormat/>
    <w:uiPriority w:val="0"/>
    <w:rPr>
      <w:rFonts w:eastAsia="仿宋_GB2312"/>
      <w:sz w:val="32"/>
    </w:rPr>
  </w:style>
  <w:style w:type="paragraph" w:customStyle="1" w:styleId="535">
    <w:name w:val="3级"/>
    <w:basedOn w:val="1"/>
    <w:qFormat/>
    <w:uiPriority w:val="0"/>
    <w:pPr>
      <w:snapToGrid w:val="0"/>
      <w:spacing w:afterLines="30" w:line="360" w:lineRule="auto"/>
      <w:ind w:firstLine="200" w:firstLineChars="200"/>
    </w:pPr>
    <w:rPr>
      <w:rFonts w:ascii="宋体" w:hAnsi="Tahoma"/>
      <w:b/>
      <w:color w:val="0000FF"/>
    </w:rPr>
  </w:style>
  <w:style w:type="paragraph" w:customStyle="1" w:styleId="536">
    <w:name w:val="章标题"/>
    <w:next w:val="359"/>
    <w:qFormat/>
    <w:uiPriority w:val="0"/>
    <w:pPr>
      <w:tabs>
        <w:tab w:val="left" w:pos="420"/>
        <w:tab w:val="left" w:pos="480"/>
      </w:tabs>
      <w:spacing w:beforeLines="50" w:afterLines="50"/>
      <w:ind w:left="480" w:hanging="480"/>
      <w:jc w:val="both"/>
      <w:outlineLvl w:val="1"/>
    </w:pPr>
    <w:rPr>
      <w:rFonts w:ascii="黑体" w:hAnsi="Calibri" w:eastAsia="黑体" w:cs="Times New Roman"/>
      <w:b/>
      <w:lang w:val="en-US" w:eastAsia="zh-CN" w:bidi="ar-SA"/>
    </w:rPr>
  </w:style>
  <w:style w:type="paragraph" w:customStyle="1" w:styleId="537">
    <w:name w:val="xl3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b/>
      <w:kern w:val="0"/>
      <w:sz w:val="36"/>
    </w:rPr>
  </w:style>
  <w:style w:type="paragraph" w:customStyle="1" w:styleId="538">
    <w:name w:val="图表小四中对齐"/>
    <w:basedOn w:val="1"/>
    <w:qFormat/>
    <w:uiPriority w:val="0"/>
    <w:pPr>
      <w:adjustRightInd w:val="0"/>
      <w:spacing w:line="360" w:lineRule="exact"/>
      <w:jc w:val="center"/>
      <w:textAlignment w:val="baseline"/>
    </w:pPr>
    <w:rPr>
      <w:color w:val="000000"/>
      <w:spacing w:val="-10"/>
      <w:sz w:val="24"/>
    </w:rPr>
  </w:style>
  <w:style w:type="paragraph" w:customStyle="1" w:styleId="539">
    <w:name w:val="标准书眉一"/>
    <w:qFormat/>
    <w:uiPriority w:val="0"/>
    <w:pPr>
      <w:jc w:val="both"/>
    </w:pPr>
    <w:rPr>
      <w:rFonts w:ascii="Calibri" w:hAnsi="Calibri" w:eastAsia="宋体" w:cs="Times New Roman"/>
      <w:lang w:val="en-US" w:eastAsia="zh-CN" w:bidi="ar-SA"/>
    </w:rPr>
  </w:style>
  <w:style w:type="paragraph" w:customStyle="1" w:styleId="540">
    <w:name w:val="Char Char Char Char Char Char3 Char Char Char Char Char Char Char Char Char Char"/>
    <w:basedOn w:val="1"/>
    <w:next w:val="1"/>
    <w:qFormat/>
    <w:uiPriority w:val="0"/>
    <w:rPr>
      <w:rFonts w:eastAsia="黑体"/>
    </w:rPr>
  </w:style>
  <w:style w:type="paragraph" w:customStyle="1" w:styleId="541">
    <w:name w:val="xl5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542">
    <w:name w:val="正文 New New New New"/>
    <w:qFormat/>
    <w:uiPriority w:val="0"/>
    <w:pPr>
      <w:widowControl w:val="0"/>
      <w:jc w:val="both"/>
    </w:pPr>
    <w:rPr>
      <w:rFonts w:ascii="Calibri" w:hAnsi="Calibri" w:eastAsia="宋体" w:cs="Times New Roman"/>
      <w:sz w:val="21"/>
      <w:szCs w:val="24"/>
      <w:lang w:val="en-US" w:eastAsia="zh-CN" w:bidi="ar-SA"/>
    </w:rPr>
  </w:style>
  <w:style w:type="paragraph" w:customStyle="1" w:styleId="543">
    <w:name w:val="Char Char Char Char1"/>
    <w:basedOn w:val="1"/>
    <w:qFormat/>
    <w:uiPriority w:val="0"/>
    <w:rPr>
      <w:sz w:val="21"/>
    </w:rPr>
  </w:style>
  <w:style w:type="paragraph" w:customStyle="1" w:styleId="544">
    <w:name w:val="表文C"/>
    <w:basedOn w:val="1"/>
    <w:qFormat/>
    <w:uiPriority w:val="0"/>
    <w:pPr>
      <w:widowControl/>
      <w:tabs>
        <w:tab w:val="left" w:pos="0"/>
      </w:tabs>
      <w:adjustRightInd w:val="0"/>
      <w:snapToGrid w:val="0"/>
    </w:pPr>
    <w:rPr>
      <w:snapToGrid w:val="0"/>
      <w:kern w:val="0"/>
      <w:sz w:val="21"/>
    </w:rPr>
  </w:style>
  <w:style w:type="paragraph" w:customStyle="1" w:styleId="545">
    <w:name w:val="font0"/>
    <w:basedOn w:val="1"/>
    <w:qFormat/>
    <w:uiPriority w:val="0"/>
    <w:pPr>
      <w:widowControl/>
      <w:spacing w:before="100" w:beforeAutospacing="1" w:after="100" w:afterAutospacing="1"/>
    </w:pPr>
    <w:rPr>
      <w:rFonts w:hint="eastAsia" w:ascii="宋体" w:hAnsi="宋体"/>
      <w:kern w:val="0"/>
      <w:sz w:val="24"/>
    </w:rPr>
  </w:style>
  <w:style w:type="paragraph" w:customStyle="1" w:styleId="546">
    <w:name w:val="一级条标题"/>
    <w:next w:val="359"/>
    <w:qFormat/>
    <w:uiPriority w:val="0"/>
    <w:pPr>
      <w:outlineLvl w:val="2"/>
    </w:pPr>
    <w:rPr>
      <w:rFonts w:ascii="Calibri" w:hAnsi="Calibri" w:eastAsia="黑体" w:cs="Times New Roman"/>
      <w:sz w:val="21"/>
      <w:lang w:val="en-US" w:eastAsia="zh-CN" w:bidi="ar-SA"/>
    </w:rPr>
  </w:style>
  <w:style w:type="paragraph" w:customStyle="1" w:styleId="547">
    <w:name w:val="注×："/>
    <w:qFormat/>
    <w:uiPriority w:val="0"/>
    <w:pPr>
      <w:widowControl w:val="0"/>
      <w:tabs>
        <w:tab w:val="left" w:pos="630"/>
        <w:tab w:val="left" w:pos="720"/>
      </w:tabs>
      <w:autoSpaceDE w:val="0"/>
      <w:autoSpaceDN w:val="0"/>
      <w:ind w:left="360" w:hanging="360"/>
      <w:jc w:val="both"/>
    </w:pPr>
    <w:rPr>
      <w:rFonts w:ascii="宋体" w:hAnsi="Calibri" w:eastAsia="宋体" w:cs="Times New Roman"/>
      <w:sz w:val="18"/>
      <w:lang w:val="en-US" w:eastAsia="zh-CN" w:bidi="ar-SA"/>
    </w:rPr>
  </w:style>
  <w:style w:type="paragraph" w:customStyle="1" w:styleId="548">
    <w:name w:val="投标正文"/>
    <w:basedOn w:val="1"/>
    <w:qFormat/>
    <w:uiPriority w:val="0"/>
    <w:pPr>
      <w:spacing w:line="360" w:lineRule="auto"/>
      <w:ind w:left="100" w:firstLine="480" w:firstLineChars="200"/>
    </w:pPr>
    <w:rPr>
      <w:sz w:val="24"/>
      <w:szCs w:val="24"/>
    </w:rPr>
  </w:style>
  <w:style w:type="paragraph" w:customStyle="1" w:styleId="549">
    <w:name w:val="标题 0"/>
    <w:basedOn w:val="4"/>
    <w:qFormat/>
    <w:uiPriority w:val="0"/>
    <w:pPr>
      <w:keepNext w:val="0"/>
      <w:widowControl w:val="0"/>
      <w:autoSpaceDE w:val="0"/>
      <w:autoSpaceDN w:val="0"/>
      <w:adjustRightInd w:val="0"/>
      <w:spacing w:line="240" w:lineRule="auto"/>
      <w:jc w:val="left"/>
    </w:pPr>
    <w:rPr>
      <w:rFonts w:ascii="宋体"/>
      <w:snapToGrid w:val="0"/>
      <w:color w:val="000000"/>
      <w:sz w:val="44"/>
    </w:rPr>
  </w:style>
  <w:style w:type="paragraph" w:customStyle="1" w:styleId="550">
    <w:name w:val="标准标志"/>
    <w:next w:val="1"/>
    <w:qFormat/>
    <w:uiPriority w:val="0"/>
    <w:pPr>
      <w:shd w:val="solid" w:color="FFFFFF" w:fill="FFFFFF"/>
      <w:spacing w:line="0" w:lineRule="atLeast"/>
      <w:jc w:val="right"/>
    </w:pPr>
    <w:rPr>
      <w:rFonts w:ascii="Calibri" w:hAnsi="Calibri" w:eastAsia="宋体" w:cs="Times New Roman"/>
      <w:b/>
      <w:w w:val="130"/>
      <w:sz w:val="96"/>
      <w:lang w:val="en-US" w:eastAsia="zh-CN" w:bidi="ar-SA"/>
    </w:rPr>
  </w:style>
  <w:style w:type="paragraph" w:customStyle="1" w:styleId="551">
    <w:name w:val="条文脚注"/>
    <w:basedOn w:val="67"/>
    <w:qFormat/>
    <w:uiPriority w:val="0"/>
    <w:pPr>
      <w:ind w:left="780" w:leftChars="200" w:hanging="360" w:hangingChars="200"/>
      <w:jc w:val="both"/>
    </w:pPr>
    <w:rPr>
      <w:rFonts w:ascii="宋体"/>
    </w:rPr>
  </w:style>
  <w:style w:type="paragraph" w:customStyle="1" w:styleId="552">
    <w:name w:val="HTML 地址1"/>
    <w:basedOn w:val="1"/>
    <w:qFormat/>
    <w:uiPriority w:val="0"/>
    <w:rPr>
      <w:i/>
      <w:kern w:val="0"/>
      <w:sz w:val="20"/>
    </w:rPr>
  </w:style>
  <w:style w:type="paragraph" w:customStyle="1" w:styleId="553">
    <w:name w:val="表格5"/>
    <w:basedOn w:val="554"/>
    <w:qFormat/>
    <w:uiPriority w:val="0"/>
    <w:pPr>
      <w:ind w:left="1021" w:hanging="284"/>
    </w:pPr>
    <w:rPr>
      <w:rFonts w:ascii="宋体"/>
    </w:rPr>
  </w:style>
  <w:style w:type="paragraph" w:customStyle="1" w:styleId="554">
    <w:name w:val="表格2"/>
    <w:basedOn w:val="1"/>
    <w:qFormat/>
    <w:uiPriority w:val="0"/>
    <w:pPr>
      <w:adjustRightInd w:val="0"/>
      <w:spacing w:line="420" w:lineRule="atLeast"/>
      <w:ind w:left="284" w:firstLine="454"/>
      <w:textAlignment w:val="baseline"/>
    </w:pPr>
    <w:rPr>
      <w:kern w:val="0"/>
      <w:sz w:val="21"/>
    </w:rPr>
  </w:style>
  <w:style w:type="paragraph" w:customStyle="1" w:styleId="555">
    <w:name w:val="_Style 10"/>
    <w:basedOn w:val="1"/>
    <w:next w:val="1"/>
    <w:qFormat/>
    <w:uiPriority w:val="0"/>
    <w:rPr>
      <w:sz w:val="21"/>
    </w:rPr>
  </w:style>
  <w:style w:type="paragraph" w:customStyle="1" w:styleId="556">
    <w:name w:val="Char1"/>
    <w:basedOn w:val="1"/>
    <w:qFormat/>
    <w:uiPriority w:val="0"/>
    <w:rPr>
      <w:rFonts w:ascii="仿宋_GB2312" w:eastAsia="仿宋_GB2312"/>
      <w:b/>
      <w:sz w:val="32"/>
    </w:rPr>
  </w:style>
  <w:style w:type="paragraph" w:customStyle="1" w:styleId="557">
    <w:name w:val="Char Char Char Char Char Char Char Char Char Char Char Char1 Char"/>
    <w:basedOn w:val="26"/>
    <w:qFormat/>
    <w:uiPriority w:val="0"/>
    <w:rPr>
      <w:rFonts w:ascii="等线" w:hAnsi="等线"/>
      <w:sz w:val="21"/>
    </w:rPr>
  </w:style>
  <w:style w:type="paragraph" w:customStyle="1" w:styleId="558">
    <w:name w:val="Char Char2"/>
    <w:basedOn w:val="1"/>
    <w:qFormat/>
    <w:uiPriority w:val="0"/>
    <w:rPr>
      <w:rFonts w:ascii="Tahoma" w:hAnsi="Tahoma"/>
      <w:sz w:val="24"/>
    </w:rPr>
  </w:style>
  <w:style w:type="paragraph" w:customStyle="1" w:styleId="559">
    <w:name w:val="目录1"/>
    <w:basedOn w:val="1"/>
    <w:qFormat/>
    <w:uiPriority w:val="0"/>
    <w:pPr>
      <w:adjustRightInd w:val="0"/>
      <w:spacing w:line="420" w:lineRule="atLeast"/>
      <w:textAlignment w:val="baseline"/>
    </w:pPr>
    <w:rPr>
      <w:rFonts w:eastAsia="黑体"/>
      <w:b/>
      <w:kern w:val="0"/>
      <w:sz w:val="21"/>
    </w:rPr>
  </w:style>
  <w:style w:type="paragraph" w:customStyle="1" w:styleId="560">
    <w:name w:val="收件单位"/>
    <w:basedOn w:val="1"/>
    <w:qFormat/>
    <w:uiPriority w:val="0"/>
    <w:pPr>
      <w:tabs>
        <w:tab w:val="left" w:pos="1365"/>
      </w:tabs>
      <w:spacing w:beforeLines="100"/>
    </w:pPr>
    <w:rPr>
      <w:rFonts w:eastAsia="华文仿宋"/>
      <w:sz w:val="30"/>
    </w:rPr>
  </w:style>
  <w:style w:type="paragraph" w:customStyle="1" w:styleId="561">
    <w:name w:val="表内居中"/>
    <w:qFormat/>
    <w:uiPriority w:val="0"/>
    <w:pPr>
      <w:jc w:val="center"/>
    </w:pPr>
    <w:rPr>
      <w:rFonts w:ascii="Calibri" w:hAnsi="Calibri" w:eastAsia="宋体" w:cs="Times New Roman"/>
      <w:lang w:val="en-US" w:eastAsia="zh-CN" w:bidi="ar-SA"/>
    </w:rPr>
  </w:style>
  <w:style w:type="paragraph" w:customStyle="1" w:styleId="562">
    <w:name w:val="封面标准英文名称"/>
    <w:qFormat/>
    <w:uiPriority w:val="0"/>
    <w:pPr>
      <w:widowControl w:val="0"/>
      <w:spacing w:before="370" w:line="400" w:lineRule="exact"/>
      <w:jc w:val="center"/>
    </w:pPr>
    <w:rPr>
      <w:rFonts w:ascii="Calibri" w:hAnsi="Calibri" w:eastAsia="宋体" w:cs="Times New Roman"/>
      <w:sz w:val="28"/>
      <w:lang w:val="en-US" w:eastAsia="zh-CN" w:bidi="ar-SA"/>
    </w:rPr>
  </w:style>
  <w:style w:type="paragraph" w:customStyle="1" w:styleId="563">
    <w:name w:val="文献分类号"/>
    <w:qFormat/>
    <w:uiPriority w:val="0"/>
    <w:pPr>
      <w:widowControl w:val="0"/>
      <w:textAlignment w:val="center"/>
    </w:pPr>
    <w:rPr>
      <w:rFonts w:ascii="Calibri" w:hAnsi="Calibri" w:eastAsia="黑体" w:cs="Times New Roman"/>
      <w:sz w:val="21"/>
      <w:lang w:val="en-US" w:eastAsia="zh-CN" w:bidi="ar-SA"/>
    </w:rPr>
  </w:style>
  <w:style w:type="paragraph" w:customStyle="1" w:styleId="564">
    <w:name w:val="封面正文"/>
    <w:qFormat/>
    <w:uiPriority w:val="0"/>
    <w:pPr>
      <w:jc w:val="both"/>
    </w:pPr>
    <w:rPr>
      <w:rFonts w:ascii="Calibri" w:hAnsi="Calibri" w:eastAsia="宋体" w:cs="Times New Roman"/>
      <w:lang w:val="en-US" w:eastAsia="zh-CN" w:bidi="ar-SA"/>
    </w:rPr>
  </w:style>
  <w:style w:type="paragraph" w:customStyle="1" w:styleId="565">
    <w:name w:val="表格1"/>
    <w:basedOn w:val="1"/>
    <w:qFormat/>
    <w:uiPriority w:val="0"/>
    <w:pPr>
      <w:adjustRightInd w:val="0"/>
      <w:spacing w:line="420" w:lineRule="atLeast"/>
      <w:ind w:left="284"/>
      <w:textAlignment w:val="baseline"/>
    </w:pPr>
    <w:rPr>
      <w:kern w:val="0"/>
      <w:sz w:val="21"/>
    </w:rPr>
  </w:style>
  <w:style w:type="paragraph" w:customStyle="1" w:styleId="56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567">
    <w:name w:val="xl27"/>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1"/>
    </w:rPr>
  </w:style>
  <w:style w:type="paragraph" w:customStyle="1" w:styleId="568">
    <w:name w:val="xl28"/>
    <w:basedOn w:val="1"/>
    <w:qFormat/>
    <w:uiPriority w:val="0"/>
    <w:pPr>
      <w:widowControl/>
      <w:pBdr>
        <w:top w:val="single" w:color="auto" w:sz="4" w:space="0"/>
        <w:left w:val="single" w:color="auto" w:sz="4" w:space="0"/>
        <w:bottom w:val="single" w:color="auto" w:sz="4" w:space="0"/>
        <w:right w:val="single" w:color="auto" w:sz="8" w:space="0"/>
      </w:pBdr>
      <w:shd w:val="clear" w:color="auto" w:fill="C0C0C0"/>
      <w:spacing w:before="100" w:beforeAutospacing="1" w:after="100" w:afterAutospacing="1"/>
    </w:pPr>
    <w:rPr>
      <w:rFonts w:ascii="Arial Unicode MS" w:hAnsi="Arial Unicode MS" w:eastAsia="Arial Unicode MS"/>
      <w:kern w:val="0"/>
      <w:sz w:val="24"/>
    </w:rPr>
  </w:style>
  <w:style w:type="paragraph" w:customStyle="1" w:styleId="569">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olor w:val="000000"/>
      <w:kern w:val="0"/>
      <w:sz w:val="21"/>
    </w:rPr>
  </w:style>
  <w:style w:type="paragraph" w:customStyle="1" w:styleId="570">
    <w:name w:val="附录表标题"/>
    <w:next w:val="359"/>
    <w:qFormat/>
    <w:uiPriority w:val="0"/>
    <w:pPr>
      <w:tabs>
        <w:tab w:val="left" w:pos="360"/>
        <w:tab w:val="left" w:pos="720"/>
      </w:tabs>
      <w:jc w:val="center"/>
      <w:textAlignment w:val="baseline"/>
    </w:pPr>
    <w:rPr>
      <w:rFonts w:ascii="黑体" w:hAnsi="Calibri" w:eastAsia="黑体" w:cs="Times New Roman"/>
      <w:kern w:val="21"/>
      <w:lang w:val="en-US" w:eastAsia="zh-CN" w:bidi="ar-SA"/>
    </w:rPr>
  </w:style>
  <w:style w:type="paragraph" w:customStyle="1" w:styleId="571">
    <w:name w:val="_Style 32"/>
    <w:basedOn w:val="1"/>
    <w:next w:val="440"/>
    <w:qFormat/>
    <w:uiPriority w:val="34"/>
    <w:pPr>
      <w:ind w:firstLine="420" w:firstLineChars="200"/>
    </w:pPr>
  </w:style>
  <w:style w:type="paragraph" w:customStyle="1" w:styleId="572">
    <w:name w:val="日期1"/>
    <w:basedOn w:val="1"/>
    <w:next w:val="1"/>
    <w:qFormat/>
    <w:uiPriority w:val="0"/>
    <w:pPr>
      <w:ind w:left="100" w:leftChars="2500"/>
    </w:pPr>
    <w:rPr>
      <w:kern w:val="0"/>
      <w:sz w:val="20"/>
    </w:rPr>
  </w:style>
  <w:style w:type="paragraph" w:customStyle="1" w:styleId="573">
    <w:name w:val="xl5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FF0000"/>
      <w:kern w:val="0"/>
      <w:sz w:val="20"/>
    </w:rPr>
  </w:style>
  <w:style w:type="paragraph" w:customStyle="1" w:styleId="574">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575">
    <w:name w:val="font6"/>
    <w:basedOn w:val="1"/>
    <w:qFormat/>
    <w:uiPriority w:val="0"/>
    <w:pPr>
      <w:widowControl/>
      <w:spacing w:before="100" w:beforeAutospacing="1" w:after="100" w:afterAutospacing="1"/>
    </w:pPr>
    <w:rPr>
      <w:rFonts w:hint="eastAsia" w:ascii="宋体" w:hAnsi="宋体"/>
      <w:b/>
      <w:kern w:val="0"/>
      <w:sz w:val="36"/>
      <w:u w:val="single"/>
    </w:rPr>
  </w:style>
  <w:style w:type="paragraph" w:customStyle="1" w:styleId="576">
    <w:name w:val="列项——（一级）"/>
    <w:qFormat/>
    <w:uiPriority w:val="0"/>
    <w:pPr>
      <w:widowControl w:val="0"/>
      <w:tabs>
        <w:tab w:val="left" w:pos="720"/>
        <w:tab w:val="left" w:pos="854"/>
      </w:tabs>
      <w:ind w:left="200" w:leftChars="200" w:hanging="200" w:hangingChars="200"/>
      <w:jc w:val="both"/>
    </w:pPr>
    <w:rPr>
      <w:rFonts w:ascii="宋体" w:hAnsi="Calibri" w:eastAsia="宋体" w:cs="Times New Roman"/>
      <w:lang w:val="en-US" w:eastAsia="zh-CN" w:bidi="ar-SA"/>
    </w:rPr>
  </w:style>
  <w:style w:type="paragraph" w:customStyle="1" w:styleId="577">
    <w:name w:val="19"/>
    <w:basedOn w:val="1"/>
    <w:qFormat/>
    <w:uiPriority w:val="0"/>
    <w:pPr>
      <w:widowControl/>
      <w:snapToGrid w:val="0"/>
      <w:spacing w:before="100" w:beforeAutospacing="1" w:after="120" w:line="360" w:lineRule="atLeast"/>
      <w:jc w:val="left"/>
    </w:pPr>
    <w:rPr>
      <w:rFonts w:ascii="宋体" w:hAnsi="宋体"/>
      <w:kern w:val="0"/>
    </w:rPr>
  </w:style>
  <w:style w:type="paragraph" w:customStyle="1" w:styleId="578">
    <w:name w:val="附录五级条标题"/>
    <w:basedOn w:val="411"/>
    <w:next w:val="359"/>
    <w:qFormat/>
    <w:uiPriority w:val="0"/>
    <w:pPr>
      <w:outlineLvl w:val="6"/>
    </w:pPr>
  </w:style>
  <w:style w:type="paragraph" w:customStyle="1" w:styleId="579">
    <w:name w:val="彩色底纹 - 强调文字颜色 11"/>
    <w:qFormat/>
    <w:uiPriority w:val="0"/>
    <w:rPr>
      <w:rFonts w:ascii="Calibri" w:hAnsi="Calibri" w:eastAsia="宋体" w:cs="Times New Roman"/>
      <w:kern w:val="2"/>
      <w:sz w:val="21"/>
      <w:lang w:val="en-US" w:eastAsia="zh-CN" w:bidi="ar-SA"/>
    </w:rPr>
  </w:style>
  <w:style w:type="paragraph" w:customStyle="1" w:styleId="580">
    <w:name w:val="xl559"/>
    <w:basedOn w:val="1"/>
    <w:qFormat/>
    <w:uiPriority w:val="0"/>
    <w:pPr>
      <w:widowControl/>
      <w:spacing w:before="100" w:beforeAutospacing="1" w:after="100" w:afterAutospacing="1"/>
      <w:jc w:val="center"/>
    </w:pPr>
    <w:rPr>
      <w:rFonts w:ascii="宋体" w:hAnsi="宋体"/>
      <w:color w:val="000000"/>
      <w:kern w:val="0"/>
      <w:sz w:val="20"/>
    </w:rPr>
  </w:style>
  <w:style w:type="paragraph" w:customStyle="1" w:styleId="581">
    <w:name w:val="正文内"/>
    <w:basedOn w:val="1"/>
    <w:qFormat/>
    <w:uiPriority w:val="0"/>
    <w:pPr>
      <w:spacing w:line="400" w:lineRule="exact"/>
      <w:ind w:firstLine="200" w:firstLineChars="200"/>
    </w:pPr>
    <w:rPr>
      <w:rFonts w:ascii="宋体" w:hAnsi="宋体"/>
      <w:sz w:val="21"/>
    </w:rPr>
  </w:style>
  <w:style w:type="paragraph" w:customStyle="1" w:styleId="582">
    <w:name w:val="表"/>
    <w:basedOn w:val="1"/>
    <w:qFormat/>
    <w:uiPriority w:val="0"/>
    <w:pPr>
      <w:spacing w:line="360" w:lineRule="auto"/>
      <w:jc w:val="center"/>
    </w:pPr>
    <w:rPr>
      <w:color w:val="000000"/>
      <w:sz w:val="21"/>
    </w:rPr>
  </w:style>
  <w:style w:type="paragraph" w:customStyle="1" w:styleId="583">
    <w:name w:val="附录标识"/>
    <w:basedOn w:val="448"/>
    <w:qFormat/>
    <w:uiPriority w:val="0"/>
    <w:pPr>
      <w:tabs>
        <w:tab w:val="left" w:pos="720"/>
        <w:tab w:val="left" w:pos="6405"/>
      </w:tabs>
      <w:spacing w:after="200"/>
      <w:ind w:left="360" w:hanging="360"/>
    </w:pPr>
    <w:rPr>
      <w:sz w:val="21"/>
    </w:rPr>
  </w:style>
  <w:style w:type="paragraph" w:customStyle="1" w:styleId="584">
    <w:name w:val="正文 A"/>
    <w:qFormat/>
    <w:uiPriority w:val="0"/>
    <w:rPr>
      <w:rFonts w:ascii="Calibri" w:hAnsi="Calibri" w:eastAsia="ヒラギノ角ゴ Pro W3" w:cs="Times New Roman"/>
      <w:color w:val="000000"/>
      <w:sz w:val="24"/>
      <w:lang w:val="en-US" w:eastAsia="zh-CN" w:bidi="ar-SA"/>
    </w:rPr>
  </w:style>
  <w:style w:type="paragraph" w:customStyle="1" w:styleId="585">
    <w:name w:val="标题C"/>
    <w:qFormat/>
    <w:uiPriority w:val="0"/>
    <w:pPr>
      <w:tabs>
        <w:tab w:val="left" w:pos="0"/>
      </w:tabs>
      <w:adjustRightInd w:val="0"/>
      <w:snapToGrid w:val="0"/>
      <w:spacing w:before="300"/>
      <w:outlineLvl w:val="2"/>
    </w:pPr>
    <w:rPr>
      <w:rFonts w:ascii="Calibri" w:hAnsi="Calibri" w:eastAsia="宋体" w:cs="Times New Roman"/>
      <w:b/>
      <w:snapToGrid w:val="0"/>
      <w:sz w:val="28"/>
      <w:lang w:val="en-US" w:eastAsia="zh-CN" w:bidi="ar-SA"/>
    </w:rPr>
  </w:style>
  <w:style w:type="paragraph" w:customStyle="1" w:styleId="58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587">
    <w:name w:val="默认段落字体 Para Char"/>
    <w:basedOn w:val="1"/>
    <w:qFormat/>
    <w:uiPriority w:val="0"/>
    <w:pPr>
      <w:tabs>
        <w:tab w:val="left" w:pos="425"/>
      </w:tabs>
      <w:ind w:left="425" w:hanging="425"/>
    </w:pPr>
    <w:rPr>
      <w:sz w:val="21"/>
    </w:rPr>
  </w:style>
  <w:style w:type="paragraph" w:customStyle="1" w:styleId="588">
    <w:name w:val="封面标准文稿类别"/>
    <w:qFormat/>
    <w:uiPriority w:val="0"/>
    <w:pPr>
      <w:spacing w:before="440" w:line="400" w:lineRule="exact"/>
      <w:jc w:val="center"/>
    </w:pPr>
    <w:rPr>
      <w:rFonts w:ascii="宋体" w:hAnsi="Calibri" w:eastAsia="宋体" w:cs="Times New Roman"/>
      <w:sz w:val="24"/>
      <w:lang w:val="en-US" w:eastAsia="zh-CN" w:bidi="ar-SA"/>
    </w:rPr>
  </w:style>
  <w:style w:type="paragraph" w:customStyle="1" w:styleId="589">
    <w:name w:val="_Style 40"/>
    <w:basedOn w:val="1"/>
    <w:qFormat/>
    <w:uiPriority w:val="0"/>
    <w:rPr>
      <w:sz w:val="21"/>
    </w:rPr>
  </w:style>
  <w:style w:type="paragraph" w:customStyle="1" w:styleId="590">
    <w:name w:val="af15hichaf0dbchf15cgrid"/>
    <w:qFormat/>
    <w:uiPriority w:val="0"/>
    <w:pPr>
      <w:widowControl w:val="0"/>
      <w:tabs>
        <w:tab w:val="center" w:pos="4320"/>
        <w:tab w:val="right" w:pos="8640"/>
      </w:tabs>
      <w:adjustRightInd w:val="0"/>
      <w:spacing w:line="315" w:lineRule="atLeast"/>
      <w:jc w:val="both"/>
      <w:textAlignment w:val="baseline"/>
    </w:pPr>
    <w:rPr>
      <w:rFonts w:ascii="宋体" w:hAnsi="Calibri" w:eastAsia="宋体" w:cs="Times New Roman"/>
      <w:sz w:val="21"/>
      <w:lang w:val="en-US" w:eastAsia="zh-CN" w:bidi="ar-SA"/>
    </w:rPr>
  </w:style>
  <w:style w:type="paragraph" w:customStyle="1" w:styleId="591">
    <w:name w:val="注："/>
    <w:next w:val="359"/>
    <w:qFormat/>
    <w:uiPriority w:val="0"/>
    <w:pPr>
      <w:widowControl w:val="0"/>
      <w:tabs>
        <w:tab w:val="left" w:pos="720"/>
      </w:tabs>
      <w:autoSpaceDE w:val="0"/>
      <w:autoSpaceDN w:val="0"/>
      <w:ind w:left="360" w:hanging="360"/>
      <w:jc w:val="both"/>
    </w:pPr>
    <w:rPr>
      <w:rFonts w:ascii="宋体" w:hAnsi="Calibri" w:eastAsia="宋体" w:cs="Times New Roman"/>
      <w:sz w:val="18"/>
      <w:lang w:val="en-US" w:eastAsia="zh-CN" w:bidi="ar-SA"/>
    </w:rPr>
  </w:style>
  <w:style w:type="paragraph" w:customStyle="1" w:styleId="592">
    <w:name w:val="font7"/>
    <w:basedOn w:val="1"/>
    <w:qFormat/>
    <w:uiPriority w:val="0"/>
    <w:pPr>
      <w:widowControl/>
      <w:spacing w:before="100" w:beforeAutospacing="1" w:after="100" w:afterAutospacing="1"/>
    </w:pPr>
    <w:rPr>
      <w:rFonts w:hint="eastAsia" w:ascii="宋体" w:hAnsi="宋体"/>
      <w:kern w:val="0"/>
      <w:sz w:val="24"/>
    </w:rPr>
  </w:style>
  <w:style w:type="paragraph" w:customStyle="1" w:styleId="593">
    <w:name w:val="彩色列表 - 强调文字颜色 12"/>
    <w:basedOn w:val="1"/>
    <w:qFormat/>
    <w:uiPriority w:val="0"/>
    <w:pPr>
      <w:ind w:firstLine="420" w:firstLineChars="200"/>
    </w:pPr>
    <w:rPr>
      <w:sz w:val="21"/>
    </w:rPr>
  </w:style>
  <w:style w:type="paragraph" w:customStyle="1" w:styleId="594">
    <w:name w:val="xl5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方正姚体" w:hAnsi="宋体" w:eastAsia="方正姚体"/>
      <w:kern w:val="0"/>
      <w:sz w:val="20"/>
    </w:rPr>
  </w:style>
  <w:style w:type="paragraph" w:customStyle="1" w:styleId="595">
    <w:name w:val="xl37"/>
    <w:basedOn w:val="1"/>
    <w:qFormat/>
    <w:uiPriority w:val="0"/>
    <w:pPr>
      <w:widowControl/>
      <w:pBdr>
        <w:top w:val="single" w:color="auto" w:sz="4" w:space="0"/>
        <w:bottom w:val="single" w:color="auto" w:sz="8" w:space="0"/>
      </w:pBdr>
      <w:spacing w:before="100" w:beforeAutospacing="1" w:after="100" w:afterAutospacing="1"/>
    </w:pPr>
    <w:rPr>
      <w:rFonts w:ascii="Arial Unicode MS" w:hAnsi="Arial Unicode MS" w:eastAsia="Arial Unicode MS"/>
      <w:b/>
      <w:kern w:val="0"/>
      <w:sz w:val="36"/>
    </w:rPr>
  </w:style>
  <w:style w:type="paragraph" w:customStyle="1" w:styleId="596">
    <w:name w:val="正文样式"/>
    <w:basedOn w:val="1"/>
    <w:qFormat/>
    <w:uiPriority w:val="0"/>
    <w:pPr>
      <w:ind w:firstLine="480" w:firstLineChars="200"/>
    </w:pPr>
    <w:rPr>
      <w:rFonts w:eastAsia="华文仿宋"/>
      <w:szCs w:val="24"/>
    </w:rPr>
  </w:style>
  <w:style w:type="paragraph" w:customStyle="1" w:styleId="597">
    <w:name w:val="标题D"/>
    <w:qFormat/>
    <w:uiPriority w:val="0"/>
    <w:pPr>
      <w:adjustRightInd w:val="0"/>
      <w:snapToGrid w:val="0"/>
      <w:spacing w:before="240" w:line="360" w:lineRule="auto"/>
      <w:outlineLvl w:val="3"/>
    </w:pPr>
    <w:rPr>
      <w:rFonts w:ascii="Calibri" w:hAnsi="Calibri" w:eastAsia="宋体" w:cs="Times New Roman"/>
      <w:b/>
      <w:sz w:val="24"/>
      <w:lang w:val="en-US" w:eastAsia="zh-CN" w:bidi="ar-SA"/>
    </w:rPr>
  </w:style>
  <w:style w:type="paragraph" w:customStyle="1" w:styleId="598">
    <w:name w:val="正文图标题"/>
    <w:next w:val="359"/>
    <w:qFormat/>
    <w:uiPriority w:val="0"/>
    <w:pPr>
      <w:tabs>
        <w:tab w:val="left" w:pos="720"/>
      </w:tabs>
      <w:ind w:left="780" w:hanging="360"/>
      <w:jc w:val="center"/>
    </w:pPr>
    <w:rPr>
      <w:rFonts w:ascii="黑体" w:hAnsi="Calibri" w:eastAsia="黑体" w:cs="Times New Roman"/>
      <w:lang w:val="en-US" w:eastAsia="zh-CN" w:bidi="ar-SA"/>
    </w:rPr>
  </w:style>
  <w:style w:type="paragraph" w:customStyle="1" w:styleId="599">
    <w:name w:val="表格一"/>
    <w:basedOn w:val="1"/>
    <w:qFormat/>
    <w:uiPriority w:val="0"/>
    <w:pPr>
      <w:spacing w:line="240" w:lineRule="exact"/>
      <w:ind w:left="105" w:leftChars="50"/>
    </w:pPr>
    <w:rPr>
      <w:sz w:val="18"/>
    </w:rPr>
  </w:style>
  <w:style w:type="paragraph" w:customStyle="1" w:styleId="600">
    <w:name w:val="[Normal]"/>
    <w:qFormat/>
    <w:uiPriority w:val="0"/>
    <w:rPr>
      <w:rFonts w:ascii="宋体" w:hAnsi="宋体" w:eastAsia="宋体" w:cs="Times New Roman"/>
      <w:sz w:val="24"/>
      <w:szCs w:val="22"/>
      <w:lang w:val="zh-CN" w:eastAsia="zh-CN" w:bidi="ar-SA"/>
    </w:rPr>
  </w:style>
  <w:style w:type="paragraph" w:customStyle="1" w:styleId="601">
    <w:name w:val="moban"/>
    <w:basedOn w:val="1"/>
    <w:qFormat/>
    <w:uiPriority w:val="0"/>
    <w:pPr>
      <w:pBdr>
        <w:bottom w:val="single" w:color="auto" w:sz="4" w:space="5"/>
      </w:pBdr>
      <w:spacing w:line="360" w:lineRule="auto"/>
    </w:pPr>
  </w:style>
  <w:style w:type="character" w:customStyle="1" w:styleId="602">
    <w:name w:val="large1"/>
    <w:qFormat/>
    <w:uiPriority w:val="0"/>
    <w:rPr>
      <w:rFonts w:hint="eastAsia" w:ascii="宋体" w:hAnsi="宋体" w:eastAsia="宋体"/>
      <w:sz w:val="21"/>
      <w:szCs w:val="21"/>
    </w:rPr>
  </w:style>
  <w:style w:type="paragraph" w:customStyle="1" w:styleId="603">
    <w:name w:val="正文缩进2格"/>
    <w:qFormat/>
    <w:uiPriority w:val="99"/>
    <w:pPr>
      <w:widowControl w:val="0"/>
      <w:pBdr>
        <w:top w:val="none" w:color="FFFFFF" w:sz="0" w:space="31"/>
        <w:left w:val="none" w:color="FFFFFF" w:sz="0" w:space="31"/>
        <w:bottom w:val="none" w:color="FFFFFF" w:sz="0" w:space="31"/>
        <w:right w:val="none" w:color="FFFFFF" w:sz="0" w:space="31"/>
      </w:pBdr>
      <w:spacing w:line="600" w:lineRule="exact"/>
      <w:ind w:firstLine="639"/>
      <w:jc w:val="both"/>
    </w:pPr>
    <w:rPr>
      <w:rFonts w:ascii="??_GB2312" w:hAnsi="??_GB2312" w:eastAsia="宋体" w:cs="??_GB2312"/>
      <w:color w:val="000000"/>
      <w:kern w:val="2"/>
      <w:sz w:val="31"/>
      <w:szCs w:val="31"/>
      <w:u w:color="000000"/>
      <w:lang w:val="en-US" w:eastAsia="zh-CN" w:bidi="ar-SA"/>
    </w:rPr>
  </w:style>
  <w:style w:type="paragraph" w:customStyle="1" w:styleId="604">
    <w:name w:val="Table Paragraph"/>
    <w:basedOn w:val="1"/>
    <w:qFormat/>
    <w:uiPriority w:val="1"/>
    <w:rPr>
      <w:rFonts w:ascii="宋体" w:hAnsi="宋体" w:cs="宋体"/>
      <w:lang w:val="zh-CN" w:bidi="zh-CN"/>
    </w:rPr>
  </w:style>
  <w:style w:type="character" w:customStyle="1" w:styleId="605">
    <w:name w:val="Hyperlink.3"/>
    <w:basedOn w:val="606"/>
    <w:qFormat/>
    <w:uiPriority w:val="99"/>
    <w:rPr>
      <w:rFonts w:ascii="宋体" w:hAnsi="宋体" w:eastAsia="宋体" w:cs="宋体"/>
      <w:lang w:val="en-US"/>
    </w:rPr>
  </w:style>
  <w:style w:type="character" w:customStyle="1" w:styleId="606">
    <w:name w:val="无"/>
    <w:qFormat/>
    <w:uiPriority w:val="99"/>
  </w:style>
  <w:style w:type="paragraph" w:customStyle="1" w:styleId="607">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8">
    <w:name w:val="标题3"/>
    <w:basedOn w:val="6"/>
    <w:qFormat/>
    <w:uiPriority w:val="0"/>
    <w:pPr>
      <w:numPr>
        <w:ilvl w:val="2"/>
        <w:numId w:val="1"/>
      </w:numPr>
      <w:adjustRightInd w:val="0"/>
      <w:snapToGrid w:val="0"/>
      <w:spacing w:before="200" w:after="200"/>
    </w:pPr>
    <w:rPr>
      <w:rFonts w:ascii="Times New Roman" w:hAnsi="Times New Roman"/>
      <w:snapToGrid w:val="0"/>
      <w:sz w:val="30"/>
    </w:rPr>
  </w:style>
  <w:style w:type="paragraph" w:customStyle="1" w:styleId="609">
    <w:name w:val="国普正文"/>
    <w:basedOn w:val="1"/>
    <w:qFormat/>
    <w:uiPriority w:val="0"/>
    <w:pPr>
      <w:spacing w:line="360" w:lineRule="auto"/>
      <w:ind w:firstLine="600" w:firstLineChars="200"/>
    </w:pPr>
    <w:rPr>
      <w:rFonts w:ascii="仿宋_GB2312" w:eastAsia="仿宋_GB2312"/>
      <w:sz w:val="30"/>
      <w:szCs w:val="30"/>
    </w:rPr>
  </w:style>
  <w:style w:type="paragraph" w:customStyle="1" w:styleId="610">
    <w:name w:val="Body text|1"/>
    <w:basedOn w:val="1"/>
    <w:qFormat/>
    <w:uiPriority w:val="0"/>
    <w:pPr>
      <w:spacing w:line="401" w:lineRule="auto"/>
      <w:ind w:firstLine="400"/>
    </w:pPr>
    <w:rPr>
      <w:rFonts w:ascii="宋体" w:hAnsi="宋体" w:cs="宋体"/>
      <w:sz w:val="30"/>
      <w:szCs w:val="30"/>
      <w:lang w:val="zh-TW" w:eastAsia="zh-TW" w:bidi="zh-TW"/>
    </w:rPr>
  </w:style>
  <w:style w:type="paragraph" w:customStyle="1" w:styleId="611">
    <w:name w:val="默认"/>
    <w:qFormat/>
    <w:uiPriority w:val="0"/>
    <w:rPr>
      <w:rFonts w:ascii="Arial Unicode MS" w:hAnsi="Arial Unicode MS" w:eastAsia="Arial Unicode MS" w:cs="Arial Unicode MS"/>
      <w:color w:val="000000"/>
      <w:sz w:val="22"/>
      <w:szCs w:val="22"/>
      <w:lang w:val="zh-TW" w:eastAsia="zh-TW" w:bidi="ar-SA"/>
    </w:rPr>
  </w:style>
  <w:style w:type="paragraph" w:customStyle="1" w:styleId="612">
    <w:name w:val="列表段落1"/>
    <w:basedOn w:val="1"/>
    <w:qFormat/>
    <w:uiPriority w:val="34"/>
    <w:pPr>
      <w:ind w:firstLine="420" w:firstLineChars="200"/>
    </w:pPr>
    <w:rPr>
      <w:rFonts w:asciiTheme="minorHAnsi" w:hAnsiTheme="minorHAnsi" w:eastAsiaTheme="minorEastAsia" w:cstheme="minorBidi"/>
      <w:szCs w:val="22"/>
    </w:rPr>
  </w:style>
  <w:style w:type="paragraph" w:customStyle="1" w:styleId="613">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paragraph" w:customStyle="1" w:styleId="614">
    <w:name w:val="样式 宋体 行距: 固定值 20 磅 首行缩进:  2 字符"/>
    <w:basedOn w:val="1"/>
    <w:qFormat/>
    <w:uiPriority w:val="0"/>
    <w:pPr>
      <w:spacing w:line="400" w:lineRule="exact"/>
      <w:ind w:firstLine="435" w:firstLineChars="207"/>
    </w:pPr>
    <w:rPr>
      <w:rFonts w:ascii="宋体" w:hAnsi="宋体" w:cs="宋体"/>
    </w:rPr>
  </w:style>
  <w:style w:type="paragraph" w:customStyle="1" w:styleId="615">
    <w:name w:val="Revision"/>
    <w:hidden/>
    <w:unhideWhenUsed/>
    <w:qFormat/>
    <w:uiPriority w:val="99"/>
    <w:rPr>
      <w:rFonts w:ascii="Calibri" w:hAnsi="Calibri" w:eastAsia="宋体" w:cs="Times New Roman"/>
      <w:kern w:val="2"/>
      <w:sz w:val="28"/>
      <w:lang w:val="en-US" w:eastAsia="zh-CN" w:bidi="ar-SA"/>
    </w:rPr>
  </w:style>
  <w:style w:type="paragraph" w:styleId="6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C16B34-28DB-4D1E-9906-8BD5974CAE5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73</Pages>
  <Words>42327</Words>
  <Characters>45813</Characters>
  <Lines>2007</Lines>
  <Paragraphs>1959</Paragraphs>
  <TotalTime>12</TotalTime>
  <ScaleCrop>false</ScaleCrop>
  <LinksUpToDate>false</LinksUpToDate>
  <CharactersWithSpaces>47784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2020-07-14T03:29:00Z</dcterms:created>
  <dc:creator>yht</dc:creator>
  <cp:lastModifiedBy>Administrator</cp:lastModifiedBy>
  <cp:lastPrinted>2025-06-12T07:25:00Z</cp:lastPrinted>
  <dcterms:modified xsi:type="dcterms:W3CDTF">2025-07-05T09:48:01Z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D6E5B04A4A0F4DBDAD20902E1A966E21_13</vt:lpwstr>
  </property>
  <property fmtid="{D5CDD505-2E9C-101B-9397-08002B2CF9AE}" pid="4" name="commondata">
    <vt:lpwstr>eyJoZGlkIjoiNmRkMjM0YzBkMTQyODhiY2M3ZWU5ZTE4NTFhMDAxMGUifQ==</vt:lpwstr>
  </property>
  <property fmtid="{D5CDD505-2E9C-101B-9397-08002B2CF9AE}" pid="5" name="KSOTemplateDocerSaveRecord">
    <vt:lpwstr>eyJoZGlkIjoiYmYyYjNkMzY5MDliNTk0YzUzNWVlNWUxNzFlMDhkOWQiLCJ1c2VySWQiOiI2NTczODYxNzUifQ==</vt:lpwstr>
  </property>
</Properties>
</file>