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天水武林街道社区卫生服务中心武林分中心</w:t>
      </w: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建设工程</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28"/>
          <w:szCs w:val="28"/>
          <w:lang w:eastAsia="zh-CN"/>
        </w:rPr>
        <w:t>GSWJCG-2025012</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杭州市拱墅区天水武林街道社区卫生服务中心</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欧邦工程管理集团有限公司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 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1280" w:firstLineChars="400"/>
        <w:rPr>
          <w:rFonts w:ascii="宋体" w:hAnsi="宋体" w:cs="宋体"/>
          <w:color w:val="auto"/>
          <w:sz w:val="32"/>
          <w:szCs w:val="32"/>
        </w:rPr>
      </w:pP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天水武林街道社区卫生服务中心武林分中心建设工程</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GSWJCG-2025012</w:t>
      </w:r>
    </w:p>
    <w:p>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天水武林街道社区卫生服务中心武林分中心建设工程</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3700000</w:t>
      </w:r>
      <w:r>
        <w:rPr>
          <w:rFonts w:hint="eastAsia" w:ascii="宋体" w:hAnsi="宋体" w:cs="宋体"/>
          <w:color w:val="auto"/>
          <w:sz w:val="24"/>
        </w:rPr>
        <w:t xml:space="preserve">  </w:t>
      </w:r>
    </w:p>
    <w:p>
      <w:pPr>
        <w:snapToGrid w:val="0"/>
        <w:spacing w:line="360" w:lineRule="auto"/>
        <w:ind w:firstLine="482" w:firstLineChars="200"/>
        <w:rPr>
          <w:rFonts w:hint="default" w:ascii="宋体" w:hAnsi="宋体" w:cs="宋体"/>
          <w:color w:val="auto"/>
          <w:sz w:val="24"/>
          <w:lang w:val="en-US"/>
        </w:rPr>
      </w:pPr>
      <w:r>
        <w:rPr>
          <w:rFonts w:hint="eastAsia" w:ascii="宋体" w:hAnsi="宋体" w:cs="宋体"/>
          <w:b/>
          <w:color w:val="auto"/>
          <w:sz w:val="24"/>
        </w:rPr>
        <w:t>最高限价（元）：</w:t>
      </w:r>
      <w:r>
        <w:rPr>
          <w:rFonts w:hint="eastAsia" w:ascii="宋体" w:hAnsi="宋体" w:cs="宋体"/>
          <w:b/>
          <w:color w:val="auto"/>
          <w:sz w:val="24"/>
          <w:lang w:val="en-US" w:eastAsia="zh-CN"/>
        </w:rPr>
        <w:t>3654371</w:t>
      </w:r>
    </w:p>
    <w:p>
      <w:pPr>
        <w:snapToGrid w:val="0"/>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color w:val="auto"/>
          <w:sz w:val="24"/>
          <w:lang w:eastAsia="zh-CN"/>
        </w:rPr>
        <w:t>天水武林街道社区卫生服务中心武林分中心建设工程</w:t>
      </w:r>
      <w:r>
        <w:rPr>
          <w:rFonts w:hint="eastAsia" w:hAnsi="宋体" w:cs="宋体"/>
          <w:bCs/>
          <w:snapToGrid/>
          <w:color w:val="auto"/>
          <w:kern w:val="2"/>
          <w:sz w:val="24"/>
          <w:szCs w:val="24"/>
        </w:rPr>
        <w:t>主要内容：</w:t>
      </w:r>
      <w:r>
        <w:rPr>
          <w:rFonts w:hint="eastAsia" w:ascii="宋体" w:hAnsi="宋体" w:eastAsia="宋体" w:cs="宋体"/>
          <w:color w:val="auto"/>
          <w:sz w:val="24"/>
          <w:szCs w:val="24"/>
        </w:rPr>
        <w:t>天水武林街道社区卫生服务中心武林分中心建设工程，一层、二层、三层部位装修、水电安装、消防、弱电改造等工程，建筑面积为2076m2。</w:t>
      </w:r>
      <w:r>
        <w:rPr>
          <w:rFonts w:hint="eastAsia" w:hAnsi="宋体" w:cs="宋体"/>
          <w:bCs/>
          <w:snapToGrid/>
          <w:color w:val="auto"/>
          <w:kern w:val="2"/>
          <w:sz w:val="24"/>
          <w:szCs w:val="24"/>
        </w:rPr>
        <w:t>包括图纸、工程量清单范围内的所有内容。详见采购文件第三部分采购需求。</w:t>
      </w:r>
    </w:p>
    <w:p>
      <w:pPr>
        <w:pStyle w:val="131"/>
        <w:snapToGrid w:val="0"/>
        <w:spacing w:before="0"/>
        <w:ind w:firstLine="482"/>
        <w:outlineLvl w:val="2"/>
        <w:rPr>
          <w:rFonts w:ascii="宋体" w:hAnsi="宋体" w:cs="宋体"/>
          <w:color w:val="auto"/>
        </w:rPr>
      </w:pPr>
      <w:r>
        <w:rPr>
          <w:rFonts w:hint="eastAsia" w:ascii="宋体" w:hAnsi="宋体" w:cs="宋体"/>
          <w:b/>
          <w:color w:val="auto"/>
        </w:rPr>
        <w:t>合同履约期限：合同签订后</w:t>
      </w:r>
      <w:r>
        <w:rPr>
          <w:rFonts w:hint="eastAsia" w:ascii="宋体" w:hAnsi="宋体" w:cs="宋体"/>
          <w:b/>
          <w:color w:val="auto"/>
          <w:lang w:val="en-US" w:eastAsia="zh-CN"/>
        </w:rPr>
        <w:t>90</w:t>
      </w:r>
      <w:r>
        <w:rPr>
          <w:rFonts w:hint="eastAsia" w:ascii="宋体" w:hAnsi="宋体" w:cs="宋体"/>
          <w:b/>
          <w:color w:val="auto"/>
        </w:rPr>
        <w:t>日历天</w:t>
      </w:r>
      <w:r>
        <w:rPr>
          <w:rFonts w:hint="eastAsia" w:ascii="宋体" w:hAnsi="宋体" w:cs="宋体"/>
          <w:b/>
          <w:color w:val="auto"/>
          <w:lang w:eastAsia="zh-CN"/>
        </w:rPr>
        <w:t>。</w:t>
      </w:r>
      <w:r>
        <w:rPr>
          <w:rFonts w:hint="eastAsia" w:ascii="宋体" w:hAnsi="宋体" w:cs="宋体"/>
          <w:b/>
          <w:color w:val="auto"/>
        </w:rPr>
        <w:t>  </w:t>
      </w:r>
    </w:p>
    <w:p>
      <w:pPr>
        <w:pStyle w:val="6"/>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6"/>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pPr>
        <w:pStyle w:val="6"/>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pPr>
        <w:pStyle w:val="131"/>
        <w:snapToGrid w:val="0"/>
        <w:spacing w:before="0"/>
        <w:ind w:firstLine="482"/>
        <w:outlineLvl w:val="2"/>
        <w:rPr>
          <w:rFonts w:ascii="宋体" w:hAnsi="宋体" w:cs="宋体"/>
          <w:b/>
          <w:color w:val="auto"/>
        </w:rPr>
      </w:pPr>
      <w:r>
        <w:rPr>
          <w:rFonts w:hint="eastAsia" w:ascii="宋体" w:hAnsi="宋体" w:cs="宋体"/>
          <w:b/>
          <w:color w:val="auto"/>
        </w:rPr>
        <w:t>注：不得限制大中型企业与小微企业组成联合体参与。</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60915949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22816380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工程全部由符合政策要求的中小企业承建，提供中小企业声明函；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70114385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工程全部由符合政策要求的小微企业承建，提供中小企业声明函；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392801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p>
    <w:p>
      <w:pPr>
        <w:snapToGrid w:val="0"/>
        <w:spacing w:line="360" w:lineRule="auto"/>
        <w:ind w:firstLine="482" w:firstLineChars="200"/>
        <w:rPr>
          <w:rFonts w:hint="eastAsia" w:ascii="宋体" w:hAnsi="宋体" w:cs="宋体"/>
          <w:b/>
          <w:bCs/>
          <w:color w:val="auto"/>
          <w:sz w:val="24"/>
          <w:highlight w:val="none"/>
          <w:u w:val="none"/>
        </w:rPr>
      </w:pPr>
      <w:r>
        <w:rPr>
          <w:rFonts w:hint="eastAsia" w:ascii="宋体" w:hAnsi="宋体" w:cs="宋体"/>
          <w:b/>
          <w:bCs/>
          <w:color w:val="auto"/>
          <w:sz w:val="24"/>
          <w:highlight w:val="none"/>
          <w:u w:val="none"/>
        </w:rPr>
        <w:t>（1）具有建筑装修装饰工程专业承包二级及以上资质，该特定条件的法律法规依据：《中华人民共和国建筑法》、《建设工程质量管理条例》、《建筑业企业资质管理规定》</w:t>
      </w:r>
      <w:bookmarkStart w:id="923" w:name="_GoBack"/>
      <w:bookmarkEnd w:id="923"/>
      <w:r>
        <w:rPr>
          <w:rFonts w:hint="eastAsia" w:ascii="宋体" w:hAnsi="宋体" w:cs="宋体"/>
          <w:b/>
          <w:bCs/>
          <w:color w:val="auto"/>
          <w:sz w:val="24"/>
          <w:highlight w:val="none"/>
          <w:u w:val="none"/>
        </w:rPr>
        <w:t>。</w:t>
      </w:r>
    </w:p>
    <w:p>
      <w:pPr>
        <w:numPr>
          <w:ilvl w:val="-1"/>
          <w:numId w:val="0"/>
        </w:numPr>
        <w:spacing w:line="360" w:lineRule="auto"/>
        <w:ind w:firstLine="514" w:firstLineChars="200"/>
        <w:rPr>
          <w:rFonts w:hint="eastAsia" w:ascii="宋体" w:hAnsi="宋体" w:cs="宋体"/>
          <w:b/>
          <w:bCs/>
          <w:color w:val="auto"/>
          <w:sz w:val="24"/>
          <w:highlight w:val="none"/>
        </w:rPr>
      </w:pPr>
      <w:r>
        <w:rPr>
          <w:rFonts w:hint="eastAsia" w:ascii="宋体" w:hAnsi="宋体" w:eastAsia="宋体" w:cs="宋体"/>
          <w:b/>
          <w:bCs/>
          <w:color w:val="auto"/>
          <w:spacing w:val="8"/>
          <w:kern w:val="0"/>
          <w:sz w:val="24"/>
          <w:highlight w:val="none"/>
          <w:lang w:eastAsia="zh-CN"/>
        </w:rPr>
        <w:t>（</w:t>
      </w:r>
      <w:r>
        <w:rPr>
          <w:rFonts w:hint="eastAsia" w:ascii="宋体" w:hAnsi="宋体" w:eastAsia="宋体" w:cs="宋体"/>
          <w:b/>
          <w:bCs/>
          <w:color w:val="auto"/>
          <w:spacing w:val="8"/>
          <w:kern w:val="0"/>
          <w:sz w:val="24"/>
          <w:highlight w:val="none"/>
          <w:lang w:val="en-US" w:eastAsia="zh-CN"/>
        </w:rPr>
        <w:t>2</w:t>
      </w:r>
      <w:r>
        <w:rPr>
          <w:rFonts w:hint="eastAsia" w:ascii="宋体" w:hAnsi="宋体" w:eastAsia="宋体" w:cs="宋体"/>
          <w:b/>
          <w:bCs/>
          <w:color w:val="auto"/>
          <w:spacing w:val="8"/>
          <w:kern w:val="0"/>
          <w:sz w:val="24"/>
          <w:highlight w:val="none"/>
          <w:lang w:eastAsia="zh-CN"/>
        </w:rPr>
        <w:t>）</w:t>
      </w:r>
      <w:r>
        <w:rPr>
          <w:rFonts w:hint="eastAsia" w:ascii="宋体" w:hAnsi="宋体" w:eastAsia="宋体" w:cs="宋体"/>
          <w:b/>
          <w:bCs/>
          <w:color w:val="auto"/>
          <w:spacing w:val="8"/>
          <w:kern w:val="0"/>
          <w:sz w:val="24"/>
          <w:highlight w:val="none"/>
        </w:rPr>
        <w:t>具有</w:t>
      </w:r>
      <w:r>
        <w:rPr>
          <w:rFonts w:hint="eastAsia" w:ascii="宋体" w:hAnsi="宋体" w:eastAsia="宋体" w:cs="宋体"/>
          <w:b/>
          <w:bCs/>
          <w:color w:val="auto"/>
          <w:spacing w:val="8"/>
          <w:kern w:val="0"/>
          <w:sz w:val="24"/>
          <w:highlight w:val="none"/>
          <w:lang w:val="en-US" w:eastAsia="zh-CN"/>
        </w:rPr>
        <w:t>有效的</w:t>
      </w:r>
      <w:r>
        <w:rPr>
          <w:rFonts w:hint="eastAsia" w:ascii="宋体" w:hAnsi="宋体" w:eastAsia="宋体" w:cs="宋体"/>
          <w:b/>
          <w:bCs/>
          <w:color w:val="auto"/>
          <w:spacing w:val="8"/>
          <w:kern w:val="0"/>
          <w:sz w:val="24"/>
          <w:highlight w:val="none"/>
        </w:rPr>
        <w:t>安全生产许可证</w:t>
      </w:r>
      <w:r>
        <w:rPr>
          <w:rFonts w:hint="eastAsia" w:ascii="宋体" w:hAnsi="宋体" w:eastAsia="宋体" w:cs="宋体"/>
          <w:b/>
          <w:bCs/>
          <w:color w:val="auto"/>
          <w:spacing w:val="8"/>
          <w:kern w:val="0"/>
          <w:sz w:val="24"/>
          <w:highlight w:val="none"/>
          <w:lang w:eastAsia="zh-CN"/>
        </w:rPr>
        <w:t>。</w:t>
      </w:r>
      <w:r>
        <w:rPr>
          <w:rFonts w:hint="eastAsia" w:ascii="宋体" w:hAnsi="宋体" w:cs="宋体"/>
          <w:b/>
          <w:bCs/>
          <w:color w:val="auto"/>
          <w:sz w:val="24"/>
          <w:highlight w:val="none"/>
        </w:rPr>
        <w:t>该特定条件的法律法规依据：</w:t>
      </w:r>
      <w:r>
        <w:rPr>
          <w:rFonts w:ascii="Segoe UI" w:hAnsi="Segoe UI" w:eastAsia="Segoe UI" w:cs="Segoe UI"/>
          <w:b/>
          <w:bCs/>
          <w:i w:val="0"/>
          <w:iCs w:val="0"/>
          <w:caps w:val="0"/>
          <w:color w:val="auto"/>
          <w:spacing w:val="0"/>
          <w:sz w:val="24"/>
          <w:szCs w:val="24"/>
          <w:shd w:val="clear" w:fill="FFFFFF"/>
        </w:rPr>
        <w:t>《安全生产许可证条例》</w:t>
      </w:r>
      <w:r>
        <w:rPr>
          <w:rFonts w:hint="eastAsia" w:ascii="宋体" w:hAnsi="宋体" w:cs="宋体"/>
          <w:b/>
          <w:bCs/>
          <w:color w:val="auto"/>
          <w:sz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四、响应文件提交（上传）</w:t>
      </w:r>
    </w:p>
    <w:p>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rPr>
          <w:rFonts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六、公告期限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pPr>
        <w:spacing w:line="360" w:lineRule="auto"/>
        <w:rPr>
          <w:rFonts w:ascii="宋体" w:hAnsi="宋体" w:cs="宋体"/>
          <w:b/>
          <w:color w:val="auto"/>
          <w:sz w:val="24"/>
        </w:rPr>
      </w:pPr>
      <w:r>
        <w:rPr>
          <w:rFonts w:hint="eastAsia" w:ascii="宋体" w:hAnsi="宋体" w:cs="宋体"/>
          <w:b/>
          <w:color w:val="auto"/>
          <w:sz w:val="24"/>
        </w:rPr>
        <w:t>七、其他补充事宜</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1.采购人信息</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名    称：杭州市拱墅区天水武林街道社区卫生服务中心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址：杭州市拱墅区耶稣堂弄4号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项目联系人（询问）：汤启君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项目联系方式（询问）：13858078286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质疑联系人：陈鸿伟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质疑联系方式：13858128070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称：欧邦工程管理集团有限公司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址：杭州市文一西路558号西溪诚园诚公馆1号楼9楼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传    真： /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周波</w:t>
      </w:r>
      <w:r>
        <w:rPr>
          <w:rFonts w:hint="eastAsia" w:ascii="宋体" w:hAnsi="宋体" w:cs="宋体"/>
          <w:color w:val="auto"/>
          <w:sz w:val="24"/>
        </w:rPr>
        <w:t xml:space="preserve">          </w:t>
      </w:r>
    </w:p>
    <w:p>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13575454487</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w:t>
      </w:r>
      <w:r>
        <w:rPr>
          <w:rFonts w:hint="eastAsia" w:asciiTheme="minorEastAsia" w:hAnsiTheme="minorEastAsia" w:eastAsiaTheme="minorEastAsia"/>
          <w:color w:val="auto"/>
          <w:sz w:val="24"/>
          <w:highlight w:val="none"/>
          <w:lang w:val="en-US" w:eastAsia="zh-CN"/>
        </w:rPr>
        <w:t>陈曙锋</w:t>
      </w:r>
      <w:r>
        <w:rPr>
          <w:rFonts w:hint="eastAsia" w:ascii="宋体" w:hAnsi="宋体" w:cs="宋体"/>
          <w:color w:val="auto"/>
          <w:sz w:val="24"/>
        </w:rPr>
        <w:t xml:space="preserve">            </w:t>
      </w:r>
    </w:p>
    <w:p>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18667195585</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3.同级政府采购监督管理部门            </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称：杭州市拱墅区财政局、浙江省政府采购行政裁决服务中心（杭州）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：匡老师</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rPr>
        <w:t>95763</w:t>
      </w:r>
      <w:r>
        <w:rPr>
          <w:rFonts w:hint="eastAsia" w:ascii="宋体" w:hAnsi="宋体" w:cs="宋体"/>
          <w:color w:val="auto"/>
          <w:sz w:val="24"/>
        </w:rPr>
        <w:t>获取热线服务帮助。</w:t>
      </w:r>
    </w:p>
    <w:p>
      <w:pPr>
        <w:snapToGrid w:val="0"/>
        <w:spacing w:line="360" w:lineRule="auto"/>
        <w:ind w:firstLine="480" w:firstLineChars="200"/>
        <w:rPr>
          <w:rFonts w:ascii="宋体" w:hAnsi="宋体" w:cs="宋体"/>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rPr>
        <w:t>CA问题联系电话（人工）：汇信CA 400-888-4636；天谷CA 400-087-8198。</w:t>
      </w:r>
    </w:p>
    <w:p>
      <w:pPr>
        <w:pStyle w:val="35"/>
        <w:spacing w:line="360" w:lineRule="auto"/>
        <w:jc w:val="center"/>
        <w:rPr>
          <w:rFonts w:hAnsi="宋体" w:cs="宋体"/>
          <w:b/>
          <w:snapToGrid/>
          <w:color w:val="auto"/>
          <w:sz w:val="36"/>
          <w:szCs w:val="20"/>
        </w:rPr>
      </w:pPr>
      <w:r>
        <w:rPr>
          <w:rFonts w:hint="eastAsia" w:hAnsi="宋体" w:cs="宋体"/>
          <w:b/>
          <w:snapToGrid/>
          <w:color w:val="auto"/>
          <w:sz w:val="36"/>
          <w:szCs w:val="20"/>
        </w:rPr>
        <w:t>第二部分</w:t>
      </w:r>
      <w:bookmarkEnd w:id="8"/>
      <w:r>
        <w:rPr>
          <w:rFonts w:hint="eastAsia" w:hAnsi="宋体" w:cs="宋体"/>
          <w:b/>
          <w:snapToGrid/>
          <w:color w:val="auto"/>
          <w:sz w:val="36"/>
          <w:szCs w:val="20"/>
        </w:rPr>
        <w:t xml:space="preserve"> 供应商须知</w:t>
      </w:r>
      <w:bookmarkEnd w:id="9"/>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927"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927" w:type="dxa"/>
            <w:vAlign w:val="center"/>
          </w:tcPr>
          <w:p>
            <w:pPr>
              <w:spacing w:line="360" w:lineRule="auto"/>
              <w:rPr>
                <w:rFonts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927" w:type="dxa"/>
            <w:vAlign w:val="center"/>
          </w:tcPr>
          <w:p>
            <w:pPr>
              <w:pStyle w:val="4"/>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天水武林街道社区卫生服务中心武林分中心建设工程</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pPr>
              <w:pStyle w:val="4"/>
              <w:ind w:left="0" w:firstLine="0"/>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927" w:type="dxa"/>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393481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93424903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83050787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default" w:ascii="宋体" w:hAnsi="宋体" w:eastAsia="宋体" w:cs="宋体"/>
                <w:color w:val="auto"/>
                <w:sz w:val="24"/>
                <w:szCs w:val="24"/>
                <w:u w:val="single"/>
              </w:rPr>
              <w:t>劳务</w:t>
            </w:r>
            <w:r>
              <w:rPr>
                <w:rFonts w:hint="eastAsia" w:ascii="宋体" w:hAnsi="宋体" w:cs="宋体"/>
                <w:color w:val="auto"/>
                <w:sz w:val="24"/>
              </w:rPr>
              <w:t>工作分包。</w:t>
            </w:r>
          </w:p>
          <w:p>
            <w:pPr>
              <w:spacing w:line="360" w:lineRule="auto"/>
              <w:rPr>
                <w:rFonts w:ascii="宋体" w:hAnsi="宋体" w:cs="宋体"/>
                <w:color w:val="auto"/>
                <w:sz w:val="24"/>
              </w:rPr>
            </w:pPr>
            <w:sdt>
              <w:sdtPr>
                <w:rPr>
                  <w:rFonts w:hint="eastAsia" w:ascii="宋体" w:hAnsi="宋体" w:cs="宋体"/>
                  <w:color w:val="auto"/>
                  <w:kern w:val="0"/>
                  <w:sz w:val="24"/>
                </w:rPr>
                <w:id w:val="8957932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不同意分包，具体理由：</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磋商前答疑会或现场考察</w:t>
            </w:r>
          </w:p>
        </w:tc>
        <w:tc>
          <w:tcPr>
            <w:tcW w:w="6927" w:type="dxa"/>
            <w:vAlign w:val="center"/>
          </w:tcPr>
          <w:p>
            <w:pPr>
              <w:pStyle w:val="79"/>
              <w:spacing w:line="360" w:lineRule="auto"/>
              <w:ind w:firstLine="0" w:firstLineChars="0"/>
              <w:rPr>
                <w:rFonts w:hint="eastAsia" w:ascii="宋体" w:hAnsi="宋体" w:eastAsia="宋体" w:cs="宋体"/>
                <w:color w:val="auto"/>
                <w:sz w:val="24"/>
              </w:rPr>
            </w:pPr>
            <w:sdt>
              <w:sdtPr>
                <w:rPr>
                  <w:rFonts w:hint="eastAsia" w:ascii="宋体" w:hAnsi="宋体" w:cs="宋体"/>
                  <w:color w:val="auto"/>
                  <w:kern w:val="0"/>
                  <w:sz w:val="24"/>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pStyle w:val="79"/>
              <w:spacing w:line="360" w:lineRule="auto"/>
              <w:ind w:firstLine="0" w:firstLineChars="0"/>
              <w:rPr>
                <w:rFonts w:hint="eastAsia" w:ascii="宋体" w:hAnsi="宋体" w:eastAsia="宋体" w:cs="宋体"/>
                <w:color w:val="auto"/>
                <w:sz w:val="24"/>
                <w:szCs w:val="20"/>
              </w:rPr>
            </w:pPr>
            <w:sdt>
              <w:sdtPr>
                <w:rPr>
                  <w:rFonts w:hint="eastAsia" w:ascii="宋体" w:hAnsi="宋体" w:eastAsia="宋体" w:cs="宋体"/>
                  <w:color w:val="auto"/>
                  <w:kern w:val="0"/>
                  <w:sz w:val="24"/>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p>
            <w:pPr>
              <w:pStyle w:val="79"/>
              <w:ind w:firstLine="0" w:firstLineChars="0"/>
              <w:rPr>
                <w:color w:val="auto"/>
              </w:rPr>
            </w:pPr>
            <w:r>
              <w:rPr>
                <w:rFonts w:hint="eastAsia" w:ascii="宋体" w:hAnsi="宋体" w:eastAsia="宋体" w:cs="宋体"/>
                <w:color w:val="auto"/>
                <w:kern w:val="0"/>
                <w:sz w:val="24"/>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58621118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评审办法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将通知未成交供应商在规定的时间内取回，逾期未取回的，采购人、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不负保管义务；对于成交供应商提供的样品，采购人将进行保管、封存，并作为履约验收的参考。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93" w:type="dxa"/>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50545689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（1）在评审时安排每个供应商进行方案讲解演示。每个供应商时间不超过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分钟，讲解次序以响应文件解密时间先后次序为准，讲解演示人员不超过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人。讲解演示结束后按要求解答磋商小组提问。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93" w:type="dxa"/>
            <w:vMerge w:val="restart"/>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供应商应当提供的资格、资信证明文件</w:t>
            </w:r>
          </w:p>
        </w:tc>
        <w:tc>
          <w:tcPr>
            <w:tcW w:w="6927" w:type="dxa"/>
            <w:vAlign w:val="center"/>
          </w:tcPr>
          <w:p>
            <w:pPr>
              <w:spacing w:line="360" w:lineRule="auto"/>
              <w:rPr>
                <w:rFonts w:ascii="宋体" w:hAnsi="宋体" w:cs="宋体"/>
                <w:color w:val="auto"/>
                <w:sz w:val="24"/>
              </w:rPr>
            </w:pPr>
            <w:r>
              <w:rPr>
                <w:rFonts w:hint="eastAsia" w:ascii="宋体" w:hAnsi="宋体" w:cs="宋体"/>
                <w:color w:val="auto"/>
                <w:sz w:val="24"/>
              </w:rPr>
              <w:t>（1）资格证明文件：见采购文件第二部分11.1。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rPr>
            </w:pPr>
          </w:p>
        </w:tc>
        <w:tc>
          <w:tcPr>
            <w:tcW w:w="2093" w:type="dxa"/>
            <w:vMerge w:val="continue"/>
            <w:vAlign w:val="center"/>
          </w:tcPr>
          <w:p>
            <w:pPr>
              <w:snapToGrid w:val="0"/>
              <w:spacing w:line="360" w:lineRule="auto"/>
              <w:jc w:val="center"/>
              <w:rPr>
                <w:rFonts w:ascii="宋体" w:hAnsi="宋体" w:cs="宋体"/>
                <w:b/>
                <w:color w:val="auto"/>
                <w:sz w:val="24"/>
              </w:rPr>
            </w:pPr>
          </w:p>
        </w:tc>
        <w:tc>
          <w:tcPr>
            <w:tcW w:w="6927" w:type="dxa"/>
            <w:vAlign w:val="center"/>
          </w:tcPr>
          <w:p>
            <w:pPr>
              <w:spacing w:line="360" w:lineRule="auto"/>
              <w:rPr>
                <w:rFonts w:ascii="宋体" w:hAnsi="宋体" w:cs="宋体"/>
                <w:color w:val="auto"/>
                <w:sz w:val="24"/>
              </w:rPr>
            </w:pPr>
            <w:r>
              <w:rPr>
                <w:rFonts w:hint="eastAsia" w:ascii="宋体" w:hAnsi="宋体" w:cs="宋体"/>
                <w:color w:val="auto"/>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927" w:type="dxa"/>
            <w:vAlign w:val="center"/>
          </w:tcPr>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rPr>
                <w:rFonts w:hint="eastAsia" w:ascii="宋体" w:hAnsi="宋体" w:eastAsia="宋体" w:cs="宋体"/>
                <w:color w:val="auto"/>
                <w:kern w:val="0"/>
                <w:sz w:val="24"/>
                <w:szCs w:val="24"/>
                <w:lang w:val="en-US" w:eastAsia="zh-CN" w:bidi="ar-SA"/>
              </w:rPr>
            </w:pPr>
            <w:sdt>
              <w:sdtPr>
                <w:rPr>
                  <w:rFonts w:hint="eastAsia" w:ascii="宋体" w:hAnsi="宋体" w:eastAsia="宋体" w:cs="宋体"/>
                  <w:color w:val="auto"/>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lang w:val="en-US" w:eastAsia="zh-CN" w:bidi="ar-SA"/>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lang w:val="en-US" w:eastAsia="zh-CN" w:bidi="ar-SA"/>
              </w:rPr>
              <w:t xml:space="preserve">强制采购节能产品。产品：    </w:t>
            </w:r>
          </w:p>
          <w:p>
            <w:pPr>
              <w:pStyle w:val="7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□优先采购节能产品。产品：   </w:t>
            </w:r>
          </w:p>
          <w:p>
            <w:pPr>
              <w:pStyle w:val="7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□优先采购环保产品。产品：    </w:t>
            </w:r>
          </w:p>
          <w:p>
            <w:pPr>
              <w:pStyle w:val="79"/>
              <w:rPr>
                <w:color w:val="auto"/>
              </w:rPr>
            </w:pPr>
            <w:r>
              <w:rPr>
                <w:rFonts w:hint="eastAsia" w:ascii="宋体" w:hAnsi="宋体" w:eastAsia="宋体" w:cs="宋体"/>
                <w:color w:val="auto"/>
                <w:kern w:val="0"/>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927" w:type="dxa"/>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w:t>
            </w:r>
            <w:r>
              <w:rPr>
                <w:rFonts w:hint="eastAsia" w:ascii="宋体" w:hAnsi="宋体" w:cs="宋体"/>
                <w:b/>
                <w:color w:val="auto"/>
                <w:kern w:val="0"/>
                <w:sz w:val="24"/>
                <w:lang w:val="zh-CN"/>
              </w:rPr>
              <w:t>提醒：验收时检测费用由采购人承担，不包含在总价中。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最后报价超过采购文件中规定的预算金额或者最高限价的;</w:t>
            </w:r>
          </w:p>
          <w:p>
            <w:pPr>
              <w:spacing w:line="360" w:lineRule="auto"/>
              <w:rPr>
                <w:rFonts w:ascii="宋体" w:hAnsi="宋体" w:cs="宋体"/>
                <w:b/>
                <w:color w:val="auto"/>
                <w:sz w:val="24"/>
              </w:rPr>
            </w:pPr>
            <w:r>
              <w:rPr>
                <w:rFonts w:hint="eastAsia" w:ascii="宋体" w:hAnsi="宋体" w:cs="宋体"/>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供应商对根据修正原则修正后的报价不确认的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927" w:type="dxa"/>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备份响应文件送达地点和签收人员</w:t>
            </w:r>
          </w:p>
        </w:tc>
        <w:tc>
          <w:tcPr>
            <w:tcW w:w="6927" w:type="dxa"/>
            <w:vAlign w:val="center"/>
          </w:tcPr>
          <w:p>
            <w:pPr>
              <w:pStyle w:val="35"/>
              <w:spacing w:line="360" w:lineRule="auto"/>
              <w:rPr>
                <w:rFonts w:hAnsi="宋体" w:cs="宋体"/>
                <w:color w:val="auto"/>
                <w:kern w:val="28"/>
                <w:sz w:val="24"/>
                <w:szCs w:val="24"/>
              </w:rPr>
            </w:pPr>
            <w:r>
              <w:rPr>
                <w:rFonts w:hint="eastAsia" w:hAnsi="宋体" w:cs="宋体"/>
                <w:color w:val="auto"/>
                <w:kern w:val="28"/>
                <w:sz w:val="24"/>
                <w:szCs w:val="24"/>
              </w:rPr>
              <w:t>备份响应文件送达地点：</w:t>
            </w:r>
            <w:r>
              <w:rPr>
                <w:rFonts w:hint="eastAsia" w:hAnsi="宋体" w:cs="宋体"/>
                <w:color w:val="auto"/>
                <w:sz w:val="24"/>
                <w:u w:val="single"/>
              </w:rPr>
              <w:t xml:space="preserve"> 杭州市文一西路558号绿城西溪诚园诚公馆1号楼9楼</w:t>
            </w:r>
            <w:r>
              <w:rPr>
                <w:rFonts w:hint="eastAsia" w:hAnsi="宋体" w:cs="宋体"/>
                <w:color w:val="auto"/>
                <w:kern w:val="28"/>
                <w:sz w:val="24"/>
                <w:szCs w:val="24"/>
              </w:rPr>
              <w:t>；</w:t>
            </w:r>
          </w:p>
          <w:p>
            <w:pPr>
              <w:pStyle w:val="35"/>
              <w:spacing w:line="360" w:lineRule="auto"/>
              <w:rPr>
                <w:rFonts w:hAnsi="宋体" w:cs="宋体"/>
                <w:color w:val="auto"/>
                <w:sz w:val="24"/>
                <w:szCs w:val="24"/>
              </w:rPr>
            </w:pPr>
            <w:r>
              <w:rPr>
                <w:rFonts w:hint="eastAsia" w:hAnsi="宋体" w:cs="宋体"/>
                <w:color w:val="auto"/>
                <w:kern w:val="28"/>
                <w:sz w:val="24"/>
                <w:szCs w:val="24"/>
              </w:rPr>
              <w:t>备份响应文件签收人员联系电话：</w:t>
            </w:r>
            <w:r>
              <w:rPr>
                <w:rFonts w:hint="eastAsia" w:hAnsi="宋体" w:cs="宋体"/>
                <w:color w:val="auto"/>
                <w:sz w:val="24"/>
                <w:u w:val="single"/>
                <w:lang w:val="en-US" w:eastAsia="zh-CN"/>
              </w:rPr>
              <w:t>周波  13575454487</w:t>
            </w:r>
            <w:r>
              <w:rPr>
                <w:rFonts w:hint="eastAsia" w:hAnsi="宋体" w:cs="宋体"/>
                <w:color w:val="auto"/>
                <w:sz w:val="24"/>
                <w:szCs w:val="24"/>
              </w:rPr>
              <w:t>。</w:t>
            </w:r>
          </w:p>
          <w:p>
            <w:pPr>
              <w:pStyle w:val="35"/>
              <w:spacing w:line="360" w:lineRule="auto"/>
              <w:rPr>
                <w:rFonts w:hAnsi="宋体" w:cs="宋体"/>
                <w:color w:val="auto"/>
                <w:kern w:val="28"/>
                <w:sz w:val="24"/>
              </w:rPr>
            </w:pP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其它说明</w:t>
            </w:r>
          </w:p>
        </w:tc>
        <w:tc>
          <w:tcPr>
            <w:tcW w:w="6927" w:type="dxa"/>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ascii="宋体" w:hAnsi="宋体" w:cs="宋体"/>
                <w:color w:val="auto"/>
                <w:sz w:val="24"/>
              </w:rPr>
            </w:pPr>
            <w:r>
              <w:rPr>
                <w:rFonts w:hint="eastAsia" w:ascii="宋体" w:hAnsi="宋体" w:cs="宋体"/>
                <w:color w:val="auto"/>
                <w:sz w:val="24"/>
                <w:highlight w:val="none"/>
                <w:lang w:val="en-US" w:eastAsia="zh-CN"/>
              </w:rPr>
              <w:t>14</w:t>
            </w:r>
          </w:p>
        </w:tc>
        <w:tc>
          <w:tcPr>
            <w:tcW w:w="2093" w:type="dxa"/>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pPr>
              <w:spacing w:line="360" w:lineRule="auto"/>
              <w:rPr>
                <w:rFonts w:ascii="宋体" w:hAnsi="宋体" w:cs="宋体"/>
                <w:snapToGrid w:val="0"/>
                <w:color w:val="auto"/>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3家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rPr>
            </w:pPr>
            <w:r>
              <w:rPr>
                <w:rFonts w:hint="eastAsia" w:ascii="宋体" w:hAnsi="宋体" w:cs="宋体"/>
                <w:color w:val="auto"/>
                <w:sz w:val="24"/>
                <w:highlight w:val="none"/>
                <w:lang w:val="en-US" w:eastAsia="zh-CN"/>
              </w:rPr>
              <w:t>15</w:t>
            </w:r>
          </w:p>
        </w:tc>
        <w:tc>
          <w:tcPr>
            <w:tcW w:w="2093" w:type="dxa"/>
            <w:vAlign w:val="center"/>
          </w:tcPr>
          <w:p>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根据发改办价格[2003]857号《关于招标代理服务收费有关问题的通知》，</w:t>
            </w:r>
            <w:r>
              <w:rPr>
                <w:rFonts w:hint="eastAsia" w:ascii="宋体" w:hAnsi="宋体" w:cs="宋体"/>
                <w:snapToGrid w:val="0"/>
                <w:color w:val="auto"/>
                <w:kern w:val="28"/>
                <w:sz w:val="24"/>
                <w:highlight w:val="none"/>
                <w:lang w:eastAsia="zh-CN"/>
              </w:rPr>
              <w:t>成交供应商</w:t>
            </w:r>
            <w:r>
              <w:rPr>
                <w:rFonts w:hint="eastAsia" w:ascii="宋体" w:hAnsi="宋体" w:cs="宋体"/>
                <w:snapToGrid w:val="0"/>
                <w:color w:val="auto"/>
                <w:kern w:val="28"/>
                <w:sz w:val="24"/>
                <w:highlight w:val="none"/>
              </w:rPr>
              <w:t>须向招标代理机构缴纳中标服务费，标准和规定如下；</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（1）以中标通知书中确定的中标总金额作为收费的计算基数；</w:t>
            </w:r>
          </w:p>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highlight w:val="none"/>
              </w:rPr>
              <w:t>（2）中标服务费金额的收取，按《发改办价格［2003］857号》文件工程类标准</w:t>
            </w:r>
            <w:r>
              <w:rPr>
                <w:rFonts w:hint="eastAsia" w:ascii="宋体" w:hAnsi="宋体" w:cs="宋体"/>
                <w:snapToGrid w:val="0"/>
                <w:color w:val="auto"/>
                <w:kern w:val="28"/>
                <w:sz w:val="24"/>
                <w:highlight w:val="none"/>
                <w:lang w:val="en-US" w:eastAsia="zh-CN"/>
              </w:rPr>
              <w:t>的80%</w:t>
            </w:r>
            <w:r>
              <w:rPr>
                <w:rFonts w:hint="eastAsia" w:ascii="宋体" w:hAnsi="宋体" w:cs="宋体"/>
                <w:snapToGrid w:val="0"/>
                <w:color w:val="auto"/>
                <w:kern w:val="28"/>
                <w:sz w:val="24"/>
                <w:highlight w:val="none"/>
              </w:rPr>
              <w:t>向</w:t>
            </w:r>
            <w:r>
              <w:rPr>
                <w:rFonts w:hint="eastAsia" w:ascii="宋体" w:hAnsi="宋体" w:cs="宋体"/>
                <w:snapToGrid w:val="0"/>
                <w:color w:val="auto"/>
                <w:kern w:val="28"/>
                <w:sz w:val="24"/>
                <w:highlight w:val="none"/>
                <w:lang w:eastAsia="zh-CN"/>
              </w:rPr>
              <w:t>成交供应商</w:t>
            </w:r>
            <w:r>
              <w:rPr>
                <w:rFonts w:hint="eastAsia" w:ascii="宋体" w:hAnsi="宋体" w:cs="宋体"/>
                <w:snapToGrid w:val="0"/>
                <w:color w:val="auto"/>
                <w:kern w:val="28"/>
                <w:sz w:val="24"/>
                <w:highlight w:val="none"/>
              </w:rPr>
              <w:t>收取。不足</w:t>
            </w:r>
            <w:r>
              <w:rPr>
                <w:rFonts w:hint="eastAsia" w:ascii="宋体" w:hAnsi="宋体" w:cs="宋体"/>
                <w:snapToGrid w:val="0"/>
                <w:color w:val="auto"/>
                <w:kern w:val="28"/>
                <w:sz w:val="24"/>
                <w:highlight w:val="none"/>
                <w:lang w:val="en-US" w:eastAsia="zh-CN"/>
              </w:rPr>
              <w:t>4</w:t>
            </w:r>
            <w:r>
              <w:rPr>
                <w:rFonts w:hint="eastAsia" w:ascii="宋体" w:hAnsi="宋体" w:cs="宋体"/>
                <w:snapToGrid w:val="0"/>
                <w:color w:val="auto"/>
                <w:kern w:val="28"/>
                <w:sz w:val="24"/>
                <w:highlight w:val="none"/>
              </w:rPr>
              <w:t>000元按</w:t>
            </w:r>
            <w:r>
              <w:rPr>
                <w:rFonts w:hint="eastAsia" w:ascii="宋体" w:hAnsi="宋体" w:cs="宋体"/>
                <w:snapToGrid w:val="0"/>
                <w:color w:val="auto"/>
                <w:kern w:val="28"/>
                <w:sz w:val="24"/>
                <w:highlight w:val="none"/>
                <w:lang w:val="en-US" w:eastAsia="zh-CN"/>
              </w:rPr>
              <w:t>4</w:t>
            </w:r>
            <w:r>
              <w:rPr>
                <w:rFonts w:hint="eastAsia" w:ascii="宋体" w:hAnsi="宋体" w:cs="宋体"/>
                <w:snapToGrid w:val="0"/>
                <w:color w:val="auto"/>
                <w:kern w:val="28"/>
                <w:sz w:val="24"/>
                <w:highlight w:val="none"/>
              </w:rPr>
              <w:t>000元收取</w:t>
            </w:r>
            <w:r>
              <w:rPr>
                <w:rFonts w:hint="eastAsia" w:ascii="宋体" w:hAnsi="宋体" w:cs="宋体"/>
                <w:snapToGrid w:val="0"/>
                <w:color w:val="auto"/>
                <w:kern w:val="28"/>
                <w:sz w:val="24"/>
                <w:highlight w:val="none"/>
                <w:lang w:eastAsia="zh-CN"/>
              </w:rPr>
              <w:t>。</w:t>
            </w:r>
          </w:p>
        </w:tc>
      </w:tr>
    </w:tbl>
    <w:p>
      <w:pPr>
        <w:snapToGrid w:val="0"/>
        <w:spacing w:line="360" w:lineRule="auto"/>
        <w:jc w:val="center"/>
        <w:rPr>
          <w:rFonts w:ascii="宋体" w:hAnsi="宋体" w:cs="宋体"/>
          <w:b/>
          <w:color w:val="auto"/>
          <w:sz w:val="32"/>
          <w:szCs w:val="20"/>
        </w:rPr>
      </w:pPr>
    </w:p>
    <w:bookmarkEnd w:id="10"/>
    <w:p>
      <w:pPr>
        <w:widowControl/>
        <w:adjustRightInd/>
        <w:jc w:val="left"/>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br w:type="page"/>
      </w: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rPr>
      </w:pPr>
      <w:r>
        <w:rPr>
          <w:rFonts w:hint="eastAsia" w:ascii="宋体" w:hAnsi="宋体" w:cs="宋体"/>
          <w:b/>
          <w:color w:val="auto"/>
          <w:sz w:val="24"/>
        </w:rPr>
        <w:t>2.定义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color w:val="auto"/>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5"/>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pPr>
        <w:pStyle w:val="35"/>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5"/>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pPr>
        <w:pStyle w:val="35"/>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pPr>
        <w:pStyle w:val="35"/>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5"/>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pPr>
        <w:pStyle w:val="35"/>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pPr>
        <w:pStyle w:val="35"/>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pPr>
        <w:pStyle w:val="35"/>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pPr>
        <w:pStyle w:val="35"/>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pPr>
        <w:pStyle w:val="35"/>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rPr>
        <w:t>4.</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.5</w:t>
      </w:r>
      <w:r>
        <w:rPr>
          <w:rFonts w:hint="eastAsia"/>
          <w:color w:val="auto"/>
        </w:rPr>
        <w:t>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rPr>
        <w:t>。</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投诉书范本及制作说明详见附件3。</w:t>
      </w:r>
    </w:p>
    <w:p>
      <w:pPr>
        <w:pStyle w:val="131"/>
        <w:snapToGrid w:val="0"/>
        <w:spacing w:before="0"/>
        <w:ind w:firstLine="360"/>
        <w:rPr>
          <w:rFonts w:ascii="宋体" w:hAnsi="宋体" w:cs="宋体"/>
          <w:color w:val="auto"/>
          <w:sz w:val="18"/>
          <w:szCs w:val="18"/>
        </w:rPr>
      </w:pP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pPr>
        <w:pStyle w:val="35"/>
        <w:spacing w:line="360" w:lineRule="auto"/>
        <w:rPr>
          <w:rFonts w:hAnsi="宋体" w:cs="宋体"/>
          <w:b/>
          <w:color w:val="auto"/>
          <w:sz w:val="24"/>
          <w:szCs w:val="24"/>
        </w:rPr>
      </w:pPr>
      <w:r>
        <w:rPr>
          <w:rFonts w:hint="eastAsia" w:hAnsi="宋体" w:cs="宋体"/>
          <w:b/>
          <w:color w:val="auto"/>
          <w:sz w:val="24"/>
          <w:szCs w:val="24"/>
        </w:rPr>
        <w:t>5．采购文件的构成</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pPr>
        <w:pStyle w:val="35"/>
        <w:spacing w:line="360" w:lineRule="auto"/>
        <w:rPr>
          <w:rFonts w:hAnsi="宋体" w:cs="宋体"/>
          <w:b/>
          <w:color w:val="auto"/>
          <w:sz w:val="24"/>
          <w:szCs w:val="24"/>
        </w:rPr>
      </w:pPr>
      <w:r>
        <w:rPr>
          <w:rFonts w:hint="eastAsia" w:hAnsi="宋体" w:cs="宋体"/>
          <w:b/>
          <w:color w:val="auto"/>
          <w:sz w:val="24"/>
          <w:szCs w:val="24"/>
        </w:rPr>
        <w:t>6. 采购文件的澄清、修改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color w:val="auto"/>
          <w:sz w:val="18"/>
          <w:szCs w:val="18"/>
          <w:lang w:val="en-US"/>
        </w:rPr>
      </w:pP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三、提交响应文件</w:t>
      </w:r>
    </w:p>
    <w:p>
      <w:pPr>
        <w:pStyle w:val="35"/>
        <w:spacing w:line="360" w:lineRule="auto"/>
        <w:rPr>
          <w:rFonts w:hAnsi="宋体" w:cs="宋体"/>
          <w:b/>
          <w:color w:val="auto"/>
          <w:sz w:val="24"/>
          <w:szCs w:val="24"/>
        </w:rPr>
      </w:pPr>
      <w:r>
        <w:rPr>
          <w:rFonts w:hint="eastAsia" w:hAnsi="宋体" w:cs="宋体"/>
          <w:b/>
          <w:color w:val="auto"/>
          <w:sz w:val="24"/>
          <w:szCs w:val="24"/>
        </w:rPr>
        <w:t>7. 采购文件的获取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pPr>
        <w:pStyle w:val="35"/>
        <w:spacing w:line="360" w:lineRule="auto"/>
        <w:rPr>
          <w:rFonts w:hAnsi="宋体" w:cs="宋体"/>
          <w:b/>
          <w:color w:val="auto"/>
          <w:sz w:val="24"/>
          <w:szCs w:val="24"/>
        </w:rPr>
      </w:pPr>
      <w:r>
        <w:rPr>
          <w:rFonts w:hint="eastAsia" w:hAnsi="宋体" w:cs="宋体"/>
          <w:b/>
          <w:color w:val="auto"/>
          <w:sz w:val="24"/>
          <w:szCs w:val="24"/>
        </w:rPr>
        <w:t>8.磋商前答疑会或现场考察</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pPr>
        <w:pStyle w:val="35"/>
        <w:spacing w:line="360" w:lineRule="auto"/>
        <w:rPr>
          <w:rFonts w:hAnsi="宋体" w:cs="宋体"/>
          <w:b/>
          <w:color w:val="auto"/>
          <w:szCs w:val="24"/>
        </w:rPr>
      </w:pPr>
      <w:r>
        <w:rPr>
          <w:rFonts w:hint="eastAsia" w:hAnsi="宋体" w:cs="宋体"/>
          <w:b/>
          <w:color w:val="auto"/>
          <w:kern w:val="28"/>
          <w:sz w:val="24"/>
          <w:szCs w:val="24"/>
        </w:rPr>
        <w:t>9.磋商保证金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5"/>
        <w:spacing w:line="360" w:lineRule="auto"/>
        <w:rPr>
          <w:rFonts w:hAnsi="宋体" w:cs="宋体"/>
          <w:b/>
          <w:color w:val="auto"/>
          <w:sz w:val="24"/>
          <w:szCs w:val="24"/>
        </w:rPr>
      </w:pPr>
      <w:r>
        <w:rPr>
          <w:rFonts w:hint="eastAsia" w:hAnsi="宋体" w:cs="宋体"/>
          <w:b/>
          <w:color w:val="auto"/>
          <w:sz w:val="24"/>
          <w:szCs w:val="24"/>
        </w:rPr>
        <w:t>10. 响应文件的语言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pPr>
        <w:pStyle w:val="35"/>
        <w:spacing w:line="360" w:lineRule="auto"/>
        <w:rPr>
          <w:rFonts w:hAnsi="宋体" w:cs="宋体"/>
          <w:b/>
          <w:color w:val="auto"/>
          <w:sz w:val="24"/>
          <w:szCs w:val="24"/>
        </w:rPr>
      </w:pPr>
      <w:r>
        <w:rPr>
          <w:rFonts w:hint="eastAsia" w:hAnsi="宋体" w:cs="宋体"/>
          <w:b/>
          <w:color w:val="auto"/>
          <w:sz w:val="24"/>
          <w:szCs w:val="24"/>
        </w:rPr>
        <w:t>11. 响应文件的组成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Start w:id="17" w:name="_Hlk101257010"/>
      <w:r>
        <w:rPr>
          <w:rFonts w:hint="eastAsia" w:ascii="宋体" w:hAnsi="宋体" w:cs="宋体"/>
          <w:snapToGrid w:val="0"/>
          <w:color w:val="auto"/>
          <w:kern w:val="28"/>
          <w:sz w:val="24"/>
          <w:szCs w:val="20"/>
        </w:rPr>
        <w:t>（如果有)</w:t>
      </w:r>
      <w:bookmarkEnd w:id="16"/>
      <w:bookmarkEnd w:id="17"/>
      <w:r>
        <w:rPr>
          <w:rFonts w:hint="eastAsia" w:ascii="宋体" w:hAnsi="宋体" w:cs="宋体"/>
          <w:snapToGrid w:val="0"/>
          <w:color w:val="auto"/>
          <w:kern w:val="28"/>
          <w:sz w:val="24"/>
          <w:szCs w:val="20"/>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11.3.3中小企业声明函。</w:t>
      </w:r>
    </w:p>
    <w:p>
      <w:pPr>
        <w:pStyle w:val="4"/>
        <w:adjustRightInd w:val="0"/>
        <w:ind w:left="0" w:firstLine="960" w:firstLineChars="400"/>
        <w:rPr>
          <w:rFonts w:hint="default" w:eastAsia="华文楷体"/>
          <w:color w:val="auto"/>
          <w:lang w:val="en-US" w:eastAsia="zh-CN"/>
        </w:rPr>
      </w:pPr>
      <w:r>
        <w:rPr>
          <w:rFonts w:hint="eastAsia" w:ascii="宋体" w:hAnsi="宋体" w:cs="宋体"/>
          <w:b w:val="0"/>
          <w:bCs w:val="0"/>
          <w:color w:val="auto"/>
          <w:sz w:val="24"/>
          <w:lang w:val="en-US" w:eastAsia="zh-CN"/>
        </w:rPr>
        <w:t>11.3.4</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pPr>
        <w:pStyle w:val="131"/>
        <w:snapToGrid w:val="0"/>
        <w:spacing w:before="0"/>
        <w:ind w:firstLine="0" w:firstLineChars="0"/>
        <w:rPr>
          <w:rFonts w:ascii="宋体" w:hAnsi="宋体" w:cs="宋体"/>
          <w:b/>
          <w:color w:val="auto"/>
          <w:szCs w:val="24"/>
        </w:rPr>
      </w:pP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pPr>
        <w:pStyle w:val="35"/>
        <w:snapToGrid w:val="0"/>
        <w:spacing w:line="360" w:lineRule="auto"/>
        <w:rPr>
          <w:rFonts w:hAnsi="宋体" w:cs="宋体"/>
          <w:b/>
          <w:color w:val="auto"/>
          <w:sz w:val="24"/>
          <w:szCs w:val="24"/>
        </w:rPr>
      </w:pPr>
      <w:r>
        <w:rPr>
          <w:rFonts w:hint="eastAsia" w:hAnsi="宋体" w:cs="宋体"/>
          <w:b/>
          <w:color w:val="auto"/>
          <w:sz w:val="24"/>
          <w:szCs w:val="24"/>
        </w:rPr>
        <w:t>15.备份响应文件</w:t>
      </w:r>
    </w:p>
    <w:p>
      <w:pPr>
        <w:pStyle w:val="35"/>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pPr>
        <w:pStyle w:val="35"/>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pPr>
        <w:pStyle w:val="35"/>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pPr>
        <w:pStyle w:val="35"/>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pPr>
        <w:pStyle w:val="35"/>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pPr>
        <w:pStyle w:val="27"/>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pPr>
        <w:pStyle w:val="131"/>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pPr>
        <w:pStyle w:val="131"/>
        <w:spacing w:before="0"/>
        <w:ind w:firstLine="480"/>
        <w:rPr>
          <w:rFonts w:ascii="宋体" w:hAnsi="宋体" w:cs="宋体"/>
          <w:color w:val="auto"/>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color w:val="auto"/>
          <w:sz w:val="32"/>
        </w:rPr>
      </w:pP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pPr>
        <w:pStyle w:val="557"/>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1"/>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五、评审</w:t>
      </w:r>
    </w:p>
    <w:p>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六、成交供应商确定</w:t>
      </w:r>
    </w:p>
    <w:p>
      <w:pPr>
        <w:pStyle w:val="27"/>
        <w:spacing w:line="360" w:lineRule="auto"/>
        <w:ind w:left="479" w:hanging="479" w:hangingChars="199"/>
        <w:rPr>
          <w:rFonts w:cs="宋体"/>
          <w:b/>
          <w:color w:val="auto"/>
        </w:rPr>
      </w:pPr>
      <w:r>
        <w:rPr>
          <w:rFonts w:hint="eastAsia" w:cs="宋体"/>
          <w:b/>
          <w:color w:val="auto"/>
        </w:rPr>
        <w:t>22. 确定成交供应商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pPr>
        <w:pStyle w:val="27"/>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7"/>
        <w:snapToGrid w:val="0"/>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pPr>
        <w:pStyle w:val="27"/>
        <w:snapToGrid w:val="0"/>
        <w:spacing w:line="360" w:lineRule="auto"/>
        <w:ind w:left="479" w:hanging="479" w:hangingChars="199"/>
        <w:rPr>
          <w:rFonts w:cs="宋体"/>
          <w:b/>
          <w:color w:val="auto"/>
        </w:rPr>
      </w:pPr>
      <w:r>
        <w:rPr>
          <w:rFonts w:hint="eastAsia" w:cs="宋体"/>
          <w:b/>
          <w:color w:val="auto"/>
        </w:rPr>
        <w:t>26. 履约保证金</w:t>
      </w:r>
    </w:p>
    <w:p>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采购单位鼓励供应商采取履约保函形式提供信用保证；供应商提供保函的，采购单位不得拒收。项目验收结束后应及时退还，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4"/>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pPr>
        <w:pStyle w:val="4"/>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pPr>
        <w:pStyle w:val="27"/>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4"/>
        <w:adjustRightInd w:val="0"/>
        <w:snapToGrid w:val="0"/>
        <w:ind w:left="0" w:firstLine="480" w:firstLineChars="200"/>
        <w:rPr>
          <w:rFonts w:ascii="宋体" w:hAnsi="宋体" w:eastAsia="宋体" w:cs="宋体"/>
          <w:b w:val="0"/>
          <w:bCs w:val="0"/>
          <w:color w:val="auto"/>
          <w:kern w:val="0"/>
          <w:sz w:val="24"/>
          <w:szCs w:val="24"/>
          <w:lang w:val="en-US"/>
        </w:rPr>
      </w:pPr>
      <w:bookmarkStart w:id="19" w:name="_Hlt74714665"/>
      <w:bookmarkEnd w:id="19"/>
      <w:bookmarkStart w:id="20" w:name="_Hlt74730295"/>
      <w:bookmarkEnd w:id="20"/>
      <w:bookmarkStart w:id="21" w:name="_Hlt75236101"/>
      <w:bookmarkEnd w:id="21"/>
      <w:bookmarkStart w:id="22" w:name="_Hlt75236290"/>
      <w:bookmarkEnd w:id="22"/>
      <w:bookmarkStart w:id="23" w:name="_Hlt75236011"/>
      <w:bookmarkEnd w:id="23"/>
      <w:bookmarkStart w:id="24" w:name="_Hlt68072990"/>
      <w:bookmarkEnd w:id="24"/>
      <w:bookmarkStart w:id="25" w:name="_Hlt68403820"/>
      <w:bookmarkEnd w:id="25"/>
      <w:bookmarkStart w:id="26" w:name="_Hlt74707468"/>
      <w:bookmarkEnd w:id="26"/>
      <w:bookmarkStart w:id="27" w:name="_Hlt74729768"/>
      <w:bookmarkEnd w:id="27"/>
      <w:bookmarkStart w:id="28" w:name="_Hlt68057669"/>
      <w:bookmarkEnd w:id="28"/>
      <w:bookmarkStart w:id="29" w:name="_Hlt68073093"/>
      <w:bookmarkEnd w:id="29"/>
      <w:bookmarkStart w:id="30" w:name="_Hlt68072998"/>
      <w:bookmarkEnd w:id="30"/>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80"/>
        <w:rPr>
          <w:color w:val="auto"/>
        </w:rPr>
        <w:sectPr>
          <w:pgSz w:w="11906" w:h="16838"/>
          <w:pgMar w:top="1440" w:right="1080" w:bottom="1440" w:left="1080" w:header="851" w:footer="992" w:gutter="0"/>
          <w:cols w:space="720" w:num="1"/>
          <w:titlePg/>
          <w:docGrid w:linePitch="312" w:charSpace="0"/>
        </w:sectPr>
      </w:pPr>
    </w:p>
    <w:bookmarkEnd w:id="13"/>
    <w:bookmarkEnd w:id="14"/>
    <w:p>
      <w:pPr>
        <w:pStyle w:val="35"/>
        <w:spacing w:line="360" w:lineRule="auto"/>
        <w:jc w:val="center"/>
        <w:rPr>
          <w:rFonts w:hAnsi="宋体" w:cs="宋体"/>
          <w:b/>
          <w:snapToGrid/>
          <w:color w:val="auto"/>
          <w:sz w:val="36"/>
          <w:szCs w:val="20"/>
        </w:rPr>
      </w:pPr>
      <w:bookmarkStart w:id="31" w:name="第四部分"/>
      <w:r>
        <w:rPr>
          <w:rFonts w:hint="eastAsia" w:hAnsi="宋体" w:cs="宋体"/>
          <w:b/>
          <w:snapToGrid/>
          <w:color w:val="auto"/>
          <w:sz w:val="36"/>
          <w:szCs w:val="20"/>
        </w:rPr>
        <w:t>第三部分 采购需求</w:t>
      </w:r>
    </w:p>
    <w:p>
      <w:pPr>
        <w:spacing w:line="360" w:lineRule="auto"/>
        <w:ind w:firstLine="120" w:firstLineChars="50"/>
        <w:outlineLvl w:val="1"/>
        <w:rPr>
          <w:rFonts w:ascii="宋体" w:hAnsi="宋体" w:cs="仿宋_GB2312"/>
          <w:b/>
          <w:bCs/>
          <w:color w:val="auto"/>
          <w:sz w:val="24"/>
          <w:highlight w:val="none"/>
        </w:rPr>
      </w:pPr>
      <w:r>
        <w:rPr>
          <w:rFonts w:hint="eastAsia" w:ascii="宋体" w:hAnsi="宋体" w:cs="仿宋_GB2312"/>
          <w:b/>
          <w:bCs/>
          <w:color w:val="auto"/>
          <w:sz w:val="24"/>
          <w:highlight w:val="none"/>
        </w:rPr>
        <w:t>一、总则</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1.本技术规范要求提出的是最低限度的基本技术要求，并未对所有技术细节作出规定，供应商应提供符合本技术要求和国家标准、行业标准的优质施工。</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3.技术要求及标准的执行</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提供的施工应标明所执行的质量标准，若同一标准已颁发新标准，则按最新标准执行。若同一施工同时有几个标准（国际标准、国家标准、行业标准、企业标准等），则按最高层次的标准执行。供应商须按国家有关规定及标准完成本项目所需做的所有施工。</w:t>
      </w:r>
    </w:p>
    <w:p>
      <w:pPr>
        <w:spacing w:line="360" w:lineRule="auto"/>
        <w:jc w:val="left"/>
        <w:rPr>
          <w:rFonts w:ascii="宋体" w:hAnsi="宋体" w:cs="仿宋_GB2312"/>
          <w:b/>
          <w:bCs/>
          <w:color w:val="auto"/>
          <w:sz w:val="24"/>
        </w:rPr>
      </w:pPr>
      <w:r>
        <w:rPr>
          <w:rFonts w:hint="eastAsia" w:ascii="宋体" w:hAnsi="宋体" w:cs="仿宋_GB2312"/>
          <w:b/>
          <w:bCs/>
          <w:color w:val="auto"/>
          <w:sz w:val="24"/>
          <w:lang w:val="en-US" w:eastAsia="zh-CN"/>
        </w:rPr>
        <w:t>二</w:t>
      </w:r>
      <w:r>
        <w:rPr>
          <w:rFonts w:hint="eastAsia" w:ascii="宋体" w:hAnsi="宋体" w:cs="仿宋_GB2312"/>
          <w:b/>
          <w:bCs/>
          <w:color w:val="auto"/>
          <w:sz w:val="24"/>
        </w:rPr>
        <w:t>、工程概况</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采购项目：</w:t>
      </w:r>
      <w:r>
        <w:rPr>
          <w:rFonts w:hint="eastAsia" w:ascii="宋体" w:hAnsi="宋体" w:cs="仿宋_GB2312"/>
          <w:color w:val="auto"/>
          <w:sz w:val="24"/>
          <w:highlight w:val="none"/>
          <w:lang w:eastAsia="zh-CN"/>
        </w:rPr>
        <w:t>天水武林街道社区卫生服务中心武林分中心建设工程</w:t>
      </w:r>
    </w:p>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采购预算：人民币</w:t>
      </w:r>
      <w:r>
        <w:rPr>
          <w:rFonts w:hint="eastAsia" w:ascii="宋体" w:hAnsi="宋体" w:cs="宋体"/>
          <w:b/>
          <w:color w:val="auto"/>
          <w:sz w:val="24"/>
          <w:lang w:val="en-US" w:eastAsia="zh-CN"/>
        </w:rPr>
        <w:t>3700000</w:t>
      </w:r>
      <w:r>
        <w:rPr>
          <w:rFonts w:hint="eastAsia" w:ascii="宋体" w:hAnsi="宋体" w:cs="仿宋_GB2312"/>
          <w:color w:val="auto"/>
          <w:sz w:val="24"/>
          <w:highlight w:val="none"/>
        </w:rPr>
        <w:t>元整。</w:t>
      </w:r>
      <w:r>
        <w:rPr>
          <w:rFonts w:hint="eastAsia" w:ascii="宋体" w:hAnsi="宋体" w:cs="宋体"/>
          <w:color w:val="auto"/>
          <w:sz w:val="24"/>
        </w:rPr>
        <w:t xml:space="preserve"> 天水武林街道社区卫生服务中心武林分中心建设工程 </w:t>
      </w:r>
    </w:p>
    <w:p>
      <w:pPr>
        <w:spacing w:line="360" w:lineRule="auto"/>
        <w:ind w:firstLine="480" w:firstLineChars="200"/>
        <w:rPr>
          <w:rFonts w:hint="eastAsia" w:ascii="宋体" w:hAnsi="宋体" w:cs="仿宋_GB2312"/>
          <w:b/>
          <w:bCs/>
          <w:color w:val="auto"/>
          <w:sz w:val="24"/>
          <w:highlight w:val="none"/>
        </w:rPr>
      </w:pPr>
      <w:r>
        <w:rPr>
          <w:rFonts w:hint="eastAsia" w:ascii="宋体" w:hAnsi="宋体" w:cs="仿宋_GB2312"/>
          <w:color w:val="auto"/>
          <w:sz w:val="24"/>
          <w:highlight w:val="none"/>
        </w:rPr>
        <w:t>▲</w:t>
      </w:r>
      <w:r>
        <w:rPr>
          <w:rFonts w:hint="eastAsia" w:ascii="宋体" w:hAnsi="宋体" w:cs="仿宋_GB2312"/>
          <w:b/>
          <w:bCs/>
          <w:color w:val="auto"/>
          <w:sz w:val="24"/>
          <w:highlight w:val="none"/>
        </w:rPr>
        <w:t>最高限价：人民币</w:t>
      </w:r>
      <w:r>
        <w:rPr>
          <w:rFonts w:hint="eastAsia" w:ascii="宋体" w:hAnsi="宋体" w:cs="宋体"/>
          <w:b/>
          <w:color w:val="auto"/>
          <w:sz w:val="24"/>
          <w:lang w:val="en-US" w:eastAsia="zh-CN"/>
        </w:rPr>
        <w:t>3654371</w:t>
      </w:r>
      <w:r>
        <w:rPr>
          <w:rFonts w:hint="eastAsia" w:ascii="宋体" w:hAnsi="宋体" w:cs="仿宋_GB2312"/>
          <w:b/>
          <w:bCs/>
          <w:color w:val="auto"/>
          <w:sz w:val="24"/>
          <w:highlight w:val="none"/>
        </w:rPr>
        <w:t>元整。</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b/>
          <w:bCs/>
          <w:color w:val="auto"/>
          <w:sz w:val="24"/>
          <w:highlight w:val="none"/>
        </w:rPr>
        <w:t>工期：</w:t>
      </w:r>
      <w:r>
        <w:rPr>
          <w:rFonts w:hint="eastAsia" w:ascii="宋体" w:hAnsi="宋体" w:cs="仿宋_GB2312"/>
          <w:b/>
          <w:bCs/>
          <w:color w:val="auto"/>
          <w:sz w:val="24"/>
          <w:highlight w:val="none"/>
          <w:lang w:val="en-US" w:eastAsia="zh-CN"/>
        </w:rPr>
        <w:t>合同签订后90日历天。</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b/>
          <w:bCs/>
          <w:color w:val="auto"/>
          <w:sz w:val="24"/>
          <w:highlight w:val="none"/>
        </w:rPr>
        <w:t>质量目标：合格。</w:t>
      </w:r>
    </w:p>
    <w:p>
      <w:pPr>
        <w:spacing w:line="360" w:lineRule="auto"/>
        <w:ind w:firstLine="120" w:firstLineChars="50"/>
        <w:outlineLvl w:val="1"/>
        <w:rPr>
          <w:rFonts w:ascii="宋体" w:hAnsi="宋体" w:cs="仿宋_GB2312"/>
          <w:b/>
          <w:bCs/>
          <w:color w:val="auto"/>
          <w:sz w:val="24"/>
          <w:highlight w:val="none"/>
        </w:rPr>
      </w:pPr>
      <w:r>
        <w:rPr>
          <w:rFonts w:hint="eastAsia" w:ascii="宋体" w:hAnsi="宋体" w:cs="仿宋_GB2312"/>
          <w:b/>
          <w:bCs/>
          <w:color w:val="auto"/>
          <w:sz w:val="24"/>
          <w:highlight w:val="none"/>
        </w:rPr>
        <w:t>三、采购范围及要求</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1.采购范围：本工程为天水武林街道社区卫生服务中心武林分中心建设工程，一层、二层、三层部位装修、水电安装、消防、弱电改造等工程，建筑面积为2076m2。</w:t>
      </w:r>
      <w:r>
        <w:rPr>
          <w:rFonts w:hint="eastAsia" w:ascii="宋体" w:hAnsi="宋体" w:cs="仿宋_GB2312"/>
          <w:color w:val="auto"/>
          <w:sz w:val="24"/>
          <w:highlight w:val="none"/>
          <w:lang w:eastAsia="zh-CN"/>
        </w:rPr>
        <w:t>天水武林街道社区卫生服务中心武林分中心建设工程</w:t>
      </w:r>
      <w:r>
        <w:rPr>
          <w:rFonts w:hint="eastAsia" w:ascii="宋体" w:hAnsi="宋体" w:cs="仿宋_GB2312"/>
          <w:color w:val="auto"/>
          <w:sz w:val="24"/>
          <w:highlight w:val="none"/>
        </w:rPr>
        <w:t>的竞争性磋商文件、施工图纸、工程量清单范围内的所有内容。</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2.采购要求：实行包工、包料、包质量、包工期、包安全文明施工总承包。</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3.质量要求：符合现行国家有关工程施工验收规范和标准的合格要求。</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拟派项目团队要求</w:t>
      </w:r>
      <w:r>
        <w:rPr>
          <w:rFonts w:hint="eastAsia" w:ascii="宋体" w:hAnsi="宋体" w:cs="仿宋_GB2312"/>
          <w:color w:val="auto"/>
          <w:sz w:val="24"/>
          <w:highlight w:val="none"/>
        </w:rPr>
        <w:t>：</w:t>
      </w:r>
    </w:p>
    <w:p>
      <w:pPr>
        <w:spacing w:line="360" w:lineRule="auto"/>
        <w:ind w:firstLine="720" w:firstLineChars="3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4.1拟派</w:t>
      </w:r>
      <w:r>
        <w:rPr>
          <w:rFonts w:hint="eastAsia" w:ascii="宋体" w:hAnsi="宋体" w:eastAsia="宋体" w:cs="宋体"/>
          <w:color w:val="auto"/>
          <w:sz w:val="24"/>
          <w:highlight w:val="none"/>
        </w:rPr>
        <w:t>项目负责人为</w:t>
      </w:r>
      <w:r>
        <w:rPr>
          <w:rFonts w:hint="eastAsia" w:ascii="宋体" w:hAnsi="宋体" w:cs="宋体"/>
          <w:b/>
          <w:bCs/>
          <w:color w:val="auto"/>
          <w:sz w:val="24"/>
          <w:highlight w:val="none"/>
        </w:rPr>
        <w:t>建筑工程</w:t>
      </w:r>
      <w:r>
        <w:rPr>
          <w:rFonts w:hint="eastAsia" w:ascii="宋体" w:hAnsi="宋体" w:eastAsia="宋体" w:cs="宋体"/>
          <w:color w:val="auto"/>
          <w:sz w:val="24"/>
          <w:highlight w:val="none"/>
        </w:rPr>
        <w:t>专业贰级及以上注册建造师，同时具有“三类人员”B类证书</w:t>
      </w: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拟派</w:t>
      </w:r>
      <w:r>
        <w:rPr>
          <w:rFonts w:hint="eastAsia" w:ascii="宋体" w:hAnsi="宋体" w:eastAsia="宋体" w:cs="宋体"/>
          <w:color w:val="auto"/>
          <w:sz w:val="24"/>
          <w:highlight w:val="none"/>
        </w:rPr>
        <w:t>项目负责人在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截止日存在在其他任何在建合同工程上担任项目负责人的，不得以拟派项目负责人的身份参加本次</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的项目负责人视为有在建工程。</w:t>
      </w:r>
      <w:r>
        <w:rPr>
          <w:rFonts w:hint="eastAsia" w:ascii="宋体" w:hAnsi="宋体" w:eastAsia="宋体" w:cs="宋体"/>
          <w:color w:val="auto"/>
          <w:sz w:val="24"/>
          <w:highlight w:val="none"/>
          <w:lang w:eastAsia="zh-CN"/>
        </w:rPr>
        <w:t>（</w:t>
      </w:r>
      <w:r>
        <w:rPr>
          <w:rFonts w:hint="eastAsia" w:ascii="宋体" w:hAnsi="宋体"/>
          <w:color w:val="auto"/>
          <w:sz w:val="24"/>
          <w:highlight w:val="none"/>
        </w:rPr>
        <w:t>提供人员身份证扫描件、证书扫描件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响应截止时间前</w:t>
      </w:r>
      <w:r>
        <w:rPr>
          <w:rFonts w:hint="eastAsia" w:ascii="宋体" w:hAnsi="宋体"/>
          <w:color w:val="auto"/>
          <w:sz w:val="24"/>
          <w:highlight w:val="none"/>
        </w:rPr>
        <w:t>近三个月</w:t>
      </w:r>
      <w:r>
        <w:rPr>
          <w:rFonts w:hint="eastAsia" w:ascii="宋体" w:hAnsi="宋体"/>
          <w:color w:val="auto"/>
          <w:sz w:val="24"/>
          <w:highlight w:val="none"/>
          <w:lang w:val="en-US" w:eastAsia="zh-CN"/>
        </w:rPr>
        <w:t>内任意一个月</w:t>
      </w:r>
      <w:r>
        <w:rPr>
          <w:rFonts w:hint="eastAsia" w:ascii="宋体" w:hAnsi="宋体"/>
          <w:color w:val="auto"/>
          <w:sz w:val="24"/>
          <w:highlight w:val="none"/>
        </w:rPr>
        <w:t>在本单位缴纳社保证明</w:t>
      </w:r>
      <w:r>
        <w:rPr>
          <w:rFonts w:hint="eastAsia" w:ascii="宋体" w:hAnsi="宋体"/>
          <w:color w:val="auto"/>
          <w:sz w:val="24"/>
          <w:highlight w:val="none"/>
          <w:lang w:val="en-US" w:eastAsia="zh-CN"/>
        </w:rPr>
        <w:t>和</w:t>
      </w:r>
      <w:r>
        <w:rPr>
          <w:rFonts w:hint="eastAsia" w:ascii="宋体" w:hAnsi="宋体" w:eastAsia="宋体" w:cs="宋体"/>
          <w:color w:val="auto"/>
          <w:sz w:val="24"/>
          <w:highlight w:val="none"/>
          <w:lang w:val="en-US" w:eastAsia="zh-CN"/>
        </w:rPr>
        <w:t>项目经理无在建工程声明函加盖公章，未完全提供视为未实质性响应磋商文件要求</w:t>
      </w:r>
      <w:r>
        <w:rPr>
          <w:rFonts w:hint="eastAsia" w:ascii="宋体" w:hAnsi="宋体" w:eastAsia="宋体" w:cs="宋体"/>
          <w:color w:val="auto"/>
          <w:sz w:val="24"/>
          <w:highlight w:val="none"/>
          <w:lang w:eastAsia="zh-CN"/>
        </w:rPr>
        <w:t>）</w:t>
      </w:r>
    </w:p>
    <w:p>
      <w:pPr>
        <w:spacing w:line="360" w:lineRule="auto"/>
        <w:ind w:firstLine="720" w:firstLineChars="300"/>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4.2拟派</w:t>
      </w:r>
      <w:r>
        <w:rPr>
          <w:rFonts w:hint="eastAsia" w:ascii="宋体" w:hAnsi="宋体" w:eastAsia="宋体" w:cs="宋体"/>
          <w:color w:val="auto"/>
          <w:sz w:val="24"/>
          <w:highlight w:val="none"/>
        </w:rPr>
        <w:t>项目安全负责人具有“三类人员”</w:t>
      </w:r>
      <w:r>
        <w:rPr>
          <w:rFonts w:hint="eastAsia" w:ascii="宋体" w:hAnsi="宋体" w:eastAsia="宋体" w:cs="宋体"/>
          <w:color w:val="auto"/>
          <w:sz w:val="24"/>
          <w:highlight w:val="none"/>
          <w:lang w:val="en-US" w:eastAsia="zh-CN"/>
        </w:rPr>
        <w:t>C类</w:t>
      </w:r>
      <w:r>
        <w:rPr>
          <w:rFonts w:hint="eastAsia" w:ascii="宋体" w:hAnsi="宋体" w:eastAsia="宋体" w:cs="宋体"/>
          <w:color w:val="auto"/>
          <w:sz w:val="24"/>
          <w:highlight w:val="none"/>
        </w:rPr>
        <w:t>证书</w:t>
      </w:r>
      <w:r>
        <w:rPr>
          <w:rFonts w:hint="eastAsia" w:ascii="宋体" w:hAnsi="宋体" w:eastAsia="宋体" w:cs="宋体"/>
          <w:color w:val="auto"/>
          <w:sz w:val="24"/>
          <w:highlight w:val="none"/>
          <w:lang w:eastAsia="zh-CN"/>
        </w:rPr>
        <w:t>（该人员不得</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lang w:eastAsia="zh-CN"/>
        </w:rPr>
        <w:t>拟派本项目的其他管理人员重复）（</w:t>
      </w:r>
      <w:r>
        <w:rPr>
          <w:rFonts w:hint="eastAsia" w:ascii="宋体" w:hAnsi="宋体"/>
          <w:color w:val="auto"/>
          <w:sz w:val="24"/>
          <w:highlight w:val="none"/>
        </w:rPr>
        <w:t>提供人员身份证扫描件、证书扫描件及</w:t>
      </w:r>
      <w:r>
        <w:rPr>
          <w:rFonts w:hint="eastAsia" w:ascii="宋体" w:hAnsi="宋体"/>
          <w:color w:val="auto"/>
          <w:sz w:val="24"/>
          <w:highlight w:val="none"/>
          <w:lang w:val="en-US" w:eastAsia="zh-CN"/>
        </w:rPr>
        <w:t>响应截止时间前</w:t>
      </w:r>
      <w:r>
        <w:rPr>
          <w:rFonts w:hint="eastAsia" w:ascii="宋体" w:hAnsi="宋体"/>
          <w:color w:val="auto"/>
          <w:sz w:val="24"/>
          <w:highlight w:val="none"/>
        </w:rPr>
        <w:t>近三个月</w:t>
      </w:r>
      <w:r>
        <w:rPr>
          <w:rFonts w:hint="eastAsia" w:ascii="宋体" w:hAnsi="宋体"/>
          <w:color w:val="auto"/>
          <w:sz w:val="24"/>
          <w:highlight w:val="none"/>
          <w:lang w:val="en-US" w:eastAsia="zh-CN"/>
        </w:rPr>
        <w:t>内任意一个月</w:t>
      </w:r>
      <w:r>
        <w:rPr>
          <w:rFonts w:hint="eastAsia" w:ascii="宋体" w:hAnsi="宋体"/>
          <w:color w:val="auto"/>
          <w:sz w:val="24"/>
          <w:highlight w:val="none"/>
        </w:rPr>
        <w:t>在本单位缴纳社保证明</w:t>
      </w:r>
      <w:r>
        <w:rPr>
          <w:rFonts w:hint="eastAsia" w:ascii="宋体" w:hAnsi="宋体" w:eastAsia="宋体" w:cs="宋体"/>
          <w:color w:val="auto"/>
          <w:sz w:val="24"/>
          <w:highlight w:val="none"/>
          <w:lang w:val="en-US" w:eastAsia="zh-CN"/>
        </w:rPr>
        <w:t>，未完全提供视为未实质性响应磋商文件要求</w:t>
      </w:r>
      <w:r>
        <w:rPr>
          <w:rFonts w:hint="eastAsia" w:ascii="宋体" w:hAnsi="宋体" w:eastAsia="宋体" w:cs="宋体"/>
          <w:color w:val="auto"/>
          <w:sz w:val="24"/>
          <w:highlight w:val="none"/>
          <w:lang w:eastAsia="zh-CN"/>
        </w:rPr>
        <w:t>）</w:t>
      </w:r>
    </w:p>
    <w:p>
      <w:pPr>
        <w:spacing w:line="360" w:lineRule="auto"/>
        <w:ind w:firstLine="120" w:firstLineChars="50"/>
        <w:outlineLvl w:val="1"/>
        <w:rPr>
          <w:rFonts w:ascii="宋体" w:hAnsi="宋体" w:cs="仿宋_GB2312"/>
          <w:b/>
          <w:bCs/>
          <w:color w:val="auto"/>
          <w:sz w:val="24"/>
          <w:highlight w:val="none"/>
        </w:rPr>
      </w:pPr>
      <w:r>
        <w:rPr>
          <w:rFonts w:hint="eastAsia" w:ascii="宋体" w:hAnsi="宋体" w:cs="仿宋_GB2312"/>
          <w:b/>
          <w:bCs/>
          <w:color w:val="auto"/>
          <w:sz w:val="24"/>
          <w:highlight w:val="none"/>
        </w:rPr>
        <w:t>四、其他</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1.现行国家、省、市有关工程设计规范，强制性标准；</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2.与本工程有关的资料和供应商现场踏勘后的实际情况和业主要求。</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3.供应商应按第七章“工程量清单”的要求填写相应表格。</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4.计价方法统一以《建设工程工程量清单计价规范》（GB50500—2013）规定的项目编码、项目名称、计量单位、工程量计算规则为依据，并根据《浙江省建设工程计价规则》（2018 版），以采购人给出的工程量清单内容，参照浙江省2018版计价依据，结合项目具体条件和企业定额，自主报价。</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6.措施项目（包括施工技术措施和施工组织措施）是为完成工程项目施工，发生于该工程施工前和施工过程中技术、生活、安全等方面的非工程实体项目。</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7.供应商应对所有的措施项目按“措施项目分析表”进行报价分析，措施费用为包干费用。</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8.规费是指国家及地方政府规定必须交纳的费用，包括工程排污费、社会保障费、住房公积金、危险作业意外伤害保险费等。</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9.供应商需充分考虑以下影响因素，由此产生的费用计入磋商报价中：</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10.本工程采用包工、包料、包工期、包质量、包安全的形式，采用固定单价合同，施工期间如遇国家政策性调价，市场材料价格发生变化等，本工程单价均不予调整。变更工程量同意按实调整，但均按中标让利率让利。</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11.本工程由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实行总承包，不得转包，一旦发现转包者，</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有权终止承包合同，并向施工单位索赔转包造价5%以上10%以下的罚款。</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12.</w:t>
      </w: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在</w:t>
      </w:r>
      <w:r>
        <w:rPr>
          <w:rFonts w:hint="eastAsia" w:ascii="宋体" w:hAnsi="宋体" w:cs="仿宋_GB2312"/>
          <w:color w:val="auto"/>
          <w:sz w:val="24"/>
          <w:highlight w:val="none"/>
          <w:lang w:eastAsia="zh-CN"/>
        </w:rPr>
        <w:t>响应文件</w:t>
      </w:r>
      <w:r>
        <w:rPr>
          <w:rFonts w:hint="eastAsia" w:ascii="宋体" w:hAnsi="宋体" w:cs="仿宋_GB2312"/>
          <w:color w:val="auto"/>
          <w:sz w:val="24"/>
          <w:highlight w:val="none"/>
        </w:rPr>
        <w:t>中明确的项目负责人必须到位，不能更换，同时，项目负责人必须在施工现场到岗，且每月至少要到岗2</w:t>
      </w:r>
      <w:r>
        <w:rPr>
          <w:rFonts w:ascii="宋体" w:hAnsi="宋体" w:cs="仿宋_GB2312"/>
          <w:color w:val="auto"/>
          <w:sz w:val="24"/>
          <w:highlight w:val="none"/>
        </w:rPr>
        <w:t>2</w:t>
      </w:r>
      <w:r>
        <w:rPr>
          <w:rFonts w:hint="eastAsia" w:ascii="宋体" w:hAnsi="宋体" w:cs="仿宋_GB2312"/>
          <w:color w:val="auto"/>
          <w:sz w:val="24"/>
          <w:highlight w:val="none"/>
        </w:rPr>
        <w:t>天，到岗期间每天不少于8小时，否则视为未到岗，缺席一天扣300元，并列入考核内容，和</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另行签订管理合同。</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在</w:t>
      </w:r>
      <w:r>
        <w:rPr>
          <w:rFonts w:hint="eastAsia" w:ascii="宋体" w:hAnsi="宋体" w:cs="仿宋_GB2312"/>
          <w:color w:val="auto"/>
          <w:sz w:val="24"/>
          <w:highlight w:val="none"/>
          <w:lang w:val="en-US" w:eastAsia="zh-CN"/>
        </w:rPr>
        <w:t>合同签订</w:t>
      </w:r>
      <w:r>
        <w:rPr>
          <w:rFonts w:hint="eastAsia" w:ascii="宋体" w:hAnsi="宋体" w:cs="仿宋_GB2312"/>
          <w:color w:val="auto"/>
          <w:sz w:val="24"/>
          <w:highlight w:val="none"/>
        </w:rPr>
        <w:t>后2天内必须进场施工，</w:t>
      </w:r>
      <w:r>
        <w:rPr>
          <w:rFonts w:hint="eastAsia" w:ascii="宋体" w:hAnsi="宋体" w:cs="仿宋_GB2312"/>
          <w:color w:val="auto"/>
          <w:sz w:val="24"/>
          <w:highlight w:val="none"/>
          <w:lang w:val="en-US" w:eastAsia="zh-CN"/>
        </w:rPr>
        <w:t>合同签订</w:t>
      </w:r>
      <w:r>
        <w:rPr>
          <w:rFonts w:hint="eastAsia" w:ascii="宋体" w:hAnsi="宋体" w:cs="仿宋_GB2312"/>
          <w:color w:val="auto"/>
          <w:sz w:val="24"/>
          <w:highlight w:val="none"/>
        </w:rPr>
        <w:t>后5天内不进场施工</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可终止合同且扣除全部履约保证金（</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同意延迟开工除外），期间发生的一切费用由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承担。</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拒绝或者拖延与</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签订合同的，</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有权取消</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的中标资格。</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13.进场材料须由监理单位</w:t>
      </w:r>
      <w:r>
        <w:rPr>
          <w:rFonts w:hint="eastAsia" w:ascii="宋体" w:hAnsi="宋体" w:cs="仿宋_GB2312"/>
          <w:color w:val="auto"/>
          <w:sz w:val="24"/>
          <w:highlight w:val="none"/>
          <w:lang w:val="en-US" w:eastAsia="zh-CN"/>
        </w:rPr>
        <w:t>或采购人</w:t>
      </w:r>
      <w:r>
        <w:rPr>
          <w:rFonts w:hint="eastAsia" w:ascii="宋体" w:hAnsi="宋体" w:cs="仿宋_GB2312"/>
          <w:color w:val="auto"/>
          <w:sz w:val="24"/>
          <w:highlight w:val="none"/>
        </w:rPr>
        <w:t>验收合格后方可施工。</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14.</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在履约合同过程中，若出现三次以上施工检查不合格（包括质量、安全、工期等），</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有权终止合同。</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15.安全文明施工要求</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（1）施工现场用水、用电、施工便道由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自行解决，费用自理。</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负责施工期间与</w:t>
      </w:r>
      <w:r>
        <w:rPr>
          <w:rFonts w:hint="eastAsia" w:ascii="宋体" w:hAnsi="宋体" w:cs="仿宋_GB2312"/>
          <w:color w:val="auto"/>
          <w:sz w:val="24"/>
          <w:highlight w:val="none"/>
          <w:lang w:val="en-US" w:eastAsia="zh-CN"/>
        </w:rPr>
        <w:t>小区</w:t>
      </w:r>
      <w:r>
        <w:rPr>
          <w:rFonts w:hint="eastAsia" w:ascii="宋体" w:hAnsi="宋体" w:cs="仿宋_GB2312"/>
          <w:color w:val="auto"/>
          <w:sz w:val="24"/>
          <w:highlight w:val="none"/>
        </w:rPr>
        <w:t>户关系的协调。</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必须严格遵守安全、文明施工的操作规程，完善相关制度，落实安全措施，做好各项保险等工作，在工程开展期间发生安全事故均由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负责。</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（4）本工程凡涉及治安、市政、市容、环保、交通、等问题和费用均由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负责解决并承担经济支出。</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（5）施工时不得损坏一切公共设施，如有损坏必须照价赔偿或修复，费用由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承担。</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（6）施工期间应在显眼且安全的地方设置告示牌，告示牌的内容包括施工内容、施工工期、施工单位、项目负责人姓名与联系方式等。</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（7）施工期间，实行</w:t>
      </w:r>
      <w:r>
        <w:rPr>
          <w:rFonts w:hint="eastAsia" w:ascii="宋体" w:hAnsi="宋体" w:cs="仿宋_GB2312"/>
          <w:color w:val="auto"/>
          <w:sz w:val="24"/>
          <w:highlight w:val="none"/>
          <w:lang w:val="en-US" w:eastAsia="zh-CN"/>
        </w:rPr>
        <w:t>半</w:t>
      </w:r>
      <w:r>
        <w:rPr>
          <w:rFonts w:hint="eastAsia" w:ascii="宋体" w:hAnsi="宋体" w:cs="仿宋_GB2312"/>
          <w:color w:val="auto"/>
          <w:sz w:val="24"/>
          <w:highlight w:val="none"/>
        </w:rPr>
        <w:t>封闭管理，施工地段和施工设计范围必须设置有效安全设施和标志、标牌、警示灯，施工场地内外（材料、人员、车辆交通等）的安全责任由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负责，如发生各种事故，一切法律及经济责任由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承担，与</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无涉。工程施工中和竣工后因质量问题而引发的事故一切法律责任及经济责任由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承担。</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（8）现场用电的安装、设置、使用必须符合规范要求，现场用电接线及安装电器作业必须由电工完成，他人不得随意乱接乱挂，发现电线老化，破皮等要及时整改。</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（9）在施工过程中应注意环境卫生，确保工地现场周围的清洁、施工废料及时清理干净。</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（10）所有施工工作人员的用工手续、保险手续需齐全，费用由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承担，施工人员上下班途中及施工期间发生的一切安全事故责任由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自行负责，与</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无涉。施工现场必须按规定正确戴好安全帽；各相关工种必须按规定持证上岗。</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（11）</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应委派专人负责交通安全，引导过往车辆和行人通行，确保无交通安全事故发生，如发生交通安全事故，一切法律及经济责任由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承担，与</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无涉。</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（12）施工现场、土方及建筑材料运输途中等与本工程相关的所有安全事宜均由</w:t>
      </w:r>
      <w:r>
        <w:rPr>
          <w:rFonts w:hint="eastAsia" w:ascii="宋体" w:hAnsi="宋体" w:cs="仿宋_GB2312"/>
          <w:color w:val="auto"/>
          <w:sz w:val="24"/>
          <w:highlight w:val="none"/>
          <w:lang w:eastAsia="zh-CN"/>
        </w:rPr>
        <w:t>成交供应商</w:t>
      </w:r>
      <w:r>
        <w:rPr>
          <w:rFonts w:hint="eastAsia" w:ascii="宋体" w:hAnsi="宋体" w:cs="仿宋_GB2312"/>
          <w:color w:val="auto"/>
          <w:sz w:val="24"/>
          <w:highlight w:val="none"/>
        </w:rPr>
        <w:t>负责，并承担由此支出的一切费用。</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（13）</w:t>
      </w: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需要签署安全文明承诺书。</w:t>
      </w:r>
    </w:p>
    <w:p>
      <w:pPr>
        <w:tabs>
          <w:tab w:val="left" w:pos="543"/>
          <w:tab w:val="left" w:pos="723"/>
        </w:tabs>
        <w:spacing w:line="360" w:lineRule="auto"/>
        <w:jc w:val="left"/>
        <w:rPr>
          <w:rFonts w:hint="eastAsia" w:ascii="宋体" w:hAnsi="宋体" w:eastAsia="宋体" w:cs="宋体"/>
          <w:color w:val="auto"/>
          <w:sz w:val="21"/>
          <w:szCs w:val="21"/>
          <w:highlight w:val="none"/>
        </w:rPr>
      </w:pPr>
      <w:r>
        <w:rPr>
          <w:rFonts w:hint="eastAsia" w:ascii="宋体" w:hAnsi="宋体" w:cs="仿宋_GB2312"/>
          <w:color w:val="auto"/>
          <w:sz w:val="24"/>
          <w:highlight w:val="none"/>
          <w:lang w:val="en-US" w:eastAsia="zh-CN"/>
        </w:rPr>
        <w:t>16.</w:t>
      </w:r>
      <w:r>
        <w:rPr>
          <w:rFonts w:hint="eastAsia" w:ascii="宋体" w:hAnsi="宋体" w:eastAsia="宋体" w:cs="宋体"/>
          <w:b/>
          <w:color w:val="auto"/>
          <w:sz w:val="21"/>
          <w:szCs w:val="21"/>
          <w:highlight w:val="none"/>
        </w:rPr>
        <w:t>主要材料（设备）品牌与要求：</w:t>
      </w:r>
    </w:p>
    <w:p>
      <w:pPr>
        <w:numPr>
          <w:ilvl w:val="0"/>
          <w:numId w:val="1"/>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招标人在工程量清单表1-6及材料品牌推荐表中对材料设备品牌及系列、规格、型号等有要求的，投标人应按要求选择，并在“备注栏”中注明。如未标明，则由招标人在要求范围内指定。</w:t>
      </w:r>
    </w:p>
    <w:p>
      <w:pPr>
        <w:numPr>
          <w:ilvl w:val="0"/>
          <w:numId w:val="1"/>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投标单位如在施工过程中若采用与招标同档次品牌，必须经发包人签证同意后实施，否则不予以实施和结算。</w:t>
      </w:r>
    </w:p>
    <w:p>
      <w:pPr>
        <w:numPr>
          <w:ilvl w:val="0"/>
          <w:numId w:val="1"/>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招标文件未提供品牌的材料，施工单位须报产地、品牌、规格。未推荐品牌的材料设备应采用市场中档品牌的国标产品，必须经发包人签证同意后实施，否则不予以实施和结算。</w:t>
      </w:r>
    </w:p>
    <w:p>
      <w:pPr>
        <w:numPr>
          <w:ilvl w:val="0"/>
          <w:numId w:val="1"/>
        </w:numPr>
        <w:spacing w:line="360" w:lineRule="auto"/>
        <w:ind w:left="0" w:firstLine="422" w:firstLineChars="200"/>
        <w:rPr>
          <w:rFonts w:hint="default" w:ascii="宋体" w:hAnsi="宋体" w:eastAsia="宋体" w:cs="Times New Roman"/>
          <w:b/>
          <w:bCs/>
          <w:color w:val="auto"/>
          <w:kern w:val="0"/>
          <w:szCs w:val="21"/>
          <w:highlight w:val="none"/>
          <w:lang w:val="en-US" w:eastAsia="zh-CN"/>
        </w:rPr>
      </w:pPr>
      <w:r>
        <w:rPr>
          <w:rFonts w:hint="eastAsia" w:ascii="宋体" w:hAnsi="宋体" w:eastAsia="宋体" w:cs="宋体"/>
          <w:b/>
          <w:bCs/>
          <w:color w:val="auto"/>
          <w:sz w:val="21"/>
          <w:szCs w:val="21"/>
          <w:highlight w:val="none"/>
        </w:rPr>
        <w:t>主要材料（设备）品牌：</w:t>
      </w:r>
    </w:p>
    <w:tbl>
      <w:tblPr>
        <w:tblStyle w:val="62"/>
        <w:tblpPr w:leftFromText="180" w:rightFromText="180" w:vertAnchor="text" w:horzAnchor="page" w:tblpX="1266" w:tblpY="210"/>
        <w:tblOverlap w:val="never"/>
        <w:tblW w:w="9627" w:type="dxa"/>
        <w:tblInd w:w="0" w:type="dxa"/>
        <w:tblLayout w:type="autofit"/>
        <w:tblCellMar>
          <w:top w:w="0" w:type="dxa"/>
          <w:left w:w="108" w:type="dxa"/>
          <w:bottom w:w="0" w:type="dxa"/>
          <w:right w:w="108" w:type="dxa"/>
        </w:tblCellMar>
      </w:tblPr>
      <w:tblGrid>
        <w:gridCol w:w="710"/>
        <w:gridCol w:w="1417"/>
        <w:gridCol w:w="2387"/>
        <w:gridCol w:w="5113"/>
      </w:tblGrid>
      <w:tr>
        <w:tblPrEx>
          <w:tblCellMar>
            <w:top w:w="0" w:type="dxa"/>
            <w:left w:w="108" w:type="dxa"/>
            <w:bottom w:w="0" w:type="dxa"/>
            <w:right w:w="108" w:type="dxa"/>
          </w:tblCellMar>
        </w:tblPrEx>
        <w:trPr>
          <w:trHeight w:val="630" w:hRule="atLeast"/>
        </w:trPr>
        <w:tc>
          <w:tcPr>
            <w:tcW w:w="9627" w:type="dxa"/>
            <w:gridSpan w:val="4"/>
            <w:tcBorders>
              <w:top w:val="nil"/>
              <w:left w:val="nil"/>
              <w:bottom w:val="single" w:color="auto" w:sz="4" w:space="0"/>
              <w:right w:val="nil"/>
            </w:tcBorders>
            <w:noWrap/>
            <w:vAlign w:val="center"/>
          </w:tcPr>
          <w:p>
            <w:pPr>
              <w:widowControl/>
              <w:rPr>
                <w:rFonts w:ascii="宋体" w:hAnsi="宋体" w:cs="宋体"/>
                <w:b/>
                <w:bCs/>
                <w:color w:val="auto"/>
                <w:kern w:val="0"/>
                <w:sz w:val="28"/>
                <w:szCs w:val="28"/>
              </w:rPr>
            </w:pPr>
            <w:r>
              <w:rPr>
                <w:rFonts w:hint="eastAsia" w:ascii="宋体" w:hAnsi="宋体" w:cs="宋体"/>
                <w:color w:val="auto"/>
                <w:kern w:val="0"/>
                <w:sz w:val="22"/>
                <w:szCs w:val="22"/>
              </w:rPr>
              <w:t>1、土建部分</w:t>
            </w:r>
          </w:p>
        </w:tc>
      </w:tr>
      <w:tr>
        <w:trPr>
          <w:trHeight w:val="312" w:hRule="atLeast"/>
        </w:trPr>
        <w:tc>
          <w:tcPr>
            <w:tcW w:w="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Courier New" w:hAnsi="Courier New" w:cs="宋体"/>
                <w:color w:val="auto"/>
                <w:kern w:val="0"/>
                <w:sz w:val="24"/>
              </w:rPr>
            </w:pPr>
            <w:r>
              <w:rPr>
                <w:rFonts w:ascii="Courier New" w:hAnsi="Courier New" w:cs="宋体"/>
                <w:color w:val="auto"/>
                <w:kern w:val="0"/>
                <w:sz w:val="24"/>
              </w:rPr>
              <w:t>序号</w:t>
            </w:r>
          </w:p>
        </w:tc>
        <w:tc>
          <w:tcPr>
            <w:tcW w:w="380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ourier New" w:hAnsi="Courier New" w:cs="宋体"/>
                <w:color w:val="auto"/>
                <w:kern w:val="0"/>
                <w:sz w:val="24"/>
              </w:rPr>
            </w:pPr>
            <w:r>
              <w:rPr>
                <w:rFonts w:ascii="Courier New" w:hAnsi="Courier New" w:cs="宋体"/>
                <w:color w:val="auto"/>
                <w:kern w:val="0"/>
                <w:sz w:val="24"/>
              </w:rPr>
              <w:t>材料名称</w:t>
            </w:r>
          </w:p>
        </w:tc>
        <w:tc>
          <w:tcPr>
            <w:tcW w:w="51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Courier New" w:hAnsi="Courier New" w:cs="宋体"/>
                <w:color w:val="auto"/>
                <w:kern w:val="0"/>
                <w:sz w:val="24"/>
              </w:rPr>
            </w:pPr>
            <w:r>
              <w:rPr>
                <w:rFonts w:ascii="Courier New" w:hAnsi="Courier New" w:cs="宋体"/>
                <w:color w:val="auto"/>
                <w:kern w:val="0"/>
                <w:sz w:val="24"/>
              </w:rPr>
              <w:t>品牌、型号</w:t>
            </w:r>
          </w:p>
        </w:tc>
      </w:tr>
      <w:tr>
        <w:tblPrEx>
          <w:tblCellMar>
            <w:top w:w="0" w:type="dxa"/>
            <w:left w:w="108" w:type="dxa"/>
            <w:bottom w:w="0" w:type="dxa"/>
            <w:right w:w="108" w:type="dxa"/>
          </w:tblCellMar>
        </w:tblPrEx>
        <w:trPr>
          <w:trHeight w:val="312" w:hRule="atLeast"/>
        </w:trPr>
        <w:tc>
          <w:tcPr>
            <w:tcW w:w="7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Courier New" w:hAnsi="Courier New" w:cs="宋体"/>
                <w:color w:val="auto"/>
                <w:kern w:val="0"/>
                <w:sz w:val="24"/>
              </w:rPr>
            </w:pPr>
          </w:p>
        </w:tc>
        <w:tc>
          <w:tcPr>
            <w:tcW w:w="380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ourier New" w:hAnsi="Courier New" w:cs="宋体"/>
                <w:color w:val="auto"/>
                <w:kern w:val="0"/>
                <w:sz w:val="24"/>
              </w:rPr>
            </w:pPr>
          </w:p>
        </w:tc>
        <w:tc>
          <w:tcPr>
            <w:tcW w:w="51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Courier New" w:hAnsi="Courier New" w:cs="宋体"/>
                <w:color w:val="auto"/>
                <w:kern w:val="0"/>
                <w:sz w:val="24"/>
              </w:rPr>
            </w:pP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ourier New" w:hAnsi="Courier New" w:eastAsia="宋体" w:cs="宋体"/>
                <w:color w:val="auto"/>
                <w:kern w:val="0"/>
                <w:sz w:val="22"/>
                <w:szCs w:val="22"/>
                <w:lang w:eastAsia="zh-CN"/>
              </w:rPr>
            </w:pPr>
            <w:r>
              <w:rPr>
                <w:rFonts w:hint="eastAsia" w:ascii="Courier New" w:hAnsi="Courier New" w:cs="宋体"/>
                <w:color w:val="auto"/>
                <w:kern w:val="0"/>
                <w:sz w:val="22"/>
                <w:szCs w:val="22"/>
                <w:lang w:val="en-US" w:eastAsia="zh-CN"/>
              </w:rPr>
              <w:t>1</w:t>
            </w:r>
          </w:p>
        </w:tc>
        <w:tc>
          <w:tcPr>
            <w:tcW w:w="38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外墙涂料、内墙乳胶漆</w:t>
            </w:r>
          </w:p>
        </w:tc>
        <w:tc>
          <w:tcPr>
            <w:tcW w:w="51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嘉宝莉、多乐士、立邦、华润或同档次及以上</w:t>
            </w:r>
          </w:p>
        </w:tc>
      </w:tr>
      <w:tr>
        <w:trPr>
          <w:trHeight w:val="57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ascii="Courier New" w:hAnsi="Courier New" w:cs="宋体"/>
                <w:color w:val="auto"/>
                <w:kern w:val="0"/>
                <w:sz w:val="22"/>
                <w:szCs w:val="22"/>
              </w:rPr>
            </w:pPr>
            <w:r>
              <w:rPr>
                <w:rFonts w:ascii="Courier New" w:hAnsi="Courier New" w:cs="宋体"/>
                <w:color w:val="auto"/>
                <w:kern w:val="0"/>
                <w:sz w:val="22"/>
                <w:szCs w:val="22"/>
              </w:rPr>
              <w:t>2</w:t>
            </w:r>
          </w:p>
        </w:tc>
        <w:tc>
          <w:tcPr>
            <w:tcW w:w="38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墙、地面抛光砖、玻化砖，卫生间防滑地砖、墙面砖</w:t>
            </w:r>
          </w:p>
        </w:tc>
        <w:tc>
          <w:tcPr>
            <w:tcW w:w="51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马可波罗、斯米克、诺贝尔、广东萨米特、广东欧美、广东东鹏或同档次及以上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3</w:t>
            </w:r>
          </w:p>
        </w:tc>
        <w:tc>
          <w:tcPr>
            <w:tcW w:w="38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木质防火门</w:t>
            </w:r>
          </w:p>
        </w:tc>
        <w:tc>
          <w:tcPr>
            <w:tcW w:w="51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杭木杜鹃、杭州灯塔、杭州钱江、</w:t>
            </w:r>
            <w:r>
              <w:rPr>
                <w:rFonts w:hint="eastAsia" w:ascii="宋体" w:hAnsi="宋体" w:cs="宋体"/>
                <w:color w:val="auto"/>
                <w:kern w:val="0"/>
                <w:sz w:val="22"/>
                <w:szCs w:val="22"/>
                <w:lang w:val="en-US" w:eastAsia="zh-CN"/>
              </w:rPr>
              <w:t>百佳乐</w:t>
            </w:r>
            <w:r>
              <w:rPr>
                <w:rFonts w:hint="eastAsia" w:ascii="宋体" w:hAnsi="宋体" w:cs="宋体"/>
                <w:color w:val="auto"/>
                <w:kern w:val="0"/>
                <w:sz w:val="22"/>
                <w:szCs w:val="22"/>
              </w:rPr>
              <w:t>、钱江、采丰或同档次及以上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4</w:t>
            </w:r>
          </w:p>
        </w:tc>
        <w:tc>
          <w:tcPr>
            <w:tcW w:w="38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板材</w:t>
            </w:r>
          </w:p>
        </w:tc>
        <w:tc>
          <w:tcPr>
            <w:tcW w:w="51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千年舟、兔宝宝、莫干山、森鹿或同档次及以上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5</w:t>
            </w:r>
          </w:p>
        </w:tc>
        <w:tc>
          <w:tcPr>
            <w:tcW w:w="38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石膏板</w:t>
            </w:r>
          </w:p>
        </w:tc>
        <w:tc>
          <w:tcPr>
            <w:tcW w:w="51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拉法基、龙牌、可耐福、杰科或同档次及以上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6</w:t>
            </w:r>
          </w:p>
        </w:tc>
        <w:tc>
          <w:tcPr>
            <w:tcW w:w="38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改性沥青防水卷材</w:t>
            </w:r>
          </w:p>
        </w:tc>
        <w:tc>
          <w:tcPr>
            <w:tcW w:w="51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月皇、东方雨虹、大明、宏源或同档次及以上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7</w:t>
            </w:r>
          </w:p>
        </w:tc>
        <w:tc>
          <w:tcPr>
            <w:tcW w:w="38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防水涂料</w:t>
            </w:r>
          </w:p>
        </w:tc>
        <w:tc>
          <w:tcPr>
            <w:tcW w:w="51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月皇、东方雨虹、大明、宏源或同档次及以上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8</w:t>
            </w:r>
          </w:p>
        </w:tc>
        <w:tc>
          <w:tcPr>
            <w:tcW w:w="1417" w:type="dxa"/>
            <w:tcBorders>
              <w:top w:val="nil"/>
              <w:left w:val="nil"/>
              <w:bottom w:val="nil"/>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铝合金窗</w:t>
            </w:r>
          </w:p>
        </w:tc>
        <w:tc>
          <w:tcPr>
            <w:tcW w:w="2387" w:type="dxa"/>
            <w:tcBorders>
              <w:top w:val="nil"/>
              <w:left w:val="nil"/>
              <w:bottom w:val="nil"/>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铝合金   型材、角码</w:t>
            </w:r>
          </w:p>
        </w:tc>
        <w:tc>
          <w:tcPr>
            <w:tcW w:w="51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凤铝、坚美、兴发、亚铝或同档次及以上</w:t>
            </w:r>
          </w:p>
        </w:tc>
      </w:tr>
      <w:tr>
        <w:trPr>
          <w:trHeight w:val="48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9</w:t>
            </w:r>
          </w:p>
        </w:tc>
        <w:tc>
          <w:tcPr>
            <w:tcW w:w="3804" w:type="dxa"/>
            <w:gridSpan w:val="2"/>
            <w:tcBorders>
              <w:top w:val="single" w:color="auto" w:sz="4" w:space="0"/>
              <w:left w:val="nil"/>
              <w:bottom w:val="single" w:color="auto" w:sz="4" w:space="0"/>
              <w:right w:val="single" w:color="auto" w:sz="4" w:space="0"/>
            </w:tcBorders>
            <w:noWrap/>
            <w:vAlign w:val="top"/>
          </w:tcPr>
          <w:p>
            <w:pPr>
              <w:widowControl/>
              <w:jc w:val="left"/>
              <w:rPr>
                <w:rFonts w:ascii="宋体" w:hAnsi="宋体" w:cs="宋体"/>
                <w:color w:val="auto"/>
                <w:kern w:val="0"/>
                <w:sz w:val="22"/>
                <w:szCs w:val="22"/>
              </w:rPr>
            </w:pPr>
            <w:r>
              <w:rPr>
                <w:rFonts w:hint="eastAsia" w:ascii="宋体" w:hAnsi="宋体" w:cs="宋体"/>
                <w:color w:val="auto"/>
                <w:kern w:val="0"/>
                <w:sz w:val="22"/>
                <w:szCs w:val="22"/>
              </w:rPr>
              <w:t>实木复合地板</w:t>
            </w:r>
          </w:p>
        </w:tc>
        <w:tc>
          <w:tcPr>
            <w:tcW w:w="5113" w:type="dxa"/>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大自然、</w:t>
            </w:r>
            <w:r>
              <w:rPr>
                <w:rFonts w:hint="eastAsia" w:ascii="宋体" w:hAnsi="宋体" w:cs="宋体"/>
                <w:color w:val="auto"/>
                <w:kern w:val="0"/>
                <w:sz w:val="22"/>
                <w:szCs w:val="22"/>
                <w:lang w:val="en-US" w:eastAsia="zh-CN"/>
              </w:rPr>
              <w:t>天目山</w:t>
            </w:r>
            <w:r>
              <w:rPr>
                <w:rFonts w:hint="eastAsia" w:ascii="宋体" w:hAnsi="宋体" w:cs="宋体"/>
                <w:color w:val="auto"/>
                <w:kern w:val="0"/>
                <w:sz w:val="22"/>
                <w:szCs w:val="22"/>
              </w:rPr>
              <w:t>、圣象或同档次及以上</w:t>
            </w:r>
          </w:p>
        </w:tc>
      </w:tr>
      <w:tr>
        <w:tblPrEx>
          <w:tblCellMar>
            <w:top w:w="0" w:type="dxa"/>
            <w:left w:w="108" w:type="dxa"/>
            <w:bottom w:w="0" w:type="dxa"/>
            <w:right w:w="108" w:type="dxa"/>
          </w:tblCellMar>
        </w:tblPrEx>
        <w:trPr>
          <w:trHeight w:val="48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w:t>
            </w:r>
          </w:p>
        </w:tc>
        <w:tc>
          <w:tcPr>
            <w:tcW w:w="3804" w:type="dxa"/>
            <w:gridSpan w:val="2"/>
            <w:tcBorders>
              <w:top w:val="single" w:color="auto" w:sz="4" w:space="0"/>
              <w:left w:val="nil"/>
              <w:bottom w:val="single" w:color="auto" w:sz="4" w:space="0"/>
              <w:right w:val="single" w:color="auto" w:sz="4" w:space="0"/>
            </w:tcBorders>
            <w:noWrap/>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铝扣板</w:t>
            </w:r>
          </w:p>
        </w:tc>
        <w:tc>
          <w:tcPr>
            <w:tcW w:w="5113"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豪亚</w:t>
            </w:r>
            <w:r>
              <w:rPr>
                <w:rFonts w:hint="eastAsia" w:ascii="宋体" w:hAnsi="宋体" w:cs="宋体"/>
                <w:color w:val="auto"/>
                <w:kern w:val="0"/>
                <w:sz w:val="22"/>
                <w:szCs w:val="22"/>
              </w:rPr>
              <w:t>、奥普、宝兰，或同档次及以上</w:t>
            </w:r>
          </w:p>
        </w:tc>
      </w:tr>
      <w:tr>
        <w:tblPrEx>
          <w:tblCellMar>
            <w:top w:w="0" w:type="dxa"/>
            <w:left w:w="108" w:type="dxa"/>
            <w:bottom w:w="0" w:type="dxa"/>
            <w:right w:w="108" w:type="dxa"/>
          </w:tblCellMar>
        </w:tblPrEx>
        <w:trPr>
          <w:trHeight w:val="36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11</w:t>
            </w:r>
          </w:p>
        </w:tc>
        <w:tc>
          <w:tcPr>
            <w:tcW w:w="3804" w:type="dxa"/>
            <w:gridSpan w:val="2"/>
            <w:tcBorders>
              <w:top w:val="single" w:color="auto" w:sz="4" w:space="0"/>
              <w:left w:val="nil"/>
              <w:bottom w:val="single" w:color="auto" w:sz="4" w:space="0"/>
              <w:right w:val="single" w:color="auto" w:sz="4" w:space="0"/>
            </w:tcBorders>
            <w:noWrap/>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轻钢龙骨</w:t>
            </w:r>
          </w:p>
        </w:tc>
        <w:tc>
          <w:tcPr>
            <w:tcW w:w="5113"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龙牌、大地、友邦，或同档次及以上</w:t>
            </w:r>
          </w:p>
        </w:tc>
      </w:tr>
      <w:tr>
        <w:tblPrEx>
          <w:tblCellMar>
            <w:top w:w="0" w:type="dxa"/>
            <w:left w:w="108" w:type="dxa"/>
            <w:bottom w:w="0" w:type="dxa"/>
            <w:right w:w="108" w:type="dxa"/>
          </w:tblCellMar>
        </w:tblPrEx>
        <w:trPr>
          <w:trHeight w:val="40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12</w:t>
            </w:r>
          </w:p>
        </w:tc>
        <w:tc>
          <w:tcPr>
            <w:tcW w:w="3804"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地胶板</w:t>
            </w:r>
          </w:p>
        </w:tc>
        <w:tc>
          <w:tcPr>
            <w:tcW w:w="51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阿姆斯壮、洁福、英国保丽、LG、得嘉、 福尔波</w:t>
            </w:r>
          </w:p>
        </w:tc>
      </w:tr>
      <w:tr>
        <w:tblPrEx>
          <w:tblCellMar>
            <w:top w:w="0" w:type="dxa"/>
            <w:left w:w="108" w:type="dxa"/>
            <w:bottom w:w="0" w:type="dxa"/>
            <w:right w:w="108" w:type="dxa"/>
          </w:tblCellMar>
        </w:tblPrEx>
        <w:trPr>
          <w:trHeight w:val="345"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13</w:t>
            </w:r>
          </w:p>
        </w:tc>
        <w:tc>
          <w:tcPr>
            <w:tcW w:w="3804"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铝板及铝塑板</w:t>
            </w:r>
          </w:p>
        </w:tc>
        <w:tc>
          <w:tcPr>
            <w:tcW w:w="51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上海吉祥、江阴海达、上海华源</w:t>
            </w:r>
          </w:p>
        </w:tc>
      </w:tr>
      <w:tr>
        <w:tblPrEx>
          <w:tblCellMar>
            <w:top w:w="0" w:type="dxa"/>
            <w:left w:w="108" w:type="dxa"/>
            <w:bottom w:w="0" w:type="dxa"/>
            <w:right w:w="108" w:type="dxa"/>
          </w:tblCellMar>
        </w:tblPrEx>
        <w:trPr>
          <w:trHeight w:val="165"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14</w:t>
            </w:r>
          </w:p>
        </w:tc>
        <w:tc>
          <w:tcPr>
            <w:tcW w:w="3804"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防水卷材</w:t>
            </w:r>
          </w:p>
        </w:tc>
        <w:tc>
          <w:tcPr>
            <w:tcW w:w="51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绿都、大禹、雨虹</w:t>
            </w:r>
          </w:p>
        </w:tc>
      </w:tr>
    </w:tbl>
    <w:p>
      <w:pPr>
        <w:widowControl w:val="0"/>
        <w:numPr>
          <w:ilvl w:val="0"/>
          <w:numId w:val="0"/>
        </w:numPr>
        <w:tabs>
          <w:tab w:val="left" w:pos="704"/>
        </w:tabs>
        <w:spacing w:line="360" w:lineRule="auto"/>
        <w:jc w:val="both"/>
        <w:rPr>
          <w:rFonts w:hint="default" w:ascii="宋体" w:hAnsi="宋体" w:eastAsia="宋体" w:cs="宋体"/>
          <w:color w:val="auto"/>
          <w:sz w:val="21"/>
          <w:szCs w:val="21"/>
          <w:highlight w:val="none"/>
          <w:lang w:val="en-US" w:eastAsia="zh-CN"/>
        </w:rPr>
      </w:pPr>
    </w:p>
    <w:p>
      <w:pPr>
        <w:widowControl/>
        <w:jc w:val="left"/>
        <w:rPr>
          <w:rFonts w:hint="eastAsia" w:ascii="宋体" w:hAnsi="宋体" w:cs="宋体"/>
          <w:color w:val="auto"/>
          <w:kern w:val="0"/>
          <w:sz w:val="22"/>
          <w:szCs w:val="22"/>
        </w:rPr>
      </w:pP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2、安装部分</w:t>
      </w:r>
    </w:p>
    <w:tbl>
      <w:tblPr>
        <w:tblStyle w:val="62"/>
        <w:tblpPr w:leftFromText="180" w:rightFromText="180" w:vertAnchor="text" w:horzAnchor="page" w:tblpX="1178" w:tblpY="314"/>
        <w:tblOverlap w:val="never"/>
        <w:tblW w:w="9678" w:type="dxa"/>
        <w:tblInd w:w="0" w:type="dxa"/>
        <w:tblLayout w:type="autofit"/>
        <w:tblCellMar>
          <w:top w:w="0" w:type="dxa"/>
          <w:left w:w="108" w:type="dxa"/>
          <w:bottom w:w="0" w:type="dxa"/>
          <w:right w:w="108" w:type="dxa"/>
        </w:tblCellMar>
      </w:tblPr>
      <w:tblGrid>
        <w:gridCol w:w="710"/>
        <w:gridCol w:w="2268"/>
        <w:gridCol w:w="6700"/>
      </w:tblGrid>
      <w:tr>
        <w:trPr>
          <w:trHeight w:val="312" w:hRule="atLeast"/>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序号</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材料名称</w:t>
            </w:r>
          </w:p>
        </w:tc>
        <w:tc>
          <w:tcPr>
            <w:tcW w:w="6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原品牌、型号</w:t>
            </w:r>
          </w:p>
        </w:tc>
      </w:tr>
      <w:tr>
        <w:tblPrEx>
          <w:tblCellMar>
            <w:top w:w="0" w:type="dxa"/>
            <w:left w:w="108" w:type="dxa"/>
            <w:bottom w:w="0" w:type="dxa"/>
            <w:right w:w="108" w:type="dxa"/>
          </w:tblCellMar>
        </w:tblPrEx>
        <w:trPr>
          <w:trHeight w:val="312"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c>
          <w:tcPr>
            <w:tcW w:w="6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灯具、光源</w:t>
            </w:r>
          </w:p>
        </w:tc>
        <w:tc>
          <w:tcPr>
            <w:tcW w:w="67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飞利浦、三雄极光、雷士或同档次及以上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洁具（含五金件）</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箭牌、美标、TOTO或同档次及以上</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3</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配电箱、配电柜</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杭州金盾、白象、杭开、德力西（元器件采用ABB、MOELLER、西门子、施耐德）、航远、贝斯特、正泰、鸿雁或同档次及以上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4</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开关、插座、面板</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施耐德 、TCL 、松日、鸿雁、TCL、西门子或同档次及以上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5</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阀门、过滤器、软接</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（宁波）埃美柯、（杭州）春江、（上海）冠龙或同档次及以上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6</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闭门器</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lang w:val="en-US" w:eastAsia="zh-CN"/>
              </w:rPr>
              <w:t>固顶</w:t>
            </w:r>
            <w:r>
              <w:rPr>
                <w:rFonts w:hint="eastAsia" w:ascii="宋体" w:hAnsi="宋体" w:cs="宋体"/>
                <w:color w:val="auto"/>
                <w:kern w:val="0"/>
                <w:sz w:val="22"/>
                <w:szCs w:val="22"/>
              </w:rPr>
              <w:t>、上海东丰五金、 德国G-U或同档次及以上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6</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消火栓、水带、水枪</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浙江永安、杭州信达、上海万安达、杭州金盾或同档次及以上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8</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风机</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上风、专风、五星、上虞捷丰、上虞专用、当代或同档次及以上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9</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通风风阀、风口</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杭州恒通、 杭州金盾、东阳都乐或同档次及以上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防火阀、消声器</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杭州恒通、杭州金盾、东阳都乐或同档次及以上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11</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自动消防报警系统</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上海松江、秦皇岛海湾、北京利达或同档次及以上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12</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湿式报警阀、水流指示器、喷头</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“海盾”、“金枪鱼”、“奇杰”或同档次及以上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13</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应急灯具及应急电源</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台谊、庆春、金盾或同档次及以上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14</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给排水管及配件</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中财、亿通、金洲、伟星或同档次及以上</w:t>
            </w:r>
          </w:p>
        </w:tc>
      </w:tr>
      <w:tr>
        <w:trPr>
          <w:trHeight w:val="48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15</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电线电缆</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浙江万马、江苏东旭、永通、浙江中策、浙江中兴、浙江业昌</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丁大电缆</w:t>
            </w:r>
            <w:r>
              <w:rPr>
                <w:rFonts w:hint="eastAsia" w:ascii="宋体" w:hAnsi="宋体" w:cs="宋体"/>
                <w:color w:val="auto"/>
                <w:kern w:val="0"/>
                <w:sz w:val="22"/>
                <w:szCs w:val="22"/>
              </w:rPr>
              <w:t>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16</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桥架</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浙江远大、圣宇、浙江浩顺、上海固强、江苏华鹏、上海振大或同档次及以上</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17</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室内组合式消防箱</w:t>
            </w:r>
          </w:p>
        </w:tc>
        <w:tc>
          <w:tcPr>
            <w:tcW w:w="6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杭州信达、杭州永安、金盾或同档次及以上</w:t>
            </w:r>
          </w:p>
        </w:tc>
      </w:tr>
      <w:tr>
        <w:tblPrEx>
          <w:tblCellMar>
            <w:top w:w="0" w:type="dxa"/>
            <w:left w:w="108" w:type="dxa"/>
            <w:bottom w:w="0" w:type="dxa"/>
            <w:right w:w="108" w:type="dxa"/>
          </w:tblCellMar>
        </w:tblPrEx>
        <w:trPr>
          <w:trHeight w:val="345"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18</w:t>
            </w:r>
          </w:p>
        </w:tc>
        <w:tc>
          <w:tcPr>
            <w:tcW w:w="2268" w:type="dxa"/>
            <w:tcBorders>
              <w:top w:val="single" w:color="auto" w:sz="4" w:space="0"/>
              <w:left w:val="nil"/>
              <w:bottom w:val="single" w:color="auto" w:sz="4" w:space="0"/>
              <w:right w:val="single" w:color="auto" w:sz="4" w:space="0"/>
            </w:tcBorders>
            <w:shd w:val="clear" w:color="000000" w:fill="FFFFFF"/>
            <w:noWrap/>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电线管</w:t>
            </w:r>
          </w:p>
        </w:tc>
        <w:tc>
          <w:tcPr>
            <w:tcW w:w="6700"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中财、伟星 、金德，或同档次品牌，要求一等品</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19</w:t>
            </w:r>
          </w:p>
        </w:tc>
        <w:tc>
          <w:tcPr>
            <w:tcW w:w="2268" w:type="dxa"/>
            <w:tcBorders>
              <w:top w:val="single" w:color="auto" w:sz="4" w:space="0"/>
              <w:left w:val="nil"/>
              <w:bottom w:val="single" w:color="auto" w:sz="4" w:space="0"/>
              <w:right w:val="single" w:color="auto" w:sz="4" w:space="0"/>
            </w:tcBorders>
            <w:shd w:val="clear" w:color="000000" w:fill="FFFFFF"/>
            <w:noWrap/>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绝缘导线</w:t>
            </w:r>
          </w:p>
        </w:tc>
        <w:tc>
          <w:tcPr>
            <w:tcW w:w="6700"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中策(杭州产）、远东、元通，或同档次品牌，要求一等品</w:t>
            </w: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20</w:t>
            </w:r>
          </w:p>
        </w:tc>
        <w:tc>
          <w:tcPr>
            <w:tcW w:w="2268" w:type="dxa"/>
            <w:tcBorders>
              <w:top w:val="single" w:color="auto" w:sz="4" w:space="0"/>
              <w:left w:val="nil"/>
              <w:bottom w:val="single" w:color="auto" w:sz="4" w:space="0"/>
              <w:right w:val="single" w:color="auto" w:sz="4" w:space="0"/>
            </w:tcBorders>
            <w:shd w:val="clear" w:color="000000" w:fill="FFFFFF"/>
            <w:noWrap/>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消防报警品牌</w:t>
            </w:r>
          </w:p>
        </w:tc>
        <w:tc>
          <w:tcPr>
            <w:tcW w:w="6700"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利达、松江、海湾</w:t>
            </w:r>
          </w:p>
        </w:tc>
      </w:tr>
    </w:tbl>
    <w:p>
      <w:pPr>
        <w:widowControl/>
        <w:jc w:val="left"/>
        <w:rPr>
          <w:rFonts w:hint="eastAsia" w:ascii="宋体" w:hAnsi="宋体" w:cs="宋体"/>
          <w:color w:val="auto"/>
          <w:kern w:val="0"/>
          <w:sz w:val="22"/>
          <w:szCs w:val="22"/>
        </w:rPr>
      </w:pP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3、弱电部分</w:t>
      </w:r>
    </w:p>
    <w:tbl>
      <w:tblPr>
        <w:tblStyle w:val="62"/>
        <w:tblpPr w:leftFromText="180" w:rightFromText="180" w:vertAnchor="text" w:horzAnchor="page" w:tblpX="1252" w:tblpY="323"/>
        <w:tblOverlap w:val="never"/>
        <w:tblW w:w="9724" w:type="dxa"/>
        <w:tblInd w:w="0" w:type="dxa"/>
        <w:tblLayout w:type="autofit"/>
        <w:tblCellMar>
          <w:top w:w="0" w:type="dxa"/>
          <w:left w:w="108" w:type="dxa"/>
          <w:bottom w:w="0" w:type="dxa"/>
          <w:right w:w="108" w:type="dxa"/>
        </w:tblCellMar>
      </w:tblPr>
      <w:tblGrid>
        <w:gridCol w:w="710"/>
        <w:gridCol w:w="2268"/>
        <w:gridCol w:w="6746"/>
      </w:tblGrid>
      <w:tr>
        <w:tblPrEx>
          <w:tblCellMar>
            <w:top w:w="0" w:type="dxa"/>
            <w:left w:w="108" w:type="dxa"/>
            <w:bottom w:w="0" w:type="dxa"/>
            <w:right w:w="108" w:type="dxa"/>
          </w:tblCellMar>
        </w:tblPrEx>
        <w:trPr>
          <w:trHeight w:val="312" w:hRule="atLeast"/>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序号</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材料名称</w:t>
            </w:r>
          </w:p>
        </w:tc>
        <w:tc>
          <w:tcPr>
            <w:tcW w:w="67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原品牌、型号</w:t>
            </w:r>
          </w:p>
        </w:tc>
      </w:tr>
      <w:tr>
        <w:tblPrEx>
          <w:tblCellMar>
            <w:top w:w="0" w:type="dxa"/>
            <w:left w:w="108" w:type="dxa"/>
            <w:bottom w:w="0" w:type="dxa"/>
            <w:right w:w="108" w:type="dxa"/>
          </w:tblCellMar>
        </w:tblPrEx>
        <w:trPr>
          <w:trHeight w:val="312"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c>
          <w:tcPr>
            <w:tcW w:w="67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1</w:t>
            </w:r>
          </w:p>
        </w:tc>
        <w:tc>
          <w:tcPr>
            <w:tcW w:w="2268" w:type="dxa"/>
            <w:tcBorders>
              <w:top w:val="nil"/>
              <w:left w:val="nil"/>
              <w:bottom w:val="single" w:color="auto" w:sz="4" w:space="0"/>
              <w:right w:val="nil"/>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摄像机</w:t>
            </w:r>
          </w:p>
        </w:tc>
        <w:tc>
          <w:tcPr>
            <w:tcW w:w="674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海康、松下、索尼</w:t>
            </w:r>
            <w:r>
              <w:rPr>
                <w:rFonts w:hint="eastAsia" w:ascii="宋体" w:hAnsi="宋体" w:cs="宋体"/>
                <w:color w:val="auto"/>
                <w:kern w:val="0"/>
                <w:sz w:val="22"/>
                <w:szCs w:val="22"/>
              </w:rPr>
              <w:t>、大华、英飞拓、宇视或同档次及以上</w:t>
            </w:r>
          </w:p>
        </w:tc>
      </w:tr>
      <w:tr>
        <w:tblPrEx>
          <w:tblCellMar>
            <w:top w:w="0" w:type="dxa"/>
            <w:left w:w="108" w:type="dxa"/>
            <w:bottom w:w="0" w:type="dxa"/>
            <w:right w:w="108" w:type="dxa"/>
          </w:tblCellMar>
        </w:tblPrEx>
        <w:trPr>
          <w:trHeight w:val="525"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2</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硬盘录像机</w:t>
            </w:r>
          </w:p>
        </w:tc>
        <w:tc>
          <w:tcPr>
            <w:tcW w:w="674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r>
              <w:rPr>
                <w:rFonts w:ascii="宋体" w:hAnsi="宋体" w:cs="宋体"/>
                <w:color w:val="auto"/>
                <w:kern w:val="0"/>
                <w:sz w:val="22"/>
                <w:szCs w:val="22"/>
              </w:rPr>
              <w:t>汉邦高科、海康威视、大华</w:t>
            </w:r>
            <w:r>
              <w:rPr>
                <w:rFonts w:hint="eastAsia" w:ascii="宋体" w:hAnsi="宋体" w:cs="宋体"/>
                <w:color w:val="auto"/>
                <w:kern w:val="0"/>
                <w:sz w:val="22"/>
                <w:szCs w:val="22"/>
              </w:rPr>
              <w:t>或同档次及以上</w:t>
            </w:r>
          </w:p>
        </w:tc>
      </w:tr>
      <w:tr>
        <w:tblPrEx>
          <w:tblCellMar>
            <w:top w:w="0" w:type="dxa"/>
            <w:left w:w="108" w:type="dxa"/>
            <w:bottom w:w="0" w:type="dxa"/>
            <w:right w:w="108" w:type="dxa"/>
          </w:tblCellMar>
        </w:tblPrEx>
        <w:trPr>
          <w:trHeight w:val="345"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2268"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空调</w:t>
            </w:r>
          </w:p>
        </w:tc>
        <w:tc>
          <w:tcPr>
            <w:tcW w:w="6746"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大金、日立、三菱电机、美的、格力、海信或同档次及以上</w:t>
            </w:r>
          </w:p>
        </w:tc>
      </w:tr>
    </w:tbl>
    <w:p>
      <w:pPr>
        <w:keepNext w:val="0"/>
        <w:keepLines w:val="0"/>
        <w:pageBreakBefore w:val="0"/>
        <w:widowControl w:val="0"/>
        <w:numPr>
          <w:ilvl w:val="0"/>
          <w:numId w:val="0"/>
        </w:numPr>
        <w:suppressLineNumbers w:val="0"/>
        <w:tabs>
          <w:tab w:val="left" w:pos="420"/>
        </w:tabs>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ascii="宋体" w:hAnsi="宋体" w:cs="仿宋_GB2312"/>
          <w:b/>
          <w:bCs/>
          <w:color w:val="auto"/>
          <w:sz w:val="24"/>
          <w:highlight w:val="none"/>
        </w:rPr>
      </w:pPr>
      <w:r>
        <w:rPr>
          <w:rFonts w:hint="eastAsia" w:ascii="宋体" w:hAnsi="宋体" w:cs="宋体"/>
          <w:color w:val="auto"/>
          <w:kern w:val="0"/>
          <w:sz w:val="22"/>
          <w:szCs w:val="22"/>
          <w:lang w:val="en-US" w:eastAsia="zh-CN"/>
        </w:rPr>
        <w:t xml:space="preserve"> </w:t>
      </w:r>
      <w:r>
        <w:rPr>
          <w:rFonts w:hint="eastAsia" w:ascii="宋体" w:hAnsi="宋体" w:cs="仿宋_GB2312"/>
          <w:b/>
          <w:bCs/>
          <w:color w:val="auto"/>
          <w:sz w:val="24"/>
          <w:highlight w:val="none"/>
        </w:rPr>
        <w:t>五、施工技术要求</w:t>
      </w:r>
    </w:p>
    <w:p>
      <w:pPr>
        <w:pStyle w:val="24"/>
        <w:ind w:firstLine="480" w:firstLineChars="200"/>
        <w:rPr>
          <w:rFonts w:ascii="宋体" w:hAnsi="宋体" w:cs="仿宋_GB2312"/>
          <w:b/>
          <w:bCs/>
          <w:color w:val="auto"/>
          <w:sz w:val="24"/>
          <w:highlight w:val="none"/>
        </w:rPr>
      </w:pPr>
      <w:bookmarkStart w:id="32" w:name="_Hlk120106295"/>
      <w:r>
        <w:rPr>
          <w:rFonts w:hint="eastAsia"/>
          <w:color w:val="auto"/>
          <w:highlight w:val="none"/>
          <w:lang w:val="en-US"/>
        </w:rPr>
        <w:t>按照国家和地方相关文件执行。</w:t>
      </w:r>
      <w:bookmarkEnd w:id="32"/>
    </w:p>
    <w:p>
      <w:pPr>
        <w:spacing w:line="360" w:lineRule="auto"/>
        <w:ind w:firstLine="120" w:firstLineChars="50"/>
        <w:outlineLvl w:val="1"/>
        <w:rPr>
          <w:rFonts w:ascii="宋体" w:hAnsi="宋体" w:cs="仿宋_GB2312"/>
          <w:b/>
          <w:bCs/>
          <w:color w:val="auto"/>
          <w:sz w:val="24"/>
          <w:highlight w:val="none"/>
        </w:rPr>
      </w:pPr>
      <w:r>
        <w:rPr>
          <w:rFonts w:hint="eastAsia" w:ascii="宋体" w:hAnsi="宋体" w:cs="仿宋_GB2312"/>
          <w:b/>
          <w:bCs/>
          <w:color w:val="auto"/>
          <w:sz w:val="24"/>
          <w:highlight w:val="none"/>
        </w:rPr>
        <w:t>六、商务要求</w:t>
      </w:r>
    </w:p>
    <w:p>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90日历天</w:t>
      </w:r>
    </w:p>
    <w:p>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olor w:val="auto"/>
          <w:sz w:val="24"/>
          <w:highlight w:val="none"/>
          <w:u w:val="single"/>
          <w:lang w:val="en-US" w:eastAsia="zh-CN"/>
        </w:rPr>
        <w:t>杭州市拱墅区</w:t>
      </w:r>
    </w:p>
    <w:p>
      <w:pPr>
        <w:spacing w:line="360" w:lineRule="auto"/>
        <w:ind w:firstLine="240" w:firstLineChars="100"/>
        <w:jc w:val="left"/>
        <w:rPr>
          <w:rFonts w:hint="eastAsia"/>
          <w:color w:val="auto"/>
          <w:lang w:val="en-US" w:eastAsia="zh-CN"/>
        </w:rPr>
      </w:pPr>
      <w:r>
        <w:rPr>
          <w:rFonts w:hint="eastAsia" w:ascii="宋体" w:hAnsi="宋体" w:eastAsia="宋体" w:cs="仿宋_GB2312"/>
          <w:color w:val="auto"/>
          <w:sz w:val="24"/>
          <w:highlight w:val="none"/>
        </w:rPr>
        <w:t>3.</w:t>
      </w:r>
      <w:r>
        <w:rPr>
          <w:rFonts w:hint="eastAsia" w:ascii="宋体" w:hAnsi="宋体" w:eastAsia="宋体" w:cs="仿宋_GB2312"/>
          <w:color w:val="auto"/>
          <w:sz w:val="24"/>
          <w:highlight w:val="none"/>
          <w:lang w:val="en-US"/>
        </w:rPr>
        <w:t>其它详见合同条款格式部分</w:t>
      </w:r>
      <w:r>
        <w:rPr>
          <w:rFonts w:hint="eastAsia" w:hAnsi="宋体" w:cs="仿宋_GB2312"/>
          <w:snapToGrid/>
          <w:color w:val="auto"/>
          <w:szCs w:val="24"/>
          <w:highlight w:val="none"/>
          <w:lang w:val="en-US" w:eastAsia="zh-CN"/>
        </w:rPr>
        <w:t>。</w:t>
      </w:r>
    </w:p>
    <w:p>
      <w:pPr>
        <w:spacing w:line="360" w:lineRule="auto"/>
        <w:ind w:firstLine="120" w:firstLineChars="50"/>
        <w:outlineLvl w:val="1"/>
        <w:rPr>
          <w:rFonts w:ascii="宋体" w:hAnsi="宋体" w:cs="仿宋_GB2312"/>
          <w:b/>
          <w:bCs/>
          <w:color w:val="auto"/>
          <w:sz w:val="24"/>
          <w:highlight w:val="none"/>
        </w:rPr>
      </w:pPr>
      <w:r>
        <w:rPr>
          <w:rFonts w:hint="eastAsia" w:ascii="宋体" w:hAnsi="宋体" w:cs="仿宋_GB2312"/>
          <w:b/>
          <w:bCs/>
          <w:color w:val="auto"/>
          <w:sz w:val="24"/>
          <w:highlight w:val="none"/>
        </w:rPr>
        <w:t>七、其他要求</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1.本磋商文件中带“▲”的条款内容，为本次磋商的实质性内容，供应商必须全部响应，否则将作无效标处理。“★”的条款内容为重要性条款。</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2.磋商响应供应商认为优于磋商需求的其他相关证明材料。</w:t>
      </w: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3.磋商报价要求：总报价指包括为完成本项目服务所支付的人工费、材料费、机械费、</w:t>
      </w:r>
      <w:r>
        <w:rPr>
          <w:rFonts w:hint="eastAsia" w:ascii="宋体" w:hAnsi="宋体" w:cs="仿宋_GB2312"/>
          <w:color w:val="auto"/>
          <w:sz w:val="24"/>
          <w:highlight w:val="none"/>
          <w:lang w:val="en-US" w:eastAsia="zh-CN"/>
        </w:rPr>
        <w:t>采购代理费</w:t>
      </w:r>
      <w:r>
        <w:rPr>
          <w:rFonts w:hint="eastAsia" w:ascii="宋体" w:hAnsi="宋体" w:cs="仿宋_GB2312"/>
          <w:color w:val="auto"/>
          <w:sz w:val="24"/>
          <w:highlight w:val="none"/>
        </w:rPr>
        <w:t>、税费及其他一切费用。</w:t>
      </w:r>
    </w:p>
    <w:p>
      <w:pPr>
        <w:widowControl/>
        <w:spacing w:line="360" w:lineRule="auto"/>
        <w:ind w:firstLine="480" w:firstLineChars="200"/>
        <w:jc w:val="left"/>
        <w:rPr>
          <w:color w:val="auto"/>
        </w:rPr>
      </w:pPr>
      <w:r>
        <w:rPr>
          <w:rFonts w:hint="eastAsia" w:ascii="宋体" w:hAnsi="宋体" w:cs="仿宋_GB2312"/>
          <w:color w:val="auto"/>
          <w:sz w:val="24"/>
          <w:highlight w:val="none"/>
        </w:rPr>
        <w:t>4.文件中所提的是</w:t>
      </w:r>
      <w:r>
        <w:rPr>
          <w:rFonts w:hint="eastAsia" w:ascii="宋体" w:hAnsi="宋体" w:cs="仿宋_GB2312"/>
          <w:color w:val="auto"/>
          <w:sz w:val="24"/>
          <w:highlight w:val="none"/>
          <w:lang w:val="en-US" w:eastAsia="zh-CN"/>
        </w:rPr>
        <w:t>施工</w:t>
      </w:r>
      <w:r>
        <w:rPr>
          <w:rFonts w:hint="eastAsia" w:ascii="宋体" w:hAnsi="宋体" w:cs="仿宋_GB2312"/>
          <w:color w:val="auto"/>
          <w:sz w:val="24"/>
          <w:highlight w:val="none"/>
        </w:rPr>
        <w:t>要求，供应商应根据相关法律法规及采购人机构特点，提供更为完善的服务</w:t>
      </w:r>
    </w:p>
    <w:p>
      <w:pPr>
        <w:snapToGrid w:val="0"/>
        <w:spacing w:line="360" w:lineRule="auto"/>
        <w:jc w:val="center"/>
        <w:rPr>
          <w:rFonts w:hint="eastAsia" w:ascii="宋体" w:hAnsi="宋体" w:cs="宋体"/>
          <w:b/>
          <w:color w:val="auto"/>
          <w:sz w:val="36"/>
          <w:szCs w:val="20"/>
        </w:rPr>
      </w:pPr>
    </w:p>
    <w:p>
      <w:pPr>
        <w:snapToGrid w:val="0"/>
        <w:spacing w:line="360" w:lineRule="auto"/>
        <w:jc w:val="center"/>
        <w:rPr>
          <w:rFonts w:hint="eastAsia" w:ascii="宋体" w:hAnsi="宋体" w:cs="宋体"/>
          <w:b/>
          <w:color w:val="auto"/>
          <w:sz w:val="36"/>
          <w:szCs w:val="20"/>
        </w:rPr>
      </w:pPr>
    </w:p>
    <w:p>
      <w:pPr>
        <w:snapToGrid w:val="0"/>
        <w:spacing w:line="360" w:lineRule="auto"/>
        <w:jc w:val="center"/>
        <w:rPr>
          <w:rFonts w:hint="eastAsia" w:ascii="宋体" w:hAnsi="宋体" w:cs="宋体"/>
          <w:b/>
          <w:color w:val="auto"/>
          <w:sz w:val="36"/>
          <w:szCs w:val="20"/>
        </w:rPr>
      </w:pPr>
    </w:p>
    <w:p>
      <w:pPr>
        <w:pStyle w:val="79"/>
        <w:rPr>
          <w:rFonts w:hint="eastAsia" w:ascii="宋体" w:hAnsi="宋体" w:cs="宋体"/>
          <w:b/>
          <w:color w:val="auto"/>
          <w:sz w:val="36"/>
          <w:szCs w:val="20"/>
        </w:rPr>
      </w:pPr>
    </w:p>
    <w:p>
      <w:pPr>
        <w:pStyle w:val="79"/>
        <w:rPr>
          <w:rFonts w:hint="eastAsia" w:ascii="宋体" w:hAnsi="宋体" w:cs="宋体"/>
          <w:b/>
          <w:color w:val="auto"/>
          <w:sz w:val="36"/>
          <w:szCs w:val="20"/>
        </w:rPr>
      </w:pPr>
    </w:p>
    <w:p>
      <w:pPr>
        <w:pStyle w:val="79"/>
        <w:rPr>
          <w:rFonts w:hint="eastAsia" w:ascii="宋体" w:hAnsi="宋体" w:cs="宋体"/>
          <w:b/>
          <w:color w:val="auto"/>
          <w:sz w:val="36"/>
          <w:szCs w:val="20"/>
        </w:rPr>
      </w:pPr>
    </w:p>
    <w:p>
      <w:pPr>
        <w:pStyle w:val="79"/>
        <w:rPr>
          <w:rFonts w:hint="eastAsia" w:ascii="宋体" w:hAnsi="宋体" w:cs="宋体"/>
          <w:b/>
          <w:color w:val="auto"/>
          <w:sz w:val="36"/>
          <w:szCs w:val="20"/>
        </w:rPr>
      </w:pPr>
    </w:p>
    <w:p>
      <w:pPr>
        <w:pStyle w:val="79"/>
        <w:rPr>
          <w:rFonts w:hint="eastAsia" w:ascii="宋体" w:hAnsi="宋体" w:cs="宋体"/>
          <w:b/>
          <w:color w:val="auto"/>
          <w:sz w:val="36"/>
          <w:szCs w:val="20"/>
        </w:rPr>
      </w:pPr>
    </w:p>
    <w:p>
      <w:pPr>
        <w:pStyle w:val="79"/>
        <w:rPr>
          <w:rFonts w:hint="eastAsia" w:ascii="宋体" w:hAnsi="宋体" w:cs="宋体"/>
          <w:b/>
          <w:color w:val="auto"/>
          <w:sz w:val="36"/>
          <w:szCs w:val="20"/>
        </w:rPr>
      </w:pPr>
    </w:p>
    <w:p>
      <w:pPr>
        <w:pStyle w:val="79"/>
        <w:rPr>
          <w:rFonts w:hint="eastAsia" w:ascii="宋体" w:hAnsi="宋体" w:cs="宋体"/>
          <w:b/>
          <w:color w:val="auto"/>
          <w:sz w:val="36"/>
          <w:szCs w:val="20"/>
        </w:rPr>
      </w:pPr>
    </w:p>
    <w:p>
      <w:pPr>
        <w:pStyle w:val="79"/>
        <w:rPr>
          <w:rFonts w:hint="eastAsia" w:ascii="宋体" w:hAnsi="宋体" w:cs="宋体"/>
          <w:b/>
          <w:color w:val="auto"/>
          <w:sz w:val="36"/>
          <w:szCs w:val="20"/>
        </w:rPr>
      </w:pPr>
    </w:p>
    <w:p>
      <w:pPr>
        <w:snapToGrid w:val="0"/>
        <w:spacing w:line="360" w:lineRule="auto"/>
        <w:ind w:firstLine="3253" w:firstLineChars="900"/>
        <w:jc w:val="both"/>
        <w:rPr>
          <w:rFonts w:ascii="宋体" w:hAnsi="宋体" w:cs="宋体"/>
          <w:b/>
          <w:color w:val="auto"/>
          <w:sz w:val="36"/>
          <w:szCs w:val="20"/>
        </w:rPr>
      </w:pPr>
      <w:r>
        <w:rPr>
          <w:rFonts w:hint="eastAsia" w:ascii="宋体" w:hAnsi="宋体" w:cs="宋体"/>
          <w:b/>
          <w:color w:val="auto"/>
          <w:sz w:val="36"/>
          <w:szCs w:val="20"/>
        </w:rPr>
        <w:t>第四部分</w:t>
      </w:r>
      <w:bookmarkStart w:id="33" w:name="_Toc184310279"/>
      <w:bookmarkEnd w:id="33"/>
      <w:bookmarkStart w:id="34" w:name="_Toc184312087"/>
      <w:bookmarkEnd w:id="34"/>
      <w:bookmarkStart w:id="35" w:name="_Toc184310312"/>
      <w:bookmarkEnd w:id="35"/>
      <w:bookmarkStart w:id="36" w:name="_Toc184314456"/>
      <w:bookmarkEnd w:id="36"/>
      <w:bookmarkStart w:id="37" w:name="_Toc184314475"/>
      <w:bookmarkEnd w:id="37"/>
      <w:bookmarkStart w:id="38" w:name="_Toc184308100"/>
      <w:bookmarkEnd w:id="38"/>
      <w:bookmarkStart w:id="39" w:name="_Toc184313257"/>
      <w:bookmarkEnd w:id="39"/>
      <w:bookmarkStart w:id="40" w:name="_Toc184308054"/>
      <w:bookmarkEnd w:id="40"/>
      <w:bookmarkStart w:id="41" w:name="_Toc184310300"/>
      <w:bookmarkEnd w:id="41"/>
      <w:bookmarkStart w:id="42" w:name="_Toc184308046"/>
      <w:bookmarkEnd w:id="42"/>
      <w:bookmarkStart w:id="43" w:name="_Toc184312086"/>
      <w:bookmarkEnd w:id="43"/>
      <w:bookmarkStart w:id="44" w:name="_Toc184312081"/>
      <w:bookmarkEnd w:id="44"/>
      <w:bookmarkStart w:id="45" w:name="_Toc184308076"/>
      <w:bookmarkEnd w:id="45"/>
      <w:bookmarkStart w:id="46" w:name="_Toc184312070"/>
      <w:bookmarkEnd w:id="46"/>
      <w:bookmarkStart w:id="47" w:name="_Toc184314460"/>
      <w:bookmarkEnd w:id="47"/>
      <w:bookmarkStart w:id="48" w:name="_Toc184308069"/>
      <w:bookmarkEnd w:id="48"/>
      <w:bookmarkStart w:id="49" w:name="_Toc184313310"/>
      <w:bookmarkEnd w:id="49"/>
      <w:bookmarkStart w:id="50" w:name="_Toc184310285"/>
      <w:bookmarkEnd w:id="50"/>
      <w:bookmarkStart w:id="51" w:name="_Toc184313309"/>
      <w:bookmarkEnd w:id="51"/>
      <w:bookmarkStart w:id="52" w:name="_Toc184314425"/>
      <w:bookmarkEnd w:id="52"/>
      <w:bookmarkStart w:id="53" w:name="_Toc184312071"/>
      <w:bookmarkEnd w:id="53"/>
      <w:bookmarkStart w:id="54" w:name="_Toc184308097"/>
      <w:bookmarkEnd w:id="54"/>
      <w:bookmarkStart w:id="55" w:name="_Toc184313265"/>
      <w:bookmarkEnd w:id="55"/>
      <w:bookmarkStart w:id="56" w:name="_Toc184308065"/>
      <w:bookmarkEnd w:id="56"/>
      <w:bookmarkStart w:id="57" w:name="_Toc184312122"/>
      <w:bookmarkEnd w:id="57"/>
      <w:bookmarkStart w:id="58" w:name="_Toc184313277"/>
      <w:bookmarkEnd w:id="58"/>
      <w:bookmarkStart w:id="59" w:name="_Toc184312093"/>
      <w:bookmarkEnd w:id="59"/>
      <w:bookmarkStart w:id="60" w:name="_Toc184313274"/>
      <w:bookmarkEnd w:id="60"/>
      <w:bookmarkStart w:id="61" w:name="_Toc184314422"/>
      <w:bookmarkEnd w:id="61"/>
      <w:bookmarkStart w:id="62" w:name="_Toc184310304"/>
      <w:bookmarkEnd w:id="62"/>
      <w:bookmarkStart w:id="63" w:name="_Toc184312077"/>
      <w:bookmarkEnd w:id="63"/>
      <w:bookmarkStart w:id="64" w:name="_Toc184310281"/>
      <w:bookmarkEnd w:id="64"/>
      <w:bookmarkStart w:id="65" w:name="_Toc184310329"/>
      <w:bookmarkEnd w:id="65"/>
      <w:bookmarkStart w:id="66" w:name="_Toc184310317"/>
      <w:bookmarkEnd w:id="66"/>
      <w:bookmarkStart w:id="67" w:name="_Toc184312137"/>
      <w:bookmarkEnd w:id="67"/>
      <w:bookmarkStart w:id="68" w:name="_Toc184314421"/>
      <w:bookmarkEnd w:id="68"/>
      <w:bookmarkStart w:id="69" w:name="_Toc184310278"/>
      <w:bookmarkEnd w:id="69"/>
      <w:bookmarkStart w:id="70" w:name="_Toc184313259"/>
      <w:bookmarkEnd w:id="70"/>
      <w:bookmarkStart w:id="71" w:name="_Toc184313267"/>
      <w:bookmarkEnd w:id="71"/>
      <w:bookmarkStart w:id="72" w:name="_Toc184312107"/>
      <w:bookmarkEnd w:id="72"/>
      <w:bookmarkStart w:id="73" w:name="_Toc184314468"/>
      <w:bookmarkEnd w:id="73"/>
      <w:bookmarkStart w:id="74" w:name="_Toc184313276"/>
      <w:bookmarkEnd w:id="74"/>
      <w:bookmarkStart w:id="75" w:name="_Toc184310309"/>
      <w:bookmarkEnd w:id="75"/>
      <w:bookmarkStart w:id="76" w:name="_Toc184308087"/>
      <w:bookmarkEnd w:id="76"/>
      <w:bookmarkStart w:id="77" w:name="_Toc184308037"/>
      <w:bookmarkEnd w:id="77"/>
      <w:bookmarkStart w:id="78" w:name="_Toc184312128"/>
      <w:bookmarkEnd w:id="78"/>
      <w:bookmarkStart w:id="79" w:name="_Toc184308080"/>
      <w:bookmarkEnd w:id="79"/>
      <w:bookmarkStart w:id="80" w:name="_Toc184313262"/>
      <w:bookmarkEnd w:id="80"/>
      <w:bookmarkStart w:id="81" w:name="_Toc184314435"/>
      <w:bookmarkEnd w:id="81"/>
      <w:bookmarkStart w:id="82" w:name="_Toc184312109"/>
      <w:bookmarkEnd w:id="82"/>
      <w:bookmarkStart w:id="83" w:name="_Toc184313266"/>
      <w:bookmarkEnd w:id="83"/>
      <w:bookmarkStart w:id="84" w:name="_Toc184312138"/>
      <w:bookmarkEnd w:id="84"/>
      <w:bookmarkStart w:id="85" w:name="_Toc184310320"/>
      <w:bookmarkEnd w:id="85"/>
      <w:bookmarkStart w:id="86" w:name="_Toc184313279"/>
      <w:bookmarkEnd w:id="86"/>
      <w:bookmarkStart w:id="87" w:name="_Toc184312114"/>
      <w:bookmarkEnd w:id="87"/>
      <w:bookmarkStart w:id="88" w:name="_Toc184310334"/>
      <w:bookmarkEnd w:id="88"/>
      <w:bookmarkStart w:id="89" w:name="_Toc184314414"/>
      <w:bookmarkEnd w:id="89"/>
      <w:bookmarkStart w:id="90" w:name="_Toc184310308"/>
      <w:bookmarkEnd w:id="90"/>
      <w:bookmarkStart w:id="91" w:name="_Toc184312136"/>
      <w:bookmarkEnd w:id="91"/>
      <w:bookmarkStart w:id="92" w:name="_Toc184314454"/>
      <w:bookmarkEnd w:id="92"/>
      <w:bookmarkStart w:id="93" w:name="_Toc184312075"/>
      <w:bookmarkEnd w:id="93"/>
      <w:bookmarkStart w:id="94" w:name="_Toc184313241"/>
      <w:bookmarkEnd w:id="94"/>
      <w:bookmarkStart w:id="95" w:name="_Toc184310274"/>
      <w:bookmarkEnd w:id="95"/>
      <w:bookmarkStart w:id="96" w:name="_Toc184313249"/>
      <w:bookmarkEnd w:id="96"/>
      <w:bookmarkStart w:id="97" w:name="_Toc184308108"/>
      <w:bookmarkEnd w:id="97"/>
      <w:bookmarkStart w:id="98" w:name="_Toc184313289"/>
      <w:bookmarkEnd w:id="98"/>
      <w:bookmarkStart w:id="99" w:name="_Toc184312067"/>
      <w:bookmarkEnd w:id="99"/>
      <w:bookmarkStart w:id="100" w:name="_Toc184312131"/>
      <w:bookmarkEnd w:id="100"/>
      <w:bookmarkStart w:id="101" w:name="_Toc184308068"/>
      <w:bookmarkEnd w:id="101"/>
      <w:bookmarkStart w:id="102" w:name="_Toc184310272"/>
      <w:bookmarkEnd w:id="102"/>
      <w:bookmarkStart w:id="103" w:name="_Toc184312104"/>
      <w:bookmarkEnd w:id="103"/>
      <w:bookmarkStart w:id="104" w:name="_Toc184308038"/>
      <w:bookmarkEnd w:id="104"/>
      <w:bookmarkStart w:id="105" w:name="_Toc184313308"/>
      <w:bookmarkEnd w:id="105"/>
      <w:bookmarkStart w:id="106" w:name="_Toc184313305"/>
      <w:bookmarkEnd w:id="106"/>
      <w:bookmarkStart w:id="107" w:name="_Toc184314449"/>
      <w:bookmarkEnd w:id="107"/>
      <w:bookmarkStart w:id="108" w:name="_Toc184310298"/>
      <w:bookmarkEnd w:id="108"/>
      <w:bookmarkStart w:id="109" w:name="_Toc184313242"/>
      <w:bookmarkEnd w:id="109"/>
      <w:bookmarkStart w:id="110" w:name="_Toc184308099"/>
      <w:bookmarkEnd w:id="110"/>
      <w:bookmarkStart w:id="111" w:name="_Toc184312072"/>
      <w:bookmarkEnd w:id="111"/>
      <w:bookmarkStart w:id="112" w:name="_Toc184314416"/>
      <w:bookmarkEnd w:id="112"/>
      <w:bookmarkStart w:id="113" w:name="_Toc184312129"/>
      <w:bookmarkEnd w:id="113"/>
      <w:bookmarkStart w:id="114" w:name="_Toc184308052"/>
      <w:bookmarkEnd w:id="114"/>
      <w:bookmarkStart w:id="115" w:name="_Toc184310288"/>
      <w:bookmarkEnd w:id="115"/>
      <w:bookmarkStart w:id="116" w:name="_Toc184313306"/>
      <w:bookmarkEnd w:id="116"/>
      <w:bookmarkStart w:id="117" w:name="_Toc184310326"/>
      <w:bookmarkEnd w:id="117"/>
      <w:bookmarkStart w:id="118" w:name="_Toc184312079"/>
      <w:bookmarkEnd w:id="118"/>
      <w:bookmarkStart w:id="119" w:name="_Toc184312082"/>
      <w:bookmarkEnd w:id="119"/>
      <w:bookmarkStart w:id="120" w:name="_Toc184308067"/>
      <w:bookmarkEnd w:id="120"/>
      <w:bookmarkStart w:id="121" w:name="_Toc184310311"/>
      <w:bookmarkEnd w:id="121"/>
      <w:bookmarkStart w:id="122" w:name="_Toc184310332"/>
      <w:bookmarkEnd w:id="122"/>
      <w:bookmarkStart w:id="123" w:name="_Toc184308092"/>
      <w:bookmarkEnd w:id="123"/>
      <w:bookmarkStart w:id="124" w:name="_Toc184314432"/>
      <w:bookmarkEnd w:id="124"/>
      <w:bookmarkStart w:id="125" w:name="_Toc184308083"/>
      <w:bookmarkEnd w:id="125"/>
      <w:bookmarkStart w:id="126" w:name="_Toc184314441"/>
      <w:bookmarkEnd w:id="126"/>
      <w:bookmarkStart w:id="127" w:name="_Toc184314415"/>
      <w:bookmarkEnd w:id="127"/>
      <w:bookmarkStart w:id="128" w:name="_Toc184314467"/>
      <w:bookmarkEnd w:id="128"/>
      <w:bookmarkStart w:id="129" w:name="_Toc184313293"/>
      <w:bookmarkEnd w:id="129"/>
      <w:bookmarkStart w:id="130" w:name="_Toc184313298"/>
      <w:bookmarkEnd w:id="130"/>
      <w:bookmarkStart w:id="131" w:name="_Toc184310327"/>
      <w:bookmarkEnd w:id="131"/>
      <w:bookmarkStart w:id="132" w:name="_Toc184308089"/>
      <w:bookmarkEnd w:id="132"/>
      <w:bookmarkStart w:id="133" w:name="_Toc184308071"/>
      <w:bookmarkEnd w:id="133"/>
      <w:bookmarkStart w:id="134" w:name="_Toc184314443"/>
      <w:bookmarkEnd w:id="134"/>
      <w:bookmarkStart w:id="135" w:name="_Toc184308107"/>
      <w:bookmarkEnd w:id="135"/>
      <w:bookmarkStart w:id="136" w:name="_Toc184313284"/>
      <w:bookmarkEnd w:id="136"/>
      <w:bookmarkStart w:id="137" w:name="_Toc184313300"/>
      <w:bookmarkEnd w:id="137"/>
      <w:bookmarkStart w:id="138" w:name="_Toc184310276"/>
      <w:bookmarkEnd w:id="138"/>
      <w:bookmarkStart w:id="139" w:name="_Toc184308086"/>
      <w:bookmarkEnd w:id="139"/>
      <w:bookmarkStart w:id="140" w:name="_Toc184308085"/>
      <w:bookmarkEnd w:id="140"/>
      <w:bookmarkStart w:id="141" w:name="_Toc184310297"/>
      <w:bookmarkEnd w:id="141"/>
      <w:bookmarkStart w:id="142" w:name="_Toc184313251"/>
      <w:bookmarkEnd w:id="142"/>
      <w:bookmarkStart w:id="143" w:name="_Toc184310291"/>
      <w:bookmarkEnd w:id="143"/>
      <w:bookmarkStart w:id="144" w:name="_Toc184314427"/>
      <w:bookmarkEnd w:id="144"/>
      <w:bookmarkStart w:id="145" w:name="_Toc184308066"/>
      <w:bookmarkEnd w:id="145"/>
      <w:bookmarkStart w:id="146" w:name="_Toc184314412"/>
      <w:bookmarkEnd w:id="146"/>
      <w:bookmarkStart w:id="147" w:name="_Toc184310275"/>
      <w:bookmarkEnd w:id="147"/>
      <w:bookmarkStart w:id="148" w:name="_Toc184312091"/>
      <w:bookmarkEnd w:id="148"/>
      <w:bookmarkStart w:id="149" w:name="_Toc184312119"/>
      <w:bookmarkEnd w:id="149"/>
      <w:bookmarkStart w:id="150" w:name="_Toc184308096"/>
      <w:bookmarkEnd w:id="150"/>
      <w:bookmarkStart w:id="151" w:name="_Toc184314464"/>
      <w:bookmarkEnd w:id="151"/>
      <w:bookmarkStart w:id="152" w:name="_Toc184313239"/>
      <w:bookmarkEnd w:id="152"/>
      <w:bookmarkStart w:id="153" w:name="_Toc184313268"/>
      <w:bookmarkEnd w:id="153"/>
      <w:bookmarkStart w:id="154" w:name="_Toc184313243"/>
      <w:bookmarkEnd w:id="154"/>
      <w:bookmarkStart w:id="155" w:name="_Toc184312118"/>
      <w:bookmarkEnd w:id="155"/>
      <w:bookmarkStart w:id="156" w:name="_Toc184314453"/>
      <w:bookmarkEnd w:id="156"/>
      <w:bookmarkStart w:id="157" w:name="_Toc184308102"/>
      <w:bookmarkEnd w:id="157"/>
      <w:bookmarkStart w:id="158" w:name="_Toc184314436"/>
      <w:bookmarkEnd w:id="158"/>
      <w:bookmarkStart w:id="159" w:name="_Toc184310280"/>
      <w:bookmarkEnd w:id="159"/>
      <w:bookmarkStart w:id="160" w:name="_Toc184314448"/>
      <w:bookmarkEnd w:id="160"/>
      <w:bookmarkStart w:id="161" w:name="_Toc184308041"/>
      <w:bookmarkEnd w:id="161"/>
      <w:bookmarkStart w:id="162" w:name="_Toc184313248"/>
      <w:bookmarkEnd w:id="162"/>
      <w:bookmarkStart w:id="163" w:name="_Toc184312095"/>
      <w:bookmarkEnd w:id="163"/>
      <w:bookmarkStart w:id="164" w:name="_Toc184312069"/>
      <w:bookmarkEnd w:id="164"/>
      <w:bookmarkStart w:id="165" w:name="_Toc184310314"/>
      <w:bookmarkEnd w:id="165"/>
      <w:bookmarkStart w:id="166" w:name="_Toc184308064"/>
      <w:bookmarkEnd w:id="166"/>
      <w:bookmarkStart w:id="167" w:name="_Toc184312135"/>
      <w:bookmarkEnd w:id="167"/>
      <w:bookmarkStart w:id="168" w:name="_Toc184313275"/>
      <w:bookmarkEnd w:id="168"/>
      <w:bookmarkStart w:id="169" w:name="_Toc184313294"/>
      <w:bookmarkEnd w:id="169"/>
      <w:bookmarkStart w:id="170" w:name="_Toc184312134"/>
      <w:bookmarkEnd w:id="170"/>
      <w:bookmarkStart w:id="171" w:name="_Toc184313238"/>
      <w:bookmarkEnd w:id="171"/>
      <w:bookmarkStart w:id="172" w:name="_Toc184313288"/>
      <w:bookmarkEnd w:id="172"/>
      <w:bookmarkStart w:id="173" w:name="_Toc184308049"/>
      <w:bookmarkEnd w:id="173"/>
      <w:bookmarkStart w:id="174" w:name="_Toc184312113"/>
      <w:bookmarkEnd w:id="174"/>
      <w:bookmarkStart w:id="175" w:name="_Toc184312117"/>
      <w:bookmarkEnd w:id="175"/>
      <w:bookmarkStart w:id="176" w:name="_Toc184313258"/>
      <w:bookmarkEnd w:id="176"/>
      <w:bookmarkStart w:id="177" w:name="_Toc184312100"/>
      <w:bookmarkEnd w:id="177"/>
      <w:bookmarkStart w:id="178" w:name="_Toc184312101"/>
      <w:bookmarkEnd w:id="178"/>
      <w:bookmarkStart w:id="179" w:name="_Toc184310287"/>
      <w:bookmarkEnd w:id="179"/>
      <w:bookmarkStart w:id="180" w:name="_Toc184314429"/>
      <w:bookmarkEnd w:id="180"/>
      <w:bookmarkStart w:id="181" w:name="_Toc184308093"/>
      <w:bookmarkEnd w:id="181"/>
      <w:bookmarkStart w:id="182" w:name="_Toc184312139"/>
      <w:bookmarkEnd w:id="182"/>
      <w:bookmarkStart w:id="183" w:name="_Toc184310299"/>
      <w:bookmarkEnd w:id="183"/>
      <w:bookmarkStart w:id="184" w:name="_Toc184313280"/>
      <w:bookmarkEnd w:id="184"/>
      <w:bookmarkStart w:id="185" w:name="_Toc184314423"/>
      <w:bookmarkEnd w:id="185"/>
      <w:bookmarkStart w:id="186" w:name="_Toc184310344"/>
      <w:bookmarkEnd w:id="186"/>
      <w:bookmarkStart w:id="187" w:name="_Toc184314473"/>
      <w:bookmarkEnd w:id="187"/>
      <w:bookmarkStart w:id="188" w:name="_Toc184312103"/>
      <w:bookmarkEnd w:id="188"/>
      <w:bookmarkStart w:id="189" w:name="_Toc184308040"/>
      <w:bookmarkEnd w:id="189"/>
      <w:bookmarkStart w:id="190" w:name="_Toc184314413"/>
      <w:bookmarkEnd w:id="190"/>
      <w:bookmarkStart w:id="191" w:name="_Toc184308063"/>
      <w:bookmarkEnd w:id="191"/>
      <w:bookmarkStart w:id="192" w:name="_Toc184312133"/>
      <w:bookmarkEnd w:id="192"/>
      <w:bookmarkStart w:id="193" w:name="_Toc184313299"/>
      <w:bookmarkEnd w:id="193"/>
      <w:bookmarkStart w:id="194" w:name="_Toc184312125"/>
      <w:bookmarkEnd w:id="194"/>
      <w:bookmarkStart w:id="195" w:name="_Toc184313250"/>
      <w:bookmarkEnd w:id="195"/>
      <w:bookmarkStart w:id="196" w:name="_Toc184308082"/>
      <w:bookmarkEnd w:id="196"/>
      <w:bookmarkStart w:id="197" w:name="_Toc184308043"/>
      <w:bookmarkEnd w:id="197"/>
      <w:bookmarkStart w:id="198" w:name="_Toc184313287"/>
      <w:bookmarkEnd w:id="198"/>
      <w:bookmarkStart w:id="199" w:name="_Toc184310323"/>
      <w:bookmarkEnd w:id="199"/>
      <w:bookmarkStart w:id="200" w:name="_Toc184310290"/>
      <w:bookmarkEnd w:id="200"/>
      <w:bookmarkStart w:id="201" w:name="_Toc184310333"/>
      <w:bookmarkEnd w:id="201"/>
      <w:bookmarkStart w:id="202" w:name="_Toc184310331"/>
      <w:bookmarkEnd w:id="202"/>
      <w:bookmarkStart w:id="203" w:name="_Toc184312084"/>
      <w:bookmarkEnd w:id="203"/>
      <w:bookmarkStart w:id="204" w:name="_Toc184312080"/>
      <w:bookmarkEnd w:id="204"/>
      <w:bookmarkStart w:id="205" w:name="_Toc184310283"/>
      <w:bookmarkEnd w:id="205"/>
      <w:bookmarkStart w:id="206" w:name="_Toc184313260"/>
      <w:bookmarkEnd w:id="206"/>
      <w:bookmarkStart w:id="207" w:name="_Toc184313285"/>
      <w:bookmarkEnd w:id="207"/>
      <w:bookmarkStart w:id="208" w:name="_Toc184308059"/>
      <w:bookmarkEnd w:id="208"/>
      <w:bookmarkStart w:id="209" w:name="_Toc184312126"/>
      <w:bookmarkEnd w:id="209"/>
      <w:bookmarkStart w:id="210" w:name="_Toc184314434"/>
      <w:bookmarkEnd w:id="210"/>
      <w:bookmarkStart w:id="211" w:name="_Toc184313263"/>
      <w:bookmarkEnd w:id="211"/>
      <w:bookmarkStart w:id="212" w:name="_Toc184310296"/>
      <w:bookmarkEnd w:id="212"/>
      <w:bookmarkStart w:id="213" w:name="_Toc184310328"/>
      <w:bookmarkEnd w:id="213"/>
      <w:bookmarkStart w:id="214" w:name="_Toc184308051"/>
      <w:bookmarkEnd w:id="214"/>
      <w:bookmarkStart w:id="215" w:name="_Toc184314417"/>
      <w:bookmarkEnd w:id="215"/>
      <w:bookmarkStart w:id="216" w:name="_Toc184308056"/>
      <w:bookmarkEnd w:id="216"/>
      <w:bookmarkStart w:id="217" w:name="_Toc184314480"/>
      <w:bookmarkEnd w:id="217"/>
      <w:bookmarkStart w:id="218" w:name="_Toc184314470"/>
      <w:bookmarkEnd w:id="218"/>
      <w:bookmarkStart w:id="219" w:name="_Toc184312110"/>
      <w:bookmarkEnd w:id="219"/>
      <w:bookmarkStart w:id="220" w:name="_Toc184310286"/>
      <w:bookmarkEnd w:id="220"/>
      <w:bookmarkStart w:id="221" w:name="_Toc184314411"/>
      <w:bookmarkEnd w:id="221"/>
      <w:bookmarkStart w:id="222" w:name="_Toc184308079"/>
      <w:bookmarkEnd w:id="222"/>
      <w:bookmarkStart w:id="223" w:name="_Toc184314419"/>
      <w:bookmarkEnd w:id="223"/>
      <w:bookmarkStart w:id="224" w:name="_Toc184310321"/>
      <w:bookmarkEnd w:id="224"/>
      <w:bookmarkStart w:id="225" w:name="_Toc184308105"/>
      <w:bookmarkEnd w:id="225"/>
      <w:bookmarkStart w:id="226" w:name="_Toc184308039"/>
      <w:bookmarkEnd w:id="226"/>
      <w:bookmarkStart w:id="227" w:name="_Toc184313244"/>
      <w:bookmarkEnd w:id="227"/>
      <w:bookmarkStart w:id="228" w:name="_Toc184314450"/>
      <w:bookmarkEnd w:id="228"/>
      <w:bookmarkStart w:id="229" w:name="_Toc184312127"/>
      <w:bookmarkEnd w:id="229"/>
      <w:bookmarkStart w:id="230" w:name="_Toc184313252"/>
      <w:bookmarkEnd w:id="230"/>
      <w:bookmarkStart w:id="231" w:name="_Toc184310324"/>
      <w:bookmarkEnd w:id="231"/>
      <w:bookmarkStart w:id="232" w:name="_Toc184314463"/>
      <w:bookmarkEnd w:id="232"/>
      <w:bookmarkStart w:id="233" w:name="_Toc184308044"/>
      <w:bookmarkEnd w:id="233"/>
      <w:bookmarkStart w:id="234" w:name="_Toc184312124"/>
      <w:bookmarkEnd w:id="234"/>
      <w:bookmarkStart w:id="235" w:name="_Toc184308061"/>
      <w:bookmarkEnd w:id="235"/>
      <w:bookmarkStart w:id="236" w:name="_Toc184314426"/>
      <w:bookmarkEnd w:id="236"/>
      <w:bookmarkStart w:id="237" w:name="_Toc184310303"/>
      <w:bookmarkEnd w:id="237"/>
      <w:bookmarkStart w:id="238" w:name="_Toc184312120"/>
      <w:bookmarkEnd w:id="238"/>
      <w:bookmarkStart w:id="239" w:name="_Toc184314418"/>
      <w:bookmarkEnd w:id="239"/>
      <w:bookmarkStart w:id="240" w:name="_Toc184310282"/>
      <w:bookmarkEnd w:id="240"/>
      <w:bookmarkStart w:id="241" w:name="_Toc184314447"/>
      <w:bookmarkEnd w:id="241"/>
      <w:bookmarkStart w:id="242" w:name="_Toc184310301"/>
      <w:bookmarkEnd w:id="242"/>
      <w:bookmarkStart w:id="243" w:name="_Toc184314482"/>
      <w:bookmarkEnd w:id="243"/>
      <w:bookmarkStart w:id="244" w:name="_Toc184314465"/>
      <w:bookmarkEnd w:id="244"/>
      <w:bookmarkStart w:id="245" w:name="_Toc184313269"/>
      <w:bookmarkEnd w:id="245"/>
      <w:bookmarkStart w:id="246" w:name="_Toc184312115"/>
      <w:bookmarkEnd w:id="246"/>
      <w:bookmarkStart w:id="247" w:name="_Toc184310310"/>
      <w:bookmarkEnd w:id="247"/>
      <w:bookmarkStart w:id="248" w:name="_Toc184310338"/>
      <w:bookmarkEnd w:id="248"/>
      <w:bookmarkStart w:id="249" w:name="_Toc184314478"/>
      <w:bookmarkEnd w:id="249"/>
      <w:bookmarkStart w:id="250" w:name="_Toc184308073"/>
      <w:bookmarkEnd w:id="250"/>
      <w:bookmarkStart w:id="251" w:name="_Toc184310313"/>
      <w:bookmarkEnd w:id="251"/>
      <w:bookmarkStart w:id="252" w:name="_Toc184312090"/>
      <w:bookmarkEnd w:id="252"/>
      <w:bookmarkStart w:id="253" w:name="_Toc184308055"/>
      <w:bookmarkEnd w:id="253"/>
      <w:bookmarkStart w:id="254" w:name="_Toc184313297"/>
      <w:bookmarkEnd w:id="254"/>
      <w:bookmarkStart w:id="255" w:name="_Toc184310295"/>
      <w:bookmarkEnd w:id="255"/>
      <w:bookmarkStart w:id="256" w:name="_Toc184308062"/>
      <w:bookmarkEnd w:id="256"/>
      <w:bookmarkStart w:id="257" w:name="_Toc184314431"/>
      <w:bookmarkEnd w:id="257"/>
      <w:bookmarkStart w:id="258" w:name="_Toc184312097"/>
      <w:bookmarkEnd w:id="258"/>
      <w:bookmarkStart w:id="259" w:name="_Toc184310336"/>
      <w:bookmarkEnd w:id="259"/>
      <w:bookmarkStart w:id="260" w:name="_Toc184313303"/>
      <w:bookmarkEnd w:id="260"/>
      <w:bookmarkStart w:id="261" w:name="_Toc184308072"/>
      <w:bookmarkEnd w:id="261"/>
      <w:bookmarkStart w:id="262" w:name="_Toc184314446"/>
      <w:bookmarkEnd w:id="262"/>
      <w:bookmarkStart w:id="263" w:name="_Toc184314430"/>
      <w:bookmarkEnd w:id="263"/>
      <w:bookmarkStart w:id="264" w:name="_Toc184308058"/>
      <w:bookmarkEnd w:id="264"/>
      <w:bookmarkStart w:id="265" w:name="_Toc184308090"/>
      <w:bookmarkEnd w:id="265"/>
      <w:bookmarkStart w:id="266" w:name="_Toc184310335"/>
      <w:bookmarkEnd w:id="266"/>
      <w:bookmarkStart w:id="267" w:name="_Toc184314461"/>
      <w:bookmarkEnd w:id="267"/>
      <w:bookmarkStart w:id="268" w:name="_Toc184314459"/>
      <w:bookmarkEnd w:id="268"/>
      <w:bookmarkStart w:id="269" w:name="_Toc184313272"/>
      <w:bookmarkEnd w:id="269"/>
      <w:bookmarkStart w:id="270" w:name="_Toc184308098"/>
      <w:bookmarkEnd w:id="270"/>
      <w:bookmarkStart w:id="271" w:name="_Toc184313283"/>
      <w:bookmarkEnd w:id="271"/>
      <w:bookmarkStart w:id="272" w:name="_Toc184310322"/>
      <w:bookmarkEnd w:id="272"/>
      <w:bookmarkStart w:id="273" w:name="_Toc184313301"/>
      <w:bookmarkEnd w:id="273"/>
      <w:bookmarkStart w:id="274" w:name="_Toc184313302"/>
      <w:bookmarkEnd w:id="274"/>
      <w:bookmarkStart w:id="275" w:name="_Toc184310339"/>
      <w:bookmarkEnd w:id="275"/>
      <w:bookmarkStart w:id="276" w:name="_Toc184310340"/>
      <w:bookmarkEnd w:id="276"/>
      <w:bookmarkStart w:id="277" w:name="_Toc184313270"/>
      <w:bookmarkEnd w:id="277"/>
      <w:bookmarkStart w:id="278" w:name="_Toc184310289"/>
      <w:bookmarkEnd w:id="278"/>
      <w:bookmarkStart w:id="279" w:name="_Toc184313271"/>
      <w:bookmarkEnd w:id="279"/>
      <w:bookmarkStart w:id="280" w:name="_Toc184308047"/>
      <w:bookmarkEnd w:id="280"/>
      <w:bookmarkStart w:id="281" w:name="_Toc184312088"/>
      <w:bookmarkEnd w:id="281"/>
      <w:bookmarkStart w:id="282" w:name="_Toc184312085"/>
      <w:bookmarkEnd w:id="282"/>
      <w:bookmarkStart w:id="283" w:name="_Toc184308106"/>
      <w:bookmarkEnd w:id="283"/>
      <w:bookmarkStart w:id="284" w:name="_Toc184310307"/>
      <w:bookmarkEnd w:id="284"/>
      <w:bookmarkStart w:id="285" w:name="_Toc184312073"/>
      <w:bookmarkEnd w:id="285"/>
      <w:bookmarkStart w:id="286" w:name="_Toc184314472"/>
      <w:bookmarkEnd w:id="286"/>
      <w:bookmarkStart w:id="287" w:name="_Toc184313290"/>
      <w:bookmarkEnd w:id="287"/>
      <w:bookmarkStart w:id="288" w:name="_Toc184310306"/>
      <w:bookmarkEnd w:id="288"/>
      <w:bookmarkStart w:id="289" w:name="_Toc184314471"/>
      <w:bookmarkEnd w:id="289"/>
      <w:bookmarkStart w:id="290" w:name="_Toc184313291"/>
      <w:bookmarkEnd w:id="290"/>
      <w:bookmarkStart w:id="291" w:name="_Toc184310325"/>
      <w:bookmarkEnd w:id="291"/>
      <w:bookmarkStart w:id="292" w:name="_Toc184308078"/>
      <w:bookmarkEnd w:id="292"/>
      <w:bookmarkStart w:id="293" w:name="_Toc184312111"/>
      <w:bookmarkEnd w:id="293"/>
      <w:bookmarkStart w:id="294" w:name="_Toc184312089"/>
      <w:bookmarkEnd w:id="294"/>
      <w:bookmarkStart w:id="295" w:name="_Toc184312112"/>
      <w:bookmarkEnd w:id="295"/>
      <w:bookmarkStart w:id="296" w:name="_Toc184308077"/>
      <w:bookmarkEnd w:id="296"/>
      <w:bookmarkStart w:id="297" w:name="_Toc184314462"/>
      <w:bookmarkEnd w:id="297"/>
      <w:bookmarkStart w:id="298" w:name="_Toc184308036"/>
      <w:bookmarkEnd w:id="298"/>
      <w:bookmarkStart w:id="299" w:name="_Toc184314437"/>
      <w:bookmarkEnd w:id="299"/>
      <w:bookmarkStart w:id="300" w:name="_Toc184308081"/>
      <w:bookmarkEnd w:id="300"/>
      <w:bookmarkStart w:id="301" w:name="_Toc184314428"/>
      <w:bookmarkEnd w:id="301"/>
      <w:bookmarkStart w:id="302" w:name="_Toc184308070"/>
      <w:bookmarkEnd w:id="302"/>
      <w:bookmarkStart w:id="303" w:name="_Toc184312116"/>
      <w:bookmarkEnd w:id="303"/>
      <w:bookmarkStart w:id="304" w:name="_Toc184312068"/>
      <w:bookmarkEnd w:id="304"/>
      <w:bookmarkStart w:id="305" w:name="_Toc184308075"/>
      <w:bookmarkEnd w:id="305"/>
      <w:bookmarkStart w:id="306" w:name="_Toc184314477"/>
      <w:bookmarkEnd w:id="306"/>
      <w:bookmarkStart w:id="307" w:name="_Toc184314452"/>
      <w:bookmarkEnd w:id="307"/>
      <w:bookmarkStart w:id="308" w:name="_Toc184312102"/>
      <w:bookmarkEnd w:id="308"/>
      <w:bookmarkStart w:id="309" w:name="_Toc184308103"/>
      <w:bookmarkEnd w:id="309"/>
      <w:bookmarkStart w:id="310" w:name="_Toc184308057"/>
      <w:bookmarkEnd w:id="310"/>
      <w:bookmarkStart w:id="311" w:name="_Toc184313254"/>
      <w:bookmarkEnd w:id="311"/>
      <w:bookmarkStart w:id="312" w:name="_Toc184314433"/>
      <w:bookmarkEnd w:id="312"/>
      <w:bookmarkStart w:id="313" w:name="_Toc184314445"/>
      <w:bookmarkEnd w:id="313"/>
      <w:bookmarkStart w:id="314" w:name="_Toc184313246"/>
      <w:bookmarkEnd w:id="314"/>
      <w:bookmarkStart w:id="315" w:name="_Toc184314476"/>
      <w:bookmarkEnd w:id="315"/>
      <w:bookmarkStart w:id="316" w:name="_Toc184312106"/>
      <w:bookmarkEnd w:id="316"/>
      <w:bookmarkStart w:id="317" w:name="_Toc184308053"/>
      <w:bookmarkEnd w:id="317"/>
      <w:bookmarkStart w:id="318" w:name="_Toc184313296"/>
      <w:bookmarkEnd w:id="318"/>
      <w:bookmarkStart w:id="319" w:name="_Toc184312076"/>
      <w:bookmarkEnd w:id="319"/>
      <w:bookmarkStart w:id="320" w:name="_Toc184310342"/>
      <w:bookmarkEnd w:id="320"/>
      <w:bookmarkStart w:id="321" w:name="_Toc184313245"/>
      <w:bookmarkEnd w:id="321"/>
      <w:bookmarkStart w:id="322" w:name="_Toc184308074"/>
      <w:bookmarkEnd w:id="322"/>
      <w:bookmarkStart w:id="323" w:name="_Toc184310319"/>
      <w:bookmarkEnd w:id="323"/>
      <w:bookmarkStart w:id="324" w:name="_Toc184310284"/>
      <w:bookmarkEnd w:id="324"/>
      <w:bookmarkStart w:id="325" w:name="_Toc184313286"/>
      <w:bookmarkEnd w:id="325"/>
      <w:bookmarkStart w:id="326" w:name="_Toc184312121"/>
      <w:bookmarkEnd w:id="326"/>
      <w:bookmarkStart w:id="327" w:name="_Toc184312132"/>
      <w:bookmarkEnd w:id="327"/>
      <w:bookmarkStart w:id="328" w:name="_Toc184314479"/>
      <w:bookmarkEnd w:id="328"/>
      <w:bookmarkStart w:id="329" w:name="_Toc184310318"/>
      <w:bookmarkEnd w:id="329"/>
      <w:bookmarkStart w:id="330" w:name="_Toc184308084"/>
      <w:bookmarkEnd w:id="330"/>
      <w:bookmarkStart w:id="331" w:name="_Toc184314458"/>
      <w:bookmarkEnd w:id="331"/>
      <w:bookmarkStart w:id="332" w:name="_Toc184314410"/>
      <w:bookmarkEnd w:id="332"/>
      <w:bookmarkStart w:id="333" w:name="_Toc184312078"/>
      <w:bookmarkEnd w:id="333"/>
      <w:bookmarkStart w:id="334" w:name="_Toc184314439"/>
      <w:bookmarkEnd w:id="334"/>
      <w:bookmarkStart w:id="335" w:name="_Toc184314466"/>
      <w:bookmarkEnd w:id="335"/>
      <w:bookmarkStart w:id="336" w:name="_Toc184308042"/>
      <w:bookmarkEnd w:id="336"/>
      <w:bookmarkStart w:id="337" w:name="_Toc184310277"/>
      <w:bookmarkEnd w:id="337"/>
      <w:bookmarkStart w:id="338" w:name="_Toc184308104"/>
      <w:bookmarkEnd w:id="338"/>
      <w:bookmarkStart w:id="339" w:name="_Toc184314444"/>
      <w:bookmarkEnd w:id="339"/>
      <w:bookmarkStart w:id="340" w:name="_Toc184313295"/>
      <w:bookmarkEnd w:id="340"/>
      <w:bookmarkStart w:id="341" w:name="_Toc184314451"/>
      <w:bookmarkEnd w:id="341"/>
      <w:bookmarkStart w:id="342" w:name="_Toc184314474"/>
      <w:bookmarkEnd w:id="342"/>
      <w:bookmarkStart w:id="343" w:name="_Toc184313261"/>
      <w:bookmarkEnd w:id="343"/>
      <w:bookmarkStart w:id="344" w:name="_Toc184313264"/>
      <w:bookmarkEnd w:id="344"/>
      <w:bookmarkStart w:id="345" w:name="_Toc184313282"/>
      <w:bookmarkEnd w:id="345"/>
      <w:bookmarkStart w:id="346" w:name="_Toc184314455"/>
      <w:bookmarkEnd w:id="346"/>
      <w:bookmarkStart w:id="347" w:name="_Toc184312074"/>
      <w:bookmarkEnd w:id="347"/>
      <w:bookmarkStart w:id="348" w:name="_Toc184314481"/>
      <w:bookmarkEnd w:id="348"/>
      <w:bookmarkStart w:id="349" w:name="_Toc184310273"/>
      <w:bookmarkEnd w:id="349"/>
      <w:bookmarkStart w:id="350" w:name="_Toc184313278"/>
      <w:bookmarkEnd w:id="350"/>
      <w:bookmarkStart w:id="351" w:name="_Toc184313281"/>
      <w:bookmarkEnd w:id="351"/>
      <w:bookmarkStart w:id="352" w:name="_Toc184312105"/>
      <w:bookmarkEnd w:id="352"/>
      <w:bookmarkStart w:id="353" w:name="_Toc184310341"/>
      <w:bookmarkEnd w:id="353"/>
      <w:bookmarkStart w:id="354" w:name="_Toc184308091"/>
      <w:bookmarkEnd w:id="354"/>
      <w:bookmarkStart w:id="355" w:name="_Toc184308060"/>
      <w:bookmarkEnd w:id="355"/>
      <w:bookmarkStart w:id="356" w:name="_Toc184314424"/>
      <w:bookmarkEnd w:id="356"/>
      <w:bookmarkStart w:id="357" w:name="_Toc184308045"/>
      <w:bookmarkEnd w:id="357"/>
      <w:bookmarkStart w:id="358" w:name="_Toc184313240"/>
      <w:bookmarkEnd w:id="358"/>
      <w:bookmarkStart w:id="359" w:name="_Toc184312094"/>
      <w:bookmarkEnd w:id="359"/>
      <w:bookmarkStart w:id="360" w:name="_Toc184310343"/>
      <w:bookmarkEnd w:id="360"/>
      <w:bookmarkStart w:id="361" w:name="_Toc184312099"/>
      <w:bookmarkEnd w:id="361"/>
      <w:bookmarkStart w:id="362" w:name="_Toc184312130"/>
      <w:bookmarkEnd w:id="362"/>
      <w:bookmarkStart w:id="363" w:name="_Toc184310315"/>
      <w:bookmarkEnd w:id="363"/>
      <w:bookmarkStart w:id="364" w:name="_Toc184310337"/>
      <w:bookmarkEnd w:id="364"/>
      <w:bookmarkStart w:id="365" w:name="_Toc184312098"/>
      <w:bookmarkEnd w:id="365"/>
      <w:bookmarkStart w:id="366" w:name="_Toc184313292"/>
      <w:bookmarkEnd w:id="366"/>
      <w:bookmarkStart w:id="367" w:name="_Toc184310293"/>
      <w:bookmarkEnd w:id="367"/>
      <w:bookmarkStart w:id="368" w:name="_Toc184308088"/>
      <w:bookmarkEnd w:id="368"/>
      <w:bookmarkStart w:id="369" w:name="_Toc184314440"/>
      <w:bookmarkEnd w:id="369"/>
      <w:bookmarkStart w:id="370" w:name="_Toc184310294"/>
      <w:bookmarkEnd w:id="370"/>
      <w:bookmarkStart w:id="371" w:name="_Toc184310302"/>
      <w:bookmarkEnd w:id="371"/>
      <w:bookmarkStart w:id="372" w:name="_Toc184313255"/>
      <w:bookmarkEnd w:id="372"/>
      <w:bookmarkStart w:id="373" w:name="_Toc184308101"/>
      <w:bookmarkEnd w:id="373"/>
      <w:bookmarkStart w:id="374" w:name="_Toc184310316"/>
      <w:bookmarkEnd w:id="374"/>
      <w:bookmarkStart w:id="375" w:name="_Toc184314420"/>
      <w:bookmarkEnd w:id="375"/>
      <w:bookmarkStart w:id="376" w:name="_Toc184313253"/>
      <w:bookmarkEnd w:id="376"/>
      <w:bookmarkStart w:id="377" w:name="_Toc184310330"/>
      <w:bookmarkEnd w:id="377"/>
      <w:bookmarkStart w:id="378" w:name="_Toc184313256"/>
      <w:bookmarkEnd w:id="378"/>
      <w:bookmarkStart w:id="379" w:name="_Toc184314438"/>
      <w:bookmarkEnd w:id="379"/>
      <w:bookmarkStart w:id="380" w:name="_Toc184312108"/>
      <w:bookmarkEnd w:id="380"/>
      <w:bookmarkStart w:id="381" w:name="_Toc184308048"/>
      <w:bookmarkEnd w:id="381"/>
      <w:bookmarkStart w:id="382" w:name="_Toc184312083"/>
      <w:bookmarkEnd w:id="382"/>
      <w:bookmarkStart w:id="383" w:name="_Toc184312096"/>
      <w:bookmarkEnd w:id="383"/>
      <w:bookmarkStart w:id="384" w:name="_Toc184312123"/>
      <w:bookmarkEnd w:id="384"/>
      <w:bookmarkStart w:id="385" w:name="_Toc184313307"/>
      <w:bookmarkEnd w:id="385"/>
      <w:bookmarkStart w:id="386" w:name="_Toc184313247"/>
      <w:bookmarkEnd w:id="386"/>
      <w:bookmarkStart w:id="387" w:name="_Toc184312092"/>
      <w:bookmarkEnd w:id="387"/>
      <w:bookmarkStart w:id="388" w:name="_Toc184314457"/>
      <w:bookmarkEnd w:id="388"/>
      <w:bookmarkStart w:id="389" w:name="_Toc184308050"/>
      <w:bookmarkEnd w:id="389"/>
      <w:bookmarkStart w:id="390" w:name="_Toc184308094"/>
      <w:bookmarkEnd w:id="390"/>
      <w:bookmarkStart w:id="391" w:name="_Toc184310292"/>
      <w:bookmarkEnd w:id="391"/>
      <w:bookmarkStart w:id="392" w:name="_Toc184310305"/>
      <w:bookmarkEnd w:id="392"/>
      <w:bookmarkStart w:id="393" w:name="_Toc184313273"/>
      <w:bookmarkEnd w:id="393"/>
      <w:bookmarkStart w:id="394" w:name="_Toc184314442"/>
      <w:bookmarkEnd w:id="394"/>
      <w:bookmarkStart w:id="395" w:name="_Toc184308095"/>
      <w:bookmarkEnd w:id="395"/>
      <w:bookmarkStart w:id="396" w:name="_Toc184314469"/>
      <w:bookmarkEnd w:id="396"/>
      <w:bookmarkStart w:id="397" w:name="_Toc184313304"/>
      <w:bookmarkEnd w:id="397"/>
      <w:r>
        <w:rPr>
          <w:rFonts w:hint="eastAsia" w:ascii="宋体" w:hAnsi="宋体" w:cs="宋体"/>
          <w:b/>
          <w:color w:val="auto"/>
          <w:sz w:val="36"/>
          <w:szCs w:val="20"/>
        </w:rPr>
        <w:t xml:space="preserve"> 评审办法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评审办法前附表</w:t>
      </w:r>
    </w:p>
    <w:tbl>
      <w:tblPr>
        <w:tblStyle w:val="6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3"/>
        <w:gridCol w:w="5245"/>
        <w:gridCol w:w="79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6428" w:type="dxa"/>
            <w:gridSpan w:val="2"/>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900" w:type="dxa"/>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投标人自20</w:t>
            </w:r>
            <w:r>
              <w:rPr>
                <w:rFonts w:hint="eastAsia" w:ascii="宋体" w:hAnsi="宋体"/>
                <w:color w:val="auto"/>
                <w:sz w:val="24"/>
                <w:highlight w:val="none"/>
                <w:lang w:val="en-US" w:eastAsia="zh-CN"/>
              </w:rPr>
              <w:t>22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月1日以来承建过类似工程业绩的，每提供一项业绩证明材料得</w:t>
            </w:r>
            <w:r>
              <w:rPr>
                <w:rFonts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分，本项最高得</w:t>
            </w:r>
            <w:r>
              <w:rPr>
                <w:rFonts w:ascii="宋体" w:hAnsi="宋体"/>
                <w:color w:val="auto"/>
                <w:sz w:val="24"/>
                <w:highlight w:val="none"/>
              </w:rPr>
              <w:t>1</w:t>
            </w:r>
            <w:r>
              <w:rPr>
                <w:rFonts w:hint="eastAsia" w:ascii="宋体" w:hAnsi="宋体"/>
                <w:color w:val="auto"/>
                <w:sz w:val="24"/>
                <w:highlight w:val="none"/>
              </w:rPr>
              <w:t>分。（提供合同或中标通知书原件的扫描件，如合同和中标通知书不能体现项目内容的，可提供决算报告或其他相关资料佐证，时间以中标通知书或合同落款时间为准）未按要求提供完整证明材料的，不予得分。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仿宋_GB2312"/>
                <w:bCs/>
                <w:color w:val="auto"/>
                <w:sz w:val="24"/>
                <w:highlight w:val="none"/>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rPr>
                <w:rFonts w:ascii="宋体" w:hAnsi="宋体" w:cs="宋体"/>
                <w:color w:val="auto"/>
                <w:sz w:val="24"/>
                <w:highlight w:val="none"/>
              </w:rPr>
            </w:pPr>
            <w:r>
              <w:rPr>
                <w:rFonts w:hint="eastAsia" w:ascii="宋体" w:hAnsi="宋体"/>
                <w:color w:val="auto"/>
                <w:sz w:val="24"/>
                <w:highlight w:val="none"/>
              </w:rPr>
              <w:t>投标人拟派项目负责人自20</w:t>
            </w:r>
            <w:r>
              <w:rPr>
                <w:rFonts w:hint="eastAsia" w:ascii="宋体" w:hAnsi="宋体"/>
                <w:color w:val="auto"/>
                <w:sz w:val="24"/>
                <w:highlight w:val="none"/>
                <w:lang w:val="en-US" w:eastAsia="zh-CN"/>
              </w:rPr>
              <w:t>22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月1日以来以项目负责人</w:t>
            </w:r>
            <w:r>
              <w:rPr>
                <w:rFonts w:hint="eastAsia" w:ascii="宋体" w:hAnsi="宋体"/>
                <w:b/>
                <w:bCs/>
                <w:color w:val="auto"/>
                <w:sz w:val="24"/>
                <w:highlight w:val="none"/>
              </w:rPr>
              <w:t>（即项目经理）</w:t>
            </w:r>
            <w:r>
              <w:rPr>
                <w:rFonts w:hint="eastAsia" w:ascii="宋体" w:hAnsi="宋体"/>
                <w:color w:val="auto"/>
                <w:sz w:val="24"/>
                <w:highlight w:val="none"/>
              </w:rPr>
              <w:t>身份承建过类似工程业绩的，每提供一项业绩证明材料得0.5分，本项最高得</w:t>
            </w:r>
            <w:r>
              <w:rPr>
                <w:rFonts w:hint="eastAsia" w:ascii="宋体" w:hAnsi="宋体"/>
                <w:color w:val="auto"/>
                <w:sz w:val="24"/>
                <w:highlight w:val="none"/>
                <w:lang w:val="en-US" w:eastAsia="zh-CN"/>
              </w:rPr>
              <w:t>0.5</w:t>
            </w:r>
            <w:r>
              <w:rPr>
                <w:rFonts w:hint="eastAsia" w:ascii="宋体" w:hAnsi="宋体"/>
                <w:color w:val="auto"/>
                <w:sz w:val="24"/>
                <w:highlight w:val="none"/>
              </w:rPr>
              <w:t>分。（提供合同或中标通知书原件的扫描件</w:t>
            </w:r>
            <w:r>
              <w:rPr>
                <w:rFonts w:hint="eastAsia" w:ascii="宋体" w:hAnsi="宋体"/>
                <w:color w:val="auto"/>
                <w:sz w:val="24"/>
                <w:highlight w:val="none"/>
                <w:lang w:eastAsia="zh-CN"/>
              </w:rPr>
              <w:t>、</w:t>
            </w:r>
            <w:r>
              <w:rPr>
                <w:rFonts w:hint="eastAsia" w:ascii="宋体" w:hAnsi="宋体"/>
                <w:color w:val="auto"/>
                <w:sz w:val="24"/>
                <w:highlight w:val="none"/>
              </w:rPr>
              <w:t>拟派项目负责人</w:t>
            </w:r>
            <w:r>
              <w:rPr>
                <w:rFonts w:hint="eastAsia" w:ascii="宋体" w:hAnsi="宋体"/>
                <w:color w:val="auto"/>
                <w:sz w:val="24"/>
                <w:highlight w:val="none"/>
                <w:lang w:val="en-US" w:eastAsia="zh-CN"/>
              </w:rPr>
              <w:t>身份证扫描件和响应截止时间</w:t>
            </w:r>
            <w:r>
              <w:rPr>
                <w:rFonts w:hint="eastAsia" w:ascii="宋体" w:hAnsi="宋体"/>
                <w:color w:val="auto"/>
                <w:sz w:val="24"/>
                <w:highlight w:val="none"/>
              </w:rPr>
              <w:t>前近三个月</w:t>
            </w:r>
            <w:r>
              <w:rPr>
                <w:rFonts w:hint="eastAsia" w:ascii="宋体" w:hAnsi="宋体"/>
                <w:color w:val="auto"/>
                <w:sz w:val="24"/>
                <w:highlight w:val="none"/>
                <w:lang w:val="en-US" w:eastAsia="zh-CN"/>
              </w:rPr>
              <w:t>内任意一个月</w:t>
            </w:r>
            <w:r>
              <w:rPr>
                <w:rFonts w:hint="eastAsia" w:ascii="宋体" w:hAnsi="宋体"/>
                <w:color w:val="auto"/>
                <w:sz w:val="24"/>
                <w:highlight w:val="none"/>
              </w:rPr>
              <w:t>在本单位缴纳社保证明，如合同和中标通知书不能体现项目内容或人员信息的，可提供决算报告或其他相关资料佐证，时间以中标通知书或合同落款时间为准）未按要求提供完整证明材料的，不予得分。</w:t>
            </w:r>
          </w:p>
        </w:tc>
        <w:tc>
          <w:tcPr>
            <w:tcW w:w="793" w:type="dxa"/>
            <w:vAlign w:val="center"/>
          </w:tcPr>
          <w:p>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0.5</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仿宋_GB2312"/>
                <w:bCs/>
                <w:color w:val="auto"/>
                <w:sz w:val="24"/>
                <w:highlight w:val="none"/>
              </w:rPr>
              <w:t>人员业绩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jc w:val="left"/>
              <w:outlineLvl w:val="0"/>
              <w:rPr>
                <w:rFonts w:ascii="宋体" w:hAnsi="宋体"/>
                <w:color w:val="auto"/>
                <w:sz w:val="24"/>
                <w:highlight w:val="none"/>
              </w:rPr>
            </w:pPr>
            <w:r>
              <w:rPr>
                <w:rFonts w:hint="eastAsia" w:ascii="宋体" w:hAnsi="宋体" w:cs="宋体"/>
                <w:color w:val="auto"/>
                <w:sz w:val="24"/>
                <w:highlight w:val="none"/>
              </w:rPr>
              <w:t>投标人具有职业健康安全管理体系认证证书的得1分，具有环境管理体系认证证书的得1分，具有质量管理体系认证证书的得1分，最高得3分。（提供有效期内的认证证书复印件，由评标委员会在国家认监委网站http://cx.cnca.cn/CertECloud/result/skipResultList查询，未在该网站上查询到的，不得分。）</w:t>
            </w:r>
          </w:p>
        </w:tc>
        <w:tc>
          <w:tcPr>
            <w:tcW w:w="793" w:type="dxa"/>
            <w:vAlign w:val="center"/>
          </w:tcPr>
          <w:p>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3</w:t>
            </w:r>
          </w:p>
        </w:tc>
        <w:tc>
          <w:tcPr>
            <w:tcW w:w="1900" w:type="dxa"/>
            <w:vAlign w:val="center"/>
          </w:tcPr>
          <w:p>
            <w:pPr>
              <w:snapToGrid w:val="0"/>
              <w:jc w:val="center"/>
              <w:outlineLvl w:val="0"/>
              <w:rPr>
                <w:rFonts w:ascii="宋体" w:hAnsi="宋体" w:cs="仿宋_GB2312"/>
                <w:bCs/>
                <w:color w:val="auto"/>
                <w:sz w:val="24"/>
                <w:highlight w:val="none"/>
              </w:rPr>
            </w:pPr>
            <w:r>
              <w:rPr>
                <w:rFonts w:hint="eastAsia" w:ascii="宋体" w:hAnsi="宋体" w:cs="仿宋_GB2312"/>
                <w:bCs/>
                <w:color w:val="auto"/>
                <w:sz w:val="24"/>
                <w:highlight w:val="none"/>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1183" w:type="dxa"/>
            <w:vMerge w:val="restart"/>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施工方案总体情况评价</w:t>
            </w:r>
          </w:p>
        </w:tc>
        <w:tc>
          <w:tcPr>
            <w:tcW w:w="5245" w:type="dxa"/>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方案内容全面、合理、条理清晰，涵盖本次工程实施有关的内容，且具有针对性得5分，方案内容全面合理得</w:t>
            </w:r>
            <w:r>
              <w:rPr>
                <w:rFonts w:ascii="宋体" w:hAnsi="宋体"/>
                <w:color w:val="auto"/>
                <w:sz w:val="24"/>
                <w:highlight w:val="none"/>
              </w:rPr>
              <w:t>4</w:t>
            </w:r>
            <w:r>
              <w:rPr>
                <w:rFonts w:hint="eastAsia" w:ascii="宋体" w:hAnsi="宋体"/>
                <w:color w:val="auto"/>
                <w:sz w:val="24"/>
                <w:highlight w:val="none"/>
              </w:rPr>
              <w:t>分，方案内容基本合理，满足采购需求得</w:t>
            </w:r>
            <w:r>
              <w:rPr>
                <w:rFonts w:ascii="宋体" w:hAnsi="宋体"/>
                <w:color w:val="auto"/>
                <w:sz w:val="24"/>
                <w:highlight w:val="none"/>
              </w:rPr>
              <w:t>3</w:t>
            </w:r>
            <w:r>
              <w:rPr>
                <w:rFonts w:hint="eastAsia" w:ascii="宋体" w:hAnsi="宋体"/>
                <w:color w:val="auto"/>
                <w:sz w:val="24"/>
                <w:highlight w:val="none"/>
              </w:rPr>
              <w:t>分，方案内容有提及得</w:t>
            </w:r>
            <w:r>
              <w:rPr>
                <w:rFonts w:ascii="宋体" w:hAnsi="宋体"/>
                <w:color w:val="auto"/>
                <w:sz w:val="24"/>
                <w:highlight w:val="none"/>
              </w:rPr>
              <w:t>2</w:t>
            </w:r>
            <w:r>
              <w:rPr>
                <w:rFonts w:hint="eastAsia" w:ascii="宋体" w:hAnsi="宋体"/>
                <w:color w:val="auto"/>
                <w:sz w:val="24"/>
                <w:highlight w:val="none"/>
              </w:rPr>
              <w:t>分。严重缺失不得分。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仿宋_GB2312"/>
                <w:bCs/>
                <w:color w:val="auto"/>
                <w:sz w:val="24"/>
                <w:highlight w:val="none"/>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1183" w:type="dxa"/>
            <w:vMerge w:val="continue"/>
            <w:vAlign w:val="center"/>
          </w:tcPr>
          <w:p>
            <w:pPr>
              <w:snapToGrid w:val="0"/>
              <w:outlineLvl w:val="0"/>
              <w:rPr>
                <w:rFonts w:ascii="宋体" w:hAnsi="宋体" w:cs="宋体"/>
                <w:color w:val="auto"/>
                <w:sz w:val="24"/>
                <w:highlight w:val="none"/>
              </w:rPr>
            </w:pPr>
          </w:p>
        </w:tc>
        <w:tc>
          <w:tcPr>
            <w:tcW w:w="5245" w:type="dxa"/>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针对本项目特殊施工环境需要采取的专门的施工技术内容科学合理，针对性强的得5分；措施内容基本合理，针对性较强得</w:t>
            </w:r>
            <w:r>
              <w:rPr>
                <w:rFonts w:ascii="宋体" w:hAnsi="宋体"/>
                <w:color w:val="auto"/>
                <w:sz w:val="24"/>
                <w:highlight w:val="none"/>
              </w:rPr>
              <w:t>4</w:t>
            </w:r>
            <w:r>
              <w:rPr>
                <w:rFonts w:hint="eastAsia" w:ascii="宋体" w:hAnsi="宋体"/>
                <w:color w:val="auto"/>
                <w:sz w:val="24"/>
                <w:highlight w:val="none"/>
              </w:rPr>
              <w:t>分；措施内容基本合理得</w:t>
            </w:r>
            <w:r>
              <w:rPr>
                <w:rFonts w:ascii="宋体" w:hAnsi="宋体"/>
                <w:color w:val="auto"/>
                <w:sz w:val="24"/>
                <w:highlight w:val="none"/>
              </w:rPr>
              <w:t>3</w:t>
            </w:r>
            <w:r>
              <w:rPr>
                <w:rFonts w:hint="eastAsia" w:ascii="宋体" w:hAnsi="宋体"/>
                <w:color w:val="auto"/>
                <w:sz w:val="24"/>
                <w:highlight w:val="none"/>
              </w:rPr>
              <w:t>分；措施内容一般，有提及得</w:t>
            </w:r>
            <w:r>
              <w:rPr>
                <w:rFonts w:ascii="宋体" w:hAnsi="宋体"/>
                <w:color w:val="auto"/>
                <w:sz w:val="24"/>
                <w:highlight w:val="none"/>
              </w:rPr>
              <w:t>2</w:t>
            </w:r>
            <w:r>
              <w:rPr>
                <w:rFonts w:hint="eastAsia" w:ascii="宋体" w:hAnsi="宋体"/>
                <w:color w:val="auto"/>
                <w:sz w:val="24"/>
                <w:highlight w:val="none"/>
              </w:rPr>
              <w:t>分。内容缺失严重不得分。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仿宋_GB2312"/>
                <w:bCs/>
                <w:color w:val="auto"/>
                <w:sz w:val="24"/>
                <w:highlight w:val="none"/>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1183" w:type="dxa"/>
            <w:vMerge w:val="continue"/>
            <w:vAlign w:val="center"/>
          </w:tcPr>
          <w:p>
            <w:pPr>
              <w:snapToGrid w:val="0"/>
              <w:outlineLvl w:val="0"/>
              <w:rPr>
                <w:rFonts w:ascii="宋体" w:hAnsi="宋体" w:cs="宋体"/>
                <w:color w:val="auto"/>
                <w:sz w:val="24"/>
                <w:highlight w:val="none"/>
              </w:rPr>
            </w:pPr>
          </w:p>
        </w:tc>
        <w:tc>
          <w:tcPr>
            <w:tcW w:w="5245" w:type="dxa"/>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组织措施内容科学合理，针对性强的得5分；措施内容基本合理，针对性较强得</w:t>
            </w:r>
            <w:r>
              <w:rPr>
                <w:rFonts w:ascii="宋体" w:hAnsi="宋体"/>
                <w:color w:val="auto"/>
                <w:sz w:val="24"/>
                <w:highlight w:val="none"/>
              </w:rPr>
              <w:t>4</w:t>
            </w:r>
            <w:r>
              <w:rPr>
                <w:rFonts w:hint="eastAsia" w:ascii="宋体" w:hAnsi="宋体"/>
                <w:color w:val="auto"/>
                <w:sz w:val="24"/>
                <w:highlight w:val="none"/>
              </w:rPr>
              <w:t>分；措施内容基本合理得</w:t>
            </w:r>
            <w:r>
              <w:rPr>
                <w:rFonts w:ascii="宋体" w:hAnsi="宋体"/>
                <w:color w:val="auto"/>
                <w:sz w:val="24"/>
                <w:highlight w:val="none"/>
              </w:rPr>
              <w:t>3</w:t>
            </w:r>
            <w:r>
              <w:rPr>
                <w:rFonts w:hint="eastAsia" w:ascii="宋体" w:hAnsi="宋体"/>
                <w:color w:val="auto"/>
                <w:sz w:val="24"/>
                <w:highlight w:val="none"/>
              </w:rPr>
              <w:t>分；措施内容一般，有提及得</w:t>
            </w:r>
            <w:r>
              <w:rPr>
                <w:rFonts w:ascii="宋体" w:hAnsi="宋体"/>
                <w:color w:val="auto"/>
                <w:sz w:val="24"/>
                <w:highlight w:val="none"/>
              </w:rPr>
              <w:t>2</w:t>
            </w:r>
            <w:r>
              <w:rPr>
                <w:rFonts w:hint="eastAsia" w:ascii="宋体" w:hAnsi="宋体"/>
                <w:color w:val="auto"/>
                <w:sz w:val="24"/>
                <w:highlight w:val="none"/>
              </w:rPr>
              <w:t>分。内容缺失严重不得分。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仿宋_GB2312"/>
                <w:bCs/>
                <w:color w:val="auto"/>
                <w:sz w:val="24"/>
                <w:highlight w:val="none"/>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投标人针对本项目施工重点难点分析到位，针对性强的得4分，施工重点难度内容分析合理得3分，施工重点难度内容分析基本合理得2分，内容有提及得1分。内容缺失严重不得分。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olor w:val="auto"/>
                <w:sz w:val="24"/>
                <w:highlight w:val="none"/>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投标人针对本项目施工重点难点措施内容科学合理，针对性强的得5分；措施内容基本合理，针对性较强得4分；措施内容基本合理得</w:t>
            </w:r>
            <w:r>
              <w:rPr>
                <w:rFonts w:ascii="宋体" w:hAnsi="宋体"/>
                <w:color w:val="auto"/>
                <w:sz w:val="24"/>
                <w:highlight w:val="none"/>
              </w:rPr>
              <w:t>3</w:t>
            </w:r>
            <w:r>
              <w:rPr>
                <w:rFonts w:hint="eastAsia" w:ascii="宋体" w:hAnsi="宋体"/>
                <w:color w:val="auto"/>
                <w:sz w:val="24"/>
                <w:highlight w:val="none"/>
              </w:rPr>
              <w:t>分；措施内容一般，有提及得</w:t>
            </w:r>
            <w:r>
              <w:rPr>
                <w:rFonts w:ascii="宋体" w:hAnsi="宋体"/>
                <w:color w:val="auto"/>
                <w:sz w:val="24"/>
                <w:highlight w:val="none"/>
              </w:rPr>
              <w:t>2</w:t>
            </w:r>
            <w:r>
              <w:rPr>
                <w:rFonts w:hint="eastAsia" w:ascii="宋体" w:hAnsi="宋体"/>
                <w:color w:val="auto"/>
                <w:sz w:val="24"/>
                <w:highlight w:val="none"/>
              </w:rPr>
              <w:t>分。内容缺失严重不得分。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olor w:val="auto"/>
                <w:sz w:val="24"/>
                <w:highlight w:val="none"/>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专项施工方案内容科学合理，主要分部施工方法符合项目实际针对性强得4分，方案内容全面合理得3分，方案内容基本合理，满足采购需求得2分，方案内容有提及得1分。严重缺失不得分。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olor w:val="auto"/>
                <w:sz w:val="24"/>
                <w:highlight w:val="none"/>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施工各阶段进度计划合理、可行及对本项目的针对性强的得</w:t>
            </w:r>
            <w:r>
              <w:rPr>
                <w:rFonts w:hint="eastAsia" w:ascii="宋体" w:hAnsi="宋体"/>
                <w:color w:val="auto"/>
                <w:sz w:val="24"/>
                <w:highlight w:val="none"/>
                <w:lang w:val="en-US" w:eastAsia="zh-CN"/>
              </w:rPr>
              <w:t>5</w:t>
            </w:r>
            <w:r>
              <w:rPr>
                <w:rFonts w:hint="eastAsia" w:ascii="宋体" w:hAnsi="宋体"/>
                <w:color w:val="auto"/>
                <w:sz w:val="24"/>
                <w:highlight w:val="none"/>
              </w:rPr>
              <w:t>分；进度计划基本合理，针对性较强得</w:t>
            </w:r>
            <w:r>
              <w:rPr>
                <w:rFonts w:hint="eastAsia" w:ascii="宋体" w:hAnsi="宋体"/>
                <w:color w:val="auto"/>
                <w:sz w:val="24"/>
                <w:highlight w:val="none"/>
                <w:lang w:val="en-US" w:eastAsia="zh-CN"/>
              </w:rPr>
              <w:t>4</w:t>
            </w:r>
            <w:r>
              <w:rPr>
                <w:rFonts w:hint="eastAsia" w:ascii="宋体" w:hAnsi="宋体"/>
                <w:color w:val="auto"/>
                <w:sz w:val="24"/>
                <w:highlight w:val="none"/>
              </w:rPr>
              <w:t>分；进度计划基本合理得</w:t>
            </w:r>
            <w:r>
              <w:rPr>
                <w:rFonts w:hint="eastAsia" w:ascii="宋体" w:hAnsi="宋体"/>
                <w:color w:val="auto"/>
                <w:sz w:val="24"/>
                <w:highlight w:val="none"/>
                <w:lang w:val="en-US" w:eastAsia="zh-CN"/>
              </w:rPr>
              <w:t>3</w:t>
            </w:r>
            <w:r>
              <w:rPr>
                <w:rFonts w:hint="eastAsia" w:ascii="宋体" w:hAnsi="宋体"/>
                <w:color w:val="auto"/>
                <w:sz w:val="24"/>
                <w:highlight w:val="none"/>
              </w:rPr>
              <w:t>分；进度计划一般，有提及得</w:t>
            </w:r>
            <w:r>
              <w:rPr>
                <w:rFonts w:hint="eastAsia" w:ascii="宋体" w:hAnsi="宋体"/>
                <w:color w:val="auto"/>
                <w:sz w:val="24"/>
                <w:highlight w:val="none"/>
                <w:lang w:val="en-US" w:eastAsia="zh-CN"/>
              </w:rPr>
              <w:t>2</w:t>
            </w:r>
            <w:r>
              <w:rPr>
                <w:rFonts w:hint="eastAsia" w:ascii="宋体" w:hAnsi="宋体"/>
                <w:color w:val="auto"/>
                <w:sz w:val="24"/>
                <w:highlight w:val="none"/>
              </w:rPr>
              <w:t>分。内容缺失严重不得分。</w:t>
            </w:r>
          </w:p>
        </w:tc>
        <w:tc>
          <w:tcPr>
            <w:tcW w:w="793"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olor w:val="auto"/>
                <w:sz w:val="24"/>
                <w:highlight w:val="none"/>
                <w:lang w:val="en-US" w:eastAsia="zh-CN"/>
              </w:rPr>
              <w:t>施工进度计划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olor w:val="auto"/>
                <w:sz w:val="24"/>
                <w:highlight w:val="none"/>
              </w:rPr>
            </w:pPr>
            <w:r>
              <w:rPr>
                <w:rFonts w:hint="eastAsia" w:ascii="宋体" w:hAnsi="宋体"/>
                <w:color w:val="auto"/>
                <w:sz w:val="24"/>
                <w:highlight w:val="none"/>
              </w:rPr>
              <w:t>施工质量目标明确，质量控制措施科学、合理，且有技术支撑的得</w:t>
            </w:r>
            <w:r>
              <w:rPr>
                <w:rFonts w:hint="eastAsia" w:ascii="宋体" w:hAnsi="宋体"/>
                <w:color w:val="auto"/>
                <w:sz w:val="24"/>
                <w:highlight w:val="none"/>
                <w:lang w:val="en-US" w:eastAsia="zh-CN"/>
              </w:rPr>
              <w:t>5</w:t>
            </w:r>
            <w:r>
              <w:rPr>
                <w:rFonts w:hint="eastAsia" w:ascii="宋体" w:hAnsi="宋体"/>
                <w:color w:val="auto"/>
                <w:sz w:val="24"/>
                <w:highlight w:val="none"/>
              </w:rPr>
              <w:t>分，质量措施合理的得</w:t>
            </w:r>
            <w:r>
              <w:rPr>
                <w:rFonts w:hint="eastAsia" w:ascii="宋体" w:hAnsi="宋体"/>
                <w:color w:val="auto"/>
                <w:sz w:val="24"/>
                <w:highlight w:val="none"/>
                <w:lang w:val="en-US" w:eastAsia="zh-CN"/>
              </w:rPr>
              <w:t>4</w:t>
            </w:r>
            <w:r>
              <w:rPr>
                <w:rFonts w:hint="eastAsia" w:ascii="宋体" w:hAnsi="宋体"/>
                <w:color w:val="auto"/>
                <w:sz w:val="24"/>
                <w:highlight w:val="none"/>
              </w:rPr>
              <w:t>分，质量措施基本合理的得</w:t>
            </w:r>
            <w:r>
              <w:rPr>
                <w:rFonts w:hint="eastAsia" w:ascii="宋体" w:hAnsi="宋体"/>
                <w:color w:val="auto"/>
                <w:sz w:val="24"/>
                <w:highlight w:val="none"/>
                <w:lang w:val="en-US" w:eastAsia="zh-CN"/>
              </w:rPr>
              <w:t>3</w:t>
            </w:r>
            <w:r>
              <w:rPr>
                <w:rFonts w:hint="eastAsia" w:ascii="宋体" w:hAnsi="宋体"/>
                <w:color w:val="auto"/>
                <w:sz w:val="24"/>
                <w:highlight w:val="none"/>
              </w:rPr>
              <w:t>分，质量措施一般的得</w:t>
            </w:r>
            <w:r>
              <w:rPr>
                <w:rFonts w:hint="eastAsia" w:ascii="宋体" w:hAnsi="宋体"/>
                <w:color w:val="auto"/>
                <w:sz w:val="24"/>
                <w:highlight w:val="none"/>
                <w:lang w:val="en-US" w:eastAsia="zh-CN"/>
              </w:rPr>
              <w:t>2</w:t>
            </w:r>
            <w:r>
              <w:rPr>
                <w:rFonts w:hint="eastAsia" w:ascii="宋体" w:hAnsi="宋体"/>
                <w:color w:val="auto"/>
                <w:sz w:val="24"/>
                <w:highlight w:val="none"/>
              </w:rPr>
              <w:t>分。严重缺失不得分。</w:t>
            </w:r>
          </w:p>
        </w:tc>
        <w:tc>
          <w:tcPr>
            <w:tcW w:w="793"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olor w:val="auto"/>
                <w:sz w:val="24"/>
                <w:highlight w:val="none"/>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安全、文明施工及市政、市容、环保、消防等保证措施科学、合理、到位的得</w:t>
            </w:r>
            <w:r>
              <w:rPr>
                <w:rFonts w:hint="eastAsia" w:ascii="宋体" w:hAnsi="宋体"/>
                <w:color w:val="auto"/>
                <w:sz w:val="24"/>
                <w:highlight w:val="none"/>
                <w:lang w:val="en-US" w:eastAsia="zh-CN"/>
              </w:rPr>
              <w:t>4</w:t>
            </w:r>
            <w:r>
              <w:rPr>
                <w:rFonts w:hint="eastAsia" w:ascii="宋体" w:hAnsi="宋体"/>
                <w:color w:val="auto"/>
                <w:sz w:val="24"/>
                <w:highlight w:val="none"/>
              </w:rPr>
              <w:t>分，措施合理得</w:t>
            </w:r>
            <w:r>
              <w:rPr>
                <w:rFonts w:hint="eastAsia" w:ascii="宋体" w:hAnsi="宋体"/>
                <w:color w:val="auto"/>
                <w:sz w:val="24"/>
                <w:highlight w:val="none"/>
                <w:lang w:val="en-US" w:eastAsia="zh-CN"/>
              </w:rPr>
              <w:t>3</w:t>
            </w:r>
            <w:r>
              <w:rPr>
                <w:rFonts w:hint="eastAsia" w:ascii="宋体" w:hAnsi="宋体"/>
                <w:color w:val="auto"/>
                <w:sz w:val="24"/>
                <w:highlight w:val="none"/>
              </w:rPr>
              <w:t>分，措施基本合理得</w:t>
            </w:r>
            <w:r>
              <w:rPr>
                <w:rFonts w:hint="eastAsia" w:ascii="宋体" w:hAnsi="宋体"/>
                <w:color w:val="auto"/>
                <w:sz w:val="24"/>
                <w:highlight w:val="none"/>
                <w:lang w:val="en-US" w:eastAsia="zh-CN"/>
              </w:rPr>
              <w:t>2</w:t>
            </w:r>
            <w:r>
              <w:rPr>
                <w:rFonts w:hint="eastAsia" w:ascii="宋体" w:hAnsi="宋体"/>
                <w:color w:val="auto"/>
                <w:sz w:val="24"/>
                <w:highlight w:val="none"/>
              </w:rPr>
              <w:t>分，措施一般的得</w:t>
            </w:r>
            <w:r>
              <w:rPr>
                <w:rFonts w:hint="eastAsia" w:ascii="宋体" w:hAnsi="宋体"/>
                <w:color w:val="auto"/>
                <w:sz w:val="24"/>
                <w:highlight w:val="none"/>
                <w:lang w:val="en-US" w:eastAsia="zh-CN"/>
              </w:rPr>
              <w:t>1</w:t>
            </w:r>
            <w:r>
              <w:rPr>
                <w:rFonts w:hint="eastAsia" w:ascii="宋体" w:hAnsi="宋体"/>
                <w:color w:val="auto"/>
                <w:sz w:val="24"/>
                <w:highlight w:val="none"/>
              </w:rPr>
              <w:t>分。严重缺失不得分。</w:t>
            </w:r>
          </w:p>
        </w:tc>
        <w:tc>
          <w:tcPr>
            <w:tcW w:w="793"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仿宋_GB2312"/>
                <w:bCs/>
                <w:color w:val="auto"/>
                <w:sz w:val="24"/>
                <w:highlight w:val="none"/>
              </w:rPr>
              <w:t>安全、文明施工及市政、市容、环保、消防等保证措施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hint="default" w:ascii="宋体" w:hAnsi="宋体" w:eastAsia="宋体"/>
                <w:color w:val="auto"/>
                <w:sz w:val="24"/>
                <w:highlight w:val="none"/>
                <w:lang w:val="en-US" w:eastAsia="zh-CN"/>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拟派项目组成员中具有工程师职称的，每人得</w:t>
            </w:r>
            <w:r>
              <w:rPr>
                <w:rFonts w:hint="eastAsia" w:ascii="宋体" w:hAnsi="宋体"/>
                <w:color w:val="auto"/>
                <w:sz w:val="24"/>
                <w:highlight w:val="none"/>
                <w:lang w:val="en-US" w:eastAsia="zh-CN"/>
              </w:rPr>
              <w:t>0.5</w:t>
            </w:r>
            <w:r>
              <w:rPr>
                <w:rFonts w:hint="eastAsia" w:ascii="宋体" w:hAnsi="宋体"/>
                <w:color w:val="auto"/>
                <w:sz w:val="24"/>
                <w:highlight w:val="none"/>
              </w:rPr>
              <w:t>分，最高得</w:t>
            </w:r>
            <w:r>
              <w:rPr>
                <w:rFonts w:hint="eastAsia" w:ascii="宋体" w:hAnsi="宋体"/>
                <w:color w:val="auto"/>
                <w:sz w:val="24"/>
                <w:highlight w:val="none"/>
                <w:lang w:val="en-US" w:eastAsia="zh-CN"/>
              </w:rPr>
              <w:t>1</w:t>
            </w:r>
            <w:r>
              <w:rPr>
                <w:rFonts w:hint="eastAsia" w:ascii="宋体" w:hAnsi="宋体"/>
                <w:color w:val="auto"/>
                <w:sz w:val="24"/>
                <w:highlight w:val="none"/>
              </w:rPr>
              <w:t>分；具有高级工程师及以上职称的</w:t>
            </w:r>
            <w:r>
              <w:rPr>
                <w:rFonts w:hint="eastAsia" w:ascii="宋体" w:hAnsi="宋体"/>
                <w:color w:val="auto"/>
                <w:sz w:val="24"/>
                <w:highlight w:val="none"/>
                <w:lang w:eastAsia="zh-CN"/>
              </w:rPr>
              <w:t>，</w:t>
            </w:r>
            <w:r>
              <w:rPr>
                <w:rFonts w:hint="eastAsia" w:ascii="宋体" w:hAnsi="宋体"/>
                <w:color w:val="auto"/>
                <w:sz w:val="24"/>
                <w:highlight w:val="none"/>
              </w:rPr>
              <w:t>每1人得1.5分</w:t>
            </w:r>
            <w:r>
              <w:rPr>
                <w:rFonts w:hint="eastAsia" w:ascii="宋体" w:hAnsi="宋体"/>
                <w:color w:val="auto"/>
                <w:sz w:val="24"/>
                <w:highlight w:val="none"/>
                <w:lang w:eastAsia="zh-CN"/>
              </w:rPr>
              <w:t>，</w:t>
            </w:r>
            <w:r>
              <w:rPr>
                <w:rFonts w:hint="eastAsia" w:ascii="宋体" w:hAnsi="宋体"/>
                <w:color w:val="auto"/>
                <w:sz w:val="24"/>
                <w:highlight w:val="none"/>
              </w:rPr>
              <w:t>最高得3分；</w:t>
            </w:r>
            <w:r>
              <w:rPr>
                <w:rFonts w:hint="eastAsia" w:ascii="宋体" w:hAnsi="宋体"/>
                <w:color w:val="auto"/>
                <w:sz w:val="24"/>
                <w:highlight w:val="none"/>
                <w:lang w:val="en-US" w:eastAsia="zh-CN"/>
              </w:rPr>
              <w:t>本项最高得3分。</w:t>
            </w:r>
          </w:p>
          <w:p>
            <w:pPr>
              <w:snapToGrid w:val="0"/>
              <w:outlineLvl w:val="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拟派项目组成员中</w:t>
            </w:r>
            <w:r>
              <w:rPr>
                <w:rFonts w:hint="eastAsia" w:ascii="宋体" w:hAnsi="宋体"/>
                <w:color w:val="auto"/>
                <w:sz w:val="24"/>
                <w:highlight w:val="none"/>
                <w:lang w:val="en-US" w:eastAsia="zh-CN"/>
              </w:rPr>
              <w:t>资料员、材料员、施工员、质量员配备齐全的得2.5分，未配备齐全的不得分</w:t>
            </w:r>
            <w:r>
              <w:rPr>
                <w:rFonts w:hint="eastAsia" w:ascii="宋体" w:hAnsi="宋体"/>
                <w:color w:val="auto"/>
                <w:sz w:val="24"/>
                <w:highlight w:val="none"/>
              </w:rPr>
              <w:t>；</w:t>
            </w:r>
          </w:p>
          <w:p>
            <w:pPr>
              <w:snapToGrid w:val="0"/>
              <w:outlineLvl w:val="0"/>
              <w:rPr>
                <w:rFonts w:ascii="宋体" w:hAnsi="宋体"/>
                <w:color w:val="auto"/>
                <w:sz w:val="24"/>
                <w:highlight w:val="none"/>
              </w:rPr>
            </w:pPr>
            <w:r>
              <w:rPr>
                <w:rFonts w:hint="eastAsia" w:ascii="宋体" w:hAnsi="宋体"/>
                <w:color w:val="auto"/>
                <w:sz w:val="24"/>
                <w:highlight w:val="none"/>
              </w:rPr>
              <w:t>以上人员需提供人员身份证扫描件、证书扫描件及</w:t>
            </w:r>
            <w:r>
              <w:rPr>
                <w:rFonts w:hint="eastAsia" w:ascii="宋体" w:hAnsi="宋体"/>
                <w:color w:val="auto"/>
                <w:sz w:val="24"/>
                <w:highlight w:val="none"/>
                <w:lang w:val="en-US" w:eastAsia="zh-CN"/>
              </w:rPr>
              <w:t>响应截止时间前</w:t>
            </w:r>
            <w:r>
              <w:rPr>
                <w:rFonts w:hint="eastAsia" w:ascii="宋体" w:hAnsi="宋体"/>
                <w:color w:val="auto"/>
                <w:sz w:val="24"/>
                <w:highlight w:val="none"/>
              </w:rPr>
              <w:t>近三个月</w:t>
            </w:r>
            <w:r>
              <w:rPr>
                <w:rFonts w:hint="eastAsia" w:ascii="宋体" w:hAnsi="宋体"/>
                <w:color w:val="auto"/>
                <w:sz w:val="24"/>
                <w:highlight w:val="none"/>
                <w:lang w:val="en-US" w:eastAsia="zh-CN"/>
              </w:rPr>
              <w:t>内任意一个月</w:t>
            </w:r>
            <w:r>
              <w:rPr>
                <w:rFonts w:hint="eastAsia" w:ascii="宋体" w:hAnsi="宋体"/>
                <w:color w:val="auto"/>
                <w:sz w:val="24"/>
                <w:highlight w:val="none"/>
              </w:rPr>
              <w:t>在本单位缴纳社保证明，未提供完整证明材料的不得分。</w:t>
            </w:r>
          </w:p>
        </w:tc>
        <w:tc>
          <w:tcPr>
            <w:tcW w:w="793" w:type="dxa"/>
            <w:vAlign w:val="center"/>
          </w:tcPr>
          <w:p>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5</w:t>
            </w:r>
            <w:r>
              <w:rPr>
                <w:rFonts w:hint="eastAsia" w:ascii="宋体" w:hAnsi="宋体" w:cs="宋体"/>
                <w:bCs/>
                <w:color w:val="auto"/>
                <w:sz w:val="24"/>
                <w:highlight w:val="none"/>
                <w:lang w:val="en-US" w:eastAsia="zh-CN"/>
              </w:rPr>
              <w:t>.5</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仿宋_GB2312"/>
                <w:bCs/>
                <w:color w:val="auto"/>
                <w:sz w:val="24"/>
                <w:highlight w:val="none"/>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hint="default" w:ascii="宋体" w:hAnsi="宋体" w:eastAsia="宋体"/>
                <w:color w:val="auto"/>
                <w:sz w:val="24"/>
                <w:highlight w:val="none"/>
                <w:lang w:val="en-US" w:eastAsia="zh-CN"/>
              </w:rPr>
            </w:pPr>
            <w:r>
              <w:rPr>
                <w:rFonts w:hint="eastAsia" w:ascii="宋体" w:hAnsi="宋体"/>
                <w:color w:val="auto"/>
                <w:sz w:val="24"/>
                <w:highlight w:val="none"/>
              </w:rPr>
              <w:t>投标人结合施工材料及自身施工工艺等，提供针对本项目实际完工效果呈现的情况，呈现</w:t>
            </w:r>
            <w:r>
              <w:rPr>
                <w:rFonts w:hint="eastAsia" w:ascii="宋体" w:hAnsi="宋体"/>
                <w:color w:val="auto"/>
                <w:sz w:val="24"/>
                <w:highlight w:val="none"/>
                <w:lang w:val="en-US" w:eastAsia="zh-CN"/>
              </w:rPr>
              <w:t>效果合理得3分，</w:t>
            </w:r>
            <w:r>
              <w:rPr>
                <w:rFonts w:hint="eastAsia" w:ascii="宋体" w:hAnsi="宋体"/>
                <w:color w:val="auto"/>
                <w:sz w:val="24"/>
                <w:highlight w:val="none"/>
              </w:rPr>
              <w:t>呈现</w:t>
            </w:r>
            <w:r>
              <w:rPr>
                <w:rFonts w:hint="eastAsia" w:ascii="宋体" w:hAnsi="宋体"/>
                <w:color w:val="auto"/>
                <w:sz w:val="24"/>
                <w:highlight w:val="none"/>
                <w:lang w:val="en-US" w:eastAsia="zh-CN"/>
              </w:rPr>
              <w:t>效果基本合理得2分，</w:t>
            </w:r>
            <w:r>
              <w:rPr>
                <w:rFonts w:hint="eastAsia" w:ascii="宋体" w:hAnsi="宋体"/>
                <w:color w:val="auto"/>
                <w:sz w:val="24"/>
                <w:highlight w:val="none"/>
              </w:rPr>
              <w:t>呈现</w:t>
            </w:r>
            <w:r>
              <w:rPr>
                <w:rFonts w:hint="eastAsia" w:ascii="宋体" w:hAnsi="宋体"/>
                <w:color w:val="auto"/>
                <w:sz w:val="24"/>
                <w:highlight w:val="none"/>
                <w:lang w:val="en-US" w:eastAsia="zh-CN"/>
              </w:rPr>
              <w:t>效果有欠缺得1分。</w:t>
            </w:r>
          </w:p>
        </w:tc>
        <w:tc>
          <w:tcPr>
            <w:tcW w:w="793"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900" w:type="dxa"/>
            <w:vAlign w:val="center"/>
          </w:tcPr>
          <w:p>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olor w:val="auto"/>
                <w:sz w:val="24"/>
                <w:highlight w:val="none"/>
              </w:rPr>
              <w:t>呈现</w:t>
            </w:r>
            <w:r>
              <w:rPr>
                <w:rFonts w:hint="eastAsia" w:ascii="宋体" w:hAnsi="宋体"/>
                <w:color w:val="auto"/>
                <w:sz w:val="24"/>
                <w:highlight w:val="none"/>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材料设备进场计划及施工计划情况：具有详细的材料设备进场计划且计划周密，材料数量、质量控制，时间安排合理，针对性强得4分，材料设备进场计划，材料数量、质量控制，时间安排，满足施工需要的得3分，材料设备进场计划，材料数量、质量控制，时间安排，基本满足施工需要的得</w:t>
            </w:r>
            <w:r>
              <w:rPr>
                <w:rFonts w:ascii="宋体" w:hAnsi="宋体"/>
                <w:color w:val="auto"/>
                <w:sz w:val="24"/>
                <w:highlight w:val="none"/>
              </w:rPr>
              <w:t>2</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材料设备进场计划，材料数量、质量控制，时间安排，</w:t>
            </w:r>
            <w:r>
              <w:rPr>
                <w:rFonts w:hint="eastAsia" w:ascii="宋体" w:hAnsi="宋体"/>
                <w:color w:val="auto"/>
                <w:sz w:val="24"/>
                <w:highlight w:val="none"/>
                <w:lang w:val="en-US" w:eastAsia="zh-CN"/>
              </w:rPr>
              <w:t>有欠缺</w:t>
            </w:r>
            <w:r>
              <w:rPr>
                <w:rFonts w:hint="eastAsia" w:ascii="宋体" w:hAnsi="宋体"/>
                <w:color w:val="auto"/>
                <w:sz w:val="24"/>
                <w:highlight w:val="none"/>
              </w:rPr>
              <w:t>的得</w:t>
            </w:r>
            <w:r>
              <w:rPr>
                <w:rFonts w:hint="eastAsia" w:ascii="宋体" w:hAnsi="宋体"/>
                <w:color w:val="auto"/>
                <w:sz w:val="24"/>
                <w:highlight w:val="none"/>
                <w:lang w:val="en-US" w:eastAsia="zh-CN"/>
              </w:rPr>
              <w:t>1</w:t>
            </w:r>
            <w:r>
              <w:rPr>
                <w:rFonts w:hint="eastAsia" w:ascii="宋体" w:hAnsi="宋体"/>
                <w:color w:val="auto"/>
                <w:sz w:val="24"/>
                <w:highlight w:val="none"/>
              </w:rPr>
              <w:t>分。未提供材料设备进场计划及施工计划的不得分。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olor w:val="auto"/>
                <w:sz w:val="24"/>
                <w:highlight w:val="none"/>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s="宋体"/>
                <w:color w:val="auto"/>
                <w:sz w:val="24"/>
                <w:highlight w:val="none"/>
              </w:rPr>
            </w:pPr>
            <w:r>
              <w:rPr>
                <w:rFonts w:hint="eastAsia" w:ascii="宋体" w:hAnsi="宋体"/>
                <w:color w:val="auto"/>
                <w:sz w:val="24"/>
                <w:highlight w:val="none"/>
              </w:rPr>
              <w:t>投标人对成品保护的保证措施合理、科学，具有可操作性得</w:t>
            </w:r>
            <w:r>
              <w:rPr>
                <w:rFonts w:hint="eastAsia" w:ascii="宋体" w:hAnsi="宋体"/>
                <w:color w:val="auto"/>
                <w:sz w:val="24"/>
                <w:highlight w:val="none"/>
                <w:lang w:val="en-US" w:eastAsia="zh-CN"/>
              </w:rPr>
              <w:t>4</w:t>
            </w:r>
            <w:r>
              <w:rPr>
                <w:rFonts w:hint="eastAsia" w:ascii="宋体" w:hAnsi="宋体"/>
                <w:color w:val="auto"/>
                <w:sz w:val="24"/>
                <w:highlight w:val="none"/>
              </w:rPr>
              <w:t>分，措施合理得</w:t>
            </w:r>
            <w:r>
              <w:rPr>
                <w:rFonts w:hint="eastAsia" w:ascii="宋体" w:hAnsi="宋体"/>
                <w:color w:val="auto"/>
                <w:sz w:val="24"/>
                <w:highlight w:val="none"/>
                <w:lang w:val="en-US" w:eastAsia="zh-CN"/>
              </w:rPr>
              <w:t>3</w:t>
            </w:r>
            <w:r>
              <w:rPr>
                <w:rFonts w:hint="eastAsia" w:ascii="宋体" w:hAnsi="宋体"/>
                <w:color w:val="auto"/>
                <w:sz w:val="24"/>
                <w:highlight w:val="none"/>
              </w:rPr>
              <w:t>分，措施基本合理得</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措施有欠缺的得1分，</w:t>
            </w:r>
            <w:r>
              <w:rPr>
                <w:rFonts w:hint="eastAsia" w:ascii="宋体" w:hAnsi="宋体"/>
                <w:color w:val="auto"/>
                <w:sz w:val="24"/>
                <w:highlight w:val="none"/>
              </w:rPr>
              <w:t>严重缺失不得分。</w:t>
            </w:r>
          </w:p>
        </w:tc>
        <w:tc>
          <w:tcPr>
            <w:tcW w:w="793"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olor w:val="auto"/>
                <w:sz w:val="24"/>
                <w:highlight w:val="none"/>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olor w:val="auto"/>
                <w:sz w:val="24"/>
                <w:highlight w:val="none"/>
              </w:rPr>
            </w:pPr>
            <w:r>
              <w:rPr>
                <w:rFonts w:hint="eastAsia" w:ascii="宋体" w:hAnsi="宋体"/>
                <w:color w:val="auto"/>
                <w:sz w:val="24"/>
                <w:highlight w:val="none"/>
              </w:rPr>
              <w:t>投标人的降噪措施合理、具有可操作性得4分，措施合理得3分，措施基本合理得2分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措施有欠缺的得1分，</w:t>
            </w:r>
            <w:r>
              <w:rPr>
                <w:rFonts w:hint="eastAsia" w:ascii="宋体" w:hAnsi="宋体"/>
                <w:color w:val="auto"/>
                <w:sz w:val="24"/>
                <w:highlight w:val="none"/>
              </w:rPr>
              <w:t>严重缺失不得分。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olor w:val="auto"/>
                <w:sz w:val="24"/>
                <w:highlight w:val="none"/>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snapToGrid w:val="0"/>
              <w:outlineLvl w:val="0"/>
              <w:rPr>
                <w:rFonts w:ascii="宋体" w:hAnsi="宋体"/>
                <w:color w:val="auto"/>
                <w:sz w:val="24"/>
                <w:highlight w:val="none"/>
              </w:rPr>
            </w:pPr>
            <w:r>
              <w:rPr>
                <w:rFonts w:hint="eastAsia" w:ascii="宋体" w:hAnsi="宋体"/>
                <w:snapToGrid w:val="0"/>
                <w:color w:val="auto"/>
                <w:kern w:val="0"/>
                <w:sz w:val="24"/>
                <w:highlight w:val="none"/>
              </w:rPr>
              <w:t>服从采购人协调和统一管理及配合措施</w:t>
            </w:r>
            <w:r>
              <w:rPr>
                <w:rFonts w:hint="eastAsia" w:ascii="宋体" w:hAnsi="宋体"/>
                <w:snapToGrid w:val="0"/>
                <w:color w:val="auto"/>
                <w:kern w:val="0"/>
                <w:sz w:val="24"/>
                <w:highlight w:val="none"/>
                <w:lang w:eastAsia="zh-CN"/>
              </w:rPr>
              <w:t>，</w:t>
            </w:r>
            <w:r>
              <w:rPr>
                <w:rFonts w:hint="eastAsia" w:ascii="宋体" w:hAnsi="宋体"/>
                <w:snapToGrid w:val="0"/>
                <w:color w:val="auto"/>
                <w:kern w:val="0"/>
                <w:sz w:val="24"/>
                <w:highlight w:val="none"/>
              </w:rPr>
              <w:t>措施全面、科学、合理及</w:t>
            </w:r>
            <w:r>
              <w:rPr>
                <w:rFonts w:hint="eastAsia" w:ascii="宋体" w:hAnsi="宋体"/>
                <w:snapToGrid w:val="0"/>
                <w:color w:val="auto"/>
                <w:kern w:val="0"/>
                <w:sz w:val="24"/>
                <w:highlight w:val="none"/>
                <w:lang w:val="en-US" w:eastAsia="zh-CN"/>
              </w:rPr>
              <w:t>有</w:t>
            </w:r>
            <w:r>
              <w:rPr>
                <w:rFonts w:hint="eastAsia" w:ascii="宋体" w:hAnsi="宋体"/>
                <w:snapToGrid w:val="0"/>
                <w:color w:val="auto"/>
                <w:kern w:val="0"/>
                <w:sz w:val="24"/>
                <w:highlight w:val="none"/>
              </w:rPr>
              <w:t>针对性、可操作性</w:t>
            </w:r>
            <w:r>
              <w:rPr>
                <w:rFonts w:hint="eastAsia" w:ascii="宋体" w:hAnsi="宋体"/>
                <w:color w:val="auto"/>
                <w:sz w:val="24"/>
                <w:highlight w:val="none"/>
              </w:rPr>
              <w:t>得</w:t>
            </w:r>
            <w:r>
              <w:rPr>
                <w:rFonts w:ascii="宋体" w:hAnsi="宋体"/>
                <w:color w:val="auto"/>
                <w:sz w:val="24"/>
                <w:highlight w:val="none"/>
              </w:rPr>
              <w:t>3</w:t>
            </w:r>
            <w:r>
              <w:rPr>
                <w:rFonts w:hint="eastAsia" w:ascii="宋体" w:hAnsi="宋体"/>
                <w:color w:val="auto"/>
                <w:sz w:val="24"/>
                <w:highlight w:val="none"/>
              </w:rPr>
              <w:t>分，</w:t>
            </w:r>
            <w:r>
              <w:rPr>
                <w:rFonts w:hint="eastAsia" w:ascii="宋体" w:hAnsi="宋体"/>
                <w:color w:val="auto"/>
                <w:sz w:val="24"/>
                <w:highlight w:val="none"/>
                <w:lang w:val="en-US" w:eastAsia="zh-CN"/>
              </w:rPr>
              <w:t>措施</w:t>
            </w:r>
            <w:r>
              <w:rPr>
                <w:rFonts w:hint="eastAsia" w:ascii="宋体" w:hAnsi="宋体"/>
                <w:color w:val="auto"/>
                <w:sz w:val="24"/>
                <w:highlight w:val="none"/>
              </w:rPr>
              <w:t>合理得</w:t>
            </w:r>
            <w:r>
              <w:rPr>
                <w:rFonts w:ascii="宋体" w:hAnsi="宋体"/>
                <w:color w:val="auto"/>
                <w:sz w:val="24"/>
                <w:highlight w:val="none"/>
              </w:rPr>
              <w:t>2</w:t>
            </w:r>
            <w:r>
              <w:rPr>
                <w:rFonts w:hint="eastAsia" w:ascii="宋体" w:hAnsi="宋体"/>
                <w:color w:val="auto"/>
                <w:sz w:val="24"/>
                <w:highlight w:val="none"/>
              </w:rPr>
              <w:t>分，</w:t>
            </w:r>
            <w:r>
              <w:rPr>
                <w:rFonts w:hint="eastAsia" w:ascii="宋体" w:hAnsi="宋体"/>
                <w:color w:val="auto"/>
                <w:sz w:val="24"/>
                <w:highlight w:val="none"/>
                <w:lang w:val="en-US" w:eastAsia="zh-CN"/>
              </w:rPr>
              <w:t>措施</w:t>
            </w:r>
            <w:r>
              <w:rPr>
                <w:rFonts w:hint="eastAsia" w:ascii="宋体" w:hAnsi="宋体"/>
                <w:color w:val="auto"/>
                <w:sz w:val="24"/>
                <w:highlight w:val="none"/>
              </w:rPr>
              <w:t>基本合理得1分。严重缺失不得分。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服从协调和统一管理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910" w:type="dxa"/>
            <w:vAlign w:val="center"/>
          </w:tcPr>
          <w:p>
            <w:pPr>
              <w:numPr>
                <w:ilvl w:val="0"/>
                <w:numId w:val="2"/>
              </w:numPr>
              <w:snapToGrid w:val="0"/>
              <w:ind w:left="425" w:hanging="425"/>
              <w:jc w:val="center"/>
              <w:outlineLvl w:val="0"/>
              <w:rPr>
                <w:rFonts w:ascii="宋体" w:hAnsi="宋体" w:cs="宋体"/>
                <w:color w:val="auto"/>
                <w:sz w:val="24"/>
                <w:highlight w:val="none"/>
              </w:rPr>
            </w:pPr>
          </w:p>
        </w:tc>
        <w:tc>
          <w:tcPr>
            <w:tcW w:w="6428" w:type="dxa"/>
            <w:gridSpan w:val="2"/>
            <w:vAlign w:val="center"/>
          </w:tcPr>
          <w:p>
            <w:pPr>
              <w:rPr>
                <w:rFonts w:ascii="宋体" w:hAnsi="宋体"/>
                <w:snapToGrid w:val="0"/>
                <w:color w:val="auto"/>
                <w:kern w:val="0"/>
                <w:sz w:val="24"/>
                <w:highlight w:val="none"/>
              </w:rPr>
            </w:pPr>
            <w:r>
              <w:rPr>
                <w:rFonts w:hint="eastAsia" w:ascii="宋体" w:hAnsi="宋体"/>
                <w:snapToGrid w:val="0"/>
                <w:color w:val="auto"/>
                <w:kern w:val="0"/>
                <w:sz w:val="24"/>
                <w:highlight w:val="none"/>
              </w:rPr>
              <w:t>有效投标报价的最低价作为评标基准价，其最低报价为满分；按［投标报价得分=（评标基准价/投标最后报价）*30］的计算公式计算。</w:t>
            </w:r>
          </w:p>
          <w:p>
            <w:pPr>
              <w:rPr>
                <w:rFonts w:ascii="宋体" w:hAnsi="宋体"/>
                <w:snapToGrid w:val="0"/>
                <w:color w:val="auto"/>
                <w:kern w:val="0"/>
                <w:sz w:val="24"/>
                <w:highlight w:val="none"/>
              </w:rPr>
            </w:pPr>
            <w:r>
              <w:rPr>
                <w:rFonts w:hint="eastAsia" w:ascii="宋体" w:hAnsi="宋体"/>
                <w:snapToGrid w:val="0"/>
                <w:color w:val="auto"/>
                <w:kern w:val="0"/>
                <w:sz w:val="24"/>
                <w:highlight w:val="none"/>
              </w:rPr>
              <w:t>评标过程中，不得去掉报价中的最高报价和最低报价。</w:t>
            </w:r>
          </w:p>
          <w:p>
            <w:pPr>
              <w:snapToGrid w:val="0"/>
              <w:outlineLvl w:val="0"/>
              <w:rPr>
                <w:rFonts w:ascii="宋体" w:hAnsi="宋体"/>
                <w:color w:val="auto"/>
                <w:sz w:val="24"/>
                <w:highlight w:val="none"/>
              </w:rPr>
            </w:pPr>
            <w:r>
              <w:rPr>
                <w:rFonts w:hint="eastAsia" w:ascii="宋体" w:hAnsi="宋体"/>
                <w:snapToGrid w:val="0"/>
                <w:color w:val="auto"/>
                <w:kern w:val="0"/>
                <w:sz w:val="24"/>
                <w:highlight w:val="none"/>
              </w:rPr>
              <w:t>因落实政府采购政策需要进行价格调整的，以调整后的价格计算评标基准价和投标报价。</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30</w:t>
            </w:r>
          </w:p>
        </w:tc>
        <w:tc>
          <w:tcPr>
            <w:tcW w:w="1900" w:type="dxa"/>
            <w:vAlign w:val="center"/>
          </w:tcPr>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pPr>
        <w:jc w:val="left"/>
        <w:rPr>
          <w:rFonts w:ascii="宋体" w:hAnsi="宋体" w:cs="宋体"/>
          <w:b/>
          <w:color w:val="auto"/>
          <w:sz w:val="32"/>
        </w:rPr>
      </w:pPr>
      <w:r>
        <w:rPr>
          <w:rFonts w:hint="eastAsia" w:ascii="宋体" w:hAnsi="宋体" w:cs="宋体"/>
          <w:b/>
          <w:color w:val="auto"/>
          <w:sz w:val="32"/>
        </w:rPr>
        <w:br w:type="page"/>
      </w:r>
    </w:p>
    <w:p>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一、评审方法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color w:val="auto"/>
          <w:kern w:val="0"/>
          <w:sz w:val="24"/>
          <w:lang w:eastAsia="zh-CN"/>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lang w:eastAsia="zh-CN"/>
        </w:rPr>
        <w:t>。</w:t>
      </w:r>
      <w:r>
        <w:rPr>
          <w:rFonts w:hint="eastAsia" w:ascii="宋体" w:hAnsi="宋体" w:cs="宋体"/>
          <w:color w:val="auto"/>
          <w:kern w:val="0"/>
          <w:sz w:val="24"/>
          <w:lang w:val="en" w:eastAsia="zh-CN"/>
        </w:rPr>
        <w:t>本项目推荐的中标候选人数量：</w:t>
      </w:r>
      <w:r>
        <w:rPr>
          <w:rFonts w:hint="eastAsia" w:ascii="宋体" w:hAnsi="宋体" w:cs="宋体"/>
          <w:color w:val="auto"/>
          <w:kern w:val="0"/>
          <w:sz w:val="24"/>
          <w:u w:val="single"/>
          <w:lang w:val="en-US" w:eastAsia="zh-CN"/>
        </w:rPr>
        <w:t>3家</w:t>
      </w:r>
      <w:r>
        <w:rPr>
          <w:rFonts w:hint="eastAsia" w:ascii="宋体" w:hAnsi="宋体" w:cs="宋体"/>
          <w:color w:val="auto"/>
          <w:kern w:val="0"/>
          <w:sz w:val="24"/>
          <w:lang w:val="en" w:eastAsia="zh-CN"/>
        </w:rPr>
        <w:t>。</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7"/>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kern w:val="0"/>
          <w:sz w:val="24"/>
        </w:rPr>
        <w:t>供应商对根据修正原则修正后的报价不确认的；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9</w:t>
      </w:r>
      <w:r>
        <w:rPr>
          <w:rFonts w:hint="eastAsia" w:ascii="宋体" w:hAnsi="宋体" w:cs="宋体"/>
          <w:color w:val="auto"/>
          <w:kern w:val="0"/>
          <w:sz w:val="24"/>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0</w:t>
      </w:r>
      <w:r>
        <w:rPr>
          <w:rFonts w:hint="eastAsia" w:ascii="宋体" w:hAnsi="宋体" w:cs="宋体"/>
          <w:color w:val="auto"/>
          <w:kern w:val="0"/>
          <w:sz w:val="24"/>
        </w:rPr>
        <w:t>供应商有恶意串通、妨碍其他供应商的竞争行为、损害采购人或者其他供应商的合法权益情形的；</w:t>
      </w:r>
    </w:p>
    <w:p>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4.2.11</w:t>
      </w:r>
      <w:r>
        <w:rPr>
          <w:rFonts w:hint="eastAsia" w:ascii="宋体" w:hAnsi="宋体" w:eastAsia="宋体" w:cs="宋体"/>
          <w:color w:val="auto"/>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2</w:t>
      </w:r>
      <w:r>
        <w:rPr>
          <w:rFonts w:hint="eastAsia" w:ascii="宋体" w:hAnsi="宋体" w:cs="宋体"/>
          <w:color w:val="auto"/>
          <w:kern w:val="0"/>
          <w:sz w:val="24"/>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 xml:space="preserve"> 响应文件不满足采购文件的其它实质性要求的；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4</w:t>
      </w:r>
      <w:r>
        <w:rPr>
          <w:rFonts w:hint="eastAsia" w:ascii="宋体" w:hAnsi="宋体" w:cs="宋体"/>
          <w:color w:val="auto"/>
          <w:kern w:val="0"/>
          <w:sz w:val="24"/>
        </w:rPr>
        <w:t>法律、法规、规章（适用本市的）及省级以上规范性文件（适用本市的）规定的其他无效情形。</w:t>
      </w:r>
    </w:p>
    <w:p>
      <w:pPr>
        <w:pStyle w:val="27"/>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pPr>
        <w:pStyle w:val="27"/>
        <w:snapToGrid w:val="0"/>
        <w:spacing w:line="360" w:lineRule="auto"/>
        <w:rPr>
          <w:rFonts w:cs="宋体"/>
          <w:color w:val="auto"/>
        </w:rPr>
      </w:pPr>
      <w:r>
        <w:rPr>
          <w:rFonts w:hint="eastAsia" w:cs="宋体"/>
          <w:color w:val="auto"/>
        </w:rPr>
        <w:t>5.1因情况变化，不再符合规定的竞争性磋商采购方式适用情形的；</w:t>
      </w:r>
    </w:p>
    <w:p>
      <w:pPr>
        <w:pStyle w:val="27"/>
        <w:snapToGrid w:val="0"/>
        <w:spacing w:line="360" w:lineRule="auto"/>
        <w:rPr>
          <w:rFonts w:cs="宋体"/>
          <w:color w:val="auto"/>
        </w:rPr>
      </w:pPr>
      <w:r>
        <w:rPr>
          <w:rFonts w:hint="eastAsia" w:cs="宋体"/>
          <w:color w:val="auto"/>
        </w:rPr>
        <w:t>5.2出现影响采购公正的违法、违规行为的；</w:t>
      </w:r>
    </w:p>
    <w:p>
      <w:pPr>
        <w:pStyle w:val="27"/>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pPr>
        <w:pStyle w:val="27"/>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pPr>
        <w:pStyle w:val="27"/>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pPr>
        <w:pStyle w:val="27"/>
        <w:snapToGrid w:val="0"/>
        <w:spacing w:line="360" w:lineRule="auto"/>
        <w:rPr>
          <w:rFonts w:cs="宋体"/>
          <w:color w:val="auto"/>
        </w:rPr>
      </w:pPr>
      <w:r>
        <w:rPr>
          <w:rFonts w:hint="eastAsia" w:cs="宋体"/>
          <w:color w:val="auto"/>
        </w:rPr>
        <w:t>6.1未确定成交供应商的，终止本次政府采购活动，重新开展政府采购活动。</w:t>
      </w:r>
    </w:p>
    <w:p>
      <w:pPr>
        <w:pStyle w:val="27"/>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pPr>
        <w:pStyle w:val="27"/>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pPr>
        <w:pStyle w:val="27"/>
        <w:snapToGrid w:val="0"/>
        <w:spacing w:line="360" w:lineRule="auto"/>
        <w:rPr>
          <w:rFonts w:cs="宋体"/>
          <w:color w:val="auto"/>
        </w:rPr>
      </w:pPr>
      <w:r>
        <w:rPr>
          <w:rFonts w:hint="eastAsia" w:cs="宋体"/>
          <w:color w:val="auto"/>
        </w:rPr>
        <w:t>6.4政府采购合同已经履行，给采购人、供应商造成损失的，由责任人承担赔偿责任。</w:t>
      </w:r>
    </w:p>
    <w:p>
      <w:pPr>
        <w:pStyle w:val="27"/>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pPr>
        <w:pStyle w:val="27"/>
        <w:snapToGrid w:val="0"/>
        <w:spacing w:line="360" w:lineRule="auto"/>
        <w:ind w:firstLine="0" w:firstLineChars="0"/>
        <w:rPr>
          <w:rFonts w:cs="宋体"/>
          <w:color w:val="auto"/>
        </w:rPr>
        <w:sectPr>
          <w:pgSz w:w="11907" w:h="16840"/>
          <w:pgMar w:top="1440" w:right="747" w:bottom="1440" w:left="1080" w:header="851" w:footer="851" w:gutter="0"/>
          <w:cols w:space="720" w:num="1"/>
        </w:sectPr>
      </w:pPr>
    </w:p>
    <w:bookmarkEnd w:id="31"/>
    <w:p>
      <w:pPr>
        <w:spacing w:line="360" w:lineRule="auto"/>
        <w:jc w:val="center"/>
        <w:outlineLvl w:val="0"/>
        <w:rPr>
          <w:rFonts w:ascii="宋体" w:hAnsi="宋体" w:cs="宋体"/>
          <w:b/>
          <w:color w:val="auto"/>
          <w:sz w:val="36"/>
          <w:szCs w:val="36"/>
        </w:rPr>
      </w:pPr>
      <w:bookmarkStart w:id="398" w:name="第五部分"/>
      <w:bookmarkStart w:id="399" w:name="_Toc86217003"/>
      <w:r>
        <w:rPr>
          <w:rFonts w:hint="eastAsia" w:ascii="宋体" w:hAnsi="宋体" w:cs="宋体"/>
          <w:b/>
          <w:color w:val="auto"/>
          <w:sz w:val="36"/>
          <w:szCs w:val="36"/>
        </w:rPr>
        <w:t>第五部分 拟签订的合同文本</w:t>
      </w:r>
    </w:p>
    <w:p>
      <w:pPr>
        <w:snapToGrid w:val="0"/>
        <w:spacing w:line="360" w:lineRule="auto"/>
        <w:ind w:firstLine="480" w:firstLineChars="200"/>
        <w:jc w:val="left"/>
        <w:rPr>
          <w:rFonts w:ascii="宋体" w:hAnsi="宋体"/>
          <w:snapToGrid w:val="0"/>
          <w:color w:val="auto"/>
          <w:kern w:val="0"/>
          <w:sz w:val="24"/>
          <w:szCs w:val="20"/>
        </w:rPr>
      </w:pPr>
      <w:r>
        <w:rPr>
          <w:rFonts w:hint="eastAsia" w:ascii="宋体" w:hAnsi="宋体"/>
          <w:snapToGrid w:val="0"/>
          <w:color w:val="auto"/>
          <w:kern w:val="0"/>
          <w:sz w:val="24"/>
          <w:szCs w:val="20"/>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rPr>
      </w:pPr>
      <w:r>
        <w:rPr>
          <w:rFonts w:hint="eastAsia" w:ascii="宋体" w:hAnsi="宋体" w:cs="宋体"/>
          <w:snapToGrid w:val="0"/>
          <w:color w:val="auto"/>
          <w:kern w:val="44"/>
          <w:sz w:val="24"/>
          <w:szCs w:val="20"/>
        </w:rPr>
        <w:br w:type="page"/>
      </w:r>
      <w:bookmarkStart w:id="400" w:name="_Toc32130"/>
      <w:bookmarkStart w:id="401" w:name="_Toc97299497"/>
      <w:r>
        <w:rPr>
          <w:rFonts w:hint="eastAsia" w:ascii="宋体" w:hAnsi="宋体" w:cs="宋体"/>
          <w:snapToGrid w:val="0"/>
          <w:color w:val="auto"/>
          <w:kern w:val="44"/>
          <w:sz w:val="28"/>
          <w:szCs w:val="20"/>
        </w:rPr>
        <w:t>第一部分  合同协议书</w:t>
      </w:r>
      <w:bookmarkEnd w:id="400"/>
      <w:bookmarkEnd w:id="401"/>
    </w:p>
    <w:p>
      <w:pPr>
        <w:snapToGrid w:val="0"/>
        <w:spacing w:line="360" w:lineRule="auto"/>
        <w:ind w:firstLine="470" w:firstLineChars="196"/>
        <w:rPr>
          <w:rFonts w:ascii="宋体" w:hAnsi="宋体" w:cs="宋体"/>
          <w:snapToGrid w:val="0"/>
          <w:color w:val="auto"/>
          <w:kern w:val="0"/>
          <w:sz w:val="24"/>
          <w:u w:val="single"/>
        </w:rPr>
      </w:pPr>
      <w:r>
        <w:rPr>
          <w:rFonts w:hint="eastAsia" w:ascii="宋体" w:hAnsi="宋体" w:cs="宋体"/>
          <w:snapToGrid w:val="0"/>
          <w:color w:val="auto"/>
          <w:kern w:val="0"/>
          <w:sz w:val="24"/>
        </w:rPr>
        <w:t>发包人（全称）：</w:t>
      </w:r>
      <w:r>
        <w:rPr>
          <w:rFonts w:hint="eastAsia" w:ascii="宋体" w:hAnsi="宋体" w:cs="宋体"/>
          <w:snapToGrid w:val="0"/>
          <w:color w:val="auto"/>
          <w:kern w:val="0"/>
          <w:sz w:val="24"/>
          <w:u w:val="single"/>
        </w:rPr>
        <w:t>杭州市拱墅区天水武林街道社区卫生服务中心</w:t>
      </w:r>
    </w:p>
    <w:p>
      <w:pPr>
        <w:snapToGrid w:val="0"/>
        <w:spacing w:line="360" w:lineRule="auto"/>
        <w:ind w:firstLine="470" w:firstLineChars="196"/>
        <w:rPr>
          <w:rFonts w:ascii="宋体" w:hAnsi="宋体" w:cs="宋体"/>
          <w:b/>
          <w:snapToGrid w:val="0"/>
          <w:color w:val="auto"/>
          <w:kern w:val="0"/>
          <w:sz w:val="24"/>
          <w:u w:val="single"/>
        </w:rPr>
      </w:pPr>
      <w:r>
        <w:rPr>
          <w:rFonts w:hint="eastAsia" w:ascii="宋体" w:hAnsi="宋体" w:cs="宋体"/>
          <w:snapToGrid w:val="0"/>
          <w:color w:val="auto"/>
          <w:kern w:val="0"/>
          <w:sz w:val="24"/>
        </w:rPr>
        <w:t>承包人（全称）：</w:t>
      </w:r>
      <w:r>
        <w:rPr>
          <w:rFonts w:hint="eastAsia" w:ascii="宋体" w:hAnsi="宋体" w:cs="宋体"/>
          <w:snapToGrid w:val="0"/>
          <w:color w:val="auto"/>
          <w:kern w:val="0"/>
          <w:sz w:val="24"/>
          <w:u w:val="single"/>
        </w:rPr>
        <w:t xml:space="preserve">                  </w:t>
      </w:r>
      <w:bookmarkStart w:id="402" w:name="SOA_hhxys_cbr"/>
      <w:r>
        <w:rPr>
          <w:rFonts w:hint="eastAsia" w:ascii="宋体" w:hAnsi="宋体" w:cs="宋体"/>
          <w:snapToGrid w:val="0"/>
          <w:color w:val="auto"/>
          <w:kern w:val="0"/>
          <w:sz w:val="24"/>
          <w:u w:val="single"/>
        </w:rPr>
        <w:t xml:space="preserve">  </w:t>
      </w:r>
      <w:r>
        <w:rPr>
          <w:rFonts w:hint="eastAsia" w:ascii="宋体" w:hAnsi="宋体" w:cs="宋体"/>
          <w:b/>
          <w:snapToGrid w:val="0"/>
          <w:color w:val="auto"/>
          <w:kern w:val="0"/>
          <w:sz w:val="24"/>
          <w:u w:val="single"/>
        </w:rPr>
        <w:t xml:space="preserve">           </w:t>
      </w:r>
      <w:r>
        <w:rPr>
          <w:rFonts w:hint="eastAsia" w:ascii="宋体" w:hAnsi="宋体" w:cs="宋体"/>
          <w:snapToGrid w:val="0"/>
          <w:color w:val="auto"/>
          <w:kern w:val="0"/>
          <w:sz w:val="24"/>
          <w:u w:val="single"/>
        </w:rPr>
        <w:t xml:space="preserve">    </w:t>
      </w:r>
      <w:bookmarkEnd w:id="402"/>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u w:val="single"/>
          <w:lang w:eastAsia="zh-CN"/>
        </w:rPr>
        <w:t>天水武林街道社区卫生服务中心武林分中心建设工程</w:t>
      </w:r>
      <w:r>
        <w:rPr>
          <w:rFonts w:hint="eastAsia" w:ascii="宋体" w:hAnsi="宋体" w:cs="宋体"/>
          <w:snapToGrid w:val="0"/>
          <w:color w:val="auto"/>
          <w:kern w:val="0"/>
          <w:sz w:val="24"/>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rPr>
      </w:pPr>
      <w:bookmarkStart w:id="403" w:name="_Toc97299498"/>
      <w:bookmarkStart w:id="404" w:name="_Toc361220410"/>
      <w:r>
        <w:rPr>
          <w:rFonts w:hint="eastAsia" w:ascii="宋体" w:hAnsi="宋体" w:cs="宋体"/>
          <w:b/>
          <w:bCs/>
          <w:snapToGrid w:val="0"/>
          <w:color w:val="auto"/>
          <w:kern w:val="0"/>
          <w:sz w:val="24"/>
        </w:rPr>
        <w:t>一、工程概况</w:t>
      </w:r>
      <w:bookmarkEnd w:id="403"/>
      <w:bookmarkEnd w:id="404"/>
    </w:p>
    <w:p>
      <w:pPr>
        <w:snapToGrid w:val="0"/>
        <w:spacing w:line="360" w:lineRule="auto"/>
        <w:ind w:firstLine="470" w:firstLineChars="196"/>
        <w:rPr>
          <w:rFonts w:ascii="宋体" w:hAnsi="宋体" w:cs="宋体"/>
          <w:snapToGrid w:val="0"/>
          <w:color w:val="auto"/>
          <w:kern w:val="0"/>
          <w:sz w:val="24"/>
          <w:u w:val="single"/>
        </w:rPr>
      </w:pPr>
      <w:r>
        <w:rPr>
          <w:rFonts w:hint="eastAsia" w:ascii="宋体" w:hAnsi="宋体" w:cs="宋体"/>
          <w:bCs/>
          <w:snapToGrid w:val="0"/>
          <w:color w:val="auto"/>
          <w:kern w:val="0"/>
          <w:sz w:val="24"/>
        </w:rPr>
        <w:t>1.工程名称</w:t>
      </w:r>
      <w:r>
        <w:rPr>
          <w:rFonts w:hint="eastAsia" w:ascii="宋体" w:hAnsi="宋体" w:cs="宋体"/>
          <w:snapToGrid w:val="0"/>
          <w:color w:val="auto"/>
          <w:kern w:val="0"/>
          <w:sz w:val="24"/>
        </w:rPr>
        <w:t>：</w:t>
      </w:r>
      <w:r>
        <w:rPr>
          <w:rFonts w:hint="eastAsia" w:ascii="宋体" w:hAnsi="宋体" w:cs="宋体"/>
          <w:snapToGrid w:val="0"/>
          <w:color w:val="auto"/>
          <w:kern w:val="0"/>
          <w:sz w:val="24"/>
          <w:u w:val="single"/>
          <w:lang w:eastAsia="zh-CN"/>
        </w:rPr>
        <w:t>天水武林街道社区卫生服务中心武林分中心建设工程</w:t>
      </w:r>
      <w:r>
        <w:rPr>
          <w:rFonts w:hint="eastAsia" w:ascii="宋体" w:hAnsi="宋体" w:cs="宋体"/>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2.工程地点：</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val="en-US" w:eastAsia="zh-CN"/>
        </w:rPr>
        <w:t>杭州市拱墅区天水武林街道社区卫生服务中心</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3.工程立项批准文号：</w:t>
      </w:r>
      <w:r>
        <w:rPr>
          <w:rFonts w:hint="eastAsia" w:ascii="宋体" w:hAnsi="宋体" w:cs="宋体"/>
          <w:snapToGrid w:val="0"/>
          <w:color w:val="auto"/>
          <w:kern w:val="0"/>
          <w:sz w:val="24"/>
          <w:u w:val="single"/>
        </w:rPr>
        <w:t xml:space="preserve">       </w:t>
      </w:r>
      <w:r>
        <w:rPr>
          <w:rFonts w:hint="eastAsia" w:ascii="宋体" w:hAnsi="宋体" w:cs="宋体"/>
          <w:bCs/>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4.资金来源：</w:t>
      </w:r>
      <w:r>
        <w:rPr>
          <w:rFonts w:hint="eastAsia" w:ascii="宋体" w:hAnsi="宋体" w:cs="宋体"/>
          <w:snapToGrid w:val="0"/>
          <w:color w:val="auto"/>
          <w:kern w:val="0"/>
          <w:sz w:val="24"/>
          <w:u w:val="single"/>
        </w:rPr>
        <w:t>        </w:t>
      </w:r>
      <w:r>
        <w:rPr>
          <w:rFonts w:hint="eastAsia" w:ascii="宋体" w:hAnsi="宋体" w:cs="宋体"/>
          <w:bCs/>
          <w:snapToGrid w:val="0"/>
          <w:color w:val="auto"/>
          <w:kern w:val="0"/>
          <w:sz w:val="24"/>
        </w:rPr>
        <w:t>。</w:t>
      </w:r>
    </w:p>
    <w:p>
      <w:pPr>
        <w:snapToGrid w:val="0"/>
        <w:spacing w:line="360" w:lineRule="auto"/>
        <w:ind w:firstLine="463" w:firstLineChars="193"/>
        <w:rPr>
          <w:rFonts w:ascii="宋体" w:hAnsi="宋体" w:cs="宋体"/>
          <w:snapToGrid w:val="0"/>
          <w:color w:val="auto"/>
          <w:kern w:val="0"/>
          <w:sz w:val="24"/>
        </w:rPr>
      </w:pPr>
      <w:r>
        <w:rPr>
          <w:rFonts w:hint="eastAsia" w:ascii="宋体" w:hAnsi="宋体" w:cs="宋体"/>
          <w:bCs/>
          <w:snapToGrid w:val="0"/>
          <w:color w:val="auto"/>
          <w:kern w:val="0"/>
          <w:sz w:val="24"/>
        </w:rPr>
        <w:t xml:space="preserve">5.工程内容：                           </w:t>
      </w:r>
      <w:r>
        <w:rPr>
          <w:rFonts w:hint="eastAsia" w:ascii="宋体" w:hAnsi="宋体" w:cs="宋体"/>
          <w:snapToGrid w:val="0"/>
          <w:color w:val="auto"/>
          <w:kern w:val="0"/>
          <w:sz w:val="24"/>
        </w:rPr>
        <w:t xml:space="preserve"> </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6.工程承包范围：</w:t>
      </w:r>
    </w:p>
    <w:p>
      <w:pPr>
        <w:snapToGrid w:val="0"/>
        <w:spacing w:line="360" w:lineRule="auto"/>
        <w:ind w:firstLine="463" w:firstLineChars="193"/>
        <w:rPr>
          <w:rFonts w:ascii="宋体" w:hAnsi="宋体" w:cs="宋体"/>
          <w:bCs/>
          <w:snapToGrid w:val="0"/>
          <w:color w:val="auto"/>
          <w:kern w:val="0"/>
          <w:sz w:val="24"/>
        </w:rPr>
      </w:pPr>
      <w:bookmarkStart w:id="405" w:name="_Toc361220411"/>
      <w:r>
        <w:rPr>
          <w:rFonts w:hint="eastAsia" w:ascii="宋体" w:hAnsi="宋体" w:cs="宋体"/>
          <w:bCs/>
          <w:snapToGrid w:val="0"/>
          <w:color w:val="auto"/>
          <w:kern w:val="0"/>
          <w:sz w:val="24"/>
        </w:rPr>
        <w:t>本项目为（项目名称）项目，详见图纸、工程量清单以及采购文件要求</w:t>
      </w:r>
    </w:p>
    <w:p>
      <w:pPr>
        <w:snapToGrid w:val="0"/>
        <w:spacing w:line="360" w:lineRule="auto"/>
        <w:outlineLvl w:val="1"/>
        <w:rPr>
          <w:rFonts w:ascii="宋体" w:hAnsi="宋体" w:cs="宋体"/>
          <w:b/>
          <w:bCs/>
          <w:snapToGrid w:val="0"/>
          <w:color w:val="auto"/>
          <w:kern w:val="0"/>
          <w:sz w:val="24"/>
        </w:rPr>
      </w:pPr>
      <w:bookmarkStart w:id="406" w:name="_Toc97299499"/>
      <w:r>
        <w:rPr>
          <w:rFonts w:hint="eastAsia" w:ascii="宋体" w:hAnsi="宋体" w:cs="宋体"/>
          <w:b/>
          <w:bCs/>
          <w:snapToGrid w:val="0"/>
          <w:color w:val="auto"/>
          <w:kern w:val="0"/>
          <w:sz w:val="24"/>
        </w:rPr>
        <w:t>二、合同工期</w:t>
      </w:r>
      <w:bookmarkEnd w:id="405"/>
      <w:bookmarkEnd w:id="406"/>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计划开工日期：</w:t>
      </w:r>
      <w:r>
        <w:rPr>
          <w:rFonts w:hint="eastAsia" w:ascii="宋体" w:hAnsi="宋体" w:cs="宋体"/>
          <w:snapToGrid w:val="0"/>
          <w:color w:val="auto"/>
          <w:kern w:val="0"/>
          <w:sz w:val="24"/>
          <w:u w:val="single"/>
        </w:rPr>
        <w:t xml:space="preserve">20  </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p>
    <w:p>
      <w:pPr>
        <w:snapToGrid w:val="0"/>
        <w:spacing w:line="360" w:lineRule="auto"/>
        <w:ind w:firstLine="459"/>
        <w:rPr>
          <w:rFonts w:ascii="宋体" w:hAnsi="宋体" w:cs="宋体"/>
          <w:snapToGrid w:val="0"/>
          <w:color w:val="auto"/>
          <w:kern w:val="0"/>
          <w:sz w:val="24"/>
        </w:rPr>
      </w:pPr>
      <w:bookmarkStart w:id="407" w:name="SOA_hhxys_jgn"/>
      <w:r>
        <w:rPr>
          <w:rFonts w:hint="eastAsia" w:ascii="宋体" w:hAnsi="宋体" w:cs="宋体"/>
          <w:snapToGrid w:val="0"/>
          <w:color w:val="auto"/>
          <w:kern w:val="0"/>
          <w:sz w:val="24"/>
        </w:rPr>
        <w:t>计划竣工日期：</w:t>
      </w:r>
      <w:r>
        <w:rPr>
          <w:rFonts w:hint="eastAsia" w:ascii="宋体" w:hAnsi="宋体" w:cs="宋体"/>
          <w:snapToGrid w:val="0"/>
          <w:color w:val="auto"/>
          <w:kern w:val="0"/>
          <w:sz w:val="24"/>
          <w:u w:val="single"/>
        </w:rPr>
        <w:t xml:space="preserve">20  </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bookmarkEnd w:id="407"/>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工期总日历天数：</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rPr>
      </w:pPr>
      <w:bookmarkStart w:id="408" w:name="_Toc361220412"/>
      <w:bookmarkStart w:id="409" w:name="_Toc97299500"/>
      <w:r>
        <w:rPr>
          <w:rFonts w:hint="eastAsia" w:ascii="宋体" w:hAnsi="宋体" w:cs="宋体"/>
          <w:b/>
          <w:bCs/>
          <w:snapToGrid w:val="0"/>
          <w:color w:val="auto"/>
          <w:kern w:val="0"/>
          <w:sz w:val="24"/>
        </w:rPr>
        <w:t>三、质量标准</w:t>
      </w:r>
      <w:bookmarkEnd w:id="408"/>
      <w:bookmarkEnd w:id="409"/>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工程质量符合</w:t>
      </w:r>
      <w:r>
        <w:rPr>
          <w:rFonts w:hint="eastAsia" w:ascii="宋体" w:hAnsi="宋体" w:cs="宋体"/>
          <w:snapToGrid w:val="0"/>
          <w:color w:val="auto"/>
          <w:kern w:val="0"/>
          <w:sz w:val="24"/>
          <w:u w:val="single"/>
        </w:rPr>
        <w:t></w:t>
      </w:r>
      <w:bookmarkStart w:id="410" w:name="SOA_hhxys_zlbz"/>
      <w:r>
        <w:rPr>
          <w:rFonts w:hint="eastAsia" w:ascii="宋体" w:hAnsi="宋体" w:cs="宋体"/>
          <w:snapToGrid w:val="0"/>
          <w:color w:val="auto"/>
          <w:kern w:val="0"/>
          <w:sz w:val="24"/>
          <w:u w:val="single"/>
        </w:rPr>
        <w:t xml:space="preserve">       </w:t>
      </w:r>
      <w:bookmarkEnd w:id="410"/>
      <w:r>
        <w:rPr>
          <w:rFonts w:hint="eastAsia" w:ascii="宋体" w:hAnsi="宋体" w:cs="宋体"/>
          <w:snapToGrid w:val="0"/>
          <w:color w:val="auto"/>
          <w:kern w:val="0"/>
          <w:sz w:val="24"/>
          <w:u w:val="single"/>
        </w:rPr>
        <w:t></w:t>
      </w:r>
      <w:r>
        <w:rPr>
          <w:rFonts w:hint="eastAsia" w:ascii="宋体" w:hAnsi="宋体" w:cs="宋体"/>
          <w:snapToGrid w:val="0"/>
          <w:color w:val="auto"/>
          <w:kern w:val="0"/>
          <w:sz w:val="24"/>
        </w:rPr>
        <w:t>标准。</w:t>
      </w:r>
    </w:p>
    <w:p>
      <w:pPr>
        <w:snapToGrid w:val="0"/>
        <w:spacing w:line="360" w:lineRule="auto"/>
        <w:outlineLvl w:val="1"/>
        <w:rPr>
          <w:rFonts w:ascii="宋体" w:hAnsi="宋体" w:cs="宋体"/>
          <w:b/>
          <w:bCs/>
          <w:snapToGrid w:val="0"/>
          <w:color w:val="auto"/>
          <w:kern w:val="0"/>
          <w:sz w:val="24"/>
        </w:rPr>
      </w:pPr>
      <w:bookmarkStart w:id="411" w:name="_Toc361220413"/>
      <w:bookmarkStart w:id="412" w:name="_Toc97299501"/>
      <w:r>
        <w:rPr>
          <w:rFonts w:hint="eastAsia" w:ascii="宋体" w:hAnsi="宋体" w:cs="宋体"/>
          <w:b/>
          <w:bCs/>
          <w:snapToGrid w:val="0"/>
          <w:color w:val="auto"/>
          <w:kern w:val="0"/>
          <w:sz w:val="24"/>
        </w:rPr>
        <w:t>四、签约合同价与合同价格形式</w:t>
      </w:r>
      <w:bookmarkEnd w:id="411"/>
      <w:bookmarkEnd w:id="412"/>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1.签约合同价为：</w:t>
      </w:r>
    </w:p>
    <w:p>
      <w:pPr>
        <w:snapToGrid w:val="0"/>
        <w:spacing w:line="360" w:lineRule="auto"/>
        <w:ind w:firstLine="600" w:firstLineChars="250"/>
        <w:rPr>
          <w:rFonts w:ascii="宋体" w:hAnsi="宋体" w:cs="宋体"/>
          <w:snapToGrid w:val="0"/>
          <w:color w:val="auto"/>
          <w:kern w:val="0"/>
          <w:sz w:val="24"/>
        </w:rPr>
      </w:pPr>
      <w:r>
        <w:rPr>
          <w:rFonts w:hint="eastAsia" w:ascii="宋体" w:hAnsi="宋体" w:cs="宋体"/>
          <w:snapToGrid w:val="0"/>
          <w:color w:val="auto"/>
          <w:kern w:val="0"/>
          <w:sz w:val="24"/>
        </w:rPr>
        <w:t>人民币（大写）</w:t>
      </w:r>
      <w:bookmarkStart w:id="413" w:name="SOA_hhxys_htjdx"/>
      <w:r>
        <w:rPr>
          <w:rFonts w:hint="eastAsia" w:ascii="宋体" w:hAnsi="宋体" w:cs="宋体"/>
          <w:snapToGrid w:val="0"/>
          <w:color w:val="auto"/>
          <w:kern w:val="0"/>
          <w:sz w:val="24"/>
          <w:u w:val="single"/>
        </w:rPr>
        <w:t xml:space="preserve">                   </w:t>
      </w:r>
      <w:bookmarkEnd w:id="413"/>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bookmarkStart w:id="414" w:name="SOA_hhxys_htjxx"/>
      <w:r>
        <w:rPr>
          <w:rFonts w:hint="eastAsia" w:ascii="宋体" w:hAnsi="宋体" w:cs="宋体"/>
          <w:snapToGrid w:val="0"/>
          <w:color w:val="auto"/>
          <w:kern w:val="0"/>
          <w:sz w:val="24"/>
          <w:u w:val="single"/>
        </w:rPr>
        <w:t xml:space="preserve">            </w:t>
      </w:r>
      <w:bookmarkEnd w:id="414"/>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其中：</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（1）安全文明施工费：</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15" w:name="SOA_hhxys_wmsgfdx"/>
      <w:r>
        <w:rPr>
          <w:rFonts w:hint="eastAsia" w:ascii="宋体" w:hAnsi="宋体" w:cs="宋体"/>
          <w:snapToGrid w:val="0"/>
          <w:color w:val="auto"/>
          <w:kern w:val="0"/>
          <w:sz w:val="24"/>
          <w:u w:val="single"/>
        </w:rPr>
        <w:t xml:space="preserve">                </w:t>
      </w:r>
      <w:bookmarkEnd w:id="415"/>
      <w:r>
        <w:rPr>
          <w:rFonts w:hint="eastAsia" w:ascii="宋体" w:hAnsi="宋体" w:cs="宋体"/>
          <w:snapToGrid w:val="0"/>
          <w:color w:val="auto"/>
          <w:kern w:val="0"/>
          <w:sz w:val="24"/>
        </w:rPr>
        <w:t>(¥</w:t>
      </w:r>
      <w:bookmarkStart w:id="416" w:name="SOA_hhxys_wmsgfxx"/>
      <w:r>
        <w:rPr>
          <w:rFonts w:hint="eastAsia" w:ascii="宋体" w:hAnsi="宋体" w:cs="宋体"/>
          <w:snapToGrid w:val="0"/>
          <w:color w:val="auto"/>
          <w:kern w:val="0"/>
          <w:sz w:val="24"/>
          <w:u w:val="single"/>
        </w:rPr>
        <w:t xml:space="preserve">                  </w:t>
      </w:r>
      <w:bookmarkEnd w:id="416"/>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（2）材料和工程设备暂估价金额：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17" w:name="SOA_hhxys_sbzgjdx"/>
      <w:r>
        <w:rPr>
          <w:rFonts w:hint="eastAsia" w:ascii="宋体" w:hAnsi="宋体" w:cs="宋体"/>
          <w:snapToGrid w:val="0"/>
          <w:color w:val="auto"/>
          <w:kern w:val="0"/>
          <w:sz w:val="24"/>
          <w:u w:val="single"/>
        </w:rPr>
        <w:t xml:space="preserve">       </w:t>
      </w:r>
      <w:bookmarkEnd w:id="417"/>
      <w:r>
        <w:rPr>
          <w:rFonts w:hint="eastAsia" w:ascii="宋体" w:hAnsi="宋体" w:cs="宋体"/>
          <w:snapToGrid w:val="0"/>
          <w:color w:val="auto"/>
          <w:kern w:val="0"/>
          <w:sz w:val="24"/>
        </w:rPr>
        <w:t>(¥</w:t>
      </w:r>
      <w:bookmarkStart w:id="418" w:name="SOA_hhxys_sbzgjxx"/>
      <w:r>
        <w:rPr>
          <w:rFonts w:hint="eastAsia" w:ascii="宋体" w:hAnsi="宋体" w:cs="宋体"/>
          <w:snapToGrid w:val="0"/>
          <w:color w:val="auto"/>
          <w:kern w:val="0"/>
          <w:sz w:val="24"/>
          <w:u w:val="single"/>
        </w:rPr>
        <w:t xml:space="preserve">      </w:t>
      </w:r>
      <w:bookmarkEnd w:id="418"/>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（3）专业工程暂估价金额：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19" w:name="SOA_hhxys_gczgjdx"/>
      <w:r>
        <w:rPr>
          <w:rFonts w:hint="eastAsia" w:ascii="宋体" w:hAnsi="宋体" w:cs="宋体"/>
          <w:snapToGrid w:val="0"/>
          <w:color w:val="auto"/>
          <w:kern w:val="0"/>
          <w:sz w:val="24"/>
          <w:u w:val="single"/>
        </w:rPr>
        <w:t xml:space="preserve">       </w:t>
      </w:r>
      <w:bookmarkEnd w:id="419"/>
      <w:r>
        <w:rPr>
          <w:rFonts w:hint="eastAsia" w:ascii="宋体" w:hAnsi="宋体" w:cs="宋体"/>
          <w:snapToGrid w:val="0"/>
          <w:color w:val="auto"/>
          <w:kern w:val="0"/>
          <w:sz w:val="24"/>
        </w:rPr>
        <w:t>(¥</w:t>
      </w:r>
      <w:bookmarkStart w:id="420" w:name="SOA_hhxys_gczgjxx"/>
      <w:r>
        <w:rPr>
          <w:rFonts w:hint="eastAsia" w:ascii="宋体" w:hAnsi="宋体" w:cs="宋体"/>
          <w:snapToGrid w:val="0"/>
          <w:color w:val="auto"/>
          <w:kern w:val="0"/>
          <w:sz w:val="24"/>
          <w:u w:val="single"/>
        </w:rPr>
        <w:t xml:space="preserve">       </w:t>
      </w:r>
      <w:bookmarkEnd w:id="420"/>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（4）暂列金额：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21" w:name="SOA_hhxys_zljedx"/>
      <w:r>
        <w:rPr>
          <w:rFonts w:hint="eastAsia" w:ascii="宋体" w:hAnsi="宋体" w:cs="宋体"/>
          <w:snapToGrid w:val="0"/>
          <w:color w:val="auto"/>
          <w:kern w:val="0"/>
          <w:sz w:val="24"/>
          <w:u w:val="single"/>
        </w:rPr>
        <w:t xml:space="preserve">       </w:t>
      </w:r>
      <w:bookmarkEnd w:id="421"/>
      <w:r>
        <w:rPr>
          <w:rFonts w:hint="eastAsia" w:ascii="宋体" w:hAnsi="宋体" w:cs="宋体"/>
          <w:snapToGrid w:val="0"/>
          <w:color w:val="auto"/>
          <w:kern w:val="0"/>
          <w:sz w:val="24"/>
        </w:rPr>
        <w:t>(¥</w:t>
      </w:r>
      <w:bookmarkStart w:id="422" w:name="SOA_hhxys_zljexx"/>
      <w:r>
        <w:rPr>
          <w:rFonts w:hint="eastAsia" w:ascii="宋体" w:hAnsi="宋体" w:cs="宋体"/>
          <w:snapToGrid w:val="0"/>
          <w:color w:val="auto"/>
          <w:kern w:val="0"/>
          <w:sz w:val="24"/>
          <w:u w:val="single"/>
        </w:rPr>
        <w:t xml:space="preserve">        </w:t>
      </w:r>
      <w:bookmarkEnd w:id="422"/>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2.合同价格形式：</w:t>
      </w:r>
      <w:r>
        <w:rPr>
          <w:rFonts w:hint="eastAsia" w:ascii="宋体" w:hAnsi="宋体" w:cs="宋体"/>
          <w:snapToGrid w:val="0"/>
          <w:color w:val="auto"/>
          <w:kern w:val="0"/>
          <w:sz w:val="24"/>
          <w:u w:val="single"/>
        </w:rPr>
        <w:t></w:t>
      </w:r>
      <w:bookmarkStart w:id="423" w:name="SOA_hhxys_htjgxs"/>
      <w:r>
        <w:rPr>
          <w:rFonts w:hint="eastAsia" w:ascii="宋体" w:hAnsi="宋体" w:cs="宋体"/>
          <w:snapToGrid w:val="0"/>
          <w:color w:val="auto"/>
          <w:kern w:val="0"/>
          <w:sz w:val="24"/>
          <w:u w:val="single"/>
        </w:rPr>
        <w:t xml:space="preserve">  </w:t>
      </w:r>
      <w:bookmarkEnd w:id="423"/>
      <w:r>
        <w:rPr>
          <w:rFonts w:hint="eastAsia" w:ascii="宋体" w:hAnsi="宋体" w:cs="宋体"/>
          <w:snapToGrid w:val="0"/>
          <w:color w:val="auto"/>
          <w:kern w:val="0"/>
          <w:sz w:val="24"/>
          <w:u w:val="single"/>
        </w:rPr>
        <w:t xml:space="preserve">      </w:t>
      </w:r>
      <w:r>
        <w:rPr>
          <w:rFonts w:hint="eastAsia" w:ascii="宋体" w:hAnsi="宋体" w:cs="宋体"/>
          <w:snapToGrid w:val="0"/>
          <w:color w:val="auto"/>
          <w:kern w:val="0"/>
          <w:sz w:val="24"/>
        </w:rPr>
        <w:t>。</w:t>
      </w:r>
    </w:p>
    <w:p>
      <w:pPr>
        <w:snapToGrid w:val="0"/>
        <w:spacing w:line="360" w:lineRule="auto"/>
        <w:outlineLvl w:val="1"/>
        <w:rPr>
          <w:rFonts w:ascii="宋体" w:hAnsi="宋体" w:cs="宋体"/>
          <w:b/>
          <w:bCs/>
          <w:snapToGrid w:val="0"/>
          <w:color w:val="auto"/>
          <w:kern w:val="0"/>
          <w:sz w:val="24"/>
        </w:rPr>
      </w:pPr>
      <w:bookmarkStart w:id="424" w:name="_Toc97299502"/>
      <w:bookmarkStart w:id="425" w:name="_Toc361220414"/>
      <w:r>
        <w:rPr>
          <w:rFonts w:hint="eastAsia" w:ascii="宋体" w:hAnsi="宋体" w:cs="宋体"/>
          <w:b/>
          <w:bCs/>
          <w:snapToGrid w:val="0"/>
          <w:color w:val="auto"/>
          <w:kern w:val="0"/>
          <w:sz w:val="24"/>
        </w:rPr>
        <w:t>五、项目经理</w:t>
      </w:r>
      <w:bookmarkEnd w:id="424"/>
      <w:bookmarkEnd w:id="425"/>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承包人项目经理：</w:t>
      </w:r>
      <w:r>
        <w:rPr>
          <w:rFonts w:hint="eastAsia" w:ascii="宋体" w:hAnsi="宋体" w:cs="宋体"/>
          <w:snapToGrid w:val="0"/>
          <w:color w:val="auto"/>
          <w:kern w:val="0"/>
          <w:sz w:val="24"/>
          <w:u w:val="single"/>
        </w:rPr>
        <w:t></w:t>
      </w:r>
      <w:bookmarkStart w:id="426" w:name="SOA_hhxys_cbrxmjl"/>
      <w:r>
        <w:rPr>
          <w:rFonts w:hint="eastAsia" w:ascii="宋体" w:hAnsi="宋体" w:cs="宋体"/>
          <w:snapToGrid w:val="0"/>
          <w:color w:val="auto"/>
          <w:kern w:val="0"/>
          <w:sz w:val="24"/>
          <w:u w:val="single"/>
        </w:rPr>
        <w:t xml:space="preserve">        </w:t>
      </w:r>
      <w:bookmarkEnd w:id="426"/>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snapToGrid w:val="0"/>
        <w:spacing w:line="360" w:lineRule="auto"/>
        <w:outlineLvl w:val="1"/>
        <w:rPr>
          <w:rFonts w:ascii="宋体" w:hAnsi="宋体" w:cs="宋体"/>
          <w:b/>
          <w:bCs/>
          <w:snapToGrid w:val="0"/>
          <w:color w:val="auto"/>
          <w:kern w:val="0"/>
          <w:sz w:val="24"/>
        </w:rPr>
      </w:pPr>
      <w:bookmarkStart w:id="427" w:name="_Toc361220415"/>
      <w:bookmarkStart w:id="428" w:name="_Toc97299503"/>
      <w:r>
        <w:rPr>
          <w:rFonts w:hint="eastAsia" w:ascii="宋体" w:hAnsi="宋体" w:cs="宋体"/>
          <w:b/>
          <w:bCs/>
          <w:snapToGrid w:val="0"/>
          <w:color w:val="auto"/>
          <w:kern w:val="0"/>
          <w:sz w:val="24"/>
        </w:rPr>
        <w:t>六、合同文件构成</w:t>
      </w:r>
      <w:bookmarkEnd w:id="427"/>
      <w:bookmarkEnd w:id="428"/>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（6）图纸；</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rPr>
      </w:pPr>
      <w:bookmarkStart w:id="429" w:name="_Toc97299504"/>
      <w:bookmarkStart w:id="430" w:name="_Toc361220416"/>
      <w:r>
        <w:rPr>
          <w:rFonts w:hint="eastAsia" w:ascii="宋体" w:hAnsi="宋体" w:cs="宋体"/>
          <w:b/>
          <w:bCs/>
          <w:snapToGrid w:val="0"/>
          <w:color w:val="auto"/>
          <w:kern w:val="0"/>
          <w:sz w:val="24"/>
        </w:rPr>
        <w:t>七、承诺</w:t>
      </w:r>
      <w:bookmarkEnd w:id="429"/>
      <w:bookmarkEnd w:id="430"/>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3.发包人和承包人通过</w:t>
      </w:r>
      <w:r>
        <w:rPr>
          <w:rFonts w:hint="eastAsia"/>
          <w:color w:val="auto"/>
        </w:rPr>
        <w:t>政府采购</w:t>
      </w:r>
      <w:r>
        <w:rPr>
          <w:rFonts w:hint="eastAsia" w:ascii="宋体" w:hAnsi="宋体" w:cs="宋体"/>
          <w:bCs/>
          <w:snapToGrid w:val="0"/>
          <w:color w:val="auto"/>
          <w:kern w:val="0"/>
          <w:sz w:val="24"/>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rPr>
      </w:pPr>
      <w:bookmarkStart w:id="431" w:name="_Toc361220417"/>
      <w:bookmarkStart w:id="432" w:name="_Toc97299505"/>
      <w:r>
        <w:rPr>
          <w:rFonts w:hint="eastAsia" w:ascii="宋体" w:hAnsi="宋体" w:cs="宋体"/>
          <w:b/>
          <w:bCs/>
          <w:snapToGrid w:val="0"/>
          <w:color w:val="auto"/>
          <w:kern w:val="0"/>
          <w:sz w:val="24"/>
        </w:rPr>
        <w:t>八、词语含义</w:t>
      </w:r>
      <w:bookmarkEnd w:id="431"/>
      <w:bookmarkEnd w:id="432"/>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rPr>
      </w:pPr>
      <w:bookmarkStart w:id="433" w:name="_Toc97299506"/>
      <w:bookmarkStart w:id="434" w:name="_Toc361220418"/>
      <w:r>
        <w:rPr>
          <w:rFonts w:hint="eastAsia" w:ascii="宋体" w:hAnsi="宋体" w:cs="宋体"/>
          <w:b/>
          <w:bCs/>
          <w:snapToGrid w:val="0"/>
          <w:color w:val="auto"/>
          <w:kern w:val="0"/>
          <w:sz w:val="24"/>
        </w:rPr>
        <w:t>九、签订时间</w:t>
      </w:r>
      <w:bookmarkEnd w:id="433"/>
      <w:bookmarkEnd w:id="434"/>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本合同于</w:t>
      </w:r>
      <w:bookmarkStart w:id="435" w:name="SOA_hhxys_htqdn"/>
      <w:r>
        <w:rPr>
          <w:rFonts w:hint="eastAsia" w:ascii="宋体" w:hAnsi="宋体" w:cs="宋体"/>
          <w:bCs/>
          <w:snapToGrid w:val="0"/>
          <w:color w:val="auto"/>
          <w:kern w:val="0"/>
          <w:sz w:val="24"/>
          <w:u w:val="single"/>
        </w:rPr>
        <w:t xml:space="preserve">      </w:t>
      </w:r>
      <w:bookmarkEnd w:id="435"/>
      <w:r>
        <w:rPr>
          <w:rFonts w:hint="eastAsia" w:ascii="宋体" w:hAnsi="宋体" w:cs="宋体"/>
          <w:bCs/>
          <w:snapToGrid w:val="0"/>
          <w:color w:val="auto"/>
          <w:kern w:val="0"/>
          <w:sz w:val="24"/>
        </w:rPr>
        <w:t>年</w:t>
      </w:r>
      <w:bookmarkStart w:id="436" w:name="SOA_hhxys_htqdy"/>
      <w:r>
        <w:rPr>
          <w:rFonts w:hint="eastAsia" w:ascii="宋体" w:hAnsi="宋体" w:cs="宋体"/>
          <w:bCs/>
          <w:snapToGrid w:val="0"/>
          <w:color w:val="auto"/>
          <w:kern w:val="0"/>
          <w:sz w:val="24"/>
          <w:u w:val="single"/>
        </w:rPr>
        <w:t xml:space="preserve">      </w:t>
      </w:r>
      <w:bookmarkEnd w:id="436"/>
      <w:r>
        <w:rPr>
          <w:rFonts w:hint="eastAsia" w:ascii="宋体" w:hAnsi="宋体" w:cs="宋体"/>
          <w:bCs/>
          <w:snapToGrid w:val="0"/>
          <w:color w:val="auto"/>
          <w:kern w:val="0"/>
          <w:sz w:val="24"/>
        </w:rPr>
        <w:t>月</w:t>
      </w:r>
      <w:bookmarkStart w:id="437" w:name="SOA_hhxys_htqdr"/>
      <w:r>
        <w:rPr>
          <w:rFonts w:hint="eastAsia" w:ascii="宋体" w:hAnsi="宋体" w:cs="宋体"/>
          <w:bCs/>
          <w:snapToGrid w:val="0"/>
          <w:color w:val="auto"/>
          <w:kern w:val="0"/>
          <w:sz w:val="24"/>
          <w:u w:val="single"/>
        </w:rPr>
        <w:t xml:space="preserve">      </w:t>
      </w:r>
      <w:bookmarkEnd w:id="437"/>
      <w:r>
        <w:rPr>
          <w:rFonts w:hint="eastAsia" w:ascii="宋体" w:hAnsi="宋体" w:cs="宋体"/>
          <w:bCs/>
          <w:snapToGrid w:val="0"/>
          <w:color w:val="auto"/>
          <w:kern w:val="0"/>
          <w:sz w:val="24"/>
        </w:rPr>
        <w:t>日签订。</w:t>
      </w:r>
    </w:p>
    <w:p>
      <w:pPr>
        <w:snapToGrid w:val="0"/>
        <w:spacing w:line="360" w:lineRule="auto"/>
        <w:outlineLvl w:val="1"/>
        <w:rPr>
          <w:rFonts w:ascii="宋体" w:hAnsi="宋体" w:cs="宋体"/>
          <w:b/>
          <w:bCs/>
          <w:snapToGrid w:val="0"/>
          <w:color w:val="auto"/>
          <w:kern w:val="0"/>
          <w:sz w:val="24"/>
        </w:rPr>
      </w:pPr>
      <w:bookmarkStart w:id="438" w:name="_Toc97299507"/>
      <w:bookmarkStart w:id="439" w:name="_Toc361220419"/>
      <w:r>
        <w:rPr>
          <w:rFonts w:hint="eastAsia" w:ascii="宋体" w:hAnsi="宋体" w:cs="宋体"/>
          <w:b/>
          <w:bCs/>
          <w:snapToGrid w:val="0"/>
          <w:color w:val="auto"/>
          <w:kern w:val="0"/>
          <w:sz w:val="24"/>
        </w:rPr>
        <w:t>十、签订地点</w:t>
      </w:r>
      <w:bookmarkEnd w:id="438"/>
      <w:bookmarkEnd w:id="439"/>
    </w:p>
    <w:p>
      <w:pPr>
        <w:snapToGrid w:val="0"/>
        <w:spacing w:line="360" w:lineRule="auto"/>
        <w:rPr>
          <w:rFonts w:ascii="宋体" w:hAnsi="宋体" w:cs="宋体"/>
          <w:bCs/>
          <w:snapToGrid w:val="0"/>
          <w:color w:val="auto"/>
          <w:kern w:val="0"/>
          <w:sz w:val="24"/>
        </w:rPr>
      </w:pPr>
      <w:r>
        <w:rPr>
          <w:rFonts w:hint="eastAsia" w:ascii="宋体" w:hAnsi="宋体" w:cs="宋体"/>
          <w:bCs/>
          <w:snapToGrid w:val="0"/>
          <w:color w:val="auto"/>
          <w:kern w:val="0"/>
          <w:sz w:val="24"/>
        </w:rPr>
        <w:t xml:space="preserve">    本合同在</w:t>
      </w:r>
      <w:r>
        <w:rPr>
          <w:rFonts w:hint="eastAsia" w:ascii="宋体" w:hAnsi="宋体" w:cs="宋体"/>
          <w:bCs/>
          <w:snapToGrid w:val="0"/>
          <w:color w:val="auto"/>
          <w:kern w:val="0"/>
          <w:sz w:val="24"/>
          <w:u w:val="single"/>
        </w:rPr>
        <w:t xml:space="preserve">   </w:t>
      </w:r>
      <w:bookmarkStart w:id="440" w:name="SOA_zyht_htqddd"/>
      <w:r>
        <w:rPr>
          <w:rFonts w:hint="eastAsia" w:ascii="宋体" w:hAnsi="宋体" w:cs="宋体"/>
          <w:bCs/>
          <w:snapToGrid w:val="0"/>
          <w:color w:val="auto"/>
          <w:kern w:val="0"/>
          <w:sz w:val="24"/>
          <w:u w:val="single"/>
        </w:rPr>
        <w:t xml:space="preserve">  杭州   </w:t>
      </w:r>
      <w:bookmarkEnd w:id="440"/>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签订。</w:t>
      </w:r>
    </w:p>
    <w:p>
      <w:pPr>
        <w:snapToGrid w:val="0"/>
        <w:spacing w:line="360" w:lineRule="auto"/>
        <w:outlineLvl w:val="1"/>
        <w:rPr>
          <w:rFonts w:ascii="宋体" w:hAnsi="宋体" w:cs="宋体"/>
          <w:b/>
          <w:bCs/>
          <w:snapToGrid w:val="0"/>
          <w:color w:val="auto"/>
          <w:kern w:val="0"/>
          <w:sz w:val="24"/>
        </w:rPr>
      </w:pPr>
      <w:bookmarkStart w:id="441" w:name="_Toc97299508"/>
      <w:bookmarkStart w:id="442" w:name="_Toc361220420"/>
      <w:r>
        <w:rPr>
          <w:rFonts w:hint="eastAsia" w:ascii="宋体" w:hAnsi="宋体" w:cs="宋体"/>
          <w:b/>
          <w:bCs/>
          <w:snapToGrid w:val="0"/>
          <w:color w:val="auto"/>
          <w:kern w:val="0"/>
          <w:sz w:val="24"/>
        </w:rPr>
        <w:t>十一、补充协议</w:t>
      </w:r>
      <w:bookmarkEnd w:id="441"/>
      <w:bookmarkEnd w:id="442"/>
    </w:p>
    <w:p>
      <w:pPr>
        <w:snapToGrid w:val="0"/>
        <w:spacing w:line="360" w:lineRule="auto"/>
        <w:ind w:firstLine="480" w:firstLineChars="200"/>
        <w:rPr>
          <w:rFonts w:ascii="宋体" w:hAnsi="宋体" w:cs="宋体"/>
          <w:b/>
          <w:bCs/>
          <w:snapToGrid w:val="0"/>
          <w:color w:val="auto"/>
          <w:kern w:val="0"/>
          <w:sz w:val="24"/>
        </w:rPr>
      </w:pPr>
      <w:r>
        <w:rPr>
          <w:rFonts w:hint="eastAsia" w:ascii="宋体" w:hAnsi="宋体" w:cs="宋体"/>
          <w:bCs/>
          <w:snapToGrid w:val="0"/>
          <w:color w:val="auto"/>
          <w:kern w:val="0"/>
          <w:sz w:val="24"/>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rPr>
      </w:pPr>
      <w:bookmarkStart w:id="443" w:name="_Toc361220421"/>
      <w:bookmarkStart w:id="444" w:name="_Toc97299509"/>
      <w:r>
        <w:rPr>
          <w:rFonts w:hint="eastAsia" w:ascii="宋体" w:hAnsi="宋体" w:cs="宋体"/>
          <w:b/>
          <w:bCs/>
          <w:snapToGrid w:val="0"/>
          <w:color w:val="auto"/>
          <w:kern w:val="0"/>
          <w:sz w:val="24"/>
        </w:rPr>
        <w:t>十二、合同生效</w:t>
      </w:r>
      <w:bookmarkEnd w:id="443"/>
      <w:bookmarkEnd w:id="444"/>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本合同自</w:t>
      </w:r>
      <w:r>
        <w:rPr>
          <w:rFonts w:hint="eastAsia" w:ascii="宋体" w:hAnsi="宋体" w:cs="宋体"/>
          <w:bCs/>
          <w:snapToGrid w:val="0"/>
          <w:color w:val="auto"/>
          <w:kern w:val="0"/>
          <w:sz w:val="24"/>
          <w:u w:val="single"/>
        </w:rPr>
        <w:t xml:space="preserve">  </w:t>
      </w:r>
      <w:bookmarkStart w:id="445" w:name="SOA_hhxys_htsx"/>
      <w:r>
        <w:rPr>
          <w:rFonts w:hint="eastAsia" w:ascii="宋体" w:hAnsi="宋体" w:cs="宋体"/>
          <w:bCs/>
          <w:snapToGrid w:val="0"/>
          <w:color w:val="auto"/>
          <w:kern w:val="0"/>
          <w:sz w:val="24"/>
          <w:u w:val="single"/>
        </w:rPr>
        <w:t xml:space="preserve">  </w:t>
      </w:r>
      <w:r>
        <w:rPr>
          <w:rFonts w:hint="eastAsia" w:ascii="宋体" w:hAnsi="宋体" w:cs="宋体"/>
          <w:b/>
          <w:bCs/>
          <w:snapToGrid w:val="0"/>
          <w:color w:val="auto"/>
          <w:kern w:val="0"/>
          <w:sz w:val="24"/>
          <w:u w:val="single"/>
        </w:rPr>
        <w:t xml:space="preserve">   </w:t>
      </w:r>
      <w:r>
        <w:rPr>
          <w:rFonts w:hint="eastAsia" w:ascii="宋体" w:hAnsi="宋体" w:cs="宋体"/>
          <w:bCs/>
          <w:snapToGrid w:val="0"/>
          <w:color w:val="auto"/>
          <w:kern w:val="0"/>
          <w:sz w:val="24"/>
          <w:u w:val="single"/>
        </w:rPr>
        <w:t xml:space="preserve">   </w:t>
      </w:r>
      <w:bookmarkEnd w:id="445"/>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生效。</w:t>
      </w:r>
    </w:p>
    <w:p>
      <w:pPr>
        <w:snapToGrid w:val="0"/>
        <w:spacing w:line="360" w:lineRule="auto"/>
        <w:outlineLvl w:val="1"/>
        <w:rPr>
          <w:rFonts w:ascii="宋体" w:hAnsi="宋体" w:cs="宋体"/>
          <w:b/>
          <w:bCs/>
          <w:snapToGrid w:val="0"/>
          <w:color w:val="auto"/>
          <w:kern w:val="0"/>
          <w:sz w:val="24"/>
        </w:rPr>
      </w:pPr>
      <w:bookmarkStart w:id="446" w:name="_Toc97299510"/>
      <w:bookmarkStart w:id="447" w:name="_Toc361220422"/>
      <w:r>
        <w:rPr>
          <w:rFonts w:hint="eastAsia" w:ascii="宋体" w:hAnsi="宋体" w:cs="宋体"/>
          <w:b/>
          <w:bCs/>
          <w:snapToGrid w:val="0"/>
          <w:color w:val="auto"/>
          <w:kern w:val="0"/>
          <w:sz w:val="24"/>
        </w:rPr>
        <w:t>十三、合同份数</w:t>
      </w:r>
      <w:bookmarkEnd w:id="446"/>
      <w:bookmarkEnd w:id="447"/>
    </w:p>
    <w:p>
      <w:pPr>
        <w:snapToGrid w:val="0"/>
        <w:spacing w:line="360" w:lineRule="auto"/>
        <w:ind w:left="210" w:leftChars="100" w:firstLine="240" w:firstLineChars="100"/>
        <w:rPr>
          <w:rFonts w:ascii="宋体" w:hAnsi="宋体" w:cs="宋体"/>
          <w:bCs/>
          <w:snapToGrid w:val="0"/>
          <w:color w:val="auto"/>
          <w:kern w:val="0"/>
          <w:sz w:val="24"/>
        </w:rPr>
      </w:pPr>
      <w:r>
        <w:rPr>
          <w:rFonts w:hint="eastAsia" w:ascii="宋体" w:hAnsi="宋体" w:cs="宋体"/>
          <w:bCs/>
          <w:snapToGrid w:val="0"/>
          <w:color w:val="auto"/>
          <w:kern w:val="0"/>
          <w:sz w:val="24"/>
        </w:rPr>
        <w:t>本合同一式</w:t>
      </w:r>
      <w:r>
        <w:rPr>
          <w:rFonts w:hint="eastAsia" w:ascii="宋体" w:hAnsi="宋体" w:cs="宋体"/>
          <w:b/>
          <w:bCs/>
          <w:snapToGrid w:val="0"/>
          <w:color w:val="auto"/>
          <w:kern w:val="0"/>
          <w:sz w:val="24"/>
          <w:u w:val="single"/>
        </w:rPr>
        <w:t xml:space="preserve">  </w:t>
      </w:r>
      <w:r>
        <w:rPr>
          <w:rFonts w:hint="eastAsia" w:ascii="宋体" w:hAnsi="宋体" w:cs="宋体"/>
          <w:bCs/>
          <w:snapToGrid w:val="0"/>
          <w:color w:val="auto"/>
          <w:kern w:val="0"/>
          <w:sz w:val="24"/>
        </w:rPr>
        <w:t>份，均具有同等法律效力，发包人执</w:t>
      </w:r>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份，承包人执</w:t>
      </w:r>
      <w:r>
        <w:rPr>
          <w:rFonts w:hint="eastAsia" w:ascii="宋体" w:hAnsi="宋体" w:cs="宋体"/>
          <w:b/>
          <w:snapToGrid w:val="0"/>
          <w:color w:val="auto"/>
          <w:kern w:val="0"/>
          <w:sz w:val="24"/>
          <w:u w:val="single"/>
        </w:rPr>
        <w:t xml:space="preserve">  </w:t>
      </w:r>
      <w:r>
        <w:rPr>
          <w:rFonts w:hint="eastAsia" w:ascii="宋体" w:hAnsi="宋体" w:cs="宋体"/>
          <w:bCs/>
          <w:snapToGrid w:val="0"/>
          <w:color w:val="auto"/>
          <w:kern w:val="0"/>
          <w:sz w:val="24"/>
        </w:rPr>
        <w:t>份。</w:t>
      </w:r>
    </w:p>
    <w:p>
      <w:pPr>
        <w:snapToGrid w:val="0"/>
        <w:spacing w:line="360" w:lineRule="auto"/>
        <w:ind w:firstLine="480" w:firstLineChars="200"/>
        <w:rPr>
          <w:rFonts w:ascii="宋体" w:hAnsi="宋体" w:cs="宋体"/>
          <w:snapToGrid w:val="0"/>
          <w:color w:val="auto"/>
          <w:kern w:val="0"/>
          <w:sz w:val="24"/>
        </w:rPr>
      </w:pP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发包人：  (公章)</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承包人：  (公章)</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snapToGrid w:val="0"/>
          <w:color w:val="auto"/>
          <w:kern w:val="0"/>
          <w:sz w:val="24"/>
        </w:rPr>
        <w:t>法定代表人或其委托代理人：</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法定代表人或其委托代理人：</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（签字）</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（签字）</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组织机构代码：</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组织机构代码：</w:t>
      </w:r>
      <w:bookmarkStart w:id="448" w:name="SOA_hhxys_zjjgdm1"/>
      <w:r>
        <w:rPr>
          <w:rFonts w:hint="eastAsia" w:ascii="宋体" w:hAnsi="宋体" w:cs="宋体"/>
          <w:snapToGrid w:val="0"/>
          <w:color w:val="auto"/>
          <w:kern w:val="0"/>
          <w:sz w:val="24"/>
          <w:u w:val="single"/>
        </w:rPr>
        <w:t xml:space="preserve">      </w:t>
      </w:r>
      <w:bookmarkEnd w:id="448"/>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地  址：</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地  址：</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邮政编码：</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邮政编码：</w:t>
      </w:r>
      <w:bookmarkStart w:id="449" w:name="SOA_hhxys_cbryb"/>
      <w:r>
        <w:rPr>
          <w:rFonts w:hint="eastAsia" w:ascii="宋体" w:hAnsi="宋体" w:cs="宋体"/>
          <w:snapToGrid w:val="0"/>
          <w:color w:val="auto"/>
          <w:kern w:val="0"/>
          <w:sz w:val="24"/>
          <w:u w:val="single"/>
        </w:rPr>
        <w:t xml:space="preserve">             </w:t>
      </w:r>
      <w:bookmarkEnd w:id="449"/>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法定代表人：</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法定代表人：</w:t>
      </w:r>
      <w:bookmarkStart w:id="450" w:name="SOA_hhxys_fddbr1"/>
      <w:r>
        <w:rPr>
          <w:rFonts w:hint="eastAsia" w:ascii="宋体" w:hAnsi="宋体" w:cs="宋体"/>
          <w:snapToGrid w:val="0"/>
          <w:color w:val="auto"/>
          <w:kern w:val="0"/>
          <w:sz w:val="24"/>
          <w:u w:val="single"/>
        </w:rPr>
        <w:t xml:space="preserve">     </w:t>
      </w:r>
      <w:bookmarkEnd w:id="450"/>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委托代理人：</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委托代理人：</w:t>
      </w:r>
      <w:bookmarkStart w:id="451" w:name="SOA_hhxys_wtdlr1"/>
      <w:r>
        <w:rPr>
          <w:rFonts w:hint="eastAsia" w:ascii="宋体" w:hAnsi="宋体" w:cs="宋体"/>
          <w:snapToGrid w:val="0"/>
          <w:color w:val="auto"/>
          <w:kern w:val="0"/>
          <w:sz w:val="24"/>
          <w:u w:val="single"/>
        </w:rPr>
        <w:t xml:space="preserve">    </w:t>
      </w:r>
      <w:bookmarkEnd w:id="451"/>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电  话：</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电  话：</w:t>
      </w:r>
      <w:bookmarkStart w:id="452" w:name="SOA_hhxys_cbrdh"/>
      <w:r>
        <w:rPr>
          <w:rFonts w:hint="eastAsia" w:ascii="宋体" w:hAnsi="宋体" w:cs="宋体"/>
          <w:snapToGrid w:val="0"/>
          <w:color w:val="auto"/>
          <w:kern w:val="0"/>
          <w:sz w:val="24"/>
          <w:u w:val="single"/>
        </w:rPr>
        <w:t xml:space="preserve">            </w:t>
      </w:r>
      <w:bookmarkEnd w:id="452"/>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传  真：</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传  真：</w:t>
      </w:r>
      <w:bookmarkStart w:id="453" w:name="SOA_hhxys_cbrcz"/>
      <w:r>
        <w:rPr>
          <w:rFonts w:hint="eastAsia" w:ascii="宋体" w:hAnsi="宋体" w:cs="宋体"/>
          <w:snapToGrid w:val="0"/>
          <w:color w:val="auto"/>
          <w:kern w:val="0"/>
          <w:sz w:val="24"/>
          <w:u w:val="single"/>
        </w:rPr>
        <w:t xml:space="preserve">              </w:t>
      </w:r>
      <w:bookmarkEnd w:id="453"/>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电子信箱：</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电子信箱：</w:t>
      </w:r>
      <w:bookmarkStart w:id="454" w:name="SOA_hhxys_cbrdzxx"/>
      <w:r>
        <w:rPr>
          <w:rFonts w:hint="eastAsia" w:ascii="宋体" w:hAnsi="宋体" w:cs="宋体"/>
          <w:snapToGrid w:val="0"/>
          <w:color w:val="auto"/>
          <w:kern w:val="0"/>
          <w:sz w:val="24"/>
          <w:u w:val="single"/>
        </w:rPr>
        <w:t xml:space="preserve">      </w:t>
      </w:r>
      <w:bookmarkEnd w:id="454"/>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开户银行：</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开户银行：</w:t>
      </w:r>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账  号：</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账  号：</w:t>
      </w:r>
      <w:r>
        <w:rPr>
          <w:rFonts w:hint="eastAsia" w:ascii="宋体" w:hAnsi="宋体" w:cs="宋体"/>
          <w:snapToGrid w:val="0"/>
          <w:color w:val="auto"/>
          <w:kern w:val="0"/>
          <w:sz w:val="24"/>
          <w:u w:val="single"/>
        </w:rPr>
        <w:t></w:t>
      </w:r>
      <w:bookmarkStart w:id="455" w:name="SOA_hhxys_cbrzh"/>
      <w:r>
        <w:rPr>
          <w:rFonts w:hint="eastAsia" w:ascii="宋体" w:hAnsi="宋体" w:cs="宋体"/>
          <w:snapToGrid w:val="0"/>
          <w:color w:val="auto"/>
          <w:kern w:val="0"/>
          <w:sz w:val="24"/>
          <w:u w:val="single"/>
        </w:rPr>
        <w:t xml:space="preserve"> </w:t>
      </w:r>
      <w:bookmarkEnd w:id="455"/>
      <w:r>
        <w:rPr>
          <w:rFonts w:hint="eastAsia" w:ascii="宋体" w:hAnsi="宋体" w:cs="宋体"/>
          <w:snapToGrid w:val="0"/>
          <w:color w:val="auto"/>
          <w:kern w:val="0"/>
          <w:sz w:val="24"/>
          <w:u w:val="single"/>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8"/>
          <w:szCs w:val="20"/>
        </w:rPr>
      </w:pPr>
      <w:r>
        <w:rPr>
          <w:rFonts w:hint="eastAsia" w:ascii="宋体" w:hAnsi="宋体" w:cs="宋体"/>
          <w:snapToGrid w:val="0"/>
          <w:color w:val="auto"/>
          <w:kern w:val="0"/>
          <w:sz w:val="24"/>
        </w:rPr>
        <w:br w:type="page"/>
      </w:r>
      <w:bookmarkStart w:id="456" w:name="_Toc31640"/>
      <w:bookmarkStart w:id="457" w:name="_Toc69485879"/>
      <w:bookmarkStart w:id="458" w:name="_Toc97299511"/>
      <w:r>
        <w:rPr>
          <w:rFonts w:hint="eastAsia" w:ascii="宋体" w:hAnsi="宋体" w:cs="宋体"/>
          <w:snapToGrid w:val="0"/>
          <w:color w:val="auto"/>
          <w:kern w:val="44"/>
          <w:sz w:val="28"/>
          <w:szCs w:val="20"/>
        </w:rPr>
        <w:t>第二部分  通用条款（略）</w:t>
      </w:r>
      <w:bookmarkEnd w:id="456"/>
      <w:bookmarkEnd w:id="457"/>
      <w:bookmarkEnd w:id="458"/>
    </w:p>
    <w:p>
      <w:pPr>
        <w:keepNext/>
        <w:keepLines/>
        <w:numPr>
          <w:ilvl w:val="1"/>
          <w:numId w:val="0"/>
        </w:numPr>
        <w:spacing w:before="100" w:line="400" w:lineRule="exact"/>
        <w:jc w:val="center"/>
        <w:outlineLvl w:val="1"/>
        <w:rPr>
          <w:rFonts w:ascii="宋体" w:hAnsi="宋体" w:cs="宋体"/>
          <w:snapToGrid w:val="0"/>
          <w:color w:val="auto"/>
          <w:kern w:val="44"/>
          <w:sz w:val="28"/>
          <w:szCs w:val="20"/>
        </w:rPr>
      </w:pPr>
      <w:bookmarkStart w:id="459" w:name="_Toc8278"/>
      <w:bookmarkStart w:id="460" w:name="_Toc97299512"/>
      <w:bookmarkStart w:id="461" w:name="_Toc69485880"/>
      <w:r>
        <w:rPr>
          <w:rFonts w:hint="eastAsia" w:ascii="宋体" w:hAnsi="宋体" w:cs="宋体"/>
          <w:snapToGrid w:val="0"/>
          <w:color w:val="auto"/>
          <w:kern w:val="44"/>
          <w:sz w:val="28"/>
          <w:szCs w:val="20"/>
        </w:rPr>
        <w:t>第三部分  专用条款</w:t>
      </w:r>
      <w:bookmarkEnd w:id="459"/>
      <w:bookmarkEnd w:id="460"/>
      <w:bookmarkEnd w:id="461"/>
    </w:p>
    <w:p>
      <w:pPr>
        <w:keepNext/>
        <w:numPr>
          <w:ilvl w:val="3"/>
          <w:numId w:val="0"/>
        </w:numPr>
        <w:tabs>
          <w:tab w:val="left" w:pos="864"/>
        </w:tabs>
        <w:snapToGrid w:val="0"/>
        <w:spacing w:line="360" w:lineRule="auto"/>
        <w:ind w:left="426" w:hanging="420"/>
        <w:outlineLvl w:val="3"/>
        <w:rPr>
          <w:rFonts w:ascii="宋体" w:hAnsi="宋体"/>
          <w:b/>
          <w:color w:val="auto"/>
          <w:szCs w:val="21"/>
        </w:rPr>
      </w:pPr>
      <w:bookmarkStart w:id="462" w:name="_Toc351203633"/>
      <w:r>
        <w:rPr>
          <w:rFonts w:hint="eastAsia" w:ascii="宋体" w:hAnsi="宋体"/>
          <w:b/>
          <w:color w:val="auto"/>
          <w:szCs w:val="21"/>
        </w:rPr>
        <w:t>1</w:t>
      </w:r>
      <w:bookmarkStart w:id="463" w:name="_Toc297120456"/>
      <w:bookmarkStart w:id="464" w:name="_Toc292559866"/>
      <w:bookmarkStart w:id="465" w:name="_Toc296347155"/>
      <w:bookmarkStart w:id="466" w:name="_Toc296891196"/>
      <w:bookmarkStart w:id="467" w:name="_Toc296890984"/>
      <w:bookmarkStart w:id="468" w:name="_Toc296503156"/>
      <w:bookmarkStart w:id="469" w:name="_Toc296346657"/>
      <w:bookmarkStart w:id="470" w:name="_Toc296944495"/>
      <w:bookmarkStart w:id="471" w:name="_Toc297048342"/>
      <w:bookmarkStart w:id="472" w:name="_Toc292559361"/>
      <w:r>
        <w:rPr>
          <w:rFonts w:hint="eastAsia" w:ascii="宋体" w:hAnsi="宋体"/>
          <w:b/>
          <w:color w:val="auto"/>
          <w:szCs w:val="21"/>
        </w:rPr>
        <w:t>. 一般约定</w:t>
      </w:r>
      <w:bookmarkEnd w:id="462"/>
    </w:p>
    <w:bookmarkEnd w:id="463"/>
    <w:bookmarkEnd w:id="464"/>
    <w:bookmarkEnd w:id="465"/>
    <w:bookmarkEnd w:id="466"/>
    <w:bookmarkEnd w:id="467"/>
    <w:bookmarkEnd w:id="468"/>
    <w:bookmarkEnd w:id="469"/>
    <w:bookmarkEnd w:id="470"/>
    <w:bookmarkEnd w:id="471"/>
    <w:bookmarkEnd w:id="472"/>
    <w:p>
      <w:pPr>
        <w:snapToGrid w:val="0"/>
        <w:spacing w:line="360" w:lineRule="auto"/>
        <w:ind w:firstLine="367" w:firstLineChars="175"/>
        <w:rPr>
          <w:rFonts w:ascii="宋体" w:hAnsi="宋体"/>
          <w:snapToGrid w:val="0"/>
          <w:color w:val="auto"/>
          <w:kern w:val="0"/>
          <w:szCs w:val="21"/>
        </w:rPr>
      </w:pPr>
      <w:r>
        <w:rPr>
          <w:rFonts w:hint="eastAsia" w:ascii="宋体" w:hAnsi="宋体"/>
          <w:snapToGrid w:val="0"/>
          <w:color w:val="auto"/>
          <w:kern w:val="0"/>
          <w:szCs w:val="21"/>
        </w:rPr>
        <w:t>1.1 词语定义</w:t>
      </w:r>
    </w:p>
    <w:p>
      <w:pPr>
        <w:snapToGrid w:val="0"/>
        <w:spacing w:line="360" w:lineRule="auto"/>
        <w:ind w:firstLine="367" w:firstLineChars="175"/>
        <w:rPr>
          <w:rFonts w:ascii="宋体" w:hAnsi="宋体"/>
          <w:snapToGrid w:val="0"/>
          <w:color w:val="auto"/>
          <w:kern w:val="0"/>
          <w:szCs w:val="21"/>
        </w:rPr>
      </w:pPr>
      <w:r>
        <w:rPr>
          <w:rFonts w:hint="eastAsia" w:ascii="宋体" w:hAnsi="宋体"/>
          <w:snapToGrid w:val="0"/>
          <w:color w:val="auto"/>
          <w:kern w:val="0"/>
          <w:szCs w:val="21"/>
        </w:rPr>
        <w:t>1.1.1合同</w:t>
      </w:r>
    </w:p>
    <w:p>
      <w:pPr>
        <w:shd w:val="clear" w:color="auto" w:fill="FAFAFA"/>
        <w:snapToGrid w:val="0"/>
        <w:spacing w:line="360" w:lineRule="auto"/>
        <w:ind w:firstLine="411" w:firstLineChars="196"/>
        <w:rPr>
          <w:rFonts w:ascii="宋体" w:hAnsi="宋体"/>
          <w:b/>
          <w:snapToGrid w:val="0"/>
          <w:color w:val="auto"/>
          <w:kern w:val="0"/>
          <w:szCs w:val="21"/>
          <w:u w:val="single"/>
        </w:rPr>
      </w:pPr>
      <w:r>
        <w:rPr>
          <w:rFonts w:hint="eastAsia" w:ascii="宋体" w:hAnsi="宋体"/>
          <w:snapToGrid w:val="0"/>
          <w:color w:val="auto"/>
          <w:kern w:val="0"/>
          <w:szCs w:val="21"/>
        </w:rPr>
        <w:t>1.1.1.10其他合同文件包括：</w:t>
      </w:r>
      <w:r>
        <w:rPr>
          <w:rFonts w:hint="eastAsia" w:ascii="宋体" w:hAnsi="宋体"/>
          <w:snapToGrid w:val="0"/>
          <w:color w:val="auto"/>
          <w:kern w:val="0"/>
          <w:szCs w:val="21"/>
          <w:u w:val="single"/>
        </w:rPr>
        <w:t xml:space="preserve">                                         </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1.1.2 合同当事人及其他相关方</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1.1.2.4监理人：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1.1.2.5 设计人：</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名    称：</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资质类别和等级：</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0"/>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联系电话：</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电子信箱：</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通信地址：</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  /  </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1.1.3 工程和设备</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w:t>
      </w:r>
    </w:p>
    <w:p>
      <w:pPr>
        <w:snapToGrid w:val="0"/>
        <w:spacing w:line="360" w:lineRule="auto"/>
        <w:rPr>
          <w:rFonts w:ascii="宋体" w:hAnsi="宋体" w:cs="宋体"/>
          <w:color w:val="auto"/>
          <w:szCs w:val="21"/>
        </w:rPr>
      </w:pP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szCs w:val="21"/>
          <w:u w:val="single"/>
        </w:rPr>
        <w:t xml:space="preserve">                        </w:t>
      </w:r>
      <w:r>
        <w:rPr>
          <w:rFonts w:hint="eastAsia" w:ascii="宋体" w:hAnsi="宋体" w:cs="宋体"/>
          <w:color w:val="auto"/>
          <w:kern w:val="0"/>
          <w:szCs w:val="21"/>
        </w:rPr>
        <w:t>。</w:t>
      </w:r>
    </w:p>
    <w:p>
      <w:pPr>
        <w:adjustRightInd/>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color w:val="auto"/>
          <w:kern w:val="0"/>
          <w:szCs w:val="21"/>
        </w:rPr>
        <w:t>1.1.3.10 临时占地包括：</w:t>
      </w:r>
      <w:r>
        <w:rPr>
          <w:rFonts w:hint="eastAsia" w:ascii="宋体" w:hAnsi="宋体" w:cs="宋体"/>
          <w:color w:val="auto"/>
          <w:szCs w:val="21"/>
          <w:u w:val="single"/>
        </w:rPr>
        <w:t xml:space="preserve">                       </w:t>
      </w:r>
      <w:r>
        <w:rPr>
          <w:rFonts w:hint="eastAsia" w:ascii="宋体" w:hAnsi="宋体" w:cs="宋体"/>
          <w:color w:val="auto"/>
          <w:kern w:val="0"/>
          <w:szCs w:val="21"/>
        </w:rPr>
        <w:t>。</w:t>
      </w:r>
    </w:p>
    <w:p>
      <w:pPr>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 xml:space="preserve">1.3法律 </w:t>
      </w:r>
    </w:p>
    <w:p>
      <w:pPr>
        <w:autoSpaceDE w:val="0"/>
        <w:autoSpaceDN w:val="0"/>
        <w:snapToGrid w:val="0"/>
        <w:spacing w:line="360" w:lineRule="auto"/>
        <w:jc w:val="left"/>
        <w:rPr>
          <w:rFonts w:hint="eastAsia" w:ascii="宋体" w:hAnsi="宋体" w:cs="宋体"/>
          <w:color w:val="auto"/>
          <w:szCs w:val="21"/>
        </w:rPr>
      </w:pPr>
      <w:r>
        <w:rPr>
          <w:rFonts w:hint="eastAsia" w:ascii="宋体" w:hAnsi="宋体" w:cs="宋体"/>
          <w:color w:val="auto"/>
          <w:szCs w:val="21"/>
        </w:rPr>
        <w:t>适用于合同的其他规范性文件</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1.3.1《杭州市建设工程工程量清单计价实施细则》(杭建市发〔2018〕578号)；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1.3.2《关于进一步加强杭州市建设工程市场要素价格动态管理的指导意见》（杭建市发〔2018〕579号）；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1.3.3《关于发布&lt;杭州市新冠病毒肺炎疫情期间在建工程合同及工程价款调整的指导性细则&gt;的通知》（杭建市发〔2020〕164号）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1.3.4 《关于贯彻《省厅调整安全文明施工费的通知》的通知》（杭建市发〔2022〕54号）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1.3.5  省市建设行政部门颁发的其他现行有效文件(包括但不仅限于以下文件)：</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（1）《关于转发省建设厅&lt;关于进一步加强建筑施工领域企业安全生产工作的实施意见&gt;的通知》（杭建工发〔2011〕130号）；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（2）《关于进一步加强建设工程安全质量物联网管理应用平台建设的通知》（杭建工发〔2012〕426号）；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（3）《关于开展建筑工程扬尘在线监测设施安装工作的通知》（杭建工〔2019〕103号）；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（4）《关于巩固G20杭州峰会成果进一步加强建设工程文明施工管理的若干意见》（杭建工发〔2017〕112号）；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（5）《杭州市建设领域农民工“无欠薪”管理实施细则（试行）》（杭建市〔2018〕161号）；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（6）《关于杭州市建筑工地全面推广使用“浙里工程建设现场管控”重大应用（浙里建）的通知》（杭建数改办（2022）1号）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（7）《杭州市建设工程渣土管理办法》（市政府令第192号）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（8）市政府办公厅2022年5月15日发布的《杭州市人民政府办公厅关于进一步规范工程建筑垃圾管理的通知》</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（9）《关于发布杭州市工程渣土消纳市场信息价的通知》（杭渣土领〔2020〕1号）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（10）市建委2020年10月30日发布的《关于明确杭州市渣土运输及消纳项目计价清单编制和报价口径的通知》</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（11）《关于转发&lt;关于在全省工程建设领域改革保证金制度的通知&gt;的通知》（杭建市通知〔2020〕4号）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（12）《关于进一步提升杭州市市政道路建设质量管理的若干意见》（杭建工发〔2021〕32 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（13）《关于全面推广应用承插型盘扣式脚手架的通知》（杭建工发〔2021〕358号）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（14）《关于明确杭州市建筑施工领域安全生产责任保险费用计取的通知》（杭建招标造价中心〔2021〕84号 ）</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（15）其他：（1）《关于开展建设“两美浙江”打造“美丽杭州”建设工地环境专项整治的通知》（杭建监总〔2015〕39号）、《关于进一步加强建设工地环境专项整治的通知》（杭建监总〔2015〕54号）；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关于下发（打造“美丽杭州”建设“两美浙江”示范区市政基础设施工程建设保障方案）的通知》杭建城发[2015]200号、《关于做好打造“美丽杭州”建设“两美浙江”示范区建设工程环境整治工作的补充通知》杭建工发[2015]279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（3）《关于进一步加强杭州市建设工程安全文明施工费计取管理规定的通知》（杭建市〔2016〕25号）；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（4）杭州市城乡建设委员会《关于贯彻执行省建设厅《关于建筑业实施营改增后浙江省建设工程计价规则调整》的通知》杭建市发【 2016 】 216</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（5）浙江省住房和城乡建设厅《关于建筑业实施营改增后浙江省建设工程计价规则调整通知》建建发[2016]144号；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（6）浙江省建设工程造价管理总站《关于发布营改增后浙江省建设工程施工取费费率的通知》浙建站定[2016]23号；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（7）《关于发布营改增后浙江省建设工程施工取费费率的通知》的通知杭建造价投资办 [2016]23 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（8）浙江省建设工程造价管理总站《关于调整浙江省建设工程造价税金费率的通知》浙建站定 [2016]35 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（9）浙江省建设工程造价管理总站《关于水利建设基金暂停征收后调整浙江省建设工程造价税金费率的通知》浙建站定 [2016]54 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（10）浙江省住房和城乡建设厅《关于增值税调整后我省建设工程计价规则有关增值税税率及计价系数调整的通知》（建建发〔 2018 〕 104 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（11）浙江省住房和城乡建设厅《关于增值税调整后我省建设工程计价依据增值税税率及有关计价调整的通知》（浙建建〔 2019 〕 92 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（12）《房屋市政工程文明施工标准化指导图集（ 2.0 版）》杭建投办 [2021]29 号</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（13）《关于印发杭州市建设工地围挡设置管理规范（试行）的通知》</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（14）协议书附件等。</w:t>
      </w:r>
    </w:p>
    <w:p>
      <w:pPr>
        <w:autoSpaceDE w:val="0"/>
        <w:autoSpaceDN w:val="0"/>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（15）其他：如政府新文件、区级相关新文件等，按新文件执行。</w:t>
      </w:r>
    </w:p>
    <w:p>
      <w:pPr>
        <w:pStyle w:val="79"/>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 xml:space="preserve">1.3.6  新工艺、新技术的约定：   /    。            </w:t>
      </w:r>
    </w:p>
    <w:p>
      <w:pPr>
        <w:pStyle w:val="79"/>
        <w:rPr>
          <w:rFonts w:hint="eastAsia"/>
          <w:color w:val="auto"/>
          <w:lang w:val="en-US" w:eastAsia="zh-CN"/>
        </w:rPr>
      </w:pPr>
      <w:r>
        <w:rPr>
          <w:rFonts w:hint="eastAsia" w:ascii="宋体" w:hAnsi="宋体" w:eastAsia="宋体" w:cs="宋体"/>
          <w:snapToGrid w:val="0"/>
          <w:color w:val="auto"/>
          <w:kern w:val="0"/>
          <w:sz w:val="21"/>
          <w:szCs w:val="21"/>
          <w:lang w:val="en-US" w:eastAsia="zh-CN" w:bidi="ar-SA"/>
        </w:rPr>
        <w:t xml:space="preserve">1.3.7 其他         /    </w:t>
      </w:r>
      <w:r>
        <w:rPr>
          <w:rFonts w:hint="eastAsia"/>
          <w:color w:val="auto"/>
          <w:lang w:val="en-US" w:eastAsia="zh-CN"/>
        </w:rPr>
        <w:t xml:space="preserve">   。</w:t>
      </w:r>
    </w:p>
    <w:p>
      <w:pPr>
        <w:autoSpaceDE w:val="0"/>
        <w:autoSpaceDN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 标准和规范</w:t>
      </w:r>
    </w:p>
    <w:p>
      <w:pPr>
        <w:snapToGrid w:val="0"/>
        <w:spacing w:line="360" w:lineRule="auto"/>
        <w:ind w:firstLine="420" w:firstLineChars="200"/>
        <w:rPr>
          <w:rFonts w:ascii="宋体" w:hAnsi="宋体"/>
          <w:b/>
          <w:snapToGrid w:val="0"/>
          <w:color w:val="auto"/>
          <w:kern w:val="0"/>
          <w:szCs w:val="21"/>
          <w:u w:val="single"/>
        </w:rPr>
      </w:pPr>
      <w:r>
        <w:rPr>
          <w:rFonts w:hint="eastAsia" w:ascii="宋体" w:hAnsi="宋体"/>
          <w:snapToGrid w:val="0"/>
          <w:color w:val="auto"/>
          <w:kern w:val="0"/>
          <w:szCs w:val="21"/>
        </w:rPr>
        <w:t>1.4.1适用于工程的标准规范包括：</w:t>
      </w:r>
      <w:r>
        <w:rPr>
          <w:rFonts w:hint="eastAsia" w:ascii="宋体" w:hAnsi="宋体"/>
          <w:b/>
          <w:snapToGrid w:val="0"/>
          <w:color w:val="auto"/>
          <w:kern w:val="0"/>
          <w:szCs w:val="21"/>
          <w:u w:val="single"/>
        </w:rPr>
        <w:t xml:space="preserve">       </w:t>
      </w:r>
      <w:r>
        <w:rPr>
          <w:rFonts w:hint="eastAsia" w:ascii="Arial" w:hAnsi="Arial" w:cs="Arial"/>
          <w:snapToGrid w:val="0"/>
          <w:color w:val="auto"/>
          <w:kern w:val="0"/>
          <w:szCs w:val="21"/>
          <w:u w:val="single"/>
        </w:rPr>
        <w:t>。</w:t>
      </w:r>
    </w:p>
    <w:p>
      <w:pPr>
        <w:snapToGrid w:val="0"/>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1.4.2 发包人提供国外标准、规范的名称：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发包人提供国外标准、规范的份数：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发包人提供国外标准、规范的名称：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1.4.3发包人对工程的技术标准和功能要求的特殊要求：</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1.5 合同文件的优先顺序</w:t>
      </w:r>
    </w:p>
    <w:p>
      <w:pPr>
        <w:autoSpaceDE w:val="0"/>
        <w:autoSpaceDN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合同文件组成及优先顺序为：</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（1）合同协议书</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（2）成交通知书（或项目发承包基本情况表）</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（3）磋商响应文件及磋商记录（如果有）</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（4）专用合同条款及其附件</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（5）通用合同条款</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（6）技术标准和要求</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（7）图纸（如有） ；</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（8）已标价工程量清单或预算书</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（9）其他合同文件</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①施工组织设计</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 xml:space="preserve">②其他：采购文件（含采购工程量清单）及采购答疑（如果有）。      </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1.6.1 图纸的提供</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w:t>
      </w:r>
      <w:r>
        <w:rPr>
          <w:rFonts w:hint="eastAsia" w:ascii="宋体" w:hAnsi="宋体" w:eastAsia="宋体" w:cs="宋体"/>
          <w:color w:val="auto"/>
          <w:szCs w:val="21"/>
          <w:u w:val="single"/>
        </w:rPr>
        <w:t xml:space="preserve"> 开工前</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三套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全套施工图纸、设计联系单等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1.6.4 承包人文件</w:t>
      </w:r>
    </w:p>
    <w:p>
      <w:pPr>
        <w:snapToGrid w:val="0"/>
        <w:spacing w:line="360" w:lineRule="auto"/>
        <w:ind w:left="596" w:leftChars="284"/>
        <w:jc w:val="left"/>
        <w:rPr>
          <w:rFonts w:ascii="宋体" w:hAnsi="宋体" w:cs="宋体"/>
          <w:color w:val="auto"/>
          <w:szCs w:val="21"/>
          <w:u w:val="single"/>
        </w:rPr>
      </w:pPr>
      <w:r>
        <w:rPr>
          <w:rFonts w:hint="eastAsia" w:ascii="宋体" w:hAnsi="宋体" w:cs="宋体"/>
          <w:color w:val="auto"/>
          <w:szCs w:val="21"/>
        </w:rPr>
        <w:t>需要由承包人提供的文件，包括：</w:t>
      </w:r>
      <w:r>
        <w:rPr>
          <w:rFonts w:hint="eastAsia" w:ascii="宋体" w:hAnsi="宋体" w:cs="宋体"/>
          <w:color w:val="auto"/>
          <w:szCs w:val="21"/>
          <w:u w:val="single"/>
        </w:rPr>
        <w:t>与工程施工有关的一切必要文件，包括但不仅限于施工组织设计、施工进度计划及发包人要求提供的各类文件、规范 ；</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合同签署后7天内；</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一式叁份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盖有公章的纸质文件及电子版</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收到承包人文件14天内</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1.6.5 现场图纸准备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 xml:space="preserve">   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 </w:t>
      </w:r>
      <w:r>
        <w:rPr>
          <w:rFonts w:hint="eastAsia" w:ascii="宋体" w:hAnsi="宋体" w:cs="宋体"/>
          <w:color w:val="auto"/>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1.7 联络</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color w:val="auto"/>
          <w:szCs w:val="21"/>
          <w:u w:val="single"/>
        </w:rPr>
        <w:t></w:t>
      </w:r>
      <w:r>
        <w:rPr>
          <w:rFonts w:hint="eastAsia" w:ascii="宋体" w:hAnsi="宋体" w:cs="宋体"/>
          <w:color w:val="auto"/>
          <w:szCs w:val="21"/>
          <w:u w:val="single"/>
          <w:lang w:val="en-US" w:eastAsia="zh-CN"/>
        </w:rPr>
        <w:t>7</w:t>
      </w:r>
      <w:r>
        <w:rPr>
          <w:rFonts w:hint="eastAsia" w:ascii="宋体" w:hAnsi="宋体" w:cs="宋体"/>
          <w:color w:val="auto"/>
          <w:szCs w:val="21"/>
          <w:u w:val="single"/>
        </w:rPr>
        <w:t xml:space="preserve">  </w:t>
      </w:r>
      <w:r>
        <w:rPr>
          <w:rFonts w:hint="eastAsia" w:ascii="宋体" w:hAnsi="宋体" w:cs="宋体"/>
          <w:color w:val="auto"/>
          <w:kern w:val="0"/>
          <w:szCs w:val="21"/>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1.7.2 发包人接收文件的地点：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szCs w:val="21"/>
          <w:u w:val="single"/>
        </w:rPr>
        <w:t> 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szCs w:val="21"/>
          <w:u w:val="single"/>
        </w:rPr>
        <w:t>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szCs w:val="21"/>
          <w:u w:val="single"/>
        </w:rPr>
        <w:t>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1.10 交通运输</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1</w:t>
      </w:r>
      <w:bookmarkStart w:id="473" w:name="_Toc318581155"/>
      <w:bookmarkStart w:id="474" w:name="_Toc312677986"/>
      <w:bookmarkStart w:id="475" w:name="_Toc304295521"/>
      <w:bookmarkStart w:id="476" w:name="_Toc303539100"/>
      <w:bookmarkStart w:id="477" w:name="_Toc300934943"/>
      <w:r>
        <w:rPr>
          <w:rFonts w:hint="eastAsia" w:ascii="宋体" w:hAnsi="宋体" w:cs="宋体"/>
          <w:color w:val="auto"/>
          <w:szCs w:val="21"/>
        </w:rPr>
        <w:t>.10.1 出入现场的权利</w:t>
      </w:r>
    </w:p>
    <w:p>
      <w:pPr>
        <w:snapToGrid w:val="0"/>
        <w:spacing w:line="360" w:lineRule="auto"/>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color w:val="auto"/>
          <w:szCs w:val="21"/>
          <w:u w:val="single"/>
        </w:rPr>
        <w:t>施工便道及进场通道、公共道路道口开设、 场地平整等由施工单位负责，费用由承包人承担。场内道路设置及场外施工便道由承包商自行考虑，费用由承包人承担。但承包人应遵守当地交通部门限制通行的有关规定。发包人及发包人认可的单位及人员具有随时出入施工现场的权利</w:t>
      </w:r>
      <w:r>
        <w:rPr>
          <w:rFonts w:hint="eastAsia" w:ascii="宋体" w:hAnsi="宋体" w:cs="宋体"/>
          <w:color w:val="auto"/>
          <w:szCs w:val="21"/>
        </w:rPr>
        <w:t>。</w:t>
      </w:r>
    </w:p>
    <w:bookmarkEnd w:id="473"/>
    <w:bookmarkEnd w:id="474"/>
    <w:bookmarkEnd w:id="475"/>
    <w:bookmarkEnd w:id="476"/>
    <w:bookmarkEnd w:id="477"/>
    <w:p>
      <w:pPr>
        <w:snapToGrid w:val="0"/>
        <w:spacing w:line="360" w:lineRule="auto"/>
        <w:ind w:firstLine="420" w:firstLineChars="200"/>
        <w:jc w:val="left"/>
        <w:outlineLvl w:val="0"/>
        <w:rPr>
          <w:rFonts w:ascii="宋体" w:hAnsi="宋体" w:cs="宋体"/>
          <w:color w:val="auto"/>
          <w:szCs w:val="21"/>
        </w:rPr>
      </w:pPr>
      <w:r>
        <w:rPr>
          <w:rFonts w:hint="eastAsia" w:ascii="宋体" w:hAnsi="宋体" w:cs="宋体"/>
          <w:color w:val="auto"/>
          <w:szCs w:val="21"/>
        </w:rPr>
        <w:t>1</w:t>
      </w:r>
      <w:bookmarkStart w:id="478" w:name="_Toc312677987"/>
      <w:bookmarkStart w:id="479" w:name="_Toc300934944"/>
      <w:bookmarkStart w:id="480" w:name="_Toc303539101"/>
      <w:bookmarkStart w:id="481" w:name="_Toc318581156"/>
      <w:bookmarkStart w:id="482" w:name="_Toc304295522"/>
      <w:r>
        <w:rPr>
          <w:rFonts w:hint="eastAsia" w:ascii="宋体" w:hAnsi="宋体" w:cs="宋体"/>
          <w:color w:val="auto"/>
          <w:szCs w:val="21"/>
        </w:rPr>
        <w:t>.10.3 场内交通</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关于场外交通和场内交通的边界的约定：</w:t>
      </w:r>
      <w:r>
        <w:rPr>
          <w:rFonts w:hint="eastAsia" w:ascii="宋体" w:hAnsi="宋体" w:cs="宋体"/>
          <w:color w:val="auto"/>
          <w:szCs w:val="21"/>
          <w:u w:val="single"/>
        </w:rPr>
        <w:t>以本工程覆盖范围和区域为准。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承包人自行踏勘现场，严格组织交通，自行跟交通部门沟通协调，并承担相应费用</w:t>
      </w:r>
      <w:r>
        <w:rPr>
          <w:rFonts w:hint="eastAsia" w:ascii="宋体" w:hAnsi="宋体" w:cs="宋体"/>
          <w:color w:val="auto"/>
          <w:szCs w:val="21"/>
        </w:rPr>
        <w:t>。</w:t>
      </w:r>
      <w:bookmarkEnd w:id="478"/>
      <w:bookmarkEnd w:id="479"/>
      <w:bookmarkEnd w:id="480"/>
      <w:bookmarkEnd w:id="481"/>
      <w:bookmarkEnd w:id="482"/>
      <w:r>
        <w:rPr>
          <w:rFonts w:hint="eastAsia" w:ascii="宋体" w:hAnsi="宋体" w:cs="宋体"/>
          <w:color w:val="auto"/>
          <w:szCs w:val="21"/>
        </w:rPr>
        <w:t xml:space="preserve">  </w:t>
      </w:r>
      <w:bookmarkStart w:id="483" w:name="_Toc318581157"/>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1.10.4超大件和超重件的运输</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 xml:space="preserve">承包人  </w:t>
      </w:r>
      <w:r>
        <w:rPr>
          <w:rFonts w:hint="eastAsia" w:ascii="宋体" w:hAnsi="宋体" w:cs="宋体"/>
          <w:color w:val="auto"/>
          <w:szCs w:val="21"/>
        </w:rPr>
        <w:t>承担。</w:t>
      </w:r>
    </w:p>
    <w:bookmarkEnd w:id="483"/>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1.11 知识产权</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 xml:space="preserve"> 归发包人 </w:t>
      </w:r>
      <w:r>
        <w:rPr>
          <w:rFonts w:hint="eastAsia" w:ascii="宋体" w:hAnsi="宋体" w:cs="宋体"/>
          <w:color w:val="auto"/>
          <w:szCs w:val="21"/>
        </w:rPr>
        <w:t>。</w:t>
      </w:r>
    </w:p>
    <w:p>
      <w:pPr>
        <w:snapToGrid w:val="0"/>
        <w:spacing w:line="360" w:lineRule="auto"/>
        <w:ind w:left="596" w:leftChars="284"/>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未经发包人同意，不得用于其他工程 。</w:t>
      </w:r>
    </w:p>
    <w:p>
      <w:pPr>
        <w:snapToGrid w:val="0"/>
        <w:spacing w:line="360" w:lineRule="auto"/>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rPr>
        <w:t>归承包人</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rPr>
        <w:t>用于本工程。</w:t>
      </w:r>
    </w:p>
    <w:p>
      <w:pPr>
        <w:snapToGrid w:val="0"/>
        <w:spacing w:line="360" w:lineRule="auto"/>
        <w:ind w:firstLine="420" w:firstLineChars="200"/>
        <w:outlineLvl w:val="0"/>
        <w:rPr>
          <w:rFonts w:hint="eastAsia" w:ascii="宋体" w:hAnsi="宋体" w:cs="宋体"/>
          <w:color w:val="auto"/>
          <w:kern w:val="0"/>
          <w:szCs w:val="21"/>
          <w:u w:val="single"/>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szCs w:val="21"/>
          <w:u w:val="single"/>
        </w:rPr>
        <w:t>（除发包人指明外）承包人在施工过程中所采用的专利、专有技术、技术秘密的使用费包含在合同价款内。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1.13工程量清单错误的修正</w:t>
      </w:r>
    </w:p>
    <w:p>
      <w:pPr>
        <w:snapToGrid w:val="0"/>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出现工程量清单错误时，是否调整合同价格：</w:t>
      </w:r>
      <w:r>
        <w:rPr>
          <w:rFonts w:hint="eastAsia" w:ascii="宋体" w:hAnsi="宋体" w:cs="宋体"/>
          <w:color w:val="auto"/>
          <w:szCs w:val="21"/>
          <w:u w:val="single"/>
        </w:rPr>
        <w:t xml:space="preserve"> 是   </w:t>
      </w:r>
      <w:r>
        <w:rPr>
          <w:rFonts w:hint="eastAsia" w:ascii="宋体" w:hAnsi="宋体" w:cs="宋体"/>
          <w:color w:val="auto"/>
          <w:szCs w:val="21"/>
          <w:u w:val="single"/>
          <w:lang w:val="en-US" w:eastAsia="zh-CN"/>
        </w:rPr>
        <w:t>.</w:t>
      </w:r>
    </w:p>
    <w:p>
      <w:pPr>
        <w:adjustRightInd/>
        <w:snapToGrid w:val="0"/>
        <w:spacing w:line="360" w:lineRule="auto"/>
        <w:ind w:firstLine="371" w:firstLineChars="177"/>
        <w:jc w:val="left"/>
        <w:rPr>
          <w:rFonts w:hint="eastAsia" w:ascii="宋体" w:hAnsi="宋体" w:cs="宋体"/>
          <w:color w:val="auto"/>
          <w:kern w:val="0"/>
          <w:szCs w:val="21"/>
        </w:rPr>
      </w:pPr>
      <w:r>
        <w:rPr>
          <w:rFonts w:hint="eastAsia" w:ascii="宋体" w:hAnsi="宋体" w:cs="宋体"/>
          <w:color w:val="auto"/>
          <w:szCs w:val="21"/>
        </w:rPr>
        <w:t>允许调整合同价格的工程量偏差范围：</w:t>
      </w:r>
      <w:r>
        <w:rPr>
          <w:rFonts w:hint="eastAsia" w:ascii="宋体" w:hAnsi="宋体" w:cs="宋体"/>
          <w:color w:val="auto"/>
          <w:szCs w:val="21"/>
          <w:u w:val="single"/>
        </w:rPr>
        <w:t>（1）固定单价合同的工程量在结算时按实结算，调整的原则参照10.4变更估价；</w:t>
      </w:r>
      <w:r>
        <w:rPr>
          <w:rFonts w:hint="eastAsia" w:ascii="宋体" w:hAnsi="宋体" w:cs="宋体"/>
          <w:color w:val="auto"/>
          <w:kern w:val="0"/>
          <w:szCs w:val="21"/>
        </w:rPr>
        <w:t>。</w:t>
      </w:r>
    </w:p>
    <w:p>
      <w:pPr>
        <w:adjustRightInd/>
        <w:snapToGrid w:val="0"/>
        <w:spacing w:line="360" w:lineRule="auto"/>
        <w:ind w:firstLine="371" w:firstLineChars="177"/>
        <w:jc w:val="left"/>
        <w:rPr>
          <w:rFonts w:hint="eastAsia" w:ascii="宋体" w:hAnsi="宋体" w:eastAsia="宋体" w:cs="宋体"/>
          <w:color w:val="auto"/>
          <w:szCs w:val="21"/>
        </w:rPr>
      </w:pPr>
      <w:r>
        <w:rPr>
          <w:rFonts w:hint="eastAsia" w:ascii="宋体" w:hAnsi="宋体" w:eastAsia="宋体" w:cs="宋体"/>
          <w:color w:val="auto"/>
          <w:szCs w:val="21"/>
        </w:rPr>
        <w:t>调整合同价格的修正时间： 在竣工结算时经审计审核后调整 。</w:t>
      </w:r>
    </w:p>
    <w:p>
      <w:pPr>
        <w:snapToGrid w:val="0"/>
        <w:spacing w:line="360" w:lineRule="auto"/>
        <w:rPr>
          <w:rFonts w:ascii="宋体" w:hAnsi="宋体" w:cs="宋体"/>
          <w:color w:val="auto"/>
          <w:szCs w:val="21"/>
        </w:rPr>
      </w:pPr>
    </w:p>
    <w:p>
      <w:pPr>
        <w:pStyle w:val="7"/>
        <w:numPr>
          <w:ilvl w:val="0"/>
          <w:numId w:val="3"/>
        </w:numPr>
        <w:snapToGrid w:val="0"/>
        <w:spacing w:before="0" w:after="0" w:line="360" w:lineRule="auto"/>
        <w:rPr>
          <w:rFonts w:hint="eastAsia" w:ascii="宋体" w:hAnsi="宋体" w:eastAsia="宋体" w:cs="宋体"/>
          <w:b w:val="0"/>
          <w:color w:val="auto"/>
          <w:sz w:val="21"/>
          <w:szCs w:val="21"/>
        </w:rPr>
      </w:pPr>
      <w:bookmarkStart w:id="484" w:name="_Toc351203634"/>
      <w:bookmarkStart w:id="485" w:name="_Toc297120457"/>
      <w:bookmarkStart w:id="486" w:name="_Toc296944496"/>
      <w:bookmarkStart w:id="487" w:name="_Toc296890985"/>
      <w:bookmarkStart w:id="488" w:name="_Toc296346658"/>
      <w:bookmarkStart w:id="489" w:name="_Toc296891197"/>
      <w:bookmarkStart w:id="490" w:name="_Toc296503157"/>
      <w:bookmarkStart w:id="491" w:name="_Toc292559867"/>
      <w:bookmarkStart w:id="492" w:name="_Toc292559362"/>
      <w:bookmarkStart w:id="493" w:name="_Toc296347156"/>
      <w:bookmarkStart w:id="494" w:name="_Toc297048343"/>
      <w:r>
        <w:rPr>
          <w:rFonts w:hint="eastAsia" w:ascii="宋体" w:hAnsi="宋体" w:eastAsia="宋体" w:cs="宋体"/>
          <w:b w:val="0"/>
          <w:color w:val="auto"/>
          <w:sz w:val="21"/>
          <w:szCs w:val="21"/>
        </w:rPr>
        <w:t>发包人</w:t>
      </w:r>
      <w:bookmarkEnd w:id="484"/>
    </w:p>
    <w:p>
      <w:pPr>
        <w:numPr>
          <w:ilvl w:val="0"/>
          <w:numId w:val="0"/>
        </w:numPr>
        <w:rPr>
          <w:rFonts w:hint="eastAsia"/>
          <w:color w:val="auto"/>
        </w:rPr>
      </w:pPr>
      <w:r>
        <w:rPr>
          <w:rFonts w:hint="eastAsia"/>
          <w:color w:val="auto"/>
        </w:rPr>
        <w:t>发包人应根据工程所需配备发包人代表，同时配备1-2名相关人员到岗履职。发包人应做好承包人农民工工资保证金缴存情况的审核工作，督促未缴存农民工工资保证金的承包人及时缴存。</w:t>
      </w:r>
    </w:p>
    <w:p>
      <w:pPr>
        <w:numPr>
          <w:ilvl w:val="0"/>
          <w:numId w:val="0"/>
        </w:numPr>
        <w:rPr>
          <w:rFonts w:hint="eastAsia"/>
          <w:color w:val="auto"/>
        </w:rPr>
      </w:pPr>
      <w:r>
        <w:rPr>
          <w:rFonts w:hint="eastAsia"/>
          <w:color w:val="auto"/>
        </w:rPr>
        <w:t>建设工程施工前，发包人必须对工程项目建筑垃圾总量、回填利用量进行全面准确测算，并到项目所在地城管部门办理建筑垃圾处置手续。</w:t>
      </w:r>
    </w:p>
    <w:p>
      <w:pPr>
        <w:numPr>
          <w:ilvl w:val="0"/>
          <w:numId w:val="0"/>
        </w:numPr>
        <w:rPr>
          <w:color w:val="auto"/>
        </w:rPr>
      </w:pPr>
      <w:r>
        <w:rPr>
          <w:rFonts w:hint="eastAsia"/>
          <w:color w:val="auto"/>
        </w:rPr>
        <w:t>发包人有权开展现场检查，督促承包人落实规范垃圾处置合同分包、车辆装载、车辆冲洗和规范消纳等措施。</w:t>
      </w:r>
    </w:p>
    <w:bookmarkEnd w:id="485"/>
    <w:bookmarkEnd w:id="486"/>
    <w:bookmarkEnd w:id="487"/>
    <w:bookmarkEnd w:id="488"/>
    <w:bookmarkEnd w:id="489"/>
    <w:bookmarkEnd w:id="490"/>
    <w:bookmarkEnd w:id="491"/>
    <w:bookmarkEnd w:id="492"/>
    <w:bookmarkEnd w:id="493"/>
    <w:bookmarkEnd w:id="494"/>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2.2 发包人代表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发包人代表：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rPr>
          <w:rFonts w:ascii="宋体" w:hAnsi="宋体" w:cs="宋体"/>
          <w:b/>
          <w:color w:val="auto"/>
          <w:szCs w:val="21"/>
        </w:rPr>
      </w:pPr>
      <w:r>
        <w:rPr>
          <w:rFonts w:hint="eastAsia" w:ascii="宋体" w:hAnsi="宋体" w:cs="宋体"/>
          <w:color w:val="auto"/>
          <w:szCs w:val="21"/>
        </w:rPr>
        <w:t>发包人对发包人代表的授权范围如下：</w:t>
      </w:r>
      <w:r>
        <w:rPr>
          <w:rFonts w:hint="eastAsia" w:ascii="宋体" w:hAnsi="宋体" w:cs="宋体"/>
          <w:color w:val="auto"/>
          <w:szCs w:val="21"/>
          <w:u w:val="single"/>
        </w:rPr>
        <w:t>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w:t>
      </w:r>
      <w:r>
        <w:rPr>
          <w:rFonts w:hint="eastAsia" w:ascii="宋体" w:hAnsi="宋体" w:cs="宋体"/>
          <w:color w:val="auto"/>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2.4 施工现场、施工条件和基础资料的提供</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2.4.1 提供施工现场</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开工前7天移交</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2.4.2 提供施工条件</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w:t>
      </w:r>
      <w:r>
        <w:rPr>
          <w:rFonts w:hint="eastAsia" w:ascii="宋体" w:hAnsi="宋体" w:cs="宋体"/>
          <w:color w:val="auto"/>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2.5 资金来源证明及支付担保</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发包人提供支付担保的形式：</w:t>
      </w:r>
      <w:r>
        <w:rPr>
          <w:rFonts w:hint="eastAsia" w:ascii="宋体" w:hAnsi="宋体" w:cs="宋体"/>
          <w:color w:val="auto"/>
          <w:szCs w:val="21"/>
          <w:u w:val="single"/>
        </w:rPr>
        <w:t>                     </w:t>
      </w:r>
      <w:r>
        <w:rPr>
          <w:rFonts w:hint="eastAsia" w:ascii="宋体" w:hAnsi="宋体" w:cs="宋体"/>
          <w:color w:val="auto"/>
          <w:szCs w:val="21"/>
        </w:rPr>
        <w:t>。</w:t>
      </w:r>
    </w:p>
    <w:p>
      <w:pPr>
        <w:pStyle w:val="7"/>
        <w:snapToGrid w:val="0"/>
        <w:spacing w:before="0" w:after="0" w:line="360" w:lineRule="auto"/>
        <w:rPr>
          <w:rFonts w:ascii="宋体" w:hAnsi="宋体" w:eastAsia="宋体" w:cs="宋体"/>
          <w:b w:val="0"/>
          <w:color w:val="auto"/>
          <w:sz w:val="21"/>
          <w:szCs w:val="21"/>
        </w:rPr>
      </w:pPr>
      <w:bookmarkStart w:id="495" w:name="_Toc351203635"/>
      <w:r>
        <w:rPr>
          <w:rFonts w:hint="eastAsia" w:ascii="宋体" w:hAnsi="宋体" w:eastAsia="宋体" w:cs="宋体"/>
          <w:b w:val="0"/>
          <w:color w:val="auto"/>
          <w:sz w:val="21"/>
          <w:szCs w:val="21"/>
        </w:rPr>
        <w:t>3</w:t>
      </w:r>
      <w:bookmarkStart w:id="496" w:name="_Toc292559363"/>
      <w:bookmarkStart w:id="497" w:name="_Toc296347157"/>
      <w:bookmarkStart w:id="498" w:name="_Toc297048344"/>
      <w:bookmarkStart w:id="499" w:name="_Toc296346659"/>
      <w:bookmarkStart w:id="500" w:name="_Toc292559868"/>
      <w:bookmarkStart w:id="501" w:name="_Toc296890986"/>
      <w:bookmarkStart w:id="502" w:name="_Toc296891198"/>
      <w:bookmarkStart w:id="503" w:name="_Toc296503158"/>
      <w:bookmarkStart w:id="504" w:name="_Toc296944497"/>
      <w:bookmarkStart w:id="505" w:name="_Toc297120458"/>
      <w:r>
        <w:rPr>
          <w:rFonts w:hint="eastAsia" w:ascii="宋体" w:hAnsi="宋体" w:eastAsia="宋体" w:cs="宋体"/>
          <w:b w:val="0"/>
          <w:color w:val="auto"/>
          <w:sz w:val="21"/>
          <w:szCs w:val="21"/>
        </w:rPr>
        <w:t>. 承包人</w:t>
      </w:r>
      <w:bookmarkEnd w:id="495"/>
    </w:p>
    <w:bookmarkEnd w:id="496"/>
    <w:bookmarkEnd w:id="497"/>
    <w:bookmarkEnd w:id="498"/>
    <w:bookmarkEnd w:id="499"/>
    <w:bookmarkEnd w:id="500"/>
    <w:bookmarkEnd w:id="501"/>
    <w:bookmarkEnd w:id="502"/>
    <w:bookmarkEnd w:id="503"/>
    <w:bookmarkEnd w:id="504"/>
    <w:bookmarkEnd w:id="505"/>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3.1 承包人的一般义务</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承包人提交的竣工资料的内容：</w:t>
      </w:r>
      <w:r>
        <w:rPr>
          <w:rFonts w:hint="eastAsia" w:ascii="宋体" w:hAnsi="宋体" w:cs="宋体"/>
          <w:color w:val="auto"/>
          <w:szCs w:val="21"/>
          <w:u w:val="single"/>
        </w:rPr>
        <w:t>按《建筑工程资料管理规程》JGJ／T185-2009、《建筑工程资料归档规范》GB/T 50328-2014、杭州市城建档案馆、相关部门及发包人资料归档要求。</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承包人需要提交的竣工资料套数：8 套竣工图、8 套竣工资料和电子版竣工图及资料光盘一张。</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承包人提交的竣工资料的费用承担： 承包人自行承担 。</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承包人提交的竣工资料移交时间：竣工验收合格后28天内 。</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承包人提交的竣工资料形式要求：按《建筑工程资料管理规程》JGJ／T185-2009、《建筑工程资料归档规范》GB/T 50328-2014、杭州市城建档馆、相关部门及发包人资料归档要求(包括但不仅限于电子存档等)，若需档案馆重新整理，费用由承包人承担 。</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（10）承包人应履行的其他义务：</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承包人应当在工程开工建设前，到项目所在地商业银行开设农民工工资专用账户，专项用于支付该工程建设项目农民工工资。</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承包人应建立实名制电子考勤系统，做好与杭州市智慧工地实名制管理应用系统以及全国建筑工人管理服务信息平台的数据对接工作。</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承包人应及时向项目所在地保证金管理部门缴存农民工工资保证金，并做好分包单位农民工工资保证金缴存的查验工作。</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承包人应规范建筑垃圾处置分包合同管理，建筑垃圾运输业务应当发包给本工程建筑垃圾处置证核准确定的运输单位。</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承包人负责根据施工合同约定和相关法律法规要求，编制工程建筑垃圾处置方案，向项目所在地城管部门进行备案，并在工地出入口做好公示及日常维护工作。</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承包人与运输、处置单位结算相关费用前应当查验接纳回执。</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3.2 项目经理</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szCs w:val="21"/>
          <w:u w:val="single"/>
        </w:rPr>
        <w:t xml:space="preserve">                                                        </w:t>
      </w:r>
      <w:r>
        <w:rPr>
          <w:rFonts w:hint="eastAsia" w:ascii="宋体" w:hAnsi="宋体" w:cs="宋体"/>
          <w:color w:val="auto"/>
          <w:szCs w:val="21"/>
        </w:rPr>
        <w:t>。</w:t>
      </w:r>
    </w:p>
    <w:p>
      <w:pPr>
        <w:snapToGrid w:val="0"/>
        <w:spacing w:line="360" w:lineRule="auto"/>
        <w:ind w:firstLine="420" w:firstLineChars="200"/>
        <w:jc w:val="left"/>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rPr>
        <w:t>关于项目经理每月在施工现场的时间要求：</w:t>
      </w:r>
      <w:r>
        <w:rPr>
          <w:rFonts w:hint="eastAsia" w:ascii="宋体" w:hAnsi="宋体" w:cs="宋体"/>
          <w:color w:val="auto"/>
          <w:szCs w:val="21"/>
          <w:u w:val="single"/>
        </w:rPr>
        <w:t>不得少于22日历天</w:t>
      </w:r>
      <w:r>
        <w:rPr>
          <w:rFonts w:hint="eastAsia" w:ascii="宋体" w:hAnsi="宋体" w:cs="宋体"/>
          <w:color w:val="auto"/>
          <w:szCs w:val="21"/>
          <w:u w:val="single"/>
          <w:lang w:val="en-US" w:eastAsia="zh-CN"/>
        </w:rPr>
        <w:t>.</w:t>
      </w:r>
    </w:p>
    <w:p>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承包人未提交劳动合同，以及没有为项目经理缴纳社会保险证明的违约责任： 按有关规定处理    。</w:t>
      </w:r>
    </w:p>
    <w:p>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项目经理未经批准，擅自离开施工现场的违约责任：处以1000元/天的违约金 。</w:t>
      </w: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（1）承包人确需更换项目经理的，继任项目经理注册执业资格、管理经验的约定： 不得低于现任项目经理  。</w:t>
      </w:r>
    </w:p>
    <w:p>
      <w:pPr>
        <w:snapToGrid w:val="0"/>
        <w:spacing w:line="360" w:lineRule="auto"/>
        <w:rPr>
          <w:rFonts w:ascii="宋体" w:hAnsi="宋体" w:cs="宋体"/>
          <w:color w:val="auto"/>
          <w:szCs w:val="21"/>
        </w:rPr>
      </w:pPr>
      <w:r>
        <w:rPr>
          <w:rFonts w:hint="eastAsia" w:ascii="宋体" w:hAnsi="宋体" w:cs="宋体"/>
          <w:color w:val="auto"/>
          <w:szCs w:val="21"/>
          <w:u w:val="single"/>
        </w:rPr>
        <w:t>（2）承包人擅自更换项目经理的违约责任：在施工期间不准更换，特殊情况要求更换项目经理的，须经发包方书面同意。未经发包方书面同意，承包人擅自更换人员的，将被视为承包人违约，从进度款中扣除5万元/人/次的违约金。情节严重的，发包方将同时没收部分或全部履约保证金，直至发包方单方面终止本承包合同</w:t>
      </w:r>
      <w:r>
        <w:rPr>
          <w:rFonts w:hint="eastAsia" w:ascii="宋体" w:hAnsi="宋体" w:cs="宋体"/>
          <w:color w:val="auto"/>
          <w:szCs w:val="21"/>
        </w:rPr>
        <w:t>。</w:t>
      </w:r>
    </w:p>
    <w:p>
      <w:pPr>
        <w:snapToGrid w:val="0"/>
        <w:spacing w:line="360" w:lineRule="auto"/>
        <w:outlineLvl w:val="0"/>
        <w:rPr>
          <w:rFonts w:ascii="宋体" w:hAnsi="宋体" w:cs="宋体"/>
          <w:color w:val="auto"/>
          <w:szCs w:val="21"/>
        </w:rPr>
      </w:pPr>
      <w:r>
        <w:rPr>
          <w:rFonts w:hint="eastAsia" w:ascii="宋体" w:hAnsi="宋体" w:cs="宋体"/>
          <w:color w:val="auto"/>
          <w:szCs w:val="21"/>
        </w:rPr>
        <w:t xml:space="preserve">    3.2.4 承包人无正当理由拒绝更换项目经理的违约责任：</w:t>
      </w:r>
      <w:r>
        <w:rPr>
          <w:rFonts w:hint="eastAsia" w:ascii="宋体" w:hAnsi="宋体" w:cs="宋体"/>
          <w:color w:val="auto"/>
          <w:szCs w:val="21"/>
          <w:u w:val="single"/>
        </w:rPr>
        <w:t>违约金5万元/人/次</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 承包人人员</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a、书面请示报告；</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b、替换人的技术职称证书、岗位证书、身份证（验证原件，提供复印件）及其工作经历与业绩等有关证明材料。</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当替换人的技术职称、资质和工作经历满足招标文件要求或发包人认为可以接受时，发包人可以给予批准。当发包人认为项目经理或其他人员不能胜任该工作，有权要求承包人无条件更换。</w:t>
      </w:r>
    </w:p>
    <w:p>
      <w:pPr>
        <w:pStyle w:val="79"/>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none"/>
          <w:lang w:val="en-US" w:eastAsia="zh-CN" w:bidi="ar-SA"/>
        </w:rPr>
        <w:t>3.3.2  承包人需更换主要施工管理人员的，继任人员的数量、注册执业资格、管理经验的约定</w:t>
      </w:r>
      <w:r>
        <w:rPr>
          <w:rFonts w:hint="eastAsia" w:ascii="宋体" w:hAnsi="宋体" w:eastAsia="宋体" w:cs="宋体"/>
          <w:color w:val="auto"/>
          <w:kern w:val="2"/>
          <w:sz w:val="21"/>
          <w:szCs w:val="21"/>
          <w:u w:val="single"/>
          <w:lang w:val="en-US" w:eastAsia="zh-CN" w:bidi="ar-SA"/>
        </w:rPr>
        <w:t>：不得低于现任。</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违约金2万元/人/次    。</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 xml:space="preserve">3.3.4 承包人主要施工管理人员离开施工现场的批准要求：   </w:t>
      </w:r>
      <w:r>
        <w:rPr>
          <w:rFonts w:hint="eastAsia" w:ascii="宋体" w:hAnsi="宋体" w:cs="宋体"/>
          <w:color w:val="auto"/>
          <w:szCs w:val="21"/>
          <w:u w:val="single"/>
        </w:rPr>
        <w:t>由监理工程师批准，发包人同意           。</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 xml:space="preserve">违约金2万元/人/次 </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 xml:space="preserve"> 处以500元/人/次的违约金       。</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bookmarkStart w:id="506" w:name="_Toc296890987"/>
      <w:bookmarkStart w:id="507" w:name="_Toc312677988"/>
      <w:bookmarkStart w:id="508" w:name="_Toc303539102"/>
      <w:bookmarkStart w:id="509" w:name="_Toc297120459"/>
      <w:bookmarkStart w:id="510" w:name="_Toc292559364"/>
      <w:bookmarkStart w:id="511" w:name="_Toc296346660"/>
      <w:bookmarkStart w:id="512" w:name="_Toc297216151"/>
      <w:bookmarkStart w:id="513" w:name="_Toc292559869"/>
      <w:bookmarkStart w:id="514" w:name="_Toc297123492"/>
      <w:bookmarkStart w:id="515" w:name="_Toc300934945"/>
      <w:bookmarkStart w:id="516" w:name="_Toc296347158"/>
      <w:bookmarkStart w:id="517" w:name="_Toc296503159"/>
      <w:bookmarkStart w:id="518" w:name="_Toc296891199"/>
      <w:bookmarkStart w:id="519" w:name="_Toc304295523"/>
      <w:bookmarkStart w:id="520" w:name="_Toc296944498"/>
      <w:bookmarkStart w:id="521" w:name="_Toc297048345"/>
      <w:r>
        <w:rPr>
          <w:rFonts w:hint="eastAsia" w:ascii="宋体" w:hAnsi="宋体" w:cs="宋体"/>
          <w:color w:val="auto"/>
          <w:szCs w:val="21"/>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bookmarkStart w:id="522" w:name="_Toc303539103"/>
      <w:bookmarkStart w:id="523" w:name="_Toc296891200"/>
      <w:bookmarkStart w:id="524" w:name="_Toc297123493"/>
      <w:bookmarkStart w:id="525" w:name="_Toc296890988"/>
      <w:bookmarkStart w:id="526" w:name="_Toc297216152"/>
      <w:bookmarkStart w:id="527" w:name="_Toc296346661"/>
      <w:bookmarkStart w:id="528" w:name="_Toc292559365"/>
      <w:bookmarkStart w:id="529" w:name="_Toc300934946"/>
      <w:bookmarkStart w:id="530" w:name="_Toc304295524"/>
      <w:bookmarkStart w:id="531" w:name="_Toc296944499"/>
      <w:bookmarkStart w:id="532" w:name="_Toc292559870"/>
      <w:bookmarkStart w:id="533" w:name="_Toc296503160"/>
      <w:bookmarkStart w:id="534" w:name="_Toc296347159"/>
      <w:bookmarkStart w:id="535" w:name="_Toc297048346"/>
      <w:bookmarkStart w:id="536" w:name="_Toc297120460"/>
      <w:bookmarkStart w:id="537" w:name="_Toc312677989"/>
      <w:bookmarkStart w:id="538" w:name="_Toc318581158"/>
      <w:r>
        <w:rPr>
          <w:rFonts w:hint="eastAsia" w:ascii="宋体" w:hAnsi="宋体" w:cs="宋体"/>
          <w:color w:val="auto"/>
          <w:szCs w:val="21"/>
        </w:rPr>
        <w:t>.5.1 分包的一般约定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7216153"/>
      <w:bookmarkStart w:id="540" w:name="_Toc296890989"/>
      <w:bookmarkStart w:id="541" w:name="_Toc296346662"/>
      <w:bookmarkStart w:id="542" w:name="_Toc297123494"/>
      <w:bookmarkStart w:id="543" w:name="_Toc296891201"/>
      <w:bookmarkStart w:id="544" w:name="_Toc296944500"/>
      <w:bookmarkStart w:id="545" w:name="_Toc300934947"/>
      <w:bookmarkStart w:id="546" w:name="_Toc296347160"/>
      <w:bookmarkStart w:id="547" w:name="_Toc297120461"/>
      <w:bookmarkStart w:id="548" w:name="_Toc304295525"/>
      <w:bookmarkStart w:id="549" w:name="_Toc296503161"/>
      <w:bookmarkStart w:id="550" w:name="_Toc303539104"/>
      <w:bookmarkStart w:id="551" w:name="_Toc297048347"/>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Pr>
        <w:snapToGrid w:val="0"/>
        <w:spacing w:line="360" w:lineRule="auto"/>
        <w:rPr>
          <w:rFonts w:ascii="宋体" w:hAnsi="宋体" w:cs="宋体"/>
          <w:color w:val="auto"/>
          <w:szCs w:val="21"/>
        </w:rPr>
      </w:pPr>
      <w:r>
        <w:rPr>
          <w:rFonts w:hint="eastAsia" w:ascii="宋体" w:hAnsi="宋体" w:cs="宋体"/>
          <w:color w:val="auto"/>
          <w:szCs w:val="21"/>
        </w:rPr>
        <w:t xml:space="preserve">    3</w:t>
      </w:r>
      <w:bookmarkStart w:id="552" w:name="_Toc312677990"/>
      <w:bookmarkStart w:id="553" w:name="_Toc318581159"/>
      <w:r>
        <w:rPr>
          <w:rFonts w:hint="eastAsia" w:ascii="宋体" w:hAnsi="宋体" w:cs="宋体"/>
          <w:color w:val="auto"/>
          <w:szCs w:val="21"/>
        </w:rPr>
        <w:t>.5.2分包的确定</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其他关于分包的约定：</w:t>
      </w:r>
      <w:r>
        <w:rPr>
          <w:rFonts w:hint="eastAsia" w:ascii="宋体" w:hAnsi="宋体" w:cs="宋体"/>
          <w:color w:val="auto"/>
          <w:szCs w:val="21"/>
          <w:u w:val="single"/>
        </w:rPr>
        <w:t>分包单位必须经发包人书面同意后方可与总包单位签订专业分包协议。分包工程进度必须符合总进度计划要求。承包人不得以任何形式进行转包，如发生转包的或非法分包的，发包人将上报建设行政主管部门依法处置并扣缴其履约担保。在合同执行过程中，若发现存在下列情况的视作转包或非法分包：</w:t>
      </w:r>
    </w:p>
    <w:p>
      <w:pPr>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1）承包人不履行合同约定的工期，成本、质量，安全生产等责任和义务，将其承包的全部建设工程转给他人承包的。</w:t>
      </w:r>
    </w:p>
    <w:p>
      <w:pPr>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2）承包人将其承包的全部建设工程肢解后，以分包名义转给他人承包的。</w:t>
      </w:r>
    </w:p>
    <w:p>
      <w:pPr>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3）承包人将主体结构工程转给他人承包的。</w:t>
      </w:r>
    </w:p>
    <w:p>
      <w:pPr>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4）施工承包人未在施工现场设立项目管理机构和派驻相应人员进行组织管理的。或者施工现场的项目经理及主要工程管理人员与承包人之间无劳动合同及社会保险关系。</w:t>
      </w:r>
    </w:p>
    <w:p>
      <w:pPr>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5）施工现场的项目经理及主要管理人员与合同约定的项目经理及主要管理人员不符。</w:t>
      </w:r>
    </w:p>
    <w:p>
      <w:pPr>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6）实行工程总承包或施工总承包的工程，总承包人和总承包人范围内的分包工程，发包人为两个独立发包单位。</w:t>
      </w:r>
    </w:p>
    <w:p>
      <w:pPr>
        <w:snapToGrid w:val="0"/>
        <w:spacing w:line="360" w:lineRule="auto"/>
        <w:rPr>
          <w:rFonts w:ascii="宋体" w:hAnsi="宋体" w:cs="宋体"/>
          <w:color w:val="auto"/>
          <w:szCs w:val="21"/>
        </w:rPr>
      </w:pPr>
      <w:r>
        <w:rPr>
          <w:rFonts w:hint="eastAsia" w:ascii="宋体" w:hAnsi="宋体" w:cs="宋体"/>
          <w:color w:val="auto"/>
          <w:szCs w:val="21"/>
          <w:u w:val="single"/>
        </w:rPr>
        <w:t>7）承包人将工程分包给不具备相应资质条件的单位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3.5.4 分包合同价款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（实行分包单位农民工工资委托施工总承包单位代发制度）</w:t>
      </w:r>
      <w:r>
        <w:rPr>
          <w:rFonts w:hint="eastAsia" w:ascii="宋体" w:hAnsi="宋体" w:cs="宋体"/>
          <w:color w:val="auto"/>
          <w:szCs w:val="21"/>
        </w:rPr>
        <w:t>。</w:t>
      </w:r>
    </w:p>
    <w:bookmarkEnd w:id="552"/>
    <w:bookmarkEnd w:id="553"/>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3.6 工程照管与成品、半成品保护</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color w:val="auto"/>
          <w:kern w:val="0"/>
          <w:szCs w:val="21"/>
          <w:u w:val="single"/>
        </w:rPr>
        <w:t xml:space="preserve"> 按通用合同条款约定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3.7 履约担保</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承包人是否提供履约担保：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是</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承包人提供履约担保的形式、金额及期限的：</w:t>
      </w:r>
      <w:r>
        <w:rPr>
          <w:rFonts w:hint="eastAsia" w:ascii="宋体" w:hAnsi="宋体" w:cs="宋体"/>
          <w:color w:val="auto"/>
          <w:szCs w:val="21"/>
          <w:u w:val="single"/>
        </w:rPr>
        <w:t>采用以下第（3）</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种方式：</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（1）保证保险，金额及期限为：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（2）银行保函，金额及期限为：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（3）其他方式: 本工程要求承包人提供的履约担保金额为合同总价的1%（采用支票、汇票、转帐、银行保函、保险机构保证保险保单或融资担保公司保函等）；在合同签订后7天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履约担保划分如下：其中工程质量履约担保占履约担保总额的20%，工期履约担保占履约担保总额的40%，安全、文明施工履约担保占履约担保总额的20%，项目班组履约担保占履约担保总额的20%。</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银行保函从签订本合同至竣工验收合格后90天内有效。</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履约担保的退还：承包人完成全部合同约定内容，合同履约期间无违约行为，一次性竣工验收合格的，则在工程竣工验收合格后10日内，发包人退还履约担保（无息）</w:t>
      </w:r>
      <w:r>
        <w:rPr>
          <w:rFonts w:hint="eastAsia" w:ascii="宋体" w:hAnsi="宋体" w:cs="宋体"/>
          <w:color w:val="auto"/>
          <w:szCs w:val="21"/>
        </w:rPr>
        <w:t>。</w:t>
      </w:r>
    </w:p>
    <w:p>
      <w:pPr>
        <w:pStyle w:val="7"/>
        <w:snapToGrid w:val="0"/>
        <w:spacing w:before="0" w:after="0" w:line="360" w:lineRule="auto"/>
        <w:rPr>
          <w:rFonts w:ascii="宋体" w:hAnsi="宋体" w:eastAsia="宋体" w:cs="宋体"/>
          <w:b w:val="0"/>
          <w:color w:val="auto"/>
          <w:sz w:val="21"/>
          <w:szCs w:val="21"/>
        </w:rPr>
      </w:pPr>
      <w:bookmarkStart w:id="554" w:name="_Toc351203636"/>
      <w:r>
        <w:rPr>
          <w:rFonts w:hint="eastAsia" w:ascii="宋体" w:hAnsi="宋体" w:eastAsia="宋体" w:cs="宋体"/>
          <w:b w:val="0"/>
          <w:color w:val="auto"/>
          <w:sz w:val="21"/>
          <w:szCs w:val="21"/>
        </w:rPr>
        <w:t>4</w:t>
      </w:r>
      <w:bookmarkStart w:id="555" w:name="_Toc296503162"/>
      <w:bookmarkStart w:id="556" w:name="_Toc292559366"/>
      <w:bookmarkStart w:id="557" w:name="_Toc297120462"/>
      <w:bookmarkStart w:id="558" w:name="_Toc267251413"/>
      <w:bookmarkStart w:id="559" w:name="_Toc296891202"/>
      <w:bookmarkStart w:id="560" w:name="_Toc292559871"/>
      <w:bookmarkStart w:id="561" w:name="_Toc297048348"/>
      <w:bookmarkStart w:id="562" w:name="_Toc296346663"/>
      <w:bookmarkStart w:id="563" w:name="_Toc296347161"/>
      <w:bookmarkStart w:id="564" w:name="_Toc296944501"/>
      <w:bookmarkStart w:id="565" w:name="_Toc296890990"/>
      <w:r>
        <w:rPr>
          <w:rFonts w:hint="eastAsia" w:ascii="宋体" w:hAnsi="宋体" w:eastAsia="宋体" w:cs="宋体"/>
          <w:b w:val="0"/>
          <w:color w:val="auto"/>
          <w:sz w:val="21"/>
          <w:szCs w:val="21"/>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color w:val="auto"/>
          <w:sz w:val="21"/>
          <w:szCs w:val="21"/>
        </w:rPr>
        <w:t>理人</w:t>
      </w:r>
      <w:bookmarkEnd w:id="55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4.1监理人的一般规定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 xml:space="preserve">   详见监理合同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 xml:space="preserve">    详见监理合同   </w:t>
      </w:r>
      <w:r>
        <w:rPr>
          <w:rFonts w:hint="eastAsia" w:ascii="宋体" w:hAnsi="宋体" w:cs="宋体"/>
          <w:color w:val="auto"/>
          <w:szCs w:val="21"/>
        </w:rPr>
        <w:t xml:space="preserve">。 </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 xml:space="preserve">                                                </w:t>
      </w:r>
    </w:p>
    <w:p>
      <w:pPr>
        <w:snapToGrid w:val="0"/>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 监理人员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总监理工程师：</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4.4 商定或确定</w:t>
      </w:r>
    </w:p>
    <w:p>
      <w:pPr>
        <w:snapToGrid w:val="0"/>
        <w:spacing w:line="360" w:lineRule="auto"/>
        <w:ind w:firstLine="420" w:firstLineChars="200"/>
        <w:rPr>
          <w:rFonts w:ascii="宋体" w:hAnsi="宋体" w:cs="宋体"/>
          <w:color w:val="auto"/>
          <w:szCs w:val="21"/>
        </w:rPr>
      </w:pPr>
      <w:bookmarkStart w:id="566" w:name="_Toc267251418"/>
      <w:r>
        <w:rPr>
          <w:rFonts w:hint="eastAsia" w:ascii="宋体" w:hAnsi="宋体" w:cs="宋体"/>
          <w:color w:val="auto"/>
          <w:szCs w:val="21"/>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pPr>
        <w:pStyle w:val="7"/>
        <w:snapToGrid w:val="0"/>
        <w:spacing w:before="0" w:after="0" w:line="360" w:lineRule="auto"/>
        <w:rPr>
          <w:rFonts w:ascii="宋体" w:hAnsi="宋体" w:eastAsia="宋体" w:cs="宋体"/>
          <w:b w:val="0"/>
          <w:color w:val="auto"/>
          <w:sz w:val="21"/>
          <w:szCs w:val="21"/>
        </w:rPr>
      </w:pPr>
      <w:bookmarkStart w:id="567" w:name="_Toc351203637"/>
      <w:r>
        <w:rPr>
          <w:rFonts w:hint="eastAsia" w:ascii="宋体" w:hAnsi="宋体" w:eastAsia="宋体" w:cs="宋体"/>
          <w:b w:val="0"/>
          <w:color w:val="auto"/>
          <w:sz w:val="21"/>
          <w:szCs w:val="21"/>
        </w:rPr>
        <w:t>5</w:t>
      </w:r>
      <w:bookmarkEnd w:id="566"/>
      <w:bookmarkStart w:id="568" w:name="_Toc292559872"/>
      <w:bookmarkStart w:id="569" w:name="_Toc296944502"/>
      <w:bookmarkStart w:id="570" w:name="_Toc296891203"/>
      <w:bookmarkStart w:id="571" w:name="_Toc296347162"/>
      <w:bookmarkStart w:id="572" w:name="_Toc296503163"/>
      <w:bookmarkStart w:id="573" w:name="_Toc296346664"/>
      <w:bookmarkStart w:id="574" w:name="_Toc297048349"/>
      <w:bookmarkStart w:id="575" w:name="_Toc292559367"/>
      <w:bookmarkStart w:id="576" w:name="_Toc296890991"/>
      <w:bookmarkStart w:id="577" w:name="_Toc297120463"/>
      <w:r>
        <w:rPr>
          <w:rFonts w:hint="eastAsia" w:ascii="宋体" w:hAnsi="宋体" w:eastAsia="宋体" w:cs="宋体"/>
          <w:b w:val="0"/>
          <w:color w:val="auto"/>
          <w:sz w:val="21"/>
          <w:szCs w:val="21"/>
        </w:rPr>
        <w:t>. 工程质量</w:t>
      </w:r>
      <w:bookmarkEnd w:id="567"/>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5.1 质量要求</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5</w:t>
      </w:r>
      <w:bookmarkStart w:id="578" w:name="_Toc318581164"/>
      <w:bookmarkStart w:id="579" w:name="_Toc312677997"/>
      <w:bookmarkStart w:id="580" w:name="_Toc297216155"/>
      <w:bookmarkStart w:id="581" w:name="_Toc297123496"/>
      <w:bookmarkStart w:id="582" w:name="_Toc300934949"/>
      <w:bookmarkStart w:id="583" w:name="_Toc303539106"/>
      <w:bookmarkStart w:id="584" w:name="_Toc304295527"/>
      <w:r>
        <w:rPr>
          <w:rFonts w:hint="eastAsia" w:ascii="宋体" w:hAnsi="宋体" w:cs="宋体"/>
          <w:color w:val="auto"/>
          <w:szCs w:val="21"/>
        </w:rPr>
        <w:t>.1.1 特殊质量标准和要求：</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5.3 隐蔽工程检查</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single"/>
        </w:rPr>
        <w:t>承包人应在共同检查前48小时书面通知监理人。施工期间，承包人应严格实行隐蔽工程验收制度，如有未经监理方验收自行隐蔽，监理和发包人有权要求复验，所有费用由承包人承担，发包人有权视情节轻重对承包人处以1万元/次的违约金。施工期间，承包人应严格遵守建设集团相关工程管理制度，若有费用产生由承包人承担，发包人有权视情节轻重对承包人按制度处以违约金  。</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监理人不能按时进行检查时，应提前 24小时提交书面延期要求。</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关于延期最长不得超过： 48小时。</w:t>
      </w:r>
    </w:p>
    <w:p>
      <w:pPr>
        <w:pStyle w:val="7"/>
        <w:snapToGrid w:val="0"/>
        <w:spacing w:before="0" w:after="0" w:line="360" w:lineRule="auto"/>
        <w:rPr>
          <w:rFonts w:ascii="宋体" w:hAnsi="宋体" w:eastAsia="宋体" w:cs="宋体"/>
          <w:b w:val="0"/>
          <w:color w:val="auto"/>
          <w:sz w:val="21"/>
          <w:szCs w:val="21"/>
        </w:rPr>
      </w:pPr>
      <w:bookmarkStart w:id="585" w:name="_Toc351203638"/>
      <w:r>
        <w:rPr>
          <w:rFonts w:hint="eastAsia" w:ascii="宋体" w:hAnsi="宋体" w:eastAsia="宋体" w:cs="宋体"/>
          <w:b w:val="0"/>
          <w:color w:val="auto"/>
          <w:sz w:val="21"/>
          <w:szCs w:val="21"/>
        </w:rPr>
        <w:t>6. 安全文明施工与环境保护</w:t>
      </w:r>
      <w:bookmarkEnd w:id="585"/>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6.1安全文明施工</w:t>
      </w:r>
    </w:p>
    <w:p>
      <w:pPr>
        <w:snapToGrid w:val="0"/>
        <w:spacing w:line="360" w:lineRule="auto"/>
        <w:jc w:val="left"/>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项目安全生产的达标目标及相应事项的约定：施工现场按照《建筑施工安全检查标准》（JGJ59-2011）评定达到“合格”标准</w:t>
      </w:r>
      <w:r>
        <w:rPr>
          <w:rFonts w:hint="eastAsia" w:ascii="宋体" w:hAnsi="宋体" w:cs="宋体"/>
          <w:color w:val="auto"/>
          <w:szCs w:val="21"/>
        </w:rPr>
        <w:t>。</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6.1.4 关于治安保卫的特别约定：</w:t>
      </w:r>
      <w:r>
        <w:rPr>
          <w:rFonts w:hint="eastAsia" w:ascii="宋体" w:hAnsi="宋体" w:cs="宋体"/>
          <w:color w:val="auto"/>
          <w:szCs w:val="21"/>
          <w:u w:val="single"/>
        </w:rPr>
        <w:t>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关于编制施工场地治安管理计划的约定： 由承包人负责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6.1.5 文明施工</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合同当事人对文明施工的要求：</w:t>
      </w:r>
      <w:r>
        <w:rPr>
          <w:rFonts w:hint="eastAsia" w:ascii="宋体" w:hAnsi="宋体" w:cs="宋体"/>
          <w:color w:val="auto"/>
          <w:szCs w:val="21"/>
          <w:u w:val="single"/>
        </w:rPr>
        <w:t>（1）遵守地方政府和有关部门对施工场地交通、环卫、安全和施工噪音等管理规定，并办理相关审批手续。</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（2）承包人应采取有效措施尽量减小尘土和噪音污染，需要进行夜间作业时应经有关部门批准。</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其他：文明施工按《2018年全市建设工程文明施工和扬尘管控水平提升专项行动实施方案&gt;的通知》（杭建文领办（2018）1号）、杭建监总（2003）38号关于实施《杭州市市政建设工地安全生产、文明施工管理实施细则（试行）的通知》及文明工地杭建监总[2011]21号《关于打造“文明工地”创建全国文明城市活动实施方案》执行，否则若造成工程损失或人身伤害，由承包人承担全部责任及费用。</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（4）本项目文明施工标准按《房屋市政工程文明施工标准化指导图集（2.0 版）》杭建投办[2021]29 号要求进行实施。若未按发包人要求实施的，按 1200 元/m 标准处以违约金。同时发包人有权另行委托其他单位做围挡。</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（5）上述手续办理费用约定如下：由承包人自行承担，在结算时不予调整  </w:t>
      </w:r>
      <w:r>
        <w:rPr>
          <w:rFonts w:hint="eastAsia" w:ascii="宋体" w:hAnsi="宋体" w:cs="宋体"/>
          <w:color w:val="auto"/>
          <w:szCs w:val="21"/>
        </w:rPr>
        <w:t>。</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6.1.6 关于安全文明施工费支付比例和支付期限的约定：</w:t>
      </w:r>
      <w:r>
        <w:rPr>
          <w:rFonts w:hint="eastAsia" w:ascii="宋体" w:hAnsi="宋体" w:cs="宋体"/>
          <w:color w:val="auto"/>
          <w:szCs w:val="21"/>
          <w:u w:val="single"/>
        </w:rPr>
        <w:t>按以下第（ 1）种方式约定：</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（1）发包人应在开工后28天内预付安全文明施工费总额的60%，剩余部分支付按以下第（ ①）种方式约定：</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①视相关措施的落实情况与进度款同期支付。</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②其他：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（2）其他：                                       。</w:t>
      </w:r>
    </w:p>
    <w:bookmarkEnd w:id="578"/>
    <w:bookmarkEnd w:id="579"/>
    <w:bookmarkEnd w:id="580"/>
    <w:bookmarkEnd w:id="581"/>
    <w:bookmarkEnd w:id="582"/>
    <w:bookmarkEnd w:id="583"/>
    <w:bookmarkEnd w:id="584"/>
    <w:p>
      <w:pPr>
        <w:pStyle w:val="7"/>
        <w:snapToGrid w:val="0"/>
        <w:spacing w:before="0" w:after="0" w:line="360" w:lineRule="auto"/>
        <w:rPr>
          <w:rFonts w:ascii="宋体" w:hAnsi="宋体" w:eastAsia="宋体" w:cs="宋体"/>
          <w:b w:val="0"/>
          <w:color w:val="auto"/>
          <w:sz w:val="21"/>
          <w:szCs w:val="21"/>
        </w:rPr>
      </w:pPr>
      <w:bookmarkStart w:id="586" w:name="_Toc351203639"/>
      <w:r>
        <w:rPr>
          <w:rFonts w:hint="eastAsia" w:ascii="宋体" w:hAnsi="宋体" w:eastAsia="宋体" w:cs="宋体"/>
          <w:b w:val="0"/>
          <w:color w:val="auto"/>
          <w:sz w:val="21"/>
          <w:szCs w:val="21"/>
        </w:rPr>
        <w:t>7. 工期和进度</w:t>
      </w:r>
      <w:bookmarkEnd w:id="586"/>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7.1 施工组织设计</w:t>
      </w:r>
    </w:p>
    <w:p>
      <w:pPr>
        <w:autoSpaceDE w:val="0"/>
        <w:autoSpaceDN w:val="0"/>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szCs w:val="21"/>
          <w:u w:val="single"/>
        </w:rPr>
        <w:t xml:space="preserve">   </w:t>
      </w:r>
    </w:p>
    <w:p>
      <w:pPr>
        <w:autoSpaceDE w:val="0"/>
        <w:autoSpaceDN w:val="0"/>
        <w:snapToGrid w:val="0"/>
        <w:spacing w:line="360" w:lineRule="auto"/>
        <w:jc w:val="left"/>
        <w:rPr>
          <w:rFonts w:ascii="宋体" w:hAnsi="宋体" w:cs="宋体"/>
          <w:color w:val="auto"/>
          <w:kern w:val="0"/>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合同签订后（7）天内提供详细施工组织设计（施工方案）和进度计划。</w:t>
      </w:r>
    </w:p>
    <w:p>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发包人和监理人在收到详细的施工组织设计后确认或提出修改意见的期限：收到该计划后的14天内审查同意或提出修改意见。发包人提出修改意见的，承包人应按照发包人提出的修改意见实施  。</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587" w:name="_Toc304295541"/>
      <w:bookmarkStart w:id="588" w:name="_Toc303539123"/>
      <w:bookmarkStart w:id="589" w:name="_Toc297123514"/>
      <w:bookmarkStart w:id="590" w:name="_Toc300934966"/>
      <w:bookmarkStart w:id="591" w:name="_Toc297216173"/>
      <w:bookmarkStart w:id="592" w:name="_Toc312677479"/>
      <w:bookmarkStart w:id="593" w:name="_Toc312678005"/>
      <w:r>
        <w:rPr>
          <w:rFonts w:hint="eastAsia" w:ascii="宋体" w:hAnsi="宋体" w:cs="宋体"/>
          <w:color w:val="auto"/>
          <w:szCs w:val="21"/>
        </w:rPr>
        <w:t>.2 施工进度计划</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7.2.2 施工进度计划的修订</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single"/>
        </w:rPr>
        <w:t xml:space="preserve"> 14天内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7.3 开工</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7.3.1 开工准备</w:t>
      </w:r>
    </w:p>
    <w:p>
      <w:pPr>
        <w:snapToGrid w:val="0"/>
        <w:spacing w:line="360" w:lineRule="auto"/>
        <w:ind w:firstLine="645"/>
        <w:jc w:val="left"/>
        <w:rPr>
          <w:rFonts w:ascii="宋体" w:hAnsi="宋体" w:cs="宋体"/>
          <w:color w:val="auto"/>
          <w:szCs w:val="21"/>
          <w:u w:val="single"/>
        </w:rPr>
      </w:pPr>
      <w:r>
        <w:rPr>
          <w:rFonts w:hint="eastAsia" w:ascii="宋体" w:hAnsi="宋体" w:cs="宋体"/>
          <w:color w:val="auto"/>
          <w:szCs w:val="21"/>
        </w:rPr>
        <w:t>关于承包人提交</w:t>
      </w:r>
      <w:r>
        <w:rPr>
          <w:rFonts w:hint="eastAsia" w:ascii="宋体" w:hAnsi="宋体" w:cs="宋体"/>
          <w:color w:val="auto"/>
          <w:kern w:val="0"/>
          <w:szCs w:val="21"/>
        </w:rPr>
        <w:t>工程开工报审表的期限：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10天内</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开工前</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开工前</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7.3.2开工通知</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 xml:space="preserve">     </w:t>
      </w:r>
      <w:r>
        <w:rPr>
          <w:rFonts w:hint="eastAsia" w:ascii="宋体" w:hAnsi="宋体" w:cs="宋体"/>
          <w:color w:val="auto"/>
          <w:szCs w:val="21"/>
        </w:rPr>
        <w:t>天内发出开工通知的，承包人有权提出价格调整要求，或者解除合同。</w:t>
      </w:r>
    </w:p>
    <w:bookmarkEnd w:id="587"/>
    <w:bookmarkEnd w:id="588"/>
    <w:bookmarkEnd w:id="589"/>
    <w:bookmarkEnd w:id="590"/>
    <w:bookmarkEnd w:id="591"/>
    <w:bookmarkEnd w:id="592"/>
    <w:bookmarkEnd w:id="593"/>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7.4 测量放线</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 xml:space="preserve">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594" w:name="_Toc297216175"/>
      <w:bookmarkStart w:id="595" w:name="_Toc297123516"/>
      <w:bookmarkStart w:id="596" w:name="_Toc303539125"/>
      <w:bookmarkStart w:id="597" w:name="_Toc300934968"/>
      <w:bookmarkStart w:id="598" w:name="_Toc312678010"/>
      <w:bookmarkStart w:id="599" w:name="_Toc312677484"/>
      <w:bookmarkStart w:id="600" w:name="_Toc304295546"/>
      <w:r>
        <w:rPr>
          <w:rFonts w:hint="eastAsia" w:ascii="宋体" w:hAnsi="宋体" w:cs="宋体"/>
          <w:color w:val="auto"/>
          <w:szCs w:val="21"/>
        </w:rPr>
        <w:t>.5 工期延误</w:t>
      </w:r>
    </w:p>
    <w:bookmarkEnd w:id="594"/>
    <w:bookmarkEnd w:id="595"/>
    <w:bookmarkEnd w:id="596"/>
    <w:bookmarkEnd w:id="597"/>
    <w:bookmarkEnd w:id="598"/>
    <w:bookmarkEnd w:id="599"/>
    <w:bookmarkEnd w:id="600"/>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7.5.1 因发包人原因导致工期延误</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（7）因发包人原因导致工期延误的其他情形：</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①重大设计变更引起的工期延误；</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②其他：      /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w:t>
      </w:r>
      <w:bookmarkStart w:id="601" w:name="_Toc318581169"/>
      <w:bookmarkStart w:id="602" w:name="_Toc312677486"/>
      <w:bookmarkStart w:id="603" w:name="_Toc312678012"/>
      <w:bookmarkStart w:id="604" w:name="_Toc304295548"/>
      <w:bookmarkStart w:id="605" w:name="_Toc300934970"/>
      <w:bookmarkStart w:id="606" w:name="_Toc297216177"/>
      <w:bookmarkStart w:id="607" w:name="_Toc297123518"/>
      <w:bookmarkStart w:id="608" w:name="_Toc303539127"/>
      <w:r>
        <w:rPr>
          <w:rFonts w:hint="eastAsia" w:ascii="宋体" w:hAnsi="宋体" w:cs="宋体"/>
          <w:color w:val="auto"/>
          <w:szCs w:val="21"/>
        </w:rPr>
        <w:t>.5.2 因承包人原因导致工期延误</w:t>
      </w:r>
    </w:p>
    <w:bookmarkEnd w:id="601"/>
    <w:bookmarkEnd w:id="602"/>
    <w:bookmarkEnd w:id="603"/>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w:t>
      </w:r>
      <w:bookmarkStart w:id="609" w:name="_Toc312678013"/>
      <w:bookmarkStart w:id="610" w:name="_Toc312677487"/>
      <w:bookmarkStart w:id="611" w:name="_Toc318581170"/>
      <w:r>
        <w:rPr>
          <w:rFonts w:hint="eastAsia" w:ascii="宋体" w:hAnsi="宋体" w:cs="宋体"/>
          <w:color w:val="auto"/>
          <w:szCs w:val="21"/>
        </w:rPr>
        <w:t>承包人原因造成工期延误，逾期竣工违约金的计算方法为：</w:t>
      </w:r>
      <w:r>
        <w:rPr>
          <w:rFonts w:hint="eastAsia" w:ascii="宋体" w:hAnsi="宋体" w:cs="宋体"/>
          <w:color w:val="auto"/>
          <w:szCs w:val="21"/>
          <w:u w:val="single"/>
        </w:rPr>
        <w:t xml:space="preserve"> 除扣除全部工期履约保证金，工期每拖延一天再处以合同价的0.02%的违约金, 如因承包人自身原因造成工期严重滞后，又无明显改进措施的，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color w:val="auto"/>
          <w:szCs w:val="21"/>
        </w:rPr>
        <w:t>。</w:t>
      </w:r>
      <w:bookmarkEnd w:id="604"/>
      <w:bookmarkEnd w:id="605"/>
      <w:bookmarkEnd w:id="606"/>
      <w:bookmarkEnd w:id="607"/>
      <w:bookmarkEnd w:id="608"/>
      <w:bookmarkEnd w:id="609"/>
      <w:bookmarkEnd w:id="610"/>
    </w:p>
    <w:bookmarkEnd w:id="611"/>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因承包人原因造成工期延误，逾</w:t>
      </w:r>
      <w:bookmarkStart w:id="612" w:name="_Toc312678014"/>
      <w:bookmarkStart w:id="613" w:name="_Toc318581171"/>
      <w:r>
        <w:rPr>
          <w:rFonts w:hint="eastAsia" w:ascii="宋体" w:hAnsi="宋体" w:cs="宋体"/>
          <w:color w:val="auto"/>
          <w:szCs w:val="21"/>
        </w:rPr>
        <w:t>期竣工违约金的上限：</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bookmarkEnd w:id="612"/>
    <w:bookmarkEnd w:id="613"/>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14" w:name="_Toc297123519"/>
      <w:bookmarkStart w:id="615" w:name="_Toc304295549"/>
      <w:bookmarkStart w:id="616" w:name="_Toc300934971"/>
      <w:bookmarkStart w:id="617" w:name="_Toc312678015"/>
      <w:bookmarkStart w:id="618" w:name="_Toc303539128"/>
      <w:bookmarkStart w:id="619" w:name="_Toc297216178"/>
      <w:r>
        <w:rPr>
          <w:rFonts w:hint="eastAsia" w:ascii="宋体" w:hAnsi="宋体" w:cs="宋体"/>
          <w:color w:val="auto"/>
          <w:szCs w:val="21"/>
        </w:rPr>
        <w:t>.6 不</w:t>
      </w:r>
      <w:bookmarkEnd w:id="614"/>
      <w:bookmarkEnd w:id="615"/>
      <w:bookmarkEnd w:id="616"/>
      <w:bookmarkEnd w:id="617"/>
      <w:bookmarkEnd w:id="618"/>
      <w:bookmarkEnd w:id="619"/>
      <w:r>
        <w:rPr>
          <w:rFonts w:hint="eastAsia" w:ascii="宋体" w:hAnsi="宋体" w:cs="宋体"/>
          <w:color w:val="auto"/>
          <w:szCs w:val="21"/>
        </w:rPr>
        <w:t>利物质条件</w:t>
      </w:r>
    </w:p>
    <w:p>
      <w:pPr>
        <w:snapToGrid w:val="0"/>
        <w:spacing w:line="360" w:lineRule="auto"/>
        <w:jc w:val="left"/>
        <w:rPr>
          <w:rFonts w:hint="eastAsia" w:ascii="宋体" w:hAnsi="宋体" w:cs="宋体"/>
          <w:color w:val="auto"/>
          <w:szCs w:val="21"/>
        </w:rPr>
      </w:pPr>
      <w:bookmarkStart w:id="620" w:name="_Toc297123520"/>
      <w:bookmarkStart w:id="621" w:name="_Toc312678016"/>
      <w:bookmarkStart w:id="622" w:name="_Toc318581172"/>
      <w:bookmarkStart w:id="623" w:name="_Toc303539129"/>
      <w:bookmarkStart w:id="624" w:name="_Toc304295550"/>
      <w:bookmarkStart w:id="625" w:name="_Toc297216179"/>
      <w:bookmarkStart w:id="626" w:name="_Toc300934972"/>
      <w:r>
        <w:rPr>
          <w:rFonts w:hint="eastAsia" w:ascii="宋体" w:hAnsi="宋体" w:cs="宋体"/>
          <w:color w:val="auto"/>
          <w:szCs w:val="21"/>
        </w:rPr>
        <w:t>不利物质条件的其他情形和有关约定：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（1）施工场地周围地下管线；</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（2）地下障碍物和污染物；</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（3）邻近建筑物、构筑物的保护要求；</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（4）其他：                               </w:t>
      </w:r>
      <w:r>
        <w:rPr>
          <w:rFonts w:hint="eastAsia" w:ascii="宋体" w:hAnsi="宋体" w:cs="宋体"/>
          <w:color w:val="auto"/>
          <w:szCs w:val="21"/>
        </w:rPr>
        <w:t>。</w:t>
      </w:r>
    </w:p>
    <w:bookmarkEnd w:id="620"/>
    <w:bookmarkEnd w:id="621"/>
    <w:bookmarkEnd w:id="622"/>
    <w:bookmarkEnd w:id="623"/>
    <w:bookmarkEnd w:id="624"/>
    <w:bookmarkEnd w:id="625"/>
    <w:bookmarkEnd w:id="626"/>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27" w:name="_Toc312678017"/>
      <w:bookmarkStart w:id="628" w:name="_Toc304295551"/>
      <w:bookmarkStart w:id="629" w:name="_Toc297123521"/>
      <w:bookmarkStart w:id="630" w:name="_Toc300934973"/>
      <w:bookmarkStart w:id="631" w:name="_Toc303539130"/>
      <w:bookmarkStart w:id="632" w:name="_Toc297216180"/>
      <w:r>
        <w:rPr>
          <w:rFonts w:hint="eastAsia" w:ascii="宋体" w:hAnsi="宋体" w:cs="宋体"/>
          <w:color w:val="auto"/>
          <w:szCs w:val="21"/>
        </w:rPr>
        <w:t>.7异常恶劣的气候条件</w:t>
      </w:r>
    </w:p>
    <w:bookmarkEnd w:id="627"/>
    <w:bookmarkEnd w:id="628"/>
    <w:bookmarkEnd w:id="629"/>
    <w:bookmarkEnd w:id="630"/>
    <w:bookmarkEnd w:id="631"/>
    <w:bookmarkEnd w:id="632"/>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发包人和承包人同意以下情形视为异常恶劣的气候条件：</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六级以上地震(震中距施工现场五公里内)、海啸、十级以上台风及其他属于承包人不能预见、不能避免并不能克服的客观情况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7.9 提前竣工的奖励</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pStyle w:val="7"/>
        <w:snapToGrid w:val="0"/>
        <w:spacing w:before="0" w:after="0" w:line="360" w:lineRule="auto"/>
        <w:rPr>
          <w:rFonts w:ascii="宋体" w:hAnsi="宋体" w:eastAsia="宋体" w:cs="宋体"/>
          <w:b w:val="0"/>
          <w:color w:val="auto"/>
          <w:sz w:val="21"/>
          <w:szCs w:val="21"/>
        </w:rPr>
      </w:pPr>
      <w:bookmarkStart w:id="633" w:name="_Toc351203640"/>
      <w:r>
        <w:rPr>
          <w:rFonts w:hint="eastAsia" w:ascii="宋体" w:hAnsi="宋体" w:eastAsia="宋体" w:cs="宋体"/>
          <w:b w:val="0"/>
          <w:color w:val="auto"/>
          <w:sz w:val="21"/>
          <w:szCs w:val="21"/>
        </w:rPr>
        <w:t>8. 材料与设备</w:t>
      </w:r>
      <w:bookmarkEnd w:id="633"/>
    </w:p>
    <w:bookmarkEnd w:id="568"/>
    <w:bookmarkEnd w:id="569"/>
    <w:bookmarkEnd w:id="570"/>
    <w:bookmarkEnd w:id="571"/>
    <w:bookmarkEnd w:id="572"/>
    <w:bookmarkEnd w:id="573"/>
    <w:bookmarkEnd w:id="574"/>
    <w:bookmarkEnd w:id="575"/>
    <w:bookmarkEnd w:id="576"/>
    <w:bookmarkEnd w:id="577"/>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w:t>
      </w:r>
      <w:bookmarkStart w:id="634" w:name="_Toc297048353"/>
      <w:bookmarkStart w:id="635" w:name="_Toc312678019"/>
      <w:bookmarkStart w:id="636" w:name="_Toc303539136"/>
      <w:bookmarkStart w:id="637" w:name="_Toc300934979"/>
      <w:bookmarkStart w:id="638" w:name="_Toc296890995"/>
      <w:bookmarkStart w:id="639" w:name="_Toc296891207"/>
      <w:bookmarkStart w:id="640" w:name="_Toc296346668"/>
      <w:bookmarkStart w:id="641" w:name="_Toc297123527"/>
      <w:bookmarkStart w:id="642" w:name="_Toc280868654"/>
      <w:bookmarkStart w:id="643" w:name="_Toc296347166"/>
      <w:bookmarkStart w:id="644" w:name="_Toc297120467"/>
      <w:bookmarkStart w:id="645" w:name="_Toc296503167"/>
      <w:bookmarkStart w:id="646" w:name="_Toc296944506"/>
      <w:bookmarkStart w:id="647" w:name="_Toc304295556"/>
      <w:bookmarkStart w:id="648" w:name="_Toc292559372"/>
      <w:bookmarkStart w:id="649" w:name="_Toc297216186"/>
      <w:bookmarkStart w:id="650" w:name="_Toc292559877"/>
      <w:bookmarkStart w:id="651" w:name="_Toc312677493"/>
      <w:bookmarkStart w:id="652" w:name="_Toc280868656"/>
      <w:bookmarkStart w:id="653" w:name="_Toc280868655"/>
      <w:bookmarkStart w:id="654" w:name="_Toc267251424"/>
      <w:r>
        <w:rPr>
          <w:rFonts w:hint="eastAsia" w:ascii="宋体" w:hAnsi="宋体" w:cs="宋体"/>
          <w:color w:val="auto"/>
          <w:szCs w:val="21"/>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snapToGrid w:val="0"/>
        <w:spacing w:line="360" w:lineRule="auto"/>
        <w:jc w:val="left"/>
        <w:rPr>
          <w:rFonts w:ascii="宋体" w:hAnsi="宋体" w:cs="宋体"/>
          <w:color w:val="auto"/>
          <w:szCs w:val="21"/>
        </w:rPr>
      </w:pPr>
      <w:r>
        <w:rPr>
          <w:rFonts w:hint="eastAsia" w:ascii="宋体" w:hAnsi="宋体" w:cs="宋体"/>
          <w:color w:val="auto"/>
          <w:szCs w:val="21"/>
        </w:rPr>
        <w:t>8</w:t>
      </w:r>
      <w:bookmarkStart w:id="655" w:name="_Toc292559373"/>
      <w:bookmarkStart w:id="656" w:name="_Toc292559878"/>
      <w:bookmarkStart w:id="657" w:name="_Toc304295557"/>
      <w:bookmarkStart w:id="658" w:name="_Toc312678020"/>
      <w:bookmarkStart w:id="659" w:name="_Toc296347167"/>
      <w:bookmarkStart w:id="660" w:name="_Toc296503168"/>
      <w:bookmarkStart w:id="661" w:name="_Toc300934980"/>
      <w:bookmarkStart w:id="662" w:name="_Toc297123528"/>
      <w:bookmarkStart w:id="663" w:name="_Toc296890996"/>
      <w:bookmarkStart w:id="664" w:name="_Toc297120468"/>
      <w:bookmarkStart w:id="665" w:name="_Toc312677494"/>
      <w:bookmarkStart w:id="666" w:name="_Toc297048354"/>
      <w:bookmarkStart w:id="667" w:name="_Toc296944507"/>
      <w:bookmarkStart w:id="668" w:name="_Toc297216187"/>
      <w:bookmarkStart w:id="669" w:name="_Toc303539137"/>
      <w:bookmarkStart w:id="670" w:name="_Toc318581173"/>
      <w:bookmarkStart w:id="671" w:name="_Toc296891208"/>
      <w:bookmarkStart w:id="672" w:name="_Toc296346669"/>
      <w:r>
        <w:rPr>
          <w:rFonts w:hint="eastAsia" w:ascii="宋体" w:hAnsi="宋体" w:cs="宋体"/>
          <w:color w:val="auto"/>
          <w:szCs w:val="21"/>
        </w:rPr>
        <w:t>.4.1发包人供应的材料设备的保管费用的承担：</w:t>
      </w:r>
      <w:r>
        <w:rPr>
          <w:rFonts w:hint="eastAsia" w:ascii="宋体" w:hAnsi="宋体" w:cs="宋体"/>
          <w:color w:val="auto"/>
          <w:szCs w:val="21"/>
          <w:u w:val="single"/>
        </w:rPr>
        <w:t>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发包人供应材料设备的结算方法：按发包人实际采购价和核定承包人领用量在支付工程进度款时扣除</w:t>
      </w:r>
      <w:r>
        <w:rPr>
          <w:rFonts w:hint="eastAsia" w:ascii="宋体" w:hAnsi="宋体" w:cs="宋体"/>
          <w:color w:val="auto"/>
          <w:szCs w:val="21"/>
        </w:rPr>
        <w:t>。</w:t>
      </w:r>
      <w:bookmarkEnd w:id="655"/>
      <w:bookmarkEnd w:id="656"/>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8.6 样品</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8.6.1</w:t>
      </w:r>
      <w:r>
        <w:rPr>
          <w:rFonts w:hint="eastAsia" w:ascii="宋体" w:hAnsi="宋体" w:cs="宋体"/>
          <w:color w:val="auto"/>
          <w:kern w:val="0"/>
          <w:szCs w:val="21"/>
        </w:rPr>
        <w:tab/>
      </w:r>
      <w:r>
        <w:rPr>
          <w:rFonts w:hint="eastAsia" w:ascii="宋体" w:hAnsi="宋体" w:cs="宋体"/>
          <w:color w:val="auto"/>
          <w:kern w:val="0"/>
          <w:szCs w:val="21"/>
        </w:rPr>
        <w:t>样品的报送与封存</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kern w:val="0"/>
          <w:szCs w:val="21"/>
        </w:rPr>
        <w:t>需要承包人报送样品的材料或工程设备，样品的种类、名称、规格、数量要求： 按监理工程师和发包人的要求，费用由承包人承担</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8.8 施工设备和临时设施</w:t>
      </w:r>
    </w:p>
    <w:p>
      <w:pPr>
        <w:autoSpaceDE w:val="0"/>
        <w:autoSpaceDN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8.8.1 承包人提供的施工设备和临时设施</w:t>
      </w:r>
    </w:p>
    <w:p>
      <w:pPr>
        <w:autoSpaceDE w:val="0"/>
        <w:autoSpaceDN w:val="0"/>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承包人承担  </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Pr>
        <w:pStyle w:val="7"/>
        <w:snapToGrid w:val="0"/>
        <w:spacing w:before="0" w:after="0" w:line="360" w:lineRule="auto"/>
        <w:rPr>
          <w:rFonts w:ascii="宋体" w:hAnsi="宋体" w:eastAsia="宋体" w:cs="宋体"/>
          <w:b w:val="0"/>
          <w:color w:val="auto"/>
          <w:sz w:val="21"/>
          <w:szCs w:val="21"/>
        </w:rPr>
      </w:pPr>
      <w:bookmarkStart w:id="673" w:name="_Toc351203641"/>
      <w:r>
        <w:rPr>
          <w:rFonts w:hint="eastAsia" w:ascii="宋体" w:hAnsi="宋体" w:eastAsia="宋体" w:cs="宋体"/>
          <w:b w:val="0"/>
          <w:color w:val="auto"/>
          <w:sz w:val="21"/>
          <w:szCs w:val="21"/>
        </w:rPr>
        <w:t>9</w:t>
      </w:r>
      <w:bookmarkEnd w:id="652"/>
      <w:bookmarkEnd w:id="653"/>
      <w:bookmarkEnd w:id="654"/>
      <w:bookmarkStart w:id="674" w:name="_Toc297216192"/>
      <w:bookmarkStart w:id="675" w:name="_Toc312677495"/>
      <w:bookmarkStart w:id="676" w:name="_Toc297123533"/>
      <w:bookmarkStart w:id="677" w:name="_Toc304295559"/>
      <w:bookmarkStart w:id="678" w:name="_Toc312678021"/>
      <w:bookmarkStart w:id="679" w:name="_Toc303539139"/>
      <w:bookmarkStart w:id="680" w:name="_Toc300934982"/>
      <w:bookmarkStart w:id="681" w:name="_Toc297048359"/>
      <w:bookmarkStart w:id="682" w:name="_Toc296503173"/>
      <w:bookmarkStart w:id="683" w:name="_Toc292559883"/>
      <w:bookmarkStart w:id="684" w:name="_Toc267251428"/>
      <w:bookmarkStart w:id="685" w:name="_Toc296346674"/>
      <w:bookmarkStart w:id="686" w:name="_Toc296944512"/>
      <w:bookmarkStart w:id="687" w:name="_Toc297120473"/>
      <w:bookmarkStart w:id="688" w:name="_Toc292559378"/>
      <w:bookmarkStart w:id="689" w:name="_Toc296891001"/>
      <w:bookmarkStart w:id="690" w:name="_Toc296891213"/>
      <w:bookmarkStart w:id="691" w:name="_Toc267251427"/>
      <w:bookmarkStart w:id="692" w:name="_Toc296347172"/>
      <w:r>
        <w:rPr>
          <w:rFonts w:hint="eastAsia" w:ascii="宋体" w:hAnsi="宋体" w:eastAsia="宋体" w:cs="宋体"/>
          <w:b w:val="0"/>
          <w:color w:val="auto"/>
          <w:sz w:val="21"/>
          <w:szCs w:val="21"/>
        </w:rPr>
        <w:t>. 试验与检验</w:t>
      </w:r>
      <w:bookmarkEnd w:id="673"/>
    </w:p>
    <w:bookmarkEnd w:id="674"/>
    <w:bookmarkEnd w:id="675"/>
    <w:bookmarkEnd w:id="676"/>
    <w:bookmarkEnd w:id="677"/>
    <w:bookmarkEnd w:id="678"/>
    <w:bookmarkEnd w:id="679"/>
    <w:bookmarkEnd w:id="680"/>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w:t>
      </w:r>
      <w:bookmarkStart w:id="693" w:name="_Toc312678022"/>
      <w:bookmarkStart w:id="694" w:name="_Toc304295560"/>
      <w:bookmarkStart w:id="695" w:name="_Toc300934983"/>
      <w:bookmarkStart w:id="696" w:name="_Toc297123534"/>
      <w:bookmarkStart w:id="697" w:name="_Toc312677496"/>
      <w:bookmarkStart w:id="698" w:name="_Toc303539140"/>
      <w:bookmarkStart w:id="699" w:name="_Toc297216193"/>
      <w:r>
        <w:rPr>
          <w:rFonts w:hint="eastAsia" w:ascii="宋体" w:hAnsi="宋体" w:cs="宋体"/>
          <w:color w:val="auto"/>
          <w:szCs w:val="21"/>
        </w:rPr>
        <w:t>.1试验设备与试验人员</w:t>
      </w:r>
    </w:p>
    <w:bookmarkEnd w:id="693"/>
    <w:bookmarkEnd w:id="694"/>
    <w:bookmarkEnd w:id="695"/>
    <w:bookmarkEnd w:id="696"/>
    <w:bookmarkEnd w:id="697"/>
    <w:bookmarkEnd w:id="698"/>
    <w:bookmarkEnd w:id="699"/>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9</w:t>
      </w:r>
      <w:bookmarkStart w:id="700" w:name="_Toc312677497"/>
      <w:bookmarkStart w:id="701" w:name="_Toc304295561"/>
      <w:bookmarkStart w:id="702" w:name="_Toc312678023"/>
      <w:bookmarkStart w:id="703" w:name="_Toc297216194"/>
      <w:bookmarkStart w:id="704" w:name="_Toc303539141"/>
      <w:bookmarkStart w:id="705" w:name="_Toc300934984"/>
      <w:bookmarkStart w:id="706" w:name="_Toc297123535"/>
      <w:bookmarkStart w:id="707" w:name="_Toc318581174"/>
      <w:r>
        <w:rPr>
          <w:rFonts w:hint="eastAsia" w:ascii="宋体" w:hAnsi="宋体" w:cs="宋体"/>
          <w:color w:val="auto"/>
          <w:szCs w:val="21"/>
        </w:rPr>
        <w:t>.1.2 试验设备</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施工现场需要配置的试验场所：</w:t>
      </w:r>
      <w:bookmarkEnd w:id="700"/>
      <w:bookmarkEnd w:id="701"/>
      <w:bookmarkEnd w:id="702"/>
      <w:bookmarkEnd w:id="703"/>
      <w:bookmarkEnd w:id="704"/>
      <w:bookmarkEnd w:id="705"/>
      <w:bookmarkEnd w:id="706"/>
      <w:bookmarkStart w:id="708" w:name="_Toc297123536"/>
      <w:bookmarkStart w:id="709" w:name="_Toc312677498"/>
      <w:bookmarkStart w:id="710" w:name="_Toc297216195"/>
      <w:bookmarkStart w:id="711" w:name="_Toc300934985"/>
      <w:bookmarkStart w:id="712" w:name="_Toc303539142"/>
      <w:bookmarkStart w:id="713" w:name="_Toc304295562"/>
      <w:bookmarkStart w:id="714" w:name="_Toc312678024"/>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 xml:space="preserve">9.4 现场工艺试验 </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bookmarkEnd w:id="707"/>
    <w:bookmarkEnd w:id="708"/>
    <w:bookmarkEnd w:id="709"/>
    <w:bookmarkEnd w:id="710"/>
    <w:bookmarkEnd w:id="711"/>
    <w:bookmarkEnd w:id="712"/>
    <w:bookmarkEnd w:id="713"/>
    <w:bookmarkEnd w:id="714"/>
    <w:p>
      <w:pPr>
        <w:pStyle w:val="7"/>
        <w:snapToGrid w:val="0"/>
        <w:spacing w:before="0" w:after="0" w:line="360" w:lineRule="auto"/>
        <w:rPr>
          <w:rFonts w:ascii="宋体" w:hAnsi="宋体" w:eastAsia="宋体" w:cs="宋体"/>
          <w:b w:val="0"/>
          <w:color w:val="auto"/>
          <w:sz w:val="21"/>
          <w:szCs w:val="21"/>
        </w:rPr>
      </w:pPr>
      <w:bookmarkStart w:id="715" w:name="_Toc351203642"/>
      <w:r>
        <w:rPr>
          <w:rFonts w:hint="eastAsia" w:ascii="宋体" w:hAnsi="宋体" w:eastAsia="宋体" w:cs="宋体"/>
          <w:b w:val="0"/>
          <w:color w:val="auto"/>
          <w:sz w:val="21"/>
          <w:szCs w:val="21"/>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304295566"/>
      <w:bookmarkStart w:id="717" w:name="_Toc296347192"/>
      <w:bookmarkStart w:id="718" w:name="_Toc297216199"/>
      <w:bookmarkStart w:id="719" w:name="_Toc303539146"/>
      <w:bookmarkStart w:id="720" w:name="_Toc296891021"/>
      <w:bookmarkStart w:id="721" w:name="_Toc296944532"/>
      <w:bookmarkStart w:id="722" w:name="_Toc296891233"/>
      <w:bookmarkStart w:id="723" w:name="_Toc300934989"/>
      <w:bookmarkStart w:id="724" w:name="_Toc297123540"/>
      <w:bookmarkStart w:id="725" w:name="_Toc296346694"/>
      <w:bookmarkStart w:id="726" w:name="_Toc292559903"/>
      <w:bookmarkStart w:id="727" w:name="_Toc297048379"/>
      <w:bookmarkStart w:id="728" w:name="_Toc296503193"/>
      <w:bookmarkStart w:id="729" w:name="_Toc297120493"/>
      <w:bookmarkStart w:id="730" w:name="_Toc292559398"/>
      <w:bookmarkStart w:id="731" w:name="_Toc312678025"/>
      <w:bookmarkStart w:id="732" w:name="_Toc312677499"/>
      <w:bookmarkStart w:id="733" w:name="_Toc267251437"/>
      <w:bookmarkStart w:id="734" w:name="_Toc267251439"/>
      <w:bookmarkStart w:id="735" w:name="_Toc267251435"/>
      <w:bookmarkStart w:id="736" w:name="_Toc267251433"/>
      <w:bookmarkStart w:id="737" w:name="_Toc267251441"/>
      <w:bookmarkStart w:id="738" w:name="_Toc267251440"/>
      <w:bookmarkStart w:id="739" w:name="_Toc267251442"/>
      <w:r>
        <w:rPr>
          <w:rFonts w:hint="eastAsia" w:ascii="宋体" w:hAnsi="宋体" w:eastAsia="宋体" w:cs="宋体"/>
          <w:b w:val="0"/>
          <w:color w:val="auto"/>
          <w:sz w:val="21"/>
          <w:szCs w:val="21"/>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bookmarkStart w:id="740" w:name="_Toc292559904"/>
      <w:bookmarkStart w:id="741" w:name="_Toc296891022"/>
      <w:bookmarkStart w:id="742" w:name="_Toc297048380"/>
      <w:bookmarkStart w:id="743" w:name="_Toc296891234"/>
      <w:bookmarkStart w:id="744" w:name="_Toc312678026"/>
      <w:bookmarkStart w:id="745" w:name="_Toc304295567"/>
      <w:bookmarkStart w:id="746" w:name="_Toc312677500"/>
      <w:bookmarkStart w:id="747" w:name="_Toc296503194"/>
      <w:bookmarkStart w:id="748" w:name="_Toc296346695"/>
      <w:bookmarkStart w:id="749" w:name="_Toc300934990"/>
      <w:bookmarkStart w:id="750" w:name="_Toc297120494"/>
      <w:bookmarkStart w:id="751" w:name="_Toc292559399"/>
      <w:bookmarkStart w:id="752" w:name="_Toc297216200"/>
      <w:bookmarkStart w:id="753" w:name="_Toc296944533"/>
      <w:bookmarkStart w:id="754" w:name="_Toc297123541"/>
      <w:bookmarkStart w:id="755" w:name="_Toc303539147"/>
      <w:bookmarkStart w:id="756" w:name="_Toc296347193"/>
      <w:r>
        <w:rPr>
          <w:rFonts w:hint="eastAsia" w:ascii="宋体" w:hAnsi="宋体" w:cs="宋体"/>
          <w:color w:val="auto"/>
          <w:szCs w:val="21"/>
        </w:rPr>
        <w:t>0.1变更的范围</w:t>
      </w:r>
    </w:p>
    <w:p>
      <w:pPr>
        <w:snapToGrid w:val="0"/>
        <w:spacing w:line="360" w:lineRule="auto"/>
        <w:jc w:val="left"/>
        <w:rPr>
          <w:rFonts w:ascii="宋体" w:hAnsi="宋体" w:cs="宋体"/>
          <w:color w:val="auto"/>
          <w:szCs w:val="21"/>
        </w:rPr>
      </w:pPr>
      <w:r>
        <w:rPr>
          <w:rFonts w:hint="eastAsia" w:ascii="宋体" w:hAnsi="宋体" w:cs="宋体"/>
          <w:color w:val="auto"/>
          <w:szCs w:val="21"/>
        </w:rPr>
        <w:t>关于变更的范围的约定：</w:t>
      </w:r>
      <w:r>
        <w:rPr>
          <w:rFonts w:hint="eastAsia" w:ascii="宋体" w:hAnsi="宋体" w:cs="宋体"/>
          <w:color w:val="auto"/>
          <w:szCs w:val="21"/>
          <w:u w:val="single"/>
        </w:rPr>
        <w:t>按通用合同条款约定</w:t>
      </w:r>
      <w:r>
        <w:rPr>
          <w:rFonts w:hint="eastAsia" w:ascii="宋体" w:hAnsi="宋体" w:cs="宋体"/>
          <w:color w:val="auto"/>
          <w:szCs w:val="21"/>
        </w:rPr>
        <w:t>。</w:t>
      </w:r>
    </w:p>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10.4 变更估价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10.4.1 变更估价原则</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关于变更估价的约定:（1）已标价工程量清单或预算书有相同项目的，按照相同项目单价确定。</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（2）已标价工程量清单或预算书中无相同项目，但有类似项目的，参照类似项目的单价确定。</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3）已标价工程量清单或预算书中无相同项目及类似项目单价的，其单价的确定，按以下约定：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③费率：按采用的相应定额取费标准（中值），规费、税金、农民工工伤保险按投标口径执行；</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④优惠幅度：新增综合单价按上述①、②、③原则计算后乘以（1-承包人报价浮动率L）得出结算单价，承包人报价浮动率L=（1-中标价÷招标控制价）×100%。</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⑤当零星工程发生签证人工、机械台班数量，人工和机械台班单价有投标价的执行投标价，无投标价的执行相应定额并按投标口径同比例优惠。 。</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按照《建设工程工程量清单计价规范》（GB50500-2013）9.6.2条规定，增加部分的工程量的综合单价应予调低，减少后剩余部分的工程量的综合单价应予调高，可按下列公式调整:</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凡合价金额占合同总价2%及以上的分部分项清单项目，</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①当Q1&gt;1.15Q0时: S=1.15Q0×P0+（Q1-1.15 Q0）×P1</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②当Q1&lt;0.85Q0时: S=Q1×P1</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凡合价金额占合同总价不到2%的分部分项清单项目，</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③当Q1&gt;1.25Q0时: S=1.25Q0×P0+（Q1-1.25 Q0）×P1</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④当Q1&lt;0.75Q0时: S=Q1×P1</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式中 S——调整后某一分部分项工程费结算价；</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Q1——最终完成的工程量；</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Q0——招标工程量清单中列出的工程量；</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P0——承包人在已标价工程量清单中填报的综合单价</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w:t>
      </w:r>
    </w:p>
    <w:p>
      <w:pPr>
        <w:snapToGrid w:val="0"/>
        <w:spacing w:line="360" w:lineRule="auto"/>
        <w:jc w:val="left"/>
        <w:rPr>
          <w:rFonts w:ascii="宋体" w:hAnsi="宋体" w:cs="宋体"/>
          <w:color w:val="auto"/>
          <w:szCs w:val="21"/>
          <w:u w:val="single"/>
        </w:rPr>
      </w:pPr>
      <w:r>
        <w:rPr>
          <w:rFonts w:hint="eastAsia" w:ascii="宋体" w:hAnsi="宋体" w:cs="宋体"/>
          <w:color w:val="auto"/>
          <w:szCs w:val="21"/>
        </w:rPr>
        <w:t>备注：相关文件有不一致之处按发包人及</w:t>
      </w:r>
      <w:r>
        <w:rPr>
          <w:rFonts w:hint="eastAsia" w:ascii="宋体" w:hAnsi="宋体" w:cs="宋体"/>
          <w:color w:val="auto"/>
          <w:szCs w:val="21"/>
          <w:lang w:val="en-US" w:eastAsia="zh-CN"/>
        </w:rPr>
        <w:t>拱墅</w:t>
      </w:r>
      <w:r>
        <w:rPr>
          <w:rFonts w:hint="eastAsia" w:ascii="宋体" w:hAnsi="宋体" w:cs="宋体"/>
          <w:color w:val="auto"/>
          <w:szCs w:val="21"/>
        </w:rPr>
        <w:t>区财政要求为准；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300934993"/>
      <w:bookmarkStart w:id="758" w:name="_Toc297048383"/>
      <w:bookmarkStart w:id="759" w:name="_Toc296891025"/>
      <w:bookmarkStart w:id="760" w:name="_Toc297120497"/>
      <w:bookmarkStart w:id="761" w:name="_Toc296891237"/>
      <w:bookmarkStart w:id="762" w:name="_Toc296503197"/>
      <w:bookmarkStart w:id="763" w:name="_Toc292559402"/>
      <w:bookmarkStart w:id="764" w:name="_Toc292559907"/>
      <w:bookmarkStart w:id="765" w:name="_Toc296347196"/>
      <w:bookmarkStart w:id="766" w:name="_Toc297123544"/>
      <w:bookmarkStart w:id="767" w:name="_Toc296346698"/>
      <w:bookmarkStart w:id="768" w:name="_Toc297216203"/>
      <w:bookmarkStart w:id="769" w:name="_Toc296944536"/>
      <w:bookmarkStart w:id="770" w:name="_Toc303539150"/>
      <w:bookmarkStart w:id="771" w:name="_Toc312677503"/>
      <w:bookmarkStart w:id="772" w:name="_Toc304295570"/>
      <w:bookmarkStart w:id="773" w:name="_Toc312678029"/>
      <w:r>
        <w:rPr>
          <w:rFonts w:hint="eastAsia" w:ascii="宋体" w:hAnsi="宋体" w:cs="宋体"/>
          <w:color w:val="auto"/>
          <w:szCs w:val="21"/>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6347202"/>
      <w:bookmarkStart w:id="775" w:name="_Toc296503203"/>
      <w:bookmarkStart w:id="776" w:name="_Toc297123545"/>
      <w:bookmarkStart w:id="777" w:name="_Toc303539151"/>
      <w:bookmarkStart w:id="778" w:name="_Toc297120503"/>
      <w:bookmarkStart w:id="779" w:name="_Toc292559913"/>
      <w:bookmarkStart w:id="780" w:name="_Toc296346704"/>
      <w:bookmarkStart w:id="781" w:name="_Toc300934994"/>
      <w:bookmarkStart w:id="782" w:name="_Toc296944542"/>
      <w:bookmarkStart w:id="783" w:name="_Toc297216204"/>
      <w:bookmarkStart w:id="784" w:name="_Toc296891243"/>
      <w:bookmarkStart w:id="785" w:name="_Toc297048389"/>
      <w:bookmarkStart w:id="786" w:name="_Toc292559408"/>
      <w:bookmarkStart w:id="787" w:name="_Toc296891031"/>
      <w:r>
        <w:rPr>
          <w:rFonts w:hint="eastAsia" w:ascii="宋体" w:hAnsi="宋体" w:cs="宋体"/>
          <w:color w:val="auto"/>
          <w:szCs w:val="21"/>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承</w:t>
      </w:r>
      <w:bookmarkStart w:id="788" w:name="_Toc318581175"/>
      <w:bookmarkStart w:id="789" w:name="_Toc304295571"/>
      <w:bookmarkStart w:id="790" w:name="_Toc297216205"/>
      <w:bookmarkStart w:id="791" w:name="_Toc312677504"/>
      <w:bookmarkStart w:id="792" w:name="_Toc296891244"/>
      <w:bookmarkStart w:id="793" w:name="_Toc296503204"/>
      <w:bookmarkStart w:id="794" w:name="_Toc297120504"/>
      <w:bookmarkStart w:id="795" w:name="_Toc296346705"/>
      <w:bookmarkStart w:id="796" w:name="_Toc300934995"/>
      <w:bookmarkStart w:id="797" w:name="_Toc303539152"/>
      <w:bookmarkStart w:id="798" w:name="_Toc297048390"/>
      <w:bookmarkStart w:id="799" w:name="_Toc292559914"/>
      <w:bookmarkStart w:id="800" w:name="_Toc292559409"/>
      <w:bookmarkStart w:id="801" w:name="_Toc296891032"/>
      <w:bookmarkStart w:id="802" w:name="_Toc312678030"/>
      <w:bookmarkStart w:id="803" w:name="_Toc296347203"/>
      <w:bookmarkStart w:id="804" w:name="_Toc296944543"/>
      <w:bookmarkStart w:id="805" w:name="_Toc297123546"/>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Pr>
        <w:snapToGrid w:val="0"/>
        <w:spacing w:line="360" w:lineRule="auto"/>
        <w:ind w:firstLine="420" w:firstLineChars="200"/>
        <w:outlineLvl w:val="0"/>
        <w:rPr>
          <w:rFonts w:ascii="宋体" w:hAnsi="宋体" w:cs="宋体"/>
          <w:color w:val="auto"/>
          <w:szCs w:val="21"/>
        </w:rPr>
      </w:pPr>
      <w:r>
        <w:rPr>
          <w:rFonts w:hint="eastAsia" w:ascii="宋体" w:hAnsi="宋体" w:cs="宋体"/>
          <w:color w:val="auto"/>
          <w:szCs w:val="21"/>
        </w:rPr>
        <w:t>1</w:t>
      </w:r>
      <w:bookmarkStart w:id="806" w:name="_Toc312677507"/>
      <w:bookmarkStart w:id="807" w:name="_Toc296891239"/>
      <w:bookmarkStart w:id="808" w:name="_Toc296503199"/>
      <w:bookmarkStart w:id="809" w:name="_Toc296346700"/>
      <w:bookmarkStart w:id="810" w:name="_Toc297120499"/>
      <w:bookmarkStart w:id="811" w:name="_Toc296347198"/>
      <w:bookmarkStart w:id="812" w:name="_Toc296944538"/>
      <w:bookmarkStart w:id="813" w:name="_Toc297216207"/>
      <w:bookmarkStart w:id="814" w:name="_Toc303539154"/>
      <w:bookmarkStart w:id="815" w:name="_Toc297048385"/>
      <w:bookmarkStart w:id="816" w:name="_Toc297123548"/>
      <w:bookmarkStart w:id="817" w:name="_Toc304295574"/>
      <w:bookmarkStart w:id="818" w:name="_Toc312678033"/>
      <w:bookmarkStart w:id="819" w:name="_Toc292559909"/>
      <w:bookmarkStart w:id="820" w:name="_Toc292559404"/>
      <w:bookmarkStart w:id="821" w:name="_Toc296891027"/>
      <w:bookmarkStart w:id="822" w:name="_Toc300934997"/>
      <w:r>
        <w:rPr>
          <w:rFonts w:hint="eastAsia" w:ascii="宋体" w:hAnsi="宋体" w:cs="宋体"/>
          <w:color w:val="auto"/>
          <w:szCs w:val="21"/>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暂</w:t>
      </w:r>
      <w:bookmarkStart w:id="823" w:name="_Toc312678034"/>
      <w:bookmarkStart w:id="824" w:name="_Toc312677508"/>
      <w:bookmarkStart w:id="825" w:name="_Toc318581176"/>
      <w:r>
        <w:rPr>
          <w:rFonts w:hint="eastAsia" w:ascii="宋体" w:hAnsi="宋体" w:cs="宋体"/>
          <w:color w:val="auto"/>
          <w:kern w:val="0"/>
          <w:szCs w:val="21"/>
        </w:rPr>
        <w:t>估价材料和工程设备的明细详见附件11：《</w:t>
      </w:r>
      <w:r>
        <w:rPr>
          <w:rFonts w:hint="eastAsia" w:ascii="宋体" w:hAnsi="宋体" w:cs="宋体"/>
          <w:color w:val="auto"/>
          <w:szCs w:val="21"/>
        </w:rPr>
        <w:t>暂估价一览表》</w:t>
      </w:r>
      <w:r>
        <w:rPr>
          <w:rFonts w:hint="eastAsia" w:ascii="宋体" w:hAnsi="宋体" w:cs="宋体"/>
          <w:color w:val="auto"/>
          <w:kern w:val="0"/>
          <w:szCs w:val="21"/>
        </w:rPr>
        <w:t>。</w:t>
      </w:r>
    </w:p>
    <w:bookmarkEnd w:id="823"/>
    <w:bookmarkEnd w:id="824"/>
    <w:bookmarkEnd w:id="825"/>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Start w:id="826" w:name="_Toc312678035"/>
      <w:bookmarkStart w:id="827" w:name="_Toc318581177"/>
      <w:bookmarkStart w:id="828" w:name="_Toc312677509"/>
      <w:r>
        <w:rPr>
          <w:rFonts w:hint="eastAsia" w:ascii="宋体" w:hAnsi="宋体" w:cs="宋体"/>
          <w:color w:val="auto"/>
          <w:szCs w:val="21"/>
        </w:rPr>
        <w:t>0.7.1 依法必须招标的暂估价项目</w:t>
      </w:r>
    </w:p>
    <w:bookmarkEnd w:id="826"/>
    <w:bookmarkEnd w:id="827"/>
    <w:bookmarkEnd w:id="828"/>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w:t>
      </w:r>
      <w:r>
        <w:rPr>
          <w:rFonts w:hint="eastAsia" w:ascii="宋体" w:hAnsi="宋体" w:cs="宋体"/>
          <w:color w:val="auto"/>
          <w:szCs w:val="21"/>
        </w:rPr>
        <w:t>种方式确定。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10.7.2 不属于依法必须招标的暂估价项目</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color w:val="auto"/>
          <w:szCs w:val="21"/>
          <w:u w:val="single"/>
        </w:rPr>
        <w:t xml:space="preserve">   </w:t>
      </w:r>
      <w:r>
        <w:rPr>
          <w:rFonts w:hint="eastAsia" w:ascii="宋体" w:hAnsi="宋体" w:cs="宋体"/>
          <w:color w:val="auto"/>
          <w:szCs w:val="21"/>
        </w:rPr>
        <w:t xml:space="preserve"> 种方式确定。</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10.8 暂列金额</w:t>
      </w:r>
    </w:p>
    <w:p>
      <w:pPr>
        <w:autoSpaceDE w:val="0"/>
        <w:autoSpaceDN w:val="0"/>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合同当事人关于暂列金额使用的约定：</w:t>
      </w:r>
      <w:r>
        <w:rPr>
          <w:rFonts w:hint="eastAsia" w:ascii="宋体" w:hAnsi="宋体" w:cs="宋体"/>
          <w:color w:val="auto"/>
          <w:szCs w:val="21"/>
          <w:u w:val="single"/>
        </w:rPr>
        <w:t xml:space="preserve">                     </w:t>
      </w:r>
    </w:p>
    <w:p>
      <w:pPr>
        <w:autoSpaceDE w:val="0"/>
        <w:autoSpaceDN w:val="0"/>
        <w:snapToGrid w:val="0"/>
        <w:spacing w:line="360" w:lineRule="auto"/>
        <w:jc w:val="left"/>
        <w:rPr>
          <w:rFonts w:ascii="宋体" w:hAnsi="宋体" w:cs="宋体"/>
          <w:color w:val="auto"/>
          <w:kern w:val="0"/>
          <w:szCs w:val="21"/>
        </w:rPr>
      </w:pPr>
      <w:r>
        <w:rPr>
          <w:rFonts w:hint="eastAsia" w:ascii="宋体" w:hAnsi="宋体" w:cs="宋体"/>
          <w:color w:val="auto"/>
          <w:szCs w:val="21"/>
          <w:u w:val="single"/>
        </w:rPr>
        <w:t xml:space="preserve">                                                         </w:t>
      </w:r>
      <w:r>
        <w:rPr>
          <w:rFonts w:hint="eastAsia" w:ascii="宋体" w:hAnsi="宋体" w:cs="宋体"/>
          <w:color w:val="auto"/>
          <w:kern w:val="0"/>
          <w:szCs w:val="21"/>
        </w:rPr>
        <w:t>。</w:t>
      </w:r>
    </w:p>
    <w:p>
      <w:pPr>
        <w:pStyle w:val="7"/>
        <w:snapToGrid w:val="0"/>
        <w:spacing w:before="0" w:after="0" w:line="360" w:lineRule="auto"/>
        <w:rPr>
          <w:rFonts w:ascii="宋体" w:hAnsi="宋体" w:eastAsia="宋体" w:cs="宋体"/>
          <w:b w:val="0"/>
          <w:color w:val="auto"/>
          <w:sz w:val="21"/>
          <w:szCs w:val="21"/>
        </w:rPr>
      </w:pPr>
      <w:bookmarkStart w:id="829" w:name="_Toc351203643"/>
      <w:r>
        <w:rPr>
          <w:rFonts w:hint="eastAsia" w:ascii="宋体" w:hAnsi="宋体" w:eastAsia="宋体" w:cs="宋体"/>
          <w:b w:val="0"/>
          <w:color w:val="auto"/>
          <w:sz w:val="21"/>
          <w:szCs w:val="21"/>
        </w:rPr>
        <w:t>11. 价格调整</w:t>
      </w:r>
      <w:bookmarkEnd w:id="829"/>
    </w:p>
    <w:p>
      <w:pPr>
        <w:snapToGrid w:val="0"/>
        <w:spacing w:line="360" w:lineRule="auto"/>
        <w:ind w:firstLine="420" w:firstLineChars="200"/>
        <w:rPr>
          <w:rFonts w:ascii="宋体" w:hAnsi="宋体" w:cs="宋体"/>
          <w:color w:val="auto"/>
          <w:szCs w:val="21"/>
        </w:rPr>
      </w:pPr>
      <w:bookmarkStart w:id="830" w:name="_Toc296891241"/>
      <w:bookmarkStart w:id="831" w:name="_Toc297048387"/>
      <w:bookmarkStart w:id="832" w:name="_Toc292559911"/>
      <w:bookmarkStart w:id="833" w:name="_Toc297123550"/>
      <w:bookmarkStart w:id="834" w:name="_Toc303539157"/>
      <w:bookmarkStart w:id="835" w:name="_Toc292559406"/>
      <w:bookmarkStart w:id="836" w:name="_Toc304295577"/>
      <w:bookmarkStart w:id="837" w:name="_Toc300935000"/>
      <w:bookmarkStart w:id="838" w:name="_Toc297216209"/>
      <w:bookmarkStart w:id="839" w:name="_Toc296347200"/>
      <w:bookmarkStart w:id="840" w:name="_Toc296944540"/>
      <w:bookmarkStart w:id="841" w:name="_Toc312678039"/>
      <w:bookmarkStart w:id="842" w:name="_Toc296891029"/>
      <w:bookmarkStart w:id="843" w:name="_Toc296346702"/>
      <w:bookmarkStart w:id="844" w:name="_Toc297120501"/>
      <w:bookmarkStart w:id="845" w:name="_Toc296503201"/>
      <w:r>
        <w:rPr>
          <w:rFonts w:hint="eastAsia" w:ascii="宋体" w:hAnsi="宋体" w:cs="宋体"/>
          <w:color w:val="auto"/>
          <w:szCs w:val="21"/>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否</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w:t>
      </w:r>
      <w:r>
        <w:rPr>
          <w:rFonts w:hint="eastAsia" w:ascii="宋体" w:hAnsi="宋体" w:cs="宋体"/>
          <w:color w:val="auto"/>
          <w:szCs w:val="21"/>
        </w:rPr>
        <w:t>种方式对合同价格进行调整：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第1种方式：采用价格指数进行价格调整。</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第2种方式：采用造价信息进行价格调整。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ind w:firstLine="645"/>
        <w:jc w:val="left"/>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ind w:firstLine="645"/>
        <w:jc w:val="left"/>
        <w:rPr>
          <w:rFonts w:ascii="宋体" w:hAnsi="宋体" w:cs="宋体"/>
          <w:color w:val="auto"/>
          <w:szCs w:val="21"/>
          <w:u w:val="single"/>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bookmarkEnd w:id="733"/>
    <w:bookmarkEnd w:id="734"/>
    <w:bookmarkEnd w:id="735"/>
    <w:bookmarkEnd w:id="736"/>
    <w:bookmarkEnd w:id="737"/>
    <w:bookmarkEnd w:id="738"/>
    <w:p>
      <w:pPr>
        <w:pStyle w:val="7"/>
        <w:snapToGrid w:val="0"/>
        <w:spacing w:before="0" w:after="0" w:line="360" w:lineRule="auto"/>
        <w:rPr>
          <w:rFonts w:ascii="宋体" w:hAnsi="宋体" w:eastAsia="宋体" w:cs="宋体"/>
          <w:b w:val="0"/>
          <w:color w:val="auto"/>
          <w:sz w:val="21"/>
          <w:szCs w:val="21"/>
        </w:rPr>
      </w:pPr>
      <w:bookmarkStart w:id="846" w:name="_Toc296944544"/>
      <w:bookmarkStart w:id="847" w:name="_Toc297048391"/>
      <w:bookmarkStart w:id="848" w:name="_Toc292559410"/>
      <w:bookmarkStart w:id="849" w:name="_Toc296503205"/>
      <w:bookmarkStart w:id="850" w:name="_Toc292559915"/>
      <w:bookmarkStart w:id="851" w:name="_Toc296346706"/>
      <w:bookmarkStart w:id="852" w:name="_Toc296347204"/>
      <w:bookmarkStart w:id="853" w:name="_Toc297120505"/>
      <w:bookmarkStart w:id="854" w:name="_Toc296891245"/>
      <w:bookmarkStart w:id="855" w:name="_Toc296891033"/>
      <w:bookmarkStart w:id="856" w:name="_Toc351203644"/>
      <w:bookmarkStart w:id="857" w:name="_Toc297216211"/>
      <w:bookmarkStart w:id="858" w:name="_Toc297123552"/>
      <w:bookmarkStart w:id="859" w:name="_Toc303539159"/>
      <w:bookmarkStart w:id="860" w:name="_Toc304295579"/>
      <w:bookmarkStart w:id="861" w:name="_Toc312678040"/>
      <w:bookmarkStart w:id="862" w:name="_Toc300935002"/>
      <w:r>
        <w:rPr>
          <w:rFonts w:hint="eastAsia" w:ascii="宋体" w:hAnsi="宋体" w:eastAsia="宋体" w:cs="宋体"/>
          <w:b w:val="0"/>
          <w:color w:val="auto"/>
          <w:sz w:val="21"/>
          <w:szCs w:val="21"/>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val="0"/>
          <w:color w:val="auto"/>
          <w:sz w:val="21"/>
          <w:szCs w:val="21"/>
        </w:rPr>
        <w:t>合同价格、计量与支付</w:t>
      </w:r>
      <w:bookmarkEnd w:id="856"/>
    </w:p>
    <w:bookmarkEnd w:id="857"/>
    <w:bookmarkEnd w:id="858"/>
    <w:bookmarkEnd w:id="859"/>
    <w:bookmarkEnd w:id="860"/>
    <w:bookmarkEnd w:id="861"/>
    <w:bookmarkEnd w:id="862"/>
    <w:p>
      <w:pPr>
        <w:snapToGrid w:val="0"/>
        <w:spacing w:line="360" w:lineRule="auto"/>
        <w:ind w:firstLine="420" w:firstLineChars="200"/>
        <w:rPr>
          <w:rFonts w:ascii="宋体" w:hAnsi="宋体" w:cs="宋体"/>
          <w:color w:val="auto"/>
          <w:szCs w:val="21"/>
        </w:rPr>
      </w:pPr>
      <w:bookmarkStart w:id="863" w:name="_Toc292559916"/>
      <w:bookmarkStart w:id="864" w:name="_Toc267251461"/>
      <w:bookmarkStart w:id="865" w:name="_Toc292559411"/>
      <w:bookmarkStart w:id="866" w:name="_Toc296346707"/>
      <w:bookmarkStart w:id="867" w:name="_Toc296891034"/>
      <w:bookmarkStart w:id="868" w:name="_Toc297048392"/>
      <w:bookmarkStart w:id="869" w:name="_Toc296891246"/>
      <w:bookmarkStart w:id="870" w:name="_Toc296503206"/>
      <w:bookmarkStart w:id="871" w:name="_Toc296347205"/>
      <w:bookmarkStart w:id="872" w:name="_Toc297120506"/>
      <w:bookmarkStart w:id="873" w:name="_Toc296944545"/>
      <w:bookmarkStart w:id="874" w:name="_Toc300935003"/>
      <w:bookmarkStart w:id="875" w:name="_Toc297216212"/>
      <w:bookmarkStart w:id="876" w:name="_Toc303539160"/>
      <w:bookmarkStart w:id="877" w:name="_Toc297123553"/>
      <w:bookmarkStart w:id="878" w:name="_Toc312678041"/>
      <w:bookmarkStart w:id="879" w:name="_Toc304295580"/>
      <w:r>
        <w:rPr>
          <w:rFonts w:hint="eastAsia" w:ascii="宋体" w:hAnsi="宋体" w:cs="宋体"/>
          <w:color w:val="auto"/>
          <w:szCs w:val="21"/>
        </w:rPr>
        <w:t>12.1 合</w:t>
      </w:r>
      <w:bookmarkEnd w:id="863"/>
      <w:bookmarkEnd w:id="864"/>
      <w:bookmarkEnd w:id="865"/>
      <w:r>
        <w:rPr>
          <w:rFonts w:hint="eastAsia" w:ascii="宋体" w:hAnsi="宋体" w:cs="宋体"/>
          <w:color w:val="auto"/>
          <w:szCs w:val="21"/>
        </w:rPr>
        <w:t>同价</w:t>
      </w:r>
      <w:bookmarkEnd w:id="866"/>
      <w:bookmarkEnd w:id="867"/>
      <w:bookmarkEnd w:id="868"/>
      <w:bookmarkEnd w:id="869"/>
      <w:bookmarkEnd w:id="870"/>
      <w:bookmarkEnd w:id="871"/>
      <w:bookmarkEnd w:id="872"/>
      <w:bookmarkEnd w:id="873"/>
      <w:r>
        <w:rPr>
          <w:rFonts w:hint="eastAsia" w:ascii="宋体" w:hAnsi="宋体" w:cs="宋体"/>
          <w:color w:val="auto"/>
          <w:szCs w:val="21"/>
        </w:rPr>
        <w:t>格形式</w:t>
      </w:r>
    </w:p>
    <w:bookmarkEnd w:id="874"/>
    <w:bookmarkEnd w:id="875"/>
    <w:bookmarkEnd w:id="876"/>
    <w:bookmarkEnd w:id="877"/>
    <w:bookmarkEnd w:id="878"/>
    <w:bookmarkEnd w:id="879"/>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综合单价包含的风险范围：</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（1）应由承包人承担的工、料、机在投标编制期或预算书编制期与合同实施期间所发生的市场价格波动。</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（2）其他：a、国家规定允许调整外的工日、材料（设备）、机械台班价格的上涨；</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b、在工程施工中应能预计的费用；</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c、所有招标文件或工程量清单明示要求报价的内容而承包人未予报价的；</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d、承包人对工程现场环境以及发包人提供的招标文件、图纸等资料作出错误的推论、理解而导致的报价失误；</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f、按图集或规范施工的，单价必须满足规范和图集要求，单价不得调整；</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g、工程量项目特征描述中未描述或描述不全，但又是完成该清单项目中必须有的工作内容，均应包括在报价内；</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h、因施工场地窄小、场内施工不便等需要增加的各种费用；</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i、在工程施工中有经验的承包人应能预计的其它费用。</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工程实施中属于招标文件和本合同约定需要投标报价和合同包干风险范围内应考虑的费用，虽经发包人现场签证认可，在工程结算时可认定该签证无效。。</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风险费用的计算方法：以上风险范围之内的费用承包人已预估并计入投标总价，不再另行计取 。</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风险范围以外合同价格的调整方法：</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（1）市场价格波动引起的调整按本合同11.1第3种方式的约定计算。</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（2）其他：         /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3、其他价格方式：</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bookmarkStart w:id="880" w:name="_Toc297123554"/>
      <w:bookmarkStart w:id="881" w:name="_Toc304295581"/>
      <w:bookmarkStart w:id="882" w:name="_Toc303539161"/>
      <w:bookmarkStart w:id="883" w:name="_Toc312678042"/>
      <w:bookmarkStart w:id="884" w:name="_Toc300935004"/>
      <w:bookmarkStart w:id="885" w:name="_Toc297216213"/>
      <w:bookmarkStart w:id="886" w:name="_Toc297120507"/>
      <w:bookmarkStart w:id="887" w:name="_Toc296891035"/>
      <w:bookmarkStart w:id="888" w:name="_Toc292559917"/>
      <w:bookmarkStart w:id="889" w:name="_Toc296503207"/>
      <w:bookmarkStart w:id="890" w:name="_Toc296891247"/>
      <w:bookmarkStart w:id="891" w:name="_Toc292559412"/>
      <w:bookmarkStart w:id="892" w:name="_Toc296346708"/>
      <w:bookmarkStart w:id="893" w:name="_Toc296944546"/>
      <w:bookmarkStart w:id="894" w:name="_Toc297048393"/>
      <w:bookmarkStart w:id="895" w:name="_Toc296347206"/>
      <w:r>
        <w:rPr>
          <w:rFonts w:hint="eastAsia" w:ascii="宋体" w:hAnsi="宋体" w:cs="宋体"/>
          <w:color w:val="auto"/>
          <w:szCs w:val="21"/>
        </w:rPr>
        <w:t>12.2 预付款</w:t>
      </w:r>
    </w:p>
    <w:bookmarkEnd w:id="880"/>
    <w:bookmarkEnd w:id="881"/>
    <w:bookmarkEnd w:id="882"/>
    <w:bookmarkEnd w:id="883"/>
    <w:bookmarkEnd w:id="884"/>
    <w:bookmarkEnd w:id="885"/>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12.2.1 预付款的支付</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single"/>
        </w:rPr>
        <w:t xml:space="preserve"> 工程预付款为合同价的40%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 xml:space="preserve"> 合同签订、承包人递交以银行、保险公司等金融机构出具的预付款保函后，且承包人具备实施条件后5个工作日内，发包人向承包人预付合同金额的40%作为工程预付款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rPr>
        <w:t xml:space="preserve"> ：  工程预付款在第一次支付工程款时扣回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12.2.2 预付款担保</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承包人提交预付款担保的期限：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预付款担保的形式为： 银行、保险公司等金融机构出具的预付款保函。预付款担保的金额：合同金额的40%。预付款担保有效期合同履行期间如承包人出现违约情况，发包人将予以处罚，承包人应在接到处罚通知后15天内缴纳违约金，否则发包人有权停止支付工程进度款或从工程进度款中扣除 。</w:t>
      </w:r>
    </w:p>
    <w:bookmarkEnd w:id="886"/>
    <w:bookmarkEnd w:id="887"/>
    <w:bookmarkEnd w:id="888"/>
    <w:bookmarkEnd w:id="889"/>
    <w:bookmarkEnd w:id="890"/>
    <w:bookmarkEnd w:id="891"/>
    <w:bookmarkEnd w:id="892"/>
    <w:bookmarkEnd w:id="893"/>
    <w:bookmarkEnd w:id="894"/>
    <w:bookmarkEnd w:id="895"/>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12.3 计量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12.3.1 计量原则</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工程量计算规则：</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（1）实行工程量清单计价的工程项目，其工程量的计算规则应按国家标准工程量计算规范及省级行业主管部门颁布的补充规定执行。</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（2）不实行工程量清单计价的工程项目，工程量的计算规则应按省、市行业主管部门颁布的各专业工程定额的工程量计算规则执行。</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12.3.2  计量周期</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计量周期的约定：工期在3个月（含）以下的项目，在完工后一次性报送完成工程量，无需按月报送，工期在3个月（不含）以上的项目，按月计量，承包人应于每月22日前向监理人报送上月20日至当月19日已完成的工程量。</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12.3.3  单价合同的计量</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关于单价合同计量的约定： 按《通用合同条款》执行。</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12.3.4 总价合同的计量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12.3.5总价合同采用支付分解表计量支付的，是否适用第</w:t>
      </w:r>
      <w:r>
        <w:rPr>
          <w:rFonts w:hint="eastAsia" w:ascii="宋体" w:hAnsi="宋体" w:cs="宋体"/>
          <w:color w:val="auto"/>
          <w:kern w:val="0"/>
          <w:szCs w:val="21"/>
        </w:rPr>
        <w:t xml:space="preserve">12.3.4 </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12.3.6 其他价格形式合同的计量</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12.4 工程进度款支付</w:t>
      </w:r>
    </w:p>
    <w:p>
      <w:pPr>
        <w:snapToGrid w:val="0"/>
        <w:spacing w:line="360" w:lineRule="auto"/>
        <w:ind w:firstLine="420" w:firstLineChars="200"/>
        <w:jc w:val="left"/>
        <w:rPr>
          <w:rFonts w:ascii="宋体" w:hAnsi="宋体" w:cs="宋体"/>
          <w:color w:val="auto"/>
          <w:szCs w:val="21"/>
        </w:rPr>
      </w:pPr>
      <w:bookmarkStart w:id="896" w:name="_Toc296891039"/>
      <w:bookmarkStart w:id="897" w:name="_Toc296891251"/>
      <w:bookmarkStart w:id="898" w:name="_Toc297120511"/>
      <w:bookmarkStart w:id="899" w:name="_Toc296347210"/>
      <w:bookmarkStart w:id="900" w:name="_Toc300935006"/>
      <w:bookmarkStart w:id="901" w:name="_Toc303539163"/>
      <w:bookmarkStart w:id="902" w:name="_Toc292559921"/>
      <w:bookmarkStart w:id="903" w:name="_Toc292559416"/>
      <w:bookmarkStart w:id="904" w:name="_Toc296944550"/>
      <w:bookmarkStart w:id="905" w:name="_Toc296503211"/>
      <w:bookmarkStart w:id="906" w:name="_Toc297048397"/>
      <w:bookmarkStart w:id="907" w:name="_Toc297123556"/>
      <w:bookmarkStart w:id="908" w:name="_Toc297216215"/>
      <w:bookmarkStart w:id="909" w:name="_Toc296346712"/>
      <w:r>
        <w:rPr>
          <w:rFonts w:hint="eastAsia" w:ascii="宋体" w:hAnsi="宋体" w:cs="宋体"/>
          <w:color w:val="auto"/>
          <w:szCs w:val="21"/>
        </w:rPr>
        <w:t>12.4.1 付款周期</w:t>
      </w:r>
    </w:p>
    <w:bookmarkEnd w:id="739"/>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Pr>
        <w:spacing w:before="162" w:line="440" w:lineRule="exact"/>
        <w:ind w:firstLine="480"/>
        <w:rPr>
          <w:rFonts w:hint="eastAsia" w:ascii="宋体" w:hAnsi="宋体" w:cs="宋体"/>
          <w:color w:val="auto"/>
          <w:szCs w:val="21"/>
        </w:rPr>
      </w:pPr>
      <w:bookmarkStart w:id="910" w:name="_Toc249091536"/>
      <w:bookmarkStart w:id="911" w:name="_Toc534620509"/>
      <w:r>
        <w:rPr>
          <w:rFonts w:hint="eastAsia" w:ascii="宋体" w:hAnsi="宋体" w:cs="宋体"/>
          <w:color w:val="auto"/>
          <w:szCs w:val="21"/>
        </w:rPr>
        <w:t>关于付款周期的约定：（1）合同生效后，承包人向发包人缴纳中标价的1%履约保证金，承包人应当以支票、汇票、本票或者金融机构、担保机构出具的保函等非现金形式提交，鼓励和支持承包人以银行、保险公司出具的保函形式提供履约保证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（2）合同签订、承包人递交以银行、保险公司等金融机构出具的预付款保函后，且承包人具备实施条件后5个工作日内，发包人向承包人预付合同金额的40%作为工程预付款。</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预付款担保的形式为：银行、保险公司等金融机构出具的预付款保函。预付款担保的金额：合同金额的40%。</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（3）竣工验收合格、符合竣工退场要求，并且提交完整的相关竣工结算审核资料，经资金审核部门认可后支付至该工程合同范围内实际完成工程量的70%，支付该费用时扣除已支付的预付款金额。</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4）结算审计（发包人或发包人委托的审计单位审计）完成且完整的资料归档后支付至结算审计价的100%。结算价的1.5%作为工程质量保证金，承包人可以以银行、保险公司等金融机构出具的保函形式提交质量保证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（5）竣工验收合格后退回履约保证金（无息）。</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（6）质保到期并经质量回访合格后退回质量保证金（无息）。</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（7）每次付款前承包人向发包人提供符合国家要求的增值税发票。</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注：本项目竣工结算审定价原则不得超过中标价。但涉及工程内容调整的，则按补充协议规定执行，不包含在上述规定之内。</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12.4.2  进度付款申请单的编制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关于进度付款申请单编制的约定：按发包人要求编制。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12.4.3 进度付款申请单的提交</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（1）单价合同进度付款申请单提交的约定：按照第12.3.3项〔单价合同的计量〕约定的时间向监理人提交，并附上已完成工程量报表和有关资料。。</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（2）总价合同进度付款申请单提交的约定：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（3）其他价格形式合同进度付款申请单提交的约定：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12.4.4  进度款审核和支付</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（1）监理人审查并报送发包人的期限：监理人应在收到承包人进度付款申请单以及相关资料后2天内完成审查。</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发包人完成审批并签发进度款支付证书的期限：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（2）发包人支付进度款的期限：   以财政拨款为准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发包人逾期支付进度款的违约金的计算方式：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12.4.6  支付分解表的编制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2、总价合同支付分解表的编制与审批：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3、单价合同的总价项目支付分解表的编制与审批：按发包人要求。</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  验收和工程试车</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13.1  分部分项工程验收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13.1.2  监理人不能按时进行验收时，应提前  24 小时提交书面延期要求。</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关于延期最长不得超过： 48  小时。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13.2  竣工验收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13.2.2  竣工验收程序</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关于竣工验收程序的约定：按通用合同条款约定和政府有关规定。</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发包人不按照本项约定组织竣工验收、颁发工程接收证书的违约金的计算方法：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13.2.5  移交、接收全部与部分工程</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承包人向发包人移交工程的期限：不得迟于验收合格日后十五天。</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发包人未按本合同约定接收全部或部分工程的，违约金的计算方法为：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未按时移交工程的，违约金的计算方法为：每拖延一天处以合同价的0.02%的违约金，发包人有权要求承包人承担由此产生的各方一切损失，费用经审核后从发包人未支付合同价款中扣除，未支付费用不足以弥补发包人损失的，发包人有权另行请求赔偿。</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13.3  工程试车</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13.3.1  试车程序</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工程试车内容： 按政府有关规定和监理工程师要求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（1）单机无负荷试车费用由         /             承担；</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（2）无负荷联动试车费用由          /            承担。</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13.3.3  投料试车</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关于投料试车相关事项的约定：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13.6  竣工退场</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13.6.1  竣工退场</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承包人完成竣工退场的期限：  竣工验收通过10天内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竣工退场其他要求：及时清理施工现场（土地红线）内或明显属于本工程所有的成品、半成品材料、施工机具、少渣土及建筑垃圾等，符合项目正常使用要求。及时清理场地内、场地外以本工程施工名义搭设的施工临时设施、建（构）筑物，并恢复原样。</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  竣工结算</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14.1  竣工结算申请</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承包人提交竣工结算申请单的期限：竣工验收合格通过日后的三十天内。</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同时发包人有权按补充条款的约定进行处罚。</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发包人自有效收到之日，选择按照如下方式完成对承包人提交的竣工结算报告及完整、有效的结算资料的审计：</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（1）该工程为政府性投资项目，发包人根据国家造价管理的有关规定以及财政部门审定或委托审定的工程结算价为准，与承包人办理最终价款结算手续。</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若财政或审计部门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（3）发包人向承包人提交审核报告（审计报告）后30日内，承包人未提出异议的或异议不符合合同约定和文件规定的，视为承包人认可该审核报告（审计报告），发包人按审核报告支付结算款。</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4）在竣工结算价款最终被承包人书面确认或者被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发包人有权扣除与押金总额相等金额的工程款，待退还押金后再将款项支付给承包人。</w:t>
      </w:r>
    </w:p>
    <w:p>
      <w:pPr>
        <w:spacing w:before="162" w:line="440" w:lineRule="exact"/>
        <w:ind w:firstLine="480"/>
        <w:rPr>
          <w:rFonts w:hint="eastAsia" w:ascii="宋体" w:hAnsi="宋体" w:cs="宋体"/>
          <w:color w:val="auto"/>
          <w:szCs w:val="21"/>
        </w:rPr>
      </w:pP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竣工结算申请单应包括的内容： 完整的竣工结算书文件及相关资料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14.2  竣工结算审核</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发包人审批竣工付款申请单的期限：  收到竣工付款申请单30天内。</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发包人完成竣工付款的期限：   收到竣工付款申请单30天内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关于竣工付款证书异议部分复核的方式和程序：      按通用条款执行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14.2.1本工程为政府性投资项目，发包人根据国家造价管理的有关规定以及财政部门审定的工程造价结算，与承包人办理最终价款结算手续。承包人应当在工程验收合格后的一个月内向发包人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审定的工程造价为唯一的确定依据，责任由承包人自负。</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14.2.2工程价款结算审计按杭财建（2014）109号文件执行，超过5%以外的核减额追加费用由施工单位支付至财政专户，凭交纳凭证及财政出具审定通知书（结算备案表）与发包人结算尾款。</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14.2.3承包人必须保证施工过程所提出的签证内容是合法的、真实的，并不由于发包人和监理工程师的确认而免除承包人的责任。</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14.2.5发包人向承包人提交审核报告（审计报告）初稿后30日内，承包人未书面提出异议或异议内容无合法依据的，视为承包人认可该报告数据，审核中介机构可以出具单方审核报告，发包人按审核报告结算工程款。</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14.2.6工程竣工结算总造价应控制在政府有关部门已批复的概算内，否则财政部门不予支付。</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14.2.7承包人提交竣工结算资料时必须提供预算软件导出的带有计价软件格式的电子结算文件。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14.4  最终结清</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14.4.1  最终结清申请单</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承包人提交最终结清申请单的份数： 按发包人要求提供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承包人提交最终结算申请单的期限：   按通用合同条款约定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14.4.2  最终结清证书和支付</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（1）发包人完成最终结清申请单的审批并颁发最终结清证书的期限： 按通用条款执行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（2）发包人完成支付的期限：  按通用条款执行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15  缺陷责任期与保修</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15.2  缺陷责任期</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缺陷责任期的具体期限：  详附件3 工程质量保修书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15.3 质量保证金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关于是否扣留质量保证金的约定：   是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在工程项目竣工前，承包人按专用合同条款第3.7条提供履约担保的，发包人不得同时预留工程质量保证金。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15.3.1 承包人提供质量保证金的方式</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质量保证金采用以下第  1 种方式：</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质量保证金保函，保证金额为：  结算审计价的1.5%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（2）保证保险，保证金额为：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（3） / %的工程款；</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（4）其他方式: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15.3.2  质量保证金的扣留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质量保证金的扣留采取以下第  /  种方式：</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（1）在支付工程进度款时逐次扣留，在此情形下，质量保证金的计算基数不包括预付款的支付、扣回以及价格调整的金额；</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（2）工程竣工结算时一次性扣留质量保证金；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（3）其他扣留方式: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关于质量保证金的补充约定：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15.4  保修</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15.4.1  保修责任</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工程保修期为：  详见工程质量保修书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15.4.3  修复通知</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承包人收到保修通知并到达工程现场的合理时间：按质量保修书执行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  违约</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16.1  发包人违约</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16.1.1  发包人违约的情形</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发包人违约的其他情形：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16.1.2  发包人违约的责任</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发包人违约责任的承担方式和计算方法：</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（1）因发包人原因未能在计划开工日期前7天内下达开工通知的违约责任：       另行协商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（2）因发包人原因未能按合同约定支付合同价款的违约责任：      另行协商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（3）发包人违反第10.1款〔变更的范围〕第（2）项约定，自行实施被取消的工作或转由他人实施的违约责任：  另行协商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          另行协商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（5）因发包人违反合同约定造成暂停施工的违约责任：         另行协商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（6）发包人无正当理由没有在约定期限内发出复工指示，导致承包人无法复工的违约责任：      另行协商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（7）其他：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16.1.3  因发包人违约解除合同</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承包人按16.1.1项〔发包人违约的情形〕约定暂停施工满 另行协商   天后发包人仍不纠正其违约行为并致使合同目的不能实现的，承包人有权解除合同。</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16.2  承包人违约</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16.2.1  承包人违约的情形</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承包人违约的其他情形：</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承包人未按3.1（10）条规定分包渣土运输业务的，承包人应支付   5000元              违约金；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（2）承包人未按照3.1（10）条规定加强建筑垃圾处置分包合同履约监管，出现分包单位使用不符合规定的车辆进出施工现场运输建筑垃圾或将建筑垃圾运输至非指定消纳场所等现象的，承包人应支付     5000元   违约金；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（3）承包人未做好工程垃圾处理出土处置台账的，承包人应支付     3000元          违约金；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（4）承包人在结算前未查验接纳回执，与运输、处置单位结算相关费用的，承包人应支付   3000元 违约金；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（5）承包人未按照已备案的渣土处置方案落实渣土处置措施的，承包人应支付 3000元                    违约金；</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6）其他：本合同通用条款第16.2.1款约定造成质量不合格的违约责任:承包方应保证每个施工环节的工程质量，发包方、监理工程师随时检查工程质量，若发现不符合相关质量验收评定标准及施工规范，每次扣罚相应质量履约保证金的10%，待竣工验收时，质量未达到招标文件要求或无法通过竣工验收的，承包人负责返修，直至达到要求，扣罚全部履约保证金, 并承担由此产生的违约责任及各方一切损失，费用经审核后从承包人合同价款中扣除（包括发包人损失）。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16.2.2  承包人违约的责任</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承包人违约责任的承担方式和计算方法： 按通用条款16.2.2条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16.2.3  因承包人违约解除合同</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关于承包人违约解除合同的特别约定：   按通用条款16.2.3条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      无偿提供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17  不可抗力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17.1  不可抗力的确认</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除通用合同条款约定的不可抗力事件之外，视为不可抗力的其他情形：  （1）引起本工程施工现场及周边主要道路中断超过三天的雨、雪、洪涝；</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（2）连续停水、停电超过48小时的；</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（3）政府下令停止或限制施工的台风、热带风暴，或政府下令停止施工连续超过三天的台风、热带风暴；</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（4）由于高考、中考、政府部门有重大活动等原因，政府要求停止或限制施工的。</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指定分包人在不可抗力事件发生后14天内，就延误的工期以书面形式向总包人、工程师提出报告。工程师在收到报告后28天内予以确认，逾期不予确认也不提出修改意见，视为同意顺延工期。。</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17.4  因不可抗力解除合同</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合同解除后，发包人应在商定或确定发包人应支付款项后 另行协商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天内完成款项的支付。</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18  保险</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18.1  工程保险</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关于工程保险的特别约定：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18.3  其他保险</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关于其他保险的约定： 承包人为建设工程和施工场地内的自有人员设备及第三方生命财产办理保险并支付保险费用，费用已包含在总价内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承包人是否应为其施工设备等办理财产保险：  是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18.7 通知义务</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关于变更保险合同时的通知义务的约定：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20  争议解决</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20.3  争议评审</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合同当事人是否同意将工程争议提交争议评审小组决定：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20.3.1  争议评审小组的确定</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争议评审小组成员的确定：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选定争议评审员的期限：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争议评审小组成员的报酬承担方式：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其他事项的约定：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20.3.2  争议评审小组的决定</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合同当事人关于本项的约定：             /            。</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20.4  仲裁或诉讼</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因合同及合同有关事项发生的争议，双方当事人一致同意提交/；但双方当事人特别约定下列解决方式中第  2  种方式解决争议的除外：</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（1）提交                        仲裁委员会申请仲裁；</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（2）依法向    工程所在地  人民法院起诉。</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21．其他补充事项的约定</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21.1 承包人在投标文件中隐含与招标文件相违背的内容，并且影响了发包人的利益，评标专家在评标中没有发现，并不代表发包人认可此内容，未经发包人同意此内容无效，此内容对发包人无约束力，应当按招标文件执行。</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21.2 当结算审核时发现投标商务标所有子项合价有误、以及合价之累计金额与中标价不一致时，累计金额大于中标价的差额视同投标人的优惠，结算审核时对投标文件的错误按以下原则进行调整：</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（1）如果数字表示的金额和用文字表示的金额不一致时，以文字表示的金额为准；</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（2）当单价与数量的乘积与合价不一致时，以合价为准修改单价。</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（3）合计累计金额与小计(合计)金额不一致的，以累计金额为准，并修改小计(合计)金额。</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21.3 承包人应确保民工工资的及时支付，如不及时支付，视作违约，发包人有权代承包人支付民工工资，并在工程款中扣除。</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21.4 承包人在本工程实施过程中不得以任何理由拒绝发包人要求的工程量的增加或减少及工作内容变更的指令。</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21.5 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 xml:space="preserve">    21.6 因重大会议或其它特殊情况，政府部门以任何形式发布相关停工通知的，所有项目必须无条件服从要求进行停工，各单位根据自己施工组织方案充分考虑组织措施增加费、技术措施增加费，人员、机械窝工及相关全部费用，在综合单价报价中充分考虑，自行报价；中标后不再调整费用，停工工期予以顺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21.7施工单位在施工中必须严格按图施工，确保工程质量和施工安全，设置安全警示牌及安全标语，必要时需配合发包人做好协调工作。</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21.8承包人在采购主要材料时，应提前将材料等生产厂商告知监理人及发包人，并应当提供主要材料的采购合同，采购合同中应明确相关材料的采购数量，材料性能指标要求等，以便监理人及发包人复核审查通过后使用。</w:t>
      </w:r>
    </w:p>
    <w:p>
      <w:pPr>
        <w:spacing w:before="162" w:line="440" w:lineRule="exact"/>
        <w:ind w:firstLine="480"/>
        <w:rPr>
          <w:rFonts w:hint="eastAsia" w:ascii="宋体" w:hAnsi="宋体" w:cs="宋体"/>
          <w:color w:val="auto"/>
          <w:szCs w:val="21"/>
        </w:rPr>
      </w:pP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附件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协议书附件：</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附件1：工程质量保修书</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附件2：廉政责任书</w:t>
      </w:r>
    </w:p>
    <w:p>
      <w:pPr>
        <w:spacing w:before="162" w:line="440" w:lineRule="exact"/>
        <w:ind w:firstLine="480"/>
        <w:rPr>
          <w:rFonts w:hint="eastAsia" w:ascii="宋体" w:hAnsi="宋体" w:cs="宋体"/>
          <w:color w:val="auto"/>
          <w:szCs w:val="21"/>
        </w:rPr>
      </w:pPr>
      <w:r>
        <w:rPr>
          <w:rFonts w:hint="eastAsia" w:ascii="宋体" w:hAnsi="宋体" w:cs="宋体"/>
          <w:color w:val="auto"/>
          <w:szCs w:val="21"/>
        </w:rPr>
        <w:t>附件3：建筑工程安全生产责任书</w:t>
      </w:r>
    </w:p>
    <w:p>
      <w:pPr>
        <w:spacing w:before="162" w:line="440" w:lineRule="exact"/>
        <w:ind w:firstLine="480"/>
        <w:rPr>
          <w:rFonts w:hint="eastAsia" w:ascii="宋体" w:hAnsi="宋体" w:cs="宋体"/>
          <w:color w:val="auto"/>
          <w:szCs w:val="21"/>
        </w:rPr>
      </w:pPr>
    </w:p>
    <w:p>
      <w:pPr>
        <w:spacing w:before="162" w:line="440" w:lineRule="exact"/>
        <w:ind w:firstLine="480"/>
        <w:rPr>
          <w:rFonts w:hint="eastAsia" w:ascii="宋体" w:hAnsi="宋体" w:cs="宋体"/>
          <w:color w:val="auto"/>
          <w:szCs w:val="21"/>
        </w:rPr>
      </w:pPr>
    </w:p>
    <w:p>
      <w:pPr>
        <w:spacing w:before="162" w:line="440" w:lineRule="exact"/>
        <w:ind w:firstLine="480"/>
        <w:rPr>
          <w:rFonts w:hint="eastAsia" w:ascii="宋体" w:hAnsi="宋体" w:cs="宋体"/>
          <w:color w:val="auto"/>
          <w:szCs w:val="21"/>
        </w:rPr>
      </w:pPr>
    </w:p>
    <w:p>
      <w:pPr>
        <w:spacing w:before="162" w:line="440" w:lineRule="exact"/>
        <w:ind w:firstLine="480"/>
        <w:rPr>
          <w:rFonts w:hint="eastAsia" w:ascii="宋体" w:hAnsi="宋体" w:cs="宋体"/>
          <w:color w:val="auto"/>
          <w:szCs w:val="21"/>
        </w:rPr>
      </w:pPr>
    </w:p>
    <w:p>
      <w:pPr>
        <w:spacing w:before="162" w:line="440" w:lineRule="exact"/>
        <w:ind w:firstLine="480"/>
        <w:rPr>
          <w:rFonts w:hint="eastAsia" w:ascii="宋体" w:hAnsi="宋体" w:cs="宋体"/>
          <w:color w:val="auto"/>
          <w:szCs w:val="21"/>
        </w:rPr>
      </w:pPr>
    </w:p>
    <w:p>
      <w:pPr>
        <w:spacing w:before="162" w:line="440" w:lineRule="exact"/>
        <w:ind w:firstLine="480"/>
        <w:rPr>
          <w:rFonts w:hint="eastAsia" w:ascii="宋体" w:hAnsi="宋体" w:cs="宋体"/>
          <w:color w:val="auto"/>
          <w:szCs w:val="21"/>
        </w:rPr>
      </w:pPr>
    </w:p>
    <w:bookmarkEnd w:id="910"/>
    <w:bookmarkEnd w:id="911"/>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hint="eastAsia" w:ascii="宋体" w:hAnsi="宋体" w:cs="宋体"/>
          <w:b/>
          <w:color w:val="auto"/>
          <w:sz w:val="36"/>
          <w:szCs w:val="20"/>
        </w:rPr>
      </w:pPr>
    </w:p>
    <w:p>
      <w:pPr>
        <w:spacing w:before="162" w:beforeLines="0" w:afterLines="0" w:line="440" w:lineRule="exact"/>
        <w:ind w:firstLine="480"/>
        <w:rPr>
          <w:rFonts w:hint="eastAsia" w:ascii="宋体" w:hAnsi="宋体" w:eastAsia="宋体" w:cs="宋体"/>
          <w:b/>
          <w:color w:val="auto"/>
          <w:sz w:val="21"/>
          <w:szCs w:val="21"/>
        </w:rPr>
      </w:pPr>
      <w:r>
        <w:rPr>
          <w:rFonts w:hint="eastAsia" w:ascii="宋体" w:hAnsi="宋体" w:eastAsia="宋体" w:cs="宋体"/>
          <w:b/>
          <w:color w:val="auto"/>
          <w:sz w:val="21"/>
          <w:szCs w:val="21"/>
        </w:rPr>
        <w:t>附件1:</w:t>
      </w:r>
    </w:p>
    <w:p>
      <w:pPr>
        <w:adjustRightInd/>
        <w:spacing w:before="120" w:beforeLines="50" w:after="120" w:afterLines="50" w:line="288" w:lineRule="auto"/>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工程质量保修书</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发包人（全称）：</w:t>
      </w:r>
      <w:r>
        <w:rPr>
          <w:rFonts w:hint="eastAsia" w:ascii="宋体" w:hAnsi="宋体" w:eastAsia="宋体" w:cs="宋体"/>
          <w:snapToGrid w:val="0"/>
          <w:color w:val="auto"/>
          <w:kern w:val="0"/>
          <w:sz w:val="21"/>
          <w:szCs w:val="21"/>
          <w:u w:val="single"/>
        </w:rPr>
        <w:t xml:space="preserve">                      </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承包人（全称）：</w:t>
      </w:r>
      <w:r>
        <w:rPr>
          <w:rFonts w:hint="eastAsia" w:ascii="宋体" w:hAnsi="宋体" w:eastAsia="宋体" w:cs="宋体"/>
          <w:snapToGrid w:val="0"/>
          <w:color w:val="auto"/>
          <w:kern w:val="0"/>
          <w:sz w:val="21"/>
          <w:szCs w:val="21"/>
          <w:u w:val="single"/>
        </w:rPr>
        <w:t xml:space="preserve">                        </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发包人和承包人根据《中华人民共和国建筑法》和《建设工程质量管理条例》，经协商一致就</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b/>
          <w:snapToGrid w:val="0"/>
          <w:color w:val="auto"/>
          <w:kern w:val="0"/>
          <w:sz w:val="21"/>
          <w:szCs w:val="21"/>
          <w:u w:val="single"/>
        </w:rPr>
        <w:t xml:space="preserve">                   </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（工程全称）签订工程质量保修书。</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一、工程质量保修范围和内容</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承包人在质量保修期内，按照有关法律规定和合同约定，承担工程质量保修责任。</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u w:val="single"/>
        </w:rPr>
        <w:t xml:space="preserve">      双方约定对施工承包范围内的所有内容实行保修       </w:t>
      </w:r>
      <w:r>
        <w:rPr>
          <w:rFonts w:hint="eastAsia" w:ascii="宋体" w:hAnsi="宋体" w:eastAsia="宋体" w:cs="宋体"/>
          <w:snapToGrid w:val="0"/>
          <w:color w:val="auto"/>
          <w:kern w:val="0"/>
          <w:sz w:val="21"/>
          <w:szCs w:val="21"/>
        </w:rPr>
        <w:t>。</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二、质量保修期</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根据《建设工程质量管理条例》及有关规定，工程的质量保修期如下：</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1．地基基础工程和主体结构工程为设计文件规定的工程合理使用年限；</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2．屋面防水工程、有防水要求的卫生间、房间和外墙面的防渗为</w:t>
      </w:r>
      <w:r>
        <w:rPr>
          <w:rFonts w:hint="eastAsia" w:ascii="宋体" w:hAnsi="宋体" w:eastAsia="宋体" w:cs="宋体"/>
          <w:snapToGrid w:val="0"/>
          <w:color w:val="auto"/>
          <w:kern w:val="0"/>
          <w:sz w:val="21"/>
          <w:szCs w:val="21"/>
          <w:u w:val="single"/>
        </w:rPr>
        <w:t xml:space="preserve"> 5 </w:t>
      </w:r>
      <w:r>
        <w:rPr>
          <w:rFonts w:hint="eastAsia" w:ascii="宋体" w:hAnsi="宋体" w:eastAsia="宋体" w:cs="宋体"/>
          <w:snapToGrid w:val="0"/>
          <w:color w:val="auto"/>
          <w:kern w:val="0"/>
          <w:sz w:val="21"/>
          <w:szCs w:val="21"/>
        </w:rPr>
        <w:t>年；</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3．装修工程为</w:t>
      </w:r>
      <w:r>
        <w:rPr>
          <w:rFonts w:hint="eastAsia" w:ascii="宋体" w:hAnsi="宋体" w:eastAsia="宋体" w:cs="宋体"/>
          <w:snapToGrid w:val="0"/>
          <w:color w:val="auto"/>
          <w:kern w:val="0"/>
          <w:sz w:val="21"/>
          <w:szCs w:val="21"/>
          <w:u w:val="single"/>
        </w:rPr>
        <w:t xml:space="preserve">  2  </w:t>
      </w:r>
      <w:r>
        <w:rPr>
          <w:rFonts w:hint="eastAsia" w:ascii="宋体" w:hAnsi="宋体" w:eastAsia="宋体" w:cs="宋体"/>
          <w:snapToGrid w:val="0"/>
          <w:color w:val="auto"/>
          <w:kern w:val="0"/>
          <w:sz w:val="21"/>
          <w:szCs w:val="21"/>
        </w:rPr>
        <w:t>年；</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4．电气管线、给排水管道、设备安装工程为</w:t>
      </w:r>
      <w:r>
        <w:rPr>
          <w:rFonts w:hint="eastAsia" w:ascii="宋体" w:hAnsi="宋体" w:eastAsia="宋体" w:cs="宋体"/>
          <w:snapToGrid w:val="0"/>
          <w:color w:val="auto"/>
          <w:kern w:val="0"/>
          <w:sz w:val="21"/>
          <w:szCs w:val="21"/>
          <w:u w:val="single"/>
        </w:rPr>
        <w:t xml:space="preserve"> 2  </w:t>
      </w:r>
      <w:r>
        <w:rPr>
          <w:rFonts w:hint="eastAsia" w:ascii="宋体" w:hAnsi="宋体" w:eastAsia="宋体" w:cs="宋体"/>
          <w:snapToGrid w:val="0"/>
          <w:color w:val="auto"/>
          <w:kern w:val="0"/>
          <w:sz w:val="21"/>
          <w:szCs w:val="21"/>
        </w:rPr>
        <w:t>年；</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5．供热与供冷系统为</w:t>
      </w:r>
      <w:r>
        <w:rPr>
          <w:rFonts w:hint="eastAsia" w:ascii="宋体" w:hAnsi="宋体" w:eastAsia="宋体" w:cs="宋体"/>
          <w:snapToGrid w:val="0"/>
          <w:color w:val="auto"/>
          <w:kern w:val="0"/>
          <w:sz w:val="21"/>
          <w:szCs w:val="21"/>
          <w:u w:val="single"/>
        </w:rPr>
        <w:t xml:space="preserve"> 2 </w:t>
      </w:r>
      <w:r>
        <w:rPr>
          <w:rFonts w:hint="eastAsia" w:ascii="宋体" w:hAnsi="宋体" w:eastAsia="宋体" w:cs="宋体"/>
          <w:snapToGrid w:val="0"/>
          <w:color w:val="auto"/>
          <w:kern w:val="0"/>
          <w:sz w:val="21"/>
          <w:szCs w:val="21"/>
        </w:rPr>
        <w:t>个采暖期、供冷期；</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6．住宅小区内的给排水设施、道路等配套工程为</w:t>
      </w:r>
      <w:r>
        <w:rPr>
          <w:rFonts w:hint="eastAsia" w:ascii="宋体" w:hAnsi="宋体" w:eastAsia="宋体" w:cs="宋体"/>
          <w:snapToGrid w:val="0"/>
          <w:color w:val="auto"/>
          <w:kern w:val="0"/>
          <w:sz w:val="21"/>
          <w:szCs w:val="21"/>
          <w:u w:val="single"/>
        </w:rPr>
        <w:t xml:space="preserve">2  </w:t>
      </w:r>
      <w:r>
        <w:rPr>
          <w:rFonts w:hint="eastAsia" w:ascii="宋体" w:hAnsi="宋体" w:eastAsia="宋体" w:cs="宋体"/>
          <w:snapToGrid w:val="0"/>
          <w:color w:val="auto"/>
          <w:kern w:val="0"/>
          <w:sz w:val="21"/>
          <w:szCs w:val="21"/>
        </w:rPr>
        <w:t>年；</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7．其他项目保修期限约定如下：</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质量保修期自工程竣工验收合格之日起计算。</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三、缺陷责任期</w:t>
      </w:r>
    </w:p>
    <w:p>
      <w:pPr>
        <w:adjustRightInd/>
        <w:spacing w:beforeLines="0" w:afterLines="0" w:line="360"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工程缺陷责任期为</w:t>
      </w:r>
      <w:r>
        <w:rPr>
          <w:rFonts w:hint="eastAsia" w:ascii="宋体" w:hAnsi="宋体" w:eastAsia="宋体" w:cs="宋体"/>
          <w:snapToGrid w:val="0"/>
          <w:color w:val="auto"/>
          <w:kern w:val="0"/>
          <w:sz w:val="21"/>
          <w:szCs w:val="21"/>
          <w:u w:val="single"/>
        </w:rPr>
        <w:t xml:space="preserve">  24  </w:t>
      </w:r>
      <w:r>
        <w:rPr>
          <w:rFonts w:hint="eastAsia" w:ascii="宋体" w:hAnsi="宋体" w:eastAsia="宋体" w:cs="宋体"/>
          <w:snapToGrid w:val="0"/>
          <w:color w:val="auto"/>
          <w:kern w:val="0"/>
          <w:sz w:val="21"/>
          <w:szCs w:val="21"/>
        </w:rPr>
        <w:t>个月，缺陷责任期自工程通过竣工验收合格之日起计算。单位工程先于全部工程进行验收，单位工程缺陷责任期自单位工程验收合格之日起计算。</w:t>
      </w:r>
    </w:p>
    <w:p>
      <w:pPr>
        <w:adjustRightInd/>
        <w:spacing w:beforeLines="0" w:afterLines="0" w:line="288"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缺陷责任期终止后，发包人应退还剩余的质量保证金。</w:t>
      </w:r>
    </w:p>
    <w:p>
      <w:pPr>
        <w:adjustRightInd/>
        <w:spacing w:beforeLines="0" w:afterLines="0" w:line="288"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四、质量保修责任</w:t>
      </w:r>
    </w:p>
    <w:p>
      <w:pPr>
        <w:adjustRightInd/>
        <w:spacing w:beforeLines="0" w:afterLines="0" w:line="288" w:lineRule="auto"/>
        <w:ind w:left="105" w:leftChars="50" w:firstLine="430" w:firstLineChars="205"/>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1．属于保修范围、内容的项目，承包人应当在接到保修通知之日起7天内派人保修。承包人不在约定期限内派人保修的，发包人可以委托他人修理。</w:t>
      </w:r>
    </w:p>
    <w:p>
      <w:pPr>
        <w:adjustRightInd/>
        <w:spacing w:beforeLines="0" w:afterLines="0" w:line="300" w:lineRule="auto"/>
        <w:ind w:left="105" w:leftChars="50" w:firstLine="430" w:firstLineChars="205"/>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2．发生紧急事故需抢修的，承包人在接到事故通知后，应当立即到达事故现场抢修。</w:t>
      </w:r>
    </w:p>
    <w:p>
      <w:pPr>
        <w:adjustRightInd/>
        <w:spacing w:beforeLines="0" w:afterLines="0" w:line="300" w:lineRule="auto"/>
        <w:ind w:left="105" w:leftChars="50" w:firstLine="430" w:firstLineChars="205"/>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beforeLines="0" w:afterLines="0" w:line="300" w:lineRule="auto"/>
        <w:ind w:left="420" w:leftChars="200" w:firstLine="105" w:firstLineChars="5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4．质量保修完成后，由发包人组织验收。</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五、保修费用</w:t>
      </w:r>
    </w:p>
    <w:p>
      <w:pPr>
        <w:adjustRightInd/>
        <w:spacing w:beforeLines="0" w:afterLines="0" w:line="300" w:lineRule="auto"/>
        <w:ind w:firstLine="48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保修费用由造成质量缺陷的责任方承担。</w:t>
      </w:r>
    </w:p>
    <w:p>
      <w:pPr>
        <w:adjustRightInd/>
        <w:spacing w:beforeLines="0" w:afterLines="0" w:line="360" w:lineRule="auto"/>
        <w:ind w:firstLine="600"/>
        <w:jc w:val="left"/>
        <w:rPr>
          <w:rFonts w:hint="eastAsia" w:ascii="宋体" w:hAnsi="宋体" w:eastAsia="宋体" w:cs="宋体"/>
          <w:snapToGrid w:val="0"/>
          <w:color w:val="auto"/>
          <w:kern w:val="0"/>
          <w:sz w:val="21"/>
          <w:szCs w:val="21"/>
          <w:u w:val="single"/>
        </w:rPr>
      </w:pPr>
      <w:r>
        <w:rPr>
          <w:rFonts w:hint="eastAsia" w:ascii="宋体" w:hAnsi="宋体" w:eastAsia="宋体" w:cs="宋体"/>
          <w:b/>
          <w:snapToGrid w:val="0"/>
          <w:color w:val="auto"/>
          <w:kern w:val="0"/>
          <w:sz w:val="21"/>
          <w:szCs w:val="21"/>
        </w:rPr>
        <w:t>六</w:t>
      </w:r>
      <w:r>
        <w:rPr>
          <w:rFonts w:hint="eastAsia" w:ascii="宋体" w:hAnsi="宋体" w:eastAsia="宋体" w:cs="宋体"/>
          <w:snapToGrid w:val="0"/>
          <w:color w:val="auto"/>
          <w:kern w:val="0"/>
          <w:sz w:val="21"/>
          <w:szCs w:val="21"/>
        </w:rPr>
        <w:t>、双方约定的其他工程质量保修事项：</w:t>
      </w:r>
      <w:r>
        <w:rPr>
          <w:rFonts w:hint="eastAsia" w:ascii="宋体" w:hAnsi="宋体" w:eastAsia="宋体" w:cs="宋体"/>
          <w:snapToGrid w:val="0"/>
          <w:color w:val="auto"/>
          <w:kern w:val="0"/>
          <w:sz w:val="21"/>
          <w:szCs w:val="21"/>
          <w:u w:val="single"/>
        </w:rPr>
        <w:t>工程质量保证金在工程缺陷期满后，扣除相应的扣款（由于乙方维修不及时而甲方自行维修的费用）后，结清余款（无息）。</w:t>
      </w:r>
    </w:p>
    <w:p>
      <w:pPr>
        <w:adjustRightInd/>
        <w:spacing w:beforeLines="0" w:afterLines="0" w:line="360" w:lineRule="auto"/>
        <w:ind w:firstLine="6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宋体" w:hAnsi="宋体" w:eastAsia="宋体" w:cs="宋体"/>
          <w:snapToGrid w:val="0"/>
          <w:color w:val="auto"/>
          <w:kern w:val="0"/>
          <w:sz w:val="21"/>
          <w:szCs w:val="21"/>
        </w:rPr>
        <w:t>。</w:t>
      </w:r>
    </w:p>
    <w:p>
      <w:pPr>
        <w:adjustRightInd/>
        <w:spacing w:beforeLines="0" w:afterLines="0" w:line="300" w:lineRule="auto"/>
        <w:ind w:firstLine="399" w:firstLineChars="19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工程质量保修书由发包人、承包人在工程竣工验收前共同签署，作为施工合同附件，其有效期限至保修期满。</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发包人(公章)：</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承包人(公章)：</w:t>
      </w:r>
      <w:r>
        <w:rPr>
          <w:rFonts w:hint="eastAsia" w:ascii="宋体" w:hAnsi="宋体" w:eastAsia="宋体" w:cs="宋体"/>
          <w:snapToGrid w:val="0"/>
          <w:color w:val="auto"/>
          <w:kern w:val="0"/>
          <w:sz w:val="21"/>
          <w:szCs w:val="21"/>
          <w:u w:val="single"/>
        </w:rPr>
        <w:t xml:space="preserve">         </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地  址：</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地  址：</w:t>
      </w:r>
      <w:r>
        <w:rPr>
          <w:rFonts w:hint="eastAsia" w:ascii="宋体" w:hAnsi="宋体" w:eastAsia="宋体" w:cs="宋体"/>
          <w:snapToGrid w:val="0"/>
          <w:color w:val="auto"/>
          <w:kern w:val="0"/>
          <w:sz w:val="21"/>
          <w:szCs w:val="21"/>
          <w:u w:val="single"/>
        </w:rPr>
        <w:t>      </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法定代表人(签字)：</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法定代表人(签字)：</w:t>
      </w:r>
      <w:r>
        <w:rPr>
          <w:rFonts w:hint="eastAsia" w:ascii="宋体" w:hAnsi="宋体" w:eastAsia="宋体" w:cs="宋体"/>
          <w:snapToGrid w:val="0"/>
          <w:color w:val="auto"/>
          <w:kern w:val="0"/>
          <w:sz w:val="21"/>
          <w:szCs w:val="21"/>
          <w:u w:val="single"/>
        </w:rPr>
        <w:t xml:space="preserve">        </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委托代理人(签字)：</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委托代理人(签字)：</w:t>
      </w:r>
      <w:r>
        <w:rPr>
          <w:rFonts w:hint="eastAsia" w:ascii="宋体" w:hAnsi="宋体" w:eastAsia="宋体" w:cs="宋体"/>
          <w:snapToGrid w:val="0"/>
          <w:color w:val="auto"/>
          <w:kern w:val="0"/>
          <w:sz w:val="21"/>
          <w:szCs w:val="21"/>
          <w:u w:val="single"/>
        </w:rPr>
        <w:t xml:space="preserve">        </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电  话：</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电  话：</w:t>
      </w:r>
      <w:r>
        <w:rPr>
          <w:rFonts w:hint="eastAsia" w:ascii="宋体" w:hAnsi="宋体" w:eastAsia="宋体" w:cs="宋体"/>
          <w:snapToGrid w:val="0"/>
          <w:color w:val="auto"/>
          <w:kern w:val="0"/>
          <w:sz w:val="21"/>
          <w:szCs w:val="21"/>
          <w:u w:val="single"/>
        </w:rPr>
        <w:t xml:space="preserve">       </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传  真：</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传  真：</w:t>
      </w:r>
      <w:r>
        <w:rPr>
          <w:rFonts w:hint="eastAsia" w:ascii="宋体" w:hAnsi="宋体" w:eastAsia="宋体" w:cs="宋体"/>
          <w:snapToGrid w:val="0"/>
          <w:color w:val="auto"/>
          <w:kern w:val="0"/>
          <w:sz w:val="21"/>
          <w:szCs w:val="21"/>
          <w:u w:val="single"/>
        </w:rPr>
        <w:t xml:space="preserve">       </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开户银行：</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开户银行：</w:t>
      </w:r>
      <w:r>
        <w:rPr>
          <w:rFonts w:hint="eastAsia" w:ascii="宋体" w:hAnsi="宋体" w:eastAsia="宋体" w:cs="宋体"/>
          <w:snapToGrid w:val="0"/>
          <w:color w:val="auto"/>
          <w:kern w:val="0"/>
          <w:sz w:val="21"/>
          <w:szCs w:val="21"/>
          <w:u w:val="single"/>
        </w:rPr>
        <w:t xml:space="preserve">        </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账  号：</w:t>
      </w:r>
      <w:r>
        <w:rPr>
          <w:rFonts w:hint="eastAsia" w:ascii="宋体" w:hAnsi="宋体" w:eastAsia="宋体" w:cs="宋体"/>
          <w:snapToGrid w:val="0"/>
          <w:color w:val="auto"/>
          <w:kern w:val="0"/>
          <w:sz w:val="21"/>
          <w:szCs w:val="21"/>
          <w:u w:val="single"/>
        </w:rPr>
        <w:t>      </w:t>
      </w:r>
      <w:r>
        <w:rPr>
          <w:rFonts w:hint="eastAsia" w:ascii="宋体" w:hAnsi="宋体" w:eastAsia="宋体" w:cs="宋体"/>
          <w:snapToGrid w:val="0"/>
          <w:color w:val="auto"/>
          <w:kern w:val="0"/>
          <w:sz w:val="21"/>
          <w:szCs w:val="21"/>
        </w:rPr>
        <w:t xml:space="preserve">                   账  号：</w:t>
      </w:r>
      <w:r>
        <w:rPr>
          <w:rFonts w:hint="eastAsia" w:ascii="宋体" w:hAnsi="宋体" w:eastAsia="宋体" w:cs="宋体"/>
          <w:snapToGrid w:val="0"/>
          <w:color w:val="auto"/>
          <w:kern w:val="0"/>
          <w:sz w:val="21"/>
          <w:szCs w:val="21"/>
          <w:u w:val="single"/>
        </w:rPr>
        <w:t xml:space="preserve">        </w:t>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邮政编码：</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邮政编码：</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  </w:t>
      </w:r>
    </w:p>
    <w:p>
      <w:pPr>
        <w:spacing w:beforeLines="0" w:afterLines="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br w:type="page"/>
      </w:r>
    </w:p>
    <w:p>
      <w:pPr>
        <w:adjustRightInd/>
        <w:spacing w:beforeLines="0" w:afterLines="0" w:line="30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xml:space="preserve">            </w:t>
      </w:r>
    </w:p>
    <w:p>
      <w:pPr>
        <w:spacing w:beforeLines="0" w:afterLines="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附件2                               </w:t>
      </w:r>
    </w:p>
    <w:p>
      <w:pPr>
        <w:pStyle w:val="35"/>
        <w:spacing w:beforeLines="0" w:afterLines="0" w:line="4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廉政责任书</w:t>
      </w:r>
    </w:p>
    <w:p>
      <w:pPr>
        <w:snapToGrid w:val="0"/>
        <w:spacing w:beforeLines="0" w:afterLines="0" w:line="44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根据有关工程建设、廉政建设的规定，为做好工程建设中的党风廉政建设，保证工程建设高效优质，保证建设资金的安全和有效使用以及投资效益，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（以下称甲方）与承包人（以下称乙方），特订立如下合同。</w:t>
      </w:r>
    </w:p>
    <w:p>
      <w:pPr>
        <w:snapToGrid w:val="0"/>
        <w:spacing w:beforeLines="0" w:afterLines="0" w:line="440" w:lineRule="exact"/>
        <w:ind w:firstLine="573"/>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第一条　甲乙双方的权利和义务</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（一）严格遵守党和国家有关法律法规及建设部的有关规定。</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（二）严格执行施工合同文件，自觉按合同办事。</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（三）双方的业务活动坚持公开、公正、诚信、透明的原则（除法律认定的商业秘密和合同文件另有规定之外），不得损害国家和集体利益，违反工程建设管理规章制度。</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（四）建立健全廉政制度，开展廉政教育，设立廉政告示牌，公布举报电话，监督并认真查处违法违纪行为。</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（五）发现对方在业务活动中有违反廉政规定的行为，有及时提醒对方纠正的权利和义务。</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（六）发现对方严重违反本合同义务条款的行为，有向其上级有关部门举报、建议给予处理并要求告知处理结果的权利。</w:t>
      </w:r>
    </w:p>
    <w:p>
      <w:pPr>
        <w:snapToGrid w:val="0"/>
        <w:spacing w:beforeLines="0" w:afterLines="0" w:line="440" w:lineRule="exact"/>
        <w:ind w:firstLine="573"/>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第二条　甲方的义务</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（一）甲方及其工作人员不得索要或接受乙方的礼金、有价证券和贵重物品，不得在乙方报销任何应由甲方或个人支付的费用等。</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（二）甲方工作人员不得参加乙方安排的超标准宴请和娱乐活动，不得接受乙方提供的通讯工具、交通工具和高档办公用品等。</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（三）甲方及其工作人员不得要求或者接受乙方为其住房装修、婚丧嫁娶活动、配偶子女的工作安排以及出国出境、旅游等提供方便等。</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（四）甲方工作人员的配偶、子女不得从事与甲方工程有关的材料设备供应、工程分包、劳务等经济活动等。</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（五）甲方及其工作人员不得以任何理由向乙方推荐分包单位，不得要求乙方购买合同外的材料和设备。</w:t>
      </w:r>
    </w:p>
    <w:p>
      <w:pPr>
        <w:snapToGrid w:val="0"/>
        <w:spacing w:beforeLines="0" w:afterLines="0" w:line="440" w:lineRule="exact"/>
        <w:ind w:firstLine="573"/>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第三条　乙方义务</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（一）乙方不得以任何理由向甲方及其工作人员行贿或馈赠礼金，有价证券、贵重礼品。</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（二）乙方不得以任何名义为甲方及其工作人员报销应由甲方单位或个人支付的任何费用。</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（三）乙方不得以任何理由安排甲方工作人员参加超标准宴请及娱乐活动。</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（四）乙方不得为甲方单位和个人购置或提供通讯工具、交通工具和高档办公用品等。</w:t>
      </w:r>
    </w:p>
    <w:p>
      <w:pPr>
        <w:snapToGrid w:val="0"/>
        <w:spacing w:beforeLines="0" w:afterLines="0" w:line="440" w:lineRule="exact"/>
        <w:ind w:firstLine="573"/>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第四条　违约责任</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（一）甲方及其工作人员违反本合同第一、二条，按管理权限，依据有关规定给予党纪、政纪或组织处理；涉嫌犯罪的，移交司法机关追究刑事责任；给乙方单位造成经济损失的，应予以赔偿。</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p>
    <w:p>
      <w:pPr>
        <w:snapToGrid w:val="0"/>
        <w:spacing w:beforeLines="0" w:afterLines="0" w:line="440" w:lineRule="exact"/>
        <w:ind w:firstLine="573"/>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第五条　双方约定</w:t>
      </w:r>
    </w:p>
    <w:p>
      <w:pPr>
        <w:snapToGrid w:val="0"/>
        <w:spacing w:beforeLines="0" w:afterLines="0" w:line="440" w:lineRule="exact"/>
        <w:ind w:firstLine="573"/>
        <w:rPr>
          <w:rFonts w:hint="eastAsia" w:ascii="宋体" w:hAnsi="宋体" w:eastAsia="宋体" w:cs="宋体"/>
          <w:color w:val="auto"/>
          <w:sz w:val="21"/>
          <w:szCs w:val="21"/>
        </w:rPr>
      </w:pPr>
      <w:r>
        <w:rPr>
          <w:rFonts w:hint="eastAsia" w:ascii="宋体" w:hAnsi="宋体" w:eastAsia="宋体" w:cs="宋体"/>
          <w:color w:val="auto"/>
          <w:sz w:val="21"/>
          <w:szCs w:val="21"/>
        </w:rPr>
        <w:t>本合同由双方或双方上级单位的纪检监察机关负责监督。由甲方或甲方上级单位的纪检监察机关约请乙方或乙方上级单位纪检监察机关对本合同履行情况进行检查提出在本合同规定范围内的裁定意见。</w:t>
      </w:r>
    </w:p>
    <w:p>
      <w:pPr>
        <w:snapToGrid w:val="0"/>
        <w:spacing w:beforeLines="0" w:afterLines="0" w:line="440" w:lineRule="exact"/>
        <w:ind w:firstLine="573"/>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第六条　</w:t>
      </w:r>
      <w:r>
        <w:rPr>
          <w:rFonts w:hint="eastAsia" w:ascii="宋体" w:hAnsi="宋体" w:eastAsia="宋体" w:cs="宋体"/>
          <w:color w:val="auto"/>
          <w:sz w:val="21"/>
          <w:szCs w:val="21"/>
        </w:rPr>
        <w:t>本合同有效期为甲乙双方签署之日起至该工程项目竣工验收后止。</w:t>
      </w:r>
    </w:p>
    <w:p>
      <w:pPr>
        <w:snapToGrid w:val="0"/>
        <w:spacing w:beforeLines="0" w:afterLines="0" w:line="440" w:lineRule="exact"/>
        <w:ind w:firstLine="573"/>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第七条　</w:t>
      </w:r>
      <w:r>
        <w:rPr>
          <w:rFonts w:hint="eastAsia" w:ascii="宋体" w:hAnsi="宋体" w:eastAsia="宋体" w:cs="宋体"/>
          <w:color w:val="auto"/>
          <w:sz w:val="21"/>
          <w:szCs w:val="21"/>
        </w:rPr>
        <w:t>本合同作为施工合同的附件，与工程施工合同具有同等的法律效力，经合同双方签署立即生效。</w:t>
      </w:r>
    </w:p>
    <w:p>
      <w:pPr>
        <w:snapToGrid w:val="0"/>
        <w:spacing w:beforeLines="0" w:afterLines="0" w:line="440" w:lineRule="exact"/>
        <w:ind w:firstLine="573"/>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第八条　</w:t>
      </w:r>
      <w:r>
        <w:rPr>
          <w:rFonts w:hint="eastAsia" w:ascii="宋体" w:hAnsi="宋体" w:eastAsia="宋体" w:cs="宋体"/>
          <w:color w:val="auto"/>
          <w:sz w:val="21"/>
          <w:szCs w:val="21"/>
        </w:rPr>
        <w:t>本合同与施工合同份数一致。</w:t>
      </w:r>
    </w:p>
    <w:p>
      <w:pPr>
        <w:snapToGrid w:val="0"/>
        <w:spacing w:beforeLines="0" w:afterLines="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甲方单位：（盖章）                      乙方单位：（盖章）</w:t>
      </w:r>
    </w:p>
    <w:p>
      <w:pPr>
        <w:snapToGrid w:val="0"/>
        <w:spacing w:beforeLines="0" w:afterLines="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法定代表人（签字或盖章）：              法定代表人（签字或盖章）：</w:t>
      </w:r>
    </w:p>
    <w:p>
      <w:pPr>
        <w:spacing w:beforeLines="0" w:afterLines="0" w:line="48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年  月  日                              年  月  日</w:t>
      </w:r>
    </w:p>
    <w:p>
      <w:pPr>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spacing w:beforeLines="0" w:afterLines="0" w:line="440" w:lineRule="exact"/>
        <w:jc w:val="left"/>
        <w:rPr>
          <w:rFonts w:hint="eastAsia" w:ascii="宋体" w:hAnsi="宋体" w:eastAsia="宋体" w:cs="宋体"/>
          <w:b/>
          <w:color w:val="auto"/>
          <w:sz w:val="21"/>
          <w:szCs w:val="21"/>
        </w:rPr>
      </w:pPr>
      <w:r>
        <w:rPr>
          <w:rFonts w:hint="eastAsia" w:ascii="宋体" w:hAnsi="宋体" w:eastAsia="宋体" w:cs="宋体"/>
          <w:color w:val="auto"/>
          <w:sz w:val="21"/>
          <w:szCs w:val="21"/>
        </w:rPr>
        <w:t>附件3</w:t>
      </w:r>
    </w:p>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b/>
          <w:color w:val="auto"/>
          <w:sz w:val="21"/>
          <w:szCs w:val="21"/>
        </w:rPr>
        <w:t>建筑工程安全生产责任书</w:t>
      </w:r>
    </w:p>
    <w:p>
      <w:pPr>
        <w:spacing w:beforeLines="0" w:afterLines="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（以下简称甲方）</w:t>
      </w:r>
    </w:p>
    <w:p>
      <w:pPr>
        <w:spacing w:beforeLines="0" w:afterLines="0" w:line="440" w:lineRule="exact"/>
        <w:ind w:left="72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以下简称乙方）</w:t>
      </w:r>
    </w:p>
    <w:p>
      <w:pPr>
        <w:spacing w:beforeLines="0" w:afterLines="0" w:line="440" w:lineRule="exact"/>
        <w:ind w:firstLine="732"/>
        <w:rPr>
          <w:rFonts w:hint="eastAsia" w:ascii="宋体" w:hAnsi="宋体" w:eastAsia="宋体" w:cs="宋体"/>
          <w:color w:val="auto"/>
          <w:sz w:val="21"/>
          <w:szCs w:val="21"/>
        </w:rPr>
      </w:pPr>
      <w:r>
        <w:rPr>
          <w:rFonts w:hint="eastAsia" w:ascii="宋体" w:hAnsi="宋体" w:eastAsia="宋体" w:cs="宋体"/>
          <w:color w:val="auto"/>
          <w:kern w:val="0"/>
          <w:sz w:val="21"/>
          <w:szCs w:val="21"/>
        </w:rPr>
        <w:t>为进一步贯彻“安全第一，预防为主，综合治理”的方针，加强安全生产管理，建立有效的安全生产激励和约束机制，全面落实安全生产责任，确保全区安全生产形势持续稳定，根据《中华人民共和国安全生产法》、《浙江省安全生产条例》和《杭州市安全生产目标责任制规定》等有关规定，结合规划建设处安全生产目标管理要求，城管办</w:t>
      </w:r>
      <w:r>
        <w:rPr>
          <w:rFonts w:hint="eastAsia" w:ascii="宋体" w:hAnsi="宋体" w:eastAsia="宋体" w:cs="宋体"/>
          <w:color w:val="auto"/>
          <w:sz w:val="21"/>
          <w:szCs w:val="21"/>
        </w:rPr>
        <w:t>（甲方）与你单位（乙方）签订</w:t>
      </w:r>
      <w:r>
        <w:rPr>
          <w:rFonts w:hint="eastAsia" w:ascii="宋体" w:hAnsi="宋体" w:eastAsia="宋体" w:cs="宋体"/>
          <w:color w:val="auto"/>
          <w:kern w:val="0"/>
          <w:sz w:val="21"/>
          <w:szCs w:val="21"/>
        </w:rPr>
        <w:t>项目安全</w:t>
      </w:r>
      <w:r>
        <w:rPr>
          <w:rFonts w:hint="eastAsia" w:ascii="宋体" w:hAnsi="宋体" w:eastAsia="宋体" w:cs="宋体"/>
          <w:color w:val="auto"/>
          <w:sz w:val="21"/>
          <w:szCs w:val="21"/>
        </w:rPr>
        <w:t>责任书。</w:t>
      </w:r>
    </w:p>
    <w:p>
      <w:pPr>
        <w:spacing w:beforeLines="0" w:afterLines="0" w:line="4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一、工作目标</w:t>
      </w:r>
    </w:p>
    <w:p>
      <w:pPr>
        <w:spacing w:beforeLines="0" w:afterLines="0" w:line="44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责任范围内禁止发生伤亡事故。</w:t>
      </w:r>
    </w:p>
    <w:p>
      <w:pPr>
        <w:spacing w:beforeLines="0" w:afterLines="0" w:line="4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二、工作职责</w:t>
      </w:r>
    </w:p>
    <w:p>
      <w:pPr>
        <w:spacing w:beforeLines="0" w:afterLines="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1、乙方在施工作业前，须开展行之有效的安全生产宣传教育活动，加强施工人员的安全施工知识培训，提高作业人员的安全技术素质和安全防范意识；</w:t>
      </w:r>
    </w:p>
    <w:p>
      <w:pPr>
        <w:spacing w:beforeLines="0" w:afterLines="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2、乙方在安排施工时必须对该项目进行风险预评价，并提出周密的防范措施；要定期对各施工点、项目部进行检查，确保各项安全措施落实到位；</w:t>
      </w:r>
    </w:p>
    <w:p>
      <w:pPr>
        <w:spacing w:beforeLines="0" w:afterLines="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3、乙方在施工期间须设立施工指示牌，做好现场的施工维护。若需占道施工，需向交警等有关部门办理手续，确保过往行人及车辆的安全；</w:t>
      </w:r>
    </w:p>
    <w:p>
      <w:pPr>
        <w:spacing w:beforeLines="0" w:afterLines="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4、乙方须加强施工机械管理，严格执行操作规程，消除安全隐患，防止各类事故的发生；</w:t>
      </w:r>
    </w:p>
    <w:p>
      <w:pPr>
        <w:spacing w:beforeLines="0" w:afterLines="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5、甲方需不定期深入现场检查安全施工情况，提出整改意见，对发现的安全隐患问题要及时发出通知书，督促其限期整改；</w:t>
      </w:r>
    </w:p>
    <w:p>
      <w:pPr>
        <w:spacing w:beforeLines="0" w:afterLines="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6、若在施工期间因违规操作或出现质量问题等造成安全事故的，给他人或社会造成伤害和经济损失的，由乙方负全责。</w:t>
      </w:r>
    </w:p>
    <w:p>
      <w:pPr>
        <w:spacing w:beforeLines="0" w:afterLines="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7、按照“谁主管，谁负责”的原则，责任书签字人如工作变动，接任人为当然负责人。</w:t>
      </w:r>
    </w:p>
    <w:p>
      <w:pPr>
        <w:spacing w:beforeLines="0" w:afterLines="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甲方单位（公章）：                   乙方单位（公章）：</w:t>
      </w:r>
    </w:p>
    <w:p>
      <w:pPr>
        <w:spacing w:beforeLines="0" w:afterLines="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甲方负责人（签字或盖章）：           乙方负责人（签字或盖章）：</w:t>
      </w:r>
    </w:p>
    <w:p>
      <w:pPr>
        <w:pStyle w:val="24"/>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年    月    日                       年    月    日</w:t>
      </w:r>
    </w:p>
    <w:p>
      <w:pPr>
        <w:spacing w:beforeLines="0" w:afterLines="0" w:line="360" w:lineRule="auto"/>
        <w:ind w:left="-420" w:leftChars="-200" w:right="-420" w:rightChars="-200" w:firstLine="420" w:firstLineChars="200"/>
        <w:jc w:val="center"/>
        <w:outlineLvl w:val="0"/>
        <w:rPr>
          <w:rFonts w:hint="eastAsia" w:ascii="宋体" w:hAnsi="宋体" w:eastAsia="宋体" w:cs="宋体"/>
          <w:color w:val="auto"/>
          <w:sz w:val="21"/>
          <w:szCs w:val="21"/>
        </w:rPr>
      </w:pPr>
    </w:p>
    <w:p>
      <w:pPr>
        <w:spacing w:beforeLines="0" w:afterLines="0" w:line="360" w:lineRule="auto"/>
        <w:ind w:left="-420" w:leftChars="-200" w:right="-420" w:rightChars="-200" w:firstLine="420" w:firstLineChars="200"/>
        <w:jc w:val="center"/>
        <w:outlineLvl w:val="0"/>
        <w:rPr>
          <w:rFonts w:hint="eastAsia" w:ascii="宋体" w:hAnsi="宋体" w:eastAsia="宋体" w:cs="宋体"/>
          <w:color w:val="auto"/>
          <w:sz w:val="21"/>
          <w:szCs w:val="21"/>
        </w:rPr>
        <w:sectPr>
          <w:headerReference r:id="rId8" w:type="first"/>
          <w:footerReference r:id="rId10" w:type="first"/>
          <w:footerReference r:id="rId9" w:type="default"/>
          <w:pgSz w:w="11906" w:h="16838"/>
          <w:pgMar w:top="1440" w:right="1080" w:bottom="1440" w:left="1080" w:header="851" w:footer="992" w:gutter="0"/>
          <w:lnNumType w:countBy="0" w:distance="360"/>
          <w:cols w:space="720" w:num="1"/>
          <w:titlePg/>
          <w:docGrid w:linePitch="312" w:charSpace="0"/>
        </w:sectPr>
      </w:pPr>
    </w:p>
    <w:p>
      <w:pPr>
        <w:snapToGrid w:val="0"/>
        <w:spacing w:line="360" w:lineRule="auto"/>
        <w:jc w:val="center"/>
        <w:outlineLvl w:val="0"/>
        <w:rPr>
          <w:rFonts w:hint="eastAsia" w:ascii="宋体" w:hAnsi="宋体" w:cs="宋体"/>
          <w:b/>
          <w:color w:val="auto"/>
          <w:sz w:val="36"/>
          <w:szCs w:val="20"/>
        </w:rPr>
      </w:pPr>
    </w:p>
    <w:p>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我方参与（项目名称）【项目编号：（采购编号）】政府采购活动，郑重承诺：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pStyle w:val="4"/>
        <w:rPr>
          <w:rFonts w:ascii="宋体" w:hAnsi="宋体" w:cs="宋体"/>
          <w:b w:val="0"/>
          <w:color w:val="auto"/>
          <w:kern w:val="0"/>
          <w:sz w:val="36"/>
          <w:szCs w:val="36"/>
        </w:rPr>
      </w:pP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2.3.1报价单；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2.3.2已标价工程量清单；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pPr>
        <w:pStyle w:val="80"/>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，积极配合采购人、采购代理机构复核响应文件中的资料</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4、如我方成交，我方承诺：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、其他补充说明:    </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jc w:val="center"/>
        <w:rPr>
          <w:rFonts w:hint="eastAsia" w:ascii="宋体" w:hAnsi="宋体" w:cs="宋体"/>
          <w:b/>
          <w:bCs/>
          <w:color w:val="auto"/>
          <w:sz w:val="32"/>
          <w:szCs w:val="32"/>
          <w:lang w:val="zh-CN"/>
        </w:rPr>
      </w:pPr>
    </w:p>
    <w:p>
      <w:pPr>
        <w:snapToGrid w:val="0"/>
        <w:jc w:val="center"/>
        <w:rPr>
          <w:rFonts w:hint="eastAsia" w:ascii="宋体" w:hAnsi="宋体" w:cs="宋体"/>
          <w:b/>
          <w:bCs/>
          <w:color w:val="auto"/>
          <w:sz w:val="32"/>
          <w:szCs w:val="32"/>
          <w:lang w:val="zh-CN"/>
        </w:rPr>
      </w:pPr>
    </w:p>
    <w:p>
      <w:pPr>
        <w:snapToGrid w:val="0"/>
        <w:jc w:val="center"/>
        <w:rPr>
          <w:rFonts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pPr>
        <w:widowControl/>
        <w:spacing w:line="360" w:lineRule="auto"/>
        <w:ind w:firstLine="120" w:firstLineChars="50"/>
        <w:jc w:val="left"/>
        <w:rPr>
          <w:rFonts w:ascii="宋体" w:hAnsi="宋体" w:cs="宋体"/>
          <w:color w:val="auto"/>
          <w:sz w:val="24"/>
        </w:rPr>
      </w:pPr>
      <w:bookmarkStart w:id="912"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912"/>
    <w:p>
      <w:pPr>
        <w:snapToGrid w:val="0"/>
        <w:spacing w:line="360" w:lineRule="auto"/>
        <w:rPr>
          <w:rFonts w:ascii="宋体" w:hAnsi="宋体" w:cs="宋体"/>
          <w:color w:val="auto"/>
          <w:kern w:val="0"/>
          <w:sz w:val="24"/>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投标文件的组成应符合招标文件要求</w:t>
            </w:r>
          </w:p>
        </w:tc>
        <w:tc>
          <w:tcPr>
            <w:tcW w:w="2551"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投标文件</w:t>
            </w:r>
          </w:p>
        </w:tc>
        <w:tc>
          <w:tcPr>
            <w:tcW w:w="1418" w:type="dxa"/>
            <w:vAlign w:val="center"/>
          </w:tcPr>
          <w:p>
            <w:pPr>
              <w:pStyle w:val="4"/>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9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r>
              <w:rPr>
                <w:rFonts w:hint="eastAsia" w:ascii="宋体" w:hAnsi="宋体" w:cs="宋体"/>
                <w:color w:val="auto"/>
                <w:sz w:val="21"/>
                <w:szCs w:val="21"/>
                <w:highlight w:val="none"/>
                <w:lang w:val="en-US" w:eastAsia="zh-CN"/>
              </w:rPr>
              <w:t>1：</w:t>
            </w:r>
            <w:r>
              <w:rPr>
                <w:rFonts w:hint="eastAsia" w:ascii="宋体" w:hAnsi="宋体" w:cs="仿宋_GB2312"/>
                <w:color w:val="auto"/>
                <w:sz w:val="21"/>
                <w:szCs w:val="21"/>
                <w:highlight w:val="none"/>
              </w:rPr>
              <w:t>▲最高限价：人民币</w:t>
            </w:r>
            <w:r>
              <w:rPr>
                <w:rFonts w:hint="eastAsia" w:ascii="宋体" w:hAnsi="宋体" w:cs="宋体"/>
                <w:b/>
                <w:color w:val="auto"/>
                <w:sz w:val="24"/>
                <w:lang w:val="en-US" w:eastAsia="zh-CN"/>
              </w:rPr>
              <w:t>3654371</w:t>
            </w:r>
            <w:r>
              <w:rPr>
                <w:rFonts w:hint="eastAsia" w:ascii="宋体" w:hAnsi="宋体" w:cs="仿宋_GB2312"/>
                <w:color w:val="auto"/>
                <w:sz w:val="21"/>
                <w:szCs w:val="21"/>
                <w:highlight w:val="none"/>
              </w:rPr>
              <w:t>元整。</w:t>
            </w:r>
          </w:p>
        </w:tc>
        <w:tc>
          <w:tcPr>
            <w:tcW w:w="2551" w:type="dxa"/>
            <w:vMerge w:val="restart"/>
            <w:vAlign w:val="center"/>
          </w:tcPr>
          <w:p>
            <w:pPr>
              <w:rPr>
                <w:rFonts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4991"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r>
              <w:rPr>
                <w:rFonts w:hint="eastAsia" w:ascii="宋体" w:hAnsi="宋体" w:cs="宋体"/>
                <w:color w:val="auto"/>
                <w:sz w:val="21"/>
                <w:szCs w:val="21"/>
                <w:highlight w:val="none"/>
                <w:lang w:val="en-US" w:eastAsia="zh-CN"/>
              </w:rPr>
              <w:t>2：</w:t>
            </w:r>
            <w:r>
              <w:rPr>
                <w:rFonts w:hint="eastAsia" w:ascii="宋体" w:hAnsi="宋体" w:cs="仿宋_GB2312"/>
                <w:color w:val="auto"/>
                <w:sz w:val="21"/>
                <w:szCs w:val="21"/>
                <w:highlight w:val="none"/>
              </w:rPr>
              <w:t>▲工期：</w:t>
            </w:r>
            <w:r>
              <w:rPr>
                <w:rFonts w:hint="eastAsia" w:ascii="宋体" w:hAnsi="宋体" w:cs="仿宋_GB2312"/>
                <w:color w:val="auto"/>
                <w:sz w:val="21"/>
                <w:szCs w:val="21"/>
                <w:highlight w:val="none"/>
                <w:lang w:val="en-US" w:eastAsia="zh-CN"/>
              </w:rPr>
              <w:t>90</w:t>
            </w:r>
            <w:r>
              <w:rPr>
                <w:rFonts w:hint="eastAsia" w:ascii="宋体" w:hAnsi="宋体" w:cs="仿宋_GB2312"/>
                <w:color w:val="auto"/>
                <w:sz w:val="21"/>
                <w:szCs w:val="21"/>
                <w:highlight w:val="none"/>
              </w:rPr>
              <w:t>日历天</w:t>
            </w:r>
          </w:p>
        </w:tc>
        <w:tc>
          <w:tcPr>
            <w:tcW w:w="2551" w:type="dxa"/>
            <w:vMerge w:val="continue"/>
            <w:vAlign w:val="center"/>
          </w:tcPr>
          <w:p>
            <w:pPr>
              <w:rPr>
                <w:rFonts w:hint="eastAsia" w:ascii="宋体" w:hAnsi="宋体" w:cs="宋体"/>
                <w:color w:val="auto"/>
                <w:kern w:val="0"/>
                <w:sz w:val="21"/>
                <w:szCs w:val="21"/>
                <w:highlight w:val="none"/>
              </w:rPr>
            </w:pPr>
          </w:p>
        </w:tc>
        <w:tc>
          <w:tcPr>
            <w:tcW w:w="1418" w:type="dxa"/>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4991"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r>
              <w:rPr>
                <w:rFonts w:hint="eastAsia" w:ascii="宋体" w:hAnsi="宋体" w:cs="宋体"/>
                <w:color w:val="auto"/>
                <w:sz w:val="21"/>
                <w:szCs w:val="21"/>
                <w:highlight w:val="none"/>
                <w:lang w:val="en-US" w:eastAsia="zh-CN"/>
              </w:rPr>
              <w:t>3：</w:t>
            </w:r>
            <w:r>
              <w:rPr>
                <w:rFonts w:hint="eastAsia" w:ascii="宋体" w:hAnsi="宋体" w:cs="仿宋_GB2312"/>
                <w:color w:val="auto"/>
                <w:sz w:val="21"/>
                <w:szCs w:val="21"/>
                <w:highlight w:val="none"/>
              </w:rPr>
              <w:t>▲质量目标：合格</w:t>
            </w:r>
          </w:p>
        </w:tc>
        <w:tc>
          <w:tcPr>
            <w:tcW w:w="2551" w:type="dxa"/>
            <w:vMerge w:val="continue"/>
            <w:vAlign w:val="center"/>
          </w:tcPr>
          <w:p>
            <w:pPr>
              <w:rPr>
                <w:rFonts w:hint="eastAsia" w:ascii="宋体" w:hAnsi="宋体" w:cs="宋体"/>
                <w:color w:val="auto"/>
                <w:kern w:val="0"/>
                <w:sz w:val="21"/>
                <w:szCs w:val="21"/>
                <w:highlight w:val="none"/>
              </w:rPr>
            </w:pPr>
          </w:p>
        </w:tc>
        <w:tc>
          <w:tcPr>
            <w:tcW w:w="1418" w:type="dxa"/>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4991"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r>
              <w:rPr>
                <w:rFonts w:hint="eastAsia" w:ascii="宋体" w:hAnsi="宋体" w:cs="宋体"/>
                <w:color w:val="auto"/>
                <w:sz w:val="21"/>
                <w:szCs w:val="21"/>
                <w:highlight w:val="none"/>
                <w:lang w:val="en-US" w:eastAsia="zh-CN"/>
              </w:rPr>
              <w:t>4：▲拟派项目负责人为建筑工程专业贰级及以上注册建造师，同时具有“三类人员”B类证书。拟派项目负责人在响应截止日存在在其他任何在建合同工程上担任项目负责人的，不得以拟派项目负责人的身份参加本次磋商。在建合同工程的开始时间为合同工程中标通知书发出日期（不通过招标方式的，开始时间为合同签订日期），结束时间为该合同工程通过验收或合同解除日期。已被其他项目推荐为第一中标候选人且已公示的项目负责人视为有在建工程。（提供人员身份证扫描件、证书扫描件、响应截止时间前近三个月内任意一个月在本单位缴纳社保证明和项目经理无在建工程声明函加盖公章，未完全提供视为未实质性响应磋商文件要求）</w:t>
            </w:r>
          </w:p>
        </w:tc>
        <w:tc>
          <w:tcPr>
            <w:tcW w:w="2551" w:type="dxa"/>
            <w:vMerge w:val="continue"/>
            <w:vAlign w:val="center"/>
          </w:tcPr>
          <w:p>
            <w:pPr>
              <w:rPr>
                <w:rFonts w:hint="eastAsia" w:ascii="宋体" w:hAnsi="宋体" w:cs="宋体"/>
                <w:color w:val="auto"/>
                <w:kern w:val="0"/>
                <w:sz w:val="21"/>
                <w:szCs w:val="21"/>
                <w:highlight w:val="none"/>
              </w:rPr>
            </w:pPr>
          </w:p>
        </w:tc>
        <w:tc>
          <w:tcPr>
            <w:tcW w:w="1418" w:type="dxa"/>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4991"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r>
              <w:rPr>
                <w:rFonts w:hint="eastAsia" w:ascii="宋体" w:hAnsi="宋体" w:cs="宋体"/>
                <w:color w:val="auto"/>
                <w:sz w:val="21"/>
                <w:szCs w:val="21"/>
                <w:highlight w:val="none"/>
                <w:lang w:val="en-US" w:eastAsia="zh-CN"/>
              </w:rPr>
              <w:t>5：</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拟派</w:t>
            </w:r>
            <w:r>
              <w:rPr>
                <w:rFonts w:hint="eastAsia" w:ascii="宋体" w:hAnsi="宋体" w:eastAsia="宋体" w:cs="宋体"/>
                <w:color w:val="auto"/>
                <w:sz w:val="21"/>
                <w:szCs w:val="21"/>
                <w:highlight w:val="none"/>
              </w:rPr>
              <w:t>项目安全负责人具有“三类人员”</w:t>
            </w:r>
            <w:r>
              <w:rPr>
                <w:rFonts w:hint="eastAsia" w:ascii="宋体" w:hAnsi="宋体" w:eastAsia="宋体" w:cs="宋体"/>
                <w:color w:val="auto"/>
                <w:sz w:val="21"/>
                <w:szCs w:val="21"/>
                <w:highlight w:val="none"/>
                <w:lang w:val="en-US" w:eastAsia="zh-CN"/>
              </w:rPr>
              <w:t>C类</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eastAsia="zh-CN"/>
              </w:rPr>
              <w:t>（该人员不得</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eastAsia="zh-CN"/>
              </w:rPr>
              <w:t>拟派本项目的其他管理人员重复）（</w:t>
            </w:r>
            <w:r>
              <w:rPr>
                <w:rFonts w:hint="eastAsia" w:ascii="宋体" w:hAnsi="宋体"/>
                <w:color w:val="auto"/>
                <w:sz w:val="21"/>
                <w:szCs w:val="21"/>
                <w:highlight w:val="none"/>
              </w:rPr>
              <w:t>提供人员身份证扫描件、证书扫描件及</w:t>
            </w:r>
            <w:r>
              <w:rPr>
                <w:rFonts w:hint="eastAsia" w:ascii="宋体" w:hAnsi="宋体"/>
                <w:color w:val="auto"/>
                <w:sz w:val="21"/>
                <w:szCs w:val="21"/>
                <w:highlight w:val="none"/>
                <w:lang w:val="en-US" w:eastAsia="zh-CN"/>
              </w:rPr>
              <w:t>响应截止时间前</w:t>
            </w:r>
            <w:r>
              <w:rPr>
                <w:rFonts w:hint="eastAsia" w:ascii="宋体" w:hAnsi="宋体"/>
                <w:color w:val="auto"/>
                <w:sz w:val="21"/>
                <w:szCs w:val="21"/>
                <w:highlight w:val="none"/>
              </w:rPr>
              <w:t>近三个月</w:t>
            </w:r>
            <w:r>
              <w:rPr>
                <w:rFonts w:hint="eastAsia" w:ascii="宋体" w:hAnsi="宋体"/>
                <w:color w:val="auto"/>
                <w:sz w:val="21"/>
                <w:szCs w:val="21"/>
                <w:highlight w:val="none"/>
                <w:lang w:val="en-US" w:eastAsia="zh-CN"/>
              </w:rPr>
              <w:t>内任意一个月</w:t>
            </w:r>
            <w:r>
              <w:rPr>
                <w:rFonts w:hint="eastAsia" w:ascii="宋体" w:hAnsi="宋体"/>
                <w:color w:val="auto"/>
                <w:sz w:val="21"/>
                <w:szCs w:val="21"/>
                <w:highlight w:val="none"/>
              </w:rPr>
              <w:t>在本单位缴纳社保证明</w:t>
            </w:r>
            <w:r>
              <w:rPr>
                <w:rFonts w:hint="eastAsia" w:ascii="宋体" w:hAnsi="宋体" w:eastAsia="宋体" w:cs="宋体"/>
                <w:color w:val="auto"/>
                <w:sz w:val="21"/>
                <w:szCs w:val="21"/>
                <w:highlight w:val="none"/>
                <w:lang w:val="en-US" w:eastAsia="zh-CN"/>
              </w:rPr>
              <w:t>，未完全提供视为未实质性响应磋商文件要求</w:t>
            </w:r>
            <w:r>
              <w:rPr>
                <w:rFonts w:hint="eastAsia" w:ascii="宋体" w:hAnsi="宋体" w:eastAsia="宋体" w:cs="宋体"/>
                <w:color w:val="auto"/>
                <w:sz w:val="21"/>
                <w:szCs w:val="21"/>
                <w:highlight w:val="none"/>
                <w:lang w:eastAsia="zh-CN"/>
              </w:rPr>
              <w:t>）</w:t>
            </w:r>
          </w:p>
        </w:tc>
        <w:tc>
          <w:tcPr>
            <w:tcW w:w="2551" w:type="dxa"/>
            <w:vMerge w:val="continue"/>
            <w:vAlign w:val="center"/>
          </w:tcPr>
          <w:p>
            <w:pPr>
              <w:rPr>
                <w:rFonts w:hint="eastAsia" w:ascii="宋体" w:hAnsi="宋体" w:cs="宋体"/>
                <w:color w:val="auto"/>
                <w:kern w:val="0"/>
                <w:sz w:val="21"/>
                <w:szCs w:val="21"/>
                <w:highlight w:val="none"/>
              </w:rPr>
            </w:pPr>
          </w:p>
        </w:tc>
        <w:tc>
          <w:tcPr>
            <w:tcW w:w="1418" w:type="dxa"/>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采购</w:t>
      </w:r>
      <w:r>
        <w:rPr>
          <w:rFonts w:hint="eastAsia" w:ascii="宋体" w:hAnsi="宋体" w:eastAsia="宋体" w:cs="宋体"/>
          <w:color w:val="auto"/>
          <w:sz w:val="24"/>
        </w:rPr>
        <w:t>文件中实质性要求必须明确响应。</w:t>
      </w:r>
    </w:p>
    <w:p>
      <w:pPr>
        <w:pStyle w:val="79"/>
        <w:rPr>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lang w:eastAsia="zh-CN"/>
              </w:rPr>
              <w:t>响应</w:t>
            </w:r>
            <w:r>
              <w:rPr>
                <w:rFonts w:hint="eastAsia" w:ascii="宋体" w:hAnsi="宋体" w:cs="宋体"/>
                <w:b w:val="0"/>
                <w:bCs/>
                <w:color w:val="auto"/>
                <w:sz w:val="24"/>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pPr>
              <w:snapToGrid w:val="0"/>
              <w:spacing w:line="360" w:lineRule="auto"/>
              <w:jc w:val="center"/>
              <w:rPr>
                <w:rFonts w:hint="eastAsia" w:ascii="宋体" w:hAnsi="宋体" w:cs="宋体"/>
                <w:b w:val="0"/>
                <w:bCs/>
                <w:color w:val="auto"/>
                <w:sz w:val="24"/>
                <w:vertAlign w:val="baseline"/>
              </w:rPr>
            </w:pPr>
          </w:p>
        </w:tc>
        <w:tc>
          <w:tcPr>
            <w:tcW w:w="3046" w:type="dxa"/>
          </w:tcPr>
          <w:p>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pPr>
        <w:jc w:val="center"/>
        <w:rPr>
          <w:rFonts w:ascii="宋体" w:hAnsi="宋体" w:cs="宋体"/>
          <w:b/>
          <w:color w:val="auto"/>
          <w:kern w:val="0"/>
          <w:sz w:val="32"/>
          <w:szCs w:val="32"/>
        </w:rPr>
      </w:pPr>
    </w:p>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pStyle w:val="7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2.本表格所反映的偏离情况与“符合性审查资料”、“评标标准相应的商务技术资料”不一致的，以“符合性审查资料”、“评标标准相应的商务技术资料”为准。</w:t>
      </w:r>
    </w:p>
    <w:p>
      <w:pPr>
        <w:pStyle w:val="7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3.投标人须保证：除商务技术偏离表列出的偏离外，投标人响应招标文件的全部非实质性要求。</w:t>
      </w:r>
    </w:p>
    <w:p>
      <w:pPr>
        <w:spacing w:line="360" w:lineRule="auto"/>
        <w:ind w:right="420"/>
        <w:rPr>
          <w:rFonts w:ascii="宋体" w:hAnsi="宋体" w:cs="宋体"/>
          <w:color w:val="auto"/>
          <w:sz w:val="24"/>
        </w:rPr>
      </w:pPr>
    </w:p>
    <w:p>
      <w:pPr>
        <w:ind w:firstLine="1911" w:firstLineChars="595"/>
        <w:rPr>
          <w:rFonts w:ascii="宋体" w:hAnsi="宋体" w:cs="宋体"/>
          <w:b/>
          <w:bCs/>
          <w:color w:val="auto"/>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pPr>
    </w:p>
    <w:p>
      <w:pPr>
        <w:pStyle w:val="79"/>
        <w:rPr>
          <w:rFonts w:ascii="宋体" w:hAnsi="宋体" w:cs="宋体"/>
          <w:b/>
          <w:bCs/>
          <w:color w:val="auto"/>
          <w:sz w:val="24"/>
        </w:rPr>
      </w:pPr>
    </w:p>
    <w:p>
      <w:pPr>
        <w:pStyle w:val="79"/>
        <w:rPr>
          <w:rFonts w:ascii="宋体" w:hAnsi="宋体" w:cs="宋体"/>
          <w:b/>
          <w:bCs/>
          <w:color w:val="auto"/>
          <w:sz w:val="24"/>
        </w:rPr>
      </w:pPr>
    </w:p>
    <w:p>
      <w:pPr>
        <w:pStyle w:val="79"/>
        <w:rPr>
          <w:rFonts w:ascii="宋体" w:hAnsi="宋体" w:cs="宋体"/>
          <w:b/>
          <w:bCs/>
          <w:color w:val="auto"/>
          <w:sz w:val="24"/>
        </w:rPr>
      </w:pPr>
    </w:p>
    <w:p>
      <w:pPr>
        <w:pStyle w:val="79"/>
        <w:rPr>
          <w:rFonts w:ascii="宋体" w:hAnsi="宋体" w:cs="宋体"/>
          <w:b/>
          <w:bCs/>
          <w:color w:val="auto"/>
          <w:sz w:val="24"/>
        </w:rPr>
      </w:pPr>
    </w:p>
    <w:p>
      <w:pPr>
        <w:pStyle w:val="79"/>
        <w:rPr>
          <w:rFonts w:ascii="宋体" w:hAnsi="宋体" w:cs="宋体"/>
          <w:b/>
          <w:bCs/>
          <w:color w:val="auto"/>
          <w:sz w:val="24"/>
        </w:rPr>
      </w:pPr>
    </w:p>
    <w:p>
      <w:pPr>
        <w:pStyle w:val="79"/>
        <w:rPr>
          <w:rFonts w:ascii="宋体" w:hAnsi="宋体" w:cs="宋体"/>
          <w:b/>
          <w:bCs/>
          <w:color w:val="auto"/>
          <w:sz w:val="24"/>
        </w:rPr>
      </w:pPr>
    </w:p>
    <w:p>
      <w:pPr>
        <w:autoSpaceDE w:val="0"/>
        <w:autoSpaceDN w:val="0"/>
        <w:spacing w:line="360" w:lineRule="auto"/>
        <w:ind w:left="2" w:leftChars="1" w:firstLine="643"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拟派项目团队配备情况表</w:t>
      </w:r>
    </w:p>
    <w:p>
      <w:pPr>
        <w:autoSpaceDE w:val="0"/>
        <w:autoSpaceDN w:val="0"/>
        <w:spacing w:line="360" w:lineRule="auto"/>
        <w:ind w:left="2" w:leftChars="1" w:firstLine="480"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（1）拟派项目团队配备情况表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bl>
      <w:tblPr>
        <w:tblStyle w:val="967"/>
        <w:tblW w:w="96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813"/>
        <w:gridCol w:w="747"/>
        <w:gridCol w:w="619"/>
        <w:gridCol w:w="817"/>
        <w:gridCol w:w="718"/>
        <w:gridCol w:w="718"/>
        <w:gridCol w:w="1341"/>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序号</w:t>
            </w:r>
          </w:p>
        </w:tc>
        <w:tc>
          <w:tcPr>
            <w:tcW w:w="896" w:type="dxa"/>
            <w:tcBorders>
              <w:top w:val="single" w:color="000000" w:sz="10" w:space="0"/>
              <w:bottom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姓名</w:t>
            </w:r>
          </w:p>
        </w:tc>
        <w:tc>
          <w:tcPr>
            <w:tcW w:w="1813" w:type="dxa"/>
            <w:tcBorders>
              <w:top w:val="single" w:color="000000" w:sz="10" w:space="0"/>
              <w:bottom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本项目拟任岗 位</w:t>
            </w:r>
          </w:p>
        </w:tc>
        <w:tc>
          <w:tcPr>
            <w:tcW w:w="747" w:type="dxa"/>
            <w:tcBorders>
              <w:top w:val="single" w:color="000000" w:sz="10" w:space="0"/>
              <w:bottom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年龄</w:t>
            </w:r>
          </w:p>
        </w:tc>
        <w:tc>
          <w:tcPr>
            <w:tcW w:w="619" w:type="dxa"/>
            <w:tcBorders>
              <w:top w:val="single" w:color="000000" w:sz="10" w:space="0"/>
              <w:bottom w:val="single" w:color="000000" w:sz="10" w:space="0"/>
            </w:tcBorders>
            <w:textDirection w:val="tbRlV"/>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性 别</w:t>
            </w:r>
          </w:p>
        </w:tc>
        <w:tc>
          <w:tcPr>
            <w:tcW w:w="817" w:type="dxa"/>
            <w:tcBorders>
              <w:top w:val="single" w:color="000000" w:sz="10" w:space="0"/>
              <w:bottom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身 份 证 号 码</w:t>
            </w:r>
          </w:p>
        </w:tc>
        <w:tc>
          <w:tcPr>
            <w:tcW w:w="718" w:type="dxa"/>
            <w:tcBorders>
              <w:top w:val="single" w:color="000000" w:sz="10" w:space="0"/>
              <w:bottom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专业</w:t>
            </w:r>
          </w:p>
        </w:tc>
        <w:tc>
          <w:tcPr>
            <w:tcW w:w="718" w:type="dxa"/>
            <w:tcBorders>
              <w:top w:val="single" w:color="000000" w:sz="10" w:space="0"/>
              <w:bottom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专业 年限</w:t>
            </w:r>
          </w:p>
        </w:tc>
        <w:tc>
          <w:tcPr>
            <w:tcW w:w="1341" w:type="dxa"/>
            <w:tcBorders>
              <w:top w:val="single" w:color="000000" w:sz="10" w:space="0"/>
              <w:bottom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职务和职 称</w:t>
            </w:r>
          </w:p>
        </w:tc>
        <w:tc>
          <w:tcPr>
            <w:tcW w:w="1145" w:type="dxa"/>
            <w:tcBorders>
              <w:top w:val="single" w:color="000000" w:sz="10" w:space="0"/>
              <w:bottom w:val="single" w:color="000000" w:sz="10" w:space="0"/>
              <w:right w:val="single" w:color="000000" w:sz="10" w:space="0"/>
            </w:tcBorders>
            <w:vAlign w:val="top"/>
          </w:tcPr>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Borders>
              <w:top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tcBorders>
              <w:top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tcBorders>
              <w:top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tcBorders>
              <w:top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tcBorders>
              <w:top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Borders>
              <w:top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Borders>
              <w:top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Borders>
              <w:top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top w:val="single" w:color="000000" w:sz="10" w:space="0"/>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40" w:type="dxa"/>
            <w:tcBorders>
              <w:left w:val="single" w:color="000000" w:sz="10" w:space="0"/>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96" w:type="dxa"/>
            <w:tcBorders>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813" w:type="dxa"/>
            <w:tcBorders>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47" w:type="dxa"/>
            <w:tcBorders>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619" w:type="dxa"/>
            <w:tcBorders>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817" w:type="dxa"/>
            <w:tcBorders>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Borders>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718" w:type="dxa"/>
            <w:tcBorders>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341" w:type="dxa"/>
            <w:tcBorders>
              <w:bottom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45" w:type="dxa"/>
            <w:tcBorders>
              <w:bottom w:val="single" w:color="000000" w:sz="10" w:space="0"/>
              <w:right w:val="single" w:color="000000" w:sz="10" w:space="0"/>
            </w:tcBorders>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bl>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注：涉及评分项的其它证明材料附后。</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供应商名称（电子签名）：</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firstLine="480"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（2）项目负责人简历表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bl>
      <w:tblPr>
        <w:tblStyle w:val="967"/>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87"/>
        <w:gridCol w:w="1153"/>
        <w:gridCol w:w="1055"/>
        <w:gridCol w:w="204"/>
        <w:gridCol w:w="1834"/>
        <w:gridCol w:w="256"/>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47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姓   名</w:t>
            </w:r>
          </w:p>
        </w:tc>
        <w:tc>
          <w:tcPr>
            <w:tcW w:w="138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5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年   龄</w:t>
            </w:r>
          </w:p>
        </w:tc>
        <w:tc>
          <w:tcPr>
            <w:tcW w:w="1259" w:type="dxa"/>
            <w:gridSpan w:val="2"/>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2090" w:type="dxa"/>
            <w:gridSpan w:val="2"/>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身份证号码</w:t>
            </w:r>
          </w:p>
        </w:tc>
        <w:tc>
          <w:tcPr>
            <w:tcW w:w="127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147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专   业</w:t>
            </w:r>
          </w:p>
        </w:tc>
        <w:tc>
          <w:tcPr>
            <w:tcW w:w="138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153"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职   务</w:t>
            </w:r>
          </w:p>
        </w:tc>
        <w:tc>
          <w:tcPr>
            <w:tcW w:w="1259" w:type="dxa"/>
            <w:gridSpan w:val="2"/>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2090" w:type="dxa"/>
            <w:gridSpan w:val="2"/>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拟在本合同  项目担任职务</w:t>
            </w:r>
          </w:p>
        </w:tc>
        <w:tc>
          <w:tcPr>
            <w:tcW w:w="1278"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47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毕业学校</w:t>
            </w:r>
          </w:p>
        </w:tc>
        <w:tc>
          <w:tcPr>
            <w:tcW w:w="7167" w:type="dxa"/>
            <w:gridSpan w:val="7"/>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ab/>
            </w:r>
            <w:r>
              <w:rPr>
                <w:rFonts w:hint="eastAsia" w:ascii="宋体" w:hAnsi="宋体" w:eastAsia="宋体" w:cs="宋体"/>
                <w:color w:val="auto"/>
                <w:kern w:val="0"/>
                <w:sz w:val="24"/>
                <w:highlight w:val="none"/>
                <w:lang w:val="zh-CN"/>
              </w:rPr>
              <w:t xml:space="preserve"> 年      月毕业于       学校    系(科)，学制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4" w:type="dxa"/>
            <w:gridSpan w:val="8"/>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经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47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年   月</w:t>
            </w:r>
          </w:p>
        </w:tc>
        <w:tc>
          <w:tcPr>
            <w:tcW w:w="3595" w:type="dxa"/>
            <w:gridSpan w:val="3"/>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工作经历</w:t>
            </w:r>
          </w:p>
        </w:tc>
        <w:tc>
          <w:tcPr>
            <w:tcW w:w="2038" w:type="dxa"/>
            <w:gridSpan w:val="2"/>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担 任 何 职</w:t>
            </w:r>
          </w:p>
        </w:tc>
        <w:tc>
          <w:tcPr>
            <w:tcW w:w="1534" w:type="dxa"/>
            <w:gridSpan w:val="2"/>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jc w:val="center"/>
        </w:trPr>
        <w:tc>
          <w:tcPr>
            <w:tcW w:w="1477" w:type="dxa"/>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3595" w:type="dxa"/>
            <w:gridSpan w:val="3"/>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2038" w:type="dxa"/>
            <w:gridSpan w:val="2"/>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c>
          <w:tcPr>
            <w:tcW w:w="1534" w:type="dxa"/>
            <w:gridSpan w:val="2"/>
            <w:vAlign w:val="top"/>
          </w:tcPr>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tc>
      </w:tr>
    </w:tbl>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注：与评分有关的证明材料附后。</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供应商名称（电子签名）：</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snapToGrid w:val="0"/>
        <w:spacing w:line="300" w:lineRule="auto"/>
        <w:ind w:left="241" w:hanging="240" w:hangingChars="1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注：按本格式和要求提供。</w:t>
      </w:r>
    </w:p>
    <w:p>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pPr>
        <w:snapToGrid w:val="0"/>
        <w:spacing w:line="300" w:lineRule="auto"/>
        <w:ind w:left="241" w:hanging="241" w:hangingChars="100"/>
        <w:jc w:val="center"/>
        <w:rPr>
          <w:rFonts w:hint="eastAsia" w:ascii="宋体" w:hAnsi="宋体" w:cs="宋体"/>
          <w:b/>
          <w:bCs/>
          <w:color w:val="auto"/>
          <w:sz w:val="24"/>
          <w:highlight w:val="none"/>
        </w:rPr>
      </w:pPr>
      <w:r>
        <w:rPr>
          <w:rFonts w:hint="eastAsia" w:ascii="宋体" w:hAnsi="宋体" w:cs="宋体"/>
          <w:b/>
          <w:bCs/>
          <w:color w:val="auto"/>
          <w:sz w:val="24"/>
          <w:highlight w:val="none"/>
        </w:rPr>
        <w:t>项目经理无在建工程声明函</w:t>
      </w:r>
    </w:p>
    <w:p>
      <w:pPr>
        <w:pStyle w:val="35"/>
        <w:adjustRightInd w:val="0"/>
        <w:snapToGrid w:val="0"/>
        <w:spacing w:before="120" w:after="120" w:line="300" w:lineRule="auto"/>
        <w:rPr>
          <w:rFonts w:hint="eastAsia"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采购人名称</w:t>
      </w:r>
      <w:r>
        <w:rPr>
          <w:rFonts w:hint="eastAsia" w:hAnsi="宋体" w:cs="宋体"/>
          <w:color w:val="auto"/>
          <w:highlight w:val="none"/>
          <w:lang w:eastAsia="zh-CN"/>
        </w:rPr>
        <w:t>）</w:t>
      </w:r>
      <w:r>
        <w:rPr>
          <w:rFonts w:hint="eastAsia" w:hAnsi="宋体" w:cs="宋体"/>
          <w:color w:val="auto"/>
          <w:highlight w:val="none"/>
        </w:rPr>
        <w:t>：</w:t>
      </w:r>
    </w:p>
    <w:p>
      <w:pPr>
        <w:snapToGrid w:val="0"/>
        <w:spacing w:line="30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采购代理机构名称</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00" w:lineRule="auto"/>
        <w:ind w:left="420" w:leftChars="200"/>
        <w:rPr>
          <w:rFonts w:hint="eastAsia" w:ascii="宋体" w:hAnsi="宋体" w:cs="宋体"/>
          <w:color w:val="auto"/>
          <w:sz w:val="24"/>
          <w:highlight w:val="none"/>
        </w:rPr>
      </w:pPr>
    </w:p>
    <w:p>
      <w:pPr>
        <w:snapToGrid w:val="0"/>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（项目编号）采购活动，拟派项目经理（</w:t>
      </w:r>
      <w:r>
        <w:rPr>
          <w:rFonts w:hint="eastAsia" w:ascii="宋体" w:hAnsi="宋体" w:cs="宋体"/>
          <w:color w:val="auto"/>
          <w:sz w:val="24"/>
          <w:highlight w:val="none"/>
          <w:u w:val="single"/>
        </w:rPr>
        <w:t>姓名及身份证号码</w:t>
      </w:r>
      <w:r>
        <w:rPr>
          <w:rFonts w:hint="eastAsia" w:ascii="宋体" w:hAnsi="宋体" w:cs="宋体"/>
          <w:color w:val="auto"/>
          <w:sz w:val="24"/>
          <w:highlight w:val="none"/>
        </w:rPr>
        <w:t>）无在建工程。</w:t>
      </w:r>
    </w:p>
    <w:p>
      <w:pPr>
        <w:snapToGrid w:val="0"/>
        <w:spacing w:line="30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本公司对上述声明的真实性负责。如有虚假，愿意承担相应法律责任，对此无任何异议。</w:t>
      </w:r>
    </w:p>
    <w:p>
      <w:pPr>
        <w:snapToGrid w:val="0"/>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特此声明！</w:t>
      </w:r>
    </w:p>
    <w:p>
      <w:pPr>
        <w:adjustRightInd w:val="0"/>
        <w:snapToGrid w:val="0"/>
        <w:spacing w:line="300" w:lineRule="auto"/>
        <w:ind w:firstLine="480" w:firstLineChars="200"/>
        <w:rPr>
          <w:rFonts w:hint="eastAsia" w:ascii="宋体" w:hAnsi="宋体" w:cs="宋体"/>
          <w:color w:val="auto"/>
          <w:sz w:val="24"/>
          <w:highlight w:val="none"/>
        </w:rPr>
      </w:pPr>
    </w:p>
    <w:p>
      <w:pPr>
        <w:adjustRightInd w:val="0"/>
        <w:snapToGrid w:val="0"/>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供应商全称：</w:t>
      </w:r>
      <w:r>
        <w:rPr>
          <w:rFonts w:hint="eastAsia" w:ascii="宋体" w:hAnsi="宋体" w:eastAsia="宋体" w:cs="宋体"/>
          <w:color w:val="auto"/>
          <w:kern w:val="0"/>
          <w:sz w:val="24"/>
          <w:highlight w:val="none"/>
          <w:lang w:val="zh-CN"/>
        </w:rPr>
        <w:t>（电子签名）</w:t>
      </w:r>
    </w:p>
    <w:p>
      <w:pPr>
        <w:pStyle w:val="800"/>
        <w:rPr>
          <w:rFonts w:hint="eastAsia" w:ascii="宋体"/>
          <w:color w:val="auto"/>
          <w:highlight w:val="none"/>
        </w:rPr>
      </w:pPr>
    </w:p>
    <w:p>
      <w:pPr>
        <w:pStyle w:val="800"/>
        <w:rPr>
          <w:rFonts w:hint="eastAsia"/>
          <w:color w:val="auto"/>
          <w:highlight w:val="none"/>
        </w:rPr>
      </w:pPr>
    </w:p>
    <w:p>
      <w:pPr>
        <w:pStyle w:val="27"/>
        <w:spacing w:line="288" w:lineRule="auto"/>
        <w:ind w:firstLine="480" w:firstLineChars="200"/>
        <w:jc w:val="right"/>
        <w:rPr>
          <w:rFonts w:hint="eastAsia" w:hAnsi="宋体" w:cs="宋体"/>
          <w:color w:val="auto"/>
          <w:sz w:val="24"/>
          <w:szCs w:val="24"/>
          <w:highlight w:val="none"/>
        </w:rPr>
      </w:pPr>
    </w:p>
    <w:p>
      <w:pPr>
        <w:spacing w:line="360" w:lineRule="auto"/>
        <w:jc w:val="center"/>
        <w:rPr>
          <w:rFonts w:hint="eastAsia" w:ascii="宋体" w:hAnsi="宋体" w:eastAsia="宋体" w:cs="宋体"/>
          <w:b/>
          <w:bCs/>
          <w:color w:val="auto"/>
          <w:sz w:val="24"/>
          <w:highlight w:val="none"/>
          <w:lang w:val="en-US" w:eastAsia="zh-CN"/>
        </w:rPr>
        <w:sectPr>
          <w:pgSz w:w="11906" w:h="16838"/>
          <w:pgMar w:top="1440" w:right="1080" w:bottom="1440" w:left="1080" w:header="851" w:footer="992" w:gutter="0"/>
          <w:cols w:space="720" w:num="1"/>
          <w:titlePg/>
          <w:docGrid w:linePitch="312" w:charSpace="0"/>
        </w:sectPr>
      </w:pPr>
      <w:r>
        <w:rPr>
          <w:rFonts w:hint="eastAsia" w:hAnsi="宋体" w:cs="宋体"/>
          <w:color w:val="auto"/>
          <w:sz w:val="24"/>
          <w:szCs w:val="24"/>
          <w:highlight w:val="none"/>
        </w:rPr>
        <w:t>日期：</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年  月  </w:t>
      </w:r>
      <w:r>
        <w:rPr>
          <w:rFonts w:hint="eastAsia" w:hAnsi="宋体" w:cs="宋体"/>
          <w:color w:val="auto"/>
          <w:sz w:val="24"/>
          <w:szCs w:val="24"/>
          <w:highlight w:val="none"/>
          <w:lang w:val="en-US" w:eastAsia="zh-CN"/>
        </w:rPr>
        <w:t>日</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）已标价工程量清单……………………………………………………………（页码）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80"/>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rPr>
        <w:t>（项目名称）</w:t>
      </w:r>
      <w:r>
        <w:rPr>
          <w:rFonts w:hint="eastAsia" w:ascii="宋体" w:hAnsi="宋体" w:cs="宋体"/>
          <w:color w:val="auto"/>
          <w:kern w:val="0"/>
          <w:sz w:val="24"/>
          <w:lang w:val="zh-CN"/>
        </w:rPr>
        <w:t>【项目编号：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255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2552"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pPr>
        <w:spacing w:line="360" w:lineRule="auto"/>
        <w:ind w:firstLine="482" w:firstLineChars="200"/>
        <w:rPr>
          <w:rFonts w:ascii="宋体" w:hAnsi="宋体" w:cs="宋体"/>
          <w:b/>
          <w:color w:val="auto"/>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keepNext w:val="0"/>
        <w:pageBreakBefore w:val="0"/>
        <w:snapToGrid w:val="0"/>
        <w:spacing w:before="120" w:after="120"/>
        <w:outlineLvl w:val="9"/>
        <w:rPr>
          <w:rFonts w:hint="eastAsia"/>
          <w:color w:val="auto"/>
          <w:highlight w:val="none"/>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693"/>
        <w:keepNext w:val="0"/>
        <w:pageBreakBefore/>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、已标价工程量清单</w:t>
      </w:r>
    </w:p>
    <w:p>
      <w:pPr>
        <w:ind w:right="420"/>
        <w:rPr>
          <w:rFonts w:ascii="宋体" w:hAnsi="宋体" w:cs="宋体"/>
          <w:color w:val="auto"/>
          <w:sz w:val="24"/>
        </w:rPr>
      </w:pPr>
      <w:r>
        <w:rPr>
          <w:rFonts w:hint="eastAsia" w:ascii="宋体" w:hAnsi="宋体" w:cs="宋体"/>
          <w:color w:val="auto"/>
          <w:sz w:val="24"/>
        </w:rPr>
        <w:t xml:space="preserve">注：按采购文件工程量清单编制 </w:t>
      </w:r>
    </w:p>
    <w:p>
      <w:pPr>
        <w:pStyle w:val="61"/>
        <w:ind w:firstLine="480"/>
        <w:rPr>
          <w:rFonts w:cs="宋体"/>
          <w:color w:val="auto"/>
          <w:sz w:val="24"/>
        </w:rPr>
      </w:pPr>
    </w:p>
    <w:p>
      <w:pPr>
        <w:pStyle w:val="61"/>
        <w:ind w:firstLine="480"/>
        <w:rPr>
          <w:rFonts w:cs="宋体"/>
          <w:color w:val="auto"/>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913" w:name="_Hlk101259491"/>
      <w:r>
        <w:rPr>
          <w:rFonts w:hint="eastAsia" w:ascii="宋体" w:hAnsi="宋体" w:eastAsia="宋体" w:cs="宋体"/>
          <w:color w:val="auto"/>
          <w:sz w:val="32"/>
          <w:szCs w:val="32"/>
        </w:rPr>
        <w:t>（如果有）</w:t>
      </w:r>
      <w:bookmarkEnd w:id="913"/>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914" w:name="_Toc465665161"/>
      <w:r>
        <w:rPr>
          <w:rFonts w:hint="eastAsia" w:ascii="宋体" w:hAnsi="宋体" w:cs="宋体"/>
          <w:color w:val="auto"/>
        </w:rPr>
        <w:t>附件</w:t>
      </w:r>
      <w:bookmarkEnd w:id="914"/>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915" w:name="OLE_LINK13"/>
      <w:bookmarkStart w:id="916" w:name="OLE_LINK14"/>
      <w:r>
        <w:rPr>
          <w:rFonts w:hint="eastAsia" w:ascii="宋体" w:hAnsi="宋体" w:cs="宋体"/>
          <w:b/>
          <w:color w:val="auto"/>
          <w:spacing w:val="6"/>
          <w:sz w:val="32"/>
          <w:szCs w:val="32"/>
        </w:rPr>
        <w:t>残疾人福利性单位声明函</w:t>
      </w:r>
    </w:p>
    <w:bookmarkEnd w:id="915"/>
    <w:bookmarkEnd w:id="916"/>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你方组织的（项目名称）项目【项目编号：（采购编号）】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rPr>
        <w:t>（项目名称）【项目编号：（采购编号）】</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pPr>
        <w:snapToGrid w:val="0"/>
        <w:spacing w:line="360" w:lineRule="auto"/>
        <w:ind w:firstLine="576"/>
        <w:rPr>
          <w:rFonts w:ascii="宋体" w:hAnsi="宋体" w:cs="宋体"/>
          <w:color w:val="auto"/>
          <w:kern w:val="0"/>
          <w:sz w:val="24"/>
          <w:lang w:val="zh-CN"/>
        </w:rPr>
      </w:pPr>
      <w:bookmarkStart w:id="917"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917"/>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w:t>
      </w:r>
      <w:r>
        <w:rPr>
          <w:rFonts w:hint="eastAsia" w:ascii="宋体" w:hAnsi="宋体" w:cs="宋体"/>
          <w:color w:val="auto"/>
          <w:sz w:val="24"/>
        </w:rPr>
        <w:t>（项目名称）【项目编号：（采购编号）】</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……）提供的工程全部由小微企业承建，</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918"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918"/>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pPr>
        <w:snapToGrid w:val="0"/>
        <w:spacing w:line="360" w:lineRule="auto"/>
        <w:ind w:firstLine="5640" w:firstLineChars="2350"/>
        <w:rPr>
          <w:rFonts w:ascii="宋体" w:hAnsi="宋体" w:cs="宋体"/>
          <w:color w:val="auto"/>
        </w:rPr>
      </w:pPr>
      <w:r>
        <w:rPr>
          <w:rFonts w:hint="eastAsia" w:ascii="宋体" w:hAnsi="宋体" w:cs="宋体"/>
          <w:color w:val="auto"/>
          <w:kern w:val="0"/>
          <w:sz w:val="24"/>
          <w:lang w:val="zh-CN"/>
        </w:rPr>
        <w:t>分包供应商名称：</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本公司（联合体）郑重声明，根据</w:t>
      </w:r>
      <w:r>
        <w:rPr>
          <w:rFonts w:hint="eastAsia" w:ascii="宋体" w:hAnsi="宋体" w:cs="宋体"/>
          <w:color w:val="auto"/>
          <w:sz w:val="24"/>
          <w:highlight w:val="none"/>
        </w:rPr>
        <w:t xml:space="preserve">《政府采购促进中小企业发展管理办法》（财库﹝2020﹞46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w:t>
      </w:r>
      <w:r>
        <w:rPr>
          <w:rFonts w:hint="eastAsia" w:ascii="宋体" w:hAnsi="宋体" w:cs="宋体"/>
          <w:color w:val="auto"/>
          <w:sz w:val="24"/>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firstLine="480" w:firstLineChars="200"/>
        <w:rPr>
          <w:rFonts w:ascii="宋体" w:hAnsi="宋体" w:cs="宋体"/>
          <w:color w:val="auto"/>
          <w:sz w:val="24"/>
        </w:rPr>
      </w:pP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pPr>
        <w:spacing w:line="360" w:lineRule="auto"/>
        <w:rPr>
          <w:rFonts w:ascii="宋体" w:hAnsi="宋体" w:cs="宋体"/>
          <w:b/>
          <w:color w:val="auto"/>
          <w:spacing w:val="6"/>
          <w:sz w:val="32"/>
          <w:szCs w:val="32"/>
        </w:rPr>
      </w:pPr>
    </w:p>
    <w:p>
      <w:pPr>
        <w:spacing w:line="360" w:lineRule="auto"/>
        <w:rPr>
          <w:rFonts w:hint="eastAsia" w:ascii="宋体" w:hAnsi="宋体" w:cs="宋体"/>
          <w:b/>
          <w:color w:val="auto"/>
          <w:spacing w:val="6"/>
          <w:sz w:val="32"/>
          <w:szCs w:val="32"/>
        </w:rPr>
      </w:pPr>
      <w:r>
        <w:rPr>
          <w:rFonts w:hint="eastAsia" w:ascii="宋体" w:hAnsi="宋体" w:cs="宋体"/>
          <w:b/>
          <w:color w:val="auto"/>
          <w:spacing w:val="6"/>
          <w:sz w:val="32"/>
          <w:szCs w:val="32"/>
        </w:rPr>
        <w:t>附件9：图纸（另附）</w:t>
      </w: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79"/>
        <w:rPr>
          <w:rFonts w:hint="eastAsia" w:ascii="宋体" w:hAnsi="宋体" w:cs="宋体"/>
          <w:b/>
          <w:color w:val="auto"/>
          <w:spacing w:val="6"/>
          <w:sz w:val="32"/>
          <w:szCs w:val="32"/>
        </w:rPr>
      </w:pPr>
    </w:p>
    <w:p>
      <w:pPr>
        <w:pStyle w:val="27"/>
        <w:spacing w:line="240" w:lineRule="auto"/>
        <w:rPr>
          <w:rFonts w:hint="eastAsia" w:eastAsia="宋体"/>
          <w:color w:val="auto"/>
          <w:lang w:eastAsia="zh-CN"/>
        </w:rPr>
      </w:pPr>
      <w:r>
        <w:rPr>
          <w:rFonts w:hint="eastAsia" w:eastAsia="宋体"/>
          <w:color w:val="auto"/>
          <w:lang w:eastAsia="zh-CN"/>
        </w:rPr>
        <w:drawing>
          <wp:inline distT="0" distB="0" distL="114300" distR="114300">
            <wp:extent cx="6181090" cy="3738245"/>
            <wp:effectExtent l="0" t="0" r="6350"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1"/>
                    <a:stretch>
                      <a:fillRect/>
                    </a:stretch>
                  </pic:blipFill>
                  <pic:spPr>
                    <a:xfrm>
                      <a:off x="0" y="0"/>
                      <a:ext cx="6181090" cy="3738245"/>
                    </a:xfrm>
                    <a:prstGeom prst="rect">
                      <a:avLst/>
                    </a:prstGeom>
                  </pic:spPr>
                </pic:pic>
              </a:graphicData>
            </a:graphic>
          </wp:inline>
        </w:drawing>
      </w:r>
    </w:p>
    <w:p>
      <w:pPr>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79"/>
        <w:rPr>
          <w:rFonts w:hint="eastAsia" w:eastAsia="宋体"/>
          <w:color w:val="auto"/>
          <w:lang w:eastAsia="zh-CN"/>
        </w:rPr>
      </w:pPr>
    </w:p>
    <w:p>
      <w:pPr>
        <w:pStyle w:val="80"/>
        <w:rPr>
          <w:rFonts w:hint="eastAsia" w:ascii="宋体" w:hAnsi="宋体" w:eastAsia="宋体"/>
          <w:b/>
          <w:bCs/>
          <w:color w:val="auto"/>
          <w:kern w:val="0"/>
          <w:sz w:val="24"/>
          <w:szCs w:val="24"/>
          <w:lang w:val="zh-CN"/>
        </w:rPr>
      </w:pPr>
      <w:r>
        <w:rPr>
          <w:rFonts w:hint="eastAsia" w:ascii="宋体" w:hAnsi="宋体" w:eastAsia="宋体"/>
          <w:b/>
          <w:bCs/>
          <w:color w:val="auto"/>
          <w:kern w:val="0"/>
          <w:sz w:val="24"/>
          <w:szCs w:val="24"/>
          <w:lang w:val="zh-CN"/>
        </w:rPr>
        <w:t>附件：政府采购活动现场确认声明书</w:t>
      </w:r>
    </w:p>
    <w:p>
      <w:pPr>
        <w:pStyle w:val="80"/>
        <w:spacing w:line="360" w:lineRule="auto"/>
        <w:rPr>
          <w:rFonts w:hint="eastAsia"/>
          <w:color w:val="auto"/>
        </w:rPr>
      </w:pPr>
      <w:r>
        <w:rPr>
          <w:rFonts w:hint="eastAsia" w:ascii="宋体" w:hAnsi="宋体" w:eastAsia="宋体"/>
          <w:color w:val="auto"/>
          <w:kern w:val="0"/>
          <w:sz w:val="24"/>
          <w:szCs w:val="24"/>
          <w:lang w:val="zh-CN"/>
        </w:rPr>
        <w:t>（</w:t>
      </w:r>
      <w:r>
        <w:rPr>
          <w:rFonts w:hint="eastAsia" w:ascii="宋体" w:hAnsi="宋体" w:eastAsia="宋体"/>
          <w:b/>
          <w:bCs/>
          <w:color w:val="auto"/>
          <w:kern w:val="0"/>
          <w:sz w:val="24"/>
          <w:szCs w:val="24"/>
          <w:lang w:val="zh-CN"/>
        </w:rPr>
        <w:t>请响应供应商在开始解密后30分钟内将政府采购活动现场确认声明书填写并签字后，以扫描件的形式发送至邮箱</w:t>
      </w:r>
      <w:r>
        <w:rPr>
          <w:rFonts w:hint="eastAsia" w:ascii="宋体" w:hAnsi="宋体" w:eastAsia="宋体"/>
          <w:b/>
          <w:bCs/>
          <w:color w:val="auto"/>
          <w:kern w:val="0"/>
          <w:sz w:val="24"/>
          <w:szCs w:val="24"/>
          <w:lang w:val="en-US" w:eastAsia="zh-CN"/>
        </w:rPr>
        <w:t>359702621</w:t>
      </w:r>
      <w:r>
        <w:rPr>
          <w:rFonts w:hint="eastAsia" w:ascii="宋体" w:hAnsi="宋体" w:eastAsia="宋体"/>
          <w:b/>
          <w:bCs/>
          <w:color w:val="auto"/>
          <w:kern w:val="0"/>
          <w:sz w:val="24"/>
          <w:szCs w:val="24"/>
          <w:lang w:val="zh-CN"/>
        </w:rPr>
        <w:t>@qq.com，逾期未发送的，视为无异议</w:t>
      </w:r>
      <w:r>
        <w:rPr>
          <w:rFonts w:hint="eastAsia" w:ascii="宋体" w:hAnsi="宋体" w:eastAsia="宋体"/>
          <w:color w:val="auto"/>
          <w:kern w:val="0"/>
          <w:sz w:val="24"/>
          <w:szCs w:val="24"/>
          <w:lang w:val="zh-CN"/>
        </w:rPr>
        <w:t>）</w:t>
      </w:r>
    </w:p>
    <w:p>
      <w:pPr>
        <w:pStyle w:val="80"/>
        <w:spacing w:line="240" w:lineRule="auto"/>
        <w:jc w:val="center"/>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政府采购活动现场确认声明书</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欧邦工程管理集团有限公司:</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本人________________（授权代表姓名），经由__________________________（单位）________________（法定代表人姓名）合法授权参加</w:t>
      </w:r>
      <w:r>
        <w:rPr>
          <w:rFonts w:hint="eastAsia" w:ascii="宋体" w:hAnsi="宋体" w:eastAsia="宋体"/>
          <w:color w:val="auto"/>
          <w:kern w:val="0"/>
          <w:sz w:val="24"/>
          <w:szCs w:val="24"/>
          <w:lang w:val="en-US" w:eastAsia="zh-CN"/>
        </w:rPr>
        <w:t xml:space="preserve"> （项目名称）    </w:t>
      </w:r>
      <w:r>
        <w:rPr>
          <w:rFonts w:hint="eastAsia" w:ascii="宋体" w:hAnsi="宋体" w:eastAsia="宋体"/>
          <w:color w:val="auto"/>
          <w:kern w:val="0"/>
          <w:sz w:val="24"/>
          <w:szCs w:val="24"/>
          <w:lang w:val="zh-CN"/>
        </w:rPr>
        <w:t>（编号：</w:t>
      </w:r>
      <w:r>
        <w:rPr>
          <w:rFonts w:hint="eastAsia" w:ascii="宋体" w:hAnsi="宋体" w:eastAsia="宋体"/>
          <w:color w:val="auto"/>
          <w:kern w:val="0"/>
          <w:sz w:val="24"/>
          <w:szCs w:val="24"/>
          <w:lang w:val="en-US" w:eastAsia="zh-CN"/>
        </w:rPr>
        <w:t xml:space="preserve">   </w:t>
      </w:r>
      <w:r>
        <w:rPr>
          <w:rFonts w:hint="eastAsia" w:ascii="宋体" w:hAnsi="宋体" w:eastAsia="宋体"/>
          <w:color w:val="auto"/>
          <w:kern w:val="0"/>
          <w:sz w:val="24"/>
          <w:szCs w:val="24"/>
          <w:lang w:val="zh-CN"/>
        </w:rPr>
        <w:t>）政府采购活动．经与本单位法人代表（负责人）联系确认，现就有关公平竞争事项郑重声明如下:</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一、本单位与采购人之间 口 不存在利害关系 口 存在下列利害关系: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A．投资关系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B．行政隶属关系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C．业务指导关系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D．其他可能影响采购公正的利害关系（如有，请如实说明）。</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二、现己清楚知道参加本项目采购活动的其他所有供应商名称，本单位 口 与其他所有供应商之间均不存在利害关系 口 与________________（供应商名称）之间存在下列利害关系: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A．法定代表人或负责人或实际控制人是同一人</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B．法定代表人或负责人或实际控制人是夫妻关系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C．法定代表人或负责人或实际控制人是直系血亲关系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D．法定代表人或负责人或实际控制人存在三代以内旁系血亲关系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E．法定代表人或负责人或实际控制人存在近姻亲关系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F．法定代表人或负责人或实际控制人存在股份控制或实际控制关系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G．存在共同直接或间接投资设立子公司、联营企业和合营企业情况</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H．存在分级代理或代销关系、同一生产制造商关系、管理关系、重要业务（占主营业务收入 50 ％以上）或重要财务往来关系（如融资）等其他实质性控制关系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I．其他利害关系情况___________________________________。</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三、现己清楚知道并严格遵守政府采购法律法规和现场纪律。</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四、我发现________________供应商之间存在或可能存在上述第二条第________________项利害关系。</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2025年</w:t>
      </w:r>
      <w:r>
        <w:rPr>
          <w:rFonts w:hint="eastAsia" w:ascii="宋体" w:hAnsi="宋体" w:eastAsia="宋体"/>
          <w:color w:val="auto"/>
          <w:kern w:val="0"/>
          <w:sz w:val="24"/>
          <w:szCs w:val="24"/>
          <w:lang w:val="en-US" w:eastAsia="zh-CN"/>
        </w:rPr>
        <w:t xml:space="preserve">  </w:t>
      </w:r>
      <w:r>
        <w:rPr>
          <w:rFonts w:hint="eastAsia" w:ascii="宋体" w:hAnsi="宋体" w:eastAsia="宋体"/>
          <w:color w:val="auto"/>
          <w:kern w:val="0"/>
          <w:sz w:val="24"/>
          <w:szCs w:val="24"/>
          <w:lang w:val="zh-CN"/>
        </w:rPr>
        <w:t>月</w:t>
      </w:r>
      <w:r>
        <w:rPr>
          <w:rFonts w:hint="eastAsia" w:ascii="宋体" w:hAnsi="宋体" w:eastAsia="宋体"/>
          <w:color w:val="auto"/>
          <w:kern w:val="0"/>
          <w:sz w:val="24"/>
          <w:szCs w:val="24"/>
          <w:lang w:val="en-US" w:eastAsia="zh-CN"/>
        </w:rPr>
        <w:t xml:space="preserve">  </w:t>
      </w:r>
      <w:r>
        <w:rPr>
          <w:rFonts w:hint="eastAsia" w:ascii="宋体" w:hAnsi="宋体" w:eastAsia="宋体"/>
          <w:color w:val="auto"/>
          <w:kern w:val="0"/>
          <w:sz w:val="24"/>
          <w:szCs w:val="24"/>
          <w:lang w:val="zh-CN"/>
        </w:rPr>
        <w:t>日</w:t>
      </w:r>
    </w:p>
    <w:p>
      <w:pPr>
        <w:pStyle w:val="80"/>
        <w:spacing w:line="240" w:lineRule="auto"/>
        <w:rPr>
          <w:rFonts w:hint="eastAsia" w:ascii="宋体" w:hAnsi="宋体" w:eastAsia="宋体"/>
          <w:color w:val="auto"/>
          <w:kern w:val="0"/>
          <w:sz w:val="24"/>
          <w:szCs w:val="24"/>
          <w:lang w:val="zh-CN"/>
        </w:rPr>
      </w:pPr>
      <w:r>
        <w:rPr>
          <w:rFonts w:hint="eastAsia" w:ascii="宋体" w:hAnsi="宋体" w:eastAsia="宋体"/>
          <w:color w:val="auto"/>
          <w:kern w:val="0"/>
          <w:sz w:val="24"/>
          <w:szCs w:val="24"/>
          <w:lang w:val="zh-CN"/>
        </w:rPr>
        <w:t>供应商代表签名：</w:t>
      </w:r>
    </w:p>
    <w:p>
      <w:pPr>
        <w:pStyle w:val="61"/>
        <w:rPr>
          <w:rFonts w:hint="eastAsia"/>
          <w:color w:val="auto"/>
          <w:lang w:eastAsia="zh-CN"/>
        </w:rPr>
      </w:pPr>
    </w:p>
    <w:p>
      <w:pPr>
        <w:pStyle w:val="61"/>
        <w:rPr>
          <w:rFonts w:hint="eastAsia"/>
          <w:color w:val="auto"/>
          <w:lang w:eastAsia="zh-CN"/>
        </w:rPr>
      </w:pPr>
    </w:p>
    <w:p>
      <w:pPr>
        <w:pStyle w:val="79"/>
        <w:rPr>
          <w:rFonts w:hint="eastAsia" w:eastAsia="宋体"/>
          <w:color w:val="auto"/>
          <w:lang w:eastAsia="zh-CN"/>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919" w:name="_Toc164085800"/>
    <w:bookmarkStart w:id="920" w:name="_Toc131845147"/>
    <w:bookmarkStart w:id="921" w:name="_Toc36110187"/>
    <w:bookmarkStart w:id="922" w:name="_Toc91899912"/>
    <w:r>
      <w:rPr>
        <w:rFonts w:hint="eastAsia" w:ascii="仿宋_GB2312" w:eastAsia="仿宋_GB2312"/>
        <w:kern w:val="0"/>
        <w:szCs w:val="21"/>
      </w:rPr>
      <w:t xml:space="preserve"> 页</w:t>
    </w:r>
    <w:bookmarkEnd w:id="919"/>
    <w:bookmarkEnd w:id="920"/>
    <w:bookmarkEnd w:id="921"/>
    <w:bookmarkEnd w:id="9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pacing w:beforeLines="0" w:afterLines="0"/>
      <w:jc w:val="center"/>
      <w:rPr>
        <w:rFonts w:hint="eastAsia" w:ascii="仿宋_GB2312" w:eastAsia="仿宋_GB2312"/>
        <w:sz w:val="18"/>
        <w:szCs w:val="18"/>
      </w:rP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62</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83</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p>
    <w:pPr>
      <w:spacing w:beforeLines="0" w:afterLines="0"/>
      <w:rPr>
        <w:rFonts w:hint="eastAsia" w:ascii="仿宋_GB2312" w:eastAsia="仿宋_GB2312"/>
        <w:sz w:val="21"/>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pacing w:beforeLines="0" w:afterLines="0"/>
      <w:jc w:val="center"/>
      <w:rPr>
        <w:rFonts w:hint="eastAsia" w:ascii="仿宋_GB2312" w:eastAsia="仿宋_GB2312"/>
        <w:sz w:val="18"/>
        <w:szCs w:val="18"/>
      </w:rP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61</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83</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p>
    <w:pPr>
      <w:spacing w:beforeLines="0" w:afterLines="0"/>
      <w:rPr>
        <w:rFonts w:hint="eastAsia" w:ascii="仿宋_GB2312" w:eastAsia="仿宋_GB2312"/>
        <w:sz w:val="21"/>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spacing w:beforeLines="0" w:afterLines="0"/>
      <w:jc w:val="right"/>
      <w:rPr>
        <w:rFonts w:hint="eastAsia"/>
        <w:sz w:val="18"/>
        <w:szCs w:val="18"/>
      </w:rPr>
    </w:pPr>
    <w:r>
      <w:rPr>
        <w:rFonts w:hint="default" w:ascii="宋体" w:eastAsia="宋体"/>
        <w:sz w:val="18"/>
        <w:szCs w:val="18"/>
        <w:lang w:val="zh-CN"/>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E513C"/>
    <w:multiLevelType w:val="singleLevel"/>
    <w:tmpl w:val="82FE513C"/>
    <w:lvl w:ilvl="0" w:tentative="0">
      <w:start w:val="2"/>
      <w:numFmt w:val="decimal"/>
      <w:suff w:val="space"/>
      <w:lvlText w:val="%1."/>
      <w:lvlJc w:val="left"/>
    </w:lvl>
  </w:abstractNum>
  <w:abstractNum w:abstractNumId="1">
    <w:nsid w:val="8B1E102D"/>
    <w:multiLevelType w:val="singleLevel"/>
    <w:tmpl w:val="8B1E102D"/>
    <w:lvl w:ilvl="0" w:tentative="0">
      <w:start w:val="1"/>
      <w:numFmt w:val="decimal"/>
      <w:suff w:val="nothing"/>
      <w:lvlText w:val="（%1）"/>
      <w:lvlJc w:val="left"/>
    </w:lvl>
  </w:abstractNum>
  <w:abstractNum w:abstractNumId="2">
    <w:nsid w:val="66FCA34F"/>
    <w:multiLevelType w:val="singleLevel"/>
    <w:tmpl w:val="66FCA34F"/>
    <w:lvl w:ilvl="0" w:tentative="0">
      <w:start w:val="1"/>
      <w:numFmt w:val="decimal"/>
      <w:lvlText w:val="%1."/>
      <w:lvlJc w:val="left"/>
      <w:pPr>
        <w:ind w:left="425" w:hanging="425"/>
      </w:pPr>
      <w:rPr>
        <w:rFonts w:hint="default"/>
      </w:rPr>
    </w:lvl>
  </w:abstractNum>
  <w:abstractNum w:abstractNumId="3">
    <w:nsid w:val="6F9F03AE"/>
    <w:multiLevelType w:val="multilevel"/>
    <w:tmpl w:val="6F9F03AE"/>
    <w:lvl w:ilvl="0" w:tentative="0">
      <w:start w:val="1"/>
      <w:numFmt w:val="decimal"/>
      <w:lvlText w:val="%1."/>
      <w:lvlJc w:val="left"/>
      <w:pPr>
        <w:tabs>
          <w:tab w:val="left" w:pos="704"/>
        </w:tabs>
        <w:ind w:left="760" w:hanging="34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675BC7"/>
    <w:rsid w:val="03DD35E4"/>
    <w:rsid w:val="03F040A4"/>
    <w:rsid w:val="04076900"/>
    <w:rsid w:val="041A5A3B"/>
    <w:rsid w:val="042311BA"/>
    <w:rsid w:val="042B157A"/>
    <w:rsid w:val="048F763B"/>
    <w:rsid w:val="049F330E"/>
    <w:rsid w:val="04A34B8F"/>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AC628D9"/>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35A64"/>
    <w:rsid w:val="10646583"/>
    <w:rsid w:val="107D4B15"/>
    <w:rsid w:val="108A3C80"/>
    <w:rsid w:val="109E1D94"/>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68295A"/>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C176E"/>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022F1D"/>
    <w:rsid w:val="3A204F94"/>
    <w:rsid w:val="3A3651E5"/>
    <w:rsid w:val="3A744481"/>
    <w:rsid w:val="3A8C7BEF"/>
    <w:rsid w:val="3A906246"/>
    <w:rsid w:val="3A9E536B"/>
    <w:rsid w:val="3B2349B7"/>
    <w:rsid w:val="3B616CFF"/>
    <w:rsid w:val="3B6259F6"/>
    <w:rsid w:val="3B976654"/>
    <w:rsid w:val="3BC01EFC"/>
    <w:rsid w:val="3BCA786A"/>
    <w:rsid w:val="3BD31E2F"/>
    <w:rsid w:val="3BF15831"/>
    <w:rsid w:val="3BF53B84"/>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F7D1D"/>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1074F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106C70"/>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4A1237"/>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47A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687FD1"/>
    <w:rsid w:val="6182292A"/>
    <w:rsid w:val="619F7F92"/>
    <w:rsid w:val="61E85AA7"/>
    <w:rsid w:val="61F94C26"/>
    <w:rsid w:val="62000E56"/>
    <w:rsid w:val="624F3E49"/>
    <w:rsid w:val="625748EC"/>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4444D"/>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5F4BD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BC4C2C"/>
    <w:rsid w:val="79E27E8B"/>
    <w:rsid w:val="79E505B2"/>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7"/>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109</Pages>
  <Words>59910</Words>
  <Characters>63020</Characters>
  <Lines>1</Lines>
  <Paragraphs>1</Paragraphs>
  <TotalTime>0</TotalTime>
  <ScaleCrop>false</ScaleCrop>
  <LinksUpToDate>false</LinksUpToDate>
  <CharactersWithSpaces>73286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波波</cp:lastModifiedBy>
  <cp:lastPrinted>2021-12-28T03:06:00Z</cp:lastPrinted>
  <dcterms:modified xsi:type="dcterms:W3CDTF">2025-07-10T23:20:07Z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ies>
</file>