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olor w:val="auto"/>
          <w:sz w:val="52"/>
          <w:szCs w:val="52"/>
          <w:highlight w:val="none"/>
        </w:rPr>
      </w:pPr>
    </w:p>
    <w:p>
      <w:pPr>
        <w:pStyle w:val="12"/>
        <w:spacing w:line="800" w:lineRule="exact"/>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52"/>
          <w:szCs w:val="52"/>
          <w:highlight w:val="none"/>
          <w:lang w:eastAsia="zh-CN"/>
        </w:rPr>
        <w:t>武义县通达公路养护工程有限公司车辆采购项目</w:t>
      </w: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spacing w:before="120" w:beforeLines="50"/>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公开招标采购文件</w:t>
      </w: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b/>
          <w:bCs/>
          <w:color w:val="auto"/>
          <w:sz w:val="84"/>
          <w:szCs w:val="84"/>
          <w:highlight w:val="none"/>
        </w:rPr>
      </w:pPr>
    </w:p>
    <w:p>
      <w:pPr>
        <w:pStyle w:val="17"/>
        <w:spacing w:before="120" w:after="120"/>
        <w:rPr>
          <w:rFonts w:hint="eastAsia" w:ascii="仿宋" w:hAnsi="仿宋" w:eastAsia="仿宋" w:cs="仿宋"/>
          <w:color w:val="auto"/>
          <w:highlight w:val="none"/>
        </w:rPr>
      </w:pPr>
    </w:p>
    <w:p>
      <w:pPr>
        <w:pStyle w:val="17"/>
        <w:spacing w:before="120" w:after="120"/>
        <w:rPr>
          <w:rFonts w:hint="eastAsia" w:ascii="仿宋" w:hAnsi="仿宋" w:eastAsia="仿宋" w:cs="仿宋"/>
          <w:b/>
          <w:bCs/>
          <w:color w:val="auto"/>
          <w:sz w:val="84"/>
          <w:szCs w:val="84"/>
          <w:highlight w:val="none"/>
        </w:rPr>
      </w:pP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ZJNH-CQ202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lang w:eastAsia="zh-CN"/>
        </w:rPr>
        <w:t>0</w:t>
      </w:r>
      <w:r>
        <w:rPr>
          <w:rFonts w:hint="eastAsia" w:ascii="仿宋" w:hAnsi="仿宋" w:eastAsia="仿宋" w:cs="仿宋"/>
          <w:b/>
          <w:bCs/>
          <w:color w:val="auto"/>
          <w:sz w:val="32"/>
          <w:szCs w:val="32"/>
          <w:highlight w:val="none"/>
          <w:lang w:val="en-US" w:eastAsia="zh-CN"/>
        </w:rPr>
        <w:t>2</w:t>
      </w: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32"/>
          <w:szCs w:val="32"/>
          <w:highlight w:val="none"/>
        </w:rPr>
        <w:t>采购单位：</w:t>
      </w:r>
      <w:r>
        <w:rPr>
          <w:rFonts w:hint="eastAsia" w:ascii="仿宋" w:hAnsi="仿宋" w:eastAsia="仿宋" w:cs="仿宋"/>
          <w:b/>
          <w:bCs/>
          <w:color w:val="auto"/>
          <w:sz w:val="32"/>
          <w:szCs w:val="32"/>
          <w:highlight w:val="none"/>
          <w:lang w:eastAsia="zh-CN"/>
        </w:rPr>
        <w:t>武义县通达公路养护工程有限公司</w:t>
      </w: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480" w:lineRule="auto"/>
        <w:ind w:firstLine="964" w:firstLineChars="3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代理机构：</w:t>
      </w:r>
      <w:r>
        <w:rPr>
          <w:rFonts w:hint="eastAsia" w:ascii="仿宋" w:hAnsi="仿宋" w:eastAsia="仿宋" w:cs="仿宋"/>
          <w:b/>
          <w:bCs/>
          <w:color w:val="auto"/>
          <w:sz w:val="32"/>
          <w:szCs w:val="32"/>
          <w:highlight w:val="none"/>
          <w:lang w:eastAsia="zh-CN"/>
        </w:rPr>
        <w:t>浙江宁和工程管理有限公司</w:t>
      </w:r>
    </w:p>
    <w:p>
      <w:pPr>
        <w:pStyle w:val="17"/>
        <w:spacing w:before="120" w:after="120"/>
        <w:rPr>
          <w:rFonts w:hint="eastAsia" w:ascii="仿宋" w:hAnsi="仿宋" w:eastAsia="仿宋" w:cs="仿宋"/>
          <w:b/>
          <w:bCs/>
          <w:color w:val="auto"/>
          <w:sz w:val="84"/>
          <w:szCs w:val="84"/>
          <w:highlight w:val="none"/>
        </w:rPr>
      </w:pPr>
    </w:p>
    <w:p>
      <w:pPr>
        <w:pStyle w:val="17"/>
        <w:snapToGrid w:val="0"/>
        <w:spacing w:before="120" w:beforeLines="0" w:after="120" w:afterLines="0" w:line="240" w:lineRule="auto"/>
        <w:jc w:val="center"/>
        <w:rPr>
          <w:rFonts w:hint="eastAsia" w:ascii="仿宋" w:hAnsi="仿宋" w:eastAsia="仿宋" w:cs="仿宋"/>
          <w:b/>
          <w:bCs/>
          <w:color w:val="auto"/>
          <w:sz w:val="32"/>
          <w:szCs w:val="32"/>
          <w:highlight w:val="none"/>
        </w:rPr>
        <w:sectPr>
          <w:headerReference r:id="rId3" w:type="default"/>
          <w:footerReference r:id="rId4" w:type="default"/>
          <w:pgSz w:w="11906" w:h="16838"/>
          <w:pgMar w:top="1474" w:right="1627" w:bottom="1247" w:left="1684"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b/>
          <w:bCs/>
          <w:color w:val="auto"/>
          <w:sz w:val="32"/>
          <w:szCs w:val="32"/>
          <w:highlight w:val="none"/>
        </w:rPr>
        <w:t>二○二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月</w:t>
      </w:r>
    </w:p>
    <w:p>
      <w:pPr>
        <w:rPr>
          <w:rFonts w:hint="eastAsia" w:ascii="仿宋" w:hAnsi="仿宋" w:eastAsia="仿宋" w:cs="仿宋"/>
          <w:color w:val="auto"/>
          <w:highlight w:val="none"/>
        </w:rPr>
      </w:pPr>
    </w:p>
    <w:p>
      <w:pPr>
        <w:spacing w:line="300" w:lineRule="auto"/>
        <w:rPr>
          <w:rFonts w:hint="eastAsia" w:ascii="仿宋" w:hAnsi="仿宋" w:eastAsia="仿宋" w:cs="仿宋"/>
          <w:b/>
          <w:bCs/>
          <w:color w:val="auto"/>
          <w:sz w:val="72"/>
          <w:szCs w:val="72"/>
          <w:highlight w:val="none"/>
        </w:rPr>
      </w:pPr>
    </w:p>
    <w:p>
      <w:pPr>
        <w:spacing w:line="300" w:lineRule="auto"/>
        <w:jc w:val="center"/>
        <w:rPr>
          <w:rFonts w:hint="eastAsia" w:ascii="仿宋" w:hAnsi="仿宋" w:eastAsia="仿宋" w:cs="仿宋"/>
          <w:b/>
          <w:bCs/>
          <w:color w:val="auto"/>
          <w:sz w:val="72"/>
          <w:szCs w:val="72"/>
          <w:highlight w:val="none"/>
        </w:rPr>
        <w:sectPr>
          <w:footerReference r:id="rId5" w:type="default"/>
          <w:pgSz w:w="11906" w:h="16838"/>
          <w:pgMar w:top="1474" w:right="1627" w:bottom="1247" w:left="1684" w:header="851" w:footer="851" w:gutter="0"/>
          <w:pgBorders>
            <w:top w:val="none" w:sz="0" w:space="0"/>
            <w:left w:val="none" w:sz="0" w:space="0"/>
            <w:bottom w:val="none" w:sz="0" w:space="0"/>
            <w:right w:val="none" w:sz="0" w:space="0"/>
          </w:pgBorders>
          <w:pgNumType w:start="1"/>
          <w:cols w:space="720" w:num="1"/>
          <w:docGrid w:linePitch="312" w:charSpace="0"/>
        </w:sectPr>
      </w:pPr>
    </w:p>
    <w:p>
      <w:pPr>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72"/>
          <w:szCs w:val="72"/>
          <w:highlight w:val="none"/>
        </w:rPr>
        <w:t>目 录</w:t>
      </w:r>
    </w:p>
    <w:p>
      <w:pPr>
        <w:spacing w:line="300" w:lineRule="auto"/>
        <w:ind w:firstLine="3445" w:firstLineChars="957"/>
        <w:rPr>
          <w:rFonts w:hint="eastAsia" w:ascii="仿宋" w:hAnsi="仿宋" w:eastAsia="仿宋" w:cs="仿宋"/>
          <w:color w:val="auto"/>
          <w:sz w:val="36"/>
          <w:highlight w:val="none"/>
        </w:rPr>
      </w:pP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_Toc24867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第一章  招标公告</w:t>
      </w:r>
      <w:r>
        <w:rPr>
          <w:rFonts w:hint="eastAsia" w:ascii="仿宋" w:hAnsi="仿宋" w:eastAsia="仿宋" w:cs="仿宋"/>
          <w:color w:val="auto"/>
          <w:sz w:val="32"/>
          <w:szCs w:val="32"/>
          <w:highlight w:val="none"/>
        </w:rPr>
        <w:fldChar w:fldCharType="end"/>
      </w: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_Toc7017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第二章  投标人须知</w:t>
      </w:r>
      <w:r>
        <w:rPr>
          <w:rFonts w:hint="eastAsia" w:ascii="仿宋" w:hAnsi="仿宋" w:eastAsia="仿宋" w:cs="仿宋"/>
          <w:color w:val="auto"/>
          <w:sz w:val="32"/>
          <w:szCs w:val="32"/>
          <w:highlight w:val="none"/>
        </w:rPr>
        <w:fldChar w:fldCharType="end"/>
      </w: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_Toc29891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第三章  招标采购需求</w:t>
      </w:r>
      <w:r>
        <w:rPr>
          <w:rFonts w:hint="eastAsia" w:ascii="仿宋" w:hAnsi="仿宋" w:eastAsia="仿宋" w:cs="仿宋"/>
          <w:color w:val="auto"/>
          <w:sz w:val="32"/>
          <w:szCs w:val="32"/>
          <w:highlight w:val="none"/>
        </w:rPr>
        <w:fldChar w:fldCharType="end"/>
      </w: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_Toc7345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第四章  合同条款及格式</w:t>
      </w:r>
      <w:r>
        <w:rPr>
          <w:rFonts w:hint="eastAsia" w:ascii="仿宋" w:hAnsi="仿宋" w:eastAsia="仿宋" w:cs="仿宋"/>
          <w:color w:val="auto"/>
          <w:sz w:val="32"/>
          <w:szCs w:val="32"/>
          <w:highlight w:val="none"/>
        </w:rPr>
        <w:fldChar w:fldCharType="end"/>
      </w: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第五章  评标办法</w:t>
      </w:r>
      <w:r>
        <w:rPr>
          <w:rFonts w:hint="eastAsia" w:ascii="仿宋" w:hAnsi="仿宋" w:eastAsia="仿宋" w:cs="仿宋"/>
          <w:color w:val="auto"/>
          <w:sz w:val="32"/>
          <w:szCs w:val="32"/>
          <w:highlight w:val="none"/>
        </w:rPr>
        <w:fldChar w:fldCharType="end"/>
      </w:r>
    </w:p>
    <w:p>
      <w:pPr>
        <w:pStyle w:val="22"/>
        <w:tabs>
          <w:tab w:val="right" w:leader="dot" w:pos="9355"/>
        </w:tabs>
        <w:spacing w:line="8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_Toc25961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第六章  投标文件格式</w:t>
      </w:r>
      <w:r>
        <w:rPr>
          <w:rFonts w:hint="eastAsia" w:ascii="仿宋" w:hAnsi="仿宋" w:eastAsia="仿宋" w:cs="仿宋"/>
          <w:color w:val="auto"/>
          <w:sz w:val="32"/>
          <w:szCs w:val="32"/>
          <w:highlight w:val="none"/>
        </w:rPr>
        <w:fldChar w:fldCharType="end"/>
      </w:r>
    </w:p>
    <w:p>
      <w:pPr>
        <w:spacing w:line="300" w:lineRule="auto"/>
        <w:rPr>
          <w:rFonts w:hint="eastAsia"/>
          <w:color w:val="auto"/>
          <w:highlight w:val="none"/>
        </w:rPr>
      </w:pPr>
      <w:r>
        <w:rPr>
          <w:rFonts w:hint="eastAsia" w:ascii="仿宋" w:hAnsi="仿宋" w:eastAsia="仿宋" w:cs="仿宋"/>
          <w:color w:val="auto"/>
          <w:sz w:val="32"/>
          <w:szCs w:val="32"/>
          <w:highlight w:val="none"/>
        </w:rPr>
        <w:fldChar w:fldCharType="end"/>
      </w:r>
    </w:p>
    <w:p>
      <w:pPr>
        <w:widowControl/>
        <w:ind w:firstLine="880" w:firstLineChars="200"/>
        <w:jc w:val="left"/>
        <w:rPr>
          <w:rFonts w:hint="eastAsia" w:ascii="宋体" w:hAnsi="宋体" w:cs="宋体"/>
          <w:color w:val="auto"/>
          <w:sz w:val="44"/>
          <w:szCs w:val="24"/>
          <w:highlight w:val="none"/>
        </w:rPr>
        <w:sectPr>
          <w:footerReference r:id="rId6" w:type="default"/>
          <w:pgSz w:w="11906" w:h="16838"/>
          <w:pgMar w:top="1474" w:right="1627" w:bottom="1247" w:left="168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24867"/>
    </w:p>
    <w:p>
      <w:pPr>
        <w:pStyle w:val="4"/>
        <w:bidi w:val="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第一章  </w:t>
      </w:r>
      <w:bookmarkEnd w:id="0"/>
      <w:r>
        <w:rPr>
          <w:rFonts w:hint="eastAsia" w:ascii="仿宋" w:hAnsi="仿宋" w:eastAsia="仿宋" w:cs="仿宋"/>
          <w:color w:val="auto"/>
          <w:highlight w:val="none"/>
        </w:rPr>
        <w:t>招标公告</w:t>
      </w:r>
    </w:p>
    <w:p>
      <w:pPr>
        <w:pBdr>
          <w:top w:val="single" w:color="auto" w:sz="4" w:space="1"/>
          <w:left w:val="single" w:color="auto" w:sz="4" w:space="4"/>
          <w:bottom w:val="single" w:color="auto" w:sz="4" w:space="1"/>
          <w:right w:val="single" w:color="auto" w:sz="4" w:space="4"/>
        </w:pBdr>
        <w:spacing w:line="4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u w:val="single"/>
          <w:lang w:eastAsia="zh-CN"/>
        </w:rPr>
        <w:t xml:space="preserve"> 武义县通达公路养护工程有限公司车辆采购项目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0000FF"/>
          <w:sz w:val="24"/>
          <w:szCs w:val="24"/>
          <w:highlight w:val="none"/>
          <w:lang w:eastAsia="zh-CN"/>
        </w:rPr>
        <w:t>浙江政府采购网</w:t>
      </w:r>
      <w:r>
        <w:rPr>
          <w:rFonts w:hint="eastAsia" w:ascii="仿宋" w:hAnsi="仿宋" w:eastAsia="仿宋" w:cs="仿宋"/>
          <w:color w:val="auto"/>
          <w:sz w:val="24"/>
          <w:szCs w:val="24"/>
          <w:highlight w:val="none"/>
        </w:rPr>
        <w:t>的该项目招标公告下方的网址链接处点击免费下载招标采购文件，并于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09:00</w:t>
      </w:r>
      <w:r>
        <w:rPr>
          <w:rFonts w:hint="eastAsia" w:ascii="仿宋" w:hAnsi="仿宋" w:eastAsia="仿宋" w:cs="仿宋"/>
          <w:color w:val="auto"/>
          <w:sz w:val="24"/>
          <w:szCs w:val="24"/>
          <w:highlight w:val="none"/>
          <w:u w:val="single"/>
          <w:lang w:eastAsia="zh-CN"/>
        </w:rPr>
        <w:t>时</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1" w:name="_Toc35393621"/>
      <w:bookmarkStart w:id="2" w:name="_Toc28359002"/>
      <w:bookmarkStart w:id="3" w:name="_Toc28359079"/>
      <w:bookmarkStart w:id="4" w:name="_Toc35393790"/>
      <w:bookmarkStart w:id="5" w:name="_Hlk24379207"/>
      <w:r>
        <w:rPr>
          <w:rFonts w:hint="eastAsia" w:ascii="仿宋" w:hAnsi="仿宋" w:eastAsia="仿宋" w:cs="仿宋"/>
          <w:color w:val="auto"/>
          <w:highlight w:val="none"/>
        </w:rPr>
        <w:t>一、项目基本情况</w:t>
      </w:r>
      <w:bookmarkEnd w:id="1"/>
      <w:bookmarkEnd w:id="2"/>
      <w:bookmarkEnd w:id="3"/>
      <w:bookmarkEnd w:id="4"/>
    </w:p>
    <w:p>
      <w:pPr>
        <w:pageBreakBefore w:val="0"/>
        <w:widowControl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 xml:space="preserve"> 武义县通达公路养护工程有限公司车辆采购项目</w:t>
      </w:r>
    </w:p>
    <w:bookmarkEnd w:id="5"/>
    <w:tbl>
      <w:tblPr>
        <w:tblStyle w:val="30"/>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08"/>
        <w:gridCol w:w="855"/>
        <w:gridCol w:w="778"/>
        <w:gridCol w:w="1312"/>
        <w:gridCol w:w="120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0"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标段</w:t>
            </w:r>
          </w:p>
        </w:tc>
        <w:tc>
          <w:tcPr>
            <w:tcW w:w="2508"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车辆类型</w:t>
            </w:r>
          </w:p>
        </w:tc>
        <w:tc>
          <w:tcPr>
            <w:tcW w:w="855"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r>
              <w:rPr>
                <w:rFonts w:hint="eastAsia" w:ascii="仿宋" w:hAnsi="仿宋" w:eastAsia="仿宋" w:cs="仿宋"/>
                <w:kern w:val="0"/>
                <w:sz w:val="24"/>
              </w:rPr>
              <w:t>数量</w:t>
            </w:r>
          </w:p>
        </w:tc>
        <w:tc>
          <w:tcPr>
            <w:tcW w:w="778"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r>
              <w:rPr>
                <w:rFonts w:hint="eastAsia" w:ascii="仿宋" w:hAnsi="仿宋" w:eastAsia="仿宋" w:cs="仿宋"/>
                <w:kern w:val="0"/>
                <w:sz w:val="24"/>
              </w:rPr>
              <w:t>单位</w:t>
            </w:r>
          </w:p>
        </w:tc>
        <w:tc>
          <w:tcPr>
            <w:tcW w:w="1312"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sz w:val="24"/>
                <w:szCs w:val="28"/>
                <w:lang w:val="en-US"/>
              </w:rPr>
            </w:pPr>
            <w:r>
              <w:rPr>
                <w:rFonts w:hint="eastAsia" w:ascii="仿宋" w:hAnsi="仿宋" w:eastAsia="仿宋" w:cs="仿宋"/>
                <w:sz w:val="24"/>
                <w:szCs w:val="28"/>
                <w:lang w:val="en-US" w:eastAsia="zh-CN"/>
              </w:rPr>
              <w:t>控制价（元）</w:t>
            </w:r>
          </w:p>
        </w:tc>
        <w:tc>
          <w:tcPr>
            <w:tcW w:w="1209"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r>
              <w:rPr>
                <w:rFonts w:hint="eastAsia" w:ascii="仿宋" w:hAnsi="仿宋" w:eastAsia="仿宋" w:cs="仿宋"/>
                <w:sz w:val="24"/>
                <w:szCs w:val="28"/>
              </w:rPr>
              <w:t>简要规格描述或标项基本概况介绍</w:t>
            </w:r>
          </w:p>
        </w:tc>
        <w:tc>
          <w:tcPr>
            <w:tcW w:w="1491"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60"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r>
              <w:rPr>
                <w:rFonts w:hint="eastAsia" w:ascii="仿宋" w:hAnsi="仿宋" w:eastAsia="仿宋" w:cs="仿宋"/>
                <w:kern w:val="0"/>
                <w:sz w:val="24"/>
              </w:rPr>
              <w:t>1</w:t>
            </w:r>
          </w:p>
        </w:tc>
        <w:tc>
          <w:tcPr>
            <w:tcW w:w="2508" w:type="dxa"/>
            <w:tcBorders>
              <w:tl2br w:val="nil"/>
              <w:tr2bl w:val="nil"/>
            </w:tcBorders>
            <w:shd w:val="clear" w:color="auto" w:fill="D9D9D9"/>
            <w:vAlign w:val="center"/>
          </w:tcPr>
          <w:p>
            <w:pPr>
              <w:pStyle w:val="9"/>
              <w:spacing w:line="360" w:lineRule="auto"/>
              <w:ind w:firstLine="0" w:firstLineChars="0"/>
              <w:jc w:val="center"/>
              <w:rPr>
                <w:rFonts w:hint="default" w:ascii="仿宋" w:hAnsi="仿宋" w:eastAsia="仿宋" w:cs="仿宋"/>
                <w:kern w:val="0"/>
                <w:sz w:val="24"/>
                <w:lang w:val="en-US" w:eastAsia="zh-CN"/>
              </w:rPr>
            </w:pPr>
            <w:r>
              <w:rPr>
                <w:rFonts w:hint="eastAsia" w:ascii="仿宋" w:hAnsi="仿宋" w:eastAsia="仿宋" w:cs="仿宋"/>
                <w:color w:val="000000" w:themeColor="text1"/>
                <w:kern w:val="0"/>
                <w:sz w:val="24"/>
                <w:szCs w:val="24"/>
                <w:u w:val="single"/>
                <w:lang w:val="en-US" w:eastAsia="zh-CN"/>
                <w14:textFill>
                  <w14:solidFill>
                    <w14:schemeClr w14:val="tx1"/>
                  </w14:solidFill>
                </w14:textFill>
              </w:rPr>
              <w:t>皮卡防撞车</w:t>
            </w:r>
          </w:p>
        </w:tc>
        <w:tc>
          <w:tcPr>
            <w:tcW w:w="855" w:type="dxa"/>
            <w:tcBorders>
              <w:tl2br w:val="nil"/>
              <w:tr2bl w:val="nil"/>
            </w:tcBorders>
            <w:shd w:val="clear" w:color="auto" w:fill="D9D9D9"/>
            <w:vAlign w:val="center"/>
          </w:tcPr>
          <w:p>
            <w:pPr>
              <w:pStyle w:val="9"/>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778" w:type="dxa"/>
            <w:tcBorders>
              <w:tl2br w:val="nil"/>
              <w:tr2bl w:val="nil"/>
            </w:tcBorders>
            <w:shd w:val="clear" w:color="auto" w:fill="D9D9D9"/>
            <w:vAlign w:val="center"/>
          </w:tcPr>
          <w:p>
            <w:pPr>
              <w:pStyle w:val="9"/>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val="en-US" w:eastAsia="zh-CN"/>
              </w:rPr>
              <w:t>辆</w:t>
            </w:r>
          </w:p>
        </w:tc>
        <w:tc>
          <w:tcPr>
            <w:tcW w:w="1312" w:type="dxa"/>
            <w:tcBorders>
              <w:tl2br w:val="nil"/>
              <w:tr2bl w:val="nil"/>
            </w:tcBorders>
            <w:shd w:val="clear" w:color="auto" w:fill="D9D9D9"/>
            <w:vAlign w:val="center"/>
          </w:tcPr>
          <w:p>
            <w:pPr>
              <w:pStyle w:val="9"/>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250000</w:t>
            </w:r>
          </w:p>
        </w:tc>
        <w:tc>
          <w:tcPr>
            <w:tcW w:w="1209" w:type="dxa"/>
            <w:vMerge w:val="restart"/>
            <w:tcBorders>
              <w:tl2br w:val="nil"/>
              <w:tr2bl w:val="nil"/>
            </w:tcBorders>
            <w:shd w:val="clear" w:color="auto" w:fill="D9D9D9"/>
            <w:vAlign w:val="center"/>
          </w:tcPr>
          <w:p>
            <w:pPr>
              <w:pStyle w:val="9"/>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详见招标需求</w:t>
            </w:r>
          </w:p>
        </w:tc>
        <w:tc>
          <w:tcPr>
            <w:tcW w:w="1491" w:type="dxa"/>
            <w:vMerge w:val="restart"/>
            <w:tcBorders>
              <w:tl2br w:val="nil"/>
              <w:tr2bl w:val="nil"/>
            </w:tcBorders>
            <w:shd w:val="clear" w:color="auto" w:fill="D9D9D9"/>
            <w:vAlign w:val="center"/>
          </w:tcPr>
          <w:p>
            <w:pPr>
              <w:widowControl/>
              <w:spacing w:before="75" w:after="75" w:line="360" w:lineRule="atLeas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投标人可投任意标段，允许同时中两个标段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60" w:type="dxa"/>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2508" w:type="dxa"/>
            <w:tcBorders>
              <w:tl2br w:val="nil"/>
              <w:tr2bl w:val="nil"/>
            </w:tcBorders>
            <w:shd w:val="clear" w:color="auto" w:fill="D9D9D9"/>
            <w:vAlign w:val="center"/>
          </w:tcPr>
          <w:p>
            <w:pPr>
              <w:pStyle w:val="9"/>
              <w:spacing w:line="360" w:lineRule="auto"/>
              <w:ind w:firstLine="0" w:firstLineChars="0"/>
              <w:jc w:val="center"/>
              <w:rPr>
                <w:rFonts w:hint="default" w:ascii="仿宋" w:hAnsi="仿宋" w:eastAsia="仿宋" w:cs="仿宋"/>
                <w:color w:val="000000" w:themeColor="text1"/>
                <w:kern w:val="0"/>
                <w:sz w:val="24"/>
                <w:szCs w:val="24"/>
                <w:u w:val="single"/>
                <w:lang w:val="en-US" w:eastAsia="zh-CN"/>
                <w14:textFill>
                  <w14:solidFill>
                    <w14:schemeClr w14:val="tx1"/>
                  </w14:solidFill>
                </w14:textFill>
              </w:rPr>
            </w:pPr>
            <w:r>
              <w:rPr>
                <w:rFonts w:hint="eastAsia" w:ascii="仿宋" w:hAnsi="仿宋" w:eastAsia="仿宋" w:cs="仿宋"/>
                <w:color w:val="000000" w:themeColor="text1"/>
                <w:kern w:val="0"/>
                <w:sz w:val="24"/>
                <w:szCs w:val="24"/>
                <w:u w:val="single"/>
                <w:lang w:val="en-US" w:eastAsia="zh-CN"/>
                <w14:textFill>
                  <w14:solidFill>
                    <w14:schemeClr w14:val="tx1"/>
                  </w14:solidFill>
                </w14:textFill>
              </w:rPr>
              <w:t>墙面（隧道）清洗车</w:t>
            </w:r>
          </w:p>
        </w:tc>
        <w:tc>
          <w:tcPr>
            <w:tcW w:w="855" w:type="dxa"/>
            <w:tcBorders>
              <w:tl2br w:val="nil"/>
              <w:tr2bl w:val="nil"/>
            </w:tcBorders>
            <w:shd w:val="clear" w:color="auto" w:fill="D9D9D9"/>
            <w:vAlign w:val="center"/>
          </w:tcPr>
          <w:p>
            <w:pPr>
              <w:pStyle w:val="9"/>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778" w:type="dxa"/>
            <w:tcBorders>
              <w:tl2br w:val="nil"/>
              <w:tr2bl w:val="nil"/>
            </w:tcBorders>
            <w:shd w:val="clear" w:color="auto" w:fill="D9D9D9"/>
            <w:vAlign w:val="center"/>
          </w:tcPr>
          <w:p>
            <w:pPr>
              <w:pStyle w:val="9"/>
              <w:spacing w:line="360" w:lineRule="auto"/>
              <w:ind w:firstLine="0" w:firstLineChars="0"/>
              <w:jc w:val="center"/>
              <w:rPr>
                <w:rFonts w:hint="eastAsia" w:ascii="仿宋" w:hAnsi="仿宋" w:eastAsia="仿宋" w:cs="仿宋"/>
                <w:sz w:val="24"/>
              </w:rPr>
            </w:pPr>
            <w:r>
              <w:rPr>
                <w:rFonts w:hint="eastAsia" w:ascii="仿宋" w:hAnsi="仿宋" w:eastAsia="仿宋" w:cs="仿宋"/>
                <w:sz w:val="24"/>
                <w:lang w:val="en-US" w:eastAsia="zh-CN"/>
              </w:rPr>
              <w:t>辆</w:t>
            </w:r>
          </w:p>
        </w:tc>
        <w:tc>
          <w:tcPr>
            <w:tcW w:w="1312" w:type="dxa"/>
            <w:tcBorders>
              <w:tl2br w:val="nil"/>
              <w:tr2bl w:val="nil"/>
            </w:tcBorders>
            <w:shd w:val="clear" w:color="auto" w:fill="D9D9D9"/>
            <w:vAlign w:val="center"/>
          </w:tcPr>
          <w:p>
            <w:pPr>
              <w:pStyle w:val="9"/>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1500000</w:t>
            </w:r>
          </w:p>
        </w:tc>
        <w:tc>
          <w:tcPr>
            <w:tcW w:w="1209" w:type="dxa"/>
            <w:vMerge w:val="continue"/>
            <w:tcBorders>
              <w:tl2br w:val="nil"/>
              <w:tr2bl w:val="nil"/>
            </w:tcBorders>
            <w:shd w:val="clear" w:color="auto" w:fill="D9D9D9"/>
            <w:vAlign w:val="center"/>
          </w:tcPr>
          <w:p>
            <w:pPr>
              <w:pStyle w:val="9"/>
              <w:spacing w:line="360" w:lineRule="auto"/>
              <w:ind w:firstLine="0" w:firstLineChars="0"/>
              <w:rPr>
                <w:rFonts w:hint="eastAsia" w:ascii="仿宋" w:hAnsi="仿宋" w:eastAsia="仿宋" w:cs="仿宋"/>
                <w:sz w:val="24"/>
              </w:rPr>
            </w:pPr>
          </w:p>
        </w:tc>
        <w:tc>
          <w:tcPr>
            <w:tcW w:w="1491" w:type="dxa"/>
            <w:vMerge w:val="continue"/>
            <w:tcBorders>
              <w:tl2br w:val="nil"/>
              <w:tr2bl w:val="nil"/>
            </w:tcBorders>
            <w:shd w:val="clear" w:color="auto" w:fill="D9D9D9"/>
            <w:vAlign w:val="center"/>
          </w:tcPr>
          <w:p>
            <w:pPr>
              <w:widowControl/>
              <w:spacing w:before="75" w:after="75" w:line="360" w:lineRule="atLeast"/>
              <w:jc w:val="center"/>
              <w:rPr>
                <w:rFonts w:hint="eastAsia" w:ascii="仿宋" w:hAnsi="仿宋" w:eastAsia="仿宋" w:cs="仿宋"/>
                <w:kern w:val="0"/>
                <w:sz w:val="24"/>
              </w:rPr>
            </w:pPr>
          </w:p>
        </w:tc>
      </w:tr>
    </w:tbl>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lang w:eastAsia="zh-CN"/>
        </w:rPr>
      </w:pPr>
      <w:bookmarkStart w:id="6" w:name="_Toc28359080"/>
      <w:bookmarkStart w:id="7" w:name="_Toc35393622"/>
      <w:bookmarkStart w:id="8" w:name="_Toc35393791"/>
      <w:bookmarkStart w:id="9" w:name="_Toc28359003"/>
      <w:r>
        <w:rPr>
          <w:rFonts w:hint="eastAsia" w:ascii="仿宋" w:hAnsi="仿宋" w:eastAsia="仿宋" w:cs="仿宋"/>
          <w:color w:val="auto"/>
          <w:highlight w:val="none"/>
        </w:rPr>
        <w:t>二、申请人的资格要求</w:t>
      </w:r>
      <w:bookmarkEnd w:id="6"/>
      <w:bookmarkEnd w:id="7"/>
      <w:bookmarkEnd w:id="8"/>
      <w:bookmarkEnd w:id="9"/>
    </w:p>
    <w:p>
      <w:pPr>
        <w:pageBreakBefore w:val="0"/>
        <w:widowControl w:val="0"/>
        <w:kinsoku/>
        <w:wordWrap/>
        <w:overflowPunct/>
        <w:topLinePunct w:val="0"/>
        <w:autoSpaceDE/>
        <w:autoSpaceDN/>
        <w:bidi w:val="0"/>
        <w:spacing w:line="430" w:lineRule="exact"/>
        <w:ind w:firstLine="480" w:firstLineChars="200"/>
        <w:jc w:val="left"/>
        <w:textAlignment w:val="auto"/>
        <w:rPr>
          <w:rFonts w:hint="eastAsia" w:ascii="仿宋" w:hAnsi="仿宋" w:eastAsia="仿宋" w:cs="仿宋"/>
          <w:color w:val="auto"/>
          <w:sz w:val="24"/>
          <w:highlight w:val="none"/>
        </w:rPr>
      </w:pPr>
      <w:bookmarkStart w:id="10" w:name="_Toc35393623"/>
      <w:bookmarkStart w:id="11" w:name="_Toc35393792"/>
      <w:bookmarkStart w:id="12" w:name="_Toc28359081"/>
      <w:bookmarkStart w:id="13" w:name="_Toc28359004"/>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符合</w:t>
      </w:r>
      <w:r>
        <w:rPr>
          <w:rFonts w:hint="eastAsia" w:ascii="仿宋" w:hAnsi="仿宋" w:eastAsia="仿宋" w:cs="仿宋"/>
          <w:color w:val="auto"/>
          <w:sz w:val="24"/>
          <w:highlight w:val="none"/>
        </w:rPr>
        <w:t>《中华人民共和国政府采购法》第二十二条规定；且未被“信用中国”（www.creditchina.gov.cn）、中国</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网（www.ccgp.gov.cn）列入失信被执行人、重大税收违法案件当事人名单、采购严重违法失信行为记录名单</w:t>
      </w:r>
      <w:r>
        <w:rPr>
          <w:rFonts w:hint="eastAsia" w:ascii="仿宋" w:hAnsi="仿宋" w:eastAsia="仿宋" w:cs="仿宋"/>
          <w:bCs/>
          <w:color w:val="auto"/>
          <w:sz w:val="24"/>
          <w:highlight w:val="none"/>
        </w:rPr>
        <w:t>或尚在行政处罚期内的</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pacing w:line="43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本项目不接受联合体投标。</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三、获取招标采购文件</w:t>
      </w:r>
      <w:bookmarkEnd w:id="10"/>
      <w:bookmarkEnd w:id="11"/>
      <w:bookmarkEnd w:id="12"/>
      <w:bookmarkEnd w:id="13"/>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公告发布</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日09:00时</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每天上午00:00至12:00，下午12:00至23:59（北京时间，线上获取法定节假日均可，线下获取文件法定节假日除外）。</w:t>
      </w:r>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地点（网址）：</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平台线上获取</w:t>
      </w:r>
    </w:p>
    <w:p>
      <w:pPr>
        <w:pStyle w:val="28"/>
        <w:spacing w:before="0" w:beforeAutospacing="0" w:after="0" w:afterAutospacing="0" w:line="336"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方式：供应商登录</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平台</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在线申请获取采购文件（进入“项目采购”应用，在获取采购文件菜单中选择项目，申请获取采购文件）</w:t>
      </w:r>
      <w:r>
        <w:rPr>
          <w:rFonts w:hint="eastAsia" w:ascii="仿宋" w:hAnsi="仿宋" w:eastAsia="仿宋" w:cs="仿宋"/>
          <w:color w:val="auto"/>
          <w:sz w:val="24"/>
          <w:szCs w:val="24"/>
          <w:lang w:eastAsia="zh-CN"/>
        </w:rPr>
        <w:t>。</w:t>
      </w:r>
    </w:p>
    <w:p>
      <w:pPr>
        <w:pStyle w:val="28"/>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 </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四、提交投标文件</w:t>
      </w:r>
      <w:bookmarkEnd w:id="14"/>
      <w:bookmarkEnd w:id="15"/>
      <w:r>
        <w:rPr>
          <w:rFonts w:hint="eastAsia" w:ascii="仿宋" w:hAnsi="仿宋" w:eastAsia="仿宋" w:cs="仿宋"/>
          <w:color w:val="auto"/>
          <w:highlight w:val="none"/>
        </w:rPr>
        <w:t>截止时间、开标时间和地点</w:t>
      </w:r>
      <w:bookmarkEnd w:id="16"/>
      <w:bookmarkEnd w:id="17"/>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rPr>
      </w:pPr>
      <w:bookmarkStart w:id="18" w:name="_Toc28359007"/>
      <w:bookmarkStart w:id="19" w:name="_Toc28359084"/>
      <w:bookmarkStart w:id="20" w:name="_Toc35393625"/>
      <w:bookmarkStart w:id="21" w:name="_Toc35393794"/>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日09:00时（</w:t>
      </w:r>
      <w:r>
        <w:rPr>
          <w:rFonts w:hint="eastAsia" w:ascii="仿宋" w:hAnsi="仿宋" w:eastAsia="仿宋" w:cs="仿宋"/>
          <w:color w:val="auto"/>
          <w:sz w:val="24"/>
          <w:szCs w:val="24"/>
          <w:highlight w:val="none"/>
        </w:rPr>
        <w:t>北京时间）</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投标地点（网址）：</w:t>
      </w:r>
      <w:r>
        <w:rPr>
          <w:rFonts w:hint="eastAsia" w:ascii="仿宋" w:hAnsi="仿宋" w:eastAsia="仿宋" w:cs="仿宋"/>
          <w:color w:val="auto"/>
          <w:sz w:val="24"/>
          <w:szCs w:val="24"/>
          <w:highlight w:val="none"/>
          <w:u w:val="single"/>
        </w:rPr>
        <w:t>请登录</w:t>
      </w:r>
      <w:r>
        <w:rPr>
          <w:rFonts w:hint="eastAsia" w:ascii="仿宋" w:hAnsi="仿宋" w:eastAsia="仿宋" w:cs="仿宋"/>
          <w:color w:val="0000FF"/>
          <w:sz w:val="24"/>
          <w:szCs w:val="24"/>
          <w:highlight w:val="none"/>
          <w:u w:val="single"/>
          <w:lang w:eastAsia="zh-CN"/>
        </w:rPr>
        <w:t>乐采云</w:t>
      </w:r>
      <w:r>
        <w:rPr>
          <w:rFonts w:hint="eastAsia" w:ascii="仿宋" w:hAnsi="仿宋" w:eastAsia="仿宋" w:cs="仿宋"/>
          <w:color w:val="auto"/>
          <w:sz w:val="24"/>
          <w:szCs w:val="24"/>
          <w:highlight w:val="none"/>
          <w:u w:val="single"/>
        </w:rPr>
        <w:t>投标客户端投标</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日09:00时</w:t>
      </w:r>
    </w:p>
    <w:p>
      <w:pPr>
        <w:pStyle w:val="28"/>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开标</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浙江省金华市武义县金华市政府采购中心武义县分中心建行14楼政府采购开标室</w:t>
      </w:r>
      <w:r>
        <w:rPr>
          <w:rFonts w:hint="eastAsia" w:ascii="仿宋" w:hAnsi="仿宋" w:eastAsia="仿宋" w:cs="仿宋"/>
          <w:color w:val="auto"/>
          <w:sz w:val="24"/>
          <w:szCs w:val="24"/>
          <w:u w:val="single"/>
          <w:lang w:eastAsia="zh-CN"/>
        </w:rPr>
        <w:t>三</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五、开标时间及地点</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本次招标将于</w:t>
      </w:r>
      <w:r>
        <w:rPr>
          <w:rFonts w:hint="eastAsia" w:ascii="仿宋" w:hAnsi="仿宋" w:eastAsia="仿宋" w:cs="仿宋"/>
          <w:b/>
          <w:color w:val="auto"/>
          <w:sz w:val="24"/>
          <w:highlight w:val="none"/>
          <w:u w:val="single"/>
          <w:lang w:eastAsia="zh-CN"/>
        </w:rPr>
        <w:t>202</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lang w:eastAsia="zh-CN"/>
        </w:rPr>
        <w:t>年</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30</w:t>
      </w:r>
      <w:r>
        <w:rPr>
          <w:rFonts w:hint="eastAsia" w:ascii="仿宋" w:hAnsi="仿宋" w:eastAsia="仿宋" w:cs="仿宋"/>
          <w:b/>
          <w:color w:val="auto"/>
          <w:sz w:val="24"/>
          <w:highlight w:val="none"/>
          <w:u w:val="single"/>
          <w:lang w:eastAsia="zh-CN"/>
        </w:rPr>
        <w:t>日09:00时</w:t>
      </w:r>
      <w:r>
        <w:rPr>
          <w:rFonts w:hint="eastAsia" w:ascii="仿宋" w:hAnsi="仿宋" w:eastAsia="仿宋" w:cs="仿宋"/>
          <w:color w:val="auto"/>
          <w:sz w:val="24"/>
          <w:highlight w:val="none"/>
          <w:u w:val="single"/>
        </w:rPr>
        <w:t>始</w:t>
      </w:r>
      <w:r>
        <w:rPr>
          <w:rFonts w:hint="eastAsia" w:ascii="仿宋" w:hAnsi="仿宋" w:eastAsia="仿宋" w:cs="仿宋"/>
          <w:color w:val="auto"/>
          <w:sz w:val="24"/>
          <w:highlight w:val="none"/>
        </w:rPr>
        <w:t>在金华市公共资源交易中心武义县分中心（武义县温泉路157号建行大楼 14楼</w:t>
      </w:r>
      <w:r>
        <w:rPr>
          <w:rFonts w:hint="eastAsia" w:ascii="仿宋" w:hAnsi="仿宋" w:eastAsia="仿宋" w:cs="仿宋"/>
          <w:color w:val="auto"/>
          <w:sz w:val="24"/>
          <w:highlight w:val="none"/>
          <w:lang w:eastAsia="zh-CN"/>
        </w:rPr>
        <w:t>开标室三</w:t>
      </w:r>
      <w:r>
        <w:rPr>
          <w:rFonts w:hint="eastAsia" w:ascii="仿宋" w:hAnsi="仿宋" w:eastAsia="仿宋" w:cs="仿宋"/>
          <w:color w:val="auto"/>
          <w:sz w:val="24"/>
          <w:highlight w:val="none"/>
        </w:rPr>
        <w:t>）开标。</w:t>
      </w:r>
    </w:p>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公告期限</w:t>
      </w:r>
      <w:bookmarkEnd w:id="18"/>
      <w:bookmarkEnd w:id="19"/>
      <w:bookmarkEnd w:id="20"/>
      <w:bookmarkEnd w:id="21"/>
      <w:bookmarkStart w:id="22" w:name="_Toc35393626"/>
      <w:bookmarkStart w:id="23" w:name="_Toc35393795"/>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bookmarkEnd w:id="22"/>
    <w:bookmarkEnd w:id="23"/>
    <w:p>
      <w:pPr>
        <w:pStyle w:val="5"/>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24" w:name="_Toc35393796"/>
      <w:bookmarkStart w:id="25" w:name="_Toc28359085"/>
      <w:bookmarkStart w:id="26" w:name="_Toc28359008"/>
      <w:bookmarkStart w:id="27" w:name="_Toc35393627"/>
      <w:r>
        <w:rPr>
          <w:rFonts w:hint="eastAsia" w:ascii="仿宋" w:hAnsi="仿宋" w:eastAsia="仿宋" w:cs="仿宋"/>
          <w:color w:val="auto"/>
          <w:highlight w:val="none"/>
          <w:lang w:eastAsia="zh-CN"/>
        </w:rPr>
        <w:t>七</w:t>
      </w:r>
      <w:r>
        <w:rPr>
          <w:rFonts w:hint="eastAsia" w:ascii="仿宋" w:hAnsi="仿宋" w:eastAsia="仿宋" w:cs="仿宋"/>
          <w:color w:val="auto"/>
          <w:highlight w:val="none"/>
        </w:rPr>
        <w:t>、其他补充事宜</w:t>
      </w:r>
    </w:p>
    <w:p>
      <w:pPr>
        <w:pageBreakBefore w:val="0"/>
        <w:widowControl w:val="0"/>
        <w:kinsoku/>
        <w:wordWrap/>
        <w:overflowPunct/>
        <w:topLinePunct w:val="0"/>
        <w:autoSpaceDE/>
        <w:autoSpaceDN/>
        <w:bidi w:val="0"/>
        <w:spacing w:after="0" w:line="430" w:lineRule="exact"/>
        <w:ind w:left="0" w:leftChars="0" w:firstLine="480"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投标人认为采购文件使自己的权益受到损害的，可以自招标公告期发布之日起7日内，以书面形式向采购人和采购代理机构提出质疑。质疑投标人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pPr>
        <w:pageBreakBefore w:val="0"/>
        <w:widowControl w:val="0"/>
        <w:kinsoku/>
        <w:wordWrap/>
        <w:overflowPunct/>
        <w:topLinePunct w:val="0"/>
        <w:autoSpaceDE/>
        <w:autoSpaceDN/>
        <w:bidi w:val="0"/>
        <w:spacing w:after="0" w:line="43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针对同一采购程序环节的质疑，供应商应在规定期限内一次性提出（即针对同一采购程序环节的质疑采购人或采购代理机构仅受理一次），逾期提出或针对同一采购程序环节多次提出的质疑将不予受理、答复。</w:t>
      </w:r>
    </w:p>
    <w:p>
      <w:pPr>
        <w:spacing w:after="0" w:line="43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先开一标段，后开二标段。</w:t>
      </w:r>
      <w:r>
        <w:rPr>
          <w:rFonts w:hint="eastAsia" w:ascii="仿宋" w:hAnsi="仿宋" w:eastAsia="仿宋" w:cs="仿宋"/>
          <w:color w:val="auto"/>
          <w:sz w:val="24"/>
          <w:highlight w:val="none"/>
        </w:rPr>
        <w:t>潜在投标人可以对上述两个标段进行投标，允许同一个单位中多个标段，若其中一个</w:t>
      </w:r>
      <w:r>
        <w:rPr>
          <w:rFonts w:hint="eastAsia" w:ascii="仿宋" w:hAnsi="仿宋" w:eastAsia="仿宋" w:cs="仿宋"/>
          <w:color w:val="auto"/>
          <w:sz w:val="24"/>
          <w:highlight w:val="none"/>
          <w:lang w:val="en-US" w:eastAsia="zh-CN"/>
        </w:rPr>
        <w:t>标段</w:t>
      </w:r>
      <w:r>
        <w:rPr>
          <w:rFonts w:hint="eastAsia" w:ascii="仿宋" w:hAnsi="仿宋" w:eastAsia="仿宋" w:cs="仿宋"/>
          <w:color w:val="auto"/>
          <w:sz w:val="24"/>
          <w:highlight w:val="none"/>
        </w:rPr>
        <w:t>流标或废标，采购人仅针对流标或废标标段重新招标，不影响其它标段的成交结果。</w:t>
      </w:r>
    </w:p>
    <w:p>
      <w:pPr>
        <w:pStyle w:val="5"/>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八</w:t>
      </w:r>
      <w:r>
        <w:rPr>
          <w:rFonts w:hint="eastAsia" w:ascii="仿宋" w:hAnsi="仿宋" w:eastAsia="仿宋" w:cs="仿宋"/>
          <w:color w:val="auto"/>
          <w:highlight w:val="none"/>
        </w:rPr>
        <w:t>、联系方式</w:t>
      </w:r>
      <w:bookmarkEnd w:id="24"/>
      <w:bookmarkEnd w:id="25"/>
      <w:bookmarkEnd w:id="26"/>
      <w:bookmarkEnd w:id="27"/>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rPr>
      </w:pPr>
      <w:r>
        <w:rPr>
          <w:rFonts w:hint="eastAsia" w:ascii="仿宋" w:hAnsi="仿宋" w:eastAsia="仿宋" w:cs="仿宋"/>
          <w:color w:val="000000"/>
          <w:spacing w:val="-4"/>
          <w:sz w:val="24"/>
          <w:highlight w:val="none"/>
        </w:rPr>
        <w:t>1.采购人信息</w:t>
      </w:r>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lang w:eastAsia="zh-CN"/>
        </w:rPr>
      </w:pPr>
      <w:r>
        <w:rPr>
          <w:rFonts w:hint="eastAsia" w:ascii="仿宋" w:hAnsi="仿宋" w:eastAsia="仿宋" w:cs="仿宋"/>
          <w:color w:val="000000"/>
          <w:spacing w:val="-4"/>
          <w:sz w:val="24"/>
          <w:highlight w:val="none"/>
        </w:rPr>
        <w:t>名    称：</w:t>
      </w:r>
      <w:r>
        <w:rPr>
          <w:rFonts w:hint="eastAsia" w:ascii="仿宋" w:hAnsi="仿宋" w:eastAsia="仿宋" w:cs="仿宋"/>
          <w:color w:val="000000"/>
          <w:spacing w:val="-4"/>
          <w:sz w:val="24"/>
          <w:highlight w:val="none"/>
          <w:lang w:eastAsia="zh-CN"/>
        </w:rPr>
        <w:t xml:space="preserve"> 武义县通达公路养护工程有限公司</w:t>
      </w:r>
    </w:p>
    <w:p>
      <w:pPr>
        <w:pageBreakBefore w:val="0"/>
        <w:widowControl w:val="0"/>
        <w:kinsoku/>
        <w:wordWrap/>
        <w:overflowPunct/>
        <w:topLinePunct w:val="0"/>
        <w:autoSpaceDE/>
        <w:autoSpaceDN/>
        <w:bidi w:val="0"/>
        <w:spacing w:line="440" w:lineRule="exact"/>
        <w:ind w:firstLine="464" w:firstLineChars="200"/>
        <w:textAlignment w:val="auto"/>
        <w:rPr>
          <w:rFonts w:hint="eastAsia" w:ascii="仿宋" w:hAnsi="仿宋" w:eastAsia="仿宋" w:cs="仿宋"/>
          <w:color w:val="000000"/>
          <w:spacing w:val="-4"/>
          <w:sz w:val="24"/>
          <w:highlight w:val="none"/>
          <w:lang w:eastAsia="zh-CN"/>
        </w:rPr>
      </w:pPr>
      <w:r>
        <w:rPr>
          <w:rFonts w:hint="eastAsia" w:ascii="仿宋" w:hAnsi="仿宋" w:eastAsia="仿宋" w:cs="仿宋"/>
          <w:color w:val="000000"/>
          <w:spacing w:val="-4"/>
          <w:sz w:val="24"/>
          <w:highlight w:val="none"/>
        </w:rPr>
        <w:t>联</w:t>
      </w:r>
      <w:r>
        <w:rPr>
          <w:rFonts w:hint="eastAsia" w:ascii="仿宋" w:hAnsi="仿宋" w:eastAsia="仿宋" w:cs="仿宋"/>
          <w:color w:val="000000"/>
          <w:spacing w:val="-4"/>
          <w:sz w:val="24"/>
          <w:highlight w:val="none"/>
          <w:lang w:val="en-US" w:eastAsia="zh-CN"/>
        </w:rPr>
        <w:t xml:space="preserve"> </w:t>
      </w:r>
      <w:r>
        <w:rPr>
          <w:rFonts w:hint="eastAsia" w:ascii="仿宋" w:hAnsi="仿宋" w:eastAsia="仿宋" w:cs="仿宋"/>
          <w:color w:val="000000"/>
          <w:spacing w:val="-4"/>
          <w:sz w:val="24"/>
          <w:highlight w:val="none"/>
        </w:rPr>
        <w:t>系</w:t>
      </w:r>
      <w:r>
        <w:rPr>
          <w:rFonts w:hint="eastAsia" w:ascii="仿宋" w:hAnsi="仿宋" w:eastAsia="仿宋" w:cs="仿宋"/>
          <w:color w:val="000000"/>
          <w:spacing w:val="-4"/>
          <w:sz w:val="24"/>
          <w:highlight w:val="none"/>
          <w:lang w:val="en-US" w:eastAsia="zh-CN"/>
        </w:rPr>
        <w:t xml:space="preserve"> </w:t>
      </w:r>
      <w:r>
        <w:rPr>
          <w:rFonts w:hint="eastAsia" w:ascii="仿宋" w:hAnsi="仿宋" w:eastAsia="仿宋" w:cs="仿宋"/>
          <w:color w:val="000000"/>
          <w:spacing w:val="-4"/>
          <w:sz w:val="24"/>
          <w:highlight w:val="none"/>
        </w:rPr>
        <w:t>人：</w:t>
      </w:r>
      <w:r>
        <w:rPr>
          <w:rFonts w:hint="eastAsia" w:ascii="仿宋" w:hAnsi="仿宋" w:eastAsia="仿宋" w:cs="仿宋"/>
          <w:color w:val="000000"/>
          <w:spacing w:val="-4"/>
          <w:sz w:val="24"/>
          <w:highlight w:val="none"/>
          <w:lang w:val="en-US" w:eastAsia="zh-CN"/>
        </w:rPr>
        <w:t>方先生</w:t>
      </w:r>
    </w:p>
    <w:p>
      <w:pPr>
        <w:pageBreakBefore w:val="0"/>
        <w:widowControl w:val="0"/>
        <w:kinsoku/>
        <w:wordWrap/>
        <w:overflowPunct/>
        <w:topLinePunct w:val="0"/>
        <w:autoSpaceDE/>
        <w:autoSpaceDN/>
        <w:bidi w:val="0"/>
        <w:spacing w:line="440" w:lineRule="exact"/>
        <w:ind w:firstLine="464" w:firstLineChars="200"/>
        <w:textAlignment w:val="auto"/>
        <w:rPr>
          <w:rFonts w:hint="default" w:ascii="仿宋" w:hAnsi="仿宋" w:eastAsia="仿宋" w:cs="仿宋"/>
          <w:color w:val="000000"/>
          <w:spacing w:val="-4"/>
          <w:sz w:val="24"/>
          <w:highlight w:val="none"/>
          <w:lang w:val="en-US" w:eastAsia="zh-CN"/>
        </w:rPr>
      </w:pPr>
      <w:r>
        <w:rPr>
          <w:rFonts w:hint="eastAsia" w:ascii="仿宋" w:hAnsi="仿宋" w:eastAsia="仿宋" w:cs="仿宋"/>
          <w:color w:val="000000"/>
          <w:spacing w:val="-4"/>
          <w:sz w:val="24"/>
          <w:highlight w:val="none"/>
        </w:rPr>
        <w:t>联系方式：</w:t>
      </w:r>
      <w:r>
        <w:rPr>
          <w:rFonts w:hint="eastAsia" w:ascii="仿宋" w:hAnsi="仿宋" w:eastAsia="仿宋" w:cs="仿宋"/>
          <w:kern w:val="0"/>
          <w:sz w:val="24"/>
          <w:szCs w:val="24"/>
          <w:lang w:val="en-US" w:eastAsia="zh-CN"/>
        </w:rPr>
        <w:t>18314981895</w:t>
      </w:r>
    </w:p>
    <w:p>
      <w:pPr>
        <w:pageBreakBefore w:val="0"/>
        <w:widowControl w:val="0"/>
        <w:kinsoku/>
        <w:wordWrap/>
        <w:overflowPunct/>
        <w:topLinePunct w:val="0"/>
        <w:autoSpaceDE/>
        <w:autoSpaceDN/>
        <w:bidi w:val="0"/>
        <w:spacing w:line="400" w:lineRule="exact"/>
        <w:ind w:firstLine="464"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2.采购代理机构信息</w:t>
      </w:r>
    </w:p>
    <w:p>
      <w:pPr>
        <w:pageBreakBefore w:val="0"/>
        <w:widowControl w:val="0"/>
        <w:kinsoku/>
        <w:wordWrap/>
        <w:overflowPunct/>
        <w:topLinePunct w:val="0"/>
        <w:autoSpaceDE/>
        <w:autoSpaceDN/>
        <w:bidi w:val="0"/>
        <w:spacing w:line="400" w:lineRule="exact"/>
        <w:ind w:firstLine="464" w:firstLineChars="200"/>
        <w:textAlignment w:val="auto"/>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rPr>
        <w:t>名    称：</w:t>
      </w:r>
      <w:r>
        <w:rPr>
          <w:rFonts w:hint="eastAsia" w:ascii="仿宋" w:hAnsi="仿宋" w:eastAsia="仿宋" w:cs="仿宋"/>
          <w:color w:val="auto"/>
          <w:spacing w:val="-4"/>
          <w:sz w:val="24"/>
          <w:highlight w:val="none"/>
          <w:lang w:eastAsia="zh-CN"/>
        </w:rPr>
        <w:t>浙江宁和工程管理有限公司</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pacing w:val="-4"/>
          <w:sz w:val="24"/>
          <w:highlight w:val="none"/>
          <w:lang w:val="en-US"/>
        </w:rPr>
      </w:pPr>
      <w:r>
        <w:rPr>
          <w:rFonts w:hint="eastAsia" w:ascii="仿宋" w:hAnsi="仿宋" w:eastAsia="仿宋" w:cs="仿宋"/>
          <w:color w:val="auto"/>
          <w:spacing w:val="-4"/>
          <w:sz w:val="24"/>
          <w:highlight w:val="none"/>
        </w:rPr>
        <w:t>地    址：</w:t>
      </w:r>
      <w:r>
        <w:rPr>
          <w:rFonts w:hint="eastAsia" w:ascii="仿宋" w:hAnsi="仿宋" w:eastAsia="仿宋" w:cs="仿宋"/>
          <w:color w:val="000000"/>
          <w:spacing w:val="-4"/>
          <w:sz w:val="24"/>
          <w:highlight w:val="none"/>
          <w:lang w:eastAsia="zh-CN"/>
        </w:rPr>
        <w:t>武义县武阳西路</w:t>
      </w:r>
      <w:r>
        <w:rPr>
          <w:rFonts w:hint="eastAsia" w:ascii="仿宋" w:hAnsi="仿宋" w:eastAsia="仿宋" w:cs="仿宋"/>
          <w:color w:val="000000"/>
          <w:spacing w:val="-4"/>
          <w:sz w:val="24"/>
          <w:highlight w:val="none"/>
          <w:lang w:val="en-US" w:eastAsia="zh-CN"/>
        </w:rPr>
        <w:t>132号3楼</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rPr>
        <w:t>联系人（询问）：</w:t>
      </w:r>
      <w:r>
        <w:rPr>
          <w:rFonts w:hint="eastAsia" w:ascii="仿宋" w:hAnsi="仿宋" w:eastAsia="仿宋" w:cs="仿宋"/>
          <w:color w:val="auto"/>
          <w:spacing w:val="-4"/>
          <w:sz w:val="24"/>
          <w:highlight w:val="none"/>
          <w:lang w:val="en-US" w:eastAsia="zh-CN"/>
        </w:rPr>
        <w:t>鲍先生</w:t>
      </w:r>
    </w:p>
    <w:p>
      <w:pPr>
        <w:pageBreakBefore w:val="0"/>
        <w:widowControl w:val="0"/>
        <w:kinsoku/>
        <w:wordWrap/>
        <w:overflowPunct/>
        <w:topLinePunct w:val="0"/>
        <w:autoSpaceDE/>
        <w:autoSpaceDN/>
        <w:bidi w:val="0"/>
        <w:spacing w:line="400" w:lineRule="exact"/>
        <w:ind w:firstLine="464"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pacing w:val="-4"/>
          <w:sz w:val="24"/>
          <w:highlight w:val="none"/>
        </w:rPr>
        <w:t>联系方式（询问）：</w:t>
      </w:r>
      <w:r>
        <w:rPr>
          <w:rFonts w:hint="eastAsia" w:ascii="仿宋" w:hAnsi="仿宋" w:eastAsia="仿宋" w:cs="仿宋"/>
          <w:color w:val="auto"/>
          <w:spacing w:val="-4"/>
          <w:sz w:val="24"/>
          <w:highlight w:val="none"/>
          <w:lang w:eastAsia="zh-CN"/>
        </w:rPr>
        <w:t>1</w:t>
      </w:r>
      <w:r>
        <w:rPr>
          <w:rFonts w:hint="eastAsia" w:ascii="仿宋" w:hAnsi="仿宋" w:eastAsia="仿宋" w:cs="仿宋"/>
          <w:color w:val="auto"/>
          <w:spacing w:val="-4"/>
          <w:sz w:val="24"/>
          <w:highlight w:val="none"/>
          <w:lang w:val="en-US" w:eastAsia="zh-CN"/>
        </w:rPr>
        <w:t>8875810633</w:t>
      </w:r>
    </w:p>
    <w:p>
      <w:pPr>
        <w:pStyle w:val="4"/>
        <w:rPr>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br w:type="page"/>
      </w:r>
      <w:bookmarkStart w:id="28" w:name="_Toc7017"/>
      <w:r>
        <w:rPr>
          <w:rFonts w:hint="eastAsia" w:ascii="仿宋" w:hAnsi="仿宋" w:eastAsia="仿宋" w:cs="仿宋"/>
          <w:color w:val="auto"/>
          <w:highlight w:val="none"/>
        </w:rPr>
        <w:t>第二章  投标人须知</w:t>
      </w:r>
      <w:bookmarkEnd w:id="28"/>
    </w:p>
    <w:p>
      <w:pPr>
        <w:pStyle w:val="23"/>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30"/>
        <w:tblW w:w="9618" w:type="dxa"/>
        <w:tblInd w:w="0" w:type="dxa"/>
        <w:tblLayout w:type="fixed"/>
        <w:tblCellMar>
          <w:top w:w="0" w:type="dxa"/>
          <w:left w:w="108" w:type="dxa"/>
          <w:bottom w:w="0" w:type="dxa"/>
          <w:right w:w="108" w:type="dxa"/>
        </w:tblCellMar>
      </w:tblPr>
      <w:tblGrid>
        <w:gridCol w:w="946"/>
        <w:gridCol w:w="1991"/>
        <w:gridCol w:w="6681"/>
      </w:tblGrid>
      <w:tr>
        <w:tblPrEx>
          <w:tblCellMar>
            <w:top w:w="0" w:type="dxa"/>
            <w:left w:w="108" w:type="dxa"/>
            <w:bottom w:w="0" w:type="dxa"/>
            <w:right w:w="108" w:type="dxa"/>
          </w:tblCellMar>
        </w:tblPrEx>
        <w:trPr>
          <w:trHeight w:val="55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 号</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  款  名  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  列  内  容</w:t>
            </w:r>
          </w:p>
        </w:tc>
      </w:tr>
      <w:tr>
        <w:tblPrEx>
          <w:tblCellMar>
            <w:top w:w="0" w:type="dxa"/>
            <w:left w:w="108" w:type="dxa"/>
            <w:bottom w:w="0" w:type="dxa"/>
            <w:right w:w="108" w:type="dxa"/>
          </w:tblCellMar>
        </w:tblPrEx>
        <w:trPr>
          <w:trHeight w:val="606"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武义县通达公路养护工程有限公司</w:t>
            </w:r>
          </w:p>
        </w:tc>
      </w:tr>
      <w:tr>
        <w:tblPrEx>
          <w:tblCellMar>
            <w:top w:w="0" w:type="dxa"/>
            <w:left w:w="108" w:type="dxa"/>
            <w:bottom w:w="0" w:type="dxa"/>
            <w:right w:w="108" w:type="dxa"/>
          </w:tblCellMar>
        </w:tblPrEx>
        <w:trPr>
          <w:trHeight w:val="59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浙江宁和工程管理有限公司</w:t>
            </w:r>
            <w:r>
              <w:rPr>
                <w:rFonts w:hint="eastAsia" w:ascii="仿宋" w:hAnsi="仿宋" w:eastAsia="仿宋" w:cs="仿宋"/>
                <w:color w:val="auto"/>
                <w:sz w:val="24"/>
                <w:highlight w:val="none"/>
              </w:rPr>
              <w:t xml:space="preserve"> </w:t>
            </w:r>
          </w:p>
        </w:tc>
      </w:tr>
      <w:tr>
        <w:tblPrEx>
          <w:tblCellMar>
            <w:top w:w="0" w:type="dxa"/>
            <w:left w:w="108" w:type="dxa"/>
            <w:bottom w:w="0" w:type="dxa"/>
            <w:right w:w="108" w:type="dxa"/>
          </w:tblCellMar>
        </w:tblPrEx>
        <w:trPr>
          <w:trHeight w:val="7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武义县通达公路养护工程有限公司车辆采购项目</w:t>
            </w:r>
          </w:p>
        </w:tc>
      </w:tr>
      <w:tr>
        <w:tblPrEx>
          <w:tblCellMar>
            <w:top w:w="0" w:type="dxa"/>
            <w:left w:w="108" w:type="dxa"/>
            <w:bottom w:w="0" w:type="dxa"/>
            <w:right w:w="108" w:type="dxa"/>
          </w:tblCellMar>
        </w:tblPrEx>
        <w:trPr>
          <w:trHeight w:val="57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武义县</w:t>
            </w:r>
          </w:p>
        </w:tc>
      </w:tr>
      <w:tr>
        <w:tblPrEx>
          <w:tblCellMar>
            <w:top w:w="0" w:type="dxa"/>
            <w:left w:w="108" w:type="dxa"/>
            <w:bottom w:w="0" w:type="dxa"/>
            <w:right w:w="108" w:type="dxa"/>
          </w:tblCellMar>
        </w:tblPrEx>
        <w:trPr>
          <w:trHeight w:val="57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p>
        </w:tc>
      </w:tr>
      <w:tr>
        <w:tblPrEx>
          <w:tblCellMar>
            <w:top w:w="0" w:type="dxa"/>
            <w:left w:w="108" w:type="dxa"/>
            <w:bottom w:w="0" w:type="dxa"/>
            <w:right w:w="108" w:type="dxa"/>
          </w:tblCellMar>
        </w:tblPrEx>
        <w:trPr>
          <w:trHeight w:val="559"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招标范围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详见“第三章”招标采购需求。</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w w:val="90"/>
                <w:sz w:val="24"/>
                <w:highlight w:val="none"/>
              </w:rPr>
            </w:pPr>
            <w:r>
              <w:rPr>
                <w:rFonts w:hint="eastAsia" w:ascii="仿宋" w:hAnsi="仿宋" w:eastAsia="仿宋" w:cs="仿宋"/>
                <w:color w:val="auto"/>
                <w:sz w:val="24"/>
                <w:highlight w:val="yellow"/>
              </w:rPr>
              <w:t>采购资金来源和付款单位</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业主</w:t>
            </w:r>
            <w:r>
              <w:rPr>
                <w:rFonts w:hint="eastAsia" w:ascii="仿宋" w:hAnsi="仿宋" w:eastAsia="仿宋" w:cs="仿宋"/>
                <w:color w:val="auto"/>
                <w:sz w:val="24"/>
                <w:highlight w:val="none"/>
              </w:rPr>
              <w:t>自筹资金、采购人自行支付</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是否接受联合体</w:t>
            </w:r>
          </w:p>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pacing w:val="-4"/>
                <w:sz w:val="24"/>
                <w:highlight w:val="none"/>
              </w:rPr>
              <w:t>☑本项目不接受联合体投标。</w:t>
            </w:r>
          </w:p>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pacing w:val="-4"/>
                <w:sz w:val="24"/>
                <w:highlight w:val="none"/>
              </w:rPr>
              <w:t>□本项目接受联合体投标。</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踏勘现场和标前答疑会</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采购人不组织答疑会和现场踏勘。</w:t>
            </w:r>
          </w:p>
        </w:tc>
      </w:tr>
      <w:tr>
        <w:tblPrEx>
          <w:tblCellMar>
            <w:top w:w="0" w:type="dxa"/>
            <w:left w:w="108" w:type="dxa"/>
            <w:bottom w:w="0" w:type="dxa"/>
            <w:right w:w="108" w:type="dxa"/>
          </w:tblCellMar>
        </w:tblPrEx>
        <w:trPr>
          <w:trHeight w:val="4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转包与分包</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6"/>
              <w:spacing w:after="0" w:line="340" w:lineRule="exact"/>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本项目不允许转包。</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b/>
                <w:bCs/>
                <w:color w:val="auto"/>
                <w:spacing w:val="-4"/>
                <w:sz w:val="24"/>
                <w:szCs w:val="24"/>
                <w:highlight w:val="none"/>
              </w:rPr>
              <w:t>本项目是否允许中标人分包：</w:t>
            </w:r>
            <w:r>
              <w:rPr>
                <w:rFonts w:hint="default" w:ascii="Wingdings" w:hAnsi="Wingdings" w:eastAsia="仿宋" w:cs="Wingdings"/>
                <w:b/>
                <w:bCs/>
                <w:color w:val="auto"/>
                <w:spacing w:val="-4"/>
                <w:sz w:val="24"/>
                <w:szCs w:val="24"/>
                <w:highlight w:val="none"/>
                <w:lang w:eastAsia="zh-CN"/>
              </w:rPr>
              <w:sym w:font="Wingdings" w:char="00FE"/>
            </w:r>
            <w:r>
              <w:rPr>
                <w:rFonts w:hint="eastAsia" w:ascii="仿宋" w:hAnsi="仿宋" w:eastAsia="仿宋" w:cs="仿宋"/>
                <w:color w:val="auto"/>
                <w:spacing w:val="-4"/>
                <w:sz w:val="24"/>
                <w:szCs w:val="24"/>
                <w:highlight w:val="none"/>
              </w:rPr>
              <w:t>不允许分包；</w:t>
            </w:r>
            <w:r>
              <w:rPr>
                <w:rFonts w:hint="default" w:ascii="Wingdings" w:hAnsi="Wingdings" w:eastAsia="仿宋" w:cs="Wingdings"/>
                <w:color w:val="auto"/>
                <w:spacing w:val="-4"/>
                <w:sz w:val="24"/>
                <w:szCs w:val="24"/>
                <w:highlight w:val="none"/>
              </w:rPr>
              <w:sym w:font="Wingdings" w:char="00A8"/>
            </w:r>
            <w:r>
              <w:rPr>
                <w:rFonts w:hint="eastAsia" w:ascii="仿宋" w:hAnsi="仿宋" w:eastAsia="仿宋" w:cs="仿宋"/>
                <w:color w:val="auto"/>
                <w:spacing w:val="-4"/>
                <w:sz w:val="24"/>
                <w:szCs w:val="24"/>
                <w:highlight w:val="none"/>
              </w:rPr>
              <w:t>允许分包：</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成交供应商不得将全部采购项目或者采购项目中的主体或关键性项目转让给其他供应商。中标、成交供应商不得私下分包，选择分包单位应征得采购人同意，取得采购人书面认可后，可以依法采取分包方式履行合同，并签订分包合同。履约依法需要相关市场准入法定资格资质的，分包供应商必须具有法律法规规定资格条件和相应资格资质，禁止向没有取得法定资格资质的供应商分包。</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（2）分包单位必须向总包单位负责，总包单位必须加强对分包单位的质量安全管理，协调好各工序、工种之间的关系。</w:t>
            </w:r>
          </w:p>
          <w:p>
            <w:pPr>
              <w:spacing w:line="3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（3）中标、成交供应商对整个合同履约承担全部责任(包含分包部分)，分包供应商商仅就分包部分承担责任，当分包供应商不能履约时，中标成交供应商需要自己履约。</w:t>
            </w:r>
          </w:p>
        </w:tc>
      </w:tr>
      <w:tr>
        <w:tblPrEx>
          <w:tblCellMar>
            <w:top w:w="0" w:type="dxa"/>
            <w:left w:w="108" w:type="dxa"/>
            <w:bottom w:w="0" w:type="dxa"/>
            <w:right w:w="108" w:type="dxa"/>
          </w:tblCellMar>
        </w:tblPrEx>
        <w:trPr>
          <w:trHeight w:val="814"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构成招标采购文件的其他资料</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编号的招标采购文件更正、澄清公告（如有）。</w:t>
            </w:r>
          </w:p>
        </w:tc>
      </w:tr>
      <w:tr>
        <w:tblPrEx>
          <w:tblCellMar>
            <w:top w:w="0" w:type="dxa"/>
            <w:left w:w="108" w:type="dxa"/>
            <w:bottom w:w="0" w:type="dxa"/>
            <w:right w:w="108" w:type="dxa"/>
          </w:tblCellMar>
        </w:tblPrEx>
        <w:trPr>
          <w:trHeight w:val="778" w:hRule="atLeast"/>
        </w:trPr>
        <w:tc>
          <w:tcPr>
            <w:tcW w:w="946"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投标人要求澄清、质疑招标采购文件</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时间：自招标公告发布之日起7日内，以书面形式向采购人和采购代理机构提出质疑。</w:t>
            </w:r>
          </w:p>
        </w:tc>
      </w:tr>
      <w:tr>
        <w:tblPrEx>
          <w:tblCellMar>
            <w:top w:w="0" w:type="dxa"/>
            <w:left w:w="108" w:type="dxa"/>
            <w:bottom w:w="0" w:type="dxa"/>
            <w:right w:w="108" w:type="dxa"/>
          </w:tblCellMar>
        </w:tblPrEx>
        <w:trPr>
          <w:trHeight w:val="2009" w:hRule="atLeast"/>
        </w:trPr>
        <w:tc>
          <w:tcPr>
            <w:tcW w:w="9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p>
        </w:tc>
        <w:tc>
          <w:tcPr>
            <w:tcW w:w="19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仔细阅读和检查招标采购文件的全部内容。如发现缺页或附件不全，应及时向采购人或采购代理机构提出，以便补齐。如有疑问，应在规定的时间前以书面形式提出澄清申请，要求采购人对招标采购文件予以澄清，将要求澄清的书面文件（需盖投标人公章）扫描成图片格式后发至采购代理机构电子信箱（</w:t>
            </w:r>
            <w:r>
              <w:rPr>
                <w:rFonts w:hint="eastAsia" w:ascii="仿宋" w:hAnsi="仿宋" w:eastAsia="仿宋" w:cs="仿宋"/>
                <w:color w:val="auto"/>
                <w:sz w:val="24"/>
                <w:highlight w:val="none"/>
                <w:lang w:val="en-US" w:eastAsia="zh-CN"/>
              </w:rPr>
              <w:t>834744679</w:t>
            </w:r>
            <w:r>
              <w:rPr>
                <w:rFonts w:hint="eastAsia" w:ascii="仿宋" w:hAnsi="仿宋" w:eastAsia="仿宋" w:cs="仿宋"/>
                <w:color w:val="auto"/>
                <w:sz w:val="24"/>
                <w:highlight w:val="none"/>
              </w:rPr>
              <w:t>@qq.com），并电话告知采购人或采购代理机构。</w:t>
            </w:r>
          </w:p>
        </w:tc>
      </w:tr>
      <w:tr>
        <w:tblPrEx>
          <w:tblCellMar>
            <w:top w:w="0" w:type="dxa"/>
            <w:left w:w="108" w:type="dxa"/>
            <w:bottom w:w="0" w:type="dxa"/>
            <w:right w:w="108" w:type="dxa"/>
          </w:tblCellMar>
        </w:tblPrEx>
        <w:trPr>
          <w:trHeight w:val="12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招标采购文件更正、澄清或修改发出的形式</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招标采购文件的更正、澄清或修改公告将随时刊登在</w:t>
            </w:r>
            <w:r>
              <w:rPr>
                <w:rFonts w:hint="eastAsia" w:ascii="仿宋" w:hAnsi="仿宋" w:eastAsia="仿宋" w:cs="仿宋"/>
                <w:color w:val="auto"/>
                <w:sz w:val="24"/>
                <w:highlight w:val="none"/>
                <w:lang w:eastAsia="zh-CN"/>
              </w:rPr>
              <w:t>浙江政府采购网</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武义县公共资源交易网</w:t>
            </w:r>
            <w:r>
              <w:rPr>
                <w:rFonts w:hint="eastAsia" w:ascii="仿宋" w:hAnsi="仿宋" w:eastAsia="仿宋" w:cs="仿宋"/>
                <w:color w:val="auto"/>
                <w:sz w:val="24"/>
                <w:highlight w:val="none"/>
              </w:rPr>
              <w:t>上，请投标人时刻关注本项目公告，因未及时知悉更正、澄清或修改公告而引起投标文件无效或废标的，由投标人自行承担责任。</w:t>
            </w:r>
          </w:p>
        </w:tc>
      </w:tr>
      <w:tr>
        <w:tblPrEx>
          <w:tblCellMar>
            <w:top w:w="0" w:type="dxa"/>
            <w:left w:w="108" w:type="dxa"/>
            <w:bottom w:w="0" w:type="dxa"/>
            <w:right w:w="108" w:type="dxa"/>
          </w:tblCellMar>
        </w:tblPrEx>
        <w:trPr>
          <w:trHeight w:val="61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投标报价方式及其他要求</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sz w:val="24"/>
                <w:szCs w:val="24"/>
              </w:rPr>
              <w:t>本项目设有最高限价</w:t>
            </w:r>
            <w:r>
              <w:rPr>
                <w:rFonts w:hint="eastAsia" w:ascii="仿宋" w:hAnsi="仿宋" w:eastAsia="仿宋" w:cs="仿宋"/>
                <w:sz w:val="24"/>
                <w:szCs w:val="24"/>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标段一（防撞皮卡车）250000元；</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sz w:val="24"/>
                <w:szCs w:val="24"/>
                <w:lang w:val="en-US" w:eastAsia="zh-CN"/>
              </w:rPr>
              <w:t>标段二（墙面（隧道）清洗车）1500000元</w:t>
            </w:r>
            <w:r>
              <w:rPr>
                <w:rFonts w:hint="eastAsia" w:ascii="仿宋" w:hAnsi="仿宋" w:eastAsia="仿宋" w:cs="仿宋"/>
                <w:sz w:val="24"/>
                <w:szCs w:val="24"/>
              </w:rPr>
              <w:t>。</w:t>
            </w:r>
            <w:r>
              <w:rPr>
                <w:rFonts w:hint="eastAsia" w:ascii="仿宋" w:hAnsi="仿宋" w:eastAsia="仿宋" w:cs="仿宋"/>
                <w:color w:val="auto"/>
                <w:highlight w:val="non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.投标人以采购人提供的最高投标限价为基础，自行确定合理低价进行报价。投标文件只允许有一个报价，有选择的或有条件的报价将不予接受。</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.本项目招标代理服务费由中标单位支付，根据计价格（2002）1980号文件为标准，以中标价为基数计算收取，具体标准为</w:t>
            </w:r>
            <w:r>
              <w:rPr>
                <w:rFonts w:hint="eastAsia" w:ascii="仿宋" w:hAnsi="仿宋" w:eastAsia="仿宋" w:cs="仿宋"/>
                <w:b/>
                <w:bCs/>
                <w:color w:val="auto"/>
                <w:highlight w:val="none"/>
              </w:rPr>
              <w:t>差额定率累进法</w:t>
            </w:r>
            <w:r>
              <w:rPr>
                <w:rFonts w:hint="eastAsia" w:ascii="仿宋" w:hAnsi="仿宋" w:eastAsia="仿宋" w:cs="仿宋"/>
                <w:color w:val="auto"/>
                <w:highlight w:val="none"/>
              </w:rPr>
              <w:t>。中标总金额100万以下的为1.5%，100万-500万以下的为1.1%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500万-1000万以下的为0.8%，1000万-5000万以下的为0.5%</w:t>
            </w:r>
            <w:r>
              <w:rPr>
                <w:rFonts w:hint="eastAsia" w:ascii="仿宋" w:hAnsi="仿宋" w:eastAsia="仿宋" w:cs="仿宋"/>
                <w:color w:val="auto"/>
                <w:highlight w:val="none"/>
              </w:rPr>
              <w:t>（此项费用由投标人在报价时考虑，但不在项目详细报价清单中单列）。</w:t>
            </w:r>
          </w:p>
        </w:tc>
      </w:tr>
      <w:tr>
        <w:tblPrEx>
          <w:tblCellMar>
            <w:top w:w="0" w:type="dxa"/>
            <w:left w:w="108" w:type="dxa"/>
            <w:bottom w:w="0" w:type="dxa"/>
            <w:right w:w="108" w:type="dxa"/>
          </w:tblCellMar>
        </w:tblPrEx>
        <w:trPr>
          <w:trHeight w:val="52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投标文件有效期</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numPr>
                <w:ilvl w:val="0"/>
                <w:numId w:val="0"/>
              </w:numPr>
              <w:tabs>
                <w:tab w:val="left" w:pos="900"/>
              </w:tabs>
              <w:spacing w:after="0" w:afterLines="0" w:line="340" w:lineRule="exact"/>
              <w:rPr>
                <w:rFonts w:hint="eastAsia" w:ascii="仿宋" w:hAnsi="仿宋" w:eastAsia="仿宋" w:cs="仿宋"/>
                <w:color w:val="auto"/>
                <w:spacing w:val="-10"/>
                <w:szCs w:val="24"/>
                <w:highlight w:val="none"/>
              </w:rPr>
            </w:pPr>
            <w:r>
              <w:rPr>
                <w:rFonts w:hint="eastAsia" w:ascii="仿宋" w:hAnsi="仿宋" w:eastAsia="仿宋" w:cs="仿宋"/>
                <w:color w:val="auto"/>
                <w:spacing w:val="-10"/>
                <w:szCs w:val="24"/>
                <w:highlight w:val="none"/>
              </w:rPr>
              <w:t>投标文件自投标截止时间起生效，有效期为90天。</w:t>
            </w:r>
          </w:p>
        </w:tc>
      </w:tr>
      <w:tr>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Lines="0" w:after="0" w:afterLines="0" w:line="34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本项目不适用</w:t>
            </w:r>
          </w:p>
        </w:tc>
      </w:tr>
      <w:tr>
        <w:tblPrEx>
          <w:tblCellMar>
            <w:top w:w="0" w:type="dxa"/>
            <w:left w:w="108" w:type="dxa"/>
            <w:bottom w:w="0" w:type="dxa"/>
            <w:right w:w="108" w:type="dxa"/>
          </w:tblCellMar>
        </w:tblPrEx>
        <w:trPr>
          <w:trHeight w:val="413"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投标保证金的退还</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numPr>
                <w:ilvl w:val="0"/>
                <w:numId w:val="0"/>
              </w:numPr>
              <w:tabs>
                <w:tab w:val="left" w:pos="900"/>
              </w:tabs>
              <w:spacing w:after="0" w:afterLines="0" w:line="340" w:lineRule="exact"/>
              <w:rPr>
                <w:rFonts w:hint="eastAsia" w:ascii="仿宋" w:hAnsi="仿宋" w:eastAsia="仿宋" w:cs="仿宋"/>
                <w:color w:val="auto"/>
                <w:spacing w:val="-10"/>
                <w:szCs w:val="24"/>
                <w:highlight w:val="none"/>
                <w:lang w:eastAsia="zh-CN"/>
              </w:rPr>
            </w:pPr>
            <w:r>
              <w:rPr>
                <w:rFonts w:hint="eastAsia" w:ascii="仿宋" w:hAnsi="仿宋" w:eastAsia="仿宋" w:cs="仿宋"/>
                <w:color w:val="auto"/>
                <w:highlight w:val="none"/>
                <w:lang w:val="en-US" w:eastAsia="zh-CN"/>
              </w:rPr>
              <w:t>本项目不适用</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投标文件由</w:t>
            </w:r>
            <w:r>
              <w:rPr>
                <w:rFonts w:hint="eastAsia" w:ascii="仿宋" w:hAnsi="仿宋" w:eastAsia="仿宋" w:cs="仿宋"/>
                <w:b w:val="0"/>
                <w:bCs w:val="0"/>
                <w:color w:val="auto"/>
                <w:sz w:val="24"/>
                <w:highlight w:val="none"/>
                <w:lang w:eastAsia="zh-CN"/>
              </w:rPr>
              <w:t>资格文件</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商务技术</w:t>
            </w:r>
            <w:r>
              <w:rPr>
                <w:rFonts w:hint="eastAsia" w:ascii="仿宋" w:hAnsi="仿宋" w:eastAsia="仿宋" w:cs="仿宋"/>
                <w:b w:val="0"/>
                <w:bCs w:val="0"/>
                <w:color w:val="auto"/>
                <w:sz w:val="24"/>
                <w:highlight w:val="none"/>
              </w:rPr>
              <w:t>文件、报价文件</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部分组成，包括但不限于以下内容：</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资格文件：</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（1）投标声明</w:t>
            </w:r>
            <w:r>
              <w:rPr>
                <w:rFonts w:hint="eastAsia" w:ascii="仿宋" w:hAnsi="仿宋" w:eastAsia="仿宋" w:cs="仿宋"/>
                <w:b w:val="0"/>
                <w:bCs w:val="0"/>
                <w:color w:val="auto"/>
                <w:sz w:val="24"/>
                <w:highlight w:val="none"/>
                <w:lang w:eastAsia="zh-CN"/>
              </w:rPr>
              <w:t>函</w:t>
            </w:r>
            <w:r>
              <w:rPr>
                <w:rFonts w:hint="eastAsia" w:ascii="仿宋" w:hAnsi="仿宋" w:eastAsia="仿宋" w:cs="仿宋"/>
                <w:b w:val="0"/>
                <w:bCs w:val="0"/>
                <w:color w:val="auto"/>
                <w:sz w:val="24"/>
                <w:highlight w:val="none"/>
              </w:rPr>
              <w:t>；</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（2）提供有效的营业执照复印件；</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（3）具有履行合同所必需的</w:t>
            </w:r>
            <w:r>
              <w:rPr>
                <w:rFonts w:hint="eastAsia" w:ascii="仿宋" w:hAnsi="仿宋" w:eastAsia="仿宋" w:cs="仿宋"/>
                <w:b w:val="0"/>
                <w:bCs w:val="0"/>
                <w:color w:val="auto"/>
                <w:sz w:val="24"/>
                <w:highlight w:val="none"/>
                <w:lang w:eastAsia="zh-CN"/>
              </w:rPr>
              <w:t>场地、</w:t>
            </w:r>
            <w:r>
              <w:rPr>
                <w:rFonts w:hint="eastAsia" w:ascii="仿宋" w:hAnsi="仿宋" w:eastAsia="仿宋" w:cs="仿宋"/>
                <w:b w:val="0"/>
                <w:bCs w:val="0"/>
                <w:color w:val="auto"/>
                <w:sz w:val="24"/>
                <w:highlight w:val="none"/>
              </w:rPr>
              <w:t>设备和专业技术能力的承诺函；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）参加</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活动前</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年内在经营活动中没有重大违法记录的</w:t>
            </w:r>
            <w:r>
              <w:rPr>
                <w:rFonts w:hint="eastAsia" w:ascii="仿宋" w:hAnsi="仿宋" w:eastAsia="仿宋" w:cs="仿宋"/>
                <w:b w:val="0"/>
                <w:bCs w:val="0"/>
                <w:color w:val="auto"/>
                <w:sz w:val="24"/>
                <w:highlight w:val="none"/>
                <w:lang w:eastAsia="zh-CN"/>
              </w:rPr>
              <w:t>声明函</w:t>
            </w:r>
            <w:r>
              <w:rPr>
                <w:rFonts w:hint="eastAsia" w:ascii="仿宋" w:hAnsi="仿宋" w:eastAsia="仿宋" w:cs="仿宋"/>
                <w:b w:val="0"/>
                <w:bCs w:val="0"/>
                <w:color w:val="auto"/>
                <w:sz w:val="24"/>
                <w:highlight w:val="none"/>
              </w:rPr>
              <w:t>；</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hint="eastAsia" w:ascii="仿宋" w:hAnsi="仿宋" w:eastAsia="仿宋" w:cs="仿宋"/>
                <w:b w:val="0"/>
                <w:bCs w:val="0"/>
                <w:color w:val="auto"/>
                <w:sz w:val="24"/>
                <w:highlight w:val="none"/>
                <w:lang w:eastAsia="zh-CN"/>
              </w:rPr>
              <w:t>；</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资格书或</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授权委托书；</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招标公告中要求需要</w:t>
            </w:r>
            <w:r>
              <w:rPr>
                <w:rFonts w:hint="eastAsia" w:ascii="仿宋" w:hAnsi="仿宋" w:eastAsia="仿宋" w:cs="仿宋"/>
                <w:b w:val="0"/>
                <w:bCs w:val="0"/>
                <w:color w:val="auto"/>
                <w:sz w:val="24"/>
                <w:highlight w:val="none"/>
                <w:lang w:eastAsia="zh-CN"/>
              </w:rPr>
              <w:t>提供</w:t>
            </w:r>
            <w:r>
              <w:rPr>
                <w:rFonts w:hint="eastAsia" w:ascii="仿宋" w:hAnsi="仿宋" w:eastAsia="仿宋" w:cs="仿宋"/>
                <w:b w:val="0"/>
                <w:bCs w:val="0"/>
                <w:color w:val="auto"/>
                <w:sz w:val="24"/>
                <w:highlight w:val="none"/>
              </w:rPr>
              <w:t>的其他资质和说明。</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商务技术</w:t>
            </w:r>
            <w:r>
              <w:rPr>
                <w:rFonts w:hint="eastAsia" w:ascii="仿宋" w:hAnsi="仿宋" w:eastAsia="仿宋" w:cs="仿宋"/>
                <w:b/>
                <w:bCs/>
                <w:color w:val="auto"/>
                <w:sz w:val="24"/>
                <w:highlight w:val="none"/>
              </w:rPr>
              <w:t>文件</w:t>
            </w:r>
            <w:r>
              <w:rPr>
                <w:rFonts w:hint="eastAsia" w:ascii="仿宋" w:hAnsi="仿宋" w:eastAsia="仿宋" w:cs="仿宋"/>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）商务技术分评分索引</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eastAsia="zh-CN"/>
              </w:rPr>
              <w:t>）诚信竞投承诺书</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）产品配置参数明细表（均不含报价）。</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）技术规格响应表。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）服务条款响应表。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）投标人或所投产品供应商单位情况表。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）项目实施人员一览表。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lang w:eastAsia="zh-CN"/>
              </w:rPr>
              <w:t>）服务计划书（安装、调试、验收的方案和措施、保证项目实施的技术力量和人力资源安排、售后服务保障、其他服务措施及承诺）。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pPr>
              <w:spacing w:line="3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pPr>
              <w:spacing w:line="36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eastAsia="zh-CN"/>
              </w:rPr>
              <w:t>投标函；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报价</w:t>
            </w:r>
            <w:r>
              <w:rPr>
                <w:rFonts w:hint="eastAsia" w:ascii="仿宋" w:hAnsi="仿宋" w:eastAsia="仿宋" w:cs="仿宋"/>
                <w:b w:val="0"/>
                <w:bCs w:val="0"/>
                <w:color w:val="auto"/>
                <w:sz w:val="24"/>
                <w:highlight w:val="none"/>
              </w:rPr>
              <w:t>一览表；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tc>
      </w:tr>
      <w:tr>
        <w:tblPrEx>
          <w:tblCellMar>
            <w:top w:w="0" w:type="dxa"/>
            <w:left w:w="108" w:type="dxa"/>
            <w:bottom w:w="0" w:type="dxa"/>
            <w:right w:w="108" w:type="dxa"/>
          </w:tblCellMar>
        </w:tblPrEx>
        <w:trPr>
          <w:trHeight w:val="437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投标文件份数及其他要求</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电子版投标文件1份，本项目实行投标文件CA电子签章，投标人在编制生成“电子投标文件”时需进行CA电子签章加密。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投标人应按本招标采购文件规定的格式和顺序编制投标文件并按照“</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w:t>
            </w:r>
            <w:r>
              <w:rPr>
                <w:rFonts w:hint="eastAsia" w:ascii="仿宋" w:hAnsi="仿宋" w:eastAsia="仿宋" w:cs="仿宋"/>
                <w:color w:val="auto"/>
                <w:sz w:val="24"/>
                <w:szCs w:val="24"/>
              </w:rPr>
              <w:t>电子投标客户端”的顺序关联，并标注目录和页码，投标文件内容不完整、关联、编排混乱导致投标文件被误读、漏读或者查找不到相关内容的，是投标人的责任。</w:t>
            </w:r>
          </w:p>
          <w:p>
            <w:pPr>
              <w:pStyle w:val="17"/>
              <w:spacing w:before="0" w:beforeLines="0" w:after="0" w:afterLines="0"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是否要求提交纸质版投标文件：</w:t>
            </w:r>
            <w:r>
              <w:rPr>
                <w:rFonts w:hint="eastAsia" w:ascii="仿宋" w:hAnsi="仿宋" w:eastAsia="仿宋" w:cs="仿宋"/>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投标文件的签署</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spacing w:before="0" w:beforeLines="0" w:after="0" w:afterLines="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资格文件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文件、报价文件</w:t>
            </w:r>
            <w:r>
              <w:rPr>
                <w:rFonts w:hint="eastAsia" w:ascii="仿宋" w:hAnsi="仿宋" w:eastAsia="仿宋" w:cs="仿宋"/>
                <w:color w:val="auto"/>
                <w:sz w:val="24"/>
                <w:szCs w:val="24"/>
                <w:highlight w:val="none"/>
                <w:lang w:eastAsia="zh-CN"/>
              </w:rPr>
              <w:t>的内容是属于投标人自己制作，在“投标文件格式”规定处由投标人的法定代表人或其委托代理人签字或盖章并加盖公章</w:t>
            </w:r>
            <w:r>
              <w:rPr>
                <w:rFonts w:hint="eastAsia" w:ascii="仿宋" w:hAnsi="仿宋" w:eastAsia="仿宋" w:cs="仿宋"/>
                <w:color w:val="auto"/>
                <w:sz w:val="24"/>
                <w:szCs w:val="24"/>
                <w:highlight w:val="none"/>
                <w:lang w:val="en-US" w:eastAsia="zh-CN"/>
              </w:rPr>
              <w:t>再扫描成PDF文件格式</w:t>
            </w:r>
            <w:r>
              <w:rPr>
                <w:rFonts w:hint="eastAsia" w:ascii="仿宋" w:hAnsi="仿宋" w:eastAsia="仿宋" w:cs="仿宋"/>
                <w:color w:val="auto"/>
                <w:sz w:val="24"/>
                <w:szCs w:val="24"/>
                <w:highlight w:val="none"/>
                <w:lang w:eastAsia="zh-CN"/>
              </w:rPr>
              <w:t>。单位公章不得以投标专用章、分公司章、办事处等其他形式印章代替，否则作废标处理。</w:t>
            </w:r>
          </w:p>
          <w:p>
            <w:pPr>
              <w:pStyle w:val="17"/>
              <w:spacing w:before="0" w:beforeLines="0" w:after="0" w:afterLines="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投标文件应尽量避免涂改、行间插字或删除。如果出现上述情况，改动之处应由投标人的法定代表人或其授权的代理人签字或盖单位章</w:t>
            </w:r>
            <w:r>
              <w:rPr>
                <w:rFonts w:hint="eastAsia" w:ascii="仿宋" w:hAnsi="仿宋" w:eastAsia="仿宋" w:cs="仿宋"/>
                <w:color w:val="auto"/>
                <w:sz w:val="24"/>
                <w:szCs w:val="24"/>
                <w:highlight w:val="none"/>
                <w:lang w:val="en-US" w:eastAsia="zh-CN"/>
              </w:rPr>
              <w:t>再扫描成PDF文件格式</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rPr>
          <w:trHeight w:val="9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投标文件是否</w:t>
            </w:r>
          </w:p>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需分册装订</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本项目不适用</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rPr>
              <w:t>上传电子投标文件时间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rPr>
              <w:t>供应商应于</w:t>
            </w:r>
            <w:r>
              <w:rPr>
                <w:rFonts w:hint="eastAsia" w:ascii="仿宋" w:hAnsi="仿宋" w:eastAsia="仿宋" w:cs="仿宋"/>
                <w:bCs/>
                <w:color w:val="auto"/>
                <w:sz w:val="24"/>
                <w:szCs w:val="24"/>
                <w:lang w:val="en-US" w:eastAsia="zh-CN"/>
              </w:rPr>
              <w:t xml:space="preserve"> 2024年5月30日09:00时</w:t>
            </w:r>
            <w:r>
              <w:rPr>
                <w:rFonts w:hint="eastAsia" w:ascii="仿宋" w:hAnsi="仿宋" w:eastAsia="仿宋" w:cs="仿宋"/>
                <w:bCs/>
                <w:color w:val="auto"/>
                <w:sz w:val="24"/>
                <w:szCs w:val="24"/>
              </w:rPr>
              <w:t>前在“</w:t>
            </w:r>
            <w:r>
              <w:rPr>
                <w:rFonts w:hint="eastAsia" w:ascii="仿宋" w:hAnsi="仿宋" w:eastAsia="仿宋" w:cs="仿宋"/>
                <w:bCs/>
                <w:color w:val="0000FF"/>
                <w:sz w:val="24"/>
                <w:szCs w:val="24"/>
                <w:lang w:eastAsia="zh-CN"/>
              </w:rPr>
              <w:t>乐</w:t>
            </w:r>
            <w:r>
              <w:rPr>
                <w:rFonts w:hint="eastAsia" w:ascii="仿宋" w:hAnsi="仿宋" w:eastAsia="仿宋" w:cs="仿宋"/>
                <w:bCs/>
                <w:color w:val="0000FF"/>
                <w:sz w:val="24"/>
                <w:szCs w:val="24"/>
              </w:rPr>
              <w:t>采云</w:t>
            </w:r>
            <w:r>
              <w:rPr>
                <w:rFonts w:hint="eastAsia" w:ascii="仿宋" w:hAnsi="仿宋" w:eastAsia="仿宋" w:cs="仿宋"/>
                <w:bCs/>
                <w:color w:val="auto"/>
                <w:sz w:val="24"/>
                <w:szCs w:val="24"/>
              </w:rPr>
              <w:t>”上自行加密上传电子投标文件，逾期上传或未按要求上传的投标文件将予以拒收。</w:t>
            </w:r>
          </w:p>
        </w:tc>
      </w:tr>
      <w:tr>
        <w:tblPrEx>
          <w:tblCellMar>
            <w:top w:w="0" w:type="dxa"/>
            <w:left w:w="108" w:type="dxa"/>
            <w:bottom w:w="0" w:type="dxa"/>
            <w:right w:w="108" w:type="dxa"/>
          </w:tblCellMar>
        </w:tblPrEx>
        <w:trPr>
          <w:trHeight w:val="6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投标截止时间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u w:val="single"/>
                <w:lang w:eastAsia="zh-CN"/>
              </w:rPr>
              <w:t>202</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lang w:eastAsia="zh-CN"/>
              </w:rPr>
              <w:t>年</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30</w:t>
            </w:r>
            <w:r>
              <w:rPr>
                <w:rFonts w:hint="eastAsia" w:ascii="仿宋" w:hAnsi="仿宋" w:eastAsia="仿宋" w:cs="仿宋"/>
                <w:b/>
                <w:color w:val="auto"/>
                <w:sz w:val="24"/>
                <w:highlight w:val="none"/>
                <w:u w:val="single"/>
                <w:lang w:eastAsia="zh-CN"/>
              </w:rPr>
              <w:t>日09:00时</w:t>
            </w:r>
            <w:r>
              <w:rPr>
                <w:rFonts w:hint="eastAsia" w:ascii="仿宋" w:hAnsi="仿宋" w:eastAsia="仿宋" w:cs="仿宋"/>
                <w:b/>
                <w:color w:val="auto"/>
                <w:sz w:val="24"/>
                <w:highlight w:val="none"/>
                <w:u w:val="single"/>
              </w:rPr>
              <w:t>止</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659" w:hRule="atLeast"/>
        </w:trPr>
        <w:tc>
          <w:tcPr>
            <w:tcW w:w="946" w:type="dxa"/>
            <w:tcBorders>
              <w:top w:val="single" w:color="auto" w:sz="4" w:space="0"/>
              <w:left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递交投标文件地点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b/>
                <w:color w:val="auto"/>
                <w:kern w:val="2"/>
                <w:sz w:val="24"/>
                <w:szCs w:val="24"/>
                <w:highlight w:val="none"/>
                <w:u w:val="single"/>
                <w:lang w:val="en-US" w:eastAsia="zh-CN" w:bidi="ar-SA"/>
              </w:rPr>
            </w:pPr>
            <w:r>
              <w:rPr>
                <w:rFonts w:hint="eastAsia" w:ascii="仿宋" w:hAnsi="仿宋" w:eastAsia="仿宋" w:cs="仿宋"/>
                <w:b/>
                <w:color w:val="0000FF"/>
                <w:kern w:val="0"/>
                <w:sz w:val="24"/>
                <w:highlight w:val="none"/>
                <w:lang w:eastAsia="zh-CN"/>
              </w:rPr>
              <w:t>乐采云平台</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投标文件是否退还</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sz w:val="24"/>
                <w:highlight w:val="none"/>
              </w:rPr>
              <w:t>否。</w:t>
            </w:r>
          </w:p>
        </w:tc>
      </w:tr>
      <w:tr>
        <w:tblPrEx>
          <w:tblCellMar>
            <w:top w:w="0" w:type="dxa"/>
            <w:left w:w="108" w:type="dxa"/>
            <w:bottom w:w="0" w:type="dxa"/>
            <w:right w:w="108" w:type="dxa"/>
          </w:tblCellMar>
        </w:tblPrEx>
        <w:trPr>
          <w:trHeight w:val="706"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开标时间和地点</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开标时间：同投标截止时间。</w:t>
            </w:r>
          </w:p>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开标地点：</w:t>
            </w:r>
            <w:r>
              <w:rPr>
                <w:rFonts w:hint="eastAsia" w:ascii="仿宋" w:hAnsi="仿宋" w:eastAsia="仿宋" w:cs="仿宋"/>
                <w:bCs/>
                <w:color w:val="auto"/>
                <w:sz w:val="24"/>
                <w:highlight w:val="none"/>
                <w:u w:val="single"/>
              </w:rPr>
              <w:t>金华市公共资源交易中心武义县分中心（武义县城武阳中路2号建行大楼 14楼开标室三）</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货物样品</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本项目不适用</w:t>
            </w:r>
          </w:p>
        </w:tc>
      </w:tr>
      <w:tr>
        <w:tblPrEx>
          <w:tblCellMar>
            <w:top w:w="0" w:type="dxa"/>
            <w:left w:w="108" w:type="dxa"/>
            <w:bottom w:w="0" w:type="dxa"/>
            <w:right w:w="108" w:type="dxa"/>
          </w:tblCellMar>
        </w:tblPrEx>
        <w:trPr>
          <w:trHeight w:val="802"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28</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开标程序</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lang w:val="en-US" w:eastAsia="zh-CN"/>
              </w:rPr>
              <w:t>标段一、标段二</w:t>
            </w:r>
            <w:r>
              <w:rPr>
                <w:rFonts w:hint="eastAsia" w:ascii="仿宋" w:hAnsi="仿宋" w:eastAsia="仿宋" w:cs="仿宋"/>
                <w:color w:val="auto"/>
                <w:sz w:val="24"/>
                <w:highlight w:val="none"/>
                <w:lang w:eastAsia="zh-CN"/>
              </w:rPr>
              <w:t>）</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先开标段一，后开标段二：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1.开标会由采购代理机构主持，主持人宣布开标会议开始；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2.主持人介绍参加开标会的人员名单；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3.由工作人员宣布评标期间的有关事项；告知应当回避的情形,提请有关人员回避；</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4.投标人须在开标时间前准备好电脑（确保网络已连接）与本单位制作电子投标文件时的同一个CA数字证书，并登录“</w:t>
            </w:r>
            <w:r>
              <w:rPr>
                <w:rFonts w:hint="eastAsia" w:ascii="仿宋" w:hAnsi="仿宋" w:eastAsia="仿宋" w:cs="仿宋"/>
                <w:color w:val="0000FF"/>
                <w:sz w:val="24"/>
                <w:szCs w:val="24"/>
                <w:lang w:eastAsia="zh-CN"/>
              </w:rPr>
              <w:t>乐采云</w:t>
            </w:r>
            <w:r>
              <w:rPr>
                <w:rFonts w:hint="eastAsia" w:ascii="仿宋" w:hAnsi="仿宋" w:eastAsia="仿宋" w:cs="仿宋"/>
                <w:color w:val="0000FF"/>
                <w:sz w:val="24"/>
                <w:szCs w:val="24"/>
              </w:rPr>
              <w:t>平台”</w:t>
            </w:r>
            <w:r>
              <w:rPr>
                <w:rFonts w:hint="eastAsia" w:ascii="仿宋" w:hAnsi="仿宋" w:eastAsia="仿宋" w:cs="仿宋"/>
                <w:color w:val="auto"/>
                <w:sz w:val="24"/>
                <w:szCs w:val="24"/>
              </w:rPr>
              <w:t>点击项目采购-开标评标功能进行解密投标文件(或登入“</w:t>
            </w:r>
            <w:r>
              <w:rPr>
                <w:rFonts w:hint="eastAsia" w:ascii="仿宋" w:hAnsi="仿宋" w:eastAsia="仿宋" w:cs="仿宋"/>
                <w:color w:val="auto"/>
                <w:sz w:val="24"/>
                <w:szCs w:val="24"/>
                <w:lang w:eastAsia="zh-CN"/>
              </w:rPr>
              <w:t>乐</w:t>
            </w:r>
            <w:r>
              <w:rPr>
                <w:rFonts w:hint="eastAsia" w:ascii="仿宋" w:hAnsi="仿宋" w:eastAsia="仿宋" w:cs="仿宋"/>
                <w:color w:val="auto"/>
                <w:sz w:val="24"/>
                <w:szCs w:val="24"/>
              </w:rPr>
              <w:t>采云电子投标客户端”点击项目开标-项目采购-开标评标)功能进行解密投标文件（解密的CA数字证书和制作电子投标文件时加密的CA数字证书必须相同）。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投标供应商须在开标时间始30分钟内对投标文件进行解密。若投标供应商在规定时间内无法解密或解密失败的,投标无效。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投标供应商应全程参加电子开标会议，若开标会议结束前中途退出的，其行为不影响评审结果。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8.在线公布各投标人得分汇总，并宣布中标候选人，同时由记录人、监督人当场在开标记录上签字确认。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9.主持人宣布开标会议结束。</w:t>
            </w:r>
          </w:p>
          <w:p>
            <w:pPr>
              <w:pStyle w:val="17"/>
              <w:spacing w:before="0" w:beforeLines="0" w:after="0" w:afterLines="0"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rPr>
              <w:t>特别说明：</w:t>
            </w:r>
            <w:r>
              <w:rPr>
                <w:rFonts w:hint="eastAsia" w:ascii="仿宋" w:hAnsi="仿宋" w:eastAsia="仿宋" w:cs="仿宋"/>
                <w:color w:val="0000FF"/>
                <w:sz w:val="24"/>
                <w:szCs w:val="24"/>
                <w:lang w:eastAsia="zh-CN"/>
              </w:rPr>
              <w:t>乐</w:t>
            </w:r>
            <w:r>
              <w:rPr>
                <w:rFonts w:hint="eastAsia" w:ascii="仿宋" w:hAnsi="仿宋" w:eastAsia="仿宋" w:cs="仿宋"/>
                <w:color w:val="0000FF"/>
                <w:sz w:val="24"/>
                <w:szCs w:val="24"/>
              </w:rPr>
              <w:t>采云公司</w:t>
            </w:r>
            <w:r>
              <w:rPr>
                <w:rFonts w:hint="eastAsia" w:ascii="仿宋" w:hAnsi="仿宋" w:eastAsia="仿宋" w:cs="仿宋"/>
                <w:color w:val="auto"/>
                <w:sz w:val="24"/>
                <w:szCs w:val="24"/>
              </w:rPr>
              <w:t>如对电子化开标及评审程序有调整的，按调整后的程序操作。</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29</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评标委员会的组建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0000FF"/>
                <w:sz w:val="24"/>
                <w:highlight w:val="none"/>
                <w:lang w:eastAsia="zh-CN"/>
              </w:rPr>
              <w:t>评标委员会由招标人依法组建。</w:t>
            </w:r>
            <w:r>
              <w:rPr>
                <w:rFonts w:hint="eastAsia" w:ascii="仿宋" w:hAnsi="仿宋" w:eastAsia="仿宋" w:cs="仿宋"/>
                <w:color w:val="0000FF"/>
                <w:sz w:val="24"/>
                <w:highlight w:val="none"/>
              </w:rPr>
              <w:t>评标委员会构成：</w:t>
            </w:r>
            <w:r>
              <w:rPr>
                <w:rFonts w:hint="eastAsia" w:ascii="仿宋" w:hAnsi="仿宋" w:eastAsia="仿宋" w:cs="仿宋"/>
                <w:color w:val="0000FF"/>
                <w:sz w:val="24"/>
                <w:highlight w:val="none"/>
                <w:u w:val="single"/>
                <w:lang w:val="en-US" w:eastAsia="zh-CN"/>
              </w:rPr>
              <w:t>5</w:t>
            </w:r>
            <w:r>
              <w:rPr>
                <w:rFonts w:hint="eastAsia" w:ascii="仿宋" w:hAnsi="仿宋" w:eastAsia="仿宋" w:cs="仿宋"/>
                <w:color w:val="0000FF"/>
                <w:sz w:val="24"/>
                <w:highlight w:val="none"/>
              </w:rPr>
              <w:t>人，其中采购人代表</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none"/>
              </w:rPr>
              <w:t>人，</w:t>
            </w:r>
            <w:r>
              <w:rPr>
                <w:rFonts w:hint="eastAsia" w:ascii="仿宋" w:hAnsi="仿宋" w:eastAsia="仿宋" w:cs="仿宋"/>
                <w:color w:val="0000FF"/>
                <w:sz w:val="24"/>
                <w:highlight w:val="none"/>
              </w:rPr>
              <w:t>专家</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none"/>
                <w:lang w:val="en-US" w:eastAsia="zh-CN"/>
              </w:rPr>
              <w:t>人</w:t>
            </w:r>
            <w:r>
              <w:rPr>
                <w:rFonts w:hint="eastAsia" w:ascii="仿宋" w:hAnsi="仿宋" w:eastAsia="仿宋" w:cs="仿宋"/>
                <w:color w:val="0000FF"/>
                <w:sz w:val="24"/>
                <w:highlight w:val="none"/>
              </w:rPr>
              <w:t>。</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评标委员会推荐的中标候选人数：</w:t>
            </w:r>
            <w:r>
              <w:rPr>
                <w:rFonts w:hint="eastAsia" w:ascii="仿宋" w:hAnsi="仿宋" w:eastAsia="仿宋" w:cs="仿宋"/>
                <w:color w:val="auto"/>
                <w:kern w:val="0"/>
                <w:sz w:val="24"/>
                <w:highlight w:val="none"/>
                <w:lang w:val="en-US" w:eastAsia="zh-CN"/>
              </w:rPr>
              <w:t>每标段</w:t>
            </w:r>
            <w:r>
              <w:rPr>
                <w:rFonts w:hint="eastAsia"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rPr>
              <w:t>名。</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是否委托评标委员会确定中标人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w:t>
            </w:r>
          </w:p>
        </w:tc>
      </w:tr>
      <w:tr>
        <w:tblPrEx>
          <w:tblCellMar>
            <w:top w:w="0" w:type="dxa"/>
            <w:left w:w="108" w:type="dxa"/>
            <w:bottom w:w="0" w:type="dxa"/>
            <w:right w:w="108" w:type="dxa"/>
          </w:tblCellMar>
        </w:tblPrEx>
        <w:trPr>
          <w:trHeight w:val="810"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64"/>
              <w:spacing w:after="220" w:line="360" w:lineRule="exact"/>
              <w:ind w:firstLine="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中标通知书与中标结果公告</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4"/>
              <w:spacing w:line="360" w:lineRule="exact"/>
              <w:ind w:firstLine="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中标人确定之日起2个工作日内，发出中标通知书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w:t>
            </w:r>
            <w:r>
              <w:rPr>
                <w:rFonts w:hint="eastAsia" w:ascii="仿宋" w:hAnsi="仿宋" w:eastAsia="仿宋" w:cs="仿宋"/>
                <w:color w:val="auto"/>
                <w:sz w:val="24"/>
                <w:szCs w:val="24"/>
                <w:highlight w:val="none"/>
                <w:lang w:eastAsia="zh-CN"/>
              </w:rPr>
              <w:t>浙江政府采购网或武义县公共资源交易网上公告中标结果</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601"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签订合同时间</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中标通知书发出后</w:t>
            </w:r>
            <w:r>
              <w:rPr>
                <w:rFonts w:hint="eastAsia" w:ascii="仿宋" w:hAnsi="仿宋" w:eastAsia="仿宋" w:cs="仿宋"/>
                <w:color w:val="auto"/>
                <w:sz w:val="24"/>
                <w:highlight w:val="none"/>
                <w:lang w:eastAsia="zh-CN"/>
              </w:rPr>
              <w:t>20日历天</w:t>
            </w:r>
            <w:r>
              <w:rPr>
                <w:rFonts w:hint="eastAsia" w:ascii="仿宋" w:hAnsi="仿宋" w:eastAsia="仿宋" w:cs="仿宋"/>
                <w:color w:val="auto"/>
                <w:sz w:val="24"/>
                <w:highlight w:val="none"/>
              </w:rPr>
              <w:t>内。</w:t>
            </w:r>
          </w:p>
        </w:tc>
      </w:tr>
      <w:tr>
        <w:tblPrEx>
          <w:tblCellMar>
            <w:top w:w="0" w:type="dxa"/>
            <w:left w:w="108" w:type="dxa"/>
            <w:bottom w:w="0" w:type="dxa"/>
            <w:right w:w="108" w:type="dxa"/>
          </w:tblCellMar>
        </w:tblPrEx>
        <w:trPr>
          <w:trHeight w:val="3602"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yellow"/>
              </w:rPr>
              <w:t>履约保证金</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是否要求中标人提交履约保证金：</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A8"/>
            </w:r>
            <w:r>
              <w:rPr>
                <w:rFonts w:hint="eastAsia" w:ascii="仿宋" w:hAnsi="仿宋" w:eastAsia="仿宋" w:cs="仿宋"/>
                <w:color w:val="auto"/>
                <w:spacing w:val="-4"/>
                <w:sz w:val="24"/>
                <w:szCs w:val="24"/>
                <w:highlight w:val="none"/>
              </w:rPr>
              <w:t>不要求。</w:t>
            </w:r>
          </w:p>
          <w:p>
            <w:pPr>
              <w:pStyle w:val="66"/>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sym w:font="Wingdings" w:char="00FE"/>
            </w:r>
            <w:r>
              <w:rPr>
                <w:rFonts w:hint="eastAsia" w:ascii="仿宋" w:hAnsi="仿宋" w:eastAsia="仿宋" w:cs="仿宋"/>
                <w:color w:val="auto"/>
                <w:spacing w:val="-4"/>
                <w:sz w:val="24"/>
                <w:szCs w:val="24"/>
                <w:highlight w:val="none"/>
              </w:rPr>
              <w:t>要求：</w:t>
            </w:r>
          </w:p>
          <w:p>
            <w:pPr>
              <w:pStyle w:val="66"/>
              <w:numPr>
                <w:ilvl w:val="0"/>
                <w:numId w:val="4"/>
              </w:numPr>
              <w:spacing w:after="0" w:line="3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4"/>
                <w:sz w:val="24"/>
                <w:szCs w:val="24"/>
                <w:highlight w:val="none"/>
              </w:rPr>
              <w:t>中标单位履约保证金的金额为</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合同价款的2%。</w:t>
            </w:r>
          </w:p>
          <w:p>
            <w:pPr>
              <w:pStyle w:val="66"/>
              <w:numPr>
                <w:ilvl w:val="0"/>
                <w:numId w:val="4"/>
              </w:numPr>
              <w:spacing w:after="0" w:line="340" w:lineRule="exact"/>
              <w:ind w:left="0" w:leftChars="0" w:firstLine="0"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eastAsia="zh-CN"/>
              </w:rPr>
              <w:t>履约保证金允许</w:t>
            </w:r>
            <w:r>
              <w:rPr>
                <w:rFonts w:hint="eastAsia" w:ascii="仿宋" w:hAnsi="仿宋" w:eastAsia="仿宋" w:cs="仿宋"/>
                <w:color w:val="auto"/>
                <w:spacing w:val="-4"/>
                <w:sz w:val="24"/>
                <w:szCs w:val="24"/>
                <w:highlight w:val="none"/>
              </w:rPr>
              <w:t>采用现金担保形式或保函形式（包括银行保函、保险机构保证保险保单和融资担保公司保函），中标单位可自主选择，其他相关单位不得以任何理由予以拒绝。</w:t>
            </w:r>
          </w:p>
          <w:p>
            <w:pPr>
              <w:pStyle w:val="66"/>
              <w:numPr>
                <w:ilvl w:val="0"/>
                <w:numId w:val="4"/>
              </w:numPr>
              <w:spacing w:after="0" w:line="340" w:lineRule="exact"/>
              <w:ind w:left="0" w:leftChars="0" w:firstLine="0" w:firstLineChars="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中标</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4"/>
                <w:sz w:val="24"/>
                <w:highlight w:val="none"/>
              </w:rPr>
              <w:t>应在收到中标通知书后</w:t>
            </w:r>
            <w:r>
              <w:rPr>
                <w:rFonts w:hint="eastAsia" w:ascii="仿宋" w:hAnsi="仿宋" w:eastAsia="仿宋" w:cs="仿宋"/>
                <w:color w:val="auto"/>
                <w:spacing w:val="-4"/>
                <w:sz w:val="24"/>
                <w:highlight w:val="none"/>
                <w:lang w:eastAsia="zh-CN"/>
              </w:rPr>
              <w:t>20日历天</w:t>
            </w:r>
            <w:r>
              <w:rPr>
                <w:rFonts w:hint="eastAsia" w:ascii="仿宋" w:hAnsi="仿宋" w:eastAsia="仿宋" w:cs="仿宋"/>
                <w:color w:val="auto"/>
                <w:spacing w:val="-4"/>
                <w:sz w:val="24"/>
                <w:highlight w:val="none"/>
              </w:rPr>
              <w:t>内缴纳至采购人，否则采购人有权取消中标人资格。</w:t>
            </w:r>
          </w:p>
          <w:p>
            <w:pPr>
              <w:pStyle w:val="66"/>
              <w:numPr>
                <w:ilvl w:val="0"/>
                <w:numId w:val="4"/>
              </w:numPr>
              <w:spacing w:after="0" w:line="3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合同履行完毕（验收合格）后15日内无息退还。</w:t>
            </w:r>
          </w:p>
        </w:tc>
      </w:tr>
      <w:tr>
        <w:tblPrEx>
          <w:tblCellMar>
            <w:top w:w="0" w:type="dxa"/>
            <w:left w:w="108" w:type="dxa"/>
            <w:bottom w:w="0" w:type="dxa"/>
            <w:right w:w="108" w:type="dxa"/>
          </w:tblCellMar>
        </w:tblPrEx>
        <w:trPr>
          <w:trHeight w:val="1425"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投标人的违法违规行为</w:t>
            </w:r>
          </w:p>
        </w:tc>
        <w:tc>
          <w:tcPr>
            <w:tcW w:w="66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1.投标人不得相互串通投标或者与采购人串通投标，不得向采购人行贿谋取中标，不得以他人名义投标或者以其他方式弄虚作假骗取中标；投标人不得以任何方式干扰、影响评标工作。</w:t>
            </w:r>
          </w:p>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2.投标人在投标过程中有挂靠投标、相互串通投标、弄虚作假等违规行为的，一经查实，采购人和代理机构上报监管部门列入黑名单、失信名单。</w:t>
            </w:r>
          </w:p>
          <w:p>
            <w:pPr>
              <w:spacing w:line="3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发现中标人为挂靠投标中标的，或者相互串通投标中标的，或者提交的投标文件弄虚作假骗取中标的，或者将中标项目转给他人承包的，除由采购人在履约保证金或合同价款中扣罚2%，并报监管部门按相关法律法规予以处罚。已经开工的，必须终止工作，所有因此造成的经济损失由中标人承担。</w:t>
            </w:r>
          </w:p>
        </w:tc>
      </w:tr>
      <w:tr>
        <w:tblPrEx>
          <w:tblCellMar>
            <w:top w:w="0" w:type="dxa"/>
            <w:left w:w="108" w:type="dxa"/>
            <w:bottom w:w="0" w:type="dxa"/>
            <w:right w:w="108" w:type="dxa"/>
          </w:tblCellMar>
        </w:tblPrEx>
        <w:trPr>
          <w:trHeight w:val="437" w:hRule="atLeast"/>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867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本前附表内容与投标人须知正文不符的，以本前附表为准。</w:t>
            </w:r>
          </w:p>
          <w:p>
            <w:pPr>
              <w:spacing w:line="3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zh-CN"/>
              </w:rPr>
              <w:t>凡涉及本采购文件的解释权均属于采购人</w:t>
            </w:r>
            <w:r>
              <w:rPr>
                <w:rFonts w:hint="eastAsia" w:ascii="仿宋" w:hAnsi="仿宋" w:eastAsia="仿宋" w:cs="仿宋"/>
                <w:color w:val="auto"/>
                <w:sz w:val="24"/>
                <w:highlight w:val="none"/>
              </w:rPr>
              <w:t>和采购代理机构</w:t>
            </w:r>
            <w:r>
              <w:rPr>
                <w:rFonts w:hint="eastAsia" w:ascii="仿宋" w:hAnsi="仿宋" w:eastAsia="仿宋" w:cs="仿宋"/>
                <w:color w:val="auto"/>
                <w:sz w:val="24"/>
                <w:highlight w:val="none"/>
                <w:lang w:val="zh-CN"/>
              </w:rPr>
              <w:t>。</w:t>
            </w:r>
          </w:p>
        </w:tc>
      </w:tr>
    </w:tbl>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 w:name="_Toc246996918"/>
      <w:bookmarkStart w:id="30" w:name="_Toc179632546"/>
      <w:bookmarkStart w:id="31" w:name="_Toc247085689"/>
      <w:bookmarkStart w:id="32" w:name="_Toc152042305"/>
      <w:bookmarkStart w:id="33" w:name="_Toc152045529"/>
      <w:bookmarkStart w:id="34" w:name="_Toc498955000"/>
      <w:bookmarkStart w:id="35" w:name="_Toc246996175"/>
      <w:bookmarkStart w:id="36" w:name="_Toc144974497"/>
      <w:bookmarkStart w:id="37" w:name="_Toc444093603"/>
      <w:r>
        <w:rPr>
          <w:rFonts w:hint="eastAsia" w:ascii="仿宋" w:hAnsi="仿宋" w:eastAsia="仿宋" w:cs="仿宋"/>
          <w:color w:val="auto"/>
          <w:highlight w:val="none"/>
        </w:rPr>
        <w:t>一、总则</w:t>
      </w:r>
      <w:bookmarkEnd w:id="29"/>
      <w:bookmarkEnd w:id="30"/>
      <w:bookmarkEnd w:id="31"/>
      <w:bookmarkEnd w:id="32"/>
      <w:bookmarkEnd w:id="33"/>
      <w:bookmarkEnd w:id="34"/>
      <w:bookmarkEnd w:id="35"/>
      <w:bookmarkEnd w:id="36"/>
      <w:bookmarkEnd w:id="37"/>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（一）定义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是指投标人须知前附表说明的单位，在招标采购阶段称为采购人，在签订和执行合同阶段或被称为建设单位或业主或甲方或买方。为便于招标文件及附件直接转化为经济合同条款，在招标文件中被称为建设单位或业主或甲方或买方的招标投标阶段均指采购人。</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2.“采购代理机构”：是指依法取得招标（采购）资格、从事招标（采购）代理业务并提供相关服务的专业机构，本文特指</w:t>
      </w:r>
      <w:r>
        <w:rPr>
          <w:rFonts w:hint="eastAsia" w:ascii="仿宋" w:hAnsi="仿宋" w:eastAsia="仿宋" w:cs="仿宋"/>
          <w:color w:val="auto"/>
          <w:sz w:val="24"/>
          <w:highlight w:val="none"/>
          <w:u w:val="single"/>
          <w:lang w:eastAsia="zh-CN"/>
        </w:rPr>
        <w:t>浙江宁和工程管理有限公司</w:t>
      </w:r>
      <w:r>
        <w:rPr>
          <w:rFonts w:hint="eastAsia" w:ascii="仿宋" w:hAnsi="仿宋" w:eastAsia="仿宋" w:cs="仿宋"/>
          <w:color w:val="auto"/>
          <w:sz w:val="24"/>
          <w:highlight w:val="none"/>
        </w:rPr>
        <w:t>。是本次整个采购活动的组织者，依法负责编制和发布招标文件，对招标文件拥有最终的解释权。</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3.“投标人”系指是指响应招标、参加投标竞争的法人、其他组织。</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4.“监督管理部门”：是指负责对采购人、采购代理机构、投标供应商（投标单位）和评审专家进行监督检查的相关部门。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5.“项目”系指投标人按招标采购文件规定向采购人提供的产品和服务。</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6.“产品”系指供方按招标采购文件规定，须向采购人提供的一切设备、保险、税金、备品备件、工具、手册及其他有关技术资料和材料。</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7.“服务”系指招标采购文件规定投标人须承担的安装、调试、技术协助、校准、培训、技术指导以及其他类似的义务。</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8.“日期、天数、时间”：除非本招标文件另有规定，均为公历日（天）及北京时间。</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9.“书面形式”包括信函、传真、电报、邮件等。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10.“公章”系指单位法定名称章。</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11.“★”系指实质性要求条款，“▲”系指重要技术参数。</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8" w:name="_Toc144974498"/>
      <w:bookmarkStart w:id="39" w:name="_Toc152045530"/>
      <w:bookmarkStart w:id="40" w:name="_Toc246996176"/>
      <w:bookmarkStart w:id="41" w:name="_Toc498955001"/>
      <w:bookmarkStart w:id="42" w:name="_Toc247085690"/>
      <w:bookmarkStart w:id="43" w:name="_Toc246996919"/>
      <w:bookmarkStart w:id="44" w:name="_Toc179632547"/>
      <w:bookmarkStart w:id="45" w:name="_Toc152042306"/>
      <w:bookmarkStart w:id="46" w:name="_Toc444093604"/>
      <w:bookmarkStart w:id="47" w:name="_Toc246996923"/>
      <w:bookmarkStart w:id="48" w:name="_Toc144974503"/>
      <w:bookmarkStart w:id="49" w:name="_Toc444093608"/>
      <w:bookmarkStart w:id="50" w:name="_Toc152045535"/>
      <w:bookmarkStart w:id="51" w:name="_Toc247085694"/>
      <w:bookmarkStart w:id="52" w:name="_Toc246996180"/>
      <w:bookmarkStart w:id="53" w:name="_Toc152042311"/>
      <w:bookmarkStart w:id="54" w:name="_Toc179632552"/>
      <w:r>
        <w:rPr>
          <w:rFonts w:hint="eastAsia" w:ascii="仿宋" w:hAnsi="仿宋" w:eastAsia="仿宋" w:cs="仿宋"/>
          <w:color w:val="auto"/>
          <w:highlight w:val="none"/>
        </w:rPr>
        <w:t>（二）采购项目概况</w:t>
      </w:r>
      <w:bookmarkEnd w:id="38"/>
      <w:bookmarkEnd w:id="39"/>
      <w:bookmarkEnd w:id="40"/>
      <w:bookmarkEnd w:id="41"/>
      <w:bookmarkEnd w:id="42"/>
      <w:bookmarkEnd w:id="43"/>
      <w:bookmarkEnd w:id="44"/>
      <w:bookmarkEnd w:id="45"/>
      <w:bookmarkEnd w:id="46"/>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55" w:name="_Toc152042307"/>
      <w:bookmarkStart w:id="56" w:name="_Toc179632548"/>
      <w:bookmarkStart w:id="57" w:name="_Toc246996177"/>
      <w:bookmarkStart w:id="58" w:name="_Toc152045531"/>
      <w:bookmarkStart w:id="59" w:name="_Toc144974499"/>
      <w:bookmarkStart w:id="60" w:name="_Toc247085691"/>
      <w:bookmarkStart w:id="61" w:name="_Toc444093605"/>
      <w:bookmarkStart w:id="62" w:name="_Toc246996920"/>
      <w:r>
        <w:rPr>
          <w:rFonts w:hint="eastAsia" w:ascii="仿宋" w:hAnsi="仿宋" w:eastAsia="仿宋" w:cs="仿宋"/>
          <w:color w:val="auto"/>
          <w:sz w:val="24"/>
          <w:highlight w:val="none"/>
        </w:rPr>
        <w:t>1.参照有关法律、法规和规章的规定，本采购项目已具备采购条件，现对本项目进行采购。</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4.采购项目名称：见投标人须知前附表。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5.项目地点：见投标人须知前附表。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6.项目属性：见投标人须知前附表。</w:t>
      </w:r>
    </w:p>
    <w:bookmarkEnd w:id="55"/>
    <w:bookmarkEnd w:id="56"/>
    <w:bookmarkEnd w:id="57"/>
    <w:bookmarkEnd w:id="58"/>
    <w:bookmarkEnd w:id="59"/>
    <w:bookmarkEnd w:id="60"/>
    <w:bookmarkEnd w:id="61"/>
    <w:bookmarkEnd w:id="62"/>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63" w:name="_Toc498955002"/>
      <w:bookmarkStart w:id="64" w:name="_Toc152045534"/>
      <w:bookmarkStart w:id="65" w:name="_Toc444093607"/>
      <w:bookmarkStart w:id="66" w:name="_Toc246996179"/>
      <w:bookmarkStart w:id="67" w:name="_Toc246996922"/>
      <w:bookmarkStart w:id="68" w:name="_Toc152042310"/>
      <w:bookmarkStart w:id="69" w:name="_Toc247085693"/>
      <w:bookmarkStart w:id="70" w:name="_Toc179632551"/>
      <w:bookmarkStart w:id="71" w:name="_Toc498955004"/>
      <w:bookmarkStart w:id="72" w:name="_Toc144974502"/>
      <w:r>
        <w:rPr>
          <w:rFonts w:hint="eastAsia" w:ascii="仿宋" w:hAnsi="仿宋" w:eastAsia="仿宋" w:cs="仿宋"/>
          <w:color w:val="auto"/>
          <w:highlight w:val="none"/>
        </w:rPr>
        <w:t>（三）采购项目的资金来源</w:t>
      </w:r>
      <w:bookmarkEnd w:id="63"/>
      <w:r>
        <w:rPr>
          <w:rFonts w:hint="eastAsia" w:ascii="仿宋" w:hAnsi="仿宋" w:eastAsia="仿宋" w:cs="仿宋"/>
          <w:color w:val="auto"/>
          <w:highlight w:val="none"/>
        </w:rPr>
        <w:t>和付款单位</w:t>
      </w:r>
    </w:p>
    <w:bookmarkEnd w:id="64"/>
    <w:bookmarkEnd w:id="65"/>
    <w:bookmarkEnd w:id="66"/>
    <w:bookmarkEnd w:id="67"/>
    <w:bookmarkEnd w:id="68"/>
    <w:bookmarkEnd w:id="69"/>
    <w:bookmarkEnd w:id="70"/>
    <w:bookmarkEnd w:id="71"/>
    <w:bookmarkEnd w:id="72"/>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1.资金来源：见投标人须知前附表。</w:t>
      </w:r>
    </w:p>
    <w:p>
      <w:pPr>
        <w:keepNext/>
        <w:keepLines/>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2.付款单位：见投标人须知前附表。</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（四）投标人资格要求</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1.投标人应具备承担本采购项目资格（资质）条件、能力和信誉；</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如果已经依法办理了工商、税务和社保登记手续，并且获得总公司（总机构）授权（在投标文件中提供相关材料），证明其具备实际承担责任的能力和法定的缔结合同能力，可以独立参加投标活动，由单位负责人签署相关文件材料。</w:t>
      </w:r>
    </w:p>
    <w:p>
      <w:pPr>
        <w:pStyle w:val="17"/>
        <w:pageBreakBefore w:val="0"/>
        <w:kinsoku/>
        <w:wordWrap/>
        <w:overflowPunct/>
        <w:topLinePunct w:val="0"/>
        <w:autoSpaceDE/>
        <w:autoSpaceDN/>
        <w:bidi w:val="0"/>
        <w:spacing w:before="0" w:beforeLines="0" w:after="0" w:afterLines="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2.如以联合体形式参加投标活动的，联合体各方应当指定牵头人，授权其代表所有联合体成员负责投标和合同实施阶段的主办、协调工作，并应当向采购代理机构提交由所有联合体成员各方</w:t>
      </w:r>
      <w:r>
        <w:rPr>
          <w:rFonts w:hint="eastAsia" w:ascii="仿宋" w:hAnsi="仿宋" w:eastAsia="仿宋" w:cs="仿宋"/>
          <w:color w:val="auto"/>
          <w:highlight w:val="none"/>
          <w:lang w:eastAsia="zh-CN"/>
        </w:rPr>
        <w:t>法定代表人</w:t>
      </w:r>
      <w:r>
        <w:rPr>
          <w:rFonts w:hint="eastAsia" w:ascii="仿宋" w:hAnsi="仿宋" w:eastAsia="仿宋" w:cs="仿宋"/>
          <w:color w:val="auto"/>
          <w:highlight w:val="none"/>
        </w:rPr>
        <w:t>签署的授权书，同时应当提交联合体协议，载明联合体各方承担的工作和义务。联合体协议中应当注明由联合体各成员方共同与采购人签订合同，并就采购合同约定的事项对采购人承担连带责任。</w:t>
      </w:r>
    </w:p>
    <w:p>
      <w:pPr>
        <w:pStyle w:val="17"/>
        <w:pageBreakBefore w:val="0"/>
        <w:kinsoku/>
        <w:wordWrap/>
        <w:overflowPunct/>
        <w:topLinePunct w:val="0"/>
        <w:autoSpaceDE/>
        <w:autoSpaceDN/>
        <w:bidi w:val="0"/>
        <w:spacing w:before="0" w:beforeLines="0" w:after="0" w:afterLines="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3.联合体各方不得再以自己名义单独或参加其他联合体在本采购项目中投标，否则各相关投标均无效。</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4.投标人不得存在下列情形之一：</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（1）为采购人不具有独立法人资格的附属机构（单位）；</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（2）与采购人存在利害关系且可能影响招标公正性；</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（3）与本采购项目的其他投标人为同一个单位负责人；</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（4）与本采购项目的其他投标人存在控股、管理关系；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（5）为本采购项目的设计单位、规范编制或者项目管理、监理、检测等服务的供应商；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（6）为本采购项目的采购代理机构；</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（7）与本采购项目的采购代理机构同为一个</w:t>
      </w:r>
      <w:r>
        <w:rPr>
          <w:rFonts w:hint="eastAsia" w:ascii="仿宋" w:hAnsi="仿宋" w:eastAsia="仿宋" w:cs="仿宋"/>
          <w:color w:val="auto"/>
          <w:sz w:val="24"/>
          <w:highlight w:val="none"/>
          <w:lang w:eastAsia="zh-CN"/>
        </w:rPr>
        <w:t>法定代表人（负责人）</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（8）与本采购项目的采购代理机构存在控股或参股关系；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（9）被依法暂停或者取消投标资格；</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（10）被责令停产停业、暂扣或者吊销许可证、暂扣或者吊销执照；</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（11）进入清算程序，或被宣告破产，或其他丧失履约能力的情形；</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（12）被“信用中国”、“中国</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网”列入失信被执行人、重大税收违法案件当事人名单、投标严重违法失信行为记录名单或尚在行政处罚期内的；</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（13）法律法规或投标人须知前附表规定的其他情形。</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5.单位负责人为同一人或者存在直接控股、管理关系的不同供应商，不得参加同一合同项下的投标活动。</w:t>
      </w:r>
    </w:p>
    <w:p>
      <w:pPr>
        <w:pageBreakBefore w:val="0"/>
        <w:widowControl/>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6.公益一类事业单位不得参与承接政府购买服务。</w:t>
      </w:r>
    </w:p>
    <w:bookmarkEnd w:id="47"/>
    <w:bookmarkEnd w:id="48"/>
    <w:bookmarkEnd w:id="49"/>
    <w:bookmarkEnd w:id="50"/>
    <w:bookmarkEnd w:id="51"/>
    <w:bookmarkEnd w:id="52"/>
    <w:bookmarkEnd w:id="53"/>
    <w:bookmarkEnd w:id="54"/>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73" w:name="_Toc498955005"/>
      <w:bookmarkStart w:id="74" w:name="_Toc144974510"/>
      <w:bookmarkStart w:id="75" w:name="_Toc152045542"/>
      <w:bookmarkStart w:id="76" w:name="_Toc246996187"/>
      <w:bookmarkStart w:id="77" w:name="_Toc152042318"/>
      <w:bookmarkStart w:id="78" w:name="_Toc247085701"/>
      <w:bookmarkStart w:id="79" w:name="_Toc246996930"/>
      <w:bookmarkStart w:id="80" w:name="_Toc444093615"/>
      <w:bookmarkStart w:id="81" w:name="_Toc179632560"/>
      <w:r>
        <w:rPr>
          <w:rFonts w:hint="eastAsia" w:ascii="仿宋" w:hAnsi="仿宋" w:eastAsia="仿宋" w:cs="仿宋"/>
          <w:color w:val="auto"/>
          <w:highlight w:val="none"/>
        </w:rPr>
        <w:t>（五）</w:t>
      </w:r>
      <w:bookmarkEnd w:id="73"/>
      <w:bookmarkStart w:id="82" w:name="_Toc179632553"/>
      <w:bookmarkStart w:id="83" w:name="_Toc152042312"/>
      <w:bookmarkStart w:id="84" w:name="_Toc246996924"/>
      <w:bookmarkStart w:id="85" w:name="_Toc144974504"/>
      <w:bookmarkStart w:id="86" w:name="_Toc246996181"/>
      <w:bookmarkStart w:id="87" w:name="_Toc444093609"/>
      <w:bookmarkStart w:id="88" w:name="_Toc247085695"/>
      <w:bookmarkStart w:id="89" w:name="_Toc152045536"/>
      <w:r>
        <w:rPr>
          <w:rFonts w:hint="eastAsia" w:ascii="仿宋" w:hAnsi="仿宋" w:eastAsia="仿宋" w:cs="仿宋"/>
          <w:color w:val="auto"/>
          <w:highlight w:val="none"/>
        </w:rPr>
        <w:t>投标费用和安全责任</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1.投标人准备和参加投标活动发生的费用自理。不论投标结果如何，投标人均应自行承担所有与投标有关的全部费用。</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2.在采购及合同执行过程中，供应商应承担由于其行为所造成的人身伤害、财产损失或损坏的责任，无论何种原因所造成的，采购人均不负责。</w:t>
      </w:r>
    </w:p>
    <w:bookmarkEnd w:id="82"/>
    <w:bookmarkEnd w:id="83"/>
    <w:bookmarkEnd w:id="84"/>
    <w:bookmarkEnd w:id="85"/>
    <w:bookmarkEnd w:id="86"/>
    <w:bookmarkEnd w:id="87"/>
    <w:bookmarkEnd w:id="88"/>
    <w:bookmarkEnd w:id="89"/>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90" w:name="_Toc144974505"/>
      <w:bookmarkStart w:id="91" w:name="_Toc152045537"/>
      <w:bookmarkStart w:id="92" w:name="_Toc444093610"/>
      <w:bookmarkStart w:id="93" w:name="_Toc152042313"/>
      <w:bookmarkStart w:id="94" w:name="_Toc246996925"/>
      <w:bookmarkStart w:id="95" w:name="_Toc498955007"/>
      <w:bookmarkStart w:id="96" w:name="_Toc247085696"/>
      <w:bookmarkStart w:id="97" w:name="_Toc246996182"/>
      <w:bookmarkStart w:id="98" w:name="_Toc179632554"/>
      <w:r>
        <w:rPr>
          <w:rFonts w:hint="eastAsia" w:ascii="仿宋" w:hAnsi="仿宋" w:eastAsia="仿宋" w:cs="仿宋"/>
          <w:color w:val="auto"/>
          <w:highlight w:val="none"/>
        </w:rPr>
        <w:t>（六）语言</w:t>
      </w:r>
      <w:bookmarkEnd w:id="90"/>
      <w:r>
        <w:rPr>
          <w:rFonts w:hint="eastAsia" w:ascii="仿宋" w:hAnsi="仿宋" w:eastAsia="仿宋" w:cs="仿宋"/>
          <w:color w:val="auto"/>
          <w:highlight w:val="none"/>
        </w:rPr>
        <w:t>文字</w:t>
      </w:r>
      <w:bookmarkEnd w:id="91"/>
      <w:bookmarkEnd w:id="92"/>
      <w:bookmarkEnd w:id="93"/>
      <w:bookmarkEnd w:id="94"/>
      <w:bookmarkEnd w:id="95"/>
      <w:bookmarkEnd w:id="96"/>
      <w:bookmarkEnd w:id="97"/>
      <w:bookmarkEnd w:id="98"/>
      <w:r>
        <w:rPr>
          <w:rFonts w:hint="eastAsia" w:ascii="仿宋" w:hAnsi="仿宋" w:eastAsia="仿宋" w:cs="仿宋"/>
          <w:color w:val="auto"/>
          <w:highlight w:val="none"/>
        </w:rPr>
        <w:t>和计量</w:t>
      </w:r>
      <w:bookmarkStart w:id="99" w:name="_Toc498955008"/>
      <w:bookmarkStart w:id="100" w:name="_Toc246996926"/>
      <w:bookmarkStart w:id="101" w:name="_Toc144974506"/>
      <w:bookmarkStart w:id="102" w:name="_Toc152045538"/>
      <w:bookmarkStart w:id="103" w:name="_Toc179632555"/>
      <w:bookmarkStart w:id="104" w:name="_Toc247085697"/>
      <w:bookmarkStart w:id="105" w:name="_Toc246996183"/>
      <w:bookmarkStart w:id="106" w:name="_Toc152042314"/>
      <w:bookmarkStart w:id="107" w:name="_Toc444093611"/>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1.招标投标文件使用的语言文字为中文。专用术语使用外文的，应附有中文注释。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2.投标计量单位，招标采购文件已有明确规定的，使用招标采购文件规定的计量单位；招标采购文件没有规定的，应采用中华人民共和国法定计量单位（货币单位：人民币元），否则视同未响应。</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（七）计量单位</w:t>
      </w:r>
      <w:bookmarkEnd w:id="99"/>
      <w:bookmarkEnd w:id="100"/>
      <w:bookmarkEnd w:id="101"/>
      <w:bookmarkEnd w:id="102"/>
      <w:bookmarkEnd w:id="103"/>
      <w:bookmarkEnd w:id="104"/>
      <w:bookmarkEnd w:id="105"/>
      <w:bookmarkEnd w:id="106"/>
      <w:bookmarkEnd w:id="107"/>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所有计量均采用中华人民共和国法定计量单位。</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08" w:name="_Toc152045539"/>
      <w:bookmarkStart w:id="109" w:name="_Toc247592876"/>
      <w:bookmarkStart w:id="110" w:name="_Toc444093612"/>
      <w:bookmarkStart w:id="111" w:name="_Toc247513962"/>
      <w:bookmarkStart w:id="112" w:name="_Toc498955009"/>
      <w:bookmarkStart w:id="113" w:name="_Toc152042315"/>
      <w:bookmarkStart w:id="114" w:name="_Toc144974507"/>
      <w:bookmarkStart w:id="115" w:name="_Toc247527563"/>
      <w:r>
        <w:rPr>
          <w:rFonts w:hint="eastAsia" w:ascii="仿宋" w:hAnsi="仿宋" w:eastAsia="仿宋" w:cs="仿宋"/>
          <w:color w:val="auto"/>
          <w:highlight w:val="none"/>
        </w:rPr>
        <w:t>（八）踏勘现场</w:t>
      </w:r>
      <w:bookmarkEnd w:id="108"/>
      <w:bookmarkEnd w:id="109"/>
      <w:bookmarkEnd w:id="110"/>
      <w:bookmarkEnd w:id="111"/>
      <w:bookmarkEnd w:id="112"/>
      <w:bookmarkEnd w:id="113"/>
      <w:bookmarkEnd w:id="114"/>
      <w:bookmarkEnd w:id="115"/>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16" w:name="_Toc247527564"/>
      <w:bookmarkStart w:id="117" w:name="_Toc152045540"/>
      <w:bookmarkStart w:id="118" w:name="_Toc152042316"/>
      <w:bookmarkStart w:id="119" w:name="_Toc444093613"/>
      <w:bookmarkStart w:id="120" w:name="_Toc144974508"/>
      <w:bookmarkStart w:id="121" w:name="_Toc247592877"/>
      <w:bookmarkStart w:id="122" w:name="_Toc247513963"/>
      <w:r>
        <w:rPr>
          <w:rFonts w:hint="eastAsia" w:ascii="仿宋" w:hAnsi="仿宋" w:eastAsia="仿宋" w:cs="仿宋"/>
          <w:color w:val="auto"/>
          <w:sz w:val="24"/>
          <w:highlight w:val="none"/>
        </w:rPr>
        <w:t>1.投标人须知前附表规定组织踏勘现场的，采购人按投标人须知前附表规定的时间、地点组织投标人踏勘项目现场。部分投标人未按时参加踏勘现场的，不影响踏勘现场的正常进行。</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2.投标人踏勘现场发生的费用自理。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3.除采购人的原因外，投标人自行负责在踏勘现场中所发生的人员伤亡和财产损失。</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4.采购人在踏勘现场中介绍的场地和相关的周边环境情况，供投标人在编制投标文件时参考，采购人不对投标人据此作出的判断和决策负责。</w:t>
      </w:r>
    </w:p>
    <w:bookmarkEnd w:id="116"/>
    <w:bookmarkEnd w:id="117"/>
    <w:bookmarkEnd w:id="118"/>
    <w:bookmarkEnd w:id="119"/>
    <w:bookmarkEnd w:id="120"/>
    <w:bookmarkEnd w:id="121"/>
    <w:bookmarkEnd w:id="122"/>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（九）标前答疑会</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23" w:name="_Toc444093614"/>
      <w:r>
        <w:rPr>
          <w:rFonts w:hint="eastAsia" w:ascii="仿宋" w:hAnsi="仿宋" w:eastAsia="仿宋" w:cs="仿宋"/>
          <w:color w:val="auto"/>
          <w:sz w:val="24"/>
          <w:highlight w:val="none"/>
        </w:rPr>
        <w:t>1.投标人须知前附表规定召开标前答疑会的，采购人按投标人须知前附表规定的时间和地点召开标前答疑会，澄清投标人提出的问题。</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2.投标人应按投标人须知前附表规定的时间和形式将提出的问题送达采购人，以便采购人在会议期间澄清。</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3.标前答疑会后，采购人将对投标人所提问题的澄清，以投标人须知前附表规定的形式通知潜在投标人。该澄清内容为招标采购文件的组成部分。</w:t>
      </w:r>
    </w:p>
    <w:bookmarkEnd w:id="123"/>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24" w:name="_Toc498955011"/>
      <w:r>
        <w:rPr>
          <w:rFonts w:hint="eastAsia" w:ascii="仿宋" w:hAnsi="仿宋" w:eastAsia="仿宋" w:cs="仿宋"/>
          <w:color w:val="auto"/>
          <w:highlight w:val="none"/>
        </w:rPr>
        <w:t>（十）转包与分包</w:t>
      </w:r>
      <w:bookmarkEnd w:id="124"/>
      <w:bookmarkStart w:id="125" w:name="_Toc498955012"/>
    </w:p>
    <w:bookmarkEnd w:id="125"/>
    <w:p>
      <w:pPr>
        <w:pStyle w:val="17"/>
        <w:pageBreakBefore w:val="0"/>
        <w:kinsoku/>
        <w:wordWrap/>
        <w:overflowPunct/>
        <w:topLinePunct w:val="0"/>
        <w:autoSpaceDE/>
        <w:autoSpaceDN/>
        <w:bidi w:val="0"/>
        <w:snapToGrid w:val="0"/>
        <w:spacing w:before="0" w:beforeLines="0" w:after="0" w:afterLines="0" w:line="42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1.本项目不允许转包；</w:t>
      </w:r>
    </w:p>
    <w:p>
      <w:pPr>
        <w:pStyle w:val="17"/>
        <w:pageBreakBefore w:val="0"/>
        <w:kinsoku/>
        <w:wordWrap/>
        <w:overflowPunct/>
        <w:topLinePunct w:val="0"/>
        <w:autoSpaceDE/>
        <w:autoSpaceDN/>
        <w:bidi w:val="0"/>
        <w:snapToGrid w:val="0"/>
        <w:spacing w:before="0" w:beforeLines="0" w:after="0" w:afterLines="0" w:line="420" w:lineRule="exact"/>
        <w:ind w:firstLine="48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highlight w:val="none"/>
        </w:rPr>
        <w:t>2.本项目</w:t>
      </w:r>
      <w:r>
        <w:rPr>
          <w:rFonts w:hint="eastAsia" w:ascii="仿宋" w:hAnsi="仿宋" w:eastAsia="仿宋" w:cs="仿宋"/>
          <w:color w:val="auto"/>
          <w:highlight w:val="none"/>
          <w:lang w:eastAsia="zh-CN"/>
        </w:rPr>
        <w:t>不</w:t>
      </w:r>
      <w:r>
        <w:rPr>
          <w:rFonts w:hint="eastAsia" w:ascii="仿宋" w:hAnsi="仿宋" w:eastAsia="仿宋" w:cs="仿宋"/>
          <w:color w:val="auto"/>
          <w:highlight w:val="none"/>
        </w:rPr>
        <w:t>允许分包。</w:t>
      </w:r>
    </w:p>
    <w:bookmarkEnd w:id="74"/>
    <w:bookmarkEnd w:id="75"/>
    <w:bookmarkEnd w:id="76"/>
    <w:bookmarkEnd w:id="77"/>
    <w:bookmarkEnd w:id="78"/>
    <w:bookmarkEnd w:id="79"/>
    <w:bookmarkEnd w:id="80"/>
    <w:bookmarkEnd w:id="81"/>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二、招标采购文件</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26" w:name="_Toc498955014"/>
      <w:bookmarkStart w:id="127" w:name="_Toc144974511"/>
      <w:bookmarkStart w:id="128" w:name="_Toc179632561"/>
      <w:bookmarkStart w:id="129" w:name="_Toc152045543"/>
      <w:bookmarkStart w:id="130" w:name="_Toc247085702"/>
      <w:bookmarkStart w:id="131" w:name="_Toc152042319"/>
      <w:bookmarkStart w:id="132" w:name="_Toc444093616"/>
      <w:bookmarkStart w:id="133" w:name="_Toc246996188"/>
      <w:bookmarkStart w:id="134" w:name="_Toc246996931"/>
      <w:r>
        <w:rPr>
          <w:rFonts w:hint="eastAsia" w:ascii="仿宋" w:hAnsi="仿宋" w:eastAsia="仿宋" w:cs="仿宋"/>
          <w:color w:val="auto"/>
          <w:highlight w:val="none"/>
        </w:rPr>
        <w:t>（一）招标采购文件的组成</w:t>
      </w:r>
      <w:bookmarkEnd w:id="126"/>
      <w:bookmarkEnd w:id="127"/>
      <w:bookmarkEnd w:id="128"/>
      <w:bookmarkEnd w:id="129"/>
      <w:bookmarkEnd w:id="130"/>
      <w:bookmarkEnd w:id="131"/>
      <w:bookmarkEnd w:id="132"/>
      <w:bookmarkEnd w:id="133"/>
      <w:bookmarkEnd w:id="134"/>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bookmarkStart w:id="135" w:name="_Toc444093617"/>
      <w:bookmarkStart w:id="136" w:name="_Toc152045544"/>
      <w:bookmarkStart w:id="137" w:name="_Toc246996189"/>
      <w:bookmarkStart w:id="138" w:name="_Toc179632562"/>
      <w:bookmarkStart w:id="139" w:name="_Toc246996932"/>
      <w:bookmarkStart w:id="140" w:name="_Toc247085703"/>
      <w:bookmarkStart w:id="141" w:name="_Toc144974512"/>
      <w:bookmarkStart w:id="142" w:name="_Toc152042320"/>
      <w:r>
        <w:rPr>
          <w:rFonts w:hint="eastAsia" w:ascii="仿宋" w:hAnsi="仿宋" w:eastAsia="仿宋" w:cs="仿宋"/>
          <w:color w:val="auto"/>
          <w:sz w:val="24"/>
          <w:highlight w:val="none"/>
        </w:rPr>
        <w:t>本招标采购文件包括：</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1.招标公告；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2.投标人须知；</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3.招标采购需求；</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4.合同主要条款；</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5.评标办法；</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6.投标文件格式；</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7.投标人须知前附表规定的其他资料；</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8.本项目招标采购文件的更正、澄清、修改的内容，构成招标采购文件的组成部分。</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（二）投标人的风险</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投标人未按照招标采购文件要求提供全部资料，或者投标人未对招标采购文件在各方面作出实质性响应是投标人的风险，并可能导致其投标被拒绝。</w:t>
      </w:r>
      <w:bookmarkEnd w:id="135"/>
      <w:bookmarkEnd w:id="136"/>
      <w:bookmarkEnd w:id="137"/>
      <w:bookmarkEnd w:id="138"/>
      <w:bookmarkEnd w:id="139"/>
      <w:bookmarkEnd w:id="140"/>
      <w:bookmarkEnd w:id="141"/>
      <w:bookmarkEnd w:id="142"/>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（三）招标采购文件的澄清与修改</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认真阅读本招标采购文件，发现其中有误或有不合理要求的，投标人必须在投标人须知前附表规定的时间前以书面形式要求采购代理机构澄清。采购代理机构对已发出的招标采购文件进行必要更正、澄清、修改的，应当在招标采购文件要求提交投标文件截止时间15日前，</w:t>
      </w:r>
      <w:r>
        <w:rPr>
          <w:rFonts w:hint="eastAsia" w:ascii="仿宋" w:hAnsi="仿宋" w:eastAsia="仿宋" w:cs="仿宋"/>
          <w:color w:val="auto"/>
          <w:sz w:val="24"/>
          <w:highlight w:val="none"/>
          <w:lang w:eastAsia="zh-CN"/>
        </w:rPr>
        <w:t>浙江政府采购网或武义县公共资源交易网</w:t>
      </w:r>
      <w:r>
        <w:rPr>
          <w:rFonts w:hint="eastAsia" w:ascii="仿宋" w:hAnsi="仿宋" w:eastAsia="仿宋" w:cs="仿宋"/>
          <w:color w:val="auto"/>
          <w:sz w:val="24"/>
          <w:highlight w:val="none"/>
        </w:rPr>
        <w:t>发布更正公告。</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2.采购代理机构必须以</w:t>
      </w:r>
      <w:r>
        <w:rPr>
          <w:rFonts w:hint="eastAsia" w:ascii="仿宋" w:hAnsi="仿宋" w:eastAsia="仿宋" w:cs="仿宋"/>
          <w:color w:val="auto"/>
          <w:sz w:val="24"/>
          <w:highlight w:val="none"/>
          <w:lang w:eastAsia="zh-CN"/>
        </w:rPr>
        <w:t>网上发布公告的形式</w:t>
      </w:r>
      <w:r>
        <w:rPr>
          <w:rFonts w:hint="eastAsia" w:ascii="仿宋" w:hAnsi="仿宋" w:eastAsia="仿宋" w:cs="仿宋"/>
          <w:color w:val="auto"/>
          <w:sz w:val="24"/>
          <w:highlight w:val="none"/>
        </w:rPr>
        <w:t>答复投标人要求澄清的问题，并将不包含问题来源的答复书面通知潜在投标人；除</w:t>
      </w:r>
      <w:r>
        <w:rPr>
          <w:rFonts w:hint="eastAsia" w:ascii="仿宋" w:hAnsi="仿宋" w:eastAsia="仿宋" w:cs="仿宋"/>
          <w:color w:val="auto"/>
          <w:sz w:val="24"/>
          <w:highlight w:val="none"/>
          <w:lang w:eastAsia="zh-CN"/>
        </w:rPr>
        <w:t>网上发布公告形式的</w:t>
      </w:r>
      <w:r>
        <w:rPr>
          <w:rFonts w:hint="eastAsia" w:ascii="仿宋" w:hAnsi="仿宋" w:eastAsia="仿宋" w:cs="仿宋"/>
          <w:color w:val="auto"/>
          <w:sz w:val="24"/>
          <w:highlight w:val="none"/>
        </w:rPr>
        <w:t>答复以外的其他澄清方式及澄清内容均无效。</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3.招标采购文件更正、澄清、修改的内容为招标采购文件的组成部分。当招标采购文件与招标采购文件的更正、澄清、修改内容就同一内容的表述不一致时，以最后发出的公告为准。</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4.招标采购文件的更正、澄清、修改都应该通过采购代理机构以法定形式发布，采购人非通过采购代理机构，不得擅自更正、澄清、修改招标采购文件。</w:t>
      </w:r>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5.采购人可以视采购具体情况，延长投标截止时间和开标时间，并依法在招标采购文件要求提交投标文件的截止时间5日前，将变更时间在</w:t>
      </w:r>
      <w:r>
        <w:rPr>
          <w:rFonts w:hint="eastAsia" w:ascii="仿宋" w:hAnsi="仿宋" w:eastAsia="仿宋" w:cs="仿宋"/>
          <w:color w:val="auto"/>
          <w:sz w:val="24"/>
          <w:highlight w:val="none"/>
          <w:lang w:eastAsia="zh-CN"/>
        </w:rPr>
        <w:t>浙江政府采购网或武义县公共资源交易网</w:t>
      </w:r>
      <w:r>
        <w:rPr>
          <w:rFonts w:hint="eastAsia" w:ascii="仿宋" w:hAnsi="仿宋" w:eastAsia="仿宋" w:cs="仿宋"/>
          <w:color w:val="auto"/>
          <w:sz w:val="24"/>
          <w:highlight w:val="none"/>
        </w:rPr>
        <w:t>上发布变更公告。</w:t>
      </w:r>
      <w:bookmarkStart w:id="143" w:name="_Toc498955018"/>
      <w:bookmarkStart w:id="144" w:name="_Toc444093619"/>
      <w:bookmarkStart w:id="145" w:name="_Toc179632564"/>
      <w:bookmarkStart w:id="146" w:name="_Toc246996191"/>
      <w:bookmarkStart w:id="147" w:name="_Toc144974514"/>
      <w:bookmarkStart w:id="148" w:name="_Toc246996934"/>
      <w:bookmarkStart w:id="149" w:name="_Toc152042322"/>
      <w:bookmarkStart w:id="150" w:name="_Toc152045546"/>
      <w:bookmarkStart w:id="151" w:name="_Toc247085705"/>
    </w:p>
    <w:bookmarkEnd w:id="143"/>
    <w:bookmarkEnd w:id="144"/>
    <w:bookmarkEnd w:id="145"/>
    <w:bookmarkEnd w:id="146"/>
    <w:bookmarkEnd w:id="147"/>
    <w:bookmarkEnd w:id="148"/>
    <w:bookmarkEnd w:id="149"/>
    <w:bookmarkEnd w:id="150"/>
    <w:bookmarkEnd w:id="151"/>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（一）投标文件的组成</w:t>
      </w:r>
      <w:bookmarkStart w:id="152" w:name="_Toc444093620"/>
      <w:bookmarkStart w:id="153" w:name="_Toc179632565"/>
      <w:bookmarkStart w:id="154" w:name="_Toc246996192"/>
      <w:bookmarkStart w:id="155" w:name="_Toc498955019"/>
      <w:bookmarkStart w:id="156" w:name="_Toc246996935"/>
      <w:bookmarkStart w:id="157" w:name="_Toc247085706"/>
      <w:bookmarkStart w:id="158" w:name="_Toc144974515"/>
      <w:bookmarkStart w:id="159" w:name="_Toc152045547"/>
      <w:bookmarkStart w:id="160" w:name="_Toc152042323"/>
      <w:bookmarkStart w:id="161" w:name="_Toc444093621"/>
      <w:bookmarkStart w:id="162" w:name="_Toc152042324"/>
      <w:bookmarkStart w:id="163" w:name="_Toc247085707"/>
      <w:bookmarkStart w:id="164" w:name="_Toc498955020"/>
      <w:bookmarkStart w:id="165" w:name="_Toc246996193"/>
      <w:bookmarkStart w:id="166" w:name="_Toc144974516"/>
      <w:bookmarkStart w:id="167" w:name="_Toc246996936"/>
      <w:bookmarkStart w:id="168" w:name="_Toc152045548"/>
      <w:bookmarkStart w:id="169" w:name="_Toc179632566"/>
    </w:p>
    <w:p>
      <w:pPr>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bookmarkEnd w:id="152"/>
      <w:bookmarkEnd w:id="153"/>
      <w:bookmarkEnd w:id="154"/>
      <w:bookmarkEnd w:id="155"/>
      <w:bookmarkEnd w:id="156"/>
      <w:bookmarkEnd w:id="157"/>
      <w:bookmarkEnd w:id="158"/>
      <w:bookmarkEnd w:id="159"/>
      <w:bookmarkEnd w:id="160"/>
      <w:r>
        <w:rPr>
          <w:rFonts w:hint="eastAsia" w:ascii="仿宋" w:hAnsi="仿宋" w:eastAsia="仿宋" w:cs="仿宋"/>
          <w:color w:val="auto"/>
          <w:sz w:val="24"/>
          <w:highlight w:val="none"/>
        </w:rPr>
        <w:t>在投标人须知前附表中载明；投标人在评标过程中作出的符合法律法规和招标采购文件规定的澄清确认，构成投标文件的组成部分。</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（二）投标报价</w:t>
      </w:r>
      <w:bookmarkEnd w:id="161"/>
      <w:bookmarkEnd w:id="162"/>
      <w:bookmarkEnd w:id="163"/>
      <w:bookmarkEnd w:id="164"/>
      <w:bookmarkEnd w:id="165"/>
      <w:bookmarkEnd w:id="166"/>
      <w:bookmarkEnd w:id="167"/>
      <w:bookmarkEnd w:id="168"/>
      <w:bookmarkEnd w:id="169"/>
      <w:bookmarkStart w:id="170" w:name="_Toc498955021"/>
      <w:bookmarkStart w:id="171" w:name="_Toc246996194"/>
      <w:bookmarkStart w:id="172" w:name="_Toc152042325"/>
      <w:bookmarkStart w:id="173" w:name="_Toc246996937"/>
      <w:bookmarkStart w:id="174" w:name="_Toc444093622"/>
      <w:bookmarkStart w:id="175" w:name="_Toc179632567"/>
      <w:bookmarkStart w:id="176" w:name="_Toc144974517"/>
      <w:bookmarkStart w:id="177" w:name="_Toc152045549"/>
      <w:bookmarkStart w:id="178" w:name="_Toc247085708"/>
      <w:r>
        <w:rPr>
          <w:rFonts w:hint="eastAsia" w:ascii="仿宋" w:hAnsi="仿宋" w:eastAsia="仿宋" w:cs="仿宋"/>
          <w:color w:val="auto"/>
          <w:highlight w:val="none"/>
        </w:rPr>
        <w:t xml:space="preserve"> </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1.投标报价应包括国家规定的增值税税金，除投标人须知前附表另有规定外。</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2.投标人应充分了解该项目的总体情况以及影响投标报价的其他要素。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3.本项目的报价方式见投标人须知前附表。投标人在投标截止时间前修改报价一览表中的投标报价，应同时修改投标文件“清单报价”中的相应报价。</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4.采购人设有最高限价的，投标人的投标报价不得超过最高限价，最高限价在投标人须知前附表中载明。</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5.投标报价的其他要求见投标人须知前附表。</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（三）投标有效期</w:t>
      </w:r>
      <w:bookmarkEnd w:id="170"/>
      <w:bookmarkEnd w:id="171"/>
      <w:bookmarkEnd w:id="172"/>
      <w:bookmarkEnd w:id="173"/>
      <w:bookmarkEnd w:id="174"/>
      <w:bookmarkEnd w:id="175"/>
      <w:bookmarkEnd w:id="176"/>
      <w:bookmarkEnd w:id="177"/>
      <w:bookmarkEnd w:id="17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179" w:name="_Toc144974518"/>
      <w:bookmarkStart w:id="180" w:name="_Toc152042326"/>
      <w:bookmarkStart w:id="181" w:name="_Toc152045550"/>
      <w:bookmarkStart w:id="182" w:name="_Toc179632568"/>
      <w:bookmarkStart w:id="183" w:name="_Toc246996938"/>
      <w:bookmarkStart w:id="184" w:name="_Toc247085709"/>
      <w:bookmarkStart w:id="185" w:name="_Toc498955022"/>
      <w:bookmarkStart w:id="186" w:name="_Toc246996195"/>
      <w:bookmarkStart w:id="187" w:name="_Toc444093623"/>
      <w:r>
        <w:rPr>
          <w:rFonts w:hint="eastAsia" w:ascii="仿宋" w:hAnsi="仿宋" w:eastAsia="仿宋" w:cs="仿宋"/>
          <w:color w:val="auto"/>
          <w:sz w:val="24"/>
          <w:highlight w:val="none"/>
        </w:rPr>
        <w:t>1.除投标人须知前附表另有规定外，投标有效期为90天。</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2.在投标有效期内，投标人撤销投标文件的，应承担招标采购文件和法律规定的责任。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3.出现特殊情况需要延长投标有效期的，采购人以书面形式通知所有投标人延长投标有效期。投标人应予以书面答复，同意延长但不得要求或被允许修改其投标文件；投标人拒绝延长的，其投标失效。</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（四）投标保证金</w:t>
      </w:r>
      <w:bookmarkEnd w:id="179"/>
      <w:bookmarkEnd w:id="180"/>
      <w:bookmarkEnd w:id="181"/>
      <w:bookmarkEnd w:id="182"/>
      <w:bookmarkEnd w:id="183"/>
      <w:bookmarkEnd w:id="184"/>
      <w:bookmarkEnd w:id="185"/>
      <w:bookmarkEnd w:id="186"/>
      <w:bookmarkEnd w:id="187"/>
      <w:r>
        <w:rPr>
          <w:rFonts w:hint="eastAsia" w:ascii="仿宋" w:hAnsi="仿宋" w:eastAsia="仿宋" w:cs="仿宋"/>
          <w:b/>
          <w:bCs/>
          <w:color w:val="auto"/>
          <w:highlight w:val="none"/>
        </w:rPr>
        <w:t>（见</w:t>
      </w:r>
      <w:r>
        <w:rPr>
          <w:rFonts w:hint="eastAsia" w:ascii="仿宋" w:hAnsi="仿宋" w:eastAsia="仿宋" w:cs="仿宋"/>
          <w:b/>
          <w:bCs/>
          <w:color w:val="auto"/>
          <w:highlight w:val="none"/>
          <w:lang w:eastAsia="zh-CN"/>
        </w:rPr>
        <w:t>本章前附表</w:t>
      </w:r>
      <w:r>
        <w:rPr>
          <w:rFonts w:hint="eastAsia" w:ascii="仿宋" w:hAnsi="仿宋" w:eastAsia="仿宋" w:cs="仿宋"/>
          <w:color w:val="auto"/>
          <w:highlight w:val="none"/>
        </w:rPr>
        <w:t>）</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88" w:name="_Toc516904560"/>
      <w:bookmarkStart w:id="189" w:name="_Toc490652487"/>
      <w:bookmarkStart w:id="190" w:name="_Toc516904472"/>
      <w:r>
        <w:rPr>
          <w:rFonts w:hint="eastAsia" w:ascii="仿宋" w:hAnsi="仿宋" w:eastAsia="仿宋" w:cs="仿宋"/>
          <w:color w:val="auto"/>
          <w:highlight w:val="none"/>
        </w:rPr>
        <w:t>（五）资格审查资料</w:t>
      </w:r>
      <w:bookmarkEnd w:id="188"/>
      <w:bookmarkEnd w:id="189"/>
      <w:bookmarkEnd w:id="190"/>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投标人应按要求提交资格文件及符合招标文件规定的文件。</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191" w:name="_Toc144974521"/>
      <w:bookmarkStart w:id="192" w:name="_Toc179632571"/>
      <w:bookmarkStart w:id="193" w:name="_Toc152045553"/>
      <w:bookmarkStart w:id="194" w:name="_Toc444093625"/>
      <w:bookmarkStart w:id="195" w:name="_Toc246996940"/>
      <w:bookmarkStart w:id="196" w:name="_Toc152042329"/>
      <w:bookmarkStart w:id="197" w:name="_Toc246996197"/>
      <w:bookmarkStart w:id="198" w:name="_Toc247085711"/>
      <w:bookmarkStart w:id="199" w:name="_Toc498955025"/>
      <w:r>
        <w:rPr>
          <w:rFonts w:hint="eastAsia" w:ascii="仿宋" w:hAnsi="仿宋" w:eastAsia="仿宋" w:cs="仿宋"/>
          <w:color w:val="auto"/>
          <w:highlight w:val="none"/>
        </w:rPr>
        <w:t>（六）投标文件的编制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00" w:name="_Toc14577355"/>
      <w:bookmarkStart w:id="201" w:name="_Toc49090508"/>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资格文件、商务技术文件和</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应按第六章“投标文件格式”进行编写，如有必要，可以增加附页，作为投标文件的组成部分。在满足</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实质性要求的基础上，可以提出比</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要求更有利于采购人的承诺。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投标文件应当对</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有关服务期限、投标有效期、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要求、招标范围等实质性内容作出响应。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资格文件、商务技术文件</w:t>
      </w:r>
      <w:r>
        <w:rPr>
          <w:rFonts w:hint="eastAsia" w:ascii="仿宋" w:hAnsi="仿宋" w:eastAsia="仿宋" w:cs="仿宋"/>
          <w:color w:val="auto"/>
          <w:sz w:val="24"/>
          <w:szCs w:val="24"/>
          <w:highlight w:val="none"/>
        </w:rPr>
        <w:t>和报价文件）份数见投标人须知前附表。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资格文件、商务技术文件</w:t>
      </w:r>
      <w:r>
        <w:rPr>
          <w:rFonts w:hint="eastAsia" w:ascii="仿宋" w:hAnsi="仿宋" w:eastAsia="仿宋" w:cs="仿宋"/>
          <w:color w:val="auto"/>
          <w:sz w:val="24"/>
          <w:szCs w:val="24"/>
          <w:highlight w:val="none"/>
        </w:rPr>
        <w:t>和报价文件）应分别制作，并编制目录和页码。投标文件需具体要求见投标人须知前附表规定。</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（七）投标产品配置与分项报价</w:t>
      </w:r>
      <w:bookmarkEnd w:id="200"/>
      <w:bookmarkStart w:id="202" w:name="_Hlt26670373"/>
      <w:bookmarkEnd w:id="202"/>
      <w:r>
        <w:rPr>
          <w:rFonts w:hint="eastAsia" w:ascii="仿宋" w:hAnsi="仿宋" w:eastAsia="仿宋" w:cs="仿宋"/>
          <w:color w:val="auto"/>
          <w:highlight w:val="none"/>
        </w:rPr>
        <w:t>表</w:t>
      </w:r>
      <w:bookmarkEnd w:id="201"/>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w:t>
      </w:r>
      <w:bookmarkStart w:id="203" w:name="_Hlt26954840"/>
      <w:bookmarkEnd w:id="203"/>
      <w:r>
        <w:rPr>
          <w:rFonts w:hint="eastAsia" w:ascii="仿宋" w:hAnsi="仿宋" w:eastAsia="仿宋" w:cs="仿宋"/>
          <w:color w:val="auto"/>
          <w:sz w:val="24"/>
          <w:highlight w:val="none"/>
        </w:rPr>
        <w:t>标人应按照招标文件规定格式填报投标产品配置与分项报价表</w:t>
      </w:r>
      <w:bookmarkStart w:id="204" w:name="_Hlt26670399"/>
      <w:bookmarkEnd w:id="204"/>
      <w:r>
        <w:rPr>
          <w:rFonts w:hint="eastAsia" w:ascii="仿宋" w:hAnsi="仿宋" w:eastAsia="仿宋" w:cs="仿宋"/>
          <w:color w:val="auto"/>
          <w:sz w:val="24"/>
          <w:highlight w:val="none"/>
        </w:rPr>
        <w:t>，在表中标明所提供的设备品牌或服务名称、规格、型号、原产地。每项货物和服务等只允许有一个报价，任何有选择的报价将不予接受(如有备选配件，备选配件的报价不属于选择的报价)；</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2.投标产品配置与分项报价表上的价格应按下列方式分开填写；</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3.技术参数及服务要求响应及偏离表、商务条款响应及偏离表及投标货物说明；</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4.对招标文件中的技术与商务条款要求逐项做出响应或偏离，并说明原因；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5.详细阐述所投货物的主要组成部分、功能设计、实现思路及关键技术；</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6.投标人的服务承诺应按不低于招标文件中商务要求的标准。</w:t>
      </w:r>
    </w:p>
    <w:bookmarkEnd w:id="191"/>
    <w:bookmarkEnd w:id="192"/>
    <w:bookmarkEnd w:id="193"/>
    <w:bookmarkEnd w:id="194"/>
    <w:bookmarkEnd w:id="195"/>
    <w:bookmarkEnd w:id="196"/>
    <w:bookmarkEnd w:id="197"/>
    <w:bookmarkEnd w:id="198"/>
    <w:bookmarkEnd w:id="199"/>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05" w:name="_Toc247085724"/>
      <w:bookmarkStart w:id="206" w:name="_Toc246996953"/>
      <w:bookmarkStart w:id="207" w:name="_Toc152042342"/>
      <w:bookmarkStart w:id="208" w:name="_Toc444093639"/>
      <w:bookmarkStart w:id="209" w:name="_Toc498955039"/>
      <w:bookmarkStart w:id="210" w:name="_Toc144974534"/>
      <w:bookmarkStart w:id="211" w:name="_Toc246996210"/>
      <w:bookmarkStart w:id="212" w:name="_Toc152045566"/>
      <w:bookmarkStart w:id="213" w:name="_Toc179632584"/>
      <w:bookmarkStart w:id="214" w:name="_Toc152045564"/>
      <w:bookmarkStart w:id="215" w:name="_Toc152042340"/>
      <w:bookmarkStart w:id="216" w:name="_Toc246996208"/>
      <w:bookmarkStart w:id="217" w:name="_Toc179632582"/>
      <w:bookmarkStart w:id="218" w:name="_Toc247085722"/>
      <w:bookmarkStart w:id="219" w:name="_Toc144974532"/>
      <w:bookmarkStart w:id="220" w:name="_Toc498955037"/>
      <w:bookmarkStart w:id="221" w:name="_Toc444093636"/>
      <w:bookmarkStart w:id="222" w:name="_Toc246996951"/>
      <w:r>
        <w:rPr>
          <w:rFonts w:hint="eastAsia" w:ascii="仿宋" w:hAnsi="仿宋" w:eastAsia="仿宋" w:cs="仿宋"/>
          <w:color w:val="auto"/>
          <w:highlight w:val="none"/>
        </w:rPr>
        <w:t>四、投标</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23" w:name="_Toc152042332"/>
      <w:bookmarkStart w:id="224" w:name="_Toc498955027"/>
      <w:bookmarkStart w:id="225" w:name="_Toc444093627"/>
      <w:bookmarkStart w:id="226" w:name="_Toc152045556"/>
      <w:bookmarkStart w:id="227" w:name="_Toc246996200"/>
      <w:bookmarkStart w:id="228" w:name="_Toc247085714"/>
      <w:bookmarkStart w:id="229" w:name="_Toc144974524"/>
      <w:bookmarkStart w:id="230" w:name="_Toc179632574"/>
      <w:bookmarkStart w:id="231" w:name="_Toc246996943"/>
      <w:r>
        <w:rPr>
          <w:rFonts w:hint="eastAsia" w:ascii="仿宋" w:hAnsi="仿宋" w:eastAsia="仿宋" w:cs="仿宋"/>
          <w:color w:val="auto"/>
          <w:highlight w:val="none"/>
        </w:rPr>
        <w:t>（一）投标文件的密封和标记</w:t>
      </w:r>
      <w:bookmarkEnd w:id="223"/>
      <w:bookmarkEnd w:id="224"/>
      <w:bookmarkEnd w:id="225"/>
      <w:bookmarkEnd w:id="226"/>
      <w:bookmarkEnd w:id="227"/>
      <w:bookmarkEnd w:id="228"/>
      <w:bookmarkEnd w:id="229"/>
      <w:bookmarkEnd w:id="230"/>
      <w:bookmarkEnd w:id="231"/>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本项目不适用</w:t>
      </w:r>
      <w:r>
        <w:rPr>
          <w:rFonts w:hint="eastAsia" w:ascii="仿宋" w:hAnsi="仿宋" w:eastAsia="仿宋" w:cs="仿宋"/>
          <w:b/>
          <w:bCs/>
          <w:color w:val="auto"/>
          <w:sz w:val="28"/>
          <w:szCs w:val="28"/>
          <w:highlight w:val="none"/>
          <w:lang w:eastAsia="zh-CN"/>
        </w:rPr>
        <w:t>）</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32" w:name="_Toc246996201"/>
      <w:bookmarkStart w:id="233" w:name="_Toc179632575"/>
      <w:bookmarkStart w:id="234" w:name="_Toc152045557"/>
      <w:bookmarkStart w:id="235" w:name="_Toc152042333"/>
      <w:bookmarkStart w:id="236" w:name="_Toc444093628"/>
      <w:bookmarkStart w:id="237" w:name="_Toc246996944"/>
      <w:bookmarkStart w:id="238" w:name="_Toc144974525"/>
      <w:bookmarkStart w:id="239" w:name="_Toc247085715"/>
      <w:r>
        <w:rPr>
          <w:rFonts w:hint="eastAsia" w:ascii="仿宋" w:hAnsi="仿宋" w:eastAsia="仿宋" w:cs="仿宋"/>
          <w:color w:val="auto"/>
          <w:sz w:val="24"/>
          <w:highlight w:val="none"/>
        </w:rPr>
        <w:t>1.投标文件应密封包装，并加盖投标人单位公章。</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2.投标文件封套上应写明的内容见投标人须知前附表。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3.未按本章要求密封的投标文件，采购人将予以拒收。</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lang w:eastAsia="zh-CN"/>
        </w:rPr>
      </w:pPr>
      <w:bookmarkStart w:id="240" w:name="_Toc498955028"/>
      <w:r>
        <w:rPr>
          <w:rFonts w:hint="eastAsia" w:ascii="仿宋" w:hAnsi="仿宋" w:eastAsia="仿宋" w:cs="仿宋"/>
          <w:color w:val="auto"/>
          <w:highlight w:val="none"/>
        </w:rPr>
        <w:t>（二）投标文件的</w:t>
      </w:r>
      <w:bookmarkEnd w:id="232"/>
      <w:bookmarkEnd w:id="233"/>
      <w:bookmarkEnd w:id="234"/>
      <w:bookmarkEnd w:id="235"/>
      <w:bookmarkEnd w:id="236"/>
      <w:bookmarkEnd w:id="237"/>
      <w:bookmarkEnd w:id="238"/>
      <w:bookmarkEnd w:id="239"/>
      <w:bookmarkEnd w:id="240"/>
      <w:r>
        <w:rPr>
          <w:rFonts w:hint="eastAsia" w:ascii="仿宋" w:hAnsi="仿宋" w:eastAsia="仿宋" w:cs="仿宋"/>
          <w:color w:val="auto"/>
          <w:highlight w:val="none"/>
          <w:lang w:eastAsia="zh-CN"/>
        </w:rPr>
        <w:t>上传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41" w:name="_Toc246996202"/>
      <w:bookmarkStart w:id="242" w:name="_Toc247085716"/>
      <w:bookmarkStart w:id="243" w:name="_Toc144974526"/>
      <w:bookmarkStart w:id="244" w:name="_Toc152045558"/>
      <w:bookmarkStart w:id="245" w:name="_Toc152042334"/>
      <w:bookmarkStart w:id="246" w:name="_Toc498955029"/>
      <w:bookmarkStart w:id="247" w:name="_Toc179632576"/>
      <w:bookmarkStart w:id="248" w:name="_Toc444093629"/>
      <w:bookmarkStart w:id="249" w:name="_Toc246996945"/>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投标人应在投标人须知前附表规定的投标截止时间前</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rPr>
        <w:t>投标文件。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上传</w:t>
      </w:r>
      <w:r>
        <w:rPr>
          <w:rFonts w:hint="eastAsia" w:ascii="仿宋" w:hAnsi="仿宋" w:eastAsia="仿宋" w:cs="仿宋"/>
          <w:color w:val="auto"/>
          <w:sz w:val="24"/>
          <w:szCs w:val="24"/>
          <w:highlight w:val="none"/>
        </w:rPr>
        <w:t>投标文件的地点</w:t>
      </w:r>
      <w:r>
        <w:rPr>
          <w:rFonts w:hint="eastAsia" w:ascii="仿宋" w:hAnsi="仿宋" w:eastAsia="仿宋" w:cs="仿宋"/>
          <w:color w:val="auto"/>
          <w:sz w:val="24"/>
          <w:szCs w:val="24"/>
          <w:highlight w:val="none"/>
          <w:lang w:val="en-US" w:eastAsia="zh-CN"/>
        </w:rPr>
        <w:t>及方式</w:t>
      </w:r>
      <w:r>
        <w:rPr>
          <w:rFonts w:hint="eastAsia" w:ascii="仿宋" w:hAnsi="仿宋" w:eastAsia="仿宋" w:cs="仿宋"/>
          <w:color w:val="auto"/>
          <w:sz w:val="24"/>
          <w:szCs w:val="24"/>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除投标人须知前附表另有规定外，投标人所</w:t>
      </w:r>
      <w:r>
        <w:rPr>
          <w:rFonts w:hint="eastAsia" w:ascii="仿宋" w:hAnsi="仿宋" w:eastAsia="仿宋" w:cs="仿宋"/>
          <w:color w:val="auto"/>
          <w:sz w:val="24"/>
          <w:szCs w:val="24"/>
          <w:highlight w:val="none"/>
          <w:lang w:eastAsia="zh-CN"/>
        </w:rPr>
        <w:t>上传</w:t>
      </w:r>
      <w:r>
        <w:rPr>
          <w:rFonts w:hint="eastAsia" w:ascii="仿宋" w:hAnsi="仿宋" w:eastAsia="仿宋" w:cs="仿宋"/>
          <w:color w:val="auto"/>
          <w:sz w:val="24"/>
          <w:szCs w:val="24"/>
          <w:highlight w:val="none"/>
        </w:rPr>
        <w:t>的投标文件不予退还。</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（三）投标文件的修改与撤回</w:t>
      </w:r>
      <w:bookmarkEnd w:id="241"/>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bookmarkStart w:id="250" w:name="_Toc247085717"/>
      <w:bookmarkStart w:id="251" w:name="_Toc144974527"/>
      <w:bookmarkStart w:id="252" w:name="_Toc444093630"/>
      <w:bookmarkStart w:id="253" w:name="_Toc152042335"/>
      <w:bookmarkStart w:id="254" w:name="_Toc246996946"/>
      <w:bookmarkStart w:id="255" w:name="_Toc498955030"/>
      <w:bookmarkStart w:id="256" w:name="_Toc152045559"/>
      <w:bookmarkStart w:id="257" w:name="_Toc179632577"/>
      <w:bookmarkStart w:id="258" w:name="_Toc246996203"/>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投标人应在投标人须知前附表规定的投标截止时间前，投标人可以修改或撤回已</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rPr>
        <w:t>的投标文件。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修改的内容为投标文件的组成部分。修改的投标文件应按照</w:t>
      </w:r>
      <w:r>
        <w:rPr>
          <w:rFonts w:hint="eastAsia" w:ascii="仿宋" w:hAnsi="仿宋" w:eastAsia="仿宋" w:cs="仿宋"/>
          <w:color w:val="auto"/>
          <w:sz w:val="24"/>
          <w:szCs w:val="24"/>
          <w:highlight w:val="none"/>
          <w:lang w:eastAsia="zh-CN"/>
        </w:rPr>
        <w:t>招标采购文件</w:t>
      </w:r>
      <w:r>
        <w:rPr>
          <w:rFonts w:hint="eastAsia" w:ascii="仿宋" w:hAnsi="仿宋" w:eastAsia="仿宋" w:cs="仿宋"/>
          <w:color w:val="auto"/>
          <w:sz w:val="24"/>
          <w:szCs w:val="24"/>
          <w:highlight w:val="none"/>
        </w:rPr>
        <w:t>规定进行编制</w:t>
      </w:r>
      <w:r>
        <w:rPr>
          <w:rFonts w:hint="eastAsia" w:ascii="仿宋" w:hAnsi="仿宋" w:eastAsia="仿宋" w:cs="仿宋"/>
          <w:color w:val="auto"/>
          <w:sz w:val="24"/>
          <w:szCs w:val="24"/>
          <w:highlight w:val="none"/>
          <w:lang w:val="en-US" w:eastAsia="zh-CN"/>
        </w:rPr>
        <w:t>及上传</w:t>
      </w:r>
      <w:r>
        <w:rPr>
          <w:rFonts w:hint="eastAsia" w:ascii="仿宋" w:hAnsi="仿宋" w:eastAsia="仿宋" w:cs="仿宋"/>
          <w:color w:val="auto"/>
          <w:sz w:val="24"/>
          <w:szCs w:val="24"/>
          <w:highlight w:val="none"/>
        </w:rPr>
        <w:t>，并标明“修改”字样。</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w:t>
      </w:r>
      <w:bookmarkEnd w:id="250"/>
      <w:bookmarkEnd w:id="251"/>
      <w:bookmarkEnd w:id="252"/>
      <w:bookmarkEnd w:id="253"/>
      <w:bookmarkEnd w:id="254"/>
      <w:bookmarkEnd w:id="255"/>
      <w:bookmarkEnd w:id="256"/>
      <w:bookmarkEnd w:id="257"/>
      <w:bookmarkEnd w:id="258"/>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59" w:name="_Toc152045560"/>
      <w:bookmarkStart w:id="260" w:name="_Toc444093631"/>
      <w:bookmarkStart w:id="261" w:name="_Toc179632578"/>
      <w:bookmarkStart w:id="262" w:name="_Toc246996947"/>
      <w:bookmarkStart w:id="263" w:name="_Toc498955031"/>
      <w:bookmarkStart w:id="264" w:name="_Toc247085718"/>
      <w:bookmarkStart w:id="265" w:name="_Toc144974528"/>
      <w:bookmarkStart w:id="266" w:name="_Toc246996204"/>
      <w:bookmarkStart w:id="267" w:name="_Toc152042336"/>
      <w:bookmarkStart w:id="268" w:name="_Toc444093634"/>
      <w:bookmarkStart w:id="269" w:name="_Toc246996949"/>
      <w:bookmarkStart w:id="270" w:name="_Toc179632580"/>
      <w:bookmarkStart w:id="271" w:name="_Toc144974530"/>
      <w:bookmarkStart w:id="272" w:name="_Toc498955035"/>
      <w:bookmarkStart w:id="273" w:name="_Toc152045562"/>
      <w:bookmarkStart w:id="274" w:name="_Toc247085720"/>
      <w:bookmarkStart w:id="275" w:name="_Toc152042338"/>
      <w:bookmarkStart w:id="276" w:name="_Toc246996206"/>
      <w:r>
        <w:rPr>
          <w:rFonts w:hint="eastAsia" w:ascii="仿宋" w:hAnsi="仿宋" w:eastAsia="仿宋" w:cs="仿宋"/>
          <w:color w:val="auto"/>
          <w:highlight w:val="none"/>
        </w:rPr>
        <w:t>（一）开标时间和地点</w:t>
      </w:r>
      <w:bookmarkEnd w:id="259"/>
      <w:bookmarkEnd w:id="260"/>
      <w:bookmarkEnd w:id="261"/>
      <w:bookmarkEnd w:id="262"/>
      <w:bookmarkEnd w:id="263"/>
      <w:bookmarkEnd w:id="264"/>
      <w:bookmarkEnd w:id="265"/>
      <w:bookmarkEnd w:id="266"/>
      <w:bookmarkEnd w:id="26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采购人在投标人须知前附表规定的开标时间和投标人须知前附表规定的地点公开开标，并邀请所有投标人的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或其委托代理人准时参加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并邀请所有投标人的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（或其委托代理人）进入钉钉直播群开标。</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（二）开标程序</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1.具体开标程序详见投标人须知前附表。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77" w:name="_Toc444093633"/>
      <w:bookmarkStart w:id="278" w:name="_Toc498955034"/>
      <w:r>
        <w:rPr>
          <w:rFonts w:hint="eastAsia" w:ascii="仿宋" w:hAnsi="仿宋" w:eastAsia="仿宋" w:cs="仿宋"/>
          <w:color w:val="auto"/>
          <w:sz w:val="24"/>
          <w:highlight w:val="none"/>
        </w:rPr>
        <w:t>2.若采购人宣读的内容与投标文件不符时，投标人有权在钉钉直播群中提出异议，经监标人当场核查确认之后，可重新宣读其投标文件。若投标人现场未提出异议，则认为投标人已确认采购人宣读的内容。</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（三）开标异议</w:t>
      </w:r>
      <w:bookmarkEnd w:id="277"/>
      <w:bookmarkEnd w:id="27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1.投标人对开标有异议的，应当在钉钉直播群中提出，在质疑材料上加盖单位公章后拍照上传直播群中，采购人当场作出答复，并制作记录。</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认为采购过程或中标结果使自己的合法权益受到损害的，应当在中标候选人公示期间内以书面形式向采购代理机构提出质疑，逾期提出质疑的将不予受理、答复。投标人对招标采购单位的质疑答复不满意或者招标采购单位未在规定时间内作出答复的，可以在答复期满后十五个工作日内向采购活动管理部门申请调解，也可以依据民事法律的规定，直接向法院提起民事诉讼。</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应当采用书面形式，质疑书均应明确阐述招标采购过程或中标结果中使自己合法权益受到损害的实质性内容，提供相关事实、依据和证据及其来源或线索，便于有关单位调查、答复和处理，否则，将不予受理。</w:t>
      </w:r>
    </w:p>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六、评标</w:t>
      </w:r>
      <w:bookmarkEnd w:id="268"/>
      <w:bookmarkEnd w:id="269"/>
      <w:bookmarkEnd w:id="270"/>
      <w:bookmarkEnd w:id="271"/>
      <w:bookmarkEnd w:id="272"/>
      <w:bookmarkEnd w:id="273"/>
      <w:bookmarkEnd w:id="274"/>
      <w:bookmarkEnd w:id="275"/>
      <w:bookmarkEnd w:id="276"/>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（一）组建评标委员会</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1.评标由采购人依法组建的评标委员会负责。评标委员会由采购人有关技术、经济等方面的专家组成。</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2.评标委员会成员有下列情形之一的，应当回避：</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（1）参加采购活动前三年内，与供应商存在劳动关系，或者担任过供应商的董事、监事，或者是供应商的控股股东或实际控制人；</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（2）与供应商的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或者负责人有夫妻、直系血亲、三代以内旁系血亲或者近姻亲关系；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（3）与供应商有其他可能影响投标活动公平、公正进行的关系。</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（4）评审专家发现本人与参加采购活动的供应商有利害关系的，或者已参加过该项目采购文件等论证活动的，应当主动提出回避。</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（5）采购活动管理部门工作人员，不得作为评审专家参与招标项目的评审活动。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（6）采购代理机构工作人员不得参加由本机构代理的招标项目的评审。</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（7）评审专家对本单位的招标项目只能作为采购人代表参与评审活动。</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（8）曾因在招标、评标以及其他与招标投标有关活动中从事违法行为而受过行政处罚或刑事处罚的。</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3.评标过程中，评标委员会成员有回避事由、擅离职守或者因健康等原因不能继续评标的，采购人有权更换。被更换的评标委员会成员作出的评审结论无效，由更换后的评标委员会成员重新进行评审。</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（二）评标原则</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评标活动遵循公平、公正、科学和择优的原则。本项目采用不公开方式评标，评标的依据为招标采购文件和投标文件。</w:t>
      </w:r>
      <w:bookmarkStart w:id="279" w:name="_Toc498955038"/>
      <w:bookmarkStart w:id="280" w:name="_Toc444093637"/>
      <w:bookmarkStart w:id="281" w:name="_Toc247085723"/>
      <w:bookmarkStart w:id="282" w:name="_Toc246996952"/>
      <w:bookmarkStart w:id="283" w:name="_Toc179632583"/>
      <w:bookmarkStart w:id="284" w:name="_Toc144974533"/>
      <w:bookmarkStart w:id="285" w:name="_Toc246996209"/>
      <w:bookmarkStart w:id="286" w:name="_Toc152045565"/>
      <w:bookmarkStart w:id="287" w:name="_Toc152042341"/>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（三）评标</w:t>
      </w:r>
      <w:bookmarkEnd w:id="279"/>
      <w:bookmarkEnd w:id="280"/>
      <w:bookmarkEnd w:id="281"/>
      <w:bookmarkEnd w:id="282"/>
      <w:bookmarkEnd w:id="283"/>
      <w:bookmarkEnd w:id="284"/>
      <w:bookmarkEnd w:id="285"/>
      <w:bookmarkEnd w:id="286"/>
      <w:bookmarkEnd w:id="28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1.评标委员会按照第五章“评标办法”规定的方法、评审因素、标准和程序对投标文件进行评审。“评标办法”没有规定的方法、评审因素和标准，不作为评标依据。</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2.评标完成后，评标委员会应当向采购人提交书面评标报告和中标候选人名单。评标委员会推荐中标候选人的人数见投标人须知前附表。</w:t>
      </w:r>
    </w:p>
    <w:p>
      <w:pPr>
        <w:pageBreakBefore w:val="0"/>
        <w:kinsoku/>
        <w:wordWrap/>
        <w:overflowPunct/>
        <w:topLinePunct w:val="0"/>
        <w:autoSpaceDE/>
        <w:autoSpaceDN/>
        <w:bidi w:val="0"/>
        <w:adjustRightInd/>
        <w:spacing w:line="420" w:lineRule="exact"/>
        <w:ind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3.本项目评标过程实行全程录音、录像监控，投标人在评标过程中所进行的试图影响评标结果的不公正活动，可能导致其投标被拒绝。</w:t>
      </w:r>
    </w:p>
    <w:bookmarkEnd w:id="205"/>
    <w:bookmarkEnd w:id="206"/>
    <w:bookmarkEnd w:id="207"/>
    <w:bookmarkEnd w:id="208"/>
    <w:bookmarkEnd w:id="209"/>
    <w:bookmarkEnd w:id="210"/>
    <w:bookmarkEnd w:id="211"/>
    <w:bookmarkEnd w:id="212"/>
    <w:bookmarkEnd w:id="213"/>
    <w:p>
      <w:pPr>
        <w:pStyle w:val="5"/>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（一）中标结果公告</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88" w:name="_Toc246996955"/>
      <w:bookmarkStart w:id="289" w:name="_Toc152045568"/>
      <w:bookmarkStart w:id="290" w:name="_Toc246996212"/>
      <w:bookmarkStart w:id="291" w:name="_Toc144974536"/>
      <w:bookmarkStart w:id="292" w:name="_Toc152042344"/>
      <w:bookmarkStart w:id="293" w:name="_Toc179632586"/>
      <w:bookmarkStart w:id="294" w:name="_Toc247085726"/>
      <w:bookmarkStart w:id="295" w:name="_Toc444093642"/>
      <w:r>
        <w:rPr>
          <w:rFonts w:hint="eastAsia" w:ascii="仿宋" w:hAnsi="仿宋" w:eastAsia="仿宋" w:cs="仿宋"/>
          <w:color w:val="auto"/>
          <w:sz w:val="24"/>
          <w:highlight w:val="none"/>
        </w:rPr>
        <w:t>1.采购人在收到评标报告之日起2日个工作日内，按照投标人须知前附表规定的公示媒介和期限公示中标候选人，公示期不得少于1个工作日。</w:t>
      </w:r>
    </w:p>
    <w:p>
      <w:pPr>
        <w:pageBreakBefore w:val="0"/>
        <w:tabs>
          <w:tab w:val="left" w:pos="8931"/>
        </w:tabs>
        <w:kinsoku/>
        <w:wordWrap/>
        <w:overflowPunct/>
        <w:topLinePunct w:val="0"/>
        <w:autoSpaceDE/>
        <w:autoSpaceDN/>
        <w:bidi w:val="0"/>
        <w:spacing w:line="42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标结果公告内容包括采购人及其委托的采购代理机构的名称、地址、联系方式，项目名称，中标人名称、地址和中标金额，主要中标标的的名称、规格型号、数量、单价、服务要求，中标公告期限以及评审专家名单。</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6" w:name="_Toc444093641"/>
      <w:bookmarkStart w:id="297" w:name="_Toc498955041"/>
      <w:r>
        <w:rPr>
          <w:rFonts w:hint="eastAsia" w:ascii="仿宋" w:hAnsi="仿宋" w:eastAsia="仿宋" w:cs="仿宋"/>
          <w:color w:val="auto"/>
          <w:highlight w:val="none"/>
        </w:rPr>
        <w:t>（二）评标结果异议</w:t>
      </w:r>
      <w:bookmarkEnd w:id="296"/>
      <w:bookmarkEnd w:id="29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1.投标人或者其他利害关系人对评标结果有异议的，应当在中标结果公告期限内提出。采购人将在收到异议之日起7个工作日内作出答复；作出答复前，将暂停招标。逾期提出质疑的将不予受理、答复。</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2.若投标人或其他利害关系人未在中标结果公告期限时间内提出质疑的，视为默认招标采购文件或评标结果。</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298" w:name="_Toc498955042"/>
      <w:r>
        <w:rPr>
          <w:rFonts w:hint="eastAsia" w:ascii="仿宋" w:hAnsi="仿宋" w:eastAsia="仿宋" w:cs="仿宋"/>
          <w:color w:val="auto"/>
          <w:highlight w:val="none"/>
        </w:rPr>
        <w:t>（三）中标候选人履约能力审查</w:t>
      </w:r>
      <w:bookmarkEnd w:id="288"/>
      <w:bookmarkEnd w:id="289"/>
      <w:bookmarkEnd w:id="290"/>
      <w:bookmarkEnd w:id="291"/>
      <w:bookmarkEnd w:id="292"/>
      <w:bookmarkEnd w:id="293"/>
      <w:bookmarkEnd w:id="294"/>
      <w:bookmarkEnd w:id="295"/>
      <w:bookmarkEnd w:id="29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bookmarkStart w:id="299" w:name="_Toc246996956"/>
      <w:bookmarkStart w:id="300" w:name="_Toc246996213"/>
      <w:bookmarkStart w:id="301" w:name="_Toc152042345"/>
      <w:bookmarkStart w:id="302" w:name="_Toc179632587"/>
      <w:bookmarkStart w:id="303" w:name="_Toc444093643"/>
      <w:bookmarkStart w:id="304" w:name="_Toc144974537"/>
      <w:bookmarkStart w:id="305" w:name="_Toc152045569"/>
      <w:bookmarkStart w:id="306" w:name="_Toc247085727"/>
      <w:r>
        <w:rPr>
          <w:rFonts w:hint="eastAsia" w:ascii="仿宋" w:hAnsi="仿宋" w:eastAsia="仿宋" w:cs="仿宋"/>
          <w:color w:val="auto"/>
          <w:sz w:val="24"/>
          <w:highlight w:val="none"/>
        </w:rPr>
        <w:t>中标候选人的经营、财务状况发生较大变化或存在违法行为，采购人认为可能影响其履约能力的，将在发出中标通知书前提请原评标委员会按照招标采购文件规定的标准和方法进行审查确认。</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7" w:name="_Toc498955043"/>
      <w:r>
        <w:rPr>
          <w:rFonts w:hint="eastAsia" w:ascii="仿宋" w:hAnsi="仿宋" w:eastAsia="仿宋" w:cs="仿宋"/>
          <w:color w:val="auto"/>
          <w:highlight w:val="none"/>
        </w:rPr>
        <w:t>（四）定标</w:t>
      </w:r>
      <w:bookmarkEnd w:id="307"/>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按照投标人须知前附表的规定，采购人或采购人委托的评标委员会依法确定中标人。</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8" w:name="_Toc498955044"/>
      <w:r>
        <w:rPr>
          <w:rFonts w:hint="eastAsia" w:ascii="仿宋" w:hAnsi="仿宋" w:eastAsia="仿宋" w:cs="仿宋"/>
          <w:color w:val="auto"/>
          <w:highlight w:val="none"/>
        </w:rPr>
        <w:t>（五）中标通知</w:t>
      </w:r>
      <w:bookmarkEnd w:id="308"/>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在本章规定的投标有效期内，采购人以书面形式向中标人发出中标通知书。</w:t>
      </w:r>
    </w:p>
    <w:p>
      <w:pPr>
        <w:pStyle w:val="6"/>
        <w:pageBreakBefore w:val="0"/>
        <w:kinsoku/>
        <w:wordWrap/>
        <w:overflowPunct/>
        <w:topLinePunct w:val="0"/>
        <w:autoSpaceDE/>
        <w:autoSpaceDN/>
        <w:bidi w:val="0"/>
        <w:spacing w:line="420" w:lineRule="exact"/>
        <w:ind w:firstLine="562" w:firstLineChars="200"/>
        <w:textAlignment w:val="auto"/>
        <w:rPr>
          <w:rFonts w:hint="eastAsia" w:ascii="仿宋" w:hAnsi="仿宋" w:eastAsia="仿宋" w:cs="仿宋"/>
          <w:color w:val="auto"/>
          <w:highlight w:val="none"/>
        </w:rPr>
      </w:pPr>
      <w:bookmarkStart w:id="309" w:name="_Toc498955046"/>
      <w:r>
        <w:rPr>
          <w:rFonts w:hint="eastAsia" w:ascii="仿宋" w:hAnsi="仿宋" w:eastAsia="仿宋" w:cs="仿宋"/>
          <w:color w:val="auto"/>
          <w:highlight w:val="none"/>
        </w:rPr>
        <w:t>（六）履约保证金</w:t>
      </w:r>
      <w:bookmarkEnd w:id="299"/>
      <w:bookmarkEnd w:id="300"/>
      <w:bookmarkEnd w:id="301"/>
      <w:bookmarkEnd w:id="302"/>
      <w:bookmarkEnd w:id="303"/>
      <w:bookmarkEnd w:id="304"/>
      <w:bookmarkEnd w:id="305"/>
      <w:bookmarkEnd w:id="306"/>
      <w:bookmarkEnd w:id="309"/>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应按投标人须知前附表规定的担保形式、金额和招标采购文件第四章“合同条款及格式”规定的或者事先经过采购人书面认可的履约保证金形式向采购人提交履约保证金。联合体中标的，其履约保证金以联合体各方或者联合体中牵头人的名义提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2.中标人不能按本章要求提交履约保证金的，视为放弃中标，中标人应当对采购人的损失予以赔偿。</w:t>
      </w:r>
      <w:bookmarkStart w:id="310" w:name="_Toc179632588"/>
      <w:bookmarkStart w:id="311" w:name="_Toc444093644"/>
      <w:bookmarkStart w:id="312" w:name="_Toc144974538"/>
      <w:bookmarkStart w:id="313" w:name="_Toc247085728"/>
      <w:bookmarkStart w:id="314" w:name="_Toc152042346"/>
      <w:bookmarkStart w:id="315" w:name="_Toc152045570"/>
      <w:bookmarkStart w:id="316" w:name="_Toc246996214"/>
      <w:bookmarkStart w:id="317" w:name="_Toc498955047"/>
      <w:bookmarkStart w:id="318" w:name="_Toc246996957"/>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（七）签订合同</w:t>
      </w:r>
      <w:bookmarkEnd w:id="310"/>
      <w:bookmarkEnd w:id="311"/>
      <w:bookmarkEnd w:id="312"/>
      <w:bookmarkEnd w:id="313"/>
      <w:bookmarkEnd w:id="314"/>
      <w:bookmarkEnd w:id="315"/>
      <w:bookmarkEnd w:id="316"/>
      <w:bookmarkEnd w:id="317"/>
      <w:bookmarkEnd w:id="318"/>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i/>
          <w:iCs/>
          <w:color w:val="auto"/>
          <w:sz w:val="24"/>
          <w:highlight w:val="none"/>
          <w:u w:val="single"/>
        </w:rPr>
      </w:pPr>
      <w:r>
        <w:rPr>
          <w:rFonts w:hint="eastAsia" w:ascii="仿宋" w:hAnsi="仿宋" w:eastAsia="仿宋" w:cs="仿宋"/>
          <w:color w:val="auto"/>
          <w:sz w:val="24"/>
          <w:highlight w:val="none"/>
        </w:rPr>
        <w:t>1.采购人和中标人应当在中标通知书发出之日起</w:t>
      </w:r>
      <w:r>
        <w:rPr>
          <w:rFonts w:hint="eastAsia" w:ascii="仿宋" w:hAnsi="仿宋" w:eastAsia="仿宋" w:cs="仿宋"/>
          <w:color w:val="auto"/>
          <w:sz w:val="24"/>
          <w:highlight w:val="none"/>
          <w:lang w:eastAsia="zh-CN"/>
        </w:rPr>
        <w:t>20日历天</w:t>
      </w:r>
      <w:r>
        <w:rPr>
          <w:rFonts w:hint="eastAsia" w:ascii="仿宋" w:hAnsi="仿宋" w:eastAsia="仿宋" w:cs="仿宋"/>
          <w:color w:val="auto"/>
          <w:sz w:val="24"/>
          <w:highlight w:val="none"/>
        </w:rPr>
        <w:t>内，根据招标采购文件和中标人的投标文件订立书面合同，所签订的合同不得对招标文件确定的事项和中标人投标文件作实质性修改。采购人不得向中标人提出任何不合理的要求作为签订合同的条件。中标人无正当理由拒签合同，在签订合同时向采购人提出附加条件，或者不按照招标采购文件要求提交履约保证金的，采购人有权取消其中标资格，给采购人造成损失的，中标人应当对采购人的损失予以赔偿。并上报采购活动管理部门列入黑名单、失信名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2.联合体中标的，联合体各方应当共同与采购人签订合同，就中标项目向采购人承担连带责任。</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在本招标项目的竞争中应自觉遵循诚实信用原则，不得存在腐败、欺诈或其他违背诚信原则的行为。如果采购人有证据表明投标人在本招标项目的竞争中存在腐败、欺诈、失信记录或其他严重违背诚信原则的行为，则将拒绝其投标，或中标无效。</w:t>
      </w:r>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（八）验收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2.采购人可以邀请参加本项目的其他投标人或者第三方机构参与验收。参与验收的投标人或者第三方机构的意见作为验收书的参考资料一并存档。</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7"/>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采购活动管理部门。</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八、纪律和监督</w:t>
      </w:r>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（一）对采购人的纪律要求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采购人不得泄露招标投标活动中应当保密的情况和资料，不得与投标人串通损害国家利益、社会公共利益或者他人合法权益。</w:t>
      </w:r>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（二）对投标人的纪律要求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（三）对评标委员会成员的纪律要求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五章“评标办法”没有规定的评审因素和标准进行评标。</w:t>
      </w:r>
    </w:p>
    <w:p>
      <w:pPr>
        <w:pStyle w:val="6"/>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（四）对与评标活动有关的工作人员的纪律要求</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九、采购方式改变</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（一）在符合资格的投标人不足规定数量或投标人提供的货物（服务）及其报价、售后服务承诺等不能满足采购人要求，以及招标采购过程中出现其他不正常情况时，采购人将需要重新选择合适的方式进行采购。</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（二）出现下列情形之一的，应予废标：</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1.投标截止时间止，投标人少于三家的；</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2.符合专业条件的供应商或者对招标文件作实质响应的供应商不足三家的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3.出现影响采购公正的违法、违规行为的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4.投标人的报价均超过了采购预算，采购人不能支付的</w:t>
      </w:r>
      <w:r>
        <w:rPr>
          <w:rFonts w:hint="eastAsia" w:ascii="仿宋" w:hAnsi="仿宋" w:eastAsia="仿宋" w:cs="仿宋"/>
          <w:color w:val="auto"/>
          <w:highlight w:val="none"/>
          <w:lang w:eastAsia="zh-CN"/>
        </w:rPr>
        <w:t>；</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5.因重大变故，采购任务取消的；</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6.法律、法规规定应当重新招标的其他情形。</w:t>
      </w:r>
    </w:p>
    <w:p>
      <w:pPr>
        <w:pStyle w:val="5"/>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十、询问、质疑、调解</w:t>
      </w:r>
    </w:p>
    <w:p>
      <w:pPr>
        <w:pStyle w:val="6"/>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（一）供应商询问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可以就采购文件中特定资格条件、采购需求、评分办法及采购过程中有关现场考察或开标前答疑会事项向采购人提出询问，采购人将对此作出答复；供应商可以就采购活动中的其他事项向采购代理机构提出询问，采购代理机构将对此作出答复。答复的内容不得涉及商业秘密。</w:t>
      </w:r>
    </w:p>
    <w:p>
      <w:pPr>
        <w:pStyle w:val="6"/>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（二）供应商质疑</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2.供应商认为采购文件、采购过程和成交结果使自己的权益受到损害的，可以在中标候选人公示期内，以书面形式向采购人或者采购代理机构提出质疑，否则，采购人或者采购代理机构不予受理：</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对采购文件提出质疑的，质疑期限为自公告发布之日起7日内。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质疑期限为中标结果公告期限内。对同一采购程序环节的质疑，供应商须一次性提出。根据采购人与采购代理机构签订的委托协议的规定：对采购过程中有关现场考察或开标前答疑会事项提出的质疑，原则上由采购人负责答复；对采购过程中其他事项提出的质疑，原则上由采购代理机构负责答复。</w:t>
      </w:r>
    </w:p>
    <w:p>
      <w:pPr>
        <w:pStyle w:val="1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（3）对采购结果提出质疑的，质疑期限为中标结果公告期限内。对采购结果提出质疑的，采购代理机构负责答复。</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3.供应商提出质疑应当提交质疑函和必要的相关材料。质疑函应当包括下列内容：</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（2）质疑项目的名称；</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（4）事实依据；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供应商提交的质疑函需一式三份。应当由</w:t>
      </w:r>
      <w:r>
        <w:rPr>
          <w:rFonts w:hint="eastAsia" w:ascii="仿宋" w:hAnsi="仿宋" w:eastAsia="仿宋" w:cs="仿宋"/>
          <w:color w:val="auto"/>
          <w:highlight w:val="none"/>
          <w:lang w:eastAsia="zh-CN"/>
        </w:rPr>
        <w:t>法定代表人</w:t>
      </w:r>
      <w:r>
        <w:rPr>
          <w:rFonts w:hint="eastAsia" w:ascii="仿宋" w:hAnsi="仿宋" w:eastAsia="仿宋" w:cs="仿宋"/>
          <w:color w:val="auto"/>
          <w:highlight w:val="none"/>
        </w:rPr>
        <w:t>、主要负责人，或者其授权代表签字或者盖章，并加盖公章。</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4.采购人或者采购代理机构应当在收到供应商的书面质疑后七个工作日内作出答复，并以书面形式通知质疑供应商和其他与质疑处理结果有利害关系的采购当事人，但答复的内容不得涉及商业秘密。</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6"/>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（三）调解</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2.供应商调解的事项不得超出已质疑事项的范围，基于质疑答复内容提出的调解事项除外。</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3.供应商应当有明确的调解请求和必要的佐证材料。</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4.以联合体形式参加投标活动的，其应当由组成联合体的所有供应商共同提出调解。</w:t>
      </w:r>
    </w:p>
    <w:p>
      <w:pPr>
        <w:pStyle w:val="5"/>
        <w:pageBreakBefore w:val="0"/>
        <w:widowControl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十一、需要补充的其他内容</w:t>
      </w:r>
    </w:p>
    <w:p>
      <w:pPr>
        <w:pStyle w:val="17"/>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highlight w:val="none"/>
        </w:rPr>
        <w:t>需要补充的其他内容：见投标人须知前附表。</w:t>
      </w:r>
    </w:p>
    <w:bookmarkEnd w:id="214"/>
    <w:bookmarkEnd w:id="215"/>
    <w:bookmarkEnd w:id="216"/>
    <w:bookmarkEnd w:id="217"/>
    <w:bookmarkEnd w:id="218"/>
    <w:bookmarkEnd w:id="219"/>
    <w:bookmarkEnd w:id="220"/>
    <w:bookmarkEnd w:id="221"/>
    <w:bookmarkEnd w:id="222"/>
    <w:p>
      <w:pPr>
        <w:pStyle w:val="4"/>
        <w:pageBreakBefore w:val="0"/>
        <w:widowControl w:val="0"/>
        <w:numPr>
          <w:ilvl w:val="0"/>
          <w:numId w:val="5"/>
        </w:numPr>
        <w:kinsoku/>
        <w:wordWrap/>
        <w:overflowPunct/>
        <w:topLinePunct w:val="0"/>
        <w:autoSpaceDE/>
        <w:autoSpaceDN/>
        <w:bidi w:val="0"/>
        <w:spacing w:line="480" w:lineRule="exact"/>
        <w:jc w:val="center"/>
        <w:textAlignment w:val="auto"/>
        <w:rPr>
          <w:rFonts w:hint="eastAsia" w:ascii="仿宋" w:hAnsi="仿宋" w:eastAsia="仿宋" w:cs="仿宋"/>
          <w:color w:val="auto"/>
          <w:highlight w:val="none"/>
        </w:rPr>
      </w:pPr>
      <w:r>
        <w:rPr>
          <w:rFonts w:hint="eastAsia" w:ascii="仿宋" w:hAnsi="仿宋" w:eastAsia="仿宋" w:cs="仿宋"/>
          <w:bCs/>
          <w:color w:val="auto"/>
          <w:sz w:val="36"/>
          <w:szCs w:val="36"/>
          <w:highlight w:val="none"/>
        </w:rPr>
        <w:br w:type="page"/>
      </w:r>
      <w:bookmarkStart w:id="319" w:name="_Toc29891"/>
      <w:r>
        <w:rPr>
          <w:rFonts w:hint="eastAsia" w:ascii="仿宋" w:hAnsi="仿宋" w:eastAsia="仿宋" w:cs="仿宋"/>
          <w:color w:val="auto"/>
          <w:highlight w:val="none"/>
        </w:rPr>
        <w:t xml:space="preserve"> 招标采购需求</w:t>
      </w:r>
      <w:bookmarkEnd w:id="319"/>
    </w:p>
    <w:p>
      <w:pPr>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u w:val="single"/>
        </w:rPr>
        <w:t>如有带“</w:t>
      </w:r>
      <w:r>
        <w:rPr>
          <w:rFonts w:hint="eastAsia" w:ascii="仿宋" w:hAnsi="仿宋" w:eastAsia="仿宋" w:cs="仿宋"/>
          <w:b/>
          <w:kern w:val="0"/>
          <w:sz w:val="24"/>
          <w:u w:val="single"/>
        </w:rPr>
        <w:t>★</w:t>
      </w:r>
      <w:r>
        <w:rPr>
          <w:rFonts w:hint="eastAsia" w:ascii="仿宋" w:hAnsi="仿宋" w:eastAsia="仿宋" w:cs="仿宋"/>
          <w:b/>
          <w:sz w:val="24"/>
          <w:u w:val="single"/>
        </w:rPr>
        <w:t>”符号部分为必须满足，否则视为无效投标。</w:t>
      </w:r>
      <w:r>
        <w:rPr>
          <w:rFonts w:hint="eastAsia" w:ascii="仿宋" w:hAnsi="仿宋" w:eastAsia="仿宋" w:cs="仿宋"/>
          <w:b/>
          <w:sz w:val="24"/>
        </w:rPr>
        <w:t>）</w:t>
      </w:r>
    </w:p>
    <w:p>
      <w:pPr>
        <w:numPr>
          <w:ilvl w:val="0"/>
          <w:numId w:val="0"/>
        </w:numPr>
        <w:rPr>
          <w:rFonts w:hint="eastAsia"/>
        </w:rPr>
      </w:pPr>
    </w:p>
    <w:p>
      <w:pPr>
        <w:pStyle w:val="80"/>
        <w:ind w:firstLine="602" w:firstLineChars="200"/>
        <w:rPr>
          <w:rFonts w:hint="eastAsia" w:ascii="仿宋" w:hAnsi="仿宋" w:eastAsia="仿宋" w:cs="仿宋"/>
          <w:b/>
          <w:color w:val="000000" w:themeColor="text1"/>
          <w:sz w:val="30"/>
          <w:szCs w:val="30"/>
          <w:lang w:eastAsia="zh-CN"/>
          <w14:textFill>
            <w14:solidFill>
              <w14:schemeClr w14:val="tx1"/>
            </w14:solidFill>
          </w14:textFill>
        </w:rPr>
      </w:pPr>
      <w:bookmarkStart w:id="320" w:name="_Toc7345"/>
      <w:r>
        <w:rPr>
          <w:rFonts w:hint="eastAsia" w:ascii="仿宋" w:hAnsi="仿宋" w:eastAsia="仿宋" w:cs="仿宋"/>
          <w:b/>
          <w:color w:val="000000" w:themeColor="text1"/>
          <w:sz w:val="30"/>
          <w:szCs w:val="30"/>
          <w:lang w:val="en-US" w:eastAsia="zh-CN"/>
          <w14:textFill>
            <w14:solidFill>
              <w14:schemeClr w14:val="tx1"/>
            </w14:solidFill>
          </w14:textFill>
        </w:rPr>
        <w:t>一、概述</w:t>
      </w:r>
    </w:p>
    <w:p>
      <w:pPr>
        <w:widowControl/>
        <w:tabs>
          <w:tab w:val="left" w:pos="540"/>
        </w:tabs>
        <w:snapToGrid w:val="0"/>
        <w:spacing w:line="360" w:lineRule="auto"/>
        <w:ind w:firstLine="480" w:firstLineChars="200"/>
        <w:jc w:val="left"/>
        <w:rPr>
          <w:rFonts w:hint="eastAsia" w:ascii="仿宋" w:hAnsi="仿宋" w:eastAsia="仿宋" w:cs="仿宋"/>
          <w:sz w:val="24"/>
          <w:szCs w:val="24"/>
        </w:rPr>
      </w:pPr>
      <w:bookmarkStart w:id="321" w:name="_Toc21603411"/>
      <w:r>
        <w:rPr>
          <w:rFonts w:hint="eastAsia" w:ascii="仿宋" w:hAnsi="仿宋" w:eastAsia="仿宋" w:cs="仿宋"/>
          <w:sz w:val="24"/>
          <w:szCs w:val="24"/>
        </w:rPr>
        <w:t>1.1此份招标内容及要求是招标文件的一部分，包括所有条款的具体说明及技术要求，投标供应商需在各自技术和商务占优势的基础上对本次采购服务进行报价。</w:t>
      </w:r>
    </w:p>
    <w:p>
      <w:pPr>
        <w:widowControl/>
        <w:tabs>
          <w:tab w:val="left" w:pos="540"/>
        </w:tabs>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w:t>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sz w:val="24"/>
          <w:szCs w:val="24"/>
        </w:rPr>
        <w:t>投标供应商必须完成采购内容和合同（基本要求、价格和服务）规定义务，不允许只对部分内容进行报价。</w:t>
      </w:r>
    </w:p>
    <w:p>
      <w:pPr>
        <w:widowControl/>
        <w:tabs>
          <w:tab w:val="left" w:pos="540"/>
        </w:tabs>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1.3本次项目服务的标准、规范，应符合国家有关条例及规范。</w:t>
      </w:r>
    </w:p>
    <w:p>
      <w:pPr>
        <w:spacing w:line="400" w:lineRule="exact"/>
        <w:ind w:firstLine="662" w:firstLineChars="276"/>
        <w:rPr>
          <w:rFonts w:hint="eastAsia"/>
          <w:lang w:val="en-US" w:eastAsia="zh-CN"/>
        </w:rPr>
      </w:pPr>
      <w:r>
        <w:rPr>
          <w:rFonts w:hint="eastAsia" w:ascii="仿宋" w:hAnsi="仿宋" w:eastAsia="仿宋" w:cs="仿宋"/>
          <w:sz w:val="24"/>
          <w:szCs w:val="24"/>
        </w:rPr>
        <w:t>1.4在投标之前，投标供应商须仔细阅读招标文件，如发现有任何疑问、冲突或问题，投标供应商须在答疑截止时间前以书面形式向采购机构提出。逾期采购机构不再作答复，有关风险及责任由投标供应商自行承担。</w:t>
      </w:r>
    </w:p>
    <w:bookmarkEnd w:id="321"/>
    <w:p>
      <w:pPr>
        <w:pStyle w:val="80"/>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二</w:t>
      </w:r>
      <w:r>
        <w:rPr>
          <w:rFonts w:hint="eastAsia" w:ascii="仿宋" w:hAnsi="仿宋" w:eastAsia="仿宋" w:cs="仿宋"/>
          <w:b/>
          <w:color w:val="000000" w:themeColor="text1"/>
          <w:sz w:val="30"/>
          <w:szCs w:val="30"/>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采购需求</w:t>
      </w:r>
    </w:p>
    <w:p>
      <w:pPr>
        <w:pStyle w:val="80"/>
        <w:ind w:firstLine="0" w:firstLineChars="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一标段</w:t>
      </w:r>
      <w:r>
        <w:rPr>
          <w:rFonts w:hint="eastAsia" w:ascii="仿宋" w:hAnsi="仿宋" w:eastAsia="仿宋" w:cs="仿宋"/>
          <w:b/>
          <w:color w:val="000000" w:themeColor="text1"/>
          <w:sz w:val="30"/>
          <w:szCs w:val="30"/>
          <w14:textFill>
            <w14:solidFill>
              <w14:schemeClr w14:val="tx1"/>
            </w14:solidFill>
          </w14:textFill>
        </w:rPr>
        <w:t>技术要求和配置：</w:t>
      </w:r>
    </w:p>
    <w:tbl>
      <w:tblPr>
        <w:tblStyle w:val="30"/>
        <w:tblW w:w="889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137"/>
        <w:gridCol w:w="57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3" w:type="dxa"/>
            <w:vAlign w:val="center"/>
          </w:tcPr>
          <w:p>
            <w:pPr>
              <w:jc w:val="right"/>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序号</w:t>
            </w:r>
          </w:p>
        </w:tc>
        <w:tc>
          <w:tcPr>
            <w:tcW w:w="2137" w:type="dxa"/>
            <w:vAlign w:val="center"/>
          </w:tcPr>
          <w:p>
            <w:pPr>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项目</w:t>
            </w:r>
          </w:p>
        </w:tc>
        <w:tc>
          <w:tcPr>
            <w:tcW w:w="5793" w:type="dxa"/>
            <w:vAlign w:val="center"/>
          </w:tcPr>
          <w:p>
            <w:pPr>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要求或计量单位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63" w:type="dxa"/>
            <w:vAlign w:val="center"/>
          </w:tcPr>
          <w:p>
            <w:pPr>
              <w:jc w:val="right"/>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（一）</w:t>
            </w:r>
          </w:p>
        </w:tc>
        <w:tc>
          <w:tcPr>
            <w:tcW w:w="2137" w:type="dxa"/>
            <w:vAlign w:val="center"/>
          </w:tcPr>
          <w:p>
            <w:pPr>
              <w:textAlignment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bidi="ar"/>
              </w:rPr>
              <w:t>皮卡防撞车</w:t>
            </w:r>
          </w:p>
        </w:tc>
        <w:tc>
          <w:tcPr>
            <w:tcW w:w="5793" w:type="dxa"/>
            <w:vAlign w:val="center"/>
          </w:tcPr>
          <w:p>
            <w:pPr>
              <w:rPr>
                <w:rFonts w:hint="eastAsia" w:ascii="仿宋" w:hAnsi="仿宋" w:eastAsia="仿宋" w:cs="仿宋"/>
                <w:sz w:val="24"/>
                <w:szCs w:val="24"/>
                <w:lang w:bidi="ar"/>
              </w:rPr>
            </w:pPr>
            <w:r>
              <w:rPr>
                <w:rFonts w:hint="eastAsia" w:ascii="仿宋" w:hAnsi="仿宋" w:eastAsia="仿宋" w:cs="仿宋"/>
                <w:b/>
                <w:bCs/>
                <w:kern w:val="0"/>
                <w:sz w:val="24"/>
                <w:szCs w:val="24"/>
                <w:lang w:bidi="ar"/>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37" w:type="dxa"/>
            <w:vAlign w:val="center"/>
          </w:tcPr>
          <w:p>
            <w:pP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整车要求</w:t>
            </w:r>
          </w:p>
        </w:tc>
        <w:tc>
          <w:tcPr>
            <w:tcW w:w="5793"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国六车辆公告，</w:t>
            </w:r>
            <w:r>
              <w:rPr>
                <w:rFonts w:hint="eastAsia" w:ascii="仿宋" w:hAnsi="仿宋" w:eastAsia="仿宋" w:cs="仿宋"/>
                <w:bCs/>
                <w:kern w:val="0"/>
                <w:sz w:val="24"/>
                <w:szCs w:val="24"/>
                <w:shd w:val="clear" w:color="auto" w:fill="FFFFFF"/>
              </w:rPr>
              <w:t>投标车辆符合国家《机动车运行安全技术条件》，产品为国家发改委或工业和信息化部《车辆生产企业及产品公告》产品。产品具有3C认证。</w:t>
            </w:r>
            <w:r>
              <w:rPr>
                <w:rFonts w:hint="eastAsia" w:ascii="仿宋" w:hAnsi="仿宋" w:eastAsia="仿宋" w:cs="仿宋"/>
                <w:bCs/>
                <w:kern w:val="0"/>
                <w:sz w:val="24"/>
                <w:szCs w:val="24"/>
                <w:shd w:val="clear" w:color="auto" w:fill="FFFFFF"/>
                <w:lang w:eastAsia="zh-CN"/>
              </w:rPr>
              <w:t>（</w:t>
            </w:r>
            <w:r>
              <w:rPr>
                <w:rFonts w:hint="eastAsia" w:ascii="仿宋" w:hAnsi="仿宋" w:eastAsia="仿宋" w:cs="仿宋"/>
                <w:bCs/>
                <w:kern w:val="0"/>
                <w:sz w:val="24"/>
                <w:szCs w:val="24"/>
                <w:shd w:val="clear" w:color="auto" w:fill="FFFFFF"/>
                <w:lang w:val="en-US" w:eastAsia="zh-CN"/>
              </w:rPr>
              <w:t>附公告图</w:t>
            </w:r>
            <w:r>
              <w:rPr>
                <w:rFonts w:hint="eastAsia" w:ascii="仿宋" w:hAnsi="仿宋" w:eastAsia="仿宋" w:cs="仿宋"/>
                <w:bCs/>
                <w:kern w:val="0"/>
                <w:sz w:val="24"/>
                <w:szCs w:val="24"/>
                <w:shd w:val="clear" w:color="auto" w:fill="FFFFFF"/>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37" w:type="dxa"/>
            <w:vAlign w:val="center"/>
          </w:tcPr>
          <w:p>
            <w:pPr>
              <w:rPr>
                <w:rFonts w:hint="eastAsia" w:ascii="仿宋" w:hAnsi="仿宋" w:eastAsia="仿宋" w:cs="仿宋"/>
                <w:sz w:val="24"/>
                <w:szCs w:val="24"/>
                <w:lang w:eastAsia="zh-Hans"/>
              </w:rPr>
            </w:pPr>
            <w:r>
              <w:rPr>
                <w:rFonts w:hint="eastAsia" w:ascii="仿宋" w:hAnsi="仿宋" w:eastAsia="仿宋" w:cs="仿宋"/>
                <w:sz w:val="24"/>
                <w:szCs w:val="24"/>
              </w:rPr>
              <w:t>底盘及驾驶室</w:t>
            </w:r>
          </w:p>
        </w:tc>
        <w:tc>
          <w:tcPr>
            <w:tcW w:w="5793" w:type="dxa"/>
            <w:vAlign w:val="center"/>
          </w:tcPr>
          <w:p>
            <w:pPr>
              <w:rPr>
                <w:rFonts w:hint="eastAsia" w:ascii="仿宋" w:hAnsi="仿宋" w:eastAsia="仿宋" w:cs="仿宋"/>
                <w:sz w:val="24"/>
                <w:szCs w:val="24"/>
                <w:lang w:eastAsia="zh-Hans"/>
              </w:rPr>
            </w:pPr>
            <w:r>
              <w:rPr>
                <w:rFonts w:hint="eastAsia" w:ascii="仿宋" w:hAnsi="仿宋" w:eastAsia="仿宋" w:cs="仿宋"/>
                <w:sz w:val="24"/>
                <w:szCs w:val="24"/>
              </w:rPr>
              <w:t>采用国内知名品牌底盘，车辆底盘需配备 ABS功能的刹车系统。双排驾驶室，配置有冷暖空调系统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发动机功率</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≥110kW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最高车速</w:t>
            </w:r>
          </w:p>
        </w:tc>
        <w:tc>
          <w:tcPr>
            <w:tcW w:w="5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轴距</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≥3125mm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整备质量</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≥2490kg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总质量</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≤2815kg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整车外形尺寸</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≥5920×2040×2650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货箱尺寸</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≥1495×1530×2490(mm)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137"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接近角</w:t>
            </w:r>
          </w:p>
        </w:tc>
        <w:tc>
          <w:tcPr>
            <w:tcW w:w="5793"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137"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离去角</w:t>
            </w:r>
          </w:p>
        </w:tc>
        <w:tc>
          <w:tcPr>
            <w:tcW w:w="5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137"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预警安全引导装置固定位置</w:t>
            </w:r>
          </w:p>
        </w:tc>
        <w:tc>
          <w:tcPr>
            <w:tcW w:w="5793"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车厢后端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137" w:type="dxa"/>
            <w:vAlign w:val="center"/>
          </w:tcPr>
          <w:p>
            <w:pPr>
              <w:rPr>
                <w:rFonts w:hint="eastAsia" w:ascii="仿宋" w:hAnsi="仿宋" w:eastAsia="仿宋" w:cs="仿宋"/>
                <w:sz w:val="24"/>
                <w:szCs w:val="24"/>
              </w:rPr>
            </w:pPr>
            <w:r>
              <w:rPr>
                <w:rFonts w:hint="eastAsia" w:ascii="仿宋" w:hAnsi="仿宋" w:eastAsia="仿宋" w:cs="仿宋"/>
                <w:bCs/>
                <w:kern w:val="0"/>
                <w:sz w:val="24"/>
                <w:szCs w:val="24"/>
                <w:shd w:val="clear" w:color="auto" w:fill="FFFFFF"/>
              </w:rPr>
              <w:t>导向灯组</w:t>
            </w:r>
          </w:p>
        </w:tc>
        <w:tc>
          <w:tcPr>
            <w:tcW w:w="5793" w:type="dxa"/>
            <w:vAlign w:val="center"/>
          </w:tcPr>
          <w:p>
            <w:pPr>
              <w:rPr>
                <w:rFonts w:hint="eastAsia" w:ascii="仿宋" w:hAnsi="仿宋" w:eastAsia="仿宋" w:cs="仿宋"/>
                <w:sz w:val="24"/>
                <w:szCs w:val="24"/>
                <w:lang w:eastAsia="zh-CN"/>
              </w:rPr>
            </w:pPr>
            <w:r>
              <w:rPr>
                <w:rFonts w:hint="eastAsia" w:ascii="仿宋" w:hAnsi="仿宋" w:eastAsia="仿宋" w:cs="仿宋"/>
                <w:bCs/>
                <w:kern w:val="0"/>
                <w:sz w:val="24"/>
                <w:szCs w:val="24"/>
                <w:shd w:val="clear" w:color="auto" w:fill="FFFFFF"/>
              </w:rPr>
              <w:t>大型电子箭头导向灯组采用14只LED导向灯固定于灯架结构上，配上驱动电源及遥控控制器，可对左、右进行导向指示，对道路车辆提供主动安全引导</w:t>
            </w:r>
            <w:r>
              <w:rPr>
                <w:rFonts w:hint="eastAsia" w:ascii="仿宋" w:hAnsi="仿宋" w:eastAsia="仿宋" w:cs="仿宋"/>
                <w:bCs/>
                <w:kern w:val="0"/>
                <w:sz w:val="24"/>
                <w:szCs w:val="24"/>
                <w:shd w:val="clear" w:color="auto" w:fill="FFFFFF"/>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翻转机构</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双变幅油缸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bCs/>
                <w:kern w:val="0"/>
                <w:sz w:val="24"/>
                <w:szCs w:val="24"/>
                <w:shd w:val="clear" w:color="auto" w:fill="FFFFFF"/>
              </w:rPr>
              <w:t>★</w:t>
            </w:r>
            <w:r>
              <w:rPr>
                <w:rFonts w:hint="eastAsia" w:ascii="仿宋" w:hAnsi="仿宋" w:eastAsia="仿宋" w:cs="仿宋"/>
                <w:sz w:val="24"/>
                <w:szCs w:val="24"/>
                <w:lang w:val="en-US" w:eastAsia="zh-CN"/>
              </w:rPr>
              <w:t>15</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防撞缓冲等级</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2000kg-70km/h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1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防撞缓冲垫结构形式</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采用铝合金全封闭整体式箱式结构外壳采用轻质铝合金板材中间填充多段铝合金薄膜蜂窝吸能材料和特制的吸能铝管。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防撞缓冲垫性能</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在碰撞过程中，防撞垫变形部位向内弯折，吸能材料和变形部件没有任何形式的向外弯折和飞溅。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18</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防撞垫升降控制</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遥控器按钮控制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19</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rPr>
              <w:t>同步灯光系统</w:t>
            </w:r>
          </w:p>
        </w:tc>
        <w:tc>
          <w:tcPr>
            <w:tcW w:w="5793" w:type="dxa"/>
            <w:vAlign w:val="center"/>
          </w:tcPr>
          <w:p>
            <w:pPr>
              <w:rPr>
                <w:rFonts w:hint="eastAsia" w:ascii="仿宋" w:hAnsi="仿宋" w:eastAsia="仿宋" w:cs="仿宋"/>
                <w:sz w:val="24"/>
                <w:szCs w:val="24"/>
              </w:rPr>
            </w:pPr>
            <w:r>
              <w:rPr>
                <w:rFonts w:hint="eastAsia" w:ascii="仿宋" w:hAnsi="仿宋" w:eastAsia="仿宋" w:cs="仿宋"/>
                <w:sz w:val="24"/>
                <w:szCs w:val="24"/>
              </w:rPr>
              <w:t>防撞缓冲垫工作过程中具备与底盘同步的灯光系统（转向灯、刹车灯、倒车灯、雾灯）</w:t>
            </w:r>
          </w:p>
        </w:tc>
      </w:tr>
    </w:tbl>
    <w:p>
      <w:pPr>
        <w:pStyle w:val="80"/>
        <w:ind w:firstLine="0" w:firstLineChars="0"/>
        <w:rPr>
          <w:rFonts w:hint="eastAsia"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i/>
          <w:iCs/>
          <w:color w:val="000000" w:themeColor="text1"/>
          <w:sz w:val="24"/>
          <w:szCs w:val="24"/>
          <w:lang w:val="en-US" w:eastAsia="zh-CN"/>
          <w14:textFill>
            <w14:solidFill>
              <w14:schemeClr w14:val="tx1"/>
            </w14:solidFill>
          </w14:textFill>
        </w:rPr>
        <w:t>注：未按《技术要求和配置》要求附（公告）图或无法体现内容的项作为负偏离处理。</w:t>
      </w:r>
    </w:p>
    <w:p>
      <w:pPr>
        <w:pStyle w:val="80"/>
        <w:ind w:firstLine="0" w:firstLineChars="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二标段</w:t>
      </w:r>
      <w:r>
        <w:rPr>
          <w:rFonts w:hint="eastAsia" w:ascii="仿宋" w:hAnsi="仿宋" w:eastAsia="仿宋" w:cs="仿宋"/>
          <w:b/>
          <w:color w:val="000000" w:themeColor="text1"/>
          <w:sz w:val="30"/>
          <w:szCs w:val="30"/>
          <w14:textFill>
            <w14:solidFill>
              <w14:schemeClr w14:val="tx1"/>
            </w14:solidFill>
          </w14:textFill>
        </w:rPr>
        <w:t>技术要求和配置：</w:t>
      </w:r>
    </w:p>
    <w:tbl>
      <w:tblPr>
        <w:tblStyle w:val="30"/>
        <w:tblW w:w="900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137"/>
        <w:gridCol w:w="57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3" w:type="dxa"/>
            <w:vAlign w:val="center"/>
          </w:tcPr>
          <w:p>
            <w:pPr>
              <w:jc w:val="right"/>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序号</w:t>
            </w:r>
          </w:p>
        </w:tc>
        <w:tc>
          <w:tcPr>
            <w:tcW w:w="2137" w:type="dxa"/>
            <w:vAlign w:val="center"/>
          </w:tcPr>
          <w:p>
            <w:pPr>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项目</w:t>
            </w:r>
          </w:p>
        </w:tc>
        <w:tc>
          <w:tcPr>
            <w:tcW w:w="5793" w:type="dxa"/>
            <w:vAlign w:val="center"/>
          </w:tcPr>
          <w:p>
            <w:pPr>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要求或计量单位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63" w:type="dxa"/>
            <w:vAlign w:val="center"/>
          </w:tcPr>
          <w:p>
            <w:pPr>
              <w:jc w:val="right"/>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（一）</w:t>
            </w:r>
          </w:p>
        </w:tc>
        <w:tc>
          <w:tcPr>
            <w:tcW w:w="2137" w:type="dxa"/>
            <w:vAlign w:val="center"/>
          </w:tcPr>
          <w:p>
            <w:pPr>
              <w:textAlignment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bidi="ar"/>
              </w:rPr>
              <w:t>墙面（隧道）清洗车</w:t>
            </w:r>
          </w:p>
        </w:tc>
        <w:tc>
          <w:tcPr>
            <w:tcW w:w="5793" w:type="dxa"/>
            <w:vAlign w:val="center"/>
          </w:tcPr>
          <w:p>
            <w:pPr>
              <w:rPr>
                <w:rFonts w:hint="eastAsia" w:ascii="仿宋" w:hAnsi="仿宋" w:eastAsia="仿宋" w:cs="仿宋"/>
                <w:sz w:val="24"/>
                <w:szCs w:val="24"/>
                <w:lang w:bidi="ar"/>
              </w:rPr>
            </w:pPr>
            <w:r>
              <w:rPr>
                <w:rFonts w:hint="eastAsia" w:ascii="仿宋" w:hAnsi="仿宋" w:eastAsia="仿宋" w:cs="仿宋"/>
                <w:b/>
                <w:bCs/>
                <w:kern w:val="0"/>
                <w:sz w:val="24"/>
                <w:szCs w:val="24"/>
                <w:lang w:bidi="ar"/>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37" w:type="dxa"/>
            <w:vAlign w:val="center"/>
          </w:tcPr>
          <w:p>
            <w:pP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底盘驱动形式</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4×2，轴距≤4500mm。</w:t>
            </w:r>
            <w:r>
              <w:rPr>
                <w:rFonts w:hint="eastAsia" w:ascii="仿宋" w:hAnsi="仿宋" w:eastAsia="仿宋" w:cs="仿宋"/>
                <w:color w:val="auto"/>
                <w:sz w:val="24"/>
                <w:highlight w:val="none"/>
              </w:rPr>
              <w:t>（附公告图说明）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37" w:type="dxa"/>
            <w:vAlign w:val="center"/>
          </w:tcPr>
          <w:p>
            <w:pPr>
              <w:rPr>
                <w:rFonts w:hint="eastAsia" w:ascii="仿宋" w:hAnsi="仿宋" w:eastAsia="仿宋" w:cs="仿宋"/>
                <w:sz w:val="24"/>
                <w:szCs w:val="24"/>
                <w:lang w:eastAsia="zh-Hans"/>
              </w:rPr>
            </w:pPr>
            <w:r>
              <w:rPr>
                <w:rFonts w:hint="eastAsia" w:ascii="仿宋" w:hAnsi="仿宋" w:eastAsia="仿宋" w:cs="仿宋"/>
                <w:color w:val="auto"/>
                <w:sz w:val="24"/>
                <w:szCs w:val="24"/>
                <w:highlight w:val="none"/>
              </w:rPr>
              <w:t>底盘发动机功率</w:t>
            </w:r>
          </w:p>
        </w:tc>
        <w:tc>
          <w:tcPr>
            <w:tcW w:w="5793" w:type="dxa"/>
            <w:vAlign w:val="center"/>
          </w:tcPr>
          <w:p>
            <w:pPr>
              <w:rPr>
                <w:rFonts w:hint="eastAsia" w:ascii="仿宋" w:hAnsi="仿宋" w:eastAsia="仿宋" w:cs="仿宋"/>
                <w:sz w:val="24"/>
                <w:szCs w:val="24"/>
                <w:lang w:eastAsia="zh-Hans"/>
              </w:rPr>
            </w:pPr>
            <w:r>
              <w:rPr>
                <w:rFonts w:hint="eastAsia" w:ascii="仿宋" w:hAnsi="仿宋" w:eastAsia="仿宋" w:cs="仿宋"/>
                <w:color w:val="auto"/>
                <w:sz w:val="24"/>
                <w:szCs w:val="24"/>
                <w:highlight w:val="none"/>
              </w:rPr>
              <w:t>≥169KW，满足国六排放标准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sz w:val="24"/>
                <w:szCs w:val="24"/>
              </w:rPr>
              <w:t>3</w:t>
            </w:r>
          </w:p>
        </w:tc>
        <w:tc>
          <w:tcPr>
            <w:tcW w:w="2137"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墙面清洗车总质量</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≥18000kg</w:t>
            </w:r>
            <w:r>
              <w:rPr>
                <w:rFonts w:hint="eastAsia" w:ascii="仿宋" w:hAnsi="仿宋" w:eastAsia="仿宋" w:cs="仿宋"/>
                <w:color w:val="auto"/>
                <w:sz w:val="24"/>
                <w:highlight w:val="none"/>
              </w:rPr>
              <w:t>（附公告图说明）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sz w:val="24"/>
                <w:szCs w:val="24"/>
              </w:rPr>
              <w:t>4</w:t>
            </w:r>
          </w:p>
        </w:tc>
        <w:tc>
          <w:tcPr>
            <w:tcW w:w="2137"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额定载质量</w:t>
            </w:r>
          </w:p>
        </w:tc>
        <w:tc>
          <w:tcPr>
            <w:tcW w:w="5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≥5700kg</w:t>
            </w:r>
            <w:r>
              <w:rPr>
                <w:rFonts w:hint="eastAsia" w:ascii="仿宋" w:hAnsi="仿宋" w:eastAsia="仿宋" w:cs="仿宋"/>
                <w:color w:val="auto"/>
                <w:sz w:val="24"/>
                <w:highlight w:val="none"/>
              </w:rPr>
              <w:t>（附公告图说明）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137"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底盘</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加装低速行走系统，作业时可实现1—5km/h速度行走</w:t>
            </w:r>
            <w:r>
              <w:rPr>
                <w:rFonts w:hint="eastAsia" w:ascii="仿宋" w:hAnsi="仿宋" w:eastAsia="仿宋" w:cs="仿宋"/>
                <w:color w:val="auto"/>
                <w:sz w:val="24"/>
                <w:highlight w:val="none"/>
              </w:rPr>
              <w:t>（附图说明）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137"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倒车系统</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配备倒车影像装置，</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观察车辆尾部状况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137"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驾驶室</w:t>
            </w:r>
          </w:p>
        </w:tc>
        <w:tc>
          <w:tcPr>
            <w:tcW w:w="5793" w:type="dxa"/>
            <w:vAlign w:val="center"/>
          </w:tcPr>
          <w:p>
            <w:pPr>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驾驶室安装激光定位指示器</w:t>
            </w:r>
            <w:r>
              <w:rPr>
                <w:rFonts w:hint="eastAsia" w:ascii="仿宋" w:hAnsi="仿宋" w:eastAsia="仿宋" w:cs="仿宋"/>
                <w:color w:val="auto"/>
                <w:sz w:val="24"/>
                <w:highlight w:val="none"/>
              </w:rPr>
              <w:t>（附图说明）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137"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驾驶室</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配备冷暖空调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9</w:t>
            </w:r>
          </w:p>
        </w:tc>
        <w:tc>
          <w:tcPr>
            <w:tcW w:w="2137" w:type="dxa"/>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驾驶室</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前端安装矩形多功能挂板</w:t>
            </w:r>
            <w:r>
              <w:rPr>
                <w:rFonts w:hint="eastAsia" w:ascii="仿宋" w:hAnsi="仿宋" w:eastAsia="仿宋" w:cs="仿宋"/>
                <w:color w:val="auto"/>
                <w:sz w:val="24"/>
                <w:highlight w:val="none"/>
              </w:rPr>
              <w:t>（附公告图说明）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10</w:t>
            </w:r>
          </w:p>
        </w:tc>
        <w:tc>
          <w:tcPr>
            <w:tcW w:w="2137" w:type="dxa"/>
            <w:vAlign w:val="center"/>
          </w:tcPr>
          <w:p>
            <w:pPr>
              <w:rPr>
                <w:rFonts w:hint="eastAsia" w:ascii="仿宋" w:hAnsi="仿宋" w:eastAsia="仿宋" w:cs="仿宋"/>
                <w:sz w:val="24"/>
                <w:szCs w:val="24"/>
                <w:lang w:val="en-US" w:eastAsia="zh-CN"/>
              </w:rPr>
            </w:pPr>
            <w:r>
              <w:rPr>
                <w:rFonts w:hint="eastAsia" w:ascii="仿宋" w:hAnsi="仿宋" w:eastAsia="仿宋" w:cs="仿宋"/>
                <w:bCs/>
                <w:kern w:val="0"/>
                <w:sz w:val="24"/>
                <w:szCs w:val="24"/>
                <w:shd w:val="clear" w:color="auto" w:fill="FFFFFF"/>
                <w:lang w:val="en-US" w:eastAsia="zh-CN"/>
              </w:rPr>
              <w:t>车辆总长</w:t>
            </w:r>
          </w:p>
        </w:tc>
        <w:tc>
          <w:tcPr>
            <w:tcW w:w="5793" w:type="dxa"/>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rPr>
              <w:t>≤9100mm</w:t>
            </w:r>
            <w:r>
              <w:rPr>
                <w:rFonts w:hint="eastAsia" w:ascii="仿宋" w:hAnsi="仿宋" w:eastAsia="仿宋" w:cs="仿宋"/>
                <w:color w:val="auto"/>
                <w:sz w:val="24"/>
                <w:highlight w:val="none"/>
              </w:rPr>
              <w:t>（附公告图说明）</w:t>
            </w:r>
          </w:p>
        </w:tc>
      </w:tr>
    </w:tbl>
    <w:tbl>
      <w:tblPr>
        <w:tblStyle w:val="31"/>
        <w:tblW w:w="889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before="24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：墙面清洗系统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1.清洗高度：0.2m－6m（驻车地面计起）。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2.单向行驶时，可实现左侧或右侧墙面清洗。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3.可跨越宽度≥1.5m人行道面对墙壁进行清洗作业。（附作业示意图）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4.★清洗系统采用辅助柴油发动机提供动力，辅助发动机功率≥36kw，采用康明斯发动机或更优，满足国四排放要求。（附图说明）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5.★底盘驾驶室与清洗刷水箱之间安装中置操作室，操作室配备空调。（附图说明）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6.操作室和驾驶室之间安装双向双工对讲系统。（附图说明）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7.水箱容积≥6000L，不锈钢材质制作，板材厚度≥3mm。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8.采用进口高压水泵，并设有缺水报警功能。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9.墙面清洗刷基座安装于车辆最尾部。（附公告图说明）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10.★清洗刷基座可左右滑移，滑移距离≥750mm（附图说明）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11.清洗刷直径≥1200mm，长度≥2000mm，刷毛材质采用聚丙烯树脂多棱丝</w:t>
            </w:r>
            <w:r>
              <w:rPr>
                <w:rFonts w:hint="eastAsia" w:ascii="仿宋" w:hAnsi="仿宋" w:eastAsia="仿宋" w:cs="仿宋"/>
                <w:color w:val="auto"/>
                <w:sz w:val="24"/>
                <w:highlight w:val="none"/>
                <w:lang w:val="en-US" w:eastAsia="zh-CN"/>
              </w:rPr>
              <w:t>或其它</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12.清洗刷支撑臂在水平面上可实现270°旋转。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13.清洗刷双维度旋转角度≥90°，清洗刷通过角度调整可实现弧形墙面的清洗作业。（附图说明）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14.清洗刷配备距离感应装置，自动检测并控制清洗刷与作业面的距离。（附图说明）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15.清洗刷配备无级调速装置，可实现0-300rpm转速控制。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16.清洗刷罩可单独旋转，采用液压驱动带制动器。（附图说明）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17.采用进口无线操控盒，可实现无线遥控+液压阀杆多重操作方式。（附图说明）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18.采用“洗扫洗”复合式清洗方式，具有两种清洗模式。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19.安装有电子导向灯。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20.配备盘管器等高压清洗装置。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spacing w:before="24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三</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：前置护栏清洗机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1.前置护栏清洗机可与墙面清洗设备同时进行清洗作业。（附图说明）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2.设备采用单独的水泵供水，水泵流量≥30L/min，采用液压驱动。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3.清洗刷直径≥1200mm，清洗刷高度≥1000mm。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4.作业高度：0-2500mm。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5.最大作业距离≥1700mm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6.清洗刷具有水平滑移装置，左右滑移距离≥1500mm。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rPr>
              <w:t>★</w:t>
            </w:r>
            <w:r>
              <w:rPr>
                <w:rFonts w:hint="eastAsia" w:ascii="仿宋" w:hAnsi="仿宋" w:eastAsia="仿宋" w:cs="仿宋"/>
                <w:color w:val="auto"/>
                <w:sz w:val="24"/>
                <w:highlight w:val="none"/>
              </w:rPr>
              <w:t>清洗刷架采用4+2左右滚动滑移结构。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8.清洗刷采用对开两片式设计，可快速进行更换。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9.设备采用全液压驱动。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10.清洗刷可通过液压调节和墙面的倾角，用于完成作业面与路面死角等特殊作业需求。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11.清洗刷可实现一键垂直升降。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rPr>
              <w:t>★</w:t>
            </w:r>
            <w:r>
              <w:rPr>
                <w:rFonts w:hint="eastAsia" w:ascii="仿宋" w:hAnsi="仿宋" w:eastAsia="仿宋" w:cs="仿宋"/>
                <w:color w:val="auto"/>
                <w:sz w:val="24"/>
                <w:highlight w:val="none"/>
              </w:rPr>
              <w:t>清洗刷采用双级液压四连杆垂直升降机构。（附图说明）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13.可实现左右两侧清洗作业。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14.设备不使用吊装设备可实现快速安装拆卸。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15.设备拆下后不使用其他机具即可移动。（附图说明）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16.控制盒安装在驾驶室内，方便人员进行操作。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r>
              <w:rPr>
                <w:rFonts w:hint="eastAsia" w:ascii="仿宋" w:hAnsi="仿宋" w:eastAsia="仿宋" w:cs="仿宋"/>
                <w:sz w:val="24"/>
                <w:lang w:val="en-US" w:eastAsia="zh-CN"/>
              </w:rPr>
              <w:t>车身颜色：工程黄，喷漆（字）为公路养护</w:t>
            </w:r>
          </w:p>
        </w:tc>
      </w:tr>
    </w:tbl>
    <w:p>
      <w:pPr>
        <w:pStyle w:val="80"/>
        <w:ind w:firstLine="0" w:firstLineChars="0"/>
        <w:rPr>
          <w:rFonts w:hint="default" w:ascii="仿宋" w:hAnsi="仿宋" w:eastAsia="仿宋" w:cs="仿宋"/>
          <w:b/>
          <w:i/>
          <w:iCs/>
          <w:color w:val="000000" w:themeColor="text1"/>
          <w:sz w:val="24"/>
          <w:szCs w:val="24"/>
          <w:lang w:val="en-US" w:eastAsia="zh-CN"/>
          <w14:textFill>
            <w14:solidFill>
              <w14:schemeClr w14:val="tx1"/>
            </w14:solidFill>
          </w14:textFill>
        </w:rPr>
      </w:pPr>
      <w:r>
        <w:rPr>
          <w:rFonts w:hint="eastAsia" w:ascii="仿宋" w:hAnsi="仿宋" w:eastAsia="仿宋" w:cs="仿宋"/>
          <w:b/>
          <w:i/>
          <w:iCs/>
          <w:color w:val="000000" w:themeColor="text1"/>
          <w:sz w:val="24"/>
          <w:szCs w:val="24"/>
          <w:lang w:val="en-US" w:eastAsia="zh-CN"/>
          <w14:textFill>
            <w14:solidFill>
              <w14:schemeClr w14:val="tx1"/>
            </w14:solidFill>
          </w14:textFill>
        </w:rPr>
        <w:t>注：未按《技术要求和配置》要求附（公告）图或无法体现内容的项作为负偏离处理。</w:t>
      </w:r>
    </w:p>
    <w:p>
      <w:pPr>
        <w:pStyle w:val="80"/>
        <w:ind w:firstLine="0" w:firstLineChars="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三、商务要求</w:t>
      </w:r>
      <w:r>
        <w:rPr>
          <w:rFonts w:hint="eastAsia" w:ascii="仿宋" w:hAnsi="仿宋" w:eastAsia="仿宋" w:cs="仿宋"/>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一、二标段适用</w:t>
      </w:r>
      <w:r>
        <w:rPr>
          <w:rFonts w:hint="eastAsia" w:ascii="仿宋" w:hAnsi="仿宋" w:eastAsia="仿宋" w:cs="仿宋"/>
          <w:b/>
          <w:color w:val="000000" w:themeColor="text1"/>
          <w:sz w:val="30"/>
          <w:szCs w:val="30"/>
          <w:lang w:eastAsia="zh-CN"/>
          <w14:textFill>
            <w14:solidFill>
              <w14:schemeClr w14:val="tx1"/>
            </w14:solidFill>
          </w14:textFill>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064" w:type="dxa"/>
            <w:vAlign w:val="center"/>
          </w:tcPr>
          <w:p>
            <w:pPr>
              <w:jc w:val="center"/>
              <w:rPr>
                <w:rFonts w:ascii="宋体" w:hAnsi="宋体" w:eastAsia="宋体" w:cs="宋体"/>
                <w:b/>
                <w:bCs/>
                <w:sz w:val="24"/>
              </w:rPr>
            </w:pPr>
            <w:r>
              <w:rPr>
                <w:rFonts w:hint="eastAsia" w:ascii="宋体" w:hAnsi="宋体" w:cs="宋体"/>
                <w:b/>
                <w:bCs/>
                <w:sz w:val="24"/>
              </w:rPr>
              <w:t>项目</w:t>
            </w:r>
          </w:p>
        </w:tc>
        <w:tc>
          <w:tcPr>
            <w:tcW w:w="6224" w:type="dxa"/>
            <w:vAlign w:val="center"/>
          </w:tcPr>
          <w:p>
            <w:pPr>
              <w:jc w:val="center"/>
              <w:rPr>
                <w:rFonts w:ascii="宋体" w:hAnsi="宋体" w:eastAsia="宋体" w:cs="宋体"/>
                <w:b/>
                <w:bCs/>
                <w:sz w:val="24"/>
              </w:rPr>
            </w:pPr>
            <w:r>
              <w:rPr>
                <w:rFonts w:hint="eastAsia" w:ascii="宋体" w:hAnsi="宋体" w:cs="宋体"/>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vAlign w:val="center"/>
          </w:tcPr>
          <w:p>
            <w:pPr>
              <w:rPr>
                <w:rFonts w:hint="eastAsia" w:ascii="仿宋" w:hAnsi="仿宋" w:eastAsia="仿宋" w:cs="仿宋"/>
                <w:sz w:val="24"/>
                <w:szCs w:val="24"/>
              </w:rPr>
            </w:pPr>
            <w:r>
              <w:rPr>
                <w:rFonts w:hint="eastAsia" w:ascii="仿宋" w:hAnsi="仿宋" w:eastAsia="仿宋" w:cs="仿宋"/>
                <w:sz w:val="24"/>
                <w:szCs w:val="24"/>
              </w:rPr>
              <w:t>1、交货及质量要求</w:t>
            </w:r>
          </w:p>
        </w:tc>
        <w:tc>
          <w:tcPr>
            <w:tcW w:w="6224"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中标人必须于合同签订之日起30日内供货，并将中标设备免费送至采购人指定地点。</w:t>
            </w:r>
            <w:r>
              <w:rPr>
                <w:rFonts w:hint="eastAsia" w:ascii="仿宋" w:hAnsi="仿宋" w:eastAsia="仿宋" w:cs="仿宋"/>
                <w:sz w:val="24"/>
                <w:szCs w:val="24"/>
                <w:highlight w:val="none"/>
              </w:rPr>
              <w:t>如发生所供的货物与合同不符，采购人有权拒收或退货，由此产生的一切责任和后果由供应商承担。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所提供的设备必须是全新出厂原装合格产品（包括零部件），完全符合国家现行技术规格和质量标准，并须提供配套的标配附件、工具和使用说明书、原厂合格证、维修维护指南或服务手册等技术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vAlign w:val="center"/>
          </w:tcPr>
          <w:p>
            <w:pPr>
              <w:rPr>
                <w:rFonts w:hint="eastAsia" w:ascii="仿宋" w:hAnsi="仿宋" w:eastAsia="仿宋" w:cs="仿宋"/>
                <w:sz w:val="24"/>
                <w:szCs w:val="24"/>
              </w:rPr>
            </w:pPr>
            <w:r>
              <w:rPr>
                <w:rFonts w:hint="eastAsia" w:ascii="仿宋" w:hAnsi="仿宋" w:eastAsia="仿宋" w:cs="仿宋"/>
                <w:sz w:val="24"/>
                <w:szCs w:val="24"/>
              </w:rPr>
              <w:t>2、付款条件</w:t>
            </w:r>
          </w:p>
        </w:tc>
        <w:tc>
          <w:tcPr>
            <w:tcW w:w="6224" w:type="dxa"/>
          </w:tcPr>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（一）付款方式：招标完成签定合同后支付合同总额的20%；到货后</w:t>
            </w:r>
            <w:r>
              <w:rPr>
                <w:rFonts w:hint="eastAsia" w:ascii="仿宋" w:hAnsi="仿宋" w:eastAsia="仿宋" w:cs="仿宋"/>
                <w:color w:val="000000"/>
                <w:sz w:val="24"/>
                <w:szCs w:val="24"/>
              </w:rPr>
              <w:t>经采购人验收合格后10个工作日内支付至合同总额的95%</w:t>
            </w:r>
            <w:r>
              <w:rPr>
                <w:rFonts w:hint="eastAsia" w:ascii="仿宋" w:hAnsi="仿宋" w:eastAsia="仿宋" w:cs="仿宋"/>
                <w:sz w:val="24"/>
                <w:szCs w:val="24"/>
              </w:rPr>
              <w:t>，余款待质保期满后并且无质量争议一个月内支付。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（二）中标人在结算合同价款时需提供13%的增值税专用发票。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vAlign w:val="center"/>
          </w:tcPr>
          <w:p>
            <w:pPr>
              <w:rPr>
                <w:rFonts w:hint="eastAsia" w:ascii="仿宋" w:hAnsi="仿宋" w:eastAsia="仿宋" w:cs="仿宋"/>
                <w:sz w:val="24"/>
                <w:szCs w:val="24"/>
              </w:rPr>
            </w:pPr>
            <w:r>
              <w:rPr>
                <w:rFonts w:hint="eastAsia" w:ascii="仿宋" w:hAnsi="仿宋" w:eastAsia="仿宋" w:cs="仿宋"/>
                <w:sz w:val="24"/>
                <w:szCs w:val="24"/>
              </w:rPr>
              <w:t>3、质保期</w:t>
            </w:r>
          </w:p>
        </w:tc>
        <w:tc>
          <w:tcPr>
            <w:tcW w:w="6224"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自验收合格之日起12个月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vAlign w:val="center"/>
          </w:tcPr>
          <w:p>
            <w:pPr>
              <w:rPr>
                <w:rFonts w:hint="eastAsia" w:ascii="仿宋" w:hAnsi="仿宋" w:eastAsia="仿宋" w:cs="仿宋"/>
                <w:sz w:val="24"/>
                <w:szCs w:val="24"/>
              </w:rPr>
            </w:pPr>
            <w:r>
              <w:rPr>
                <w:rFonts w:hint="eastAsia" w:ascii="仿宋" w:hAnsi="仿宋" w:eastAsia="仿宋" w:cs="仿宋"/>
                <w:sz w:val="24"/>
                <w:szCs w:val="24"/>
              </w:rPr>
              <w:t>4、售后服务要求</w:t>
            </w:r>
          </w:p>
        </w:tc>
        <w:tc>
          <w:tcPr>
            <w:tcW w:w="6224"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交货后如发现有质量问题的货物，中标人必须无条件更换、退货处理。</w:t>
            </w:r>
          </w:p>
        </w:tc>
      </w:tr>
    </w:tbl>
    <w:p>
      <w:pPr>
        <w:pStyle w:val="80"/>
        <w:ind w:firstLine="0" w:firstLineChars="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四、其他要求</w:t>
      </w:r>
    </w:p>
    <w:p>
      <w:pPr>
        <w:spacing w:line="500" w:lineRule="exact"/>
        <w:ind w:firstLine="560" w:firstLineChars="200"/>
        <w:rPr>
          <w:rFonts w:hint="eastAsia" w:ascii="仿宋" w:hAnsi="仿宋" w:eastAsia="仿宋" w:cs="仿宋"/>
          <w:bCs/>
          <w:kern w:val="0"/>
          <w:sz w:val="24"/>
        </w:rPr>
      </w:pPr>
      <w:r>
        <w:rPr>
          <w:rFonts w:hint="eastAsia" w:ascii="仿宋" w:hAnsi="仿宋" w:eastAsia="仿宋" w:cs="仿宋"/>
          <w:spacing w:val="20"/>
          <w:sz w:val="24"/>
        </w:rPr>
        <w:t>1、</w:t>
      </w:r>
      <w:r>
        <w:rPr>
          <w:rFonts w:hint="eastAsia" w:ascii="仿宋" w:hAnsi="仿宋" w:eastAsia="仿宋" w:cs="仿宋"/>
          <w:bCs/>
          <w:kern w:val="0"/>
          <w:sz w:val="24"/>
        </w:rPr>
        <w:t>招标文件技术要求中所除列示的产品数量为预估值，可能会根据本项目实际情况进行必要调整，但投标人不应以此为理由例外要求追加成交单价。</w:t>
      </w:r>
    </w:p>
    <w:p>
      <w:pPr>
        <w:spacing w:line="5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招标文件技术要求中所列示的参考及推荐品牌，仅是对采购需求产品所要求达到的质量、性能以及应有的技术标准做进一步的说明之用，欢迎其他符合招标单位产品质量要求及项目技术需求且性能、质量与所列示参考品牌相当或更优的产品参加。</w:t>
      </w:r>
    </w:p>
    <w:p>
      <w:pPr>
        <w:spacing w:line="5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3、招标人在招标文件所列采购清单中，只列主要产品、设备的名称、品牌、数量、技术参数等要求，其他辅助材料、配套等未详细列入，均应包括在相应产品、设备器材中，投标人在报价时自行考虑。</w:t>
      </w:r>
    </w:p>
    <w:p>
      <w:pPr>
        <w:spacing w:line="500" w:lineRule="exact"/>
        <w:ind w:firstLine="560" w:firstLineChars="200"/>
        <w:rPr>
          <w:rFonts w:hint="eastAsia" w:ascii="仿宋" w:hAnsi="仿宋" w:eastAsia="仿宋" w:cs="仿宋"/>
          <w:bCs/>
          <w:kern w:val="0"/>
          <w:sz w:val="24"/>
        </w:rPr>
      </w:pPr>
      <w:r>
        <w:rPr>
          <w:rFonts w:hint="eastAsia" w:ascii="仿宋" w:hAnsi="仿宋" w:eastAsia="仿宋" w:cs="仿宋"/>
          <w:bCs/>
          <w:spacing w:val="20"/>
          <w:sz w:val="24"/>
        </w:rPr>
        <w:t>4、</w:t>
      </w:r>
      <w:r>
        <w:rPr>
          <w:rFonts w:hint="eastAsia" w:ascii="仿宋" w:hAnsi="仿宋" w:eastAsia="仿宋" w:cs="仿宋"/>
          <w:bCs/>
          <w:kern w:val="0"/>
          <w:sz w:val="24"/>
        </w:rPr>
        <w:t>列入国家生产许可和3C目录的产品（包括招标文件提供产品品牌外的）在项目实施前必须取得并提供相应说明资料备查。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352" w:firstLineChars="147"/>
        <w:rPr>
          <w:rFonts w:hint="eastAsia" w:ascii="仿宋" w:hAnsi="仿宋" w:eastAsia="仿宋" w:cs="仿宋"/>
          <w:bCs/>
          <w:sz w:val="24"/>
        </w:rPr>
      </w:pPr>
      <w:r>
        <w:rPr>
          <w:rFonts w:hint="eastAsia" w:ascii="仿宋" w:hAnsi="仿宋" w:eastAsia="仿宋" w:cs="仿宋"/>
          <w:bCs/>
          <w:kern w:val="0"/>
          <w:sz w:val="24"/>
        </w:rPr>
        <w:t xml:space="preserve">  5、</w:t>
      </w:r>
      <w:r>
        <w:rPr>
          <w:rFonts w:hint="eastAsia" w:ascii="仿宋" w:hAnsi="仿宋" w:eastAsia="仿宋" w:cs="仿宋"/>
          <w:bCs/>
          <w:sz w:val="24"/>
        </w:rPr>
        <w:t>项目方案及安装调试方案具体在实施前须报经招标单位同意后方可执行，否则后果自负。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720" w:firstLineChars="300"/>
        <w:rPr>
          <w:rFonts w:hint="eastAsia" w:ascii="仿宋" w:hAnsi="仿宋" w:eastAsia="仿宋" w:cs="仿宋"/>
          <w:bCs/>
          <w:kern w:val="0"/>
          <w:sz w:val="24"/>
        </w:rPr>
      </w:pPr>
      <w:r>
        <w:rPr>
          <w:rFonts w:hint="eastAsia" w:ascii="仿宋" w:hAnsi="仿宋" w:eastAsia="仿宋" w:cs="仿宋"/>
          <w:bCs/>
          <w:sz w:val="24"/>
        </w:rPr>
        <w:t>6、</w:t>
      </w:r>
      <w:r>
        <w:rPr>
          <w:rFonts w:hint="eastAsia" w:ascii="仿宋" w:hAnsi="仿宋" w:eastAsia="仿宋" w:cs="仿宋"/>
          <w:bCs/>
          <w:kern w:val="0"/>
          <w:sz w:val="24"/>
        </w:rPr>
        <w:t>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pPr>
        <w:spacing w:line="500" w:lineRule="exact"/>
        <w:ind w:firstLine="720" w:firstLineChars="300"/>
        <w:jc w:val="left"/>
        <w:rPr>
          <w:rFonts w:hint="eastAsia" w:ascii="仿宋" w:hAnsi="仿宋" w:eastAsia="仿宋" w:cs="仿宋"/>
          <w:bCs/>
          <w:sz w:val="24"/>
        </w:rPr>
      </w:pPr>
      <w:r>
        <w:rPr>
          <w:rFonts w:hint="eastAsia" w:ascii="仿宋" w:hAnsi="仿宋" w:eastAsia="仿宋" w:cs="仿宋"/>
          <w:sz w:val="24"/>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仿宋" w:hAnsi="仿宋" w:eastAsia="仿宋" w:cs="仿宋"/>
          <w:bCs/>
          <w:sz w:val="24"/>
        </w:rPr>
        <w:t>配件必须是原包装到达招标人，</w:t>
      </w:r>
      <w:r>
        <w:rPr>
          <w:rFonts w:hint="eastAsia" w:ascii="仿宋" w:hAnsi="仿宋" w:eastAsia="仿宋" w:cs="仿宋"/>
          <w:bCs/>
          <w:kern w:val="0"/>
          <w:sz w:val="24"/>
        </w:rPr>
        <w:t>未经</w:t>
      </w:r>
      <w:r>
        <w:rPr>
          <w:rFonts w:hint="eastAsia" w:ascii="仿宋" w:hAnsi="仿宋" w:eastAsia="仿宋" w:cs="仿宋"/>
          <w:bCs/>
          <w:sz w:val="24"/>
        </w:rPr>
        <w:t>招标人</w:t>
      </w:r>
      <w:r>
        <w:rPr>
          <w:rFonts w:hint="eastAsia" w:ascii="仿宋" w:hAnsi="仿宋" w:eastAsia="仿宋" w:cs="仿宋"/>
          <w:bCs/>
          <w:kern w:val="0"/>
          <w:sz w:val="24"/>
        </w:rPr>
        <w:t>允许不得私自预先安装。</w:t>
      </w:r>
    </w:p>
    <w:p>
      <w:pPr>
        <w:spacing w:line="500" w:lineRule="exact"/>
        <w:ind w:firstLine="602" w:firstLineChars="200"/>
        <w:jc w:val="left"/>
        <w:rPr>
          <w:rFonts w:hint="eastAsia" w:ascii="仿宋" w:hAnsi="仿宋" w:eastAsia="仿宋" w:cs="仿宋"/>
          <w:b/>
          <w:bCs/>
          <w:spacing w:val="20"/>
          <w:sz w:val="30"/>
          <w:szCs w:val="30"/>
        </w:rPr>
      </w:pPr>
      <w:r>
        <w:rPr>
          <w:rFonts w:hint="eastAsia" w:ascii="仿宋" w:hAnsi="仿宋" w:eastAsia="仿宋" w:cs="仿宋"/>
          <w:b/>
          <w:color w:val="000000" w:themeColor="text1"/>
          <w:sz w:val="30"/>
          <w:szCs w:val="30"/>
          <w:lang w:val="en-US"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、保修期（免费维修期）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840" w:firstLineChars="300"/>
        <w:rPr>
          <w:rFonts w:hint="eastAsia" w:ascii="仿宋" w:hAnsi="仿宋" w:eastAsia="仿宋" w:cs="仿宋"/>
          <w:bCs/>
          <w:kern w:val="0"/>
          <w:sz w:val="24"/>
        </w:rPr>
      </w:pPr>
      <w:r>
        <w:rPr>
          <w:rFonts w:hint="eastAsia" w:ascii="仿宋" w:hAnsi="仿宋" w:eastAsia="仿宋" w:cs="仿宋"/>
          <w:spacing w:val="20"/>
          <w:sz w:val="24"/>
        </w:rPr>
        <w:t>①保</w:t>
      </w:r>
      <w:r>
        <w:rPr>
          <w:rFonts w:hint="eastAsia" w:ascii="仿宋" w:hAnsi="仿宋" w:eastAsia="仿宋" w:cs="仿宋"/>
          <w:bCs/>
          <w:kern w:val="0"/>
          <w:sz w:val="24"/>
        </w:rPr>
        <w:t>修期从招标人验收完成之日开始计算。除非招标单位另有要求，保修期内的服务均为免费上门服务。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720" w:firstLineChars="300"/>
        <w:rPr>
          <w:rFonts w:hint="eastAsia" w:ascii="仿宋" w:hAnsi="仿宋" w:eastAsia="仿宋" w:cs="仿宋"/>
          <w:bCs/>
          <w:kern w:val="0"/>
          <w:sz w:val="24"/>
        </w:rPr>
      </w:pPr>
      <w:r>
        <w:rPr>
          <w:rFonts w:hint="eastAsia" w:ascii="仿宋" w:hAnsi="仿宋" w:eastAsia="仿宋" w:cs="仿宋"/>
          <w:bCs/>
          <w:kern w:val="0"/>
          <w:sz w:val="24"/>
        </w:rPr>
        <w:t>②服务保证：质保期详见商务要求。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720" w:firstLineChars="300"/>
        <w:rPr>
          <w:rFonts w:hint="eastAsia" w:ascii="仿宋" w:hAnsi="仿宋" w:eastAsia="仿宋" w:cs="仿宋"/>
          <w:bCs/>
          <w:kern w:val="0"/>
          <w:sz w:val="24"/>
        </w:rPr>
      </w:pPr>
      <w:r>
        <w:rPr>
          <w:rFonts w:hint="eastAsia" w:ascii="仿宋" w:hAnsi="仿宋" w:eastAsia="仿宋" w:cs="仿宋"/>
          <w:bCs/>
          <w:kern w:val="0"/>
          <w:sz w:val="24"/>
        </w:rPr>
        <w:t>③在保修期内，招标单位有故障申报，投标人（或原厂商，在投标文件中注明由谁提供该服务）须在至少2小时内响应提供解决方案，若不能以电话方式解决故障，须在12小时内到达现场，一般故障到达现场后12小时内解决，现场解决不了的重大故障，应在24小时内解决。若不能现场解决，须提供同等性能、同等配置的设备替换，以确保招标单位不中断使用运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720" w:firstLineChars="300"/>
        <w:rPr>
          <w:rFonts w:hint="eastAsia" w:ascii="仿宋" w:hAnsi="仿宋" w:eastAsia="仿宋" w:cs="仿宋"/>
          <w:bCs/>
          <w:kern w:val="0"/>
          <w:sz w:val="24"/>
        </w:rPr>
      </w:pPr>
      <w:r>
        <w:rPr>
          <w:rFonts w:hint="eastAsia" w:ascii="仿宋" w:hAnsi="仿宋" w:eastAsia="仿宋" w:cs="仿宋"/>
          <w:bCs/>
          <w:kern w:val="0"/>
          <w:sz w:val="24"/>
        </w:rPr>
        <w:t>④保修期内，与维修相关的所有费用、安全等由投标人自负。</w:t>
      </w:r>
    </w:p>
    <w:p>
      <w:pPr>
        <w:spacing w:line="5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六</w:t>
      </w:r>
      <w:r>
        <w:rPr>
          <w:rFonts w:hint="eastAsia" w:ascii="仿宋" w:hAnsi="仿宋" w:eastAsia="仿宋" w:cs="仿宋"/>
          <w:b/>
          <w:color w:val="000000" w:themeColor="text1"/>
          <w:sz w:val="30"/>
          <w:szCs w:val="30"/>
          <w14:textFill>
            <w14:solidFill>
              <w14:schemeClr w14:val="tx1"/>
            </w14:solidFill>
          </w14:textFill>
        </w:rPr>
        <w:t>、项目实施要求</w:t>
      </w:r>
    </w:p>
    <w:p>
      <w:pPr>
        <w:tabs>
          <w:tab w:val="left" w:pos="0"/>
        </w:tabs>
        <w:spacing w:line="500" w:lineRule="exact"/>
        <w:ind w:firstLine="480" w:firstLineChars="200"/>
        <w:jc w:val="left"/>
        <w:rPr>
          <w:rFonts w:hint="eastAsia" w:ascii="仿宋" w:hAnsi="仿宋" w:eastAsia="仿宋" w:cs="仿宋"/>
          <w:bCs/>
          <w:spacing w:val="20"/>
          <w:sz w:val="24"/>
        </w:rPr>
      </w:pPr>
      <w:r>
        <w:rPr>
          <w:rFonts w:hint="eastAsia" w:ascii="仿宋" w:hAnsi="仿宋" w:eastAsia="仿宋" w:cs="仿宋"/>
          <w:sz w:val="24"/>
        </w:rPr>
        <w:t>投标人须保证招标人本次采购所有产品、设备安装调试。</w:t>
      </w:r>
    </w:p>
    <w:p>
      <w:pPr>
        <w:tabs>
          <w:tab w:val="left" w:pos="0"/>
        </w:tabs>
        <w:spacing w:line="500" w:lineRule="exact"/>
        <w:ind w:firstLine="470" w:firstLineChars="196"/>
        <w:jc w:val="left"/>
        <w:rPr>
          <w:rFonts w:hint="eastAsia" w:ascii="仿宋" w:hAnsi="仿宋" w:eastAsia="仿宋" w:cs="仿宋"/>
          <w:sz w:val="24"/>
        </w:rPr>
      </w:pPr>
      <w:r>
        <w:rPr>
          <w:rFonts w:hint="eastAsia" w:ascii="仿宋" w:hAnsi="仿宋" w:eastAsia="仿宋" w:cs="仿宋"/>
          <w:sz w:val="24"/>
        </w:rPr>
        <w:t>项目方案及施工方案具体在实施前须报经招标单位同意后方可执行；</w:t>
      </w:r>
    </w:p>
    <w:p>
      <w:pPr>
        <w:tabs>
          <w:tab w:val="left" w:pos="0"/>
        </w:tabs>
        <w:spacing w:line="500" w:lineRule="exact"/>
        <w:ind w:firstLine="470" w:firstLineChars="196"/>
        <w:jc w:val="left"/>
        <w:rPr>
          <w:rFonts w:hint="eastAsia" w:ascii="仿宋" w:hAnsi="仿宋" w:eastAsia="仿宋" w:cs="仿宋"/>
          <w:sz w:val="24"/>
        </w:rPr>
      </w:pPr>
      <w:r>
        <w:rPr>
          <w:rFonts w:hint="eastAsia" w:ascii="仿宋" w:hAnsi="仿宋" w:eastAsia="仿宋" w:cs="仿宋"/>
          <w:sz w:val="24"/>
        </w:rPr>
        <w:t>强化安全意识、抓好安全生产，签订安全责任书，杜绝事故发生，实施中发生安全及人身事故均由投标人负责处理，并承担全部责任和费用。</w:t>
      </w:r>
    </w:p>
    <w:p>
      <w:pPr>
        <w:spacing w:line="5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七</w:t>
      </w:r>
      <w:r>
        <w:rPr>
          <w:rFonts w:hint="eastAsia" w:ascii="仿宋" w:hAnsi="仿宋" w:eastAsia="仿宋" w:cs="仿宋"/>
          <w:b/>
          <w:color w:val="000000" w:themeColor="text1"/>
          <w:sz w:val="30"/>
          <w:szCs w:val="30"/>
          <w14:textFill>
            <w14:solidFill>
              <w14:schemeClr w14:val="tx1"/>
            </w14:solidFill>
          </w14:textFill>
        </w:rPr>
        <w:t>、合同签订要求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（1）中标单位在收到中标通知书后，应按照中标通知书要求，派遣其全权代表前往招标方签订合同（具体见：附件合同主要条款内容）。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（2）招标文件、补充文件、投标文件、开标记录及其澄清文件、答疑询标纪要等均为签订合同的依据。</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如果中标人不能按照招标文件要求及其投标文件的承诺签订合同，或在签订合同时发现其投标文件与事实不符，影响采购的公平公开及合同的实施，招标方有权在授予合同前任何时候将合同取消并公布采购无效，对受影响的供应商不承担任何责任。</w:t>
      </w:r>
    </w:p>
    <w:p>
      <w:pPr>
        <w:spacing w:line="500" w:lineRule="exact"/>
        <w:ind w:firstLine="602" w:firstLineChars="200"/>
        <w:jc w:val="left"/>
        <w:rPr>
          <w:rFonts w:hint="eastAsia"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八</w:t>
      </w:r>
      <w:r>
        <w:rPr>
          <w:rFonts w:hint="eastAsia" w:ascii="仿宋" w:hAnsi="仿宋" w:eastAsia="仿宋" w:cs="仿宋"/>
          <w:b/>
          <w:color w:val="000000" w:themeColor="text1"/>
          <w:sz w:val="30"/>
          <w:szCs w:val="30"/>
          <w14:textFill>
            <w14:solidFill>
              <w14:schemeClr w14:val="tx1"/>
            </w14:solidFill>
          </w14:textFill>
        </w:rPr>
        <w:t>、送车、验收</w:t>
      </w:r>
      <w:r>
        <w:rPr>
          <w:rFonts w:hint="eastAsia" w:ascii="仿宋" w:hAnsi="仿宋" w:eastAsia="仿宋" w:cs="仿宋"/>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上牌（如有）</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A、送车</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（1）本次采购的车辆规定由供应商负责将车安全送达浙江省武义县或金华地区某指定交车地点。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（2）送车费用：与送车有关的一切费用，如临保费、临牌费（如有）、过境费、燃油费、工作人员工资住宿伙食等，已全部包括在投标报价内。</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（3）送车途中安全责任全部由供应商负责。</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（4）送车方案。供应商应在投标文件内提供“送车方案”，明确送车的组织领导、安全措施、途中加油联系等内容。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（5）交车时间及地点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合同签订后在30天内完成交货。要求在投标书中予以承诺，因供应商在规定期限不能顺利交付的，由此造成的一切损失由供应商承担，并承担采购方相应的损失。</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交车地点：浙江省武义县，具体地址由招标单位指定。</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B、验收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（1）验收地点为招标单位指定的地点。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（2）证书资料的交接。供应商应按标书等有关要求提供采购方在车辆使用等方面用到的应有证件、资料。经招标单位确认后作为验收合格依据之一。</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（3）车辆技术性能验收。以车辆检测报告为准。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（4）车辆配置与投标文件符合性验收。车辆上总装线前中标人须及时通知招标单位，招标单位将安排技术人员若干名，对车辆配置情况进行核对。发现有不符现象，将按招标文件规定严肃处理。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（5）经招标单位验收合格后，双方签署验收合格文件，办理交接文件。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C、上牌（如有）</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上牌工作由供应商负责，正常上牌费用由招标单位支付。招标单位负责做好协助工作。如由于车辆技术参数不合格等因供应商原因造成不能上牌的，一切责任由供应商负责。</w:t>
      </w:r>
    </w:p>
    <w:p>
      <w:pPr>
        <w:tabs>
          <w:tab w:val="left" w:pos="0"/>
        </w:tabs>
        <w:spacing w:line="500" w:lineRule="exact"/>
        <w:ind w:firstLine="470" w:firstLineChars="196"/>
        <w:jc w:val="left"/>
        <w:rPr>
          <w:rFonts w:hint="eastAsia" w:ascii="仿宋" w:hAnsi="仿宋" w:eastAsia="仿宋" w:cs="仿宋"/>
          <w:sz w:val="24"/>
        </w:rPr>
      </w:pPr>
      <w:r>
        <w:rPr>
          <w:rFonts w:hint="eastAsia" w:ascii="仿宋" w:hAnsi="仿宋" w:eastAsia="仿宋" w:cs="仿宋"/>
          <w:sz w:val="24"/>
        </w:rPr>
        <w:t>投标人向招标人提供项目实施过程中形成的图纸、记录、档案资料、产品说明书、原厂家安装手册、维保手册、技术文件资料等原件文档汇集成册（含电子版一套），并按招标人的档案管理要求完成资料归档工作，报送招标单位留存。</w:t>
      </w:r>
    </w:p>
    <w:p>
      <w:pPr>
        <w:spacing w:line="5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九</w:t>
      </w:r>
      <w:r>
        <w:rPr>
          <w:rFonts w:hint="eastAsia" w:ascii="仿宋" w:hAnsi="仿宋" w:eastAsia="仿宋" w:cs="仿宋"/>
          <w:b/>
          <w:color w:val="000000" w:themeColor="text1"/>
          <w:sz w:val="30"/>
          <w:szCs w:val="30"/>
          <w14:textFill>
            <w14:solidFill>
              <w14:schemeClr w14:val="tx1"/>
            </w14:solidFill>
          </w14:textFill>
        </w:rPr>
        <w:t>、付款方式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rPr>
        <w:t>（一）付款方式：招标完成签定合同后支付合同总额的20%；到货后</w:t>
      </w:r>
      <w:r>
        <w:rPr>
          <w:rFonts w:hint="eastAsia" w:ascii="仿宋" w:hAnsi="仿宋" w:eastAsia="仿宋" w:cs="仿宋"/>
          <w:color w:val="000000"/>
          <w:sz w:val="24"/>
        </w:rPr>
        <w:t>经采购人验收合格后10个工作日内支付至合同总额的95%</w:t>
      </w:r>
      <w:r>
        <w:rPr>
          <w:rFonts w:hint="eastAsia" w:ascii="仿宋" w:hAnsi="仿宋" w:eastAsia="仿宋" w:cs="仿宋"/>
          <w:sz w:val="24"/>
        </w:rPr>
        <w:t>，余款待质保期满后并且无质量争议一个月内支付。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（二）中标人在结算合同价款时需提供13%的增值税专用发票。</w:t>
      </w:r>
    </w:p>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color w:val="auto"/>
          <w:kern w:val="44"/>
          <w:sz w:val="44"/>
          <w:szCs w:val="20"/>
          <w:highlight w:val="none"/>
          <w:lang w:val="en-US" w:eastAsia="zh-CN" w:bidi="ar-SA"/>
        </w:rPr>
      </w:pPr>
      <w:r>
        <w:rPr>
          <w:rFonts w:hint="eastAsia" w:ascii="仿宋" w:hAnsi="仿宋" w:eastAsia="仿宋" w:cs="仿宋"/>
          <w:b/>
          <w:color w:val="auto"/>
          <w:kern w:val="44"/>
          <w:sz w:val="44"/>
          <w:szCs w:val="20"/>
          <w:highlight w:val="none"/>
          <w:lang w:val="en-US" w:eastAsia="zh-CN" w:bidi="ar-SA"/>
        </w:rPr>
        <w:t>第四章  合同条款及格式</w:t>
      </w:r>
      <w:bookmarkEnd w:id="320"/>
    </w:p>
    <w:p>
      <w:pPr>
        <w:adjustRightInd w:val="0"/>
        <w:snapToGrid w:val="0"/>
        <w:spacing w:after="60" w:line="360" w:lineRule="auto"/>
        <w:jc w:val="center"/>
        <w:rPr>
          <w:rFonts w:hint="eastAsia" w:ascii="仿宋" w:hAnsi="仿宋" w:eastAsia="仿宋" w:cs="仿宋"/>
          <w:b/>
          <w:sz w:val="22"/>
          <w:szCs w:val="21"/>
        </w:rPr>
      </w:pPr>
      <w:bookmarkStart w:id="322" w:name="_Toc21755"/>
      <w:r>
        <w:rPr>
          <w:rFonts w:hint="eastAsia" w:ascii="仿宋" w:hAnsi="仿宋" w:eastAsia="仿宋" w:cs="仿宋"/>
          <w:b/>
          <w:sz w:val="22"/>
          <w:szCs w:val="21"/>
        </w:rPr>
        <w:t>（本合同为样稿，最终稿由甲乙双方协商后确定，但不允许偏离招投标文件）</w:t>
      </w:r>
    </w:p>
    <w:p>
      <w:pPr>
        <w:tabs>
          <w:tab w:val="left" w:pos="630"/>
        </w:tabs>
        <w:spacing w:line="560" w:lineRule="exact"/>
        <w:ind w:left="420" w:right="105" w:rightChars="50"/>
        <w:rPr>
          <w:rFonts w:hint="eastAsia" w:ascii="仿宋" w:hAnsi="仿宋" w:eastAsia="仿宋" w:cs="仿宋"/>
          <w:sz w:val="32"/>
          <w:szCs w:val="32"/>
        </w:rPr>
      </w:pP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项目名称：                                       </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项目编号：                                                                           </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甲方：（采购人）</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乙方：（中标人）</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甲方以公开招标的方式确定乙方为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项目的中标人，根据招标文件、投标文件，依据《中华人民共和国政府采购法》和《中华人民共和国民法典》及有关法规，结合项目实际，经双方协商，签订本合同。</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一、货物内容</w:t>
      </w:r>
    </w:p>
    <w:tbl>
      <w:tblPr>
        <w:tblStyle w:val="3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30" w:lineRule="exact"/>
              <w:ind w:left="-108"/>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4138"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30" w:lineRule="exact"/>
              <w:ind w:left="-108"/>
              <w:jc w:val="center"/>
              <w:rPr>
                <w:rFonts w:hint="eastAsia" w:ascii="仿宋" w:hAnsi="仿宋" w:eastAsia="仿宋" w:cs="仿宋"/>
                <w:sz w:val="24"/>
                <w:szCs w:val="24"/>
              </w:rPr>
            </w:pPr>
            <w:r>
              <w:rPr>
                <w:rFonts w:hint="eastAsia" w:ascii="仿宋" w:hAnsi="仿宋" w:eastAsia="仿宋" w:cs="仿宋"/>
                <w:sz w:val="24"/>
                <w:szCs w:val="24"/>
              </w:rPr>
              <w:t>品牌/型号</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30" w:lineRule="exact"/>
              <w:ind w:left="-108"/>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30" w:lineRule="exact"/>
              <w:ind w:left="-108"/>
              <w:jc w:val="center"/>
              <w:rPr>
                <w:rFonts w:hint="eastAsia" w:ascii="仿宋" w:hAnsi="仿宋" w:eastAsia="仿宋" w:cs="仿宋"/>
                <w:sz w:val="24"/>
                <w:szCs w:val="24"/>
              </w:rPr>
            </w:pPr>
            <w:r>
              <w:rPr>
                <w:rFonts w:hint="eastAsia" w:ascii="仿宋" w:hAnsi="仿宋" w:eastAsia="仿宋" w:cs="仿宋"/>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30" w:lineRule="exact"/>
              <w:ind w:left="-108"/>
              <w:jc w:val="center"/>
              <w:rPr>
                <w:rFonts w:hint="eastAsia" w:ascii="仿宋" w:hAnsi="仿宋" w:eastAsia="仿宋" w:cs="仿宋"/>
                <w:sz w:val="24"/>
                <w:szCs w:val="24"/>
              </w:rPr>
            </w:pPr>
            <w:r>
              <w:rPr>
                <w:rFonts w:hint="eastAsia" w:ascii="仿宋" w:hAnsi="仿宋" w:eastAsia="仿宋" w:cs="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82"/>
              <w:spacing w:line="330" w:lineRule="exact"/>
              <w:jc w:val="center"/>
              <w:rPr>
                <w:rFonts w:hint="eastAsia" w:ascii="仿宋" w:hAnsi="仿宋" w:eastAsia="仿宋" w:cs="仿宋"/>
                <w:sz w:val="24"/>
                <w:szCs w:val="24"/>
              </w:rPr>
            </w:pPr>
          </w:p>
        </w:tc>
        <w:tc>
          <w:tcPr>
            <w:tcW w:w="41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82"/>
              <w:spacing w:line="330" w:lineRule="exact"/>
              <w:jc w:val="center"/>
              <w:rPr>
                <w:rFonts w:hint="eastAsia" w:ascii="仿宋" w:hAnsi="仿宋" w:eastAsia="仿宋" w:cs="仿宋"/>
                <w:sz w:val="24"/>
                <w:szCs w:val="24"/>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82"/>
              <w:spacing w:line="33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82"/>
              <w:spacing w:line="330" w:lineRule="exact"/>
              <w:jc w:val="center"/>
              <w:rPr>
                <w:rFonts w:hint="eastAsia" w:ascii="仿宋" w:hAnsi="仿宋" w:eastAsia="仿宋" w:cs="仿宋"/>
                <w:sz w:val="24"/>
                <w:szCs w:val="24"/>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82"/>
              <w:spacing w:line="33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6768" w:type="dxa"/>
            <w:gridSpan w:val="3"/>
            <w:tcBorders>
              <w:top w:val="single" w:color="auto" w:sz="4" w:space="0"/>
              <w:left w:val="single" w:color="auto" w:sz="4" w:space="0"/>
              <w:bottom w:val="single" w:color="auto" w:sz="4" w:space="0"/>
              <w:right w:val="single" w:color="auto" w:sz="4" w:space="0"/>
            </w:tcBorders>
            <w:noWrap/>
          </w:tcPr>
          <w:p>
            <w:pPr>
              <w:pStyle w:val="17"/>
              <w:snapToGrid w:val="0"/>
              <w:spacing w:before="120" w:after="120" w:line="330" w:lineRule="exact"/>
              <w:jc w:val="center"/>
              <w:rPr>
                <w:rFonts w:hint="eastAsia" w:ascii="仿宋" w:hAnsi="仿宋" w:eastAsia="仿宋" w:cs="仿宋"/>
                <w:sz w:val="24"/>
                <w:szCs w:val="24"/>
              </w:rPr>
            </w:pPr>
            <w:r>
              <w:rPr>
                <w:rFonts w:hint="eastAsia" w:ascii="仿宋" w:hAnsi="仿宋" w:eastAsia="仿宋" w:cs="仿宋"/>
                <w:sz w:val="24"/>
                <w:szCs w:val="24"/>
              </w:rPr>
              <w:t>合计</w:t>
            </w:r>
          </w:p>
        </w:tc>
        <w:tc>
          <w:tcPr>
            <w:tcW w:w="2162" w:type="dxa"/>
            <w:gridSpan w:val="2"/>
            <w:tcBorders>
              <w:top w:val="single" w:color="auto" w:sz="4" w:space="0"/>
              <w:left w:val="single" w:color="auto" w:sz="4" w:space="0"/>
              <w:bottom w:val="single" w:color="auto" w:sz="4" w:space="0"/>
              <w:right w:val="single" w:color="auto" w:sz="4" w:space="0"/>
            </w:tcBorders>
            <w:noWrap/>
          </w:tcPr>
          <w:p>
            <w:pPr>
              <w:pStyle w:val="82"/>
              <w:spacing w:line="330" w:lineRule="exact"/>
              <w:rPr>
                <w:rFonts w:hint="eastAsia" w:ascii="仿宋" w:hAnsi="仿宋" w:eastAsia="仿宋" w:cs="仿宋"/>
                <w:sz w:val="24"/>
                <w:szCs w:val="24"/>
              </w:rPr>
            </w:pPr>
          </w:p>
        </w:tc>
      </w:tr>
    </w:tbl>
    <w:p>
      <w:pPr>
        <w:pStyle w:val="17"/>
        <w:snapToGrid w:val="0"/>
        <w:spacing w:before="120" w:after="120"/>
        <w:rPr>
          <w:rFonts w:hint="eastAsia" w:ascii="仿宋" w:hAnsi="仿宋" w:eastAsia="仿宋" w:cs="仿宋"/>
          <w:sz w:val="24"/>
          <w:szCs w:val="24"/>
        </w:rPr>
      </w:pPr>
      <w:r>
        <w:rPr>
          <w:rFonts w:hint="eastAsia" w:ascii="仿宋" w:hAnsi="仿宋" w:eastAsia="仿宋" w:cs="仿宋"/>
          <w:sz w:val="24"/>
          <w:szCs w:val="24"/>
        </w:rPr>
        <w:t>注：本表格不能详列的请另附清单</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二、合同金额</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本合同金额为：大写人民币_________元（￥________元）。</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三、技术资料</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（一）乙方应按招标文件规定的时间向甲方提供使用货物的有关技术资料。</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四、知识产权</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乙方应保证所提供的货物或其任何一部分均不会侵犯任何第三方的知识产权。</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五、产权担保</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乙方保证所交付的货物的所有权完全属于乙方且无任何抵押、查封等产权瑕疵。</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六、履约保证金</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乙方交纳人民币△元作为本合同的履约保证金（如有）。</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七、转包或分包</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（一）本合同范围的货物，应由乙方直接供应，不得转让他人供应；</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（二）除非得到甲方的书面同意，乙方不得将本合同范围的货物全部或部分分包给他人供应；</w:t>
      </w:r>
    </w:p>
    <w:p>
      <w:pPr>
        <w:pStyle w:val="17"/>
        <w:snapToGrid w:val="0"/>
        <w:spacing w:before="120" w:after="120"/>
        <w:ind w:firstLine="480" w:firstLineChars="200"/>
        <w:rPr>
          <w:rFonts w:hint="eastAsia" w:ascii="仿宋" w:hAnsi="仿宋" w:eastAsia="仿宋" w:cs="仿宋"/>
          <w:sz w:val="24"/>
          <w:szCs w:val="24"/>
        </w:rPr>
      </w:pPr>
      <w:r>
        <w:rPr>
          <w:rFonts w:hint="eastAsia" w:ascii="仿宋" w:hAnsi="仿宋" w:eastAsia="仿宋" w:cs="仿宋"/>
          <w:sz w:val="24"/>
          <w:szCs w:val="24"/>
        </w:rPr>
        <w:t>（三）如有转让和未经甲方同意的分包行为，甲方有权解除合同，并追究乙方的违约责任。</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八、质保期</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质保期  年。（自交货验收合格之日起计）</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九、交货期及交货地点</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（一）交货期：</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（二）交货地点：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w:t>
      </w:r>
      <w:bookmarkStart w:id="323" w:name="_Hlk71967038"/>
      <w:r>
        <w:rPr>
          <w:rFonts w:hint="eastAsia" w:ascii="仿宋" w:hAnsi="仿宋" w:eastAsia="仿宋" w:cs="仿宋"/>
          <w:sz w:val="24"/>
          <w:szCs w:val="24"/>
          <w:highlight w:val="none"/>
        </w:rPr>
        <w:t>付款方式：</w:t>
      </w:r>
      <w:bookmarkEnd w:id="323"/>
      <w:r>
        <w:rPr>
          <w:rFonts w:hint="eastAsia" w:ascii="仿宋" w:hAnsi="仿宋" w:eastAsia="仿宋" w:cs="仿宋"/>
          <w:sz w:val="24"/>
          <w:szCs w:val="24"/>
        </w:rPr>
        <w:t>（一）付款方式：招标完成签定合同后支付合同总额的20%；到货后</w:t>
      </w:r>
      <w:r>
        <w:rPr>
          <w:rFonts w:hint="eastAsia" w:ascii="仿宋" w:hAnsi="仿宋" w:eastAsia="仿宋" w:cs="仿宋"/>
          <w:color w:val="000000"/>
          <w:sz w:val="24"/>
          <w:szCs w:val="24"/>
        </w:rPr>
        <w:t>经采购人验收合格后10个工作日内支付至合同总额的95%</w:t>
      </w:r>
      <w:r>
        <w:rPr>
          <w:rFonts w:hint="eastAsia" w:ascii="仿宋" w:hAnsi="仿宋" w:eastAsia="仿宋" w:cs="仿宋"/>
          <w:sz w:val="24"/>
          <w:szCs w:val="24"/>
        </w:rPr>
        <w:t>，余款待质保期满后并且无质量争议一个月内支付。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（二）中标人在结算合同价款时需提供13%的增值税专用发票。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十一、税费</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十二、质量保证及售后服务</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（一）乙方应按招标文件规定的货物性能、技术要求、质量标准向甲方提供未经使用的全新产品。</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（二）乙方提供的货物在质保期内因货物本身的质量问题发生故障，乙方应负责免费更换。对达不到技术要求者，根据实际情况，经双方协商，可按以下办法处理：</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1.更换：由乙方承担所发生的全部费用。</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2.退货处理：乙方应退还甲方支付的合同款，同时应承担该货物的直接费用（运输、保险、检验、货款利息及银行手续费等）。</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（三）如在使用过程中发生质量问题，乙方在接到甲方通知后在</w:t>
      </w:r>
      <w:r>
        <w:rPr>
          <w:rFonts w:hint="eastAsia" w:ascii="仿宋" w:hAnsi="仿宋" w:eastAsia="仿宋" w:cs="仿宋"/>
          <w:sz w:val="24"/>
          <w:szCs w:val="24"/>
          <w:u w:val="single"/>
        </w:rPr>
        <w:t>（按招标文件或优于招标文件的承诺执行）时间</w:t>
      </w:r>
      <w:r>
        <w:rPr>
          <w:rFonts w:hint="eastAsia" w:ascii="仿宋" w:hAnsi="仿宋" w:eastAsia="仿宋" w:cs="仿宋"/>
          <w:sz w:val="24"/>
          <w:szCs w:val="24"/>
        </w:rPr>
        <w:t>内到达甲方现场。</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（四）在质保期内，乙方应对货物出现的质量及安全问题负责处理解决并承担一切费用。</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（五）上述的货物质保期为</w:t>
      </w:r>
      <w:r>
        <w:rPr>
          <w:rFonts w:hint="eastAsia" w:ascii="仿宋" w:hAnsi="仿宋" w:eastAsia="仿宋" w:cs="仿宋"/>
          <w:sz w:val="24"/>
          <w:szCs w:val="24"/>
          <w:u w:val="single"/>
        </w:rPr>
        <w:t>（按招标文件或优于招标文件的承诺执行）</w:t>
      </w:r>
      <w:r>
        <w:rPr>
          <w:rFonts w:hint="eastAsia" w:ascii="仿宋" w:hAnsi="仿宋" w:eastAsia="仿宋" w:cs="仿宋"/>
          <w:sz w:val="24"/>
          <w:szCs w:val="24"/>
        </w:rPr>
        <w:t>年，因人为因素出现的故障不在免费保修范围内。超过保修期的机器设备终生维修，维修时只收部件成本费。</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十三、调试和验收</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个工作日内验收。</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（二）乙方交货前应对产品作出全面检查和对验收文件进行整理，并列出清单，作为甲方收货验收和使用的技术条件依据，检验的结果应随货物交甲方。</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（三）甲方对乙方提供的货物在使用前进行调试时，乙方需负责安装并培训甲方的使用操作人员，并协助甲方一起调试，直到符合技术要求，甲方才做最终验收。</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（四）对技术复杂的货物，甲方应请国家认可的专业检测机构参与初步验收及最终验收，并由其出具质量检测报告。</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（五）验收时乙方必须在现场，验收完毕后作出验收结果报告；验收费用由乙方负责。</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（六）进口的原材料（如有）需提供相关进口证明材料。</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十四、货物包装、发运及运输</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（一）乙方应在货物发运前对其进行满足运输距离、防潮、防震、防锈和防破损装卸等要求包装，以保证货物安全运达甲方指定地点。</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（二）使用说明书、质量检验证明书、随配附件和工具以及清单一并附于货物内。</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（三）乙方在货物发运手续办理完毕后24小时内或货到甲方48小时前通知甲方，以准备接货。</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（四）货物在交付甲方前发生的风险均由乙方负责。</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（五）货物在规定的交付期限内由乙方送达甲方指定的地点视为交付，乙方同时需通知甲方货物已送达。</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十五、违约责任</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（一）甲方无正当理由拒收货物的，甲方向乙方偿付拒收货款总值的百分之五违约金。</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（二）甲方无故逾期验收和办理货款支付手续的，甲方应按逾期付款总额每日万分之五向乙方支付违约金。</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十六、不可抗力事件处理</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（一）在合同有效期内，任何一方因不可抗力事件导致不能履行合同，则合同履行期可延长，其延长期与不可抗力影响期相同。</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（二）不可抗力事件发生后，应立即通知对方，并寄送有关权威机构出具的证明。</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（三）不可抗力事件延续120天以上，双方应通过友好协商，确定是否继续履行合同。</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十七、诉讼</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凡有关本合同或执行本合同而发生的一切争执应通过双方友好协商解决，如不能解决，双方均可将争议提交武义县人民法院裁决。</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十八、合同的组成部分及其解释顺序如下：</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（一）本合同协议书；</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（二）中标通知书；</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（三）招标文件及附件；</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（四）投标文件及附件；</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（五）经双方协商一致达成的补充协议。</w:t>
      </w:r>
    </w:p>
    <w:p>
      <w:pPr>
        <w:adjustRightInd w:val="0"/>
        <w:snapToGrid w:val="0"/>
        <w:spacing w:after="60"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十九、合同生效及其它</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（一）合同经双方法定代表人或授权代表签字并加盖单位公章后生效。</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（二）合同执行中涉及采购资金和采购内容修改或补充的，须经上级部门审批，并签书面补充协议报监管部门备案，方可作为主合同不可分割的一部分。</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（三）本合同未尽事宜，遵照《中华人民共和国民法典》有关条文执行。</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（四）本合同壹式陆份，具有同等法律效力，甲乙双方各执二份，采购代理机构二份（备案及资料归集）</w:t>
      </w:r>
    </w:p>
    <w:p>
      <w:pPr>
        <w:adjustRightInd w:val="0"/>
        <w:snapToGrid w:val="0"/>
        <w:spacing w:after="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二十、其他补充条款：</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甲方（盖章）：                       乙方（盖章）：</w:t>
      </w:r>
    </w:p>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法定代表人：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委托代理人：                         委托代理人：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                               电话：</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                           开户银行：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银行账号：                           银行账号：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签订时间：    年   月   日</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22"/>
      <w:bookmarkStart w:id="324" w:name="_Toc106"/>
      <w:r>
        <w:rPr>
          <w:rFonts w:hint="eastAsia" w:ascii="仿宋" w:hAnsi="仿宋" w:eastAsia="仿宋" w:cs="仿宋"/>
          <w:color w:val="auto"/>
          <w:highlight w:val="none"/>
        </w:rPr>
        <w:t>第五章  评标办法</w:t>
      </w:r>
      <w:bookmarkEnd w:id="324"/>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为保证评标的公平和公正，维护招标投标活动当事人的合法权益，根据有关法律法规的规定，并结合本项目的实际，制定本办法。</w:t>
      </w:r>
    </w:p>
    <w:p>
      <w:pPr>
        <w:pStyle w:val="5"/>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一、评标原则</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评标应遵循公平、公正、科学、择优的原则。</w:t>
      </w:r>
    </w:p>
    <w:p>
      <w:pPr>
        <w:pStyle w:val="5"/>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二、评标组织</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（一）评标工作由采购人依法组建的评标委员会负责。评标委员会的组建见投标人须知前附表。</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（三）评标委员会应当按照招标采购文件确定的评标标准和方法，客观、公正地对投标文件进行评审和比较。招标采购文件没有规定的评标标准和方法不得作为评标的依据。</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（四）评标委员会对投标文件作出的评审结论，应当符合有关法律、法规、规章和招标采购文件的规定。</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允许同时中两个标段。</w:t>
      </w:r>
    </w:p>
    <w:p>
      <w:pPr>
        <w:pStyle w:val="5"/>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三、评标办法前附表</w:t>
      </w:r>
    </w:p>
    <w:tbl>
      <w:tblPr>
        <w:tblStyle w:val="30"/>
        <w:tblW w:w="928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3"/>
        <w:gridCol w:w="121"/>
        <w:gridCol w:w="1823"/>
        <w:gridCol w:w="615"/>
        <w:gridCol w:w="4847"/>
        <w:gridCol w:w="1261"/>
        <w:gridCol w:w="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1</w:t>
            </w:r>
          </w:p>
        </w:tc>
        <w:tc>
          <w:tcPr>
            <w:tcW w:w="85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1.本次评标采用</w:t>
            </w:r>
            <w:r>
              <w:rPr>
                <w:rFonts w:hint="eastAsia" w:ascii="仿宋" w:hAnsi="仿宋" w:eastAsia="仿宋" w:cs="仿宋"/>
                <w:color w:val="auto"/>
                <w:sz w:val="24"/>
                <w:highlight w:val="none"/>
                <w:lang w:eastAsia="zh-CN"/>
              </w:rPr>
              <w:t>综合评分法</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评标委员会先对投标文件进行</w:t>
            </w:r>
            <w:r>
              <w:rPr>
                <w:rFonts w:hint="eastAsia" w:ascii="仿宋" w:hAnsi="仿宋" w:eastAsia="仿宋" w:cs="仿宋"/>
                <w:color w:val="auto"/>
                <w:sz w:val="24"/>
                <w:highlight w:val="none"/>
                <w:lang w:eastAsia="zh-CN"/>
              </w:rPr>
              <w:t>资格审查、</w:t>
            </w:r>
            <w:r>
              <w:rPr>
                <w:rFonts w:hint="eastAsia" w:ascii="仿宋" w:hAnsi="仿宋" w:eastAsia="仿宋" w:cs="仿宋"/>
                <w:color w:val="auto"/>
                <w:sz w:val="24"/>
                <w:highlight w:val="none"/>
              </w:rPr>
              <w:t>符合性审查，对满足招标采购文件实质性要求的投标文件再进行商务技术评审，最后进行报价评审。</w:t>
            </w:r>
          </w:p>
          <w:p>
            <w:pPr>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.投标人的</w:t>
            </w:r>
            <w:r>
              <w:rPr>
                <w:rFonts w:hint="eastAsia" w:ascii="仿宋" w:hAnsi="仿宋" w:eastAsia="仿宋" w:cs="仿宋"/>
                <w:b/>
                <w:bCs/>
                <w:color w:val="auto"/>
                <w:sz w:val="24"/>
                <w:szCs w:val="24"/>
                <w:highlight w:val="none"/>
                <w:lang w:eastAsia="zh-CN"/>
              </w:rPr>
              <w:t>评标总得分=商务技术得分</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报价得分</w:t>
            </w:r>
            <w:r>
              <w:rPr>
                <w:rFonts w:hint="eastAsia" w:ascii="仿宋" w:hAnsi="仿宋" w:eastAsia="仿宋" w:cs="仿宋"/>
                <w:color w:val="auto"/>
                <w:sz w:val="24"/>
                <w:highlight w:val="none"/>
              </w:rPr>
              <w:t>；评标委员会按照投标人最终总得分从高到低的顺序对投标人排名并编号，确定第一名为中标候选人。如出现总得分相同的，以商务技术文件得分高者优先；若商务技术得分和报价得分均相同的，由评标委员会进行投票表决得票多者为中标候选人（或现场抽签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9280" w:type="dxa"/>
            <w:gridSpan w:val="6"/>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highlight w:val="none"/>
                <w:lang w:eastAsia="zh-CN"/>
              </w:rPr>
            </w:pPr>
            <w:r>
              <w:rPr>
                <w:rFonts w:hint="eastAsia" w:ascii="仿宋" w:hAnsi="仿宋" w:eastAsia="仿宋" w:cs="仿宋"/>
                <w:b/>
                <w:color w:val="auto"/>
                <w:sz w:val="24"/>
                <w:szCs w:val="32"/>
                <w:highlight w:val="none"/>
              </w:rPr>
              <w:t>（一）资格评审</w:t>
            </w:r>
            <w:r>
              <w:rPr>
                <w:rFonts w:hint="eastAsia" w:ascii="仿宋" w:hAnsi="仿宋" w:eastAsia="仿宋" w:cs="仿宋"/>
                <w:b/>
                <w:color w:val="auto"/>
                <w:sz w:val="24"/>
                <w:szCs w:val="32"/>
                <w:highlight w:val="none"/>
                <w:lang w:eastAsia="zh-CN"/>
              </w:rPr>
              <w:t>（</w:t>
            </w:r>
            <w:r>
              <w:rPr>
                <w:rFonts w:hint="eastAsia" w:ascii="仿宋" w:hAnsi="仿宋" w:eastAsia="仿宋" w:cs="仿宋"/>
                <w:b/>
                <w:color w:val="auto"/>
                <w:sz w:val="24"/>
                <w:szCs w:val="32"/>
                <w:highlight w:val="none"/>
                <w:lang w:val="en-US" w:eastAsia="zh-CN"/>
              </w:rPr>
              <w:t>标段一、标段二</w:t>
            </w:r>
            <w:r>
              <w:rPr>
                <w:rFonts w:hint="eastAsia" w:ascii="仿宋" w:hAnsi="仿宋" w:eastAsia="仿宋" w:cs="仿宋"/>
                <w:b/>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auto"/>
                <w:highlight w:val="none"/>
              </w:rPr>
            </w:pPr>
            <w:r>
              <w:rPr>
                <w:rFonts w:hint="eastAsia" w:ascii="仿宋" w:hAnsi="仿宋" w:eastAsia="仿宋" w:cs="仿宋"/>
                <w:b/>
                <w:bCs/>
                <w:color w:val="auto"/>
                <w:szCs w:val="21"/>
                <w:highlight w:val="none"/>
              </w:rPr>
              <w:t>序号</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24"/>
                <w:szCs w:val="32"/>
                <w:highlight w:val="none"/>
              </w:rPr>
              <w:t>评审因素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24"/>
                <w:szCs w:val="3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0"/>
                <w:szCs w:val="22"/>
                <w:highlight w:val="none"/>
              </w:rPr>
            </w:pPr>
            <w:r>
              <w:rPr>
                <w:rFonts w:hint="eastAsia" w:ascii="仿宋" w:hAnsi="仿宋" w:eastAsia="仿宋" w:cs="仿宋"/>
                <w:color w:val="auto"/>
                <w:sz w:val="20"/>
                <w:szCs w:val="20"/>
                <w:highlight w:val="none"/>
              </w:rPr>
              <w:t>1</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营业执照</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具备</w:t>
            </w:r>
            <w:r>
              <w:rPr>
                <w:rFonts w:hint="eastAsia" w:ascii="仿宋" w:hAnsi="仿宋" w:eastAsia="仿宋" w:cs="仿宋"/>
                <w:bCs/>
                <w:color w:val="auto"/>
                <w:sz w:val="24"/>
                <w:highlight w:val="none"/>
              </w:rPr>
              <w:t>有效的营业执照(或事业法人登记证书)。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0"/>
                <w:szCs w:val="22"/>
                <w:highlight w:val="none"/>
              </w:rPr>
            </w:pPr>
            <w:r>
              <w:rPr>
                <w:rFonts w:hint="eastAsia" w:ascii="仿宋" w:hAnsi="仿宋" w:eastAsia="仿宋" w:cs="仿宋"/>
                <w:color w:val="auto"/>
                <w:sz w:val="20"/>
                <w:szCs w:val="20"/>
                <w:highlight w:val="none"/>
              </w:rPr>
              <w:t>2</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信用记录</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未被“信用中国”、“中国</w:t>
            </w: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网”列入失信被执行人、重大税收违法案件当事人名单、投标严重违法失信行为记录名单或尚在行政处罚期内的。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投标声明函</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具备有效的投标声明函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具有履行合同所需的场地、设备和专业技术能力的承诺函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参加投标活动前</w:t>
            </w:r>
            <w:r>
              <w:rPr>
                <w:rFonts w:hint="eastAsia" w:ascii="仿宋" w:hAnsi="仿宋" w:eastAsia="仿宋" w:cs="仿宋"/>
                <w:bCs/>
                <w:color w:val="auto"/>
                <w:sz w:val="24"/>
                <w:highlight w:val="none"/>
                <w:lang w:val="en-US" w:eastAsia="zh-CN"/>
              </w:rPr>
              <w:t>3年内在营业活动中没有重大违法记录的声明函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基本资质</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法定代表人资格书或法定代表人授权委托书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7</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其他要求</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具有其它</w:t>
            </w:r>
            <w:r>
              <w:rPr>
                <w:rFonts w:hint="eastAsia" w:ascii="仿宋" w:hAnsi="仿宋" w:eastAsia="仿宋" w:cs="仿宋"/>
                <w:bCs/>
                <w:color w:val="auto"/>
                <w:sz w:val="24"/>
                <w:highlight w:val="none"/>
              </w:rPr>
              <w:t>符合招标文件中规定的资格要求。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9280" w:type="dxa"/>
            <w:gridSpan w:val="6"/>
            <w:tcBorders>
              <w:top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（二）符合性评审</w:t>
            </w:r>
            <w:r>
              <w:rPr>
                <w:rFonts w:hint="eastAsia" w:ascii="仿宋" w:hAnsi="仿宋" w:eastAsia="仿宋" w:cs="仿宋"/>
                <w:b/>
                <w:color w:val="auto"/>
                <w:sz w:val="24"/>
                <w:szCs w:val="32"/>
                <w:highlight w:val="none"/>
                <w:lang w:eastAsia="zh-CN"/>
              </w:rPr>
              <w:t>（</w:t>
            </w:r>
            <w:r>
              <w:rPr>
                <w:rFonts w:hint="eastAsia" w:ascii="仿宋" w:hAnsi="仿宋" w:eastAsia="仿宋" w:cs="仿宋"/>
                <w:b/>
                <w:color w:val="auto"/>
                <w:sz w:val="24"/>
                <w:szCs w:val="32"/>
                <w:highlight w:val="none"/>
                <w:lang w:val="en-US" w:eastAsia="zh-CN"/>
              </w:rPr>
              <w:t>标段一、标段二</w:t>
            </w:r>
            <w:r>
              <w:rPr>
                <w:rFonts w:hint="eastAsia" w:ascii="仿宋" w:hAnsi="仿宋" w:eastAsia="仿宋" w:cs="仿宋"/>
                <w:b/>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序号</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评审因素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与有效的营业执照一致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投标文件签字盖章</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投标内容</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450"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734"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7</w:t>
            </w: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yellow"/>
                <w:lang w:eastAsia="zh-CN"/>
              </w:rPr>
              <w:t>质保期</w:t>
            </w:r>
          </w:p>
        </w:tc>
        <w:tc>
          <w:tcPr>
            <w:tcW w:w="61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3" w:hRule="atLeast"/>
        </w:trPr>
        <w:tc>
          <w:tcPr>
            <w:tcW w:w="9280" w:type="dxa"/>
            <w:gridSpan w:val="6"/>
            <w:tcBorders>
              <w:top w:val="single" w:color="auto" w:sz="4" w:space="0"/>
              <w:right w:val="single" w:color="auto" w:sz="4" w:space="0"/>
            </w:tcBorders>
            <w:noWrap w:val="0"/>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u w:val="none"/>
                <w:shd w:val="clear" w:color="auto" w:fill="auto"/>
                <w:lang w:val="zh-TW" w:eastAsia="zh-CN" w:bidi="zh-TW"/>
              </w:rPr>
              <w:t>（三）</w:t>
            </w:r>
            <w:r>
              <w:rPr>
                <w:rFonts w:hint="eastAsia" w:ascii="仿宋" w:hAnsi="仿宋" w:eastAsia="仿宋" w:cs="仿宋"/>
                <w:b/>
                <w:bCs/>
                <w:color w:val="auto"/>
                <w:kern w:val="2"/>
                <w:sz w:val="24"/>
                <w:szCs w:val="24"/>
                <w:highlight w:val="none"/>
                <w:u w:val="none"/>
                <w:shd w:val="clear" w:color="auto" w:fill="auto"/>
                <w:lang w:val="en-US" w:eastAsia="zh-CN" w:bidi="zh-TW"/>
              </w:rPr>
              <w:t>标段一</w:t>
            </w:r>
            <w:r>
              <w:rPr>
                <w:rFonts w:hint="eastAsia" w:ascii="仿宋" w:hAnsi="仿宋" w:eastAsia="仿宋" w:cs="仿宋"/>
                <w:b/>
                <w:bCs/>
                <w:color w:val="auto"/>
                <w:sz w:val="24"/>
                <w:szCs w:val="24"/>
                <w:highlight w:val="none"/>
                <w:lang w:eastAsia="zh-CN"/>
              </w:rPr>
              <w:t>商务技术分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70分</w:t>
            </w:r>
            <w:r>
              <w:rPr>
                <w:rFonts w:hint="eastAsia" w:ascii="仿宋" w:hAnsi="仿宋" w:eastAsia="仿宋" w:cs="仿宋"/>
                <w:b/>
                <w:bCs/>
                <w:color w:val="auto"/>
                <w:sz w:val="24"/>
                <w:szCs w:val="24"/>
                <w:highlight w:val="none"/>
              </w:rPr>
              <w:t>）</w:t>
            </w:r>
          </w:p>
          <w:p>
            <w:pPr>
              <w:pStyle w:val="64"/>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评标委员会成员应独立对投标供应商的投标文件打分，打分时保留小数1位，投标人最终得分为评标委员会所有成员的算术平均值，评分分值计算保留小数点后两位，小数点后第三位</w:t>
            </w:r>
            <w:r>
              <w:rPr>
                <w:rFonts w:hint="eastAsia" w:ascii="仿宋" w:hAnsi="仿宋" w:eastAsia="仿宋" w:cs="仿宋"/>
                <w:color w:val="auto"/>
                <w:sz w:val="24"/>
                <w:szCs w:val="24"/>
                <w:highlight w:val="none"/>
                <w:lang w:val="zh-CN" w:eastAsia="zh-CN" w:bidi="zh-CN"/>
              </w:rPr>
              <w:t>“四舍</w:t>
            </w:r>
            <w:r>
              <w:rPr>
                <w:rFonts w:hint="eastAsia" w:ascii="仿宋" w:hAnsi="仿宋" w:eastAsia="仿宋" w:cs="仿宋"/>
                <w:color w:val="auto"/>
                <w:sz w:val="24"/>
                <w:szCs w:val="24"/>
                <w:highlight w:val="none"/>
              </w:rPr>
              <w:t>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462" w:hRule="atLeast"/>
        </w:trPr>
        <w:tc>
          <w:tcPr>
            <w:tcW w:w="613"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bookmarkStart w:id="325" w:name="_Toc455680136"/>
            <w:bookmarkStart w:id="326" w:name="_Toc498955058"/>
            <w:bookmarkStart w:id="327" w:name="_Toc246996244"/>
            <w:bookmarkStart w:id="328" w:name="_Toc498955059"/>
            <w:bookmarkStart w:id="329" w:name="_Toc179632619"/>
            <w:bookmarkStart w:id="330" w:name="_Toc152045601"/>
            <w:bookmarkStart w:id="331" w:name="_Toc246996987"/>
            <w:bookmarkStart w:id="332" w:name="_Toc455680137"/>
            <w:bookmarkStart w:id="333" w:name="_Toc144974568"/>
            <w:bookmarkStart w:id="334" w:name="_Toc247085759"/>
            <w:bookmarkStart w:id="335" w:name="_Toc152042378"/>
            <w:r>
              <w:rPr>
                <w:rFonts w:hint="eastAsia" w:ascii="仿宋" w:hAnsi="仿宋" w:eastAsia="仿宋" w:cs="仿宋"/>
                <w:sz w:val="24"/>
                <w:szCs w:val="24"/>
              </w:rPr>
              <w:t>序号</w:t>
            </w:r>
          </w:p>
        </w:tc>
        <w:tc>
          <w:tcPr>
            <w:tcW w:w="7406" w:type="dxa"/>
            <w:gridSpan w:val="4"/>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评分标准</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671"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rPr>
              <w:t>1</w:t>
            </w:r>
          </w:p>
        </w:tc>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rPr>
              <w:t>业绩能力</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tc>
        <w:tc>
          <w:tcPr>
            <w:tcW w:w="54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eastAsia="zh-CN"/>
              </w:rPr>
              <w:t>投标人或</w:t>
            </w:r>
            <w:r>
              <w:rPr>
                <w:rFonts w:hint="eastAsia" w:ascii="仿宋" w:hAnsi="仿宋" w:eastAsia="仿宋" w:cs="仿宋"/>
                <w:color w:val="000000"/>
                <w:kern w:val="0"/>
                <w:sz w:val="24"/>
                <w:szCs w:val="24"/>
                <w:lang w:val="zh-CN" w:eastAsia="zh-CN"/>
              </w:rPr>
              <w:t>投标产品的制造商</w:t>
            </w:r>
            <w:r>
              <w:rPr>
                <w:rFonts w:hint="eastAsia" w:ascii="仿宋" w:hAnsi="仿宋" w:eastAsia="仿宋" w:cs="仿宋"/>
                <w:color w:val="000000"/>
                <w:kern w:val="0"/>
                <w:sz w:val="24"/>
                <w:szCs w:val="24"/>
                <w:lang w:eastAsia="zh-CN"/>
              </w:rPr>
              <w:t>自202</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年1月1日（以合同签订时间为准）以来完成过同类项目业绩的，每个业绩得1分，最多</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分。</w:t>
            </w:r>
            <w:r>
              <w:rPr>
                <w:rFonts w:hint="eastAsia" w:ascii="仿宋" w:hAnsi="仿宋" w:eastAsia="仿宋" w:cs="仿宋"/>
                <w:b/>
                <w:bCs/>
                <w:color w:val="000000"/>
                <w:kern w:val="0"/>
                <w:sz w:val="24"/>
                <w:szCs w:val="24"/>
              </w:rPr>
              <w:t>必须提供合同复印件（应包含能够体现具体采购内容的部分）或项目完成验收证明材料（如业主验收报告、业主评价意见或资金结算单等证明材料），不提供不得分</w:t>
            </w:r>
            <w:r>
              <w:rPr>
                <w:rFonts w:hint="eastAsia" w:ascii="仿宋" w:hAnsi="仿宋" w:eastAsia="仿宋" w:cs="仿宋"/>
                <w:b/>
                <w:bCs/>
                <w:color w:val="000000"/>
                <w:kern w:val="0"/>
                <w:sz w:val="24"/>
                <w:szCs w:val="24"/>
                <w:lang w:eastAsia="zh-CN"/>
              </w:rPr>
              <w:t>。</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000000"/>
                <w:kern w:val="0"/>
                <w:sz w:val="24"/>
                <w:szCs w:val="24"/>
              </w:rPr>
              <w:t>2</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rPr>
              <w:t>权威认证（6分</w:t>
            </w:r>
            <w:r>
              <w:rPr>
                <w:rFonts w:hint="eastAsia" w:ascii="仿宋" w:hAnsi="仿宋" w:eastAsia="仿宋" w:cs="仿宋"/>
                <w:color w:val="000000"/>
                <w:kern w:val="0"/>
                <w:sz w:val="24"/>
                <w:szCs w:val="24"/>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sz w:val="24"/>
                <w:szCs w:val="24"/>
              </w:rPr>
            </w:pPr>
            <w:r>
              <w:rPr>
                <w:rFonts w:hint="eastAsia" w:ascii="仿宋" w:hAnsi="仿宋" w:eastAsia="仿宋" w:cs="仿宋"/>
                <w:bCs/>
                <w:color w:val="000000"/>
                <w:sz w:val="24"/>
                <w:szCs w:val="24"/>
                <w:highlight w:val="none"/>
              </w:rPr>
              <w:t>投标人或产品制造商</w:t>
            </w:r>
            <w:r>
              <w:rPr>
                <w:rFonts w:hint="eastAsia" w:ascii="仿宋" w:hAnsi="仿宋" w:eastAsia="仿宋" w:cs="仿宋"/>
                <w:color w:val="000000"/>
                <w:kern w:val="0"/>
                <w:sz w:val="24"/>
                <w:szCs w:val="24"/>
              </w:rPr>
              <w:t>具备质量管理体系认证证书、环境管理体系认证证书、职业健康安全管理体系认证证书，凭相关证书清晰扫描件每项得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分，最高得</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616" w:hRule="atLeast"/>
        </w:trPr>
        <w:tc>
          <w:tcPr>
            <w:tcW w:w="613" w:type="dxa"/>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服务体系认证（4分）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所投产品的品牌获得CTEAS售后服务体系完善程度认证证书十二星级得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en-US"/>
              </w:rPr>
              <w:t>分，七星级得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分，五星级服务认证证书</w:t>
            </w:r>
            <w:r>
              <w:rPr>
                <w:rFonts w:hint="eastAsia" w:ascii="仿宋" w:hAnsi="仿宋" w:eastAsia="仿宋" w:cs="仿宋"/>
                <w:color w:val="000000"/>
                <w:kern w:val="0"/>
                <w:sz w:val="24"/>
                <w:szCs w:val="24"/>
                <w:lang w:val="en-US" w:eastAsia="zh-CN"/>
              </w:rPr>
              <w:t>得1分，没有不得分；未提供证明材料不得分</w:t>
            </w:r>
          </w:p>
          <w:p>
            <w:pPr>
              <w:spacing w:line="500" w:lineRule="exact"/>
              <w:rPr>
                <w:rFonts w:hint="eastAsia" w:ascii="仿宋" w:hAnsi="仿宋" w:eastAsia="仿宋" w:cs="仿宋"/>
                <w:color w:val="000000"/>
                <w:kern w:val="0"/>
                <w:sz w:val="24"/>
                <w:szCs w:val="24"/>
                <w:lang w:val="en-US"/>
              </w:rPr>
            </w:pP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rPr>
              <w:t>4</w:t>
            </w:r>
          </w:p>
        </w:tc>
        <w:tc>
          <w:tcPr>
            <w:tcW w:w="1944" w:type="dxa"/>
            <w:gridSpan w:val="2"/>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技术参数（32分）</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投标设备的技术参数对招标文件技术要求的响应程度。</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（1）全部满足技术参数的得</w:t>
            </w:r>
            <w:r>
              <w:rPr>
                <w:rFonts w:hint="eastAsia" w:ascii="仿宋" w:hAnsi="仿宋" w:eastAsia="仿宋" w:cs="仿宋"/>
                <w:bCs/>
                <w:color w:val="000000"/>
                <w:sz w:val="24"/>
                <w:szCs w:val="24"/>
                <w:highlight w:val="none"/>
                <w:lang w:val="en-US" w:eastAsia="zh-CN"/>
              </w:rPr>
              <w:t>32</w:t>
            </w:r>
            <w:r>
              <w:rPr>
                <w:rFonts w:hint="eastAsia" w:ascii="仿宋" w:hAnsi="仿宋" w:eastAsia="仿宋" w:cs="仿宋"/>
                <w:bCs/>
                <w:color w:val="000000"/>
                <w:sz w:val="24"/>
                <w:szCs w:val="24"/>
                <w:highlight w:val="none"/>
              </w:rPr>
              <w:t>分；</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w:t>
            </w:r>
            <w:r>
              <w:rPr>
                <w:rFonts w:hint="eastAsia" w:ascii="仿宋" w:hAnsi="仿宋" w:eastAsia="仿宋" w:cs="仿宋"/>
                <w:bCs/>
                <w:color w:val="000000"/>
                <w:sz w:val="24"/>
                <w:szCs w:val="24"/>
                <w:highlight w:val="none"/>
                <w:lang w:val="en-US" w:eastAsia="zh-CN"/>
              </w:rPr>
              <w:t>除</w:t>
            </w:r>
            <w:r>
              <w:rPr>
                <w:rFonts w:hint="eastAsia" w:ascii="仿宋" w:hAnsi="仿宋" w:eastAsia="仿宋" w:cs="仿宋"/>
                <w:bCs/>
                <w:color w:val="000000"/>
                <w:sz w:val="24"/>
                <w:szCs w:val="24"/>
                <w:highlight w:val="none"/>
              </w:rPr>
              <w:t>“★”条款</w:t>
            </w:r>
            <w:r>
              <w:rPr>
                <w:rFonts w:hint="eastAsia" w:ascii="仿宋" w:hAnsi="仿宋" w:eastAsia="仿宋" w:cs="仿宋"/>
                <w:bCs/>
                <w:color w:val="000000"/>
                <w:sz w:val="24"/>
                <w:szCs w:val="24"/>
                <w:highlight w:val="none"/>
                <w:lang w:val="en-US" w:eastAsia="zh-CN"/>
              </w:rPr>
              <w:t>外</w:t>
            </w:r>
            <w:r>
              <w:rPr>
                <w:rFonts w:hint="eastAsia" w:ascii="仿宋" w:hAnsi="仿宋" w:eastAsia="仿宋" w:cs="仿宋"/>
                <w:bCs/>
                <w:color w:val="000000"/>
                <w:sz w:val="24"/>
                <w:szCs w:val="24"/>
                <w:highlight w:val="none"/>
              </w:rPr>
              <w:t>每负偏离一条，扣4分，扣完本项目分数为止；</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（3）未响应“技术参数响应表”中带前缀“★”内容的实质性要求和条件的将导致废标；</w:t>
            </w:r>
          </w:p>
          <w:p>
            <w:pPr>
              <w:spacing w:line="500" w:lineRule="exact"/>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以上“</w:t>
            </w:r>
            <w:r>
              <w:rPr>
                <w:rFonts w:hint="eastAsia" w:ascii="仿宋" w:hAnsi="仿宋" w:eastAsia="仿宋" w:cs="仿宋"/>
                <w:b/>
                <w:bCs w:val="0"/>
                <w:color w:val="000000"/>
                <w:sz w:val="24"/>
                <w:szCs w:val="24"/>
                <w:highlight w:val="none"/>
                <w:lang w:val="en-US" w:eastAsia="zh-CN"/>
              </w:rPr>
              <w:t>技术要求和配置</w:t>
            </w:r>
            <w:r>
              <w:rPr>
                <w:rFonts w:hint="eastAsia" w:ascii="仿宋" w:hAnsi="仿宋" w:eastAsia="仿宋" w:cs="仿宋"/>
                <w:b/>
                <w:bCs w:val="0"/>
                <w:color w:val="000000"/>
                <w:sz w:val="24"/>
                <w:szCs w:val="24"/>
                <w:highlight w:val="none"/>
              </w:rPr>
              <w:t>”响应情况均须在《技术</w:t>
            </w:r>
            <w:r>
              <w:rPr>
                <w:rFonts w:hint="eastAsia" w:ascii="仿宋" w:hAnsi="仿宋" w:eastAsia="仿宋" w:cs="仿宋"/>
                <w:b/>
                <w:bCs w:val="0"/>
                <w:color w:val="000000"/>
                <w:sz w:val="24"/>
                <w:szCs w:val="24"/>
                <w:highlight w:val="none"/>
                <w:lang w:val="en-US" w:eastAsia="zh-CN"/>
              </w:rPr>
              <w:t>规格响应</w:t>
            </w:r>
            <w:r>
              <w:rPr>
                <w:rFonts w:hint="eastAsia" w:ascii="仿宋" w:hAnsi="仿宋" w:eastAsia="仿宋" w:cs="仿宋"/>
                <w:b/>
                <w:bCs w:val="0"/>
                <w:color w:val="000000"/>
                <w:sz w:val="24"/>
                <w:szCs w:val="24"/>
                <w:highlight w:val="none"/>
              </w:rPr>
              <w:t>表》中表述清楚，如表述不清，则按不满足（负偏离）处理；</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b/>
                <w:bCs w:val="0"/>
                <w:color w:val="000000"/>
                <w:sz w:val="24"/>
                <w:szCs w:val="24"/>
                <w:highlight w:val="none"/>
              </w:rPr>
              <w:t>凡“</w:t>
            </w:r>
            <w:r>
              <w:rPr>
                <w:rFonts w:hint="eastAsia" w:ascii="仿宋" w:hAnsi="仿宋" w:eastAsia="仿宋" w:cs="仿宋"/>
                <w:b/>
                <w:bCs w:val="0"/>
                <w:color w:val="000000"/>
                <w:sz w:val="24"/>
                <w:szCs w:val="24"/>
                <w:highlight w:val="yellow"/>
              </w:rPr>
              <w:t>车辆生产企业及产品公告</w:t>
            </w:r>
            <w:r>
              <w:rPr>
                <w:rFonts w:hint="eastAsia" w:ascii="仿宋" w:hAnsi="仿宋" w:eastAsia="仿宋" w:cs="仿宋"/>
                <w:b/>
                <w:bCs w:val="0"/>
                <w:color w:val="000000"/>
                <w:sz w:val="24"/>
                <w:szCs w:val="24"/>
                <w:highlight w:val="none"/>
              </w:rPr>
              <w:t>”中已有的车辆参数，投标供应商《技术</w:t>
            </w:r>
            <w:r>
              <w:rPr>
                <w:rFonts w:hint="eastAsia" w:ascii="仿宋" w:hAnsi="仿宋" w:eastAsia="仿宋" w:cs="仿宋"/>
                <w:b/>
                <w:bCs w:val="0"/>
                <w:color w:val="000000"/>
                <w:sz w:val="24"/>
                <w:szCs w:val="24"/>
                <w:highlight w:val="none"/>
                <w:lang w:val="en-US" w:eastAsia="zh-CN"/>
              </w:rPr>
              <w:t>规格响应</w:t>
            </w:r>
            <w:r>
              <w:rPr>
                <w:rFonts w:hint="eastAsia" w:ascii="仿宋" w:hAnsi="仿宋" w:eastAsia="仿宋" w:cs="仿宋"/>
                <w:b/>
                <w:bCs w:val="0"/>
                <w:color w:val="000000"/>
                <w:sz w:val="24"/>
                <w:szCs w:val="24"/>
                <w:highlight w:val="none"/>
              </w:rPr>
              <w:t>表》中的参数须与“车辆生产企业及产品公告”中的参数相一致，否则按不满足（负偏离）处理。</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944" w:type="dxa"/>
            <w:gridSpan w:val="2"/>
            <w:tcBorders>
              <w:top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kern w:val="0"/>
                <w:sz w:val="24"/>
                <w:szCs w:val="24"/>
                <w:lang w:val="en-US" w:eastAsia="zh-CN"/>
              </w:rPr>
            </w:pPr>
            <w:r>
              <w:rPr>
                <w:rFonts w:hint="eastAsia" w:ascii="仿宋" w:hAnsi="仿宋" w:eastAsia="仿宋" w:cs="仿宋"/>
                <w:bCs/>
                <w:color w:val="000000"/>
                <w:sz w:val="24"/>
                <w:szCs w:val="24"/>
                <w:highlight w:val="none"/>
                <w:lang w:val="zh-CN" w:eastAsia="zh-CN"/>
              </w:rPr>
              <w:t>投标产品的性能、可靠性、安全性、稳定性等综合比较（</w:t>
            </w:r>
            <w:r>
              <w:rPr>
                <w:rFonts w:hint="eastAsia" w:ascii="仿宋" w:hAnsi="仿宋" w:eastAsia="仿宋" w:cs="仿宋"/>
                <w:bCs/>
                <w:color w:val="000000"/>
                <w:sz w:val="24"/>
                <w:szCs w:val="24"/>
                <w:highlight w:val="none"/>
                <w:lang w:val="en-US" w:eastAsia="zh-CN"/>
              </w:rPr>
              <w:t>10分</w:t>
            </w:r>
            <w:r>
              <w:rPr>
                <w:rFonts w:hint="eastAsia" w:ascii="仿宋" w:hAnsi="仿宋" w:eastAsia="仿宋" w:cs="仿宋"/>
                <w:bCs/>
                <w:color w:val="000000"/>
                <w:sz w:val="24"/>
                <w:szCs w:val="24"/>
                <w:highlight w:val="none"/>
                <w:lang w:val="zh-CN" w:eastAsia="zh-CN"/>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b/>
                <w:bCs w:val="0"/>
                <w:color w:val="000000"/>
                <w:sz w:val="24"/>
                <w:szCs w:val="24"/>
                <w:highlight w:val="none"/>
              </w:rPr>
            </w:pPr>
            <w:r>
              <w:rPr>
                <w:rFonts w:hint="eastAsia" w:ascii="仿宋" w:hAnsi="仿宋" w:eastAsia="仿宋" w:cs="仿宋"/>
                <w:bCs/>
                <w:color w:val="000000"/>
                <w:sz w:val="24"/>
                <w:szCs w:val="24"/>
                <w:highlight w:val="none"/>
                <w:lang w:val="zh-CN" w:eastAsia="zh-CN"/>
              </w:rPr>
              <w:t>针对采购人的实际使用需求，对投标产品从①功能设计（</w:t>
            </w:r>
            <w:r>
              <w:rPr>
                <w:rFonts w:hint="eastAsia" w:ascii="仿宋" w:hAnsi="仿宋" w:eastAsia="仿宋" w:cs="仿宋"/>
                <w:bCs/>
                <w:color w:val="000000"/>
                <w:sz w:val="24"/>
                <w:szCs w:val="24"/>
                <w:highlight w:val="none"/>
                <w:lang w:val="en-US" w:eastAsia="zh-CN"/>
              </w:rPr>
              <w:t>0-4</w:t>
            </w:r>
            <w:r>
              <w:rPr>
                <w:rFonts w:hint="eastAsia" w:ascii="仿宋" w:hAnsi="仿宋" w:eastAsia="仿宋" w:cs="仿宋"/>
                <w:bCs/>
                <w:color w:val="000000"/>
                <w:sz w:val="24"/>
                <w:szCs w:val="24"/>
                <w:highlight w:val="none"/>
                <w:lang w:val="zh-CN" w:eastAsia="zh-CN"/>
              </w:rPr>
              <w:t>）、②结构设计（</w:t>
            </w:r>
            <w:r>
              <w:rPr>
                <w:rFonts w:hint="eastAsia" w:ascii="仿宋" w:hAnsi="仿宋" w:eastAsia="仿宋" w:cs="仿宋"/>
                <w:bCs/>
                <w:color w:val="000000"/>
                <w:sz w:val="24"/>
                <w:szCs w:val="24"/>
                <w:highlight w:val="none"/>
                <w:lang w:val="en-US" w:eastAsia="zh-CN"/>
              </w:rPr>
              <w:t>0-4</w:t>
            </w:r>
            <w:r>
              <w:rPr>
                <w:rFonts w:hint="eastAsia" w:ascii="仿宋" w:hAnsi="仿宋" w:eastAsia="仿宋" w:cs="仿宋"/>
                <w:bCs/>
                <w:color w:val="000000"/>
                <w:sz w:val="24"/>
                <w:szCs w:val="24"/>
                <w:highlight w:val="none"/>
                <w:lang w:val="zh-CN" w:eastAsia="zh-CN"/>
              </w:rPr>
              <w:t>）、③产品工艺（</w:t>
            </w:r>
            <w:r>
              <w:rPr>
                <w:rFonts w:hint="eastAsia" w:ascii="仿宋" w:hAnsi="仿宋" w:eastAsia="仿宋" w:cs="仿宋"/>
                <w:bCs/>
                <w:color w:val="000000"/>
                <w:sz w:val="24"/>
                <w:szCs w:val="24"/>
                <w:highlight w:val="none"/>
                <w:lang w:val="en-US" w:eastAsia="zh-CN"/>
              </w:rPr>
              <w:t>0-2</w:t>
            </w:r>
            <w:r>
              <w:rPr>
                <w:rFonts w:hint="eastAsia" w:ascii="仿宋" w:hAnsi="仿宋" w:eastAsia="仿宋" w:cs="仿宋"/>
                <w:bCs/>
                <w:color w:val="000000"/>
                <w:sz w:val="24"/>
                <w:szCs w:val="24"/>
                <w:highlight w:val="none"/>
                <w:lang w:val="zh-CN" w:eastAsia="zh-CN"/>
              </w:rPr>
              <w:t>）等方面进行综合评价。</w:t>
            </w:r>
          </w:p>
        </w:tc>
        <w:tc>
          <w:tcPr>
            <w:tcW w:w="1261" w:type="dxa"/>
            <w:tcBorders>
              <w:top w:val="single" w:color="auto" w:sz="4" w:space="0"/>
              <w:right w:val="single" w:color="auto" w:sz="4" w:space="0"/>
            </w:tcBorders>
            <w:noWrap w:val="0"/>
            <w:vAlign w:val="center"/>
          </w:tcPr>
          <w:p>
            <w:pPr>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安装、调试、验收的方案和措施</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5分</w:t>
            </w:r>
            <w:r>
              <w:rPr>
                <w:rFonts w:hint="eastAsia" w:ascii="仿宋" w:hAnsi="仿宋" w:eastAsia="仿宋" w:cs="仿宋"/>
                <w:bCs/>
                <w:color w:val="000000"/>
                <w:sz w:val="24"/>
                <w:szCs w:val="24"/>
                <w:highlight w:val="none"/>
                <w:lang w:eastAsia="zh-CN"/>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根据本项目需求状况：</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方案和措施科学有效的得4-5分；</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方案和措施良好的得2-3分；</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方案和措施基本可行的得1-2分；</w:t>
            </w:r>
          </w:p>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无方案无措施或方案措施存在明显缺陷的不得分。</w:t>
            </w:r>
          </w:p>
        </w:tc>
        <w:tc>
          <w:tcPr>
            <w:tcW w:w="1261"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370" w:hRule="atLeast"/>
        </w:trPr>
        <w:tc>
          <w:tcPr>
            <w:tcW w:w="613" w:type="dxa"/>
            <w:vMerge w:val="restart"/>
            <w:tcBorders>
              <w:top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sz w:val="24"/>
                <w:szCs w:val="24"/>
                <w:lang w:val="en-US" w:eastAsia="zh-CN"/>
              </w:rPr>
              <w:t>7</w:t>
            </w:r>
          </w:p>
        </w:tc>
        <w:tc>
          <w:tcPr>
            <w:tcW w:w="1944" w:type="dxa"/>
            <w:gridSpan w:val="2"/>
            <w:vMerge w:val="restart"/>
            <w:tcBorders>
              <w:top w:val="single" w:color="auto" w:sz="4" w:space="0"/>
              <w:right w:val="single" w:color="auto" w:sz="4" w:space="0"/>
            </w:tcBorders>
            <w:noWrap w:val="0"/>
            <w:vAlign w:val="top"/>
          </w:tcPr>
          <w:p>
            <w:pPr>
              <w:spacing w:line="500" w:lineRule="exact"/>
              <w:rPr>
                <w:rFonts w:hint="eastAsia" w:ascii="仿宋" w:hAnsi="仿宋" w:eastAsia="仿宋" w:cs="仿宋"/>
                <w:bCs/>
                <w:color w:val="000000"/>
                <w:sz w:val="24"/>
                <w:szCs w:val="24"/>
                <w:highlight w:val="none"/>
              </w:rPr>
            </w:pPr>
          </w:p>
          <w:p>
            <w:pPr>
              <w:spacing w:line="500" w:lineRule="exact"/>
              <w:jc w:val="center"/>
              <w:rPr>
                <w:rFonts w:hint="eastAsia" w:ascii="仿宋" w:hAnsi="仿宋" w:eastAsia="仿宋" w:cs="仿宋"/>
                <w:color w:val="000000"/>
                <w:kern w:val="0"/>
                <w:sz w:val="24"/>
                <w:szCs w:val="24"/>
                <w:lang w:eastAsia="zh-CN"/>
              </w:rPr>
            </w:pPr>
            <w:r>
              <w:rPr>
                <w:rFonts w:hint="eastAsia" w:ascii="仿宋" w:hAnsi="仿宋" w:eastAsia="仿宋" w:cs="仿宋"/>
                <w:bCs/>
                <w:color w:val="000000"/>
                <w:sz w:val="24"/>
                <w:szCs w:val="24"/>
                <w:highlight w:val="none"/>
              </w:rPr>
              <w:t>售后服务保障</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10分</w:t>
            </w:r>
            <w:r>
              <w:rPr>
                <w:rFonts w:hint="eastAsia" w:ascii="仿宋" w:hAnsi="仿宋" w:eastAsia="仿宋" w:cs="仿宋"/>
                <w:bCs/>
                <w:color w:val="000000"/>
                <w:sz w:val="24"/>
                <w:szCs w:val="24"/>
                <w:highlight w:val="none"/>
                <w:lang w:eastAsia="zh-CN"/>
              </w:rPr>
              <w:t>）</w:t>
            </w:r>
          </w:p>
        </w:tc>
        <w:tc>
          <w:tcPr>
            <w:tcW w:w="5462" w:type="dxa"/>
            <w:gridSpan w:val="2"/>
            <w:tcBorders>
              <w:top w:val="single" w:color="auto" w:sz="4" w:space="0"/>
              <w:right w:val="single" w:color="auto" w:sz="4" w:space="0"/>
            </w:tcBorders>
            <w:noWrap w:val="0"/>
            <w:vAlign w:val="top"/>
          </w:tcPr>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质保期内服务承诺：服务方案和措施科学有效，好的得4-5分，一般的根据投标实际酌情打分。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510" w:hRule="atLeast"/>
        </w:trPr>
        <w:tc>
          <w:tcPr>
            <w:tcW w:w="613" w:type="dxa"/>
            <w:vMerge w:val="continue"/>
            <w:tcBorders>
              <w:right w:val="single" w:color="auto" w:sz="4" w:space="0"/>
            </w:tcBorders>
            <w:noWrap w:val="0"/>
            <w:vAlign w:val="center"/>
          </w:tcPr>
          <w:p>
            <w:pPr>
              <w:spacing w:line="500" w:lineRule="exact"/>
              <w:rPr>
                <w:rFonts w:hint="eastAsia" w:ascii="仿宋" w:hAnsi="仿宋" w:eastAsia="仿宋" w:cs="仿宋"/>
              </w:rPr>
            </w:pPr>
          </w:p>
        </w:tc>
        <w:tc>
          <w:tcPr>
            <w:tcW w:w="1944" w:type="dxa"/>
            <w:gridSpan w:val="2"/>
            <w:vMerge w:val="continue"/>
            <w:tcBorders>
              <w:right w:val="single" w:color="auto" w:sz="4" w:space="0"/>
            </w:tcBorders>
            <w:noWrap w:val="0"/>
            <w:vAlign w:val="top"/>
          </w:tcPr>
          <w:p>
            <w:pPr>
              <w:tabs>
                <w:tab w:val="left" w:pos="1418"/>
              </w:tabs>
              <w:spacing w:line="300" w:lineRule="exact"/>
              <w:jc w:val="left"/>
              <w:rPr>
                <w:rFonts w:hint="eastAsia" w:ascii="仿宋" w:hAnsi="仿宋" w:eastAsia="仿宋" w:cs="仿宋"/>
              </w:rPr>
            </w:pPr>
          </w:p>
        </w:tc>
        <w:tc>
          <w:tcPr>
            <w:tcW w:w="5462" w:type="dxa"/>
            <w:gridSpan w:val="2"/>
            <w:tcBorders>
              <w:top w:val="single" w:color="auto" w:sz="4" w:space="0"/>
              <w:right w:val="single" w:color="auto" w:sz="4" w:space="0"/>
            </w:tcBorders>
            <w:noWrap w:val="0"/>
            <w:vAlign w:val="top"/>
          </w:tcPr>
          <w:p>
            <w:pPr>
              <w:spacing w:line="500" w:lineRule="exac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有特色服务和优惠方案得0-2.5分（视内容酌情打分）；提供培训方案，根据方案的合理性、措施内容是否详尽得0-2.5分。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9284" w:type="dxa"/>
            <w:gridSpan w:val="7"/>
            <w:tcBorders>
              <w:top w:val="single" w:color="auto" w:sz="4" w:space="0"/>
              <w:right w:val="single" w:color="auto" w:sz="4" w:space="0"/>
            </w:tcBorders>
            <w:noWrap w:val="0"/>
            <w:vAlign w:val="center"/>
          </w:tcPr>
          <w:p>
            <w:pPr>
              <w:pStyle w:val="49"/>
              <w:jc w:val="left"/>
              <w:rPr>
                <w:rFonts w:hint="eastAsia" w:ascii="仿宋" w:hAnsi="仿宋" w:eastAsia="仿宋" w:cs="仿宋"/>
                <w:b/>
                <w:bCs/>
                <w:szCs w:val="21"/>
              </w:rPr>
            </w:pPr>
            <w:r>
              <w:rPr>
                <w:rFonts w:hint="eastAsia" w:ascii="仿宋" w:hAnsi="仿宋" w:eastAsia="仿宋" w:cs="仿宋"/>
                <w:b/>
                <w:bCs/>
                <w:szCs w:val="21"/>
              </w:rPr>
              <w:t>注：1.如在投标文件中未涉及上述评分内容的，均按0分计。</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szCs w:val="21"/>
              </w:rPr>
            </w:pPr>
            <w:r>
              <w:rPr>
                <w:rFonts w:hint="eastAsia" w:ascii="仿宋" w:hAnsi="仿宋" w:eastAsia="仿宋" w:cs="仿宋"/>
                <w:b/>
                <w:bCs/>
                <w:szCs w:val="21"/>
              </w:rPr>
              <w:t>投标文件中提供的材料均应清晰可辨，否则不得分。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1" w:hRule="atLeast"/>
        </w:trPr>
        <w:tc>
          <w:tcPr>
            <w:tcW w:w="9284" w:type="dxa"/>
            <w:gridSpan w:val="7"/>
            <w:tcBorders>
              <w:top w:val="single" w:color="auto" w:sz="4" w:space="0"/>
              <w:right w:val="single" w:color="auto" w:sz="4" w:space="0"/>
            </w:tcBorders>
            <w:noWrap w:val="0"/>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报价分（30分）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评定评标基准价：以合格投标人且</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lang w:val="en-US" w:eastAsia="zh-CN"/>
              </w:rPr>
              <w:t>报价最低</w:t>
            </w:r>
            <w:r>
              <w:rPr>
                <w:rFonts w:hint="eastAsia" w:ascii="仿宋" w:hAnsi="仿宋" w:eastAsia="仿宋" w:cs="仿宋"/>
                <w:color w:val="000000"/>
                <w:sz w:val="24"/>
                <w:szCs w:val="24"/>
              </w:rPr>
              <w:t>的投标</w:t>
            </w:r>
            <w:r>
              <w:rPr>
                <w:rFonts w:hint="eastAsia" w:ascii="仿宋" w:hAnsi="仿宋" w:eastAsia="仿宋" w:cs="仿宋"/>
                <w:color w:val="000000"/>
                <w:sz w:val="24"/>
                <w:szCs w:val="24"/>
                <w:lang w:eastAsia="zh-CN"/>
              </w:rPr>
              <w:t>报价</w:t>
            </w:r>
            <w:r>
              <w:rPr>
                <w:rFonts w:hint="eastAsia" w:ascii="仿宋" w:hAnsi="仿宋" w:eastAsia="仿宋" w:cs="仿宋"/>
                <w:color w:val="000000"/>
                <w:sz w:val="24"/>
                <w:szCs w:val="24"/>
              </w:rPr>
              <w:t>为评标基准</w:t>
            </w:r>
            <w:r>
              <w:rPr>
                <w:rFonts w:hint="eastAsia" w:ascii="仿宋" w:hAnsi="仿宋" w:eastAsia="仿宋" w:cs="仿宋"/>
                <w:color w:val="000000"/>
                <w:sz w:val="24"/>
                <w:szCs w:val="24"/>
                <w:lang w:eastAsia="zh-CN"/>
              </w:rPr>
              <w:t>价</w:t>
            </w:r>
            <w:r>
              <w:rPr>
                <w:rFonts w:hint="eastAsia" w:ascii="仿宋" w:hAnsi="仿宋" w:eastAsia="仿宋" w:cs="仿宋"/>
                <w:color w:val="000000"/>
                <w:sz w:val="24"/>
                <w:szCs w:val="24"/>
              </w:rPr>
              <w:t>，其报价分为满分。</w:t>
            </w:r>
          </w:p>
          <w:p>
            <w:pPr>
              <w:spacing w:line="500" w:lineRule="exact"/>
              <w:ind w:firstLine="480" w:firstLineChars="200"/>
              <w:rPr>
                <w:rFonts w:hint="eastAsia" w:ascii="仿宋" w:hAnsi="仿宋" w:eastAsia="仿宋" w:cs="仿宋"/>
                <w:b/>
                <w:bCs/>
                <w:sz w:val="24"/>
                <w:lang w:val="en-US" w:eastAsia="zh-CN"/>
              </w:rPr>
            </w:pPr>
            <w:r>
              <w:rPr>
                <w:rFonts w:hint="eastAsia" w:ascii="仿宋" w:hAnsi="仿宋" w:eastAsia="仿宋" w:cs="仿宋"/>
                <w:color w:val="000000"/>
                <w:sz w:val="24"/>
                <w:szCs w:val="24"/>
              </w:rPr>
              <w:t>报价分（</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0分）=（评标基准价/投标价）X</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0，计算结果保留两位小数</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284" w:type="dxa"/>
            <w:gridSpan w:val="7"/>
            <w:tcBorders>
              <w:top w:val="single" w:color="auto" w:sz="4" w:space="0"/>
              <w:right w:val="single" w:color="auto" w:sz="4" w:space="0"/>
            </w:tcBorders>
            <w:noWrap w:val="0"/>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u w:val="none"/>
                <w:shd w:val="clear" w:color="auto" w:fill="auto"/>
                <w:lang w:val="zh-TW" w:eastAsia="zh-CN" w:bidi="zh-TW"/>
              </w:rPr>
              <w:t>（三）</w:t>
            </w:r>
            <w:r>
              <w:rPr>
                <w:rFonts w:hint="eastAsia" w:ascii="仿宋" w:hAnsi="仿宋" w:eastAsia="仿宋" w:cs="仿宋"/>
                <w:b/>
                <w:bCs/>
                <w:color w:val="auto"/>
                <w:kern w:val="2"/>
                <w:sz w:val="24"/>
                <w:szCs w:val="24"/>
                <w:highlight w:val="none"/>
                <w:u w:val="none"/>
                <w:shd w:val="clear" w:color="auto" w:fill="auto"/>
                <w:lang w:val="en-US" w:eastAsia="zh-CN" w:bidi="zh-TW"/>
              </w:rPr>
              <w:t>标段二</w:t>
            </w:r>
            <w:r>
              <w:rPr>
                <w:rFonts w:hint="eastAsia" w:ascii="仿宋" w:hAnsi="仿宋" w:eastAsia="仿宋" w:cs="仿宋"/>
                <w:b/>
                <w:bCs/>
                <w:color w:val="auto"/>
                <w:sz w:val="24"/>
                <w:szCs w:val="24"/>
                <w:highlight w:val="none"/>
                <w:lang w:eastAsia="zh-CN"/>
              </w:rPr>
              <w:t>商务技术分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70分</w:t>
            </w:r>
            <w:r>
              <w:rPr>
                <w:rFonts w:hint="eastAsia" w:ascii="仿宋" w:hAnsi="仿宋" w:eastAsia="仿宋" w:cs="仿宋"/>
                <w:b/>
                <w:bCs/>
                <w:color w:val="auto"/>
                <w:sz w:val="24"/>
                <w:szCs w:val="24"/>
                <w:highlight w:val="none"/>
              </w:rPr>
              <w:t>）</w:t>
            </w:r>
          </w:p>
          <w:p>
            <w:pPr>
              <w:pStyle w:val="64"/>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评标委员会成员应独立对投标供应商的投标文件打分，打分时保留小数1位，投标人最终得分为评标委员会所有成员的算术平均值，评分分值计算保留小数点后两位，小数点后第三位</w:t>
            </w:r>
            <w:r>
              <w:rPr>
                <w:rFonts w:hint="eastAsia" w:ascii="仿宋" w:hAnsi="仿宋" w:eastAsia="仿宋" w:cs="仿宋"/>
                <w:color w:val="auto"/>
                <w:sz w:val="24"/>
                <w:szCs w:val="24"/>
                <w:highlight w:val="none"/>
                <w:lang w:val="zh-CN" w:eastAsia="zh-CN" w:bidi="zh-CN"/>
              </w:rPr>
              <w:t>“四舍</w:t>
            </w:r>
            <w:r>
              <w:rPr>
                <w:rFonts w:hint="eastAsia" w:ascii="仿宋" w:hAnsi="仿宋" w:eastAsia="仿宋" w:cs="仿宋"/>
                <w:color w:val="auto"/>
                <w:sz w:val="24"/>
                <w:szCs w:val="24"/>
                <w:highlight w:val="none"/>
              </w:rPr>
              <w:t>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462" w:hRule="atLeast"/>
        </w:trPr>
        <w:tc>
          <w:tcPr>
            <w:tcW w:w="613"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序号</w:t>
            </w:r>
          </w:p>
        </w:tc>
        <w:tc>
          <w:tcPr>
            <w:tcW w:w="7406" w:type="dxa"/>
            <w:gridSpan w:val="4"/>
            <w:tcBorders>
              <w:top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评分标准</w:t>
            </w:r>
          </w:p>
        </w:tc>
        <w:tc>
          <w:tcPr>
            <w:tcW w:w="1261" w:type="dxa"/>
            <w:tcBorders>
              <w:top w:val="single" w:color="auto" w:sz="4" w:space="0"/>
              <w:right w:val="single" w:color="auto" w:sz="4" w:space="0"/>
            </w:tcBorders>
            <w:noWrap w:val="0"/>
            <w:vAlign w:val="center"/>
          </w:tcPr>
          <w:p>
            <w:pPr>
              <w:spacing w:line="28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671"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rPr>
              <w:t>1</w:t>
            </w:r>
          </w:p>
        </w:tc>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业绩能力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分）</w:t>
            </w:r>
          </w:p>
        </w:tc>
        <w:tc>
          <w:tcPr>
            <w:tcW w:w="54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投标人或投标产品的制造商自2021年1月1日（以合同签订时间为准）以来完成过同类项目业绩的，每个业绩得1分，最多3分。</w:t>
            </w:r>
            <w:r>
              <w:rPr>
                <w:rFonts w:hint="eastAsia" w:ascii="仿宋" w:hAnsi="仿宋" w:eastAsia="仿宋" w:cs="仿宋"/>
                <w:b/>
                <w:bCs/>
                <w:color w:val="000000"/>
                <w:kern w:val="0"/>
                <w:sz w:val="24"/>
                <w:szCs w:val="24"/>
                <w:lang w:val="en-US" w:eastAsia="zh-CN"/>
              </w:rPr>
              <w:t>必须同时提供合同复印件（应包含能够体现具体采购内容的部分）或项目完成验收证明材料（如业主验收报告、业主评价意见或资金结算单等证明材料），不提供不得分</w:t>
            </w:r>
            <w:r>
              <w:rPr>
                <w:rFonts w:hint="eastAsia" w:ascii="仿宋" w:hAnsi="仿宋" w:eastAsia="仿宋" w:cs="仿宋"/>
                <w:color w:val="000000"/>
                <w:kern w:val="0"/>
                <w:sz w:val="24"/>
                <w:szCs w:val="24"/>
                <w:lang w:val="en-US" w:eastAsia="zh-CN"/>
              </w:rPr>
              <w:t>。</w:t>
            </w:r>
          </w:p>
        </w:tc>
        <w:tc>
          <w:tcPr>
            <w:tcW w:w="1261" w:type="dxa"/>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vMerge w:val="restart"/>
            <w:tcBorders>
              <w:top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p>
            <w:pPr>
              <w:widowControl/>
              <w:jc w:val="center"/>
              <w:rPr>
                <w:rFonts w:hint="eastAsia" w:ascii="仿宋" w:hAnsi="仿宋" w:eastAsia="仿宋" w:cs="仿宋"/>
                <w:color w:val="000000"/>
                <w:kern w:val="0"/>
                <w:sz w:val="24"/>
                <w:szCs w:val="24"/>
                <w:lang w:val="en-US" w:eastAsia="zh-CN"/>
              </w:rPr>
            </w:pPr>
          </w:p>
        </w:tc>
        <w:tc>
          <w:tcPr>
            <w:tcW w:w="1944" w:type="dxa"/>
            <w:gridSpan w:val="2"/>
            <w:vMerge w:val="restart"/>
            <w:tcBorders>
              <w:top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企业能力（4分</w:t>
            </w:r>
            <w:r>
              <w:rPr>
                <w:rFonts w:hint="eastAsia" w:ascii="仿宋" w:hAnsi="仿宋" w:eastAsia="仿宋" w:cs="仿宋"/>
                <w:color w:val="000000"/>
                <w:kern w:val="0"/>
                <w:sz w:val="24"/>
                <w:szCs w:val="24"/>
                <w:lang w:eastAsia="zh-CN"/>
              </w:rPr>
              <w:t>）</w:t>
            </w:r>
          </w:p>
          <w:p>
            <w:pPr>
              <w:spacing w:line="500" w:lineRule="exact"/>
              <w:rPr>
                <w:rFonts w:hint="eastAsia" w:ascii="仿宋" w:hAnsi="仿宋" w:eastAsia="仿宋" w:cs="仿宋"/>
                <w:color w:val="000000"/>
                <w:kern w:val="0"/>
                <w:sz w:val="24"/>
                <w:szCs w:val="24"/>
                <w:lang w:val="en-US" w:eastAsia="zh-CN"/>
              </w:rPr>
            </w:pP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投标人或投标产品的制造商通过：质量管理体系认证证书、环境管理体系认证证书、职业健康安全管理体系认证证书。）提供1个得1分。以上均需提供证书复印件并加盖公章。</w:t>
            </w:r>
          </w:p>
        </w:tc>
        <w:tc>
          <w:tcPr>
            <w:tcW w:w="1261" w:type="dxa"/>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vMerge w:val="continue"/>
            <w:tcBorders>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p>
        </w:tc>
        <w:tc>
          <w:tcPr>
            <w:tcW w:w="1944" w:type="dxa"/>
            <w:gridSpan w:val="2"/>
            <w:vMerge w:val="continue"/>
            <w:tcBorders>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投标产品的</w:t>
            </w:r>
            <w:r>
              <w:rPr>
                <w:rFonts w:hint="eastAsia" w:ascii="仿宋" w:hAnsi="仿宋" w:eastAsia="仿宋" w:cs="仿宋"/>
                <w:color w:val="000000"/>
                <w:kern w:val="0"/>
                <w:sz w:val="24"/>
                <w:szCs w:val="24"/>
                <w:lang w:eastAsia="zh-CN"/>
              </w:rPr>
              <w:t>专利证书≥</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项得1分，（需提供相关专利证明材料）否则不得分。</w:t>
            </w:r>
          </w:p>
        </w:tc>
        <w:tc>
          <w:tcPr>
            <w:tcW w:w="1261" w:type="dxa"/>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lang w:val="en-US" w:eastAsia="zh-CN"/>
              </w:rPr>
              <w:t>3</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招标文件技术参数响应（</w:t>
            </w:r>
            <w:r>
              <w:rPr>
                <w:rFonts w:hint="eastAsia" w:ascii="仿宋" w:hAnsi="仿宋" w:eastAsia="仿宋" w:cs="仿宋"/>
                <w:color w:val="000000"/>
                <w:kern w:val="0"/>
                <w:sz w:val="24"/>
                <w:szCs w:val="24"/>
                <w:lang w:val="en-US" w:eastAsia="zh-CN"/>
              </w:rPr>
              <w:t>37分</w:t>
            </w:r>
            <w:r>
              <w:rPr>
                <w:rFonts w:hint="eastAsia" w:ascii="仿宋" w:hAnsi="仿宋" w:eastAsia="仿宋" w:cs="仿宋"/>
                <w:color w:val="000000"/>
                <w:kern w:val="0"/>
                <w:sz w:val="24"/>
                <w:szCs w:val="24"/>
                <w:lang w:eastAsia="zh-CN"/>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完全满足招标文件技术参数、性能要求者得37分，不满足“★”指标项者，每项扣4分；不满足非“★”指标项者，每项扣2分，本评分项扣完为止。</w:t>
            </w:r>
          </w:p>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lang w:eastAsia="zh-CN"/>
              </w:rPr>
              <w:t>评审依据：所投车辆品牌型号须提供中华人民共和国工业和信息化部公告目录发布的汽车产品公告并提供公告网站链接；参数以道路机动车辆生产企业及产品信息查询系统查询结果截图及中国汽车网查询结果截图为准。</w:t>
            </w:r>
          </w:p>
        </w:tc>
        <w:tc>
          <w:tcPr>
            <w:tcW w:w="1261" w:type="dxa"/>
            <w:tcBorders>
              <w:top w:val="single" w:color="auto" w:sz="4" w:space="0"/>
              <w:right w:val="single" w:color="auto" w:sz="4" w:space="0"/>
            </w:tcBorders>
            <w:noWrap w:val="0"/>
            <w:vAlign w:val="center"/>
          </w:tcPr>
          <w:p>
            <w:pPr>
              <w:spacing w:line="5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rPr>
            </w:pPr>
            <w:r>
              <w:rPr>
                <w:rFonts w:hint="eastAsia" w:ascii="仿宋" w:hAnsi="仿宋" w:eastAsia="仿宋" w:cs="仿宋"/>
                <w:b w:val="0"/>
                <w:bCs/>
                <w:color w:val="000000"/>
                <w:sz w:val="24"/>
                <w:szCs w:val="24"/>
                <w:lang w:val="en-US" w:eastAsia="zh-CN"/>
              </w:rPr>
              <w:t>4</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zh-CN" w:eastAsia="zh-CN"/>
              </w:rPr>
              <w:t>投标产品的性能、可靠性、安全性、稳定性等综合比较（</w:t>
            </w:r>
            <w:r>
              <w:rPr>
                <w:rFonts w:hint="eastAsia" w:ascii="仿宋" w:hAnsi="仿宋" w:eastAsia="仿宋" w:cs="仿宋"/>
                <w:color w:val="000000"/>
                <w:kern w:val="0"/>
                <w:sz w:val="24"/>
                <w:szCs w:val="24"/>
                <w:lang w:val="en-US" w:eastAsia="zh-CN"/>
              </w:rPr>
              <w:t>10分</w:t>
            </w:r>
            <w:r>
              <w:rPr>
                <w:rFonts w:hint="eastAsia" w:ascii="仿宋" w:hAnsi="仿宋" w:eastAsia="仿宋" w:cs="仿宋"/>
                <w:color w:val="000000"/>
                <w:kern w:val="0"/>
                <w:sz w:val="24"/>
                <w:szCs w:val="24"/>
                <w:lang w:val="zh-CN" w:eastAsia="zh-CN"/>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针对采购人的实际使用需求，对投标产品从①功能设计（0-4）、②结构设计（0-4）、③产品工艺（0-2）等方面进行综合评价。投标产品设计科学合理，操作简单易用、耐用实用、功能全面、技术先进的，且应用与区域需求匹配度高。</w:t>
            </w:r>
          </w:p>
        </w:tc>
        <w:tc>
          <w:tcPr>
            <w:tcW w:w="1261" w:type="dxa"/>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1590" w:hRule="atLeast"/>
        </w:trPr>
        <w:tc>
          <w:tcPr>
            <w:tcW w:w="613"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w:t>
            </w:r>
          </w:p>
        </w:tc>
        <w:tc>
          <w:tcPr>
            <w:tcW w:w="1944"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zh-CN" w:eastAsia="zh-CN"/>
              </w:rPr>
            </w:pPr>
            <w:r>
              <w:rPr>
                <w:rFonts w:hint="eastAsia" w:ascii="仿宋" w:hAnsi="仿宋" w:eastAsia="仿宋" w:cs="仿宋"/>
                <w:color w:val="000000"/>
                <w:kern w:val="0"/>
                <w:sz w:val="24"/>
                <w:szCs w:val="24"/>
                <w:lang w:val="zh-CN" w:eastAsia="zh-CN"/>
              </w:rPr>
              <w:t>产品主要液压电气（</w:t>
            </w:r>
            <w:r>
              <w:rPr>
                <w:rFonts w:hint="eastAsia" w:ascii="仿宋" w:hAnsi="仿宋" w:eastAsia="仿宋" w:cs="仿宋"/>
                <w:color w:val="000000"/>
                <w:kern w:val="0"/>
                <w:sz w:val="24"/>
                <w:szCs w:val="24"/>
                <w:lang w:val="en-US" w:eastAsia="zh-CN"/>
              </w:rPr>
              <w:t>2分</w:t>
            </w:r>
            <w:r>
              <w:rPr>
                <w:rFonts w:hint="eastAsia" w:ascii="仿宋" w:hAnsi="仿宋" w:eastAsia="仿宋" w:cs="仿宋"/>
                <w:color w:val="000000"/>
                <w:kern w:val="0"/>
                <w:sz w:val="24"/>
                <w:szCs w:val="24"/>
                <w:lang w:val="zh-CN" w:eastAsia="zh-CN"/>
              </w:rPr>
              <w:t>）</w:t>
            </w:r>
          </w:p>
        </w:tc>
        <w:tc>
          <w:tcPr>
            <w:tcW w:w="5462" w:type="dxa"/>
            <w:gridSpan w:val="2"/>
            <w:tcBorders>
              <w:top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zh-CN" w:eastAsia="zh-CN"/>
              </w:rPr>
            </w:pPr>
            <w:r>
              <w:rPr>
                <w:rFonts w:hint="eastAsia" w:ascii="仿宋" w:hAnsi="仿宋" w:eastAsia="仿宋" w:cs="仿宋"/>
                <w:color w:val="000000"/>
                <w:kern w:val="0"/>
                <w:sz w:val="24"/>
                <w:szCs w:val="24"/>
                <w:lang w:val="en-US" w:eastAsia="zh-CN"/>
              </w:rPr>
              <w:t>投标产品中</w:t>
            </w:r>
            <w:r>
              <w:rPr>
                <w:rFonts w:hint="eastAsia" w:ascii="仿宋" w:hAnsi="仿宋" w:eastAsia="仿宋" w:cs="仿宋"/>
                <w:color w:val="000000"/>
                <w:kern w:val="0"/>
                <w:sz w:val="24"/>
                <w:szCs w:val="24"/>
                <w:lang w:val="zh-CN" w:eastAsia="zh-CN"/>
              </w:rPr>
              <w:t>主要液压电气等元器件提供综合比较0~</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eastAsia="zh-CN"/>
              </w:rPr>
              <w:t>分。(提供报关单或其他材料证明，如果投标人未提供该报告，此项评分得0分)</w:t>
            </w:r>
          </w:p>
        </w:tc>
        <w:tc>
          <w:tcPr>
            <w:tcW w:w="1261" w:type="dxa"/>
            <w:tcBorders>
              <w:top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0-</w:t>
            </w:r>
            <w:r>
              <w:rPr>
                <w:rFonts w:hint="eastAsia" w:ascii="仿宋" w:hAnsi="仿宋" w:eastAsia="仿宋" w:cs="仿宋"/>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000" w:hRule="atLeast"/>
        </w:trPr>
        <w:tc>
          <w:tcPr>
            <w:tcW w:w="613" w:type="dxa"/>
            <w:tcBorders>
              <w:top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b w:val="0"/>
                <w:bCs/>
                <w:color w:val="000000"/>
                <w:sz w:val="24"/>
                <w:szCs w:val="24"/>
                <w:lang w:val="en-US" w:eastAsia="zh-CN"/>
              </w:rPr>
              <w:t>6</w:t>
            </w:r>
          </w:p>
        </w:tc>
        <w:tc>
          <w:tcPr>
            <w:tcW w:w="1944" w:type="dxa"/>
            <w:gridSpan w:val="2"/>
            <w:tcBorders>
              <w:top w:val="single" w:color="auto" w:sz="4" w:space="0"/>
              <w:right w:val="single" w:color="auto" w:sz="4" w:space="0"/>
            </w:tcBorders>
            <w:noWrap w:val="0"/>
            <w:vAlign w:val="top"/>
          </w:tcPr>
          <w:p>
            <w:pPr>
              <w:spacing w:line="500" w:lineRule="exact"/>
              <w:rPr>
                <w:rFonts w:hint="eastAsia" w:ascii="仿宋" w:hAnsi="仿宋" w:eastAsia="仿宋" w:cs="仿宋"/>
                <w:color w:val="000000"/>
                <w:kern w:val="0"/>
                <w:sz w:val="24"/>
                <w:szCs w:val="24"/>
                <w:lang w:eastAsia="zh-CN"/>
              </w:rPr>
            </w:pPr>
          </w:p>
          <w:p>
            <w:pPr>
              <w:spacing w:line="500" w:lineRule="exact"/>
              <w:rPr>
                <w:rFonts w:hint="eastAsia" w:ascii="仿宋" w:hAnsi="仿宋" w:eastAsia="仿宋" w:cs="仿宋"/>
                <w:color w:val="000000"/>
                <w:kern w:val="0"/>
                <w:sz w:val="24"/>
                <w:szCs w:val="24"/>
                <w:lang w:eastAsia="zh-CN"/>
              </w:rPr>
            </w:pPr>
          </w:p>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售后服务保障（</w:t>
            </w:r>
            <w:r>
              <w:rPr>
                <w:rFonts w:hint="eastAsia" w:ascii="仿宋" w:hAnsi="仿宋" w:eastAsia="仿宋" w:cs="仿宋"/>
                <w:color w:val="000000"/>
                <w:kern w:val="0"/>
                <w:sz w:val="24"/>
                <w:szCs w:val="24"/>
                <w:lang w:val="en-US" w:eastAsia="zh-CN"/>
              </w:rPr>
              <w:t>6分</w:t>
            </w:r>
            <w:r>
              <w:rPr>
                <w:rFonts w:hint="eastAsia" w:ascii="仿宋" w:hAnsi="仿宋" w:eastAsia="仿宋" w:cs="仿宋"/>
                <w:color w:val="000000"/>
                <w:kern w:val="0"/>
                <w:sz w:val="24"/>
                <w:szCs w:val="24"/>
                <w:lang w:eastAsia="zh-CN"/>
              </w:rPr>
              <w:t>）</w:t>
            </w:r>
          </w:p>
        </w:tc>
        <w:tc>
          <w:tcPr>
            <w:tcW w:w="5462" w:type="dxa"/>
            <w:gridSpan w:val="2"/>
            <w:tcBorders>
              <w:top w:val="single" w:color="auto" w:sz="4" w:space="0"/>
              <w:right w:val="single" w:color="auto" w:sz="4" w:space="0"/>
            </w:tcBorders>
            <w:noWrap w:val="0"/>
            <w:vAlign w:val="top"/>
          </w:tcPr>
          <w:p>
            <w:pPr>
              <w:spacing w:line="5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zh-CN" w:eastAsia="zh-CN"/>
              </w:rPr>
              <w:t>根据投标人提供的售后服务方案（质保期内及质保期外服务内容（</w:t>
            </w:r>
            <w:r>
              <w:rPr>
                <w:rFonts w:hint="eastAsia" w:ascii="仿宋" w:hAnsi="仿宋" w:eastAsia="仿宋" w:cs="仿宋"/>
                <w:color w:val="000000"/>
                <w:kern w:val="0"/>
                <w:sz w:val="24"/>
                <w:szCs w:val="24"/>
                <w:lang w:val="en-US" w:eastAsia="zh-CN"/>
              </w:rPr>
              <w:t>0-</w:t>
            </w:r>
            <w:bookmarkStart w:id="394" w:name="_GoBack"/>
            <w:bookmarkEnd w:id="394"/>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eastAsia="zh-CN"/>
              </w:rPr>
              <w:t>）、售后服务响应速度和响应时间（</w:t>
            </w:r>
            <w:r>
              <w:rPr>
                <w:rFonts w:hint="eastAsia" w:ascii="仿宋" w:hAnsi="仿宋" w:eastAsia="仿宋" w:cs="仿宋"/>
                <w:color w:val="000000"/>
                <w:kern w:val="0"/>
                <w:sz w:val="24"/>
                <w:szCs w:val="24"/>
                <w:lang w:val="en-US" w:eastAsia="zh-CN"/>
              </w:rPr>
              <w:t>0-1</w:t>
            </w:r>
            <w:r>
              <w:rPr>
                <w:rFonts w:hint="eastAsia" w:ascii="仿宋" w:hAnsi="仿宋" w:eastAsia="仿宋" w:cs="仿宋"/>
                <w:color w:val="000000"/>
                <w:kern w:val="0"/>
                <w:sz w:val="24"/>
                <w:szCs w:val="24"/>
                <w:lang w:val="zh-CN" w:eastAsia="zh-CN"/>
              </w:rPr>
              <w:t>）、售后服务保障措施、零配件供应方案、培训方案（</w:t>
            </w:r>
            <w:r>
              <w:rPr>
                <w:rFonts w:hint="eastAsia" w:ascii="仿宋" w:hAnsi="仿宋" w:eastAsia="仿宋" w:cs="仿宋"/>
                <w:color w:val="000000"/>
                <w:kern w:val="0"/>
                <w:sz w:val="24"/>
                <w:szCs w:val="24"/>
                <w:lang w:val="en-US" w:eastAsia="zh-CN"/>
              </w:rPr>
              <w:t>0-3</w:t>
            </w:r>
            <w:r>
              <w:rPr>
                <w:rFonts w:hint="eastAsia" w:ascii="仿宋" w:hAnsi="仿宋" w:eastAsia="仿宋" w:cs="仿宋"/>
                <w:color w:val="000000"/>
                <w:kern w:val="0"/>
                <w:sz w:val="24"/>
                <w:szCs w:val="24"/>
                <w:lang w:val="zh-CN" w:eastAsia="zh-CN"/>
              </w:rPr>
              <w:t>）进行评价。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 w:type="dxa"/>
          <w:cantSplit/>
          <w:trHeight w:val="2000" w:hRule="atLeast"/>
        </w:trPr>
        <w:tc>
          <w:tcPr>
            <w:tcW w:w="613" w:type="dxa"/>
            <w:tcBorders>
              <w:top w:val="single" w:color="auto" w:sz="4" w:space="0"/>
              <w:right w:val="single" w:color="auto" w:sz="4" w:space="0"/>
            </w:tcBorders>
            <w:noWrap w:val="0"/>
            <w:vAlign w:val="center"/>
          </w:tcPr>
          <w:p>
            <w:pPr>
              <w:widowControl/>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w:t>
            </w:r>
          </w:p>
        </w:tc>
        <w:tc>
          <w:tcPr>
            <w:tcW w:w="1944" w:type="dxa"/>
            <w:gridSpan w:val="2"/>
            <w:tcBorders>
              <w:top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zh-CN" w:eastAsia="zh-CN"/>
              </w:rPr>
              <w:t>检验、安装、调试与验收（</w:t>
            </w:r>
            <w:r>
              <w:rPr>
                <w:rFonts w:hint="eastAsia" w:ascii="仿宋" w:hAnsi="仿宋" w:eastAsia="仿宋" w:cs="仿宋"/>
                <w:color w:val="000000"/>
                <w:kern w:val="0"/>
                <w:sz w:val="24"/>
                <w:szCs w:val="24"/>
                <w:lang w:val="en-US" w:eastAsia="zh-CN"/>
              </w:rPr>
              <w:t>8分</w:t>
            </w:r>
            <w:r>
              <w:rPr>
                <w:rFonts w:hint="eastAsia" w:ascii="仿宋" w:hAnsi="仿宋" w:eastAsia="仿宋" w:cs="仿宋"/>
                <w:color w:val="000000"/>
                <w:kern w:val="0"/>
                <w:sz w:val="24"/>
                <w:szCs w:val="24"/>
                <w:lang w:val="zh-CN" w:eastAsia="zh-CN"/>
              </w:rPr>
              <w:t>）</w:t>
            </w:r>
          </w:p>
        </w:tc>
        <w:tc>
          <w:tcPr>
            <w:tcW w:w="5462" w:type="dxa"/>
            <w:gridSpan w:val="2"/>
            <w:tcBorders>
              <w:top w:val="single" w:color="auto" w:sz="4" w:space="0"/>
              <w:right w:val="single" w:color="auto" w:sz="4" w:space="0"/>
            </w:tcBorders>
            <w:noWrap w:val="0"/>
            <w:vAlign w:val="center"/>
          </w:tcPr>
          <w:p>
            <w:pPr>
              <w:spacing w:line="500" w:lineRule="exact"/>
              <w:rPr>
                <w:rFonts w:hint="eastAsia" w:ascii="仿宋" w:hAnsi="仿宋" w:eastAsia="仿宋" w:cs="仿宋"/>
                <w:color w:val="000000"/>
                <w:kern w:val="0"/>
                <w:sz w:val="24"/>
                <w:szCs w:val="24"/>
                <w:lang w:val="zh-CN" w:eastAsia="zh-CN"/>
              </w:rPr>
            </w:pPr>
            <w:r>
              <w:rPr>
                <w:rFonts w:hint="eastAsia" w:ascii="仿宋" w:hAnsi="仿宋" w:eastAsia="仿宋" w:cs="仿宋"/>
                <w:color w:val="000000"/>
                <w:kern w:val="0"/>
                <w:sz w:val="24"/>
                <w:szCs w:val="24"/>
                <w:lang w:val="zh-CN" w:eastAsia="zh-CN"/>
              </w:rPr>
              <w:t>对所投产品的供货方案（</w:t>
            </w:r>
            <w:r>
              <w:rPr>
                <w:rFonts w:hint="eastAsia" w:ascii="仿宋" w:hAnsi="仿宋" w:eastAsia="仿宋" w:cs="仿宋"/>
                <w:color w:val="000000"/>
                <w:kern w:val="0"/>
                <w:sz w:val="24"/>
                <w:szCs w:val="24"/>
                <w:lang w:val="en-US" w:eastAsia="zh-CN"/>
              </w:rPr>
              <w:t>0-3</w:t>
            </w:r>
            <w:r>
              <w:rPr>
                <w:rFonts w:hint="eastAsia" w:ascii="仿宋" w:hAnsi="仿宋" w:eastAsia="仿宋" w:cs="仿宋"/>
                <w:color w:val="000000"/>
                <w:kern w:val="0"/>
                <w:sz w:val="24"/>
                <w:szCs w:val="24"/>
                <w:lang w:val="zh-CN" w:eastAsia="zh-CN"/>
              </w:rPr>
              <w:t>）、安装调试方案（</w:t>
            </w:r>
            <w:r>
              <w:rPr>
                <w:rFonts w:hint="eastAsia" w:ascii="仿宋" w:hAnsi="仿宋" w:eastAsia="仿宋" w:cs="仿宋"/>
                <w:color w:val="000000"/>
                <w:kern w:val="0"/>
                <w:sz w:val="24"/>
                <w:szCs w:val="24"/>
                <w:lang w:val="en-US" w:eastAsia="zh-CN"/>
              </w:rPr>
              <w:t>0-3</w:t>
            </w:r>
            <w:r>
              <w:rPr>
                <w:rFonts w:hint="eastAsia" w:ascii="仿宋" w:hAnsi="仿宋" w:eastAsia="仿宋" w:cs="仿宋"/>
                <w:color w:val="000000"/>
                <w:kern w:val="0"/>
                <w:sz w:val="24"/>
                <w:szCs w:val="24"/>
                <w:lang w:val="zh-CN" w:eastAsia="zh-CN"/>
              </w:rPr>
              <w:t>）、验收方案（</w:t>
            </w:r>
            <w:r>
              <w:rPr>
                <w:rFonts w:hint="eastAsia" w:ascii="仿宋" w:hAnsi="仿宋" w:eastAsia="仿宋" w:cs="仿宋"/>
                <w:color w:val="000000"/>
                <w:kern w:val="0"/>
                <w:sz w:val="24"/>
                <w:szCs w:val="24"/>
                <w:lang w:val="en-US" w:eastAsia="zh-CN"/>
              </w:rPr>
              <w:t>0-2</w:t>
            </w:r>
            <w:r>
              <w:rPr>
                <w:rFonts w:hint="eastAsia" w:ascii="仿宋" w:hAnsi="仿宋" w:eastAsia="仿宋" w:cs="仿宋"/>
                <w:color w:val="000000"/>
                <w:kern w:val="0"/>
                <w:sz w:val="24"/>
                <w:szCs w:val="24"/>
                <w:lang w:val="zh-CN" w:eastAsia="zh-CN"/>
              </w:rPr>
              <w:t>）等内容进行评审。</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9284" w:type="dxa"/>
            <w:gridSpan w:val="7"/>
            <w:tcBorders>
              <w:top w:val="single" w:color="auto" w:sz="4" w:space="0"/>
              <w:right w:val="single" w:color="auto" w:sz="4" w:space="0"/>
            </w:tcBorders>
            <w:noWrap w:val="0"/>
            <w:vAlign w:val="center"/>
          </w:tcPr>
          <w:p>
            <w:pPr>
              <w:pStyle w:val="49"/>
              <w:jc w:val="left"/>
              <w:rPr>
                <w:rFonts w:hint="eastAsia" w:ascii="仿宋" w:hAnsi="仿宋" w:eastAsia="仿宋" w:cs="仿宋"/>
                <w:b/>
                <w:bCs/>
                <w:szCs w:val="21"/>
              </w:rPr>
            </w:pPr>
            <w:r>
              <w:rPr>
                <w:rFonts w:hint="eastAsia" w:ascii="仿宋" w:hAnsi="仿宋" w:eastAsia="仿宋" w:cs="仿宋"/>
                <w:b/>
                <w:bCs/>
                <w:szCs w:val="21"/>
              </w:rPr>
              <w:t>注：1.如在投标文件中未涉及上述评分内容的，均按0分计。</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szCs w:val="21"/>
              </w:rPr>
            </w:pPr>
            <w:r>
              <w:rPr>
                <w:rFonts w:hint="eastAsia" w:ascii="仿宋" w:hAnsi="仿宋" w:eastAsia="仿宋" w:cs="仿宋"/>
                <w:b/>
                <w:bCs/>
                <w:szCs w:val="21"/>
              </w:rPr>
              <w:t>投标文件中提供的材料均应清晰可辨，否则不得分。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61" w:hRule="atLeast"/>
        </w:trPr>
        <w:tc>
          <w:tcPr>
            <w:tcW w:w="9284" w:type="dxa"/>
            <w:gridSpan w:val="7"/>
            <w:tcBorders>
              <w:top w:val="single" w:color="auto" w:sz="4" w:space="0"/>
              <w:right w:val="single" w:color="auto" w:sz="4" w:space="0"/>
            </w:tcBorders>
            <w:noWrap w:val="0"/>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报价分（30分）</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评定评标基准价：以合格投标人且</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lang w:val="en-US" w:eastAsia="zh-CN"/>
              </w:rPr>
              <w:t>报价最低</w:t>
            </w:r>
            <w:r>
              <w:rPr>
                <w:rFonts w:hint="eastAsia" w:ascii="仿宋" w:hAnsi="仿宋" w:eastAsia="仿宋" w:cs="仿宋"/>
                <w:color w:val="000000"/>
                <w:sz w:val="24"/>
                <w:szCs w:val="24"/>
              </w:rPr>
              <w:t>的投标</w:t>
            </w:r>
            <w:r>
              <w:rPr>
                <w:rFonts w:hint="eastAsia" w:ascii="仿宋" w:hAnsi="仿宋" w:eastAsia="仿宋" w:cs="仿宋"/>
                <w:color w:val="000000"/>
                <w:sz w:val="24"/>
                <w:szCs w:val="24"/>
                <w:lang w:eastAsia="zh-CN"/>
              </w:rPr>
              <w:t>报价</w:t>
            </w:r>
            <w:r>
              <w:rPr>
                <w:rFonts w:hint="eastAsia" w:ascii="仿宋" w:hAnsi="仿宋" w:eastAsia="仿宋" w:cs="仿宋"/>
                <w:color w:val="000000"/>
                <w:sz w:val="24"/>
                <w:szCs w:val="24"/>
              </w:rPr>
              <w:t>为评标基准</w:t>
            </w:r>
            <w:r>
              <w:rPr>
                <w:rFonts w:hint="eastAsia" w:ascii="仿宋" w:hAnsi="仿宋" w:eastAsia="仿宋" w:cs="仿宋"/>
                <w:color w:val="000000"/>
                <w:sz w:val="24"/>
                <w:szCs w:val="24"/>
                <w:lang w:eastAsia="zh-CN"/>
              </w:rPr>
              <w:t>价</w:t>
            </w:r>
            <w:r>
              <w:rPr>
                <w:rFonts w:hint="eastAsia" w:ascii="仿宋" w:hAnsi="仿宋" w:eastAsia="仿宋" w:cs="仿宋"/>
                <w:color w:val="000000"/>
                <w:sz w:val="24"/>
                <w:szCs w:val="24"/>
              </w:rPr>
              <w:t>，其报价分为满分。</w:t>
            </w:r>
          </w:p>
          <w:p>
            <w:pPr>
              <w:spacing w:line="500" w:lineRule="exact"/>
              <w:ind w:firstLine="480" w:firstLineChars="200"/>
              <w:rPr>
                <w:rFonts w:hint="eastAsia" w:ascii="仿宋" w:hAnsi="仿宋" w:eastAsia="仿宋" w:cs="仿宋"/>
                <w:b/>
                <w:bCs/>
                <w:sz w:val="24"/>
                <w:lang w:val="en-US" w:eastAsia="zh-CN"/>
              </w:rPr>
            </w:pPr>
            <w:r>
              <w:rPr>
                <w:rFonts w:hint="eastAsia" w:ascii="仿宋" w:hAnsi="仿宋" w:eastAsia="仿宋" w:cs="仿宋"/>
                <w:color w:val="000000"/>
                <w:sz w:val="24"/>
                <w:szCs w:val="24"/>
              </w:rPr>
              <w:t>报价分（</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0分）=（评标基准价/投标价）X</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0，计算结果保留两位小数</w:t>
            </w:r>
            <w:r>
              <w:rPr>
                <w:rFonts w:hint="eastAsia" w:ascii="仿宋" w:hAnsi="仿宋" w:eastAsia="仿宋" w:cs="仿宋"/>
                <w:color w:val="000000"/>
                <w:sz w:val="24"/>
                <w:szCs w:val="24"/>
                <w:lang w:eastAsia="zh-CN"/>
              </w:rPr>
              <w:t>。</w:t>
            </w:r>
          </w:p>
        </w:tc>
      </w:tr>
    </w:tbl>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四、评标办法</w:t>
      </w:r>
      <w:bookmarkEnd w:id="325"/>
      <w:bookmarkEnd w:id="326"/>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详见评标办法前附表。</w:t>
      </w:r>
    </w:p>
    <w:p>
      <w:pPr>
        <w:pStyle w:val="5"/>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五、评审标准</w:t>
      </w:r>
      <w:bookmarkEnd w:id="327"/>
      <w:bookmarkEnd w:id="328"/>
      <w:bookmarkEnd w:id="329"/>
      <w:bookmarkEnd w:id="330"/>
      <w:bookmarkEnd w:id="331"/>
      <w:bookmarkEnd w:id="332"/>
      <w:bookmarkEnd w:id="333"/>
      <w:bookmarkEnd w:id="334"/>
      <w:bookmarkEnd w:id="335"/>
    </w:p>
    <w:p>
      <w:pPr>
        <w:pStyle w:val="6"/>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36" w:name="_Toc455680138"/>
      <w:bookmarkStart w:id="337" w:name="_Toc179632620"/>
      <w:bookmarkStart w:id="338" w:name="_Toc152045602"/>
      <w:bookmarkStart w:id="339" w:name="_Toc246996245"/>
      <w:bookmarkStart w:id="340" w:name="_Toc247085760"/>
      <w:bookmarkStart w:id="341" w:name="_Toc152042379"/>
      <w:bookmarkStart w:id="342" w:name="_Toc144974569"/>
      <w:bookmarkStart w:id="343" w:name="_Toc498955060"/>
      <w:bookmarkStart w:id="344" w:name="_Toc246996988"/>
      <w:r>
        <w:rPr>
          <w:rFonts w:hint="eastAsia" w:ascii="仿宋" w:hAnsi="仿宋" w:eastAsia="仿宋" w:cs="仿宋"/>
          <w:color w:val="auto"/>
          <w:highlight w:val="none"/>
        </w:rPr>
        <w:t>（一）符合性评审标准</w:t>
      </w:r>
      <w:bookmarkEnd w:id="336"/>
      <w:bookmarkEnd w:id="337"/>
      <w:bookmarkEnd w:id="338"/>
      <w:bookmarkEnd w:id="339"/>
      <w:bookmarkEnd w:id="340"/>
      <w:bookmarkEnd w:id="341"/>
      <w:bookmarkEnd w:id="342"/>
      <w:bookmarkEnd w:id="343"/>
      <w:bookmarkEnd w:id="344"/>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评审标准：见评标办法前附表。</w:t>
      </w:r>
    </w:p>
    <w:p>
      <w:pPr>
        <w:pStyle w:val="6"/>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45" w:name="_Toc246996989"/>
      <w:bookmarkStart w:id="346" w:name="_Toc144974570"/>
      <w:bookmarkStart w:id="347" w:name="_Toc152045603"/>
      <w:bookmarkStart w:id="348" w:name="_Toc179632621"/>
      <w:bookmarkStart w:id="349" w:name="_Toc498955061"/>
      <w:bookmarkStart w:id="350" w:name="_Toc246996246"/>
      <w:bookmarkStart w:id="351" w:name="_Toc247085761"/>
      <w:bookmarkStart w:id="352" w:name="_Toc152042380"/>
      <w:bookmarkStart w:id="353" w:name="_Toc455680139"/>
      <w:r>
        <w:rPr>
          <w:rFonts w:hint="eastAsia" w:ascii="仿宋" w:hAnsi="仿宋" w:eastAsia="仿宋" w:cs="仿宋"/>
          <w:color w:val="auto"/>
          <w:highlight w:val="none"/>
        </w:rPr>
        <w:t>（二）分值构成与评分标准</w:t>
      </w:r>
      <w:bookmarkEnd w:id="345"/>
      <w:bookmarkEnd w:id="346"/>
      <w:bookmarkEnd w:id="347"/>
      <w:bookmarkEnd w:id="348"/>
      <w:bookmarkEnd w:id="349"/>
      <w:bookmarkEnd w:id="350"/>
      <w:bookmarkEnd w:id="351"/>
      <w:bookmarkEnd w:id="352"/>
      <w:bookmarkEnd w:id="353"/>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分值构成</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2.评标基准价计算</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评标基准价计算方法：见评标办法前附表。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投标报价的计算方式</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报价得分计算公式：见评标办法前附表。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4.评分标准</w:t>
      </w:r>
      <w:bookmarkStart w:id="354" w:name="_Toc455680140"/>
      <w:bookmarkStart w:id="355" w:name="_Toc152045604"/>
      <w:bookmarkStart w:id="356" w:name="_Toc152042381"/>
      <w:bookmarkStart w:id="357" w:name="_Toc246996247"/>
      <w:bookmarkStart w:id="358" w:name="_Toc179632622"/>
      <w:bookmarkStart w:id="359" w:name="_Toc144974571"/>
      <w:bookmarkStart w:id="360" w:name="_Toc246996990"/>
      <w:bookmarkStart w:id="361" w:name="_Toc247085762"/>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评分标准：见评标办法前附表；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（2）投标报价评分标准：见评标办法前附表；</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5.投标人综合得分=</w:t>
      </w:r>
      <w:r>
        <w:rPr>
          <w:rFonts w:hint="eastAsia" w:ascii="仿宋" w:hAnsi="仿宋" w:eastAsia="仿宋" w:cs="仿宋"/>
          <w:color w:val="auto"/>
          <w:sz w:val="24"/>
          <w:highlight w:val="none"/>
          <w:lang w:eastAsia="zh-CN"/>
        </w:rPr>
        <w:t>商务技术分</w:t>
      </w:r>
      <w:r>
        <w:rPr>
          <w:rFonts w:hint="eastAsia" w:ascii="仿宋" w:hAnsi="仿宋" w:eastAsia="仿宋" w:cs="仿宋"/>
          <w:color w:val="auto"/>
          <w:sz w:val="24"/>
          <w:highlight w:val="none"/>
        </w:rPr>
        <w:t>+报价分</w:t>
      </w:r>
    </w:p>
    <w:bookmarkEnd w:id="354"/>
    <w:bookmarkEnd w:id="355"/>
    <w:bookmarkEnd w:id="356"/>
    <w:bookmarkEnd w:id="357"/>
    <w:bookmarkEnd w:id="358"/>
    <w:bookmarkEnd w:id="359"/>
    <w:bookmarkEnd w:id="360"/>
    <w:bookmarkEnd w:id="361"/>
    <w:p>
      <w:pPr>
        <w:pStyle w:val="6"/>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bookmarkStart w:id="362" w:name="_Toc152042385"/>
      <w:bookmarkStart w:id="363" w:name="_Toc455680143"/>
      <w:bookmarkStart w:id="364" w:name="_Toc498955065"/>
      <w:bookmarkStart w:id="365" w:name="_Toc246996993"/>
      <w:bookmarkStart w:id="366" w:name="_Toc179632625"/>
      <w:bookmarkStart w:id="367" w:name="_Toc152045607"/>
      <w:bookmarkStart w:id="368" w:name="_Toc144974575"/>
      <w:bookmarkStart w:id="369" w:name="_Toc246996250"/>
      <w:bookmarkStart w:id="370" w:name="_Toc247085765"/>
      <w:r>
        <w:rPr>
          <w:rFonts w:hint="eastAsia" w:ascii="仿宋" w:hAnsi="仿宋" w:eastAsia="仿宋" w:cs="仿宋"/>
          <w:color w:val="auto"/>
          <w:highlight w:val="none"/>
        </w:rPr>
        <w:t>（三）投标文件的澄清</w:t>
      </w:r>
      <w:bookmarkEnd w:id="362"/>
      <w:bookmarkEnd w:id="363"/>
      <w:bookmarkEnd w:id="364"/>
      <w:bookmarkEnd w:id="365"/>
      <w:bookmarkEnd w:id="366"/>
      <w:bookmarkEnd w:id="367"/>
      <w:bookmarkEnd w:id="368"/>
      <w:bookmarkEnd w:id="369"/>
      <w:bookmarkEnd w:id="370"/>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bookmarkStart w:id="371" w:name="_Toc455680144"/>
      <w:bookmarkStart w:id="372" w:name="_Toc152045608"/>
      <w:bookmarkStart w:id="373" w:name="_Toc246996994"/>
      <w:bookmarkStart w:id="374" w:name="_Toc247085766"/>
      <w:bookmarkStart w:id="375" w:name="_Toc246996251"/>
      <w:bookmarkStart w:id="376" w:name="_Toc179632626"/>
      <w:bookmarkStart w:id="377" w:name="_Toc144974576"/>
      <w:bookmarkStart w:id="378" w:name="_Toc152042386"/>
      <w:r>
        <w:rPr>
          <w:rFonts w:hint="eastAsia" w:ascii="仿宋" w:hAnsi="仿宋" w:eastAsia="仿宋" w:cs="仿宋"/>
          <w:color w:val="auto"/>
          <w:sz w:val="24"/>
          <w:highlight w:val="none"/>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投标文件中含义不明确、同类问题表述不一致或者有明显文字和计算错误的内容，评标委员会应当采用通过书面形式要求投标人作出必要的澄清、说明或者补正。投标人拒不澄清确认的，评标委员会应当否决其投标。</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3.投标人的澄清、说明或者补正应当采用通过书面形式，并加盖单位公章。投标人的澄清、说明或者补正不得超出投标文件的范围或者改变投标文件的实质性内容。</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（1）投标文件中报价一览表内容与投标文件中相应内容不一致的，以报价一览表为准；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同时出现两种以上不一致的，按照前款规定的顺序修正。修正后的报价投标人确认后产生约束力，投标人不确认的，其投标无效。</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5.评标委员会对投标人提交的澄清、说明或补正有疑问的，可以要求投标人进一步澄清、说明或补正，直至满足评标委员会的要求。</w:t>
      </w:r>
    </w:p>
    <w:p>
      <w:pPr>
        <w:pStyle w:val="12"/>
        <w:pageBreakBefore w:val="0"/>
        <w:widowControl w:val="0"/>
        <w:kinsoku/>
        <w:wordWrap/>
        <w:overflowPunct/>
        <w:topLinePunct w:val="0"/>
        <w:autoSpaceDE/>
        <w:autoSpaceDN/>
        <w:bidi w:val="0"/>
        <w:spacing w:after="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根据相关法律法规的规定，评标委员会认为投标人的报价明显低于其他通过符合性审查投标人的报价，有可能影响产品质量或者不能诚信履约的，应当要求其在评标现场合理的时间内通过钉钉直播群提供线上说明，必要时提交相关证明材料。投标人不能在规定时间内合理说明原因并提供证明材料的，评标委员会应当将该投标人的投标文件作无效处理，并在评标报告中说明。 </w:t>
      </w:r>
    </w:p>
    <w:p>
      <w:pPr>
        <w:pStyle w:val="6"/>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（四）有下列情况之一的，投标无效：</w:t>
      </w:r>
    </w:p>
    <w:p>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1.投标人不具备招标文件中规定的资格要求的（投标人未提供有效的</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2.如以联合体形式参加投标的，联合体协议不符合招标文件规定的联合体协议要求的；</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3.投标文件未按招标文件及更正、澄清后的内容编制，又不符合实质性要求的；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4.投标文件中</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授权书所载内容与本项目内容有异的；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5.投标文件未按照招标文件要求编制、签署、盖章的；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6.未在规定时间内提交投标文件的；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7.投标文件中承诺的投标有效期、服务期、质保期等商务条款不能满足招标采购文件要求的；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8.投标文件含有采购人不能接受的附加条件的；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9.投标文件内容不符合采购需求中实质性要求的；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10.投标技术方案不明确，存在一个或一个以上备选（替代）投标方案的；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11.投标文件出现不是唯一的、有选择性投标报价的,未采用人民币报价或者未按照招标采购文件标明的方式报价的;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12.投标报价高于本项目采购预算或者最高限价的;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14.投标文件内容填写不完整或字迹不能辨认或有漏项的；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15.投标人对根据修正原则修正后的报价不确认的；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16.投标文件对招标采购文件的偏差超出招标采购文件规定的偏差范围或最高项数；</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18.投标人提供虚假材料投标的；（包括但不限于以下情节）；</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（3）提供虚假的</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或者主要技术人员简历、劳动关系证明、社保证明；</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19.投标人有恶意串通、妨碍其他投标人的竞争行为、损害采购人或者其他投标人的合法权益情形的；有下列情形之一的，属于或视为恶意串通，其投标无效；</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（4）属于同一集团、协会、商会等组织成员的供应商按照该组织要求协同参加投标；</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（6）供应商之间商定部分供应商放弃参加投标或者放弃中标、成交；</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20.法律、法规、规章（适用本县的）及省级以上规范性文件（适用本县的）规定的其他无效情形。</w:t>
      </w:r>
    </w:p>
    <w:p>
      <w:pPr>
        <w:pStyle w:val="6"/>
        <w:pageBreakBefore w:val="0"/>
        <w:widowControl w:val="0"/>
        <w:kinsoku/>
        <w:wordWrap/>
        <w:overflowPunct/>
        <w:topLinePunct w:val="0"/>
        <w:autoSpaceDE/>
        <w:autoSpaceDN/>
        <w:bidi w:val="0"/>
        <w:spacing w:line="430" w:lineRule="exact"/>
        <w:textAlignment w:val="auto"/>
        <w:rPr>
          <w:rFonts w:hint="eastAsia" w:ascii="仿宋" w:hAnsi="仿宋" w:eastAsia="仿宋" w:cs="仿宋"/>
          <w:color w:val="auto"/>
          <w:highlight w:val="none"/>
        </w:rPr>
      </w:pPr>
      <w:bookmarkStart w:id="379" w:name="_Toc498955066"/>
      <w:r>
        <w:rPr>
          <w:rFonts w:hint="eastAsia" w:ascii="仿宋" w:hAnsi="仿宋" w:eastAsia="仿宋" w:cs="仿宋"/>
          <w:color w:val="auto"/>
          <w:highlight w:val="none"/>
        </w:rPr>
        <w:t>（五）</w:t>
      </w:r>
      <w:bookmarkEnd w:id="371"/>
      <w:bookmarkEnd w:id="372"/>
      <w:bookmarkEnd w:id="373"/>
      <w:bookmarkEnd w:id="374"/>
      <w:bookmarkEnd w:id="375"/>
      <w:bookmarkEnd w:id="376"/>
      <w:bookmarkEnd w:id="377"/>
      <w:bookmarkEnd w:id="378"/>
      <w:bookmarkEnd w:id="379"/>
      <w:r>
        <w:rPr>
          <w:rFonts w:hint="eastAsia" w:ascii="仿宋" w:hAnsi="仿宋" w:eastAsia="仿宋" w:cs="仿宋"/>
          <w:color w:val="auto"/>
          <w:highlight w:val="none"/>
        </w:rPr>
        <w:t>评标报告</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1.评标报告与推荐中标候选人。评标委员会根据全体评标成员签字的原始评标记录和评标结果编写评标报告，并推荐中标候选人，评审报告由评标委员会成员签字确认提交。</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2.评标争议事项处理。评标委员会成员对需要共同认定的事项存在争议的，应当按照少数服从多数的原则作出结论。持不同意见的评标委员会成员应当在评标报告上签署不同意见及理由，否则视为同意评标报告。</w:t>
      </w:r>
      <w:bookmarkStart w:id="380" w:name="_Toc25961"/>
    </w:p>
    <w:p>
      <w:pPr>
        <w:pStyle w:val="4"/>
        <w:rPr>
          <w:rFonts w:hint="eastAsia" w:ascii="仿宋" w:hAnsi="仿宋" w:eastAsia="仿宋" w:cs="仿宋"/>
          <w:color w:val="auto"/>
          <w:szCs w:val="21"/>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highlight w:val="none"/>
        </w:rPr>
        <w:t>第六章  投标文件格式</w:t>
      </w:r>
      <w:bookmarkEnd w:id="380"/>
    </w:p>
    <w:p>
      <w:pPr>
        <w:pStyle w:val="23"/>
        <w:rPr>
          <w:rFonts w:hint="eastAsia" w:ascii="仿宋" w:hAnsi="仿宋" w:eastAsia="仿宋" w:cs="仿宋"/>
          <w:color w:val="auto"/>
          <w:sz w:val="60"/>
          <w:szCs w:val="60"/>
          <w:highlight w:val="none"/>
        </w:rPr>
      </w:pPr>
      <w:r>
        <w:rPr>
          <w:rFonts w:hint="eastAsia" w:ascii="仿宋" w:hAnsi="仿宋" w:eastAsia="仿宋" w:cs="仿宋"/>
          <w:color w:val="auto"/>
          <w:highlight w:val="none"/>
        </w:rPr>
        <w:t>投标文件封面格式(可选用)</w:t>
      </w:r>
      <w:r>
        <w:rPr>
          <w:rFonts w:hint="eastAsia" w:ascii="仿宋" w:hAnsi="仿宋" w:eastAsia="仿宋" w:cs="仿宋"/>
          <w:color w:val="auto"/>
          <w:sz w:val="60"/>
          <w:szCs w:val="60"/>
          <w:highlight w:val="none"/>
        </w:rPr>
        <w:t xml:space="preserve">          </w:t>
      </w:r>
    </w:p>
    <w:p>
      <w:pPr>
        <w:jc w:val="left"/>
        <w:rPr>
          <w:rFonts w:hint="eastAsia" w:ascii="仿宋" w:hAnsi="仿宋" w:eastAsia="仿宋" w:cs="仿宋"/>
          <w:color w:val="auto"/>
          <w:sz w:val="60"/>
          <w:szCs w:val="60"/>
          <w:highlight w:val="none"/>
        </w:rPr>
      </w:pPr>
    </w:p>
    <w:p>
      <w:pPr>
        <w:jc w:val="right"/>
        <w:rPr>
          <w:rFonts w:hint="eastAsia" w:ascii="仿宋" w:hAnsi="仿宋" w:eastAsia="仿宋" w:cs="仿宋"/>
          <w:color w:val="auto"/>
          <w:sz w:val="32"/>
          <w:szCs w:val="32"/>
          <w:highlight w:val="none"/>
        </w:rPr>
      </w:pPr>
      <w:r>
        <w:rPr>
          <w:rFonts w:hint="eastAsia" w:ascii="仿宋" w:hAnsi="仿宋" w:eastAsia="仿宋" w:cs="仿宋"/>
          <w:color w:val="auto"/>
          <w:sz w:val="60"/>
          <w:szCs w:val="60"/>
          <w:highlight w:val="none"/>
        </w:rPr>
        <w:t xml:space="preserve">  </w:t>
      </w:r>
    </w:p>
    <w:p>
      <w:pPr>
        <w:jc w:val="both"/>
        <w:rPr>
          <w:rFonts w:hint="eastAsia" w:ascii="仿宋" w:hAnsi="仿宋" w:eastAsia="仿宋" w:cs="仿宋"/>
          <w:color w:val="auto"/>
          <w:sz w:val="120"/>
          <w:szCs w:val="120"/>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投标文件</w:t>
      </w:r>
    </w:p>
    <w:p>
      <w:pPr>
        <w:jc w:val="center"/>
        <w:rPr>
          <w:rFonts w:hint="eastAsia" w:ascii="仿宋" w:hAnsi="仿宋" w:eastAsia="仿宋" w:cs="仿宋"/>
          <w:color w:val="auto"/>
          <w:sz w:val="56"/>
          <w:szCs w:val="56"/>
          <w:highlight w:val="none"/>
        </w:rPr>
      </w:pPr>
      <w:r>
        <w:rPr>
          <w:rFonts w:hint="eastAsia" w:ascii="仿宋" w:hAnsi="仿宋" w:eastAsia="仿宋" w:cs="仿宋"/>
          <w:color w:val="auto"/>
          <w:sz w:val="44"/>
          <w:szCs w:val="44"/>
          <w:highlight w:val="none"/>
        </w:rPr>
        <w:t>（</w:t>
      </w:r>
      <w:r>
        <w:rPr>
          <w:rFonts w:hint="eastAsia" w:ascii="仿宋" w:hAnsi="仿宋" w:eastAsia="仿宋" w:cs="仿宋"/>
          <w:color w:val="auto"/>
          <w:sz w:val="44"/>
          <w:szCs w:val="44"/>
          <w:highlight w:val="none"/>
          <w:lang w:eastAsia="zh-CN"/>
        </w:rPr>
        <w:t>资格文件</w:t>
      </w:r>
      <w:r>
        <w:rPr>
          <w:rFonts w:hint="eastAsia" w:ascii="仿宋" w:hAnsi="仿宋" w:eastAsia="仿宋" w:cs="仿宋"/>
          <w:color w:val="auto"/>
          <w:sz w:val="44"/>
          <w:szCs w:val="44"/>
          <w:highlight w:val="none"/>
          <w:lang w:val="en-US" w:eastAsia="zh-CN"/>
        </w:rPr>
        <w:t>/</w:t>
      </w:r>
      <w:r>
        <w:rPr>
          <w:rFonts w:hint="eastAsia" w:ascii="仿宋" w:hAnsi="仿宋" w:eastAsia="仿宋" w:cs="仿宋"/>
          <w:color w:val="auto"/>
          <w:sz w:val="44"/>
          <w:szCs w:val="44"/>
          <w:highlight w:val="none"/>
          <w:lang w:eastAsia="zh-CN"/>
        </w:rPr>
        <w:t>商务技术文件</w:t>
      </w:r>
      <w:r>
        <w:rPr>
          <w:rFonts w:hint="eastAsia" w:ascii="仿宋" w:hAnsi="仿宋" w:eastAsia="仿宋" w:cs="仿宋"/>
          <w:b/>
          <w:bCs/>
          <w:color w:val="auto"/>
          <w:sz w:val="44"/>
          <w:szCs w:val="44"/>
          <w:highlight w:val="none"/>
        </w:rPr>
        <w:t>/</w:t>
      </w:r>
      <w:r>
        <w:rPr>
          <w:rFonts w:hint="eastAsia" w:ascii="仿宋" w:hAnsi="仿宋" w:eastAsia="仿宋" w:cs="仿宋"/>
          <w:color w:val="auto"/>
          <w:sz w:val="44"/>
          <w:szCs w:val="44"/>
          <w:highlight w:val="none"/>
        </w:rPr>
        <w:t>报价文件）</w:t>
      </w:r>
    </w:p>
    <w:p>
      <w:pPr>
        <w:jc w:val="center"/>
        <w:rPr>
          <w:rFonts w:hint="eastAsia" w:ascii="仿宋" w:hAnsi="仿宋" w:eastAsia="仿宋" w:cs="仿宋"/>
          <w:color w:val="auto"/>
          <w:sz w:val="110"/>
          <w:szCs w:val="110"/>
          <w:highlight w:val="none"/>
        </w:rPr>
      </w:pPr>
    </w:p>
    <w:p>
      <w:pPr>
        <w:ind w:left="2860" w:leftChars="600" w:hanging="1600" w:hanging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p>
      <w:pPr>
        <w:rPr>
          <w:rFonts w:hint="default" w:eastAsia="仿宋"/>
          <w:lang w:val="en-US" w:eastAsia="zh-CN"/>
        </w:rPr>
      </w:pPr>
      <w:r>
        <w:rPr>
          <w:rFonts w:hint="eastAsia" w:ascii="仿宋" w:hAnsi="仿宋" w:eastAsia="仿宋" w:cs="仿宋"/>
          <w:color w:val="auto"/>
          <w:sz w:val="32"/>
          <w:szCs w:val="32"/>
          <w:highlight w:val="none"/>
          <w:lang w:val="en-US" w:eastAsia="zh-CN"/>
        </w:rPr>
        <w:t xml:space="preserve">        标    段：</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投标人名称（</w:t>
      </w:r>
      <w:r>
        <w:rPr>
          <w:rFonts w:hint="eastAsia" w:ascii="仿宋" w:hAnsi="仿宋" w:eastAsia="仿宋" w:cs="仿宋"/>
          <w:color w:val="auto"/>
          <w:sz w:val="32"/>
          <w:szCs w:val="32"/>
          <w:highlight w:val="none"/>
          <w:lang w:eastAsia="zh-CN"/>
        </w:rPr>
        <w:t>盖章</w:t>
      </w:r>
      <w:r>
        <w:rPr>
          <w:rFonts w:hint="eastAsia" w:ascii="仿宋" w:hAnsi="仿宋" w:eastAsia="仿宋" w:cs="仿宋"/>
          <w:color w:val="auto"/>
          <w:sz w:val="32"/>
          <w:szCs w:val="32"/>
          <w:highlight w:val="none"/>
        </w:rPr>
        <w:t>）：</w:t>
      </w:r>
    </w:p>
    <w:p>
      <w:pPr>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TW" w:eastAsia="zh-TW"/>
        </w:rPr>
        <w:t>法人代表或委托代理人</w:t>
      </w:r>
      <w:r>
        <w:rPr>
          <w:rFonts w:hint="eastAsia" w:ascii="仿宋" w:hAnsi="仿宋" w:eastAsia="仿宋" w:cs="仿宋"/>
          <w:color w:val="auto"/>
          <w:sz w:val="32"/>
          <w:szCs w:val="32"/>
          <w:highlight w:val="none"/>
          <w:u w:val="single"/>
          <w:lang w:val="zh-TW" w:eastAsia="zh-TW"/>
        </w:rPr>
        <w:t>（签字或盖章）</w:t>
      </w:r>
      <w:r>
        <w:rPr>
          <w:rFonts w:hint="eastAsia" w:ascii="仿宋" w:hAnsi="仿宋" w:eastAsia="仿宋" w:cs="仿宋"/>
          <w:color w:val="auto"/>
          <w:sz w:val="32"/>
          <w:szCs w:val="32"/>
          <w:highlight w:val="none"/>
          <w:lang w:val="zh-TW" w:eastAsia="zh-TW"/>
        </w:rPr>
        <w:t>：</w:t>
      </w:r>
    </w:p>
    <w:p>
      <w:pPr>
        <w:ind w:firstLine="1280" w:firstLineChars="400"/>
        <w:jc w:val="left"/>
        <w:rPr>
          <w:rFonts w:hint="eastAsia"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rPr>
        <w:t>日期：</w:t>
      </w:r>
    </w:p>
    <w:p>
      <w:pPr>
        <w:rPr>
          <w:rFonts w:hint="eastAsia" w:ascii="仿宋" w:hAnsi="仿宋" w:eastAsia="仿宋" w:cs="仿宋"/>
          <w:color w:val="auto"/>
          <w:sz w:val="32"/>
          <w:szCs w:val="32"/>
          <w:highlight w:val="none"/>
          <w:lang w:val="zh-TW"/>
        </w:rPr>
      </w:pPr>
    </w:p>
    <w:p>
      <w:pPr>
        <w:rPr>
          <w:rFonts w:hint="eastAsia" w:ascii="仿宋" w:hAnsi="仿宋" w:eastAsia="仿宋" w:cs="仿宋"/>
          <w:color w:val="auto"/>
          <w:highlight w:val="none"/>
        </w:rPr>
      </w:pPr>
    </w:p>
    <w:p>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目录</w:t>
      </w:r>
    </w:p>
    <w:p>
      <w:pPr>
        <w:spacing w:line="360" w:lineRule="exac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资格文件：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（1）投标声明</w:t>
      </w:r>
      <w:r>
        <w:rPr>
          <w:rFonts w:hint="eastAsia" w:ascii="仿宋" w:hAnsi="仿宋" w:eastAsia="仿宋" w:cs="仿宋"/>
          <w:b w:val="0"/>
          <w:bCs w:val="0"/>
          <w:color w:val="auto"/>
          <w:sz w:val="24"/>
          <w:highlight w:val="none"/>
          <w:lang w:eastAsia="zh-CN"/>
        </w:rPr>
        <w:t>函</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（2）提供有效的营业执照；</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（3）具有履行合同所必需的</w:t>
      </w:r>
      <w:r>
        <w:rPr>
          <w:rFonts w:hint="eastAsia" w:ascii="仿宋" w:hAnsi="仿宋" w:eastAsia="仿宋" w:cs="仿宋"/>
          <w:b w:val="0"/>
          <w:bCs w:val="0"/>
          <w:color w:val="auto"/>
          <w:sz w:val="24"/>
          <w:highlight w:val="none"/>
          <w:lang w:eastAsia="zh-CN"/>
        </w:rPr>
        <w:t>场地、</w:t>
      </w:r>
      <w:r>
        <w:rPr>
          <w:rFonts w:hint="eastAsia" w:ascii="仿宋" w:hAnsi="仿宋" w:eastAsia="仿宋" w:cs="仿宋"/>
          <w:b w:val="0"/>
          <w:bCs w:val="0"/>
          <w:color w:val="auto"/>
          <w:sz w:val="24"/>
          <w:highlight w:val="none"/>
        </w:rPr>
        <w:t>设备和专业技术能力的承诺函；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）参加</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活动前</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年内在经营活动中没有重大违法记录的</w:t>
      </w:r>
      <w:r>
        <w:rPr>
          <w:rFonts w:hint="eastAsia" w:ascii="仿宋" w:hAnsi="仿宋" w:eastAsia="仿宋" w:cs="仿宋"/>
          <w:b w:val="0"/>
          <w:bCs w:val="0"/>
          <w:color w:val="auto"/>
          <w:sz w:val="24"/>
          <w:highlight w:val="none"/>
          <w:lang w:eastAsia="zh-CN"/>
        </w:rPr>
        <w:t>声明函</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提供投标人“信用中国”网站(www.creditchina.gov.cn)、“中国</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网”(www.ccgp.gov.cn)信用信息查询记录截图；</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资格书或</w:t>
      </w:r>
      <w:r>
        <w:rPr>
          <w:rFonts w:hint="eastAsia" w:ascii="仿宋" w:hAnsi="仿宋" w:eastAsia="仿宋" w:cs="仿宋"/>
          <w:b w:val="0"/>
          <w:bCs w:val="0"/>
          <w:color w:val="auto"/>
          <w:sz w:val="24"/>
          <w:highlight w:val="none"/>
          <w:lang w:eastAsia="zh-CN"/>
        </w:rPr>
        <w:t>法定代表人</w:t>
      </w:r>
      <w:r>
        <w:rPr>
          <w:rFonts w:hint="eastAsia" w:ascii="仿宋" w:hAnsi="仿宋" w:eastAsia="仿宋" w:cs="仿宋"/>
          <w:b w:val="0"/>
          <w:bCs w:val="0"/>
          <w:color w:val="auto"/>
          <w:sz w:val="24"/>
          <w:highlight w:val="none"/>
        </w:rPr>
        <w:t>授权委托书；</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招标公告中要求需要</w:t>
      </w:r>
      <w:r>
        <w:rPr>
          <w:rFonts w:hint="eastAsia" w:ascii="仿宋" w:hAnsi="仿宋" w:eastAsia="仿宋" w:cs="仿宋"/>
          <w:b w:val="0"/>
          <w:bCs w:val="0"/>
          <w:color w:val="auto"/>
          <w:sz w:val="24"/>
          <w:highlight w:val="none"/>
          <w:lang w:eastAsia="zh-CN"/>
        </w:rPr>
        <w:t>提供</w:t>
      </w:r>
      <w:r>
        <w:rPr>
          <w:rFonts w:hint="eastAsia" w:ascii="仿宋" w:hAnsi="仿宋" w:eastAsia="仿宋" w:cs="仿宋"/>
          <w:b w:val="0"/>
          <w:bCs w:val="0"/>
          <w:color w:val="auto"/>
          <w:sz w:val="24"/>
          <w:highlight w:val="none"/>
        </w:rPr>
        <w:t>的其他资质和说明。</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商务技术</w:t>
      </w:r>
      <w:r>
        <w:rPr>
          <w:rFonts w:hint="eastAsia" w:ascii="仿宋" w:hAnsi="仿宋" w:eastAsia="仿宋" w:cs="仿宋"/>
          <w:b/>
          <w:bCs/>
          <w:color w:val="auto"/>
          <w:sz w:val="24"/>
          <w:highlight w:val="none"/>
        </w:rPr>
        <w:t>文件</w:t>
      </w:r>
      <w:r>
        <w:rPr>
          <w:rFonts w:hint="eastAsia" w:ascii="仿宋" w:hAnsi="仿宋" w:eastAsia="仿宋" w:cs="仿宋"/>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）商务技术分评分索引</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eastAsia="zh-CN"/>
        </w:rPr>
        <w:t>）诚信竞投承诺书</w:t>
      </w:r>
      <w:r>
        <w:rPr>
          <w:rFonts w:hint="eastAsia" w:ascii="仿宋" w:hAnsi="仿宋" w:eastAsia="仿宋" w:cs="仿宋"/>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）产品配置参数明细表（均不含报价）。</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）技术规格响应表。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）服务条款响应表。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eastAsia="zh-CN"/>
        </w:rPr>
        <w:t>）投标人或所投产品供应商单位情况表。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eastAsia="zh-CN"/>
        </w:rPr>
        <w:t>）项目实施人员一览表。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lang w:eastAsia="zh-CN"/>
        </w:rPr>
        <w:t>）服务计划书（安装、调试、验收的方案和措施、保证项目实施的技术力量和人力资源安排、售后服务保障、其他服务措施及承诺）。</w:t>
      </w:r>
    </w:p>
    <w:p>
      <w:pPr>
        <w:keepNext w:val="0"/>
        <w:keepLines w:val="0"/>
        <w:pageBreakBefore w:val="0"/>
        <w:widowControl w:val="0"/>
        <w:kinsoku/>
        <w:wordWrap/>
        <w:overflowPunct/>
        <w:topLinePunct w:val="0"/>
        <w:autoSpaceDE/>
        <w:autoSpaceDN/>
        <w:bidi w:val="0"/>
        <w:adjustRightInd/>
        <w:snapToGrid/>
        <w:spacing w:line="420" w:lineRule="exact"/>
        <w:ind w:firstLine="442"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2"/>
          <w:szCs w:val="22"/>
          <w:highlight w:val="none"/>
        </w:rPr>
        <w:t>注：投标单位请结合评分要点编制投标文件。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eastAsia="zh-CN"/>
        </w:rPr>
        <w:t>投标函；</w:t>
      </w:r>
    </w:p>
    <w:p>
      <w:pPr>
        <w:spacing w:line="36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报价</w:t>
      </w:r>
      <w:r>
        <w:rPr>
          <w:rFonts w:hint="eastAsia" w:ascii="仿宋" w:hAnsi="仿宋" w:eastAsia="仿宋" w:cs="仿宋"/>
          <w:b w:val="0"/>
          <w:bCs w:val="0"/>
          <w:color w:val="auto"/>
          <w:sz w:val="24"/>
          <w:highlight w:val="none"/>
        </w:rPr>
        <w:t>一览表；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p>
      <w:pPr>
        <w:pStyle w:val="4"/>
        <w:rPr>
          <w:rFonts w:hint="eastAsia" w:ascii="仿宋" w:hAnsi="仿宋" w:eastAsia="仿宋" w:cs="仿宋"/>
          <w:b w:val="0"/>
          <w:bCs w:val="0"/>
          <w:color w:val="auto"/>
          <w:sz w:val="24"/>
          <w:highlight w:val="none"/>
        </w:rPr>
      </w:pPr>
    </w:p>
    <w:p>
      <w:pPr>
        <w:rPr>
          <w:rFonts w:hint="eastAsia"/>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仿宋" w:hAnsi="仿宋" w:eastAsia="仿宋" w:cs="仿宋"/>
          <w:b/>
          <w:bCs/>
          <w:color w:val="auto"/>
          <w:sz w:val="28"/>
          <w:szCs w:val="28"/>
          <w:highlight w:val="none"/>
        </w:rPr>
      </w:pPr>
      <w:bookmarkStart w:id="381" w:name="_Toc14471"/>
      <w:r>
        <w:rPr>
          <w:rFonts w:hint="eastAsia" w:ascii="仿宋" w:hAnsi="仿宋" w:eastAsia="仿宋" w:cs="仿宋"/>
          <w:b/>
          <w:bCs/>
          <w:color w:val="auto"/>
          <w:sz w:val="28"/>
          <w:szCs w:val="28"/>
          <w:highlight w:val="none"/>
        </w:rPr>
        <w:t>注：未提供格式的由投标人格式自拟</w:t>
      </w:r>
      <w:bookmarkEnd w:id="381"/>
      <w:r>
        <w:rPr>
          <w:rFonts w:hint="eastAsia" w:ascii="仿宋" w:hAnsi="仿宋" w:eastAsia="仿宋" w:cs="仿宋"/>
          <w:b/>
          <w:bCs/>
          <w:color w:val="auto"/>
          <w:sz w:val="28"/>
          <w:szCs w:val="28"/>
          <w:highlight w:val="none"/>
        </w:rPr>
        <w:t>。</w:t>
      </w:r>
    </w:p>
    <w:p>
      <w:pPr>
        <w:jc w:val="center"/>
        <w:outlineLvl w:val="1"/>
        <w:rPr>
          <w:rFonts w:hint="eastAsia" w:ascii="仿宋" w:hAnsi="仿宋" w:eastAsia="仿宋" w:cs="仿宋"/>
          <w:b/>
          <w:bCs/>
          <w:color w:val="auto"/>
          <w:kern w:val="28"/>
          <w:sz w:val="28"/>
          <w:szCs w:val="32"/>
          <w:highlight w:val="none"/>
          <w:lang w:val="en-US" w:eastAsia="zh-CN" w:bidi="ar-SA"/>
        </w:rPr>
      </w:pPr>
      <w:r>
        <w:rPr>
          <w:rFonts w:hint="eastAsia" w:ascii="仿宋" w:hAnsi="仿宋" w:eastAsia="仿宋" w:cs="仿宋"/>
          <w:color w:val="auto"/>
          <w:highlight w:val="none"/>
        </w:rPr>
        <w:br w:type="page"/>
      </w:r>
      <w:r>
        <w:rPr>
          <w:rFonts w:hint="eastAsia" w:ascii="仿宋" w:hAnsi="仿宋" w:eastAsia="仿宋" w:cs="仿宋"/>
          <w:b/>
          <w:bCs/>
          <w:color w:val="auto"/>
          <w:kern w:val="28"/>
          <w:sz w:val="28"/>
          <w:szCs w:val="32"/>
          <w:highlight w:val="none"/>
          <w:lang w:val="en-US" w:eastAsia="zh-CN" w:bidi="ar-SA"/>
        </w:rPr>
        <w:t>一、投标声明函</w:t>
      </w:r>
    </w:p>
    <w:p>
      <w:pPr>
        <w:pStyle w:val="17"/>
        <w:spacing w:before="157" w:after="157" w:line="288" w:lineRule="auto"/>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（采购人）</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（投标人名称）系中华人民共和国合法企业，经营地址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（投标人名称）的法定代表人，我方愿意参加贵方组织的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项目的投标，为便于贵方公正、择优地确定中标人，我方就本次投标有关事项郑重声明如下：</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（一）我方向贵方提交的所有投标文件、资料都是准确的和真实的；</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（二）我方不是采购人的附属机构；在获知本项目采购信息后，与采购人聘请的为此项目提供咨询服务的公司及其附属机构没有任何联系。</w:t>
      </w:r>
    </w:p>
    <w:p>
      <w:pPr>
        <w:snapToGrid w:val="0"/>
        <w:spacing w:line="288" w:lineRule="auto"/>
        <w:ind w:firstLine="480" w:firstLineChars="200"/>
        <w:rPr>
          <w:rFonts w:hint="eastAsia" w:ascii="仿宋" w:hAnsi="仿宋" w:eastAsia="仿宋" w:cs="仿宋"/>
          <w:b/>
          <w:bCs/>
          <w:color w:val="auto"/>
          <w:highlight w:val="none"/>
          <w:u w:val="single"/>
        </w:rPr>
      </w:pPr>
      <w:r>
        <w:rPr>
          <w:rFonts w:hint="eastAsia" w:ascii="仿宋" w:hAnsi="仿宋" w:eastAsia="仿宋" w:cs="仿宋"/>
          <w:color w:val="auto"/>
          <w:sz w:val="24"/>
          <w:highlight w:val="none"/>
        </w:rPr>
        <w:t>（三）我方拟在中标后将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工作分包，分包承担主体是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，我方承诺分包承担主体具备相应资质条件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，且不再次分包。</w:t>
      </w:r>
      <w:r>
        <w:rPr>
          <w:rFonts w:hint="eastAsia" w:ascii="仿宋" w:hAnsi="仿宋" w:eastAsia="仿宋" w:cs="仿宋"/>
          <w:b/>
          <w:bCs/>
          <w:color w:val="auto"/>
          <w:sz w:val="24"/>
          <w:highlight w:val="none"/>
          <w:u w:val="single"/>
        </w:rPr>
        <w:t>（不再将工作进行分包或本项目不允许分包的，下划线处填写“/”。）</w:t>
      </w:r>
    </w:p>
    <w:p>
      <w:pPr>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方在此声明，所递交的投标文件及有关资料内容完整、真实和准确，如有虚假或隐瞒，我方愿意承担一切后果和责任。严格遵守相关法律法规的规定：投标人有下列情形之一的，处以采购金额5‰以上10‰以下的罚款，列入不良行为记录名单，在一至三年内禁止参加投标活动；如有违法所得并将其没收；情节严重的，由工商行政管理机关吊销营业执照；构成犯罪的，依法追究刑事责任：</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3.与其他投标人恶意串通的；</w:t>
      </w:r>
    </w:p>
    <w:p>
      <w:pPr>
        <w:snapToGrid w:val="0"/>
        <w:spacing w:line="288"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4.向采购单位行贿或者提供其他不正当利益的；</w:t>
      </w:r>
    </w:p>
    <w:p>
      <w:pPr>
        <w:snapToGrid w:val="0"/>
        <w:spacing w:line="288" w:lineRule="auto"/>
        <w:ind w:left="420" w:leftChars="200"/>
        <w:rPr>
          <w:rFonts w:hint="eastAsia" w:ascii="仿宋" w:hAnsi="仿宋" w:eastAsia="仿宋" w:cs="仿宋"/>
          <w:color w:val="auto"/>
          <w:highlight w:val="none"/>
        </w:rPr>
      </w:pPr>
      <w:r>
        <w:rPr>
          <w:rFonts w:hint="eastAsia" w:ascii="仿宋" w:hAnsi="仿宋" w:eastAsia="仿宋" w:cs="仿宋"/>
          <w:color w:val="auto"/>
          <w:sz w:val="24"/>
          <w:highlight w:val="none"/>
        </w:rPr>
        <w:t>5.拒绝有关部门监督检查或提供虚假情况的。</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pP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pPr>
        <w:spacing w:line="360" w:lineRule="auto"/>
        <w:ind w:firstLine="3675" w:firstLineChars="1750"/>
        <w:rPr>
          <w:rFonts w:hint="eastAsia" w:ascii="仿宋" w:hAnsi="仿宋" w:eastAsia="仿宋" w:cs="仿宋"/>
          <w:color w:val="auto"/>
          <w:sz w:val="24"/>
          <w:highlight w:val="none"/>
        </w:rPr>
      </w:pPr>
      <w:r>
        <w:rPr>
          <w:rFonts w:hint="eastAsia" w:ascii="仿宋" w:hAnsi="仿宋" w:eastAsia="仿宋" w:cs="仿宋"/>
          <w:color w:val="auto"/>
          <w:szCs w:val="21"/>
          <w:highlight w:val="none"/>
        </w:rPr>
        <w:t>电子邮件：</w:t>
      </w:r>
      <w:r>
        <w:rPr>
          <w:rFonts w:hint="eastAsia" w:ascii="仿宋" w:hAnsi="仿宋" w:eastAsia="仿宋" w:cs="仿宋"/>
          <w:color w:val="auto"/>
          <w:szCs w:val="21"/>
          <w:highlight w:val="none"/>
          <w:u w:val="single"/>
        </w:rPr>
        <w:t xml:space="preserve">                                     </w:t>
      </w:r>
    </w:p>
    <w:p>
      <w:pPr>
        <w:spacing w:line="460" w:lineRule="exact"/>
        <w:ind w:firstLine="3360" w:firstLineChars="1600"/>
        <w:rPr>
          <w:rFonts w:hint="eastAsia" w:ascii="仿宋" w:hAnsi="仿宋" w:eastAsia="仿宋" w:cs="仿宋"/>
          <w:color w:val="auto"/>
          <w:highlight w:val="none"/>
          <w:u w:val="singl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p>
    <w:p>
      <w:pPr>
        <w:pStyle w:val="23"/>
        <w:jc w:val="both"/>
        <w:rPr>
          <w:rFonts w:hint="eastAsia" w:ascii="仿宋" w:hAnsi="仿宋" w:eastAsia="仿宋" w:cs="仿宋"/>
          <w:color w:val="auto"/>
          <w:highlight w:val="none"/>
          <w:lang w:eastAsia="zh-CN"/>
        </w:rPr>
      </w:pPr>
      <w:bookmarkStart w:id="382" w:name="_Toc4718_WPSOffice_Level2"/>
      <w:bookmarkStart w:id="383" w:name="_Toc794"/>
      <w:r>
        <w:rPr>
          <w:rFonts w:hint="eastAsia" w:ascii="仿宋" w:hAnsi="仿宋" w:eastAsia="仿宋" w:cs="仿宋"/>
          <w:color w:val="auto"/>
          <w:szCs w:val="40"/>
          <w:highlight w:val="none"/>
        </w:rPr>
        <w:br w:type="page"/>
      </w:r>
      <w:bookmarkStart w:id="384" w:name="_Toc27119254"/>
      <w:bookmarkStart w:id="385" w:name="_Toc33194405"/>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、营业执照(或事业法人登记证书)</w:t>
      </w:r>
    </w:p>
    <w:p>
      <w:pPr>
        <w:pStyle w:val="23"/>
        <w:jc w:val="left"/>
        <w:outlineLvl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23"/>
        <w:jc w:val="both"/>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w:t>
      </w:r>
      <w:r>
        <w:rPr>
          <w:rFonts w:hint="eastAsia" w:ascii="仿宋" w:hAnsi="仿宋" w:eastAsia="仿宋" w:cs="仿宋"/>
          <w:b/>
          <w:bCs/>
          <w:color w:val="auto"/>
          <w:highlight w:val="none"/>
        </w:rPr>
        <w:t>具有履行合同所必需的场地、设备和专业技术能力的承诺函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日期：    </w:t>
      </w:r>
    </w:p>
    <w:p>
      <w:pPr>
        <w:pStyle w:val="13"/>
        <w:ind w:firstLine="0"/>
        <w:rPr>
          <w:rFonts w:hint="eastAsia" w:ascii="仿宋" w:hAnsi="仿宋" w:eastAsia="仿宋" w:cs="仿宋"/>
          <w:color w:val="auto"/>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pStyle w:val="23"/>
        <w:jc w:val="both"/>
        <w:outlineLvl w:val="9"/>
        <w:rPr>
          <w:rFonts w:hint="eastAsia" w:ascii="仿宋" w:hAnsi="仿宋" w:eastAsia="仿宋" w:cs="仿宋"/>
          <w:b w:val="0"/>
          <w:bCs w:val="0"/>
          <w:color w:val="auto"/>
          <w:kern w:val="2"/>
          <w:sz w:val="24"/>
          <w:szCs w:val="24"/>
          <w:highlight w:val="none"/>
          <w:lang w:val="en-US" w:eastAsia="zh-CN" w:bidi="ar-SA"/>
        </w:rPr>
      </w:pPr>
    </w:p>
    <w:p>
      <w:pPr>
        <w:pStyle w:val="23"/>
        <w:jc w:val="center"/>
        <w:outlineLvl w:val="1"/>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br w:type="page"/>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b/>
          <w:bCs/>
          <w:color w:val="auto"/>
          <w:kern w:val="2"/>
          <w:sz w:val="28"/>
          <w:highlight w:val="none"/>
        </w:rPr>
        <w:t>参加</w:t>
      </w:r>
      <w:r>
        <w:rPr>
          <w:rFonts w:hint="eastAsia" w:ascii="仿宋" w:hAnsi="仿宋" w:eastAsia="仿宋" w:cs="仿宋"/>
          <w:b/>
          <w:bCs/>
          <w:color w:val="auto"/>
          <w:kern w:val="2"/>
          <w:sz w:val="28"/>
          <w:highlight w:val="none"/>
          <w:lang w:val="en-US" w:eastAsia="zh-CN"/>
        </w:rPr>
        <w:t>投标</w:t>
      </w:r>
      <w:r>
        <w:rPr>
          <w:rFonts w:hint="eastAsia" w:ascii="仿宋" w:hAnsi="仿宋" w:eastAsia="仿宋" w:cs="仿宋"/>
          <w:b/>
          <w:bCs/>
          <w:color w:val="auto"/>
          <w:kern w:val="2"/>
          <w:sz w:val="28"/>
          <w:highlight w:val="none"/>
        </w:rPr>
        <w:t>活动前3年内在经营活动中没有重大违法记录的声明函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具有良好的商业信誉，依法缴纳税收和社会保障资金，未被列入失信被执行人名单、重大税收违法案件当事人名单、投标严重违法失信行为记录名单，参加本次投标活动前3年内在经营活动中没有重大违法记录（没有因违法经营受到刑事处罚，没有被责令停产停业、被吊销许可证或者执照、被处以较大数额罚款等行政处罚，没有因违法经营被禁止参加投标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pStyle w:val="46"/>
        <w:rPr>
          <w:rFonts w:hint="eastAsia" w:ascii="仿宋" w:hAnsi="仿宋" w:eastAsia="仿宋" w:cs="仿宋"/>
          <w:color w:val="auto"/>
          <w:kern w:val="0"/>
          <w:sz w:val="24"/>
          <w:highlight w:val="none"/>
        </w:rPr>
      </w:pPr>
    </w:p>
    <w:p>
      <w:pPr>
        <w:pStyle w:val="46"/>
        <w:rPr>
          <w:rFonts w:hint="eastAsia" w:ascii="仿宋" w:hAnsi="仿宋" w:eastAsia="仿宋" w:cs="仿宋"/>
          <w:color w:val="auto"/>
          <w:kern w:val="0"/>
          <w:sz w:val="24"/>
          <w:highlight w:val="none"/>
        </w:rPr>
      </w:pPr>
    </w:p>
    <w:p>
      <w:pPr>
        <w:pStyle w:val="46"/>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日期：      </w:t>
      </w:r>
    </w:p>
    <w:p>
      <w:pPr>
        <w:pStyle w:val="23"/>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“信用中国”、“中国</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网”投标截止时间前页面查询结果的网页截图</w:t>
      </w:r>
    </w:p>
    <w:p>
      <w:pPr>
        <w:keepNext w:val="0"/>
        <w:keepLines w:val="0"/>
        <w:pageBreakBefore w:val="0"/>
        <w:widowControl w:val="0"/>
        <w:kinsoku/>
        <w:wordWrap/>
        <w:overflowPunct/>
        <w:topLinePunct w:val="0"/>
        <w:autoSpaceDE/>
        <w:autoSpaceDN/>
        <w:bidi w:val="0"/>
        <w:snapToGrid w:val="0"/>
        <w:spacing w:before="50" w:after="50" w:line="40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bCs/>
          <w:color w:val="auto"/>
          <w:highlight w:val="none"/>
        </w:rPr>
        <w:drawing>
          <wp:anchor distT="0" distB="0" distL="114300" distR="114300" simplePos="0" relativeHeight="251660288" behindDoc="0" locked="0" layoutInCell="1" allowOverlap="1">
            <wp:simplePos x="0" y="0"/>
            <wp:positionH relativeFrom="column">
              <wp:posOffset>95250</wp:posOffset>
            </wp:positionH>
            <wp:positionV relativeFrom="paragraph">
              <wp:posOffset>4886960</wp:posOffset>
            </wp:positionV>
            <wp:extent cx="5583555" cy="3690620"/>
            <wp:effectExtent l="0" t="0" r="17145" b="5080"/>
            <wp:wrapNone/>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pic:cNvPicPr>
                  </pic:nvPicPr>
                  <pic:blipFill>
                    <a:blip r:embed="rId16"/>
                    <a:stretch>
                      <a:fillRect/>
                    </a:stretch>
                  </pic:blipFill>
                  <pic:spPr>
                    <a:xfrm>
                      <a:off x="0" y="0"/>
                      <a:ext cx="5583555" cy="3690620"/>
                    </a:xfrm>
                    <a:prstGeom prst="rect">
                      <a:avLst/>
                    </a:prstGeom>
                    <a:solidFill>
                      <a:srgbClr val="FFC000"/>
                    </a:solidFill>
                    <a:ln>
                      <a:noFill/>
                    </a:ln>
                  </pic:spPr>
                </pic:pic>
              </a:graphicData>
            </a:graphic>
          </wp:anchor>
        </w:drawing>
      </w:r>
      <w:r>
        <w:rPr>
          <w:rFonts w:hint="eastAsia" w:ascii="仿宋" w:hAnsi="仿宋" w:eastAsia="仿宋" w:cs="仿宋"/>
          <w:b/>
          <w:color w:val="auto"/>
          <w:sz w:val="30"/>
          <w:szCs w:val="30"/>
          <w:highlight w:val="none"/>
        </w:rPr>
        <w:drawing>
          <wp:anchor distT="0" distB="0" distL="114300" distR="114300" simplePos="0" relativeHeight="251659264" behindDoc="0" locked="0" layoutInCell="1" allowOverlap="1">
            <wp:simplePos x="0" y="0"/>
            <wp:positionH relativeFrom="column">
              <wp:posOffset>-33020</wp:posOffset>
            </wp:positionH>
            <wp:positionV relativeFrom="paragraph">
              <wp:posOffset>605155</wp:posOffset>
            </wp:positionV>
            <wp:extent cx="5687695" cy="3900805"/>
            <wp:effectExtent l="0" t="0" r="8255" b="44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7"/>
                    <a:stretch>
                      <a:fillRect/>
                    </a:stretch>
                  </pic:blipFill>
                  <pic:spPr>
                    <a:xfrm>
                      <a:off x="0" y="0"/>
                      <a:ext cx="5687695" cy="3900805"/>
                    </a:xfrm>
                    <a:prstGeom prst="rect">
                      <a:avLst/>
                    </a:prstGeom>
                    <a:noFill/>
                    <a:ln>
                      <a:noFill/>
                    </a:ln>
                  </pic:spPr>
                </pic:pic>
              </a:graphicData>
            </a:graphic>
          </wp:anchor>
        </w:drawing>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信用中国</w:t>
      </w:r>
      <w:r>
        <w:rPr>
          <w:rFonts w:hint="eastAsia" w:ascii="仿宋" w:hAnsi="仿宋" w:eastAsia="仿宋" w:cs="仿宋"/>
          <w:b/>
          <w:color w:val="auto"/>
          <w:sz w:val="30"/>
          <w:szCs w:val="30"/>
          <w:highlight w:val="none"/>
        </w:rPr>
        <w:t>”（www.creditchina.gov.cn）</w:t>
      </w:r>
      <w:r>
        <w:rPr>
          <w:rFonts w:hint="eastAsia" w:ascii="仿宋" w:hAnsi="仿宋" w:eastAsia="仿宋" w:cs="仿宋"/>
          <w:b/>
          <w:color w:val="auto"/>
          <w:sz w:val="30"/>
          <w:szCs w:val="30"/>
          <w:highlight w:val="none"/>
          <w:lang w:val="zh-CN"/>
        </w:rPr>
        <w:t>、</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zh-CN"/>
        </w:rPr>
        <w:t>中国采购网</w:t>
      </w:r>
      <w:r>
        <w:rPr>
          <w:rFonts w:hint="eastAsia" w:ascii="仿宋" w:hAnsi="仿宋" w:eastAsia="仿宋" w:cs="仿宋"/>
          <w:b/>
          <w:color w:val="auto"/>
          <w:sz w:val="30"/>
          <w:szCs w:val="30"/>
          <w:highlight w:val="none"/>
        </w:rPr>
        <w:t>”（www.ccgp.gov.cn）</w:t>
      </w:r>
      <w:r>
        <w:rPr>
          <w:rFonts w:hint="eastAsia" w:ascii="仿宋" w:hAnsi="仿宋" w:eastAsia="仿宋" w:cs="仿宋"/>
          <w:b/>
          <w:color w:val="auto"/>
          <w:sz w:val="30"/>
          <w:szCs w:val="30"/>
          <w:highlight w:val="none"/>
          <w:lang w:val="zh-CN"/>
        </w:rPr>
        <w:t>网页截图模板</w:t>
      </w:r>
    </w:p>
    <w:p>
      <w:pPr>
        <w:rPr>
          <w:rFonts w:hint="eastAsia" w:ascii="仿宋" w:hAnsi="仿宋" w:eastAsia="仿宋" w:cs="仿宋"/>
          <w:color w:val="auto"/>
          <w:highlight w:val="none"/>
        </w:rPr>
        <w:sectPr>
          <w:headerReference r:id="rId7" w:type="default"/>
          <w:footerReference r:id="rId8" w:type="default"/>
          <w:pgSz w:w="11906" w:h="16838"/>
          <w:pgMar w:top="993" w:right="1474" w:bottom="1020" w:left="1474" w:header="851" w:footer="850" w:gutter="0"/>
          <w:pgBorders>
            <w:top w:val="none" w:sz="0" w:space="0"/>
            <w:left w:val="none" w:sz="0" w:space="0"/>
            <w:bottom w:val="none" w:sz="0" w:space="0"/>
            <w:right w:val="none" w:sz="0" w:space="0"/>
          </w:pgBorders>
          <w:pgNumType w:fmt="decimal" w:start="1"/>
          <w:cols w:space="720" w:num="1"/>
          <w:docGrid w:type="lines" w:linePitch="315" w:charSpace="0"/>
        </w:sectPr>
      </w:pPr>
    </w:p>
    <w:p>
      <w:pPr>
        <w:pStyle w:val="23"/>
        <w:rPr>
          <w:rFonts w:hint="eastAsia" w:ascii="仿宋" w:hAnsi="仿宋" w:eastAsia="仿宋" w:cs="仿宋"/>
          <w:color w:val="auto"/>
          <w:szCs w:val="28"/>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、法定代表人资格书</w:t>
      </w:r>
    </w:p>
    <w:p>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，签署上述投标文件、进行合同谈判、签署合同和处理与之有关的一切事务。</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xml:space="preserve">                       </w:t>
      </w:r>
    </w:p>
    <w:p>
      <w:pP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联系号码：</w:t>
      </w:r>
      <w:r>
        <w:rPr>
          <w:rFonts w:hint="eastAsia" w:ascii="仿宋" w:hAnsi="仿宋" w:eastAsia="仿宋" w:cs="仿宋"/>
          <w:color w:val="auto"/>
          <w:szCs w:val="21"/>
          <w:highlight w:val="none"/>
          <w:u w:val="single"/>
        </w:rPr>
        <w:t xml:space="preserve">                       </w:t>
      </w:r>
    </w:p>
    <w:p>
      <w:pPr>
        <w:spacing w:line="48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钉钉号：</w:t>
      </w:r>
      <w:r>
        <w:rPr>
          <w:rFonts w:hint="eastAsia" w:ascii="仿宋" w:hAnsi="仿宋" w:eastAsia="仿宋" w:cs="仿宋"/>
          <w:color w:val="auto"/>
          <w:szCs w:val="21"/>
          <w:highlight w:val="none"/>
          <w:u w:val="single"/>
        </w:rPr>
        <w:t xml:space="preserve">                       </w:t>
      </w:r>
    </w:p>
    <w:tbl>
      <w:tblPr>
        <w:tblStyle w:val="30"/>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9"/>
        <w:gridCol w:w="4900"/>
      </w:tblGrid>
      <w:tr>
        <w:tblPrEx>
          <w:tblCellMar>
            <w:top w:w="0" w:type="dxa"/>
            <w:left w:w="108" w:type="dxa"/>
            <w:bottom w:w="0" w:type="dxa"/>
            <w:right w:w="108" w:type="dxa"/>
          </w:tblCellMar>
        </w:tblPrEx>
        <w:trPr>
          <w:trHeight w:val="2581" w:hRule="atLeast"/>
        </w:trPr>
        <w:tc>
          <w:tcPr>
            <w:tcW w:w="4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附：法定代表人有效身份证复印件（正面）</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附：法定代表人有效身份证复印件（反面）</w:t>
            </w:r>
          </w:p>
        </w:tc>
      </w:tr>
    </w:tbl>
    <w:p>
      <w:pPr>
        <w:ind w:left="0" w:leftChars="0" w:firstLine="0"/>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20" w:beforeLines="50"/>
        <w:ind w:firstLine="4320" w:firstLineChars="1800"/>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pPr>
        <w:spacing w:before="120" w:beforeLines="50"/>
        <w:ind w:firstLine="4320" w:firstLineChars="1800"/>
        <w:rPr>
          <w:rFonts w:hint="eastAsia" w:ascii="仿宋" w:hAnsi="仿宋" w:eastAsia="仿宋" w:cs="仿宋"/>
          <w:color w:val="auto"/>
          <w:sz w:val="24"/>
          <w:highlight w:val="none"/>
        </w:rPr>
      </w:pPr>
    </w:p>
    <w:p>
      <w:pPr>
        <w:spacing w:before="120" w:beforeLines="50"/>
        <w:ind w:firstLine="4320" w:firstLineChars="1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    期： </w:t>
      </w:r>
      <w:r>
        <w:rPr>
          <w:rFonts w:hint="eastAsia" w:ascii="仿宋" w:hAnsi="仿宋" w:eastAsia="仿宋" w:cs="仿宋"/>
          <w:color w:val="auto"/>
          <w:sz w:val="24"/>
          <w:highlight w:val="none"/>
          <w:u w:val="single"/>
        </w:rPr>
        <w:t xml:space="preserve">               </w:t>
      </w:r>
    </w:p>
    <w:p>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、法定代表人授权委托书</w:t>
      </w:r>
    </w:p>
    <w:p>
      <w:pPr>
        <w:pStyle w:val="13"/>
        <w:ind w:firstLine="562"/>
        <w:jc w:val="center"/>
        <w:rPr>
          <w:rFonts w:hint="eastAsia" w:ascii="仿宋" w:hAnsi="仿宋" w:eastAsia="仿宋" w:cs="仿宋"/>
          <w:color w:val="auto"/>
          <w:sz w:val="24"/>
          <w:szCs w:val="24"/>
          <w:highlight w:val="none"/>
        </w:rPr>
      </w:pPr>
    </w:p>
    <w:p>
      <w:pPr>
        <w:spacing w:before="120" w:beforeLines="5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本人作为</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的法定代表人，在此授权我公司的</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，作为我的合法的委托代理人，以我的名义并代表我公司全权处理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项目投标的各项事宜。</w:t>
      </w:r>
    </w:p>
    <w:p>
      <w:pPr>
        <w:autoSpaceDE w:val="0"/>
        <w:autoSpaceDN w:val="0"/>
        <w:adjustRightInd w:val="0"/>
        <w:snapToGrid w:val="0"/>
        <w:spacing w:before="120" w:beforeLines="50" w:line="360" w:lineRule="auto"/>
        <w:ind w:firstLine="492" w:firstLineChars="200"/>
        <w:rPr>
          <w:rFonts w:hint="eastAsia" w:ascii="仿宋" w:hAnsi="仿宋" w:eastAsia="仿宋" w:cs="仿宋"/>
          <w:color w:val="auto"/>
          <w:sz w:val="24"/>
          <w:highlight w:val="none"/>
        </w:rPr>
      </w:pPr>
      <w:r>
        <w:rPr>
          <w:rFonts w:hint="eastAsia" w:ascii="仿宋" w:hAnsi="仿宋" w:eastAsia="仿宋" w:cs="仿宋"/>
          <w:color w:val="auto"/>
          <w:spacing w:val="3"/>
          <w:kern w:val="0"/>
          <w:sz w:val="24"/>
          <w:highlight w:val="none"/>
        </w:rPr>
        <w:t>本授权书期限自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日止。</w:t>
      </w:r>
    </w:p>
    <w:p>
      <w:pPr>
        <w:autoSpaceDE w:val="0"/>
        <w:autoSpaceDN w:val="0"/>
        <w:adjustRightInd w:val="0"/>
        <w:snapToGrid w:val="0"/>
        <w:spacing w:before="120" w:beforeLines="50"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kern w:val="0"/>
          <w:sz w:val="24"/>
          <w:highlight w:val="none"/>
        </w:rPr>
        <w:t>在此授权范围和期限内，被授权人所实施的行为具有法律效力，授权人</w:t>
      </w:r>
      <w:r>
        <w:rPr>
          <w:rFonts w:hint="eastAsia" w:ascii="仿宋" w:hAnsi="仿宋" w:eastAsia="仿宋" w:cs="仿宋"/>
          <w:color w:val="auto"/>
          <w:spacing w:val="4"/>
          <w:kern w:val="0"/>
          <w:sz w:val="24"/>
          <w:highlight w:val="none"/>
        </w:rPr>
        <w:t>予以认可。</w:t>
      </w:r>
    </w:p>
    <w:p>
      <w:pPr>
        <w:autoSpaceDE w:val="0"/>
        <w:autoSpaceDN w:val="0"/>
        <w:adjustRightInd w:val="0"/>
        <w:snapToGrid w:val="0"/>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委托代理人无权转让委托权，特此委托。</w:t>
      </w:r>
    </w:p>
    <w:p>
      <w:pPr>
        <w:spacing w:before="120" w:beforeLines="5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（签字）</w:t>
      </w:r>
      <w:r>
        <w:rPr>
          <w:rFonts w:hint="eastAsia" w:ascii="仿宋" w:hAnsi="仿宋" w:eastAsia="仿宋" w:cs="仿宋"/>
          <w:color w:val="auto"/>
          <w:sz w:val="24"/>
          <w:highlight w:val="none"/>
        </w:rPr>
        <w:t>性别：    年龄：</w:t>
      </w:r>
    </w:p>
    <w:p>
      <w:pPr>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    职务：</w:t>
      </w:r>
    </w:p>
    <w:p>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委托代理人手机号码：</w:t>
      </w:r>
      <w:r>
        <w:rPr>
          <w:rFonts w:hint="eastAsia" w:ascii="仿宋" w:hAnsi="仿宋" w:eastAsia="仿宋" w:cs="仿宋"/>
          <w:color w:val="auto"/>
          <w:highlight w:val="none"/>
          <w:u w:val="single"/>
        </w:rPr>
        <w:t xml:space="preserve">               </w:t>
      </w:r>
    </w:p>
    <w:p>
      <w:pPr>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授权代表钉钉号:</w:t>
      </w:r>
      <w:r>
        <w:rPr>
          <w:rFonts w:hint="eastAsia" w:ascii="仿宋" w:hAnsi="仿宋" w:eastAsia="仿宋" w:cs="仿宋"/>
          <w:color w:val="auto"/>
          <w:szCs w:val="21"/>
          <w:highlight w:val="none"/>
          <w:u w:val="single"/>
        </w:rPr>
        <w:t xml:space="preserve">                      </w:t>
      </w:r>
    </w:p>
    <w:tbl>
      <w:tblPr>
        <w:tblStyle w:val="30"/>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tblPrEx>
          <w:tblCellMar>
            <w:top w:w="0" w:type="dxa"/>
            <w:left w:w="108" w:type="dxa"/>
            <w:bottom w:w="0" w:type="dxa"/>
            <w:right w:w="108" w:type="dxa"/>
          </w:tblCellMar>
        </w:tblPrEx>
        <w:trPr>
          <w:trHeight w:val="3041" w:hRule="atLeast"/>
        </w:trPr>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有效身份证复印件（正反面）</w:t>
            </w:r>
          </w:p>
        </w:tc>
        <w:tc>
          <w:tcPr>
            <w:tcW w:w="48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附：委托代理人有效身份证复印件（正反面）</w:t>
            </w:r>
          </w:p>
        </w:tc>
      </w:tr>
    </w:tbl>
    <w:p>
      <w:pPr>
        <w:spacing w:before="120" w:beforeLines="50" w:line="480" w:lineRule="auto"/>
        <w:ind w:firstLine="3960" w:firstLineChars="1650"/>
        <w:rPr>
          <w:rFonts w:hint="eastAsia" w:ascii="仿宋" w:hAnsi="仿宋" w:eastAsia="仿宋" w:cs="仿宋"/>
          <w:color w:val="auto"/>
          <w:sz w:val="24"/>
          <w:highlight w:val="none"/>
        </w:rPr>
      </w:pPr>
    </w:p>
    <w:p>
      <w:pPr>
        <w:spacing w:before="120" w:beforeLines="50" w:line="480" w:lineRule="auto"/>
        <w:ind w:firstLine="3960" w:firstLine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20" w:beforeLines="50"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（签字或盖章）</w:t>
      </w:r>
    </w:p>
    <w:p>
      <w:pPr>
        <w:spacing w:after="0" w:line="48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 xml:space="preserve">授权委托日期：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68"/>
        <w:tabs>
          <w:tab w:val="left" w:pos="4835"/>
        </w:tabs>
        <w:spacing w:after="120" w:line="240" w:lineRule="auto"/>
        <w:ind w:firstLine="0"/>
        <w:rPr>
          <w:rFonts w:hint="eastAsia" w:ascii="仿宋" w:hAnsi="仿宋" w:eastAsia="仿宋" w:cs="仿宋"/>
          <w:color w:val="auto"/>
          <w:highlight w:val="none"/>
          <w:lang w:eastAsia="zh-CN"/>
        </w:rPr>
        <w:sectPr>
          <w:footerReference r:id="rId9" w:type="default"/>
          <w:footerReference r:id="rId10" w:type="even"/>
          <w:pgSz w:w="11900" w:h="16840"/>
          <w:pgMar w:top="1295" w:right="1712" w:bottom="1295" w:left="1355" w:header="867" w:footer="850" w:gutter="0"/>
          <w:pgBorders>
            <w:top w:val="none" w:sz="0" w:space="0"/>
            <w:left w:val="none" w:sz="0" w:space="0"/>
            <w:bottom w:val="none" w:sz="0" w:space="0"/>
            <w:right w:val="none" w:sz="0" w:space="0"/>
          </w:pgBorders>
          <w:pgNumType w:fmt="decimal"/>
          <w:cols w:space="720" w:num="1"/>
          <w:docGrid w:linePitch="360" w:charSpace="0"/>
        </w:sectPr>
      </w:pPr>
    </w:p>
    <w:p>
      <w:pPr>
        <w:widowControl w:val="0"/>
        <w:numPr>
          <w:ilvl w:val="0"/>
          <w:numId w:val="0"/>
        </w:numPr>
        <w:jc w:val="both"/>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23"/>
        <w:numPr>
          <w:ilvl w:val="0"/>
          <w:numId w:val="6"/>
        </w:num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招标公告中要求需要提供的其他资质和说明</w:t>
      </w:r>
    </w:p>
    <w:p>
      <w:pPr>
        <w:pStyle w:val="23"/>
        <w:rPr>
          <w:rFonts w:hint="eastAsia" w:ascii="仿宋" w:hAnsi="仿宋" w:eastAsia="仿宋" w:cs="仿宋"/>
          <w:color w:val="auto"/>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rPr>
        <w:t>一、</w:t>
      </w:r>
      <w:r>
        <w:rPr>
          <w:rFonts w:hint="eastAsia" w:ascii="仿宋" w:hAnsi="仿宋" w:eastAsia="仿宋" w:cs="仿宋"/>
          <w:b/>
          <w:bCs/>
          <w:color w:val="auto"/>
          <w:highlight w:val="none"/>
          <w:lang w:eastAsia="zh-CN"/>
        </w:rPr>
        <w:t>商务技术分评分索</w:t>
      </w:r>
      <w:r>
        <w:rPr>
          <w:rFonts w:hint="eastAsia" w:ascii="仿宋" w:hAnsi="仿宋" w:eastAsia="仿宋" w:cs="仿宋"/>
          <w:color w:val="auto"/>
          <w:highlight w:val="none"/>
        </w:rPr>
        <w:t>引</w:t>
      </w:r>
      <w:r>
        <w:rPr>
          <w:rFonts w:hint="eastAsia" w:ascii="仿宋" w:hAnsi="仿宋" w:eastAsia="仿宋" w:cs="仿宋"/>
          <w:color w:val="auto"/>
          <w:highlight w:val="none"/>
          <w:lang w:eastAsia="zh-CN"/>
        </w:rPr>
        <w:t>（商务技术文件）</w:t>
      </w:r>
    </w:p>
    <w:tbl>
      <w:tblPr>
        <w:tblStyle w:val="30"/>
        <w:tblW w:w="8152" w:type="dxa"/>
        <w:jc w:val="center"/>
        <w:tblLayout w:type="fixed"/>
        <w:tblCellMar>
          <w:top w:w="0" w:type="dxa"/>
          <w:left w:w="10" w:type="dxa"/>
          <w:bottom w:w="0" w:type="dxa"/>
          <w:right w:w="10" w:type="dxa"/>
        </w:tblCellMar>
      </w:tblPr>
      <w:tblGrid>
        <w:gridCol w:w="686"/>
        <w:gridCol w:w="1449"/>
        <w:gridCol w:w="4171"/>
        <w:gridCol w:w="923"/>
        <w:gridCol w:w="923"/>
      </w:tblGrid>
      <w:tr>
        <w:tblPrEx>
          <w:tblCellMar>
            <w:top w:w="0" w:type="dxa"/>
            <w:left w:w="10" w:type="dxa"/>
            <w:bottom w:w="0" w:type="dxa"/>
            <w:right w:w="10" w:type="dxa"/>
          </w:tblCellMar>
        </w:tblPrEx>
        <w:trPr>
          <w:trHeight w:val="630" w:hRule="exact"/>
          <w:jc w:val="center"/>
        </w:trPr>
        <w:tc>
          <w:tcPr>
            <w:tcW w:w="686"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序号</w:t>
            </w:r>
          </w:p>
        </w:tc>
        <w:tc>
          <w:tcPr>
            <w:tcW w:w="1449"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评分项目</w:t>
            </w:r>
          </w:p>
        </w:tc>
        <w:tc>
          <w:tcPr>
            <w:tcW w:w="4171" w:type="dxa"/>
            <w:tcBorders>
              <w:top w:val="single" w:color="auto" w:sz="4" w:space="0"/>
              <w:left w:val="single" w:color="auto" w:sz="4" w:space="0"/>
              <w:bottom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评标要点及说明</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页码</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自评</w:t>
            </w: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lang w:val="en-US" w:eastAsia="zh-CN"/>
              </w:rPr>
              <w:t>1</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1"/>
                <w:szCs w:val="21"/>
                <w:highlight w:val="none"/>
              </w:rPr>
              <w:t>2</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1"/>
                <w:szCs w:val="21"/>
                <w:highlight w:val="none"/>
              </w:rPr>
              <w:t>3</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lef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4</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5</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b/>
                <w:bCs/>
                <w:color w:val="auto"/>
                <w:kern w:val="0"/>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6</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6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7</w:t>
            </w:r>
          </w:p>
        </w:tc>
        <w:tc>
          <w:tcPr>
            <w:tcW w:w="1449" w:type="dxa"/>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8</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r>
        <w:tblPrEx>
          <w:tblCellMar>
            <w:top w:w="0" w:type="dxa"/>
            <w:left w:w="10" w:type="dxa"/>
            <w:bottom w:w="0" w:type="dxa"/>
            <w:right w:w="10" w:type="dxa"/>
          </w:tblCellMar>
        </w:tblPrEx>
        <w:trPr>
          <w:trHeight w:val="567" w:hRule="exact"/>
          <w:jc w:val="center"/>
        </w:trPr>
        <w:tc>
          <w:tcPr>
            <w:tcW w:w="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21"/>
                <w:szCs w:val="21"/>
                <w:highlight w:val="none"/>
                <w:lang w:eastAsia="zh-CN"/>
              </w:rPr>
              <w:t>……</w:t>
            </w:r>
          </w:p>
        </w:tc>
        <w:tc>
          <w:tcPr>
            <w:tcW w:w="1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41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仿宋" w:hAnsi="仿宋" w:eastAsia="仿宋" w:cs="仿宋"/>
                <w:color w:val="auto"/>
                <w:sz w:val="18"/>
                <w:szCs w:val="18"/>
                <w:highlight w:val="none"/>
              </w:rPr>
            </w:pPr>
          </w:p>
        </w:tc>
      </w:tr>
    </w:tbl>
    <w:p>
      <w:pPr>
        <w:rPr>
          <w:rFonts w:hint="eastAsia" w:ascii="仿宋" w:hAnsi="仿宋" w:eastAsia="仿宋" w:cs="仿宋"/>
          <w:color w:val="auto"/>
          <w:highlight w:val="none"/>
        </w:rPr>
      </w:pPr>
    </w:p>
    <w:p>
      <w:pPr>
        <w:pStyle w:val="23"/>
        <w:rPr>
          <w:rFonts w:hint="eastAsia" w:ascii="仿宋" w:hAnsi="仿宋" w:eastAsia="仿宋" w:cs="仿宋"/>
          <w:color w:val="auto"/>
          <w:sz w:val="36"/>
          <w:szCs w:val="36"/>
          <w:highlight w:val="none"/>
        </w:rPr>
      </w:pPr>
      <w:r>
        <w:rPr>
          <w:rFonts w:hint="eastAsia" w:ascii="仿宋" w:hAnsi="仿宋" w:eastAsia="仿宋" w:cs="仿宋"/>
          <w:color w:val="auto"/>
          <w:highlight w:val="none"/>
          <w:lang w:eastAsia="zh-CN"/>
        </w:rPr>
        <w:br w:type="page"/>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、诚信竞投承诺书</w:t>
      </w:r>
    </w:p>
    <w:p>
      <w:pPr>
        <w:pStyle w:val="6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本供应商郑重承诺：</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一、将遵循公开、公平、公正和诚实信用的原则参加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(采购项目名称)的竞投；</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二、不向采购单位、采购代理机构和监管部门及其工作人员和评审人员贿赂，或采取其它不正当手段谋取中标或成交；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三、应公平竞争、诚实守信，不得采取不正当手段抵毁、排挤其他供应商，不提供虚假材料谋取中标或成交；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四、中标成交后，不得将采购项目非法转让他人，或未经采购单位或采购监管部门同意，将中标项目分包给他人；</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五、不与采购单位、其它供应商和采购代理机构串通或恶意报价，哄抬采购价格；不在招标过程中与采购组织机构协商谈判；</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六、中标成交后，按规定及时与采购方签订</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合同；无正当理由不拖延或拒绝与采购方签订</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合同，不与采购方订立有悖于采购结果的合同或协议；</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七、严格履行</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合同，不降低合同约定的产品质量和服务，不擅自变更、中止、终止合同，或拒绝履行合同义务；</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八、不捏造事实或者提供虚假材料，进行虚假、恶意质疑、投诉，扰乱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工作；</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九、自觉接受和配合有关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监督部门的监督检查，不拒绝或在检查中提供虚假材料。</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本公司若有违反承诺内容的行为，自愿接受取消交易席位、记入信用档案等有关处理，愿意承担法律责任。如已中标的，自动放弃中标资格；给采购方造成损失的，依法承担赔偿责任。</w:t>
      </w:r>
    </w:p>
    <w:p>
      <w:pPr>
        <w:pStyle w:val="6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w:t>
      </w:r>
      <w:r>
        <w:rPr>
          <w:rFonts w:hint="eastAsia" w:ascii="仿宋" w:hAnsi="仿宋" w:eastAsia="仿宋" w:cs="仿宋"/>
          <w:b/>
          <w:bCs/>
          <w:color w:val="auto"/>
          <w:sz w:val="24"/>
          <w:highlight w:val="none"/>
          <w:u w:val="single"/>
        </w:rPr>
        <w:t>（签字或盖章）</w:t>
      </w:r>
    </w:p>
    <w:p>
      <w:pPr>
        <w:keepNext w:val="0"/>
        <w:keepLines w:val="0"/>
        <w:pageBreakBefore w:val="0"/>
        <w:widowControl/>
        <w:kinsoku/>
        <w:wordWrap/>
        <w:overflowPunct/>
        <w:topLinePunct w:val="0"/>
        <w:autoSpaceDE/>
        <w:autoSpaceDN/>
        <w:bidi w:val="0"/>
        <w:adjustRightInd/>
        <w:snapToGrid/>
        <w:ind w:firstLine="3360" w:firstLineChars="14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日期：</w:t>
      </w:r>
    </w:p>
    <w:p>
      <w:pPr>
        <w:pStyle w:val="28"/>
        <w:widowControl w:val="0"/>
        <w:adjustRightInd w:val="0"/>
        <w:snapToGrid w:val="0"/>
        <w:ind w:firstLine="225"/>
        <w:jc w:val="center"/>
        <w:rPr>
          <w:rFonts w:hint="eastAsia" w:ascii="仿宋" w:hAnsi="仿宋" w:eastAsia="仿宋" w:cs="仿宋"/>
          <w:color w:val="auto"/>
          <w:highlight w:val="none"/>
        </w:rPr>
        <w:sectPr>
          <w:pgSz w:w="11906" w:h="16838"/>
          <w:pgMar w:top="1797" w:right="1440" w:bottom="1797" w:left="1440" w:header="709" w:footer="975" w:gutter="0"/>
          <w:cols w:space="720" w:num="1"/>
          <w:docGrid w:linePitch="360" w:charSpace="0"/>
        </w:sectPr>
      </w:pPr>
      <w:r>
        <w:rPr>
          <w:rFonts w:hint="eastAsia" w:ascii="仿宋" w:hAnsi="仿宋" w:eastAsia="仿宋" w:cs="仿宋"/>
          <w:color w:val="auto"/>
          <w:highlight w:val="none"/>
        </w:rPr>
        <w:br w:type="page"/>
      </w:r>
    </w:p>
    <w:p>
      <w:pPr>
        <w:pStyle w:val="23"/>
        <w:rPr>
          <w:rFonts w:hint="eastAsia" w:ascii="仿宋" w:hAnsi="仿宋" w:eastAsia="仿宋" w:cs="仿宋"/>
          <w:color w:val="auto"/>
          <w:highlight w:val="none"/>
        </w:rPr>
      </w:pP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、产品配置参数明细表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560"/>
        <w:gridCol w:w="498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序号</w:t>
            </w:r>
          </w:p>
        </w:tc>
        <w:tc>
          <w:tcPr>
            <w:tcW w:w="3135"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名   称</w:t>
            </w:r>
          </w:p>
        </w:tc>
        <w:tc>
          <w:tcPr>
            <w:tcW w:w="1196"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品牌</w:t>
            </w: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型号或规格</w:t>
            </w: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数量（单位）</w:t>
            </w:r>
          </w:p>
        </w:tc>
        <w:tc>
          <w:tcPr>
            <w:tcW w:w="4988"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技术参数承诺</w:t>
            </w:r>
          </w:p>
        </w:tc>
        <w:tc>
          <w:tcPr>
            <w:tcW w:w="960" w:type="dxa"/>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restart"/>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1</w:t>
            </w:r>
          </w:p>
        </w:tc>
        <w:tc>
          <w:tcPr>
            <w:tcW w:w="3135" w:type="dxa"/>
            <w:vAlign w:val="center"/>
          </w:tcPr>
          <w:p>
            <w:pPr>
              <w:pStyle w:val="28"/>
              <w:widowControl w:val="0"/>
              <w:adjustRightInd w:val="0"/>
              <w:snapToGrid w:val="0"/>
              <w:rPr>
                <w:rFonts w:hint="eastAsia" w:ascii="仿宋" w:hAnsi="仿宋" w:eastAsia="仿宋" w:cs="仿宋"/>
                <w:sz w:val="21"/>
                <w:szCs w:val="44"/>
              </w:rPr>
            </w:pPr>
            <w:r>
              <w:rPr>
                <w:rFonts w:hint="eastAsia" w:ascii="仿宋" w:hAnsi="仿宋" w:eastAsia="仿宋" w:cs="仿宋"/>
                <w:sz w:val="21"/>
                <w:szCs w:val="44"/>
              </w:rPr>
              <w:t>（货物）</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pStyle w:val="28"/>
              <w:widowControl w:val="0"/>
              <w:adjustRightInd w:val="0"/>
              <w:snapToGrid w:val="0"/>
              <w:jc w:val="center"/>
              <w:rPr>
                <w:rFonts w:hint="eastAsia" w:ascii="仿宋" w:hAnsi="仿宋" w:eastAsia="仿宋" w:cs="仿宋"/>
                <w:b/>
                <w:sz w:val="21"/>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continue"/>
            <w:vAlign w:val="center"/>
          </w:tcPr>
          <w:p>
            <w:pPr>
              <w:pStyle w:val="28"/>
              <w:widowControl w:val="0"/>
              <w:adjustRightInd w:val="0"/>
              <w:snapToGrid w:val="0"/>
              <w:jc w:val="center"/>
              <w:rPr>
                <w:rFonts w:hint="eastAsia" w:ascii="仿宋" w:hAnsi="仿宋" w:eastAsia="仿宋" w:cs="仿宋"/>
                <w:b/>
                <w:sz w:val="21"/>
                <w:szCs w:val="44"/>
              </w:rPr>
            </w:pP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（货物附件）</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continue"/>
            <w:vAlign w:val="center"/>
          </w:tcPr>
          <w:p>
            <w:pPr>
              <w:pStyle w:val="28"/>
              <w:widowControl w:val="0"/>
              <w:adjustRightInd w:val="0"/>
              <w:snapToGrid w:val="0"/>
              <w:jc w:val="center"/>
              <w:rPr>
                <w:rFonts w:hint="eastAsia" w:ascii="仿宋" w:hAnsi="仿宋" w:eastAsia="仿宋" w:cs="仿宋"/>
                <w:b/>
                <w:sz w:val="21"/>
                <w:szCs w:val="44"/>
              </w:rPr>
            </w:pP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（配品配件）</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continue"/>
            <w:vAlign w:val="center"/>
          </w:tcPr>
          <w:p>
            <w:pPr>
              <w:pStyle w:val="28"/>
              <w:widowControl w:val="0"/>
              <w:adjustRightInd w:val="0"/>
              <w:snapToGrid w:val="0"/>
              <w:jc w:val="center"/>
              <w:rPr>
                <w:rFonts w:hint="eastAsia" w:ascii="仿宋" w:hAnsi="仿宋" w:eastAsia="仿宋" w:cs="仿宋"/>
                <w:b/>
                <w:sz w:val="21"/>
                <w:szCs w:val="44"/>
              </w:rPr>
            </w:pP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（货物耗材）</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restart"/>
            <w:vAlign w:val="center"/>
          </w:tcPr>
          <w:p>
            <w:pPr>
              <w:pStyle w:val="28"/>
              <w:widowControl w:val="0"/>
              <w:adjustRightInd w:val="0"/>
              <w:snapToGrid w:val="0"/>
              <w:jc w:val="center"/>
              <w:rPr>
                <w:rFonts w:hint="eastAsia" w:ascii="仿宋" w:hAnsi="仿宋" w:eastAsia="仿宋" w:cs="仿宋"/>
                <w:b/>
                <w:sz w:val="21"/>
                <w:szCs w:val="44"/>
              </w:rPr>
            </w:pPr>
            <w:r>
              <w:rPr>
                <w:rFonts w:hint="eastAsia" w:ascii="仿宋" w:hAnsi="仿宋" w:eastAsia="仿宋" w:cs="仿宋"/>
                <w:b/>
                <w:sz w:val="21"/>
                <w:szCs w:val="44"/>
              </w:rPr>
              <w:t>2</w:t>
            </w: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7" w:type="dxa"/>
            <w:vMerge w:val="continue"/>
            <w:vAlign w:val="center"/>
          </w:tcPr>
          <w:p>
            <w:pPr>
              <w:pStyle w:val="28"/>
              <w:widowControl w:val="0"/>
              <w:adjustRightInd w:val="0"/>
              <w:snapToGrid w:val="0"/>
              <w:jc w:val="center"/>
              <w:rPr>
                <w:rFonts w:hint="eastAsia" w:ascii="仿宋" w:hAnsi="仿宋" w:eastAsia="仿宋" w:cs="仿宋"/>
                <w:b/>
                <w:sz w:val="21"/>
                <w:szCs w:val="44"/>
              </w:rPr>
            </w:pP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vAlign w:val="center"/>
          </w:tcPr>
          <w:p>
            <w:pPr>
              <w:pStyle w:val="28"/>
              <w:widowControl w:val="0"/>
              <w:adjustRightInd w:val="0"/>
              <w:snapToGrid w:val="0"/>
              <w:jc w:val="center"/>
              <w:rPr>
                <w:rFonts w:hint="eastAsia" w:ascii="仿宋" w:hAnsi="仿宋" w:eastAsia="仿宋" w:cs="仿宋"/>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817" w:type="dxa"/>
            <w:vAlign w:val="center"/>
          </w:tcPr>
          <w:p>
            <w:pPr>
              <w:pStyle w:val="28"/>
              <w:widowControl w:val="0"/>
              <w:adjustRightInd w:val="0"/>
              <w:snapToGrid w:val="0"/>
              <w:jc w:val="center"/>
              <w:rPr>
                <w:rFonts w:hint="eastAsia" w:ascii="仿宋" w:hAnsi="仿宋" w:eastAsia="仿宋" w:cs="仿宋"/>
                <w:b/>
                <w:sz w:val="21"/>
                <w:szCs w:val="44"/>
              </w:rPr>
            </w:pPr>
          </w:p>
        </w:tc>
        <w:tc>
          <w:tcPr>
            <w:tcW w:w="3135" w:type="dxa"/>
            <w:vAlign w:val="center"/>
          </w:tcPr>
          <w:p>
            <w:pPr>
              <w:pStyle w:val="28"/>
              <w:widowControl w:val="0"/>
              <w:adjustRightInd w:val="0"/>
              <w:snapToGrid w:val="0"/>
              <w:jc w:val="both"/>
              <w:rPr>
                <w:rFonts w:hint="eastAsia" w:ascii="仿宋" w:hAnsi="仿宋" w:eastAsia="仿宋" w:cs="仿宋"/>
                <w:sz w:val="21"/>
                <w:szCs w:val="44"/>
              </w:rPr>
            </w:pPr>
            <w:r>
              <w:rPr>
                <w:rFonts w:hint="eastAsia" w:ascii="仿宋" w:hAnsi="仿宋" w:eastAsia="仿宋" w:cs="仿宋"/>
                <w:sz w:val="21"/>
                <w:szCs w:val="44"/>
              </w:rPr>
              <w:t>（按照货物清单，自行填写）</w:t>
            </w:r>
          </w:p>
        </w:tc>
        <w:tc>
          <w:tcPr>
            <w:tcW w:w="1196" w:type="dxa"/>
            <w:vAlign w:val="center"/>
          </w:tcPr>
          <w:p>
            <w:pPr>
              <w:pStyle w:val="28"/>
              <w:widowControl w:val="0"/>
              <w:adjustRightInd w:val="0"/>
              <w:snapToGrid w:val="0"/>
              <w:jc w:val="center"/>
              <w:rPr>
                <w:rFonts w:hint="eastAsia" w:ascii="仿宋" w:hAnsi="仿宋" w:eastAsia="仿宋" w:cs="仿宋"/>
                <w:sz w:val="21"/>
                <w:szCs w:val="44"/>
              </w:rPr>
            </w:pPr>
          </w:p>
        </w:tc>
        <w:tc>
          <w:tcPr>
            <w:tcW w:w="1879" w:type="dxa"/>
            <w:vAlign w:val="center"/>
          </w:tcPr>
          <w:p>
            <w:pPr>
              <w:pStyle w:val="28"/>
              <w:widowControl w:val="0"/>
              <w:adjustRightInd w:val="0"/>
              <w:snapToGrid w:val="0"/>
              <w:jc w:val="center"/>
              <w:rPr>
                <w:rFonts w:hint="eastAsia" w:ascii="仿宋" w:hAnsi="仿宋" w:eastAsia="仿宋" w:cs="仿宋"/>
                <w:b/>
                <w:sz w:val="21"/>
                <w:szCs w:val="44"/>
              </w:rPr>
            </w:pPr>
          </w:p>
        </w:tc>
        <w:tc>
          <w:tcPr>
            <w:tcW w:w="1560" w:type="dxa"/>
            <w:vAlign w:val="center"/>
          </w:tcPr>
          <w:p>
            <w:pPr>
              <w:pStyle w:val="28"/>
              <w:widowControl w:val="0"/>
              <w:adjustRightInd w:val="0"/>
              <w:snapToGrid w:val="0"/>
              <w:jc w:val="center"/>
              <w:rPr>
                <w:rFonts w:hint="eastAsia" w:ascii="仿宋" w:hAnsi="仿宋" w:eastAsia="仿宋" w:cs="仿宋"/>
                <w:b/>
                <w:sz w:val="21"/>
                <w:szCs w:val="44"/>
              </w:rPr>
            </w:pPr>
          </w:p>
        </w:tc>
        <w:tc>
          <w:tcPr>
            <w:tcW w:w="4988" w:type="dxa"/>
            <w:vAlign w:val="center"/>
          </w:tcPr>
          <w:p>
            <w:pPr>
              <w:adjustRightInd w:val="0"/>
              <w:snapToGrid w:val="0"/>
              <w:jc w:val="center"/>
              <w:rPr>
                <w:rFonts w:hint="eastAsia" w:ascii="仿宋" w:hAnsi="仿宋" w:eastAsia="仿宋" w:cs="仿宋"/>
                <w:b/>
                <w:szCs w:val="44"/>
              </w:rPr>
            </w:pPr>
          </w:p>
        </w:tc>
        <w:tc>
          <w:tcPr>
            <w:tcW w:w="960" w:type="dxa"/>
            <w:tcBorders>
              <w:bottom w:val="single" w:color="auto" w:sz="4" w:space="0"/>
            </w:tcBorders>
            <w:vAlign w:val="center"/>
          </w:tcPr>
          <w:p>
            <w:pPr>
              <w:pStyle w:val="28"/>
              <w:widowControl w:val="0"/>
              <w:adjustRightInd w:val="0"/>
              <w:snapToGrid w:val="0"/>
              <w:jc w:val="center"/>
              <w:rPr>
                <w:rFonts w:hint="eastAsia" w:ascii="仿宋" w:hAnsi="仿宋" w:eastAsia="仿宋" w:cs="仿宋"/>
                <w:b/>
                <w:sz w:val="21"/>
                <w:szCs w:val="44"/>
              </w:rPr>
            </w:pPr>
          </w:p>
        </w:tc>
      </w:tr>
    </w:tbl>
    <w:p>
      <w:pPr>
        <w:pStyle w:val="17"/>
        <w:widowControl w:val="0"/>
        <w:snapToGrid w:val="0"/>
        <w:ind w:firstLine="1118" w:firstLineChars="466"/>
        <w:rPr>
          <w:rFonts w:hint="eastAsia" w:ascii="仿宋" w:hAnsi="仿宋" w:eastAsia="仿宋" w:cs="仿宋"/>
        </w:rPr>
      </w:pPr>
    </w:p>
    <w:p>
      <w:pPr>
        <w:tabs>
          <w:tab w:val="left" w:pos="3435"/>
        </w:tabs>
        <w:adjustRightInd w:val="0"/>
        <w:snapToGrid w:val="0"/>
        <w:ind w:firstLine="435"/>
        <w:rPr>
          <w:rFonts w:hint="eastAsia" w:ascii="仿宋" w:hAnsi="仿宋" w:eastAsia="仿宋" w:cs="仿宋"/>
          <w:b/>
          <w:szCs w:val="21"/>
        </w:rPr>
      </w:pPr>
      <w:r>
        <w:rPr>
          <w:rFonts w:hint="eastAsia" w:ascii="仿宋" w:hAnsi="仿宋" w:eastAsia="仿宋" w:cs="仿宋"/>
          <w:b/>
          <w:szCs w:val="21"/>
        </w:rPr>
        <w:t>注：投标人或所投产品供应商须根据拟提供的货物参数详细填写此表，凡与《招标文件》要求不一致的内容，均详细在《技术规格响应表》中填写。</w:t>
      </w:r>
    </w:p>
    <w:p>
      <w:pPr>
        <w:tabs>
          <w:tab w:val="left" w:pos="3435"/>
        </w:tabs>
        <w:adjustRightInd w:val="0"/>
        <w:snapToGrid w:val="0"/>
        <w:rPr>
          <w:rFonts w:hint="eastAsia" w:ascii="仿宋" w:hAnsi="仿宋" w:eastAsia="仿宋" w:cs="仿宋"/>
          <w:b/>
          <w:szCs w:val="21"/>
        </w:rPr>
      </w:pPr>
    </w:p>
    <w:p>
      <w:pPr>
        <w:tabs>
          <w:tab w:val="left" w:pos="3435"/>
        </w:tabs>
        <w:adjustRightInd w:val="0"/>
        <w:snapToGrid w:val="0"/>
        <w:spacing w:line="420" w:lineRule="exact"/>
        <w:ind w:firstLine="435"/>
        <w:rPr>
          <w:rFonts w:hint="eastAsia" w:ascii="仿宋" w:hAnsi="仿宋" w:eastAsia="仿宋" w:cs="仿宋"/>
          <w:b/>
          <w:szCs w:val="21"/>
        </w:rPr>
      </w:pP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pStyle w:val="17"/>
        <w:widowControl w:val="0"/>
        <w:snapToGrid w:val="0"/>
        <w:ind w:firstLine="8196" w:firstLineChars="3415"/>
        <w:rPr>
          <w:rFonts w:asciiTheme="minorEastAsia" w:hAnsiTheme="minorEastAsia" w:eastAsiaTheme="minorEastAsia"/>
        </w:rPr>
        <w:sectPr>
          <w:pgSz w:w="16838" w:h="11906" w:orient="landscape"/>
          <w:pgMar w:top="1440" w:right="1797" w:bottom="1440" w:left="1797" w:header="709" w:footer="975" w:gutter="0"/>
          <w:cols w:space="0" w:num="1"/>
          <w:rtlGutter w:val="0"/>
          <w:docGrid w:linePitch="360" w:charSpace="0"/>
        </w:sectPr>
      </w:pPr>
    </w:p>
    <w:p>
      <w:pPr>
        <w:pStyle w:val="28"/>
        <w:widowControl w:val="0"/>
        <w:adjustRightInd w:val="0"/>
        <w:snapToGrid w:val="0"/>
        <w:spacing w:line="390" w:lineRule="atLeast"/>
        <w:jc w:val="center"/>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、技术规格响应表</w:t>
      </w:r>
    </w:p>
    <w:p>
      <w:pPr>
        <w:pStyle w:val="28"/>
        <w:widowControl w:val="0"/>
        <w:adjustRightInd w:val="0"/>
        <w:snapToGrid w:val="0"/>
        <w:rPr>
          <w:rFonts w:asciiTheme="minorEastAsia" w:hAnsiTheme="minorEastAsia" w:eastAsiaTheme="minorEastAsia"/>
        </w:rPr>
      </w:pPr>
      <w:r>
        <w:rPr>
          <w:rFonts w:asciiTheme="minorEastAsia" w:hAnsiTheme="minorEastAsia" w:eastAsiaTheme="minorEastAsia"/>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54"/>
        <w:gridCol w:w="2812"/>
        <w:gridCol w:w="136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序号</w:t>
            </w:r>
          </w:p>
        </w:tc>
        <w:tc>
          <w:tcPr>
            <w:tcW w:w="2754"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u w:val="thick" w:color="FFFFFF"/>
              </w:rPr>
              <w:t>招标文件</w:t>
            </w:r>
            <w:r>
              <w:rPr>
                <w:rFonts w:hint="eastAsia" w:ascii="仿宋" w:hAnsi="仿宋" w:eastAsia="仿宋" w:cs="仿宋"/>
              </w:rPr>
              <w:t>要求</w:t>
            </w:r>
          </w:p>
        </w:tc>
        <w:tc>
          <w:tcPr>
            <w:tcW w:w="281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投标响应参数</w:t>
            </w:r>
          </w:p>
        </w:tc>
        <w:tc>
          <w:tcPr>
            <w:tcW w:w="1361"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响应情况</w:t>
            </w:r>
          </w:p>
        </w:tc>
        <w:tc>
          <w:tcPr>
            <w:tcW w:w="157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1</w:t>
            </w:r>
          </w:p>
        </w:tc>
        <w:tc>
          <w:tcPr>
            <w:tcW w:w="2754" w:type="dxa"/>
            <w:vAlign w:val="center"/>
          </w:tcPr>
          <w:p>
            <w:pPr>
              <w:pStyle w:val="28"/>
              <w:widowControl w:val="0"/>
              <w:adjustRightInd w:val="0"/>
              <w:snapToGrid w:val="0"/>
              <w:jc w:val="both"/>
              <w:rPr>
                <w:rFonts w:hint="eastAsia" w:ascii="仿宋" w:hAnsi="仿宋" w:eastAsia="仿宋" w:cs="仿宋"/>
              </w:rPr>
            </w:pPr>
            <w:r>
              <w:rPr>
                <w:rFonts w:hint="eastAsia" w:ascii="仿宋" w:hAnsi="仿宋" w:eastAsia="仿宋" w:cs="仿宋"/>
              </w:rPr>
              <w:t>……</w:t>
            </w:r>
          </w:p>
        </w:tc>
        <w:tc>
          <w:tcPr>
            <w:tcW w:w="2812" w:type="dxa"/>
            <w:vAlign w:val="center"/>
          </w:tcPr>
          <w:p>
            <w:pPr>
              <w:pStyle w:val="28"/>
              <w:widowControl w:val="0"/>
              <w:adjustRightInd w:val="0"/>
              <w:snapToGrid w:val="0"/>
              <w:jc w:val="both"/>
              <w:rPr>
                <w:rFonts w:hint="eastAsia" w:ascii="仿宋" w:hAnsi="仿宋" w:eastAsia="仿宋" w:cs="仿宋"/>
              </w:rPr>
            </w:pPr>
            <w:r>
              <w:rPr>
                <w:rFonts w:hint="eastAsia" w:ascii="仿宋" w:hAnsi="仿宋" w:eastAsia="仿宋" w:cs="仿宋"/>
              </w:rPr>
              <w:t>……</w:t>
            </w:r>
          </w:p>
        </w:tc>
        <w:tc>
          <w:tcPr>
            <w:tcW w:w="1361" w:type="dxa"/>
            <w:vAlign w:val="center"/>
          </w:tcPr>
          <w:p>
            <w:pPr>
              <w:pStyle w:val="28"/>
              <w:widowControl w:val="0"/>
              <w:adjustRightInd w:val="0"/>
              <w:snapToGrid w:val="0"/>
              <w:jc w:val="center"/>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2</w:t>
            </w:r>
          </w:p>
        </w:tc>
        <w:tc>
          <w:tcPr>
            <w:tcW w:w="2754" w:type="dxa"/>
            <w:vAlign w:val="center"/>
          </w:tcPr>
          <w:p>
            <w:pPr>
              <w:adjustRightInd w:val="0"/>
              <w:snapToGrid w:val="0"/>
              <w:rPr>
                <w:rFonts w:hint="eastAsia" w:ascii="仿宋" w:hAnsi="仿宋" w:eastAsia="仿宋" w:cs="仿宋"/>
                <w:szCs w:val="21"/>
              </w:rPr>
            </w:pPr>
          </w:p>
        </w:tc>
        <w:tc>
          <w:tcPr>
            <w:tcW w:w="2812" w:type="dxa"/>
            <w:vAlign w:val="center"/>
          </w:tcPr>
          <w:p>
            <w:pPr>
              <w:adjustRightInd w:val="0"/>
              <w:snapToGrid w:val="0"/>
              <w:ind w:left="315" w:hanging="315" w:hangingChars="150"/>
              <w:rPr>
                <w:rFonts w:hint="eastAsia" w:ascii="仿宋" w:hAnsi="仿宋" w:eastAsia="仿宋" w:cs="仿宋"/>
              </w:rPr>
            </w:pPr>
          </w:p>
        </w:tc>
        <w:tc>
          <w:tcPr>
            <w:tcW w:w="1361" w:type="dxa"/>
            <w:vAlign w:val="center"/>
          </w:tcPr>
          <w:p>
            <w:pPr>
              <w:pStyle w:val="28"/>
              <w:widowControl w:val="0"/>
              <w:adjustRightInd w:val="0"/>
              <w:snapToGrid w:val="0"/>
              <w:jc w:val="center"/>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3</w:t>
            </w:r>
          </w:p>
        </w:tc>
        <w:tc>
          <w:tcPr>
            <w:tcW w:w="2754" w:type="dxa"/>
            <w:vAlign w:val="center"/>
          </w:tcPr>
          <w:p>
            <w:pPr>
              <w:pStyle w:val="28"/>
              <w:widowControl w:val="0"/>
              <w:adjustRightInd w:val="0"/>
              <w:snapToGrid w:val="0"/>
              <w:ind w:firstLine="840" w:firstLineChars="350"/>
              <w:jc w:val="both"/>
              <w:rPr>
                <w:rFonts w:hint="eastAsia" w:ascii="仿宋" w:hAnsi="仿宋" w:eastAsia="仿宋" w:cs="仿宋"/>
              </w:rPr>
            </w:pPr>
          </w:p>
        </w:tc>
        <w:tc>
          <w:tcPr>
            <w:tcW w:w="2812" w:type="dxa"/>
            <w:vAlign w:val="center"/>
          </w:tcPr>
          <w:p>
            <w:pPr>
              <w:adjustRightInd w:val="0"/>
              <w:snapToGrid w:val="0"/>
              <w:rPr>
                <w:rFonts w:hint="eastAsia" w:ascii="仿宋" w:hAnsi="仿宋" w:eastAsia="仿宋" w:cs="仿宋"/>
              </w:rPr>
            </w:pPr>
          </w:p>
        </w:tc>
        <w:tc>
          <w:tcPr>
            <w:tcW w:w="1361" w:type="dxa"/>
            <w:vAlign w:val="center"/>
          </w:tcPr>
          <w:p>
            <w:pPr>
              <w:pStyle w:val="28"/>
              <w:widowControl w:val="0"/>
              <w:adjustRightInd w:val="0"/>
              <w:snapToGrid w:val="0"/>
              <w:jc w:val="center"/>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4</w:t>
            </w: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center"/>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5</w:t>
            </w: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both"/>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both"/>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both"/>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both"/>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Align w:val="center"/>
          </w:tcPr>
          <w:p>
            <w:pPr>
              <w:pStyle w:val="28"/>
              <w:widowControl w:val="0"/>
              <w:adjustRightInd w:val="0"/>
              <w:snapToGrid w:val="0"/>
              <w:jc w:val="center"/>
              <w:rPr>
                <w:rFonts w:hint="eastAsia" w:ascii="仿宋" w:hAnsi="仿宋" w:eastAsia="仿宋" w:cs="仿宋"/>
              </w:rPr>
            </w:pPr>
          </w:p>
        </w:tc>
        <w:tc>
          <w:tcPr>
            <w:tcW w:w="2754" w:type="dxa"/>
            <w:vAlign w:val="center"/>
          </w:tcPr>
          <w:p>
            <w:pPr>
              <w:pStyle w:val="28"/>
              <w:widowControl w:val="0"/>
              <w:adjustRightInd w:val="0"/>
              <w:snapToGrid w:val="0"/>
              <w:jc w:val="both"/>
              <w:rPr>
                <w:rFonts w:hint="eastAsia" w:ascii="仿宋" w:hAnsi="仿宋" w:eastAsia="仿宋" w:cs="仿宋"/>
              </w:rPr>
            </w:pPr>
          </w:p>
        </w:tc>
        <w:tc>
          <w:tcPr>
            <w:tcW w:w="2812" w:type="dxa"/>
            <w:vAlign w:val="center"/>
          </w:tcPr>
          <w:p>
            <w:pPr>
              <w:pStyle w:val="28"/>
              <w:widowControl w:val="0"/>
              <w:adjustRightInd w:val="0"/>
              <w:snapToGrid w:val="0"/>
              <w:jc w:val="both"/>
              <w:rPr>
                <w:rFonts w:hint="eastAsia" w:ascii="仿宋" w:hAnsi="仿宋" w:eastAsia="仿宋" w:cs="仿宋"/>
              </w:rPr>
            </w:pPr>
          </w:p>
        </w:tc>
        <w:tc>
          <w:tcPr>
            <w:tcW w:w="1361" w:type="dxa"/>
            <w:vAlign w:val="center"/>
          </w:tcPr>
          <w:p>
            <w:pPr>
              <w:pStyle w:val="28"/>
              <w:widowControl w:val="0"/>
              <w:adjustRightInd w:val="0"/>
              <w:snapToGrid w:val="0"/>
              <w:jc w:val="both"/>
              <w:rPr>
                <w:rFonts w:hint="eastAsia" w:ascii="仿宋" w:hAnsi="仿宋" w:eastAsia="仿宋" w:cs="仿宋"/>
              </w:rPr>
            </w:pPr>
          </w:p>
        </w:tc>
        <w:tc>
          <w:tcPr>
            <w:tcW w:w="1572" w:type="dxa"/>
            <w:vAlign w:val="center"/>
          </w:tcPr>
          <w:p>
            <w:pPr>
              <w:pStyle w:val="28"/>
              <w:widowControl w:val="0"/>
              <w:adjustRightInd w:val="0"/>
              <w:snapToGrid w:val="0"/>
              <w:jc w:val="both"/>
              <w:rPr>
                <w:rFonts w:hint="eastAsia" w:ascii="仿宋" w:hAnsi="仿宋" w:eastAsia="仿宋" w:cs="仿宋"/>
              </w:rPr>
            </w:pPr>
          </w:p>
        </w:tc>
      </w:tr>
    </w:tbl>
    <w:p>
      <w:pPr>
        <w:tabs>
          <w:tab w:val="left" w:pos="3435"/>
        </w:tabs>
        <w:adjustRightInd w:val="0"/>
        <w:snapToGrid w:val="0"/>
        <w:rPr>
          <w:rFonts w:hint="eastAsia" w:ascii="仿宋" w:hAnsi="仿宋" w:eastAsia="仿宋" w:cs="仿宋"/>
          <w:b/>
          <w:szCs w:val="21"/>
        </w:rPr>
      </w:pPr>
    </w:p>
    <w:p>
      <w:pPr>
        <w:tabs>
          <w:tab w:val="left" w:pos="3435"/>
        </w:tabs>
        <w:adjustRightInd w:val="0"/>
        <w:snapToGrid w:val="0"/>
        <w:rPr>
          <w:rFonts w:hint="eastAsia" w:ascii="仿宋" w:hAnsi="仿宋" w:eastAsia="仿宋" w:cs="仿宋"/>
          <w:b/>
          <w:szCs w:val="21"/>
        </w:rPr>
      </w:pPr>
      <w:r>
        <w:rPr>
          <w:rFonts w:hint="eastAsia" w:ascii="仿宋" w:hAnsi="仿宋" w:eastAsia="仿宋" w:cs="仿宋"/>
          <w:b/>
          <w:szCs w:val="21"/>
        </w:rPr>
        <w:t>说明：1.投标人或所投产品供应商拟投的货物与招标文件中设置的技术参数不一致时，则必须在技术标《技术规格响应表》中予以明确。否则将视为投标人或所投产品供应商完全响应招标文件的要求，并以招标文件作为验收条件。</w:t>
      </w:r>
    </w:p>
    <w:p>
      <w:pPr>
        <w:tabs>
          <w:tab w:val="left" w:pos="3435"/>
        </w:tabs>
        <w:adjustRightInd w:val="0"/>
        <w:snapToGrid w:val="0"/>
        <w:ind w:firstLine="620" w:firstLineChars="294"/>
        <w:rPr>
          <w:rFonts w:hint="eastAsia" w:ascii="仿宋" w:hAnsi="仿宋" w:eastAsia="仿宋" w:cs="仿宋"/>
          <w:b/>
          <w:szCs w:val="21"/>
        </w:rPr>
      </w:pPr>
      <w:r>
        <w:rPr>
          <w:rFonts w:hint="eastAsia" w:ascii="仿宋" w:hAnsi="仿宋" w:eastAsia="仿宋" w:cs="仿宋"/>
          <w:b/>
          <w:szCs w:val="21"/>
        </w:rPr>
        <w:t>2. 拟提供货物须注明具体型号。响应情况分别为：正偏离、响应或负偏离。投标人或所投产品供应商可在备注栏内就偏离原因进行简要说明。</w:t>
      </w:r>
    </w:p>
    <w:p>
      <w:pPr>
        <w:pStyle w:val="17"/>
        <w:widowControl w:val="0"/>
        <w:snapToGrid w:val="0"/>
        <w:spacing w:line="360" w:lineRule="auto"/>
        <w:ind w:firstLine="720" w:firstLineChars="300"/>
        <w:rPr>
          <w:rFonts w:hint="eastAsia" w:ascii="仿宋" w:hAnsi="仿宋" w:eastAsia="仿宋" w:cs="仿宋"/>
        </w:rPr>
      </w:pP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pStyle w:val="28"/>
        <w:widowControl w:val="0"/>
        <w:adjustRightInd w:val="0"/>
        <w:snapToGrid w:val="0"/>
        <w:spacing w:line="390" w:lineRule="atLeast"/>
        <w:jc w:val="center"/>
        <w:rPr>
          <w:rFonts w:asciiTheme="minorEastAsia" w:hAnsiTheme="minorEastAsia" w:eastAsiaTheme="minorEastAsia"/>
          <w:b/>
          <w:sz w:val="32"/>
          <w:szCs w:val="32"/>
        </w:rPr>
      </w:pPr>
      <w:r>
        <w:rPr>
          <w:rFonts w:asciiTheme="minorEastAsia" w:hAnsiTheme="minorEastAsia" w:eastAsiaTheme="minorEastAsia"/>
          <w:b/>
          <w:sz w:val="32"/>
          <w:szCs w:val="32"/>
        </w:rPr>
        <w:br w:type="page"/>
      </w:r>
      <w:r>
        <w:rPr>
          <w:rFonts w:hint="eastAsia" w:ascii="仿宋" w:hAnsi="仿宋" w:eastAsia="仿宋" w:cs="仿宋"/>
          <w:b/>
          <w:sz w:val="32"/>
          <w:szCs w:val="32"/>
          <w:lang w:val="en-US" w:eastAsia="zh-CN"/>
        </w:rPr>
        <w:t>五</w:t>
      </w:r>
      <w:r>
        <w:rPr>
          <w:rFonts w:hint="eastAsia" w:ascii="仿宋" w:hAnsi="仿宋" w:eastAsia="仿宋" w:cs="仿宋"/>
          <w:b/>
          <w:sz w:val="32"/>
          <w:szCs w:val="32"/>
        </w:rPr>
        <w:t>、服务条款响应表</w:t>
      </w:r>
    </w:p>
    <w:p>
      <w:pPr>
        <w:pStyle w:val="28"/>
        <w:widowControl w:val="0"/>
        <w:adjustRightInd w:val="0"/>
        <w:snapToGrid w:val="0"/>
        <w:rPr>
          <w:rFonts w:asciiTheme="minorEastAsia" w:hAnsiTheme="minorEastAsia" w:eastAsiaTheme="minorEastAsia"/>
        </w:rPr>
      </w:pPr>
      <w:r>
        <w:rPr>
          <w:rFonts w:asciiTheme="minorEastAsia" w:hAnsiTheme="minorEastAsia" w:eastAsiaTheme="minorEastAsia"/>
        </w:rPr>
        <w:t xml:space="preserve"> </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3120"/>
        <w:gridCol w:w="1362"/>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序号</w:t>
            </w: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u w:val="thick" w:color="FFFFFF"/>
              </w:rPr>
              <w:t>招标文件</w:t>
            </w:r>
            <w:r>
              <w:rPr>
                <w:rFonts w:hint="eastAsia" w:ascii="仿宋" w:hAnsi="仿宋" w:eastAsia="仿宋" w:cs="仿宋"/>
              </w:rPr>
              <w:t>要求</w:t>
            </w:r>
          </w:p>
        </w:tc>
        <w:tc>
          <w:tcPr>
            <w:tcW w:w="312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投标响应内容</w:t>
            </w:r>
          </w:p>
        </w:tc>
        <w:tc>
          <w:tcPr>
            <w:tcW w:w="1362"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响应情况</w:t>
            </w:r>
          </w:p>
        </w:tc>
        <w:tc>
          <w:tcPr>
            <w:tcW w:w="77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1</w:t>
            </w: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（服务时间）</w:t>
            </w: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center"/>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2</w:t>
            </w: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（质保期）</w:t>
            </w: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center"/>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3</w:t>
            </w: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（付款方式）</w:t>
            </w: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4</w:t>
            </w: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（售后响应时间）</w:t>
            </w: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5</w:t>
            </w:r>
          </w:p>
        </w:tc>
        <w:tc>
          <w:tcPr>
            <w:tcW w:w="3180" w:type="dxa"/>
            <w:vAlign w:val="center"/>
          </w:tcPr>
          <w:p>
            <w:pPr>
              <w:pStyle w:val="28"/>
              <w:widowControl w:val="0"/>
              <w:adjustRightInd w:val="0"/>
              <w:snapToGrid w:val="0"/>
              <w:jc w:val="center"/>
              <w:rPr>
                <w:rFonts w:hint="eastAsia" w:ascii="仿宋" w:hAnsi="仿宋" w:eastAsia="仿宋" w:cs="仿宋"/>
              </w:rPr>
            </w:pP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6</w:t>
            </w:r>
          </w:p>
        </w:tc>
        <w:tc>
          <w:tcPr>
            <w:tcW w:w="3180" w:type="dxa"/>
            <w:vAlign w:val="center"/>
          </w:tcPr>
          <w:p>
            <w:pPr>
              <w:pStyle w:val="28"/>
              <w:widowControl w:val="0"/>
              <w:adjustRightInd w:val="0"/>
              <w:snapToGrid w:val="0"/>
              <w:jc w:val="center"/>
              <w:rPr>
                <w:rFonts w:hint="eastAsia" w:ascii="仿宋" w:hAnsi="仿宋" w:eastAsia="仿宋" w:cs="仿宋"/>
              </w:rPr>
            </w:pP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7</w:t>
            </w:r>
          </w:p>
        </w:tc>
        <w:tc>
          <w:tcPr>
            <w:tcW w:w="3180" w:type="dxa"/>
            <w:vAlign w:val="center"/>
          </w:tcPr>
          <w:p>
            <w:pPr>
              <w:pStyle w:val="28"/>
              <w:widowControl w:val="0"/>
              <w:adjustRightInd w:val="0"/>
              <w:snapToGrid w:val="0"/>
              <w:jc w:val="center"/>
              <w:rPr>
                <w:rFonts w:hint="eastAsia" w:ascii="仿宋" w:hAnsi="仿宋" w:eastAsia="仿宋" w:cs="仿宋"/>
              </w:rPr>
            </w:pP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p>
        </w:tc>
        <w:tc>
          <w:tcPr>
            <w:tcW w:w="3180" w:type="dxa"/>
            <w:vAlign w:val="center"/>
          </w:tcPr>
          <w:p>
            <w:pPr>
              <w:pStyle w:val="28"/>
              <w:widowControl w:val="0"/>
              <w:adjustRightInd w:val="0"/>
              <w:snapToGrid w:val="0"/>
              <w:jc w:val="center"/>
              <w:rPr>
                <w:rFonts w:hint="eastAsia" w:ascii="仿宋" w:hAnsi="仿宋" w:eastAsia="仿宋" w:cs="仿宋"/>
              </w:rPr>
            </w:pPr>
            <w:r>
              <w:rPr>
                <w:rFonts w:hint="eastAsia" w:ascii="仿宋" w:hAnsi="仿宋" w:eastAsia="仿宋" w:cs="仿宋"/>
              </w:rPr>
              <w:t>……</w:t>
            </w: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pStyle w:val="28"/>
              <w:widowControl w:val="0"/>
              <w:adjustRightInd w:val="0"/>
              <w:snapToGrid w:val="0"/>
              <w:jc w:val="center"/>
              <w:rPr>
                <w:rFonts w:hint="eastAsia" w:ascii="仿宋" w:hAnsi="仿宋" w:eastAsia="仿宋" w:cs="仿宋"/>
              </w:rPr>
            </w:pPr>
          </w:p>
        </w:tc>
        <w:tc>
          <w:tcPr>
            <w:tcW w:w="3180" w:type="dxa"/>
            <w:vAlign w:val="center"/>
          </w:tcPr>
          <w:p>
            <w:pPr>
              <w:pStyle w:val="28"/>
              <w:widowControl w:val="0"/>
              <w:adjustRightInd w:val="0"/>
              <w:snapToGrid w:val="0"/>
              <w:jc w:val="both"/>
              <w:rPr>
                <w:rFonts w:hint="eastAsia" w:ascii="仿宋" w:hAnsi="仿宋" w:eastAsia="仿宋" w:cs="仿宋"/>
              </w:rPr>
            </w:pPr>
          </w:p>
        </w:tc>
        <w:tc>
          <w:tcPr>
            <w:tcW w:w="3120" w:type="dxa"/>
            <w:vAlign w:val="center"/>
          </w:tcPr>
          <w:p>
            <w:pPr>
              <w:pStyle w:val="28"/>
              <w:widowControl w:val="0"/>
              <w:adjustRightInd w:val="0"/>
              <w:snapToGrid w:val="0"/>
              <w:jc w:val="both"/>
              <w:rPr>
                <w:rFonts w:hint="eastAsia" w:ascii="仿宋" w:hAnsi="仿宋" w:eastAsia="仿宋" w:cs="仿宋"/>
              </w:rPr>
            </w:pPr>
          </w:p>
        </w:tc>
        <w:tc>
          <w:tcPr>
            <w:tcW w:w="1362" w:type="dxa"/>
            <w:vAlign w:val="center"/>
          </w:tcPr>
          <w:p>
            <w:pPr>
              <w:pStyle w:val="28"/>
              <w:widowControl w:val="0"/>
              <w:adjustRightInd w:val="0"/>
              <w:snapToGrid w:val="0"/>
              <w:jc w:val="both"/>
              <w:rPr>
                <w:rFonts w:hint="eastAsia" w:ascii="仿宋" w:hAnsi="仿宋" w:eastAsia="仿宋" w:cs="仿宋"/>
              </w:rPr>
            </w:pPr>
          </w:p>
        </w:tc>
        <w:tc>
          <w:tcPr>
            <w:tcW w:w="779" w:type="dxa"/>
            <w:vAlign w:val="center"/>
          </w:tcPr>
          <w:p>
            <w:pPr>
              <w:pStyle w:val="28"/>
              <w:widowControl w:val="0"/>
              <w:adjustRightInd w:val="0"/>
              <w:snapToGrid w:val="0"/>
              <w:jc w:val="both"/>
              <w:rPr>
                <w:rFonts w:hint="eastAsia" w:ascii="仿宋" w:hAnsi="仿宋" w:eastAsia="仿宋" w:cs="仿宋"/>
              </w:rPr>
            </w:pPr>
          </w:p>
        </w:tc>
      </w:tr>
    </w:tbl>
    <w:p>
      <w:pPr>
        <w:pStyle w:val="17"/>
        <w:widowControl w:val="0"/>
        <w:snapToGrid w:val="0"/>
        <w:ind w:firstLine="422"/>
        <w:rPr>
          <w:rFonts w:hint="eastAsia" w:ascii="仿宋" w:hAnsi="仿宋" w:eastAsia="仿宋" w:cs="仿宋"/>
          <w:b/>
        </w:rPr>
      </w:pPr>
      <w:r>
        <w:rPr>
          <w:rFonts w:hint="eastAsia" w:ascii="仿宋" w:hAnsi="仿宋" w:eastAsia="仿宋" w:cs="仿宋"/>
          <w:b/>
        </w:rPr>
        <w:t>说明：1.投标人或所投产品供应商拟提供的服务承诺与招标文件中的要求不一致时，则必须在技术标《服务条款响应表》中予以明确。否则将视为投标人或所投产品供应商完全响应招标文件的要求，并以招标文件作为合同条件。</w:t>
      </w:r>
    </w:p>
    <w:p>
      <w:pPr>
        <w:pStyle w:val="17"/>
        <w:widowControl w:val="0"/>
        <w:snapToGrid w:val="0"/>
        <w:rPr>
          <w:rFonts w:asciiTheme="minorEastAsia" w:hAnsiTheme="minorEastAsia" w:eastAsiaTheme="minorEastAsia"/>
        </w:rPr>
      </w:pPr>
      <w:r>
        <w:rPr>
          <w:rFonts w:hint="eastAsia" w:ascii="仿宋" w:hAnsi="仿宋" w:eastAsia="仿宋" w:cs="仿宋"/>
          <w:b/>
        </w:rPr>
        <w:t>2.投标人或所投产品供应商的承诺内容须具体明确。响应情况分别为：正偏离、响应或负偏离。投标人或所投产品供应商可在备注栏内就偏离原因进行简要说明。</w:t>
      </w: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pStyle w:val="17"/>
        <w:widowControl w:val="0"/>
        <w:snapToGrid w:val="0"/>
        <w:ind w:firstLine="720" w:firstLineChars="300"/>
        <w:jc w:val="right"/>
        <w:rPr>
          <w:rFonts w:asciiTheme="minorEastAsia" w:hAnsiTheme="minorEastAsia" w:eastAsiaTheme="minorEastAsia"/>
        </w:rPr>
      </w:pPr>
      <w:r>
        <w:rPr>
          <w:rFonts w:asciiTheme="minorEastAsia" w:hAnsiTheme="minorEastAsia" w:eastAsiaTheme="minorEastAsia"/>
          <w:u w:val="single"/>
        </w:rPr>
        <w:br w:type="page"/>
      </w:r>
      <w:r>
        <w:rPr>
          <w:rFonts w:hint="eastAsia" w:ascii="仿宋" w:hAnsi="仿宋" w:eastAsia="仿宋" w:cs="仿宋"/>
          <w:b/>
          <w:kern w:val="2"/>
          <w:sz w:val="32"/>
          <w:szCs w:val="32"/>
          <w:lang w:val="en-US" w:eastAsia="zh-CN" w:bidi="ar-SA"/>
        </w:rPr>
        <w:t>六、投标人或所投产品供应商单位情况表</w:t>
      </w:r>
      <w:r>
        <w:rPr>
          <w:rFonts w:hint="eastAsia" w:asciiTheme="minorEastAsia" w:hAnsiTheme="minorEastAsia" w:eastAsiaTheme="minorEastAsia"/>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单位名称</w:t>
            </w:r>
          </w:p>
        </w:tc>
        <w:tc>
          <w:tcPr>
            <w:tcW w:w="3432"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c>
          <w:tcPr>
            <w:tcW w:w="1434"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电    话</w:t>
            </w:r>
          </w:p>
        </w:tc>
        <w:tc>
          <w:tcPr>
            <w:tcW w:w="2695"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地        址</w:t>
            </w:r>
          </w:p>
        </w:tc>
        <w:tc>
          <w:tcPr>
            <w:tcW w:w="3432"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c>
          <w:tcPr>
            <w:tcW w:w="1434"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传    真</w:t>
            </w:r>
          </w:p>
        </w:tc>
        <w:tc>
          <w:tcPr>
            <w:tcW w:w="2695"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主管部门</w:t>
            </w:r>
          </w:p>
        </w:tc>
        <w:tc>
          <w:tcPr>
            <w:tcW w:w="3432"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c>
          <w:tcPr>
            <w:tcW w:w="1434"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企业性质</w:t>
            </w:r>
          </w:p>
        </w:tc>
        <w:tc>
          <w:tcPr>
            <w:tcW w:w="2695"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法定代表人</w:t>
            </w:r>
          </w:p>
        </w:tc>
        <w:tc>
          <w:tcPr>
            <w:tcW w:w="3432"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c>
          <w:tcPr>
            <w:tcW w:w="1434"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注册资金</w:t>
            </w:r>
          </w:p>
        </w:tc>
        <w:tc>
          <w:tcPr>
            <w:tcW w:w="2695"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授权代表</w:t>
            </w:r>
          </w:p>
        </w:tc>
        <w:tc>
          <w:tcPr>
            <w:tcW w:w="3432"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c>
          <w:tcPr>
            <w:tcW w:w="1434"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职    务</w:t>
            </w:r>
          </w:p>
        </w:tc>
        <w:tc>
          <w:tcPr>
            <w:tcW w:w="2695" w:type="dxa"/>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5" w:hRule="atLeast"/>
          <w:jc w:val="center"/>
        </w:trPr>
        <w:tc>
          <w:tcPr>
            <w:tcW w:w="1603" w:type="dxa"/>
            <w:tcMar>
              <w:left w:w="142" w:type="dxa"/>
              <w:right w:w="142" w:type="dxa"/>
            </w:tcMar>
            <w:vAlign w:val="center"/>
          </w:tcPr>
          <w:p>
            <w:pPr>
              <w:pStyle w:val="17"/>
              <w:widowControl w:val="0"/>
              <w:snapToGrid w:val="0"/>
              <w:jc w:val="center"/>
              <w:rPr>
                <w:rFonts w:hint="eastAsia" w:ascii="仿宋" w:hAnsi="仿宋" w:eastAsia="仿宋" w:cs="仿宋"/>
              </w:rPr>
            </w:pPr>
            <w:r>
              <w:rPr>
                <w:rFonts w:hint="eastAsia" w:ascii="仿宋" w:hAnsi="仿宋" w:eastAsia="仿宋" w:cs="仿宋"/>
              </w:rPr>
              <w:t>单位概况</w:t>
            </w:r>
          </w:p>
        </w:tc>
        <w:tc>
          <w:tcPr>
            <w:tcW w:w="7561" w:type="dxa"/>
            <w:gridSpan w:val="3"/>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1603" w:type="dxa"/>
            <w:tcMar>
              <w:left w:w="142" w:type="dxa"/>
              <w:right w:w="142" w:type="dxa"/>
            </w:tcMar>
            <w:vAlign w:val="center"/>
          </w:tcPr>
          <w:p>
            <w:pPr>
              <w:pStyle w:val="17"/>
              <w:widowControl w:val="0"/>
              <w:snapToGrid w:val="0"/>
              <w:rPr>
                <w:rFonts w:hint="eastAsia" w:ascii="仿宋" w:hAnsi="仿宋" w:eastAsia="仿宋" w:cs="仿宋"/>
              </w:rPr>
            </w:pPr>
            <w:r>
              <w:rPr>
                <w:rFonts w:hint="eastAsia" w:ascii="仿宋" w:hAnsi="仿宋" w:eastAsia="仿宋" w:cs="仿宋"/>
              </w:rPr>
              <w:t>优势及特长</w:t>
            </w:r>
          </w:p>
        </w:tc>
        <w:tc>
          <w:tcPr>
            <w:tcW w:w="7561" w:type="dxa"/>
            <w:gridSpan w:val="3"/>
            <w:tcMar>
              <w:left w:w="142" w:type="dxa"/>
              <w:right w:w="142" w:type="dxa"/>
            </w:tcMar>
            <w:vAlign w:val="center"/>
          </w:tcPr>
          <w:p>
            <w:pPr>
              <w:pStyle w:val="17"/>
              <w:widowControl w:val="0"/>
              <w:snapToGrid w:val="0"/>
              <w:ind w:firstLine="400"/>
              <w:jc w:val="center"/>
              <w:rPr>
                <w:rFonts w:hint="eastAsia" w:ascii="仿宋" w:hAnsi="仿宋" w:eastAsia="仿宋" w:cs="仿宋"/>
              </w:rPr>
            </w:pPr>
          </w:p>
        </w:tc>
      </w:tr>
    </w:tbl>
    <w:p>
      <w:pPr>
        <w:adjustRightInd w:val="0"/>
        <w:snapToGrid w:val="0"/>
        <w:ind w:firstLine="413" w:firstLineChars="196"/>
        <w:rPr>
          <w:rFonts w:hint="eastAsia" w:ascii="仿宋" w:hAnsi="仿宋" w:eastAsia="仿宋" w:cs="仿宋"/>
          <w:b/>
          <w:szCs w:val="21"/>
        </w:rPr>
      </w:pPr>
      <w:r>
        <w:rPr>
          <w:rFonts w:hint="eastAsia" w:ascii="仿宋" w:hAnsi="仿宋" w:eastAsia="仿宋" w:cs="仿宋"/>
          <w:b/>
          <w:szCs w:val="21"/>
        </w:rPr>
        <w:t>注：此表仅做参考，可自行制作</w:t>
      </w:r>
    </w:p>
    <w:p>
      <w:pPr>
        <w:spacing w:line="360" w:lineRule="auto"/>
        <w:jc w:val="center"/>
        <w:rPr>
          <w:rFonts w:asciiTheme="minorEastAsia" w:hAnsiTheme="minorEastAsia"/>
          <w:b/>
          <w:sz w:val="32"/>
          <w:szCs w:val="32"/>
        </w:rPr>
      </w:pPr>
      <w:r>
        <w:rPr>
          <w:rFonts w:asciiTheme="minorEastAsia" w:hAnsiTheme="minorEastAsia"/>
        </w:rPr>
        <w:br w:type="page"/>
      </w:r>
      <w:r>
        <w:rPr>
          <w:rFonts w:hint="eastAsia" w:ascii="仿宋" w:hAnsi="仿宋" w:eastAsia="仿宋" w:cs="仿宋"/>
          <w:b/>
          <w:kern w:val="2"/>
          <w:sz w:val="32"/>
          <w:szCs w:val="32"/>
          <w:lang w:val="en-US" w:eastAsia="zh-CN" w:bidi="ar-SA"/>
        </w:rPr>
        <w:t>七、项目实施人员一览表</w:t>
      </w:r>
    </w:p>
    <w:p>
      <w:pPr>
        <w:spacing w:line="440" w:lineRule="exact"/>
        <w:rPr>
          <w:rFonts w:asciiTheme="minorEastAsia" w:hAnsiTheme="minorEastAsia"/>
          <w:b/>
          <w:sz w:val="32"/>
          <w:szCs w:val="32"/>
        </w:rPr>
      </w:pPr>
    </w:p>
    <w:tbl>
      <w:tblPr>
        <w:tblStyle w:val="30"/>
        <w:tblW w:w="94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67"/>
        <w:gridCol w:w="1779"/>
        <w:gridCol w:w="1779"/>
        <w:gridCol w:w="1779"/>
        <w:gridCol w:w="1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236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拟委任职务</w:t>
            </w:r>
          </w:p>
        </w:tc>
        <w:tc>
          <w:tcPr>
            <w:tcW w:w="1779" w:type="dxa"/>
            <w:tcBorders>
              <w:right w:val="single" w:color="auto"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项目负责人</w:t>
            </w:r>
          </w:p>
        </w:tc>
        <w:tc>
          <w:tcPr>
            <w:tcW w:w="1779" w:type="dxa"/>
            <w:tcBorders>
              <w:left w:val="single" w:color="auto"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项目联系人</w:t>
            </w:r>
          </w:p>
        </w:tc>
        <w:tc>
          <w:tcPr>
            <w:tcW w:w="1779"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售后联系人</w:t>
            </w:r>
          </w:p>
        </w:tc>
        <w:tc>
          <w:tcPr>
            <w:tcW w:w="178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236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姓名/年龄</w:t>
            </w:r>
          </w:p>
        </w:tc>
        <w:tc>
          <w:tcPr>
            <w:tcW w:w="1779" w:type="dxa"/>
            <w:tcBorders>
              <w:right w:val="single" w:color="auto" w:sz="4" w:space="0"/>
            </w:tcBorders>
            <w:vAlign w:val="center"/>
          </w:tcPr>
          <w:p>
            <w:pPr>
              <w:jc w:val="center"/>
              <w:rPr>
                <w:rFonts w:hint="eastAsia" w:ascii="仿宋" w:hAnsi="仿宋" w:eastAsia="仿宋" w:cs="仿宋"/>
                <w:color w:val="000000"/>
                <w:szCs w:val="21"/>
              </w:rPr>
            </w:pPr>
          </w:p>
        </w:tc>
        <w:tc>
          <w:tcPr>
            <w:tcW w:w="1779" w:type="dxa"/>
            <w:tcBorders>
              <w:left w:val="single" w:color="auto" w:sz="4" w:space="0"/>
            </w:tcBorders>
            <w:vAlign w:val="center"/>
          </w:tcPr>
          <w:p>
            <w:pPr>
              <w:jc w:val="center"/>
              <w:rPr>
                <w:rFonts w:hint="eastAsia" w:ascii="仿宋" w:hAnsi="仿宋" w:eastAsia="仿宋" w:cs="仿宋"/>
                <w:color w:val="000000"/>
                <w:szCs w:val="21"/>
              </w:rPr>
            </w:pPr>
          </w:p>
        </w:tc>
        <w:tc>
          <w:tcPr>
            <w:tcW w:w="1779" w:type="dxa"/>
            <w:vAlign w:val="center"/>
          </w:tcPr>
          <w:p>
            <w:pPr>
              <w:jc w:val="center"/>
              <w:rPr>
                <w:rFonts w:hint="eastAsia" w:ascii="仿宋" w:hAnsi="仿宋" w:eastAsia="仿宋" w:cs="仿宋"/>
                <w:color w:val="000000"/>
                <w:szCs w:val="21"/>
              </w:rPr>
            </w:pPr>
          </w:p>
        </w:tc>
        <w:tc>
          <w:tcPr>
            <w:tcW w:w="1780" w:type="dxa"/>
            <w:vAlign w:val="center"/>
          </w:tcPr>
          <w:p>
            <w:pPr>
              <w:jc w:val="center"/>
              <w:rPr>
                <w:rFonts w:hint="eastAsia" w:ascii="仿宋" w:hAnsi="仿宋" w:eastAsia="仿宋" w:cs="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6" w:hRule="atLeast"/>
          <w:jc w:val="center"/>
        </w:trPr>
        <w:tc>
          <w:tcPr>
            <w:tcW w:w="236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职务/职称</w:t>
            </w:r>
          </w:p>
        </w:tc>
        <w:tc>
          <w:tcPr>
            <w:tcW w:w="1779" w:type="dxa"/>
            <w:tcBorders>
              <w:right w:val="single" w:color="auto" w:sz="4" w:space="0"/>
            </w:tcBorders>
            <w:vAlign w:val="center"/>
          </w:tcPr>
          <w:p>
            <w:pPr>
              <w:jc w:val="center"/>
              <w:rPr>
                <w:rFonts w:hint="eastAsia" w:ascii="仿宋" w:hAnsi="仿宋" w:eastAsia="仿宋" w:cs="仿宋"/>
                <w:color w:val="000000"/>
                <w:szCs w:val="21"/>
              </w:rPr>
            </w:pPr>
          </w:p>
        </w:tc>
        <w:tc>
          <w:tcPr>
            <w:tcW w:w="1779" w:type="dxa"/>
            <w:tcBorders>
              <w:left w:val="single" w:color="auto" w:sz="4" w:space="0"/>
            </w:tcBorders>
            <w:vAlign w:val="center"/>
          </w:tcPr>
          <w:p>
            <w:pPr>
              <w:jc w:val="center"/>
              <w:rPr>
                <w:rFonts w:hint="eastAsia" w:ascii="仿宋" w:hAnsi="仿宋" w:eastAsia="仿宋" w:cs="仿宋"/>
                <w:color w:val="000000"/>
                <w:szCs w:val="21"/>
              </w:rPr>
            </w:pPr>
          </w:p>
        </w:tc>
        <w:tc>
          <w:tcPr>
            <w:tcW w:w="1779" w:type="dxa"/>
            <w:vAlign w:val="center"/>
          </w:tcPr>
          <w:p>
            <w:pPr>
              <w:jc w:val="center"/>
              <w:rPr>
                <w:rFonts w:hint="eastAsia" w:ascii="仿宋" w:hAnsi="仿宋" w:eastAsia="仿宋" w:cs="仿宋"/>
                <w:color w:val="000000"/>
                <w:szCs w:val="21"/>
              </w:rPr>
            </w:pPr>
          </w:p>
        </w:tc>
        <w:tc>
          <w:tcPr>
            <w:tcW w:w="1780" w:type="dxa"/>
            <w:vAlign w:val="center"/>
          </w:tcPr>
          <w:p>
            <w:pPr>
              <w:jc w:val="center"/>
              <w:rPr>
                <w:rFonts w:hint="eastAsia" w:ascii="仿宋" w:hAnsi="仿宋" w:eastAsia="仿宋" w:cs="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68" w:hRule="exact"/>
          <w:jc w:val="center"/>
        </w:trPr>
        <w:tc>
          <w:tcPr>
            <w:tcW w:w="236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学历</w:t>
            </w:r>
          </w:p>
          <w:p>
            <w:pPr>
              <w:jc w:val="center"/>
              <w:rPr>
                <w:rFonts w:hint="eastAsia" w:ascii="仿宋" w:hAnsi="仿宋" w:eastAsia="仿宋" w:cs="仿宋"/>
                <w:color w:val="000000"/>
                <w:szCs w:val="21"/>
              </w:rPr>
            </w:pPr>
            <w:r>
              <w:rPr>
                <w:rFonts w:hint="eastAsia" w:ascii="仿宋" w:hAnsi="仿宋" w:eastAsia="仿宋" w:cs="仿宋"/>
                <w:color w:val="000000"/>
                <w:szCs w:val="21"/>
              </w:rPr>
              <w:t>（毕业时间、校名、专业）</w:t>
            </w:r>
          </w:p>
        </w:tc>
        <w:tc>
          <w:tcPr>
            <w:tcW w:w="1779" w:type="dxa"/>
            <w:tcBorders>
              <w:right w:val="single" w:color="auto" w:sz="4" w:space="0"/>
            </w:tcBorders>
            <w:vAlign w:val="center"/>
          </w:tcPr>
          <w:p>
            <w:pPr>
              <w:jc w:val="center"/>
              <w:rPr>
                <w:rFonts w:hint="eastAsia" w:ascii="仿宋" w:hAnsi="仿宋" w:eastAsia="仿宋" w:cs="仿宋"/>
                <w:color w:val="000000"/>
                <w:szCs w:val="21"/>
              </w:rPr>
            </w:pPr>
          </w:p>
        </w:tc>
        <w:tc>
          <w:tcPr>
            <w:tcW w:w="1779" w:type="dxa"/>
            <w:tcBorders>
              <w:left w:val="single" w:color="auto" w:sz="4" w:space="0"/>
            </w:tcBorders>
            <w:vAlign w:val="center"/>
          </w:tcPr>
          <w:p>
            <w:pPr>
              <w:jc w:val="center"/>
              <w:rPr>
                <w:rFonts w:hint="eastAsia" w:ascii="仿宋" w:hAnsi="仿宋" w:eastAsia="仿宋" w:cs="仿宋"/>
                <w:color w:val="000000"/>
                <w:szCs w:val="21"/>
              </w:rPr>
            </w:pPr>
          </w:p>
        </w:tc>
        <w:tc>
          <w:tcPr>
            <w:tcW w:w="1779" w:type="dxa"/>
            <w:vAlign w:val="center"/>
          </w:tcPr>
          <w:p>
            <w:pPr>
              <w:jc w:val="center"/>
              <w:rPr>
                <w:rFonts w:hint="eastAsia" w:ascii="仿宋" w:hAnsi="仿宋" w:eastAsia="仿宋" w:cs="仿宋"/>
                <w:color w:val="000000"/>
                <w:szCs w:val="21"/>
              </w:rPr>
            </w:pPr>
          </w:p>
        </w:tc>
        <w:tc>
          <w:tcPr>
            <w:tcW w:w="1780" w:type="dxa"/>
            <w:vAlign w:val="center"/>
          </w:tcPr>
          <w:p>
            <w:pPr>
              <w:jc w:val="center"/>
              <w:rPr>
                <w:rFonts w:hint="eastAsia" w:ascii="仿宋" w:hAnsi="仿宋" w:eastAsia="仿宋" w:cs="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22" w:hRule="exact"/>
          <w:jc w:val="center"/>
        </w:trPr>
        <w:tc>
          <w:tcPr>
            <w:tcW w:w="236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经历</w:t>
            </w:r>
          </w:p>
          <w:p>
            <w:pPr>
              <w:jc w:val="center"/>
              <w:rPr>
                <w:rFonts w:hint="eastAsia" w:ascii="仿宋" w:hAnsi="仿宋" w:eastAsia="仿宋" w:cs="仿宋"/>
                <w:color w:val="000000"/>
                <w:szCs w:val="21"/>
              </w:rPr>
            </w:pPr>
            <w:r>
              <w:rPr>
                <w:rFonts w:hint="eastAsia" w:ascii="仿宋" w:hAnsi="仿宋" w:eastAsia="仿宋" w:cs="仿宋"/>
                <w:color w:val="000000"/>
                <w:szCs w:val="21"/>
              </w:rPr>
              <w:t>（何时在哪些项目中任何职务）</w:t>
            </w:r>
          </w:p>
        </w:tc>
        <w:tc>
          <w:tcPr>
            <w:tcW w:w="1779" w:type="dxa"/>
            <w:tcBorders>
              <w:right w:val="single" w:color="auto" w:sz="4" w:space="0"/>
            </w:tcBorders>
            <w:vAlign w:val="center"/>
          </w:tcPr>
          <w:p>
            <w:pPr>
              <w:jc w:val="center"/>
              <w:rPr>
                <w:rFonts w:hint="eastAsia" w:ascii="仿宋" w:hAnsi="仿宋" w:eastAsia="仿宋" w:cs="仿宋"/>
                <w:color w:val="000000"/>
                <w:szCs w:val="21"/>
              </w:rPr>
            </w:pPr>
          </w:p>
        </w:tc>
        <w:tc>
          <w:tcPr>
            <w:tcW w:w="1779" w:type="dxa"/>
            <w:tcBorders>
              <w:left w:val="single" w:color="auto" w:sz="4" w:space="0"/>
            </w:tcBorders>
            <w:vAlign w:val="center"/>
          </w:tcPr>
          <w:p>
            <w:pPr>
              <w:jc w:val="center"/>
              <w:rPr>
                <w:rFonts w:hint="eastAsia" w:ascii="仿宋" w:hAnsi="仿宋" w:eastAsia="仿宋" w:cs="仿宋"/>
                <w:color w:val="000000"/>
                <w:szCs w:val="21"/>
              </w:rPr>
            </w:pPr>
          </w:p>
        </w:tc>
        <w:tc>
          <w:tcPr>
            <w:tcW w:w="1779" w:type="dxa"/>
            <w:vAlign w:val="center"/>
          </w:tcPr>
          <w:p>
            <w:pPr>
              <w:jc w:val="center"/>
              <w:rPr>
                <w:rFonts w:hint="eastAsia" w:ascii="仿宋" w:hAnsi="仿宋" w:eastAsia="仿宋" w:cs="仿宋"/>
                <w:color w:val="000000"/>
                <w:szCs w:val="21"/>
              </w:rPr>
            </w:pPr>
          </w:p>
        </w:tc>
        <w:tc>
          <w:tcPr>
            <w:tcW w:w="1780" w:type="dxa"/>
            <w:vAlign w:val="center"/>
          </w:tcPr>
          <w:p>
            <w:pPr>
              <w:jc w:val="center"/>
              <w:rPr>
                <w:rFonts w:hint="eastAsia" w:ascii="仿宋" w:hAnsi="仿宋" w:eastAsia="仿宋" w:cs="仿宋"/>
                <w:color w:val="000000"/>
                <w:szCs w:val="21"/>
              </w:rPr>
            </w:pPr>
          </w:p>
        </w:tc>
      </w:tr>
    </w:tbl>
    <w:p>
      <w:pPr>
        <w:pStyle w:val="17"/>
        <w:widowControl w:val="0"/>
        <w:snapToGrid w:val="0"/>
        <w:ind w:firstLine="400"/>
        <w:rPr>
          <w:rFonts w:asciiTheme="minorEastAsia" w:hAnsiTheme="minorEastAsia" w:eastAsiaTheme="minorEastAsia"/>
        </w:rPr>
      </w:pPr>
    </w:p>
    <w:p>
      <w:pPr>
        <w:pStyle w:val="17"/>
        <w:widowControl w:val="0"/>
        <w:snapToGrid w:val="0"/>
        <w:ind w:firstLine="400"/>
        <w:rPr>
          <w:rFonts w:asciiTheme="minorEastAsia" w:hAnsiTheme="minorEastAsia" w:eastAsiaTheme="minorEastAsia"/>
        </w:rPr>
      </w:pP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pStyle w:val="17"/>
        <w:widowControl w:val="0"/>
        <w:snapToGrid w:val="0"/>
        <w:ind w:firstLine="643"/>
        <w:jc w:val="center"/>
        <w:rPr>
          <w:rFonts w:asciiTheme="minorEastAsia" w:hAnsiTheme="minorEastAsia" w:eastAsiaTheme="minorEastAsia"/>
          <w:b/>
          <w:sz w:val="32"/>
          <w:szCs w:val="32"/>
        </w:rPr>
      </w:pPr>
    </w:p>
    <w:p>
      <w:pPr>
        <w:spacing w:line="360" w:lineRule="auto"/>
        <w:jc w:val="both"/>
        <w:rPr>
          <w:rFonts w:hint="eastAsia" w:ascii="仿宋" w:hAnsi="仿宋" w:eastAsia="仿宋" w:cs="仿宋"/>
          <w:b/>
          <w:kern w:val="2"/>
          <w:sz w:val="32"/>
          <w:szCs w:val="32"/>
          <w:lang w:val="en-US" w:eastAsia="zh-CN" w:bidi="ar-SA"/>
        </w:rPr>
      </w:pPr>
    </w:p>
    <w:p>
      <w:pPr>
        <w:spacing w:line="360" w:lineRule="auto"/>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八、服务计划书</w:t>
      </w:r>
    </w:p>
    <w:p>
      <w:pPr>
        <w:adjustRightInd w:val="0"/>
        <w:snapToGrid w:val="0"/>
        <w:spacing w:line="440" w:lineRule="exact"/>
        <w:ind w:firstLine="435"/>
        <w:rPr>
          <w:rFonts w:asciiTheme="minorEastAsia" w:hAnsiTheme="minorEastAsia"/>
        </w:rPr>
      </w:pPr>
      <w:r>
        <w:rPr>
          <w:rFonts w:asciiTheme="minorEastAsia" w:hAnsiTheme="minorEastAsia"/>
        </w:rPr>
        <w:t>由各</w:t>
      </w:r>
      <w:r>
        <w:rPr>
          <w:rFonts w:hint="eastAsia" w:asciiTheme="minorEastAsia" w:hAnsiTheme="minorEastAsia"/>
        </w:rPr>
        <w:t>投标人或所投产品供应商</w:t>
      </w:r>
      <w:r>
        <w:rPr>
          <w:rFonts w:asciiTheme="minorEastAsia" w:hAnsiTheme="minorEastAsia"/>
        </w:rPr>
        <w:t>自行填写</w:t>
      </w: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7"/>
        <w:widowControl w:val="0"/>
        <w:snapToGrid w:val="0"/>
        <w:ind w:firstLine="643"/>
        <w:jc w:val="center"/>
        <w:rPr>
          <w:rFonts w:asciiTheme="minorEastAsia" w:hAnsiTheme="minorEastAsia" w:eastAsiaTheme="minorEastAsia"/>
          <w:b/>
          <w:sz w:val="32"/>
          <w:szCs w:val="32"/>
        </w:rPr>
      </w:pPr>
    </w:p>
    <w:p>
      <w:pPr>
        <w:pStyle w:val="13"/>
        <w:ind w:firstLine="240"/>
        <w:rPr>
          <w:rFonts w:hint="eastAsia" w:ascii="仿宋" w:hAnsi="仿宋" w:eastAsia="仿宋" w:cs="仿宋"/>
          <w:color w:val="auto"/>
          <w:sz w:val="24"/>
          <w:szCs w:val="24"/>
          <w:highlight w:val="none"/>
        </w:rPr>
      </w:pPr>
    </w:p>
    <w:p>
      <w:pPr>
        <w:pStyle w:val="13"/>
        <w:ind w:firstLine="0"/>
        <w:rPr>
          <w:rFonts w:hint="eastAsia" w:ascii="仿宋" w:hAnsi="仿宋" w:eastAsia="仿宋" w:cs="仿宋"/>
          <w:color w:val="auto"/>
          <w:sz w:val="24"/>
          <w:szCs w:val="24"/>
          <w:highlight w:val="none"/>
        </w:rPr>
      </w:pPr>
    </w:p>
    <w:p>
      <w:pPr>
        <w:pStyle w:val="17"/>
        <w:widowControl w:val="0"/>
        <w:snapToGrid w:val="0"/>
        <w:ind w:firstLine="4320" w:firstLineChars="1800"/>
        <w:rPr>
          <w:rFonts w:hint="eastAsia" w:eastAsia="仿宋" w:asciiTheme="minorEastAsia" w:hAnsiTheme="minorEastAsia"/>
          <w:lang w:eastAsia="zh-CN"/>
        </w:rPr>
        <w:sectPr>
          <w:pgSz w:w="11906" w:h="16838"/>
          <w:pgMar w:top="1797" w:right="1440" w:bottom="1797" w:left="1440" w:header="709" w:footer="975" w:gutter="0"/>
          <w:cols w:space="0" w:num="1"/>
          <w:rtlGutter w:val="0"/>
          <w:docGrid w:linePitch="360" w:charSpace="0"/>
        </w:sectPr>
      </w:pPr>
      <w:r>
        <w:rPr>
          <w:rFonts w:hint="eastAsia" w:ascii="仿宋" w:hAnsi="仿宋" w:eastAsia="仿宋" w:cs="仿宋"/>
          <w:color w:val="auto"/>
          <w:highlight w:val="none"/>
        </w:rPr>
        <w:br w:type="page"/>
      </w:r>
      <w:bookmarkEnd w:id="382"/>
      <w:bookmarkEnd w:id="383"/>
      <w:bookmarkEnd w:id="384"/>
      <w:bookmarkEnd w:id="385"/>
      <w:bookmarkStart w:id="386" w:name="_Toc11210"/>
      <w:bookmarkStart w:id="387" w:name="_Toc31748"/>
      <w:bookmarkStart w:id="388" w:name="_Toc30000"/>
      <w:bookmarkStart w:id="389" w:name="_Toc13293"/>
      <w:bookmarkStart w:id="390" w:name="_Toc18061"/>
      <w:bookmarkStart w:id="391" w:name="_Toc19040"/>
      <w:bookmarkStart w:id="392" w:name="_Toc32227_WPSOffice_Level2"/>
    </w:p>
    <w:p>
      <w:pPr>
        <w:pStyle w:val="13"/>
        <w:ind w:left="0" w:leftChars="0" w:firstLine="0" w:firstLineChars="0"/>
        <w:jc w:val="both"/>
        <w:outlineLvl w:val="1"/>
        <w:rPr>
          <w:rFonts w:hint="eastAsia" w:ascii="仿宋" w:hAnsi="仿宋" w:eastAsia="仿宋" w:cs="仿宋"/>
          <w:b/>
          <w:bCs/>
          <w:snapToGrid/>
          <w:color w:val="auto"/>
          <w:kern w:val="28"/>
          <w:sz w:val="28"/>
          <w:szCs w:val="32"/>
          <w:highlight w:val="none"/>
          <w:lang w:val="en-US" w:eastAsia="zh-CN" w:bidi="ar-SA"/>
        </w:rPr>
      </w:pPr>
    </w:p>
    <w:p>
      <w:pPr>
        <w:pStyle w:val="13"/>
        <w:ind w:left="0" w:leftChars="0" w:firstLine="0" w:firstLineChars="0"/>
        <w:jc w:val="center"/>
        <w:outlineLvl w:val="1"/>
        <w:rPr>
          <w:rFonts w:hint="eastAsia" w:ascii="仿宋" w:hAnsi="仿宋" w:eastAsia="仿宋" w:cs="仿宋"/>
          <w:b/>
          <w:bCs/>
          <w:snapToGrid/>
          <w:color w:val="auto"/>
          <w:kern w:val="28"/>
          <w:sz w:val="28"/>
          <w:szCs w:val="32"/>
          <w:highlight w:val="none"/>
          <w:lang w:val="en-US" w:eastAsia="zh-CN" w:bidi="ar-SA"/>
        </w:rPr>
      </w:pPr>
      <w:r>
        <w:rPr>
          <w:rFonts w:hint="eastAsia" w:ascii="仿宋" w:hAnsi="仿宋" w:eastAsia="仿宋" w:cs="仿宋"/>
          <w:b/>
          <w:bCs/>
          <w:snapToGrid/>
          <w:color w:val="auto"/>
          <w:kern w:val="28"/>
          <w:sz w:val="28"/>
          <w:szCs w:val="32"/>
          <w:highlight w:val="none"/>
          <w:lang w:val="en-US" w:eastAsia="zh-CN" w:bidi="ar-SA"/>
        </w:rPr>
        <w:t>九、投标人认为需提交的其他文件和说明；</w:t>
      </w:r>
      <w:bookmarkEnd w:id="386"/>
    </w:p>
    <w:bookmarkEnd w:id="387"/>
    <w:bookmarkEnd w:id="388"/>
    <w:bookmarkEnd w:id="389"/>
    <w:bookmarkEnd w:id="390"/>
    <w:bookmarkEnd w:id="391"/>
    <w:bookmarkEnd w:id="392"/>
    <w:p>
      <w:pPr>
        <w:pStyle w:val="23"/>
        <w:rPr>
          <w:rFonts w:hint="eastAsia" w:ascii="仿宋" w:hAnsi="仿宋" w:eastAsia="仿宋" w:cs="仿宋"/>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一、投标函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 </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none"/>
          <w:lang w:eastAsia="zh-CN"/>
        </w:rPr>
        <w:t>的</w:t>
      </w:r>
      <w:r>
        <w:rPr>
          <w:rFonts w:hint="eastAsia" w:ascii="仿宋" w:hAnsi="仿宋" w:eastAsia="仿宋" w:cs="仿宋"/>
          <w:color w:val="auto"/>
          <w:sz w:val="24"/>
          <w:highlight w:val="none"/>
        </w:rPr>
        <w:t>招标采购文件，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（投标人）正式授权的（姓名）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，提交招标采购文件要求的全套投标文件，同时承诺如下：</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（一）我方已详细审核并确认全部招标采购文件，包括修改文件（如有）及有关附件。</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二）一旦我方中标，我方将按照投标文件中的承诺组建项目团队人员，由投标文件所承诺的人员完成本项目的全部工作，保证在未征得采购人同意的前提下不变更主要人员，保证按承诺的工期完成并提供相应的服务。</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（三）我方同意所提交的投标文件在招标采购文件的投标须知中规定的投标有效期限内有效，在此期间内如果中标，我方将受此约束。</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（四）除非另外达成协议并生效，贵方的中标通知书和本投标文件将成为约束双方的合同文件的组成部分。</w:t>
      </w:r>
    </w:p>
    <w:p>
      <w:pPr>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（五）其他补充说明：（补充说明事项）与本投标有关的一切正式往来以书面形式为准。</w:t>
      </w: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rPr>
          <w:rFonts w:hint="eastAsia" w:ascii="仿宋" w:hAnsi="仿宋" w:eastAsia="仿宋" w:cs="仿宋"/>
          <w:color w:val="auto"/>
          <w:sz w:val="24"/>
          <w:highlight w:val="none"/>
          <w:u w:val="single"/>
        </w:rPr>
      </w:pPr>
    </w:p>
    <w:p>
      <w:pPr>
        <w:rPr>
          <w:rFonts w:hint="eastAsia" w:ascii="仿宋" w:hAnsi="仿宋" w:eastAsia="仿宋" w:cs="仿宋"/>
          <w:color w:val="auto"/>
          <w:highlight w:val="none"/>
        </w:rPr>
        <w:sectPr>
          <w:headerReference r:id="rId11" w:type="default"/>
          <w:footerReference r:id="rId12" w:type="default"/>
          <w:pgSz w:w="11906" w:h="16838"/>
          <w:pgMar w:top="1797" w:right="1440" w:bottom="1797" w:left="1440" w:header="709" w:footer="975" w:gutter="0"/>
          <w:pgBorders>
            <w:top w:val="none" w:sz="0" w:space="0"/>
            <w:left w:val="none" w:sz="0" w:space="0"/>
            <w:bottom w:val="none" w:sz="0" w:space="0"/>
            <w:right w:val="none" w:sz="0" w:space="0"/>
          </w:pgBorders>
          <w:pgNumType w:fmt="decimal"/>
          <w:cols w:space="0" w:num="1"/>
          <w:rtlGutter w:val="0"/>
          <w:docGrid w:linePitch="312" w:charSpace="0"/>
        </w:sectPr>
      </w:pPr>
    </w:p>
    <w:p>
      <w:pPr>
        <w:pStyle w:val="23"/>
        <w:rPr>
          <w:rFonts w:hint="eastAsia" w:ascii="仿宋" w:hAnsi="仿宋" w:eastAsia="仿宋" w:cs="仿宋"/>
          <w:color w:val="auto"/>
          <w:highlight w:val="none"/>
        </w:rPr>
      </w:pPr>
      <w:bookmarkStart w:id="393" w:name="_Toc27144_WPSOffice_Level2"/>
      <w:r>
        <w:rPr>
          <w:rFonts w:hint="eastAsia" w:ascii="仿宋" w:hAnsi="仿宋" w:eastAsia="仿宋" w:cs="仿宋"/>
          <w:color w:val="auto"/>
          <w:highlight w:val="none"/>
        </w:rPr>
        <w:t>二、</w:t>
      </w:r>
      <w:bookmarkEnd w:id="393"/>
      <w:r>
        <w:rPr>
          <w:rFonts w:hint="eastAsia" w:ascii="仿宋" w:hAnsi="仿宋" w:eastAsia="仿宋" w:cs="仿宋"/>
          <w:color w:val="auto"/>
          <w:highlight w:val="none"/>
        </w:rPr>
        <w:t>报价一览表</w:t>
      </w:r>
    </w:p>
    <w:tbl>
      <w:tblPr>
        <w:tblStyle w:val="30"/>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827"/>
        <w:gridCol w:w="850"/>
        <w:gridCol w:w="2373"/>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79" w:type="dxa"/>
            <w:vAlign w:val="center"/>
          </w:tcPr>
          <w:p>
            <w:pPr>
              <w:autoSpaceDE w:val="0"/>
              <w:autoSpaceDN w:val="0"/>
              <w:adjustRightInd w:val="0"/>
              <w:jc w:val="center"/>
              <w:rPr>
                <w:rFonts w:hint="eastAsia" w:eastAsia="仿宋_GB2312"/>
                <w:b/>
                <w:sz w:val="24"/>
                <w:szCs w:val="24"/>
                <w:lang w:eastAsia="zh-CN"/>
              </w:rPr>
            </w:pPr>
            <w:r>
              <w:rPr>
                <w:rFonts w:hint="eastAsia" w:eastAsia="仿宋_GB2312"/>
                <w:b/>
                <w:sz w:val="24"/>
                <w:szCs w:val="24"/>
                <w:lang w:val="en-US" w:eastAsia="zh-CN"/>
              </w:rPr>
              <w:t>标段</w:t>
            </w:r>
          </w:p>
        </w:tc>
        <w:tc>
          <w:tcPr>
            <w:tcW w:w="3827" w:type="dxa"/>
            <w:vAlign w:val="center"/>
          </w:tcPr>
          <w:p>
            <w:pPr>
              <w:autoSpaceDE w:val="0"/>
              <w:autoSpaceDN w:val="0"/>
              <w:adjustRightInd w:val="0"/>
              <w:jc w:val="center"/>
              <w:rPr>
                <w:rFonts w:eastAsia="仿宋_GB2312"/>
                <w:b/>
                <w:sz w:val="24"/>
                <w:szCs w:val="24"/>
              </w:rPr>
            </w:pPr>
            <w:r>
              <w:rPr>
                <w:rFonts w:eastAsia="仿宋_GB2312"/>
                <w:b/>
                <w:sz w:val="24"/>
                <w:szCs w:val="24"/>
              </w:rPr>
              <w:t>项目名称</w:t>
            </w:r>
          </w:p>
        </w:tc>
        <w:tc>
          <w:tcPr>
            <w:tcW w:w="850" w:type="dxa"/>
            <w:vAlign w:val="center"/>
          </w:tcPr>
          <w:p>
            <w:pPr>
              <w:autoSpaceDE w:val="0"/>
              <w:autoSpaceDN w:val="0"/>
              <w:adjustRightInd w:val="0"/>
              <w:jc w:val="center"/>
              <w:rPr>
                <w:rFonts w:eastAsia="仿宋_GB2312"/>
                <w:b/>
                <w:sz w:val="24"/>
                <w:szCs w:val="24"/>
              </w:rPr>
            </w:pPr>
            <w:r>
              <w:rPr>
                <w:rFonts w:eastAsia="仿宋_GB2312"/>
                <w:b/>
                <w:sz w:val="24"/>
                <w:szCs w:val="24"/>
              </w:rPr>
              <w:t>数量</w:t>
            </w:r>
          </w:p>
        </w:tc>
        <w:tc>
          <w:tcPr>
            <w:tcW w:w="2373" w:type="dxa"/>
            <w:vAlign w:val="center"/>
          </w:tcPr>
          <w:p>
            <w:pPr>
              <w:autoSpaceDE w:val="0"/>
              <w:autoSpaceDN w:val="0"/>
              <w:adjustRightInd w:val="0"/>
              <w:jc w:val="center"/>
              <w:rPr>
                <w:rFonts w:eastAsia="仿宋_GB2312"/>
                <w:b/>
                <w:sz w:val="24"/>
                <w:szCs w:val="24"/>
              </w:rPr>
            </w:pPr>
            <w:r>
              <w:rPr>
                <w:rFonts w:hint="eastAsia" w:eastAsia="仿宋_GB2312"/>
                <w:b/>
                <w:sz w:val="24"/>
                <w:szCs w:val="24"/>
              </w:rPr>
              <w:t>单价（元/辆）</w:t>
            </w:r>
          </w:p>
        </w:tc>
        <w:tc>
          <w:tcPr>
            <w:tcW w:w="2373" w:type="dxa"/>
            <w:vAlign w:val="center"/>
          </w:tcPr>
          <w:p>
            <w:pPr>
              <w:autoSpaceDE w:val="0"/>
              <w:autoSpaceDN w:val="0"/>
              <w:adjustRightInd w:val="0"/>
              <w:jc w:val="center"/>
              <w:rPr>
                <w:rFonts w:eastAsia="仿宋_GB2312"/>
                <w:b/>
                <w:sz w:val="24"/>
                <w:szCs w:val="24"/>
              </w:rPr>
            </w:pPr>
            <w:r>
              <w:rPr>
                <w:rFonts w:eastAsia="仿宋_GB2312"/>
                <w:b/>
                <w:sz w:val="24"/>
                <w:szCs w:val="24"/>
              </w:rPr>
              <w:t>投标总报价（数量</w:t>
            </w:r>
            <w:r>
              <w:rPr>
                <w:rFonts w:hint="eastAsia" w:eastAsia="仿宋_GB2312"/>
                <w:b/>
                <w:sz w:val="24"/>
                <w:szCs w:val="24"/>
              </w:rPr>
              <w:t>*单价</w:t>
            </w:r>
            <w:r>
              <w:rPr>
                <w:rFonts w:eastAsia="仿宋_GB2312"/>
                <w:b/>
                <w:sz w:val="24"/>
                <w:szCs w:val="24"/>
              </w:rPr>
              <w:t>）</w:t>
            </w:r>
            <w:r>
              <w:rPr>
                <w:rFonts w:hint="eastAsia"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879" w:type="dxa"/>
            <w:vAlign w:val="center"/>
          </w:tcPr>
          <w:p>
            <w:pPr>
              <w:spacing w:before="120" w:beforeLines="50" w:after="120" w:afterLines="50" w:line="360" w:lineRule="auto"/>
              <w:jc w:val="center"/>
              <w:rPr>
                <w:rFonts w:asciiTheme="minorEastAsia" w:hAnsiTheme="minorEastAsia"/>
                <w:color w:val="000000" w:themeColor="text1"/>
                <w:sz w:val="24"/>
                <w14:textFill>
                  <w14:solidFill>
                    <w14:schemeClr w14:val="tx1"/>
                  </w14:solidFill>
                </w14:textFill>
              </w:rPr>
            </w:pPr>
          </w:p>
        </w:tc>
        <w:tc>
          <w:tcPr>
            <w:tcW w:w="3827" w:type="dxa"/>
            <w:vAlign w:val="center"/>
          </w:tcPr>
          <w:p>
            <w:pPr>
              <w:spacing w:before="120" w:beforeLines="50" w:after="120" w:afterLines="50" w:line="360" w:lineRule="auto"/>
              <w:jc w:val="center"/>
              <w:rPr>
                <w:rFonts w:hint="default" w:eastAsia="宋体"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武义县通达公路养护工程有限公司</w:t>
            </w:r>
            <w:r>
              <w:rPr>
                <w:rFonts w:hint="eastAsia" w:asciiTheme="minorEastAsia" w:hAnsiTheme="minorEastAsia"/>
                <w:color w:val="000000" w:themeColor="text1"/>
                <w:sz w:val="24"/>
                <w:lang w:val="en-US" w:eastAsia="zh-CN"/>
                <w14:textFill>
                  <w14:solidFill>
                    <w14:schemeClr w14:val="tx1"/>
                  </w14:solidFill>
                </w14:textFill>
              </w:rPr>
              <w:t>车辆采购项目</w:t>
            </w:r>
          </w:p>
        </w:tc>
        <w:tc>
          <w:tcPr>
            <w:tcW w:w="850" w:type="dxa"/>
            <w:vAlign w:val="center"/>
          </w:tcPr>
          <w:p>
            <w:pPr>
              <w:spacing w:before="120" w:beforeLines="50" w:after="120" w:afterLines="50"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 xml:space="preserve"> </w:t>
            </w:r>
          </w:p>
        </w:tc>
        <w:tc>
          <w:tcPr>
            <w:tcW w:w="2373" w:type="dxa"/>
            <w:vAlign w:val="center"/>
          </w:tcPr>
          <w:p>
            <w:pPr>
              <w:spacing w:before="120" w:beforeLines="50" w:after="120" w:afterLines="50" w:line="360" w:lineRule="auto"/>
              <w:rPr>
                <w:rFonts w:asciiTheme="minorEastAsia" w:hAnsiTheme="minorEastAsia"/>
                <w:color w:val="000000" w:themeColor="text1"/>
                <w:sz w:val="24"/>
                <w14:textFill>
                  <w14:solidFill>
                    <w14:schemeClr w14:val="tx1"/>
                  </w14:solidFill>
                </w14:textFill>
              </w:rPr>
            </w:pPr>
          </w:p>
        </w:tc>
        <w:tc>
          <w:tcPr>
            <w:tcW w:w="2373" w:type="dxa"/>
            <w:vAlign w:val="center"/>
          </w:tcPr>
          <w:p>
            <w:pPr>
              <w:spacing w:before="120" w:beforeLines="50" w:after="120" w:afterLines="50"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大写：</w:t>
            </w:r>
          </w:p>
          <w:p>
            <w:pPr>
              <w:spacing w:before="120" w:beforeLines="50" w:after="120" w:afterLines="50"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小写： </w:t>
            </w:r>
          </w:p>
        </w:tc>
      </w:tr>
    </w:tbl>
    <w:p>
      <w:pPr>
        <w:snapToGrid w:val="0"/>
        <w:spacing w:before="50" w:after="50"/>
        <w:ind w:left="88" w:leftChars="42" w:right="-817" w:rightChars="-389" w:firstLine="9201" w:firstLineChars="3834"/>
        <w:rPr>
          <w:rFonts w:hint="eastAsia" w:ascii="仿宋" w:hAnsi="仿宋" w:eastAsia="仿宋" w:cs="仿宋"/>
          <w:color w:val="auto"/>
          <w:sz w:val="24"/>
          <w:highlight w:val="none"/>
        </w:rPr>
      </w:pPr>
    </w:p>
    <w:p>
      <w:pPr>
        <w:spacing w:before="120" w:beforeLines="50" w:after="120" w:afterLines="50"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 1.报价一经涂改，应在涂改处加盖单位公章或者由</w:t>
      </w:r>
      <w:r>
        <w:rPr>
          <w:rFonts w:hint="eastAsia" w:ascii="仿宋" w:hAnsi="仿宋" w:eastAsia="仿宋" w:cs="仿宋"/>
          <w:color w:val="000000" w:themeColor="text1"/>
          <w:sz w:val="24"/>
          <w:lang w:eastAsia="zh-CN"/>
          <w14:textFill>
            <w14:solidFill>
              <w14:schemeClr w14:val="tx1"/>
            </w14:solidFill>
          </w14:textFill>
        </w:rPr>
        <w:t>法定代表人</w:t>
      </w:r>
      <w:r>
        <w:rPr>
          <w:rFonts w:hint="eastAsia" w:ascii="仿宋" w:hAnsi="仿宋" w:eastAsia="仿宋" w:cs="仿宋"/>
          <w:color w:val="000000" w:themeColor="text1"/>
          <w:sz w:val="24"/>
          <w14:textFill>
            <w14:solidFill>
              <w14:schemeClr w14:val="tx1"/>
            </w14:solidFill>
          </w14:textFill>
        </w:rPr>
        <w:t>或授权委托人签字或盖章，否则其投标作无效标处理。</w:t>
      </w:r>
    </w:p>
    <w:p>
      <w:pPr>
        <w:spacing w:before="156" w:beforeLines="50" w:line="360"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before="156" w:beforeLines="50" w:line="360" w:lineRule="auto"/>
        <w:ind w:firstLine="4080" w:firstLineChars="17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（签字或盖章）</w:t>
      </w:r>
    </w:p>
    <w:p>
      <w:pPr>
        <w:spacing w:line="360" w:lineRule="exact"/>
        <w:ind w:firstLine="4080" w:firstLineChars="1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spacing w:line="360" w:lineRule="exact"/>
        <w:jc w:val="lef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rPr>
      </w:pPr>
    </w:p>
    <w:p>
      <w:pPr>
        <w:spacing w:line="36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投标人针对报价需要说明的其他文件和说明</w:t>
      </w:r>
      <w:r>
        <w:rPr>
          <w:rFonts w:hint="eastAsia" w:ascii="仿宋" w:hAnsi="仿宋" w:eastAsia="仿宋" w:cs="仿宋"/>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990" w:firstLineChars="1900"/>
        <w:textAlignment w:val="auto"/>
        <w:rPr>
          <w:rFonts w:hint="eastAsia"/>
        </w:rPr>
      </w:pPr>
    </w:p>
    <w:sectPr>
      <w:headerReference r:id="rId13" w:type="default"/>
      <w:footerReference r:id="rId14" w:type="default"/>
      <w:pgSz w:w="11906" w:h="16838"/>
      <w:pgMar w:top="1797" w:right="1440" w:bottom="1797" w:left="1440" w:header="709" w:footer="975"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源淏窪极潠极2.">
    <w:altName w:val="Microsoft JhengHei"/>
    <w:panose1 w:val="00000000000000000000"/>
    <w:charset w:val="88"/>
    <w:family w:val="swiss"/>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297"/>
        <w:tab w:val="clear" w:pos="4153"/>
        <w:tab w:val="clear" w:pos="8306"/>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CL7M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4pjd9ziwM8/f5x//Tn//k6u&#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4Ivs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NOPckBAACaAwAADgAAAGRycy9lMm9Eb2MueG1srVPNjtMwEL4j8Q6W&#10;79TZC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nL&#10;V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g049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pPr>
                            <w:pStyle w:val="69"/>
                            <w:jc w:val="left"/>
                          </w:pPr>
                          <w:r>
                            <w:rPr>
                              <w:rFonts w:eastAsia="Times New Roman"/>
                              <w:color w:val="000000"/>
                            </w:rPr>
                            <w:t>33</w:t>
                          </w:r>
                        </w:p>
                      </w:txbxContent>
                    </wps:txbx>
                    <wps:bodyPr wrap="none" lIns="0" tIns="0" rIns="0" bIns="0">
                      <a:spAutoFit/>
                    </wps:bodyPr>
                  </wps:wsp>
                </a:graphicData>
              </a:graphic>
            </wp:anchor>
          </w:drawing>
        </mc:Choice>
        <mc:Fallback>
          <w:pict>
            <v:shape id="Shape 60" o:spid="_x0000_s1026" o:spt="202" type="#_x0000_t202" style="position:absolute;left:0pt;margin-left:293.35pt;margin-top:789.25pt;height:6pt;width:6.75pt;mso-position-horizontal-relative:page;mso-position-vertical-relative:page;mso-wrap-style:none;z-index:-251657216;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DGilHkuAEAAJUDAAAOAAAAAAAAAAEAIAAAACYBAABkcnMvZTJvRG9jLnhtbFBLBQYA&#10;AAAABgAGAFkBAABQBQAAAAA=&#10;">
              <v:fill on="f" focussize="0,0"/>
              <v:stroke on="f"/>
              <v:imagedata o:title=""/>
              <o:lock v:ext="edit" aspectratio="f"/>
              <v:textbox inset="0mm,0mm,0mm,0mm" style="mso-fit-shape-to-text:t;">
                <w:txbxContent>
                  <w:p>
                    <w:pPr>
                      <w:pStyle w:val="69"/>
                      <w:jc w:val="left"/>
                    </w:pPr>
                    <w:r>
                      <w:rPr>
                        <w:rFonts w:eastAsia="Times New Roman"/>
                        <w:color w:val="000000"/>
                      </w:rPr>
                      <w:t>33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firstLine="180" w:firstLineChars="10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vaMk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koieMWJ37++eP868/593fy&#10;9joL1AeoMe8+YGYa3vkBk2c/oDPzHlS0+YuMCMYR63SRVw6JiPxotVytKgwJjM0XxGcPz0OE9F56&#10;S7LR0IjzK7Ly40dIY+qckqs5f6eNKTM07h8HYmYPy72PPWYrDbthIrTz7Qn59Dj6hjrcdErMB4fK&#10;Yn9pNuJs7GbjEKLed2WNcj0It4eETZTecoURdiqMMyvspv3KS/H4XrIe/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D+9oyQEAAJs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firstLine="180" w:firstLineChars="10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wquckBAACb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L&#10;1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bCq5yQEAAJs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default" w:eastAsia="仿宋_GB2312"/>
        <w:u w:val="single"/>
        <w:lang w:val="en-US" w:eastAsia="zh-CN"/>
      </w:rPr>
    </w:pPr>
    <w:r>
      <w:rPr>
        <w:rFonts w:hint="eastAsia"/>
        <w:u w:val="single"/>
        <w:lang w:val="en-US" w:eastAsia="zh-CN"/>
      </w:rPr>
      <w:t xml:space="preserve">                          </w:t>
    </w:r>
    <w:r>
      <w:rPr>
        <w:rFonts w:hint="eastAsia"/>
        <w:u w:val="single"/>
        <w:lang w:eastAsia="zh-CN"/>
      </w:rPr>
      <w:t xml:space="preserve"> 武义县通达公路养护工程有限公司车辆采购项目</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default" w:eastAsia="仿宋_GB2312"/>
        <w:u w:val="single"/>
        <w:lang w:val="en-US" w:eastAsia="zh-CN"/>
      </w:rPr>
    </w:pPr>
    <w:r>
      <w:rPr>
        <w:rFonts w:hint="eastAsia"/>
        <w:u w:val="single"/>
        <w:lang w:val="en-US" w:eastAsia="zh-CN"/>
      </w:rPr>
      <w:t xml:space="preserve">                   </w:t>
    </w:r>
    <w:r>
      <w:rPr>
        <w:rFonts w:hint="eastAsia"/>
        <w:u w:val="single"/>
        <w:lang w:eastAsia="zh-CN"/>
      </w:rPr>
      <w:t xml:space="preserve"> 武义县通达公路养护工程有限公司车辆采购项目</w:t>
    </w:r>
    <w:r>
      <w:rPr>
        <w:rFonts w:hint="eastAsia"/>
        <w:u w:val="single"/>
        <w:lang w:val="en-US" w:eastAsia="zh-CN"/>
      </w:rPr>
      <w:t xml:space="preserve">                   </w:t>
    </w:r>
  </w:p>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hint="eastAsia" w:eastAsia="仿宋_GB2312"/>
        <w:lang w:eastAsia="zh-CN"/>
      </w:rPr>
    </w:pPr>
    <w:r>
      <w:rPr>
        <w:rFonts w:hint="eastAsia"/>
        <w:u w:val="single"/>
        <w:lang w:eastAsia="zh-CN"/>
      </w:rPr>
      <w:t xml:space="preserve"> 武义县通达公路养护工程有限公司车辆采购项目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2A617"/>
    <w:multiLevelType w:val="singleLevel"/>
    <w:tmpl w:val="A572A617"/>
    <w:lvl w:ilvl="0" w:tentative="0">
      <w:start w:val="1"/>
      <w:numFmt w:val="decimal"/>
      <w:suff w:val="nothing"/>
      <w:lvlText w:val="（%1）"/>
      <w:lvlJc w:val="left"/>
    </w:lvl>
  </w:abstractNum>
  <w:abstractNum w:abstractNumId="1">
    <w:nsid w:val="C5C875E7"/>
    <w:multiLevelType w:val="singleLevel"/>
    <w:tmpl w:val="C5C875E7"/>
    <w:lvl w:ilvl="0" w:tentative="0">
      <w:start w:val="1"/>
      <w:numFmt w:val="decimal"/>
      <w:lvlText w:val="%1."/>
      <w:lvlJc w:val="left"/>
      <w:pPr>
        <w:tabs>
          <w:tab w:val="left" w:pos="312"/>
        </w:tabs>
      </w:pPr>
    </w:lvl>
  </w:abstractNum>
  <w:abstractNum w:abstractNumId="2">
    <w:nsid w:val="EAF2EC0E"/>
    <w:multiLevelType w:val="singleLevel"/>
    <w:tmpl w:val="EAF2EC0E"/>
    <w:lvl w:ilvl="0" w:tentative="0">
      <w:start w:val="7"/>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4">
    <w:nsid w:val="09890BCC"/>
    <w:multiLevelType w:val="multilevel"/>
    <w:tmpl w:val="09890BCC"/>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4FB76B4E"/>
    <w:multiLevelType w:val="singleLevel"/>
    <w:tmpl w:val="4FB76B4E"/>
    <w:lvl w:ilvl="0" w:tentative="0">
      <w:start w:val="3"/>
      <w:numFmt w:val="chineseCounting"/>
      <w:suff w:val="space"/>
      <w:lvlText w:val="第%1章"/>
      <w:lvlJc w:val="left"/>
      <w:rPr>
        <w:rFonts w:hint="eastAsia"/>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WE0YmQyY2QxNzViNTU4ZTc2M2VmNWI5NDlkZmUifQ=="/>
  </w:docVars>
  <w:rsids>
    <w:rsidRoot w:val="00120357"/>
    <w:rsid w:val="00061F1F"/>
    <w:rsid w:val="00120196"/>
    <w:rsid w:val="00120357"/>
    <w:rsid w:val="001808B6"/>
    <w:rsid w:val="001E3149"/>
    <w:rsid w:val="00204264"/>
    <w:rsid w:val="00247262"/>
    <w:rsid w:val="002A4484"/>
    <w:rsid w:val="003A183C"/>
    <w:rsid w:val="0040758E"/>
    <w:rsid w:val="004522AB"/>
    <w:rsid w:val="004C2471"/>
    <w:rsid w:val="00625E39"/>
    <w:rsid w:val="0063002C"/>
    <w:rsid w:val="0066144D"/>
    <w:rsid w:val="006A7B05"/>
    <w:rsid w:val="006E6443"/>
    <w:rsid w:val="00786924"/>
    <w:rsid w:val="007D59B6"/>
    <w:rsid w:val="007E2275"/>
    <w:rsid w:val="00833ECE"/>
    <w:rsid w:val="00835F66"/>
    <w:rsid w:val="00995FE0"/>
    <w:rsid w:val="009B21DB"/>
    <w:rsid w:val="009E016E"/>
    <w:rsid w:val="00A01088"/>
    <w:rsid w:val="00A733C4"/>
    <w:rsid w:val="00AE3CFF"/>
    <w:rsid w:val="00B47A49"/>
    <w:rsid w:val="00BA6DF0"/>
    <w:rsid w:val="00BC3963"/>
    <w:rsid w:val="00C61297"/>
    <w:rsid w:val="00D0461B"/>
    <w:rsid w:val="00D76FE9"/>
    <w:rsid w:val="00D90A44"/>
    <w:rsid w:val="00DD2B0E"/>
    <w:rsid w:val="00DF15A8"/>
    <w:rsid w:val="00E50935"/>
    <w:rsid w:val="00F0724C"/>
    <w:rsid w:val="00F266DC"/>
    <w:rsid w:val="010351AA"/>
    <w:rsid w:val="013E61E2"/>
    <w:rsid w:val="01436CD3"/>
    <w:rsid w:val="014440E8"/>
    <w:rsid w:val="01591059"/>
    <w:rsid w:val="01610B5E"/>
    <w:rsid w:val="01763BCE"/>
    <w:rsid w:val="01824AF3"/>
    <w:rsid w:val="01C20060"/>
    <w:rsid w:val="01C62F41"/>
    <w:rsid w:val="01D2408C"/>
    <w:rsid w:val="01E0649E"/>
    <w:rsid w:val="01EB0856"/>
    <w:rsid w:val="02331D71"/>
    <w:rsid w:val="02562DB8"/>
    <w:rsid w:val="027368E2"/>
    <w:rsid w:val="02886A91"/>
    <w:rsid w:val="028E497E"/>
    <w:rsid w:val="02952D91"/>
    <w:rsid w:val="02962913"/>
    <w:rsid w:val="02996FD8"/>
    <w:rsid w:val="02AA32A4"/>
    <w:rsid w:val="02DF5F32"/>
    <w:rsid w:val="02E912D8"/>
    <w:rsid w:val="03411FB9"/>
    <w:rsid w:val="03552AE4"/>
    <w:rsid w:val="035C33DB"/>
    <w:rsid w:val="038D6E90"/>
    <w:rsid w:val="039A0865"/>
    <w:rsid w:val="039E2408"/>
    <w:rsid w:val="039E3A1B"/>
    <w:rsid w:val="03DC770D"/>
    <w:rsid w:val="03DD7F33"/>
    <w:rsid w:val="042518DB"/>
    <w:rsid w:val="04477F08"/>
    <w:rsid w:val="04803322"/>
    <w:rsid w:val="04A95388"/>
    <w:rsid w:val="04AF2598"/>
    <w:rsid w:val="04D058CA"/>
    <w:rsid w:val="04E73F4E"/>
    <w:rsid w:val="04E91104"/>
    <w:rsid w:val="04F2065D"/>
    <w:rsid w:val="05164544"/>
    <w:rsid w:val="05791855"/>
    <w:rsid w:val="059506C7"/>
    <w:rsid w:val="05A7775A"/>
    <w:rsid w:val="05D57E05"/>
    <w:rsid w:val="05DF1F73"/>
    <w:rsid w:val="05F31F2B"/>
    <w:rsid w:val="061532CD"/>
    <w:rsid w:val="06206C00"/>
    <w:rsid w:val="062530E5"/>
    <w:rsid w:val="064433E2"/>
    <w:rsid w:val="06490D7E"/>
    <w:rsid w:val="066922F3"/>
    <w:rsid w:val="06B84CB0"/>
    <w:rsid w:val="06C657FF"/>
    <w:rsid w:val="06C85F4B"/>
    <w:rsid w:val="070F11C2"/>
    <w:rsid w:val="07344807"/>
    <w:rsid w:val="077435FC"/>
    <w:rsid w:val="077B75D8"/>
    <w:rsid w:val="077F0578"/>
    <w:rsid w:val="07AD6B83"/>
    <w:rsid w:val="07EE6129"/>
    <w:rsid w:val="07FF59B5"/>
    <w:rsid w:val="080236DC"/>
    <w:rsid w:val="085E0FAB"/>
    <w:rsid w:val="086215E8"/>
    <w:rsid w:val="087C4EDF"/>
    <w:rsid w:val="088B2E64"/>
    <w:rsid w:val="0896512A"/>
    <w:rsid w:val="089B3DD1"/>
    <w:rsid w:val="08C41820"/>
    <w:rsid w:val="08C603BB"/>
    <w:rsid w:val="08CA47FF"/>
    <w:rsid w:val="08FD3778"/>
    <w:rsid w:val="090E5904"/>
    <w:rsid w:val="094A1AB5"/>
    <w:rsid w:val="09544CB5"/>
    <w:rsid w:val="0960141B"/>
    <w:rsid w:val="09687C9A"/>
    <w:rsid w:val="09703593"/>
    <w:rsid w:val="097F5387"/>
    <w:rsid w:val="09817B58"/>
    <w:rsid w:val="0995305F"/>
    <w:rsid w:val="09A77221"/>
    <w:rsid w:val="09E05EFA"/>
    <w:rsid w:val="0A04212D"/>
    <w:rsid w:val="0A462A14"/>
    <w:rsid w:val="0AAC68E4"/>
    <w:rsid w:val="0B724433"/>
    <w:rsid w:val="0B8C0133"/>
    <w:rsid w:val="0BB910BD"/>
    <w:rsid w:val="0BBD0F10"/>
    <w:rsid w:val="0BC97D41"/>
    <w:rsid w:val="0BD0543C"/>
    <w:rsid w:val="0BD51023"/>
    <w:rsid w:val="0BD556B4"/>
    <w:rsid w:val="0BD950E5"/>
    <w:rsid w:val="0BE21DA6"/>
    <w:rsid w:val="0C1B606D"/>
    <w:rsid w:val="0C501156"/>
    <w:rsid w:val="0C611D30"/>
    <w:rsid w:val="0C6D2071"/>
    <w:rsid w:val="0CA3667E"/>
    <w:rsid w:val="0CA864AB"/>
    <w:rsid w:val="0CCE0A8A"/>
    <w:rsid w:val="0CFB767D"/>
    <w:rsid w:val="0D265FEE"/>
    <w:rsid w:val="0D357CBF"/>
    <w:rsid w:val="0D444046"/>
    <w:rsid w:val="0D7746B2"/>
    <w:rsid w:val="0DC17088"/>
    <w:rsid w:val="0DC577C3"/>
    <w:rsid w:val="0DC74656"/>
    <w:rsid w:val="0DFB0406"/>
    <w:rsid w:val="0E36263C"/>
    <w:rsid w:val="0E4D2F01"/>
    <w:rsid w:val="0EC57270"/>
    <w:rsid w:val="0F02471A"/>
    <w:rsid w:val="0F145B96"/>
    <w:rsid w:val="0F37594C"/>
    <w:rsid w:val="0F471515"/>
    <w:rsid w:val="0F6E5C5D"/>
    <w:rsid w:val="0F733A4E"/>
    <w:rsid w:val="0F756BCB"/>
    <w:rsid w:val="0F7633E9"/>
    <w:rsid w:val="0F901A08"/>
    <w:rsid w:val="0FA350C9"/>
    <w:rsid w:val="0FD03302"/>
    <w:rsid w:val="0FDC5544"/>
    <w:rsid w:val="0FE947FC"/>
    <w:rsid w:val="1058311B"/>
    <w:rsid w:val="105A548A"/>
    <w:rsid w:val="10DA70EF"/>
    <w:rsid w:val="110F4623"/>
    <w:rsid w:val="115F49DD"/>
    <w:rsid w:val="117222E1"/>
    <w:rsid w:val="11E92165"/>
    <w:rsid w:val="11F21963"/>
    <w:rsid w:val="120A68EE"/>
    <w:rsid w:val="12365FD1"/>
    <w:rsid w:val="12A85BB1"/>
    <w:rsid w:val="12B33C7B"/>
    <w:rsid w:val="12C45C88"/>
    <w:rsid w:val="12D147F6"/>
    <w:rsid w:val="12EB5365"/>
    <w:rsid w:val="131A4DA5"/>
    <w:rsid w:val="135167E2"/>
    <w:rsid w:val="138B0A71"/>
    <w:rsid w:val="139332CB"/>
    <w:rsid w:val="13B20145"/>
    <w:rsid w:val="13C66239"/>
    <w:rsid w:val="13D1738A"/>
    <w:rsid w:val="13FD3CDB"/>
    <w:rsid w:val="14071BE0"/>
    <w:rsid w:val="14080394"/>
    <w:rsid w:val="140E0C9A"/>
    <w:rsid w:val="14111D6C"/>
    <w:rsid w:val="146F4E22"/>
    <w:rsid w:val="1484033B"/>
    <w:rsid w:val="14867D07"/>
    <w:rsid w:val="14897B0A"/>
    <w:rsid w:val="148C4E8F"/>
    <w:rsid w:val="14B67E38"/>
    <w:rsid w:val="14CF019A"/>
    <w:rsid w:val="151642E7"/>
    <w:rsid w:val="152159B1"/>
    <w:rsid w:val="15572AED"/>
    <w:rsid w:val="15674156"/>
    <w:rsid w:val="158B7F0A"/>
    <w:rsid w:val="158F1F69"/>
    <w:rsid w:val="159B4AA2"/>
    <w:rsid w:val="15AB707C"/>
    <w:rsid w:val="15BF55CC"/>
    <w:rsid w:val="15CA0325"/>
    <w:rsid w:val="15E77E11"/>
    <w:rsid w:val="16381F4B"/>
    <w:rsid w:val="16B36949"/>
    <w:rsid w:val="16E23F43"/>
    <w:rsid w:val="16F615E1"/>
    <w:rsid w:val="170128D1"/>
    <w:rsid w:val="170C2415"/>
    <w:rsid w:val="17410382"/>
    <w:rsid w:val="176C3AC6"/>
    <w:rsid w:val="176C7498"/>
    <w:rsid w:val="17793203"/>
    <w:rsid w:val="178F7A19"/>
    <w:rsid w:val="179452FE"/>
    <w:rsid w:val="17F21718"/>
    <w:rsid w:val="17F66F93"/>
    <w:rsid w:val="18016A7C"/>
    <w:rsid w:val="181D120E"/>
    <w:rsid w:val="18224FB9"/>
    <w:rsid w:val="18277A75"/>
    <w:rsid w:val="182842A9"/>
    <w:rsid w:val="18310048"/>
    <w:rsid w:val="183E7655"/>
    <w:rsid w:val="18421733"/>
    <w:rsid w:val="18C272A1"/>
    <w:rsid w:val="19010E77"/>
    <w:rsid w:val="192279F8"/>
    <w:rsid w:val="194159F9"/>
    <w:rsid w:val="19494D8F"/>
    <w:rsid w:val="194C364D"/>
    <w:rsid w:val="194F3C47"/>
    <w:rsid w:val="19716F6A"/>
    <w:rsid w:val="197333CD"/>
    <w:rsid w:val="197C281C"/>
    <w:rsid w:val="198445A7"/>
    <w:rsid w:val="19A106D0"/>
    <w:rsid w:val="19ED7C7E"/>
    <w:rsid w:val="1A2503F3"/>
    <w:rsid w:val="1A612249"/>
    <w:rsid w:val="1AA730EE"/>
    <w:rsid w:val="1AB40F43"/>
    <w:rsid w:val="1ABA2C23"/>
    <w:rsid w:val="1AD46A08"/>
    <w:rsid w:val="1B3B48B0"/>
    <w:rsid w:val="1B6E4E8F"/>
    <w:rsid w:val="1B70011D"/>
    <w:rsid w:val="1B9738C3"/>
    <w:rsid w:val="1BAB244D"/>
    <w:rsid w:val="1BAC404C"/>
    <w:rsid w:val="1BCA124D"/>
    <w:rsid w:val="1BE4336B"/>
    <w:rsid w:val="1C1E543E"/>
    <w:rsid w:val="1C23202D"/>
    <w:rsid w:val="1C407E4F"/>
    <w:rsid w:val="1C6D0F67"/>
    <w:rsid w:val="1CD21BB4"/>
    <w:rsid w:val="1CDB058A"/>
    <w:rsid w:val="1D464280"/>
    <w:rsid w:val="1D616D1C"/>
    <w:rsid w:val="1D6F1CC2"/>
    <w:rsid w:val="1D7770D2"/>
    <w:rsid w:val="1D7B00F7"/>
    <w:rsid w:val="1DC21FD1"/>
    <w:rsid w:val="1DC33D0C"/>
    <w:rsid w:val="1DC961C8"/>
    <w:rsid w:val="1DD00A50"/>
    <w:rsid w:val="1E4B4F4F"/>
    <w:rsid w:val="1E6F6277"/>
    <w:rsid w:val="1F3D7530"/>
    <w:rsid w:val="1F7D4B6F"/>
    <w:rsid w:val="1F8F2167"/>
    <w:rsid w:val="209C7EC7"/>
    <w:rsid w:val="20D600B8"/>
    <w:rsid w:val="20E53FB6"/>
    <w:rsid w:val="20F67F6A"/>
    <w:rsid w:val="21291CAA"/>
    <w:rsid w:val="212E7638"/>
    <w:rsid w:val="214B0FC2"/>
    <w:rsid w:val="219F7621"/>
    <w:rsid w:val="21AE0CFA"/>
    <w:rsid w:val="21AF2DBE"/>
    <w:rsid w:val="21D61B42"/>
    <w:rsid w:val="21DA62E3"/>
    <w:rsid w:val="21E94232"/>
    <w:rsid w:val="21EA3CF8"/>
    <w:rsid w:val="21F57528"/>
    <w:rsid w:val="22060BB5"/>
    <w:rsid w:val="220B04C6"/>
    <w:rsid w:val="22253CB7"/>
    <w:rsid w:val="225019A1"/>
    <w:rsid w:val="226E6222"/>
    <w:rsid w:val="229B3FD7"/>
    <w:rsid w:val="229F0E18"/>
    <w:rsid w:val="22B449F7"/>
    <w:rsid w:val="22B81E40"/>
    <w:rsid w:val="22C65D13"/>
    <w:rsid w:val="22D25E25"/>
    <w:rsid w:val="23011951"/>
    <w:rsid w:val="23164C83"/>
    <w:rsid w:val="23366401"/>
    <w:rsid w:val="23657B2B"/>
    <w:rsid w:val="23864BDD"/>
    <w:rsid w:val="23C61BEE"/>
    <w:rsid w:val="23EB16FF"/>
    <w:rsid w:val="23FC3FAF"/>
    <w:rsid w:val="246C5F90"/>
    <w:rsid w:val="24BD6318"/>
    <w:rsid w:val="24C17983"/>
    <w:rsid w:val="24D06A6E"/>
    <w:rsid w:val="24D540F2"/>
    <w:rsid w:val="24D65709"/>
    <w:rsid w:val="24DE27DA"/>
    <w:rsid w:val="24E118C5"/>
    <w:rsid w:val="24F07F86"/>
    <w:rsid w:val="24F35FBB"/>
    <w:rsid w:val="250F0876"/>
    <w:rsid w:val="254B43BE"/>
    <w:rsid w:val="25543EBF"/>
    <w:rsid w:val="25827C2C"/>
    <w:rsid w:val="258906B6"/>
    <w:rsid w:val="25905AAC"/>
    <w:rsid w:val="25F74A2E"/>
    <w:rsid w:val="26272111"/>
    <w:rsid w:val="26314D99"/>
    <w:rsid w:val="26630136"/>
    <w:rsid w:val="268D0D37"/>
    <w:rsid w:val="26ED1205"/>
    <w:rsid w:val="26FD5D85"/>
    <w:rsid w:val="2705557F"/>
    <w:rsid w:val="2727578B"/>
    <w:rsid w:val="27377F44"/>
    <w:rsid w:val="273D64B4"/>
    <w:rsid w:val="278B6B62"/>
    <w:rsid w:val="279D030F"/>
    <w:rsid w:val="27CF78D1"/>
    <w:rsid w:val="27DA4607"/>
    <w:rsid w:val="27E86EA7"/>
    <w:rsid w:val="27E876F6"/>
    <w:rsid w:val="27FA0498"/>
    <w:rsid w:val="27FF0BAA"/>
    <w:rsid w:val="281E7492"/>
    <w:rsid w:val="283304A0"/>
    <w:rsid w:val="283446E7"/>
    <w:rsid w:val="28364337"/>
    <w:rsid w:val="28444735"/>
    <w:rsid w:val="28573148"/>
    <w:rsid w:val="288073E9"/>
    <w:rsid w:val="288B5B91"/>
    <w:rsid w:val="28C30BC3"/>
    <w:rsid w:val="291B0927"/>
    <w:rsid w:val="293527E5"/>
    <w:rsid w:val="293E7FD1"/>
    <w:rsid w:val="29404DFA"/>
    <w:rsid w:val="29BF1C6E"/>
    <w:rsid w:val="29E17A76"/>
    <w:rsid w:val="2A015F04"/>
    <w:rsid w:val="2A040FEF"/>
    <w:rsid w:val="2B3D5494"/>
    <w:rsid w:val="2B6C62B4"/>
    <w:rsid w:val="2B985060"/>
    <w:rsid w:val="2BA25718"/>
    <w:rsid w:val="2BAF15E3"/>
    <w:rsid w:val="2BD12107"/>
    <w:rsid w:val="2C114A77"/>
    <w:rsid w:val="2C6A1ACE"/>
    <w:rsid w:val="2CA8155C"/>
    <w:rsid w:val="2CB36ACD"/>
    <w:rsid w:val="2CC056E2"/>
    <w:rsid w:val="2CEA3B51"/>
    <w:rsid w:val="2D0045CB"/>
    <w:rsid w:val="2D0B0DBF"/>
    <w:rsid w:val="2D112230"/>
    <w:rsid w:val="2D1A5AAE"/>
    <w:rsid w:val="2D1E0E45"/>
    <w:rsid w:val="2D2908B7"/>
    <w:rsid w:val="2D3B3A3A"/>
    <w:rsid w:val="2D423F53"/>
    <w:rsid w:val="2D475B75"/>
    <w:rsid w:val="2D5704A8"/>
    <w:rsid w:val="2D7A3CDE"/>
    <w:rsid w:val="2D871532"/>
    <w:rsid w:val="2D9E5A94"/>
    <w:rsid w:val="2DBF0EF7"/>
    <w:rsid w:val="2DD817DF"/>
    <w:rsid w:val="2E105DE4"/>
    <w:rsid w:val="2E174D8D"/>
    <w:rsid w:val="2E383577"/>
    <w:rsid w:val="2E403663"/>
    <w:rsid w:val="2E694682"/>
    <w:rsid w:val="2E766DD1"/>
    <w:rsid w:val="2ECD5A9F"/>
    <w:rsid w:val="2EFB4C1A"/>
    <w:rsid w:val="2EFF7AC0"/>
    <w:rsid w:val="2F1407DE"/>
    <w:rsid w:val="2F177A08"/>
    <w:rsid w:val="2F214A2B"/>
    <w:rsid w:val="2F2A6C02"/>
    <w:rsid w:val="2F8D597C"/>
    <w:rsid w:val="2FAE6460"/>
    <w:rsid w:val="2FB36745"/>
    <w:rsid w:val="2FBD1137"/>
    <w:rsid w:val="2FC034B0"/>
    <w:rsid w:val="2FC43C08"/>
    <w:rsid w:val="2FF52077"/>
    <w:rsid w:val="2FF67C4A"/>
    <w:rsid w:val="30026B3F"/>
    <w:rsid w:val="303E0C61"/>
    <w:rsid w:val="304802EB"/>
    <w:rsid w:val="30555425"/>
    <w:rsid w:val="306A6BED"/>
    <w:rsid w:val="306E6E59"/>
    <w:rsid w:val="30846679"/>
    <w:rsid w:val="30A92DC8"/>
    <w:rsid w:val="30CD1BBB"/>
    <w:rsid w:val="30F26946"/>
    <w:rsid w:val="31195DC3"/>
    <w:rsid w:val="315C0447"/>
    <w:rsid w:val="3161592D"/>
    <w:rsid w:val="316E338A"/>
    <w:rsid w:val="317C21FC"/>
    <w:rsid w:val="317E1AD6"/>
    <w:rsid w:val="318B24CE"/>
    <w:rsid w:val="31A4088A"/>
    <w:rsid w:val="31BF12E0"/>
    <w:rsid w:val="3233537C"/>
    <w:rsid w:val="32361BEB"/>
    <w:rsid w:val="323D0B92"/>
    <w:rsid w:val="326B2E9B"/>
    <w:rsid w:val="326B7B57"/>
    <w:rsid w:val="32D82A5C"/>
    <w:rsid w:val="330D17F0"/>
    <w:rsid w:val="33486A26"/>
    <w:rsid w:val="335F6CDD"/>
    <w:rsid w:val="336B4CA9"/>
    <w:rsid w:val="33BB5290"/>
    <w:rsid w:val="33F20F2A"/>
    <w:rsid w:val="340266AE"/>
    <w:rsid w:val="3437308B"/>
    <w:rsid w:val="344D18C2"/>
    <w:rsid w:val="34581BA4"/>
    <w:rsid w:val="346E5D1E"/>
    <w:rsid w:val="347A1B62"/>
    <w:rsid w:val="34A346C9"/>
    <w:rsid w:val="350727A0"/>
    <w:rsid w:val="352F5ED9"/>
    <w:rsid w:val="353115C6"/>
    <w:rsid w:val="35476709"/>
    <w:rsid w:val="355F5D29"/>
    <w:rsid w:val="35A0716C"/>
    <w:rsid w:val="35E92C70"/>
    <w:rsid w:val="360D36CF"/>
    <w:rsid w:val="361E2258"/>
    <w:rsid w:val="363E2C44"/>
    <w:rsid w:val="36C61124"/>
    <w:rsid w:val="36E11C70"/>
    <w:rsid w:val="372C65EF"/>
    <w:rsid w:val="37BA74ED"/>
    <w:rsid w:val="37C83D33"/>
    <w:rsid w:val="37C970F7"/>
    <w:rsid w:val="37F67B50"/>
    <w:rsid w:val="386540DF"/>
    <w:rsid w:val="38A01F68"/>
    <w:rsid w:val="38D330D8"/>
    <w:rsid w:val="3902778B"/>
    <w:rsid w:val="39050DB8"/>
    <w:rsid w:val="391D6F8A"/>
    <w:rsid w:val="39382742"/>
    <w:rsid w:val="393E1C02"/>
    <w:rsid w:val="39403D0E"/>
    <w:rsid w:val="39464E76"/>
    <w:rsid w:val="3959798F"/>
    <w:rsid w:val="39A54E5E"/>
    <w:rsid w:val="39AE70A9"/>
    <w:rsid w:val="39C3557A"/>
    <w:rsid w:val="39CA065C"/>
    <w:rsid w:val="3A1348F7"/>
    <w:rsid w:val="3A214932"/>
    <w:rsid w:val="3A2F3DE1"/>
    <w:rsid w:val="3A4141FE"/>
    <w:rsid w:val="3A464B75"/>
    <w:rsid w:val="3A4C27A6"/>
    <w:rsid w:val="3A4F37FF"/>
    <w:rsid w:val="3A524929"/>
    <w:rsid w:val="3ABD7878"/>
    <w:rsid w:val="3AD17207"/>
    <w:rsid w:val="3B2702E0"/>
    <w:rsid w:val="3B821574"/>
    <w:rsid w:val="3BCF2FC1"/>
    <w:rsid w:val="3C064AEC"/>
    <w:rsid w:val="3C19172C"/>
    <w:rsid w:val="3C596697"/>
    <w:rsid w:val="3C627986"/>
    <w:rsid w:val="3C652594"/>
    <w:rsid w:val="3C7B4B60"/>
    <w:rsid w:val="3C8B76AE"/>
    <w:rsid w:val="3D692B7A"/>
    <w:rsid w:val="3D6D0845"/>
    <w:rsid w:val="3D737B9D"/>
    <w:rsid w:val="3D8C343F"/>
    <w:rsid w:val="3D9F67BC"/>
    <w:rsid w:val="3DA93169"/>
    <w:rsid w:val="3DCE2CF2"/>
    <w:rsid w:val="3E162C3E"/>
    <w:rsid w:val="3E213688"/>
    <w:rsid w:val="3E342887"/>
    <w:rsid w:val="3E353E61"/>
    <w:rsid w:val="3E41759E"/>
    <w:rsid w:val="3E590DA0"/>
    <w:rsid w:val="3E613D11"/>
    <w:rsid w:val="3E9961CA"/>
    <w:rsid w:val="3EA77CB1"/>
    <w:rsid w:val="3F0F6B27"/>
    <w:rsid w:val="3F174B9A"/>
    <w:rsid w:val="3F35413C"/>
    <w:rsid w:val="3F4B21EC"/>
    <w:rsid w:val="3F5719A7"/>
    <w:rsid w:val="3F9814B2"/>
    <w:rsid w:val="3FAE27BB"/>
    <w:rsid w:val="3FC35A86"/>
    <w:rsid w:val="3FC62F71"/>
    <w:rsid w:val="3FD85E54"/>
    <w:rsid w:val="3FE1137C"/>
    <w:rsid w:val="3FF027C2"/>
    <w:rsid w:val="3FF22745"/>
    <w:rsid w:val="3FF550FA"/>
    <w:rsid w:val="3FFC7DF9"/>
    <w:rsid w:val="400A58C8"/>
    <w:rsid w:val="400F68AD"/>
    <w:rsid w:val="40237FA7"/>
    <w:rsid w:val="403C425A"/>
    <w:rsid w:val="407671D8"/>
    <w:rsid w:val="408B30F9"/>
    <w:rsid w:val="4091116A"/>
    <w:rsid w:val="40BE2FC3"/>
    <w:rsid w:val="40FF3CFC"/>
    <w:rsid w:val="41066FE2"/>
    <w:rsid w:val="41172E91"/>
    <w:rsid w:val="415C294F"/>
    <w:rsid w:val="41656209"/>
    <w:rsid w:val="417C02C2"/>
    <w:rsid w:val="41BC1903"/>
    <w:rsid w:val="41F6051A"/>
    <w:rsid w:val="4246517B"/>
    <w:rsid w:val="425744C5"/>
    <w:rsid w:val="4266399B"/>
    <w:rsid w:val="426C0B65"/>
    <w:rsid w:val="429975BC"/>
    <w:rsid w:val="429F18AB"/>
    <w:rsid w:val="42A30605"/>
    <w:rsid w:val="42B47139"/>
    <w:rsid w:val="42D17F64"/>
    <w:rsid w:val="42E34AC6"/>
    <w:rsid w:val="42EB5FF0"/>
    <w:rsid w:val="43036B44"/>
    <w:rsid w:val="43307E46"/>
    <w:rsid w:val="433C04C9"/>
    <w:rsid w:val="434E72FF"/>
    <w:rsid w:val="435E4775"/>
    <w:rsid w:val="43624F98"/>
    <w:rsid w:val="437C1034"/>
    <w:rsid w:val="437D5DB3"/>
    <w:rsid w:val="43844393"/>
    <w:rsid w:val="43903BCC"/>
    <w:rsid w:val="43A551DD"/>
    <w:rsid w:val="43C81899"/>
    <w:rsid w:val="43E85631"/>
    <w:rsid w:val="440219DA"/>
    <w:rsid w:val="44146AD4"/>
    <w:rsid w:val="44181508"/>
    <w:rsid w:val="441C6BC0"/>
    <w:rsid w:val="44495A03"/>
    <w:rsid w:val="44626EE9"/>
    <w:rsid w:val="448A6A7C"/>
    <w:rsid w:val="44D143A4"/>
    <w:rsid w:val="45012A68"/>
    <w:rsid w:val="453657E6"/>
    <w:rsid w:val="45584FA3"/>
    <w:rsid w:val="456170F8"/>
    <w:rsid w:val="45946DBA"/>
    <w:rsid w:val="45BB491C"/>
    <w:rsid w:val="45CD7CE9"/>
    <w:rsid w:val="45D808A2"/>
    <w:rsid w:val="45E03CFC"/>
    <w:rsid w:val="45F72EBF"/>
    <w:rsid w:val="46095A13"/>
    <w:rsid w:val="465978DA"/>
    <w:rsid w:val="46676A24"/>
    <w:rsid w:val="46687EEF"/>
    <w:rsid w:val="467B45BC"/>
    <w:rsid w:val="468531C2"/>
    <w:rsid w:val="46863E9D"/>
    <w:rsid w:val="46AC673A"/>
    <w:rsid w:val="46B27113"/>
    <w:rsid w:val="470B6A2E"/>
    <w:rsid w:val="47CB634F"/>
    <w:rsid w:val="47E77EB0"/>
    <w:rsid w:val="48320A19"/>
    <w:rsid w:val="483460F4"/>
    <w:rsid w:val="484A50F9"/>
    <w:rsid w:val="48894852"/>
    <w:rsid w:val="488F1F0D"/>
    <w:rsid w:val="48C10CF2"/>
    <w:rsid w:val="48F119C5"/>
    <w:rsid w:val="48F162A6"/>
    <w:rsid w:val="48F90AB4"/>
    <w:rsid w:val="49143462"/>
    <w:rsid w:val="493B1962"/>
    <w:rsid w:val="494139FA"/>
    <w:rsid w:val="49413E94"/>
    <w:rsid w:val="49863202"/>
    <w:rsid w:val="499401C8"/>
    <w:rsid w:val="49BB7A68"/>
    <w:rsid w:val="49ED48D8"/>
    <w:rsid w:val="4A472DD9"/>
    <w:rsid w:val="4A603CB8"/>
    <w:rsid w:val="4A73168D"/>
    <w:rsid w:val="4A7C69AD"/>
    <w:rsid w:val="4AAB521E"/>
    <w:rsid w:val="4AC21092"/>
    <w:rsid w:val="4ACE5C30"/>
    <w:rsid w:val="4AFA1445"/>
    <w:rsid w:val="4AFC6997"/>
    <w:rsid w:val="4B1D548C"/>
    <w:rsid w:val="4BAD2697"/>
    <w:rsid w:val="4BB109D2"/>
    <w:rsid w:val="4BD4266C"/>
    <w:rsid w:val="4C3136AF"/>
    <w:rsid w:val="4C3B2BA7"/>
    <w:rsid w:val="4C7B133A"/>
    <w:rsid w:val="4CAC0DBF"/>
    <w:rsid w:val="4CD866E7"/>
    <w:rsid w:val="4CDA31D5"/>
    <w:rsid w:val="4CE817BC"/>
    <w:rsid w:val="4D201864"/>
    <w:rsid w:val="4D39122C"/>
    <w:rsid w:val="4D8021C0"/>
    <w:rsid w:val="4D8B3CB7"/>
    <w:rsid w:val="4D8C1E4F"/>
    <w:rsid w:val="4D9D1880"/>
    <w:rsid w:val="4DC87F7C"/>
    <w:rsid w:val="4DD67197"/>
    <w:rsid w:val="4DFA3CB5"/>
    <w:rsid w:val="4E525A58"/>
    <w:rsid w:val="4EB90223"/>
    <w:rsid w:val="4F014119"/>
    <w:rsid w:val="4F075C65"/>
    <w:rsid w:val="4F370278"/>
    <w:rsid w:val="4F4D2799"/>
    <w:rsid w:val="4F767AAA"/>
    <w:rsid w:val="4F8D5D54"/>
    <w:rsid w:val="4F8E2AB1"/>
    <w:rsid w:val="4FA231FC"/>
    <w:rsid w:val="4FC27174"/>
    <w:rsid w:val="4FED419C"/>
    <w:rsid w:val="50007301"/>
    <w:rsid w:val="50145C31"/>
    <w:rsid w:val="5029398E"/>
    <w:rsid w:val="50425511"/>
    <w:rsid w:val="506A1FA8"/>
    <w:rsid w:val="50812A75"/>
    <w:rsid w:val="508A19C5"/>
    <w:rsid w:val="50AF685C"/>
    <w:rsid w:val="50CC6332"/>
    <w:rsid w:val="50E8365B"/>
    <w:rsid w:val="50FD071E"/>
    <w:rsid w:val="511526B0"/>
    <w:rsid w:val="512A121B"/>
    <w:rsid w:val="51343DA4"/>
    <w:rsid w:val="51583494"/>
    <w:rsid w:val="51606F67"/>
    <w:rsid w:val="516D0E9F"/>
    <w:rsid w:val="516E2453"/>
    <w:rsid w:val="51746408"/>
    <w:rsid w:val="517D147E"/>
    <w:rsid w:val="519342EF"/>
    <w:rsid w:val="51B77C7D"/>
    <w:rsid w:val="51C66E61"/>
    <w:rsid w:val="521B04D0"/>
    <w:rsid w:val="524C2BE5"/>
    <w:rsid w:val="52943364"/>
    <w:rsid w:val="529A387D"/>
    <w:rsid w:val="529D2DBA"/>
    <w:rsid w:val="52B4678B"/>
    <w:rsid w:val="52DE6E6D"/>
    <w:rsid w:val="52E77C4C"/>
    <w:rsid w:val="53046B26"/>
    <w:rsid w:val="530D48B9"/>
    <w:rsid w:val="531445C2"/>
    <w:rsid w:val="53A00611"/>
    <w:rsid w:val="53B44CC8"/>
    <w:rsid w:val="53F41B45"/>
    <w:rsid w:val="54063778"/>
    <w:rsid w:val="543036FA"/>
    <w:rsid w:val="543D5461"/>
    <w:rsid w:val="545903C1"/>
    <w:rsid w:val="5461271D"/>
    <w:rsid w:val="547A18D8"/>
    <w:rsid w:val="547A40FA"/>
    <w:rsid w:val="54BD28FF"/>
    <w:rsid w:val="54E8787E"/>
    <w:rsid w:val="54FC5CE6"/>
    <w:rsid w:val="55160A48"/>
    <w:rsid w:val="55247659"/>
    <w:rsid w:val="552A6476"/>
    <w:rsid w:val="552B1AC5"/>
    <w:rsid w:val="554A4D78"/>
    <w:rsid w:val="556A0C15"/>
    <w:rsid w:val="559669E1"/>
    <w:rsid w:val="55B145BB"/>
    <w:rsid w:val="55EC5BDA"/>
    <w:rsid w:val="56095EF1"/>
    <w:rsid w:val="562D2A6F"/>
    <w:rsid w:val="56335B94"/>
    <w:rsid w:val="569E585C"/>
    <w:rsid w:val="56AB3C03"/>
    <w:rsid w:val="56DB6220"/>
    <w:rsid w:val="56ED56B2"/>
    <w:rsid w:val="57074D6B"/>
    <w:rsid w:val="571319BE"/>
    <w:rsid w:val="571B31C5"/>
    <w:rsid w:val="576912F7"/>
    <w:rsid w:val="57AA44B4"/>
    <w:rsid w:val="57E44562"/>
    <w:rsid w:val="586B13E0"/>
    <w:rsid w:val="58701CEC"/>
    <w:rsid w:val="58A7612A"/>
    <w:rsid w:val="58E83C54"/>
    <w:rsid w:val="58EC4BD4"/>
    <w:rsid w:val="593C7F85"/>
    <w:rsid w:val="59627900"/>
    <w:rsid w:val="597A273A"/>
    <w:rsid w:val="59981141"/>
    <w:rsid w:val="59AC7AE6"/>
    <w:rsid w:val="59D44D06"/>
    <w:rsid w:val="59D746CF"/>
    <w:rsid w:val="5A017EDE"/>
    <w:rsid w:val="5A231E03"/>
    <w:rsid w:val="5A265DD2"/>
    <w:rsid w:val="5A6D7530"/>
    <w:rsid w:val="5A9F29D7"/>
    <w:rsid w:val="5AA97A04"/>
    <w:rsid w:val="5AAD0D03"/>
    <w:rsid w:val="5B1C5A71"/>
    <w:rsid w:val="5B557557"/>
    <w:rsid w:val="5B6F72D2"/>
    <w:rsid w:val="5B7061F8"/>
    <w:rsid w:val="5C353B44"/>
    <w:rsid w:val="5C81400A"/>
    <w:rsid w:val="5CB61C6E"/>
    <w:rsid w:val="5CC257DB"/>
    <w:rsid w:val="5CEC03BB"/>
    <w:rsid w:val="5D041DFC"/>
    <w:rsid w:val="5D0A384B"/>
    <w:rsid w:val="5D120EE5"/>
    <w:rsid w:val="5D350075"/>
    <w:rsid w:val="5D4B7848"/>
    <w:rsid w:val="5D4D50F1"/>
    <w:rsid w:val="5DA56542"/>
    <w:rsid w:val="5DCB59F0"/>
    <w:rsid w:val="5DFA4615"/>
    <w:rsid w:val="5DFD4832"/>
    <w:rsid w:val="5E10490C"/>
    <w:rsid w:val="5E7E6D93"/>
    <w:rsid w:val="5E97465E"/>
    <w:rsid w:val="5EAD72D3"/>
    <w:rsid w:val="5F0B07E7"/>
    <w:rsid w:val="5F1A7C10"/>
    <w:rsid w:val="5F3C3B05"/>
    <w:rsid w:val="5FB60022"/>
    <w:rsid w:val="5FFE1746"/>
    <w:rsid w:val="60443E7B"/>
    <w:rsid w:val="60DF7FBD"/>
    <w:rsid w:val="60E106AE"/>
    <w:rsid w:val="60E51508"/>
    <w:rsid w:val="60EC6425"/>
    <w:rsid w:val="60F6314E"/>
    <w:rsid w:val="60FB2A5E"/>
    <w:rsid w:val="61017B98"/>
    <w:rsid w:val="611D32BA"/>
    <w:rsid w:val="61870770"/>
    <w:rsid w:val="61E0746B"/>
    <w:rsid w:val="61E74CAA"/>
    <w:rsid w:val="61F40B05"/>
    <w:rsid w:val="61F923F0"/>
    <w:rsid w:val="62037E6C"/>
    <w:rsid w:val="620B5662"/>
    <w:rsid w:val="62111AB4"/>
    <w:rsid w:val="626145F8"/>
    <w:rsid w:val="62873997"/>
    <w:rsid w:val="628C1CAC"/>
    <w:rsid w:val="62CF4806"/>
    <w:rsid w:val="62EA7CFE"/>
    <w:rsid w:val="634355C9"/>
    <w:rsid w:val="63666773"/>
    <w:rsid w:val="63D259C9"/>
    <w:rsid w:val="63DF498E"/>
    <w:rsid w:val="63EF7D12"/>
    <w:rsid w:val="640823D1"/>
    <w:rsid w:val="640C7D3E"/>
    <w:rsid w:val="641F7AF5"/>
    <w:rsid w:val="64437E29"/>
    <w:rsid w:val="64561895"/>
    <w:rsid w:val="645A6478"/>
    <w:rsid w:val="64800430"/>
    <w:rsid w:val="64890783"/>
    <w:rsid w:val="64B67BC3"/>
    <w:rsid w:val="64C1578C"/>
    <w:rsid w:val="64C3211F"/>
    <w:rsid w:val="64CD2444"/>
    <w:rsid w:val="64D86CC2"/>
    <w:rsid w:val="64E421C7"/>
    <w:rsid w:val="64F72E6B"/>
    <w:rsid w:val="65010632"/>
    <w:rsid w:val="652555E7"/>
    <w:rsid w:val="65297A59"/>
    <w:rsid w:val="65573AF8"/>
    <w:rsid w:val="657658FC"/>
    <w:rsid w:val="65A02911"/>
    <w:rsid w:val="65A657A2"/>
    <w:rsid w:val="65AF0E32"/>
    <w:rsid w:val="65BC08CD"/>
    <w:rsid w:val="65CE5168"/>
    <w:rsid w:val="65D37735"/>
    <w:rsid w:val="65D551B6"/>
    <w:rsid w:val="6604551F"/>
    <w:rsid w:val="660B5B25"/>
    <w:rsid w:val="66265184"/>
    <w:rsid w:val="663938F9"/>
    <w:rsid w:val="665353A5"/>
    <w:rsid w:val="667674CD"/>
    <w:rsid w:val="668F77E9"/>
    <w:rsid w:val="66BC5DFB"/>
    <w:rsid w:val="66D97000"/>
    <w:rsid w:val="66F6049D"/>
    <w:rsid w:val="670B5FBB"/>
    <w:rsid w:val="67141AB0"/>
    <w:rsid w:val="672E00FA"/>
    <w:rsid w:val="67436443"/>
    <w:rsid w:val="678017BB"/>
    <w:rsid w:val="678501C9"/>
    <w:rsid w:val="67967F68"/>
    <w:rsid w:val="67997C61"/>
    <w:rsid w:val="679B42DE"/>
    <w:rsid w:val="679C1F63"/>
    <w:rsid w:val="67CB3943"/>
    <w:rsid w:val="68366552"/>
    <w:rsid w:val="6843020D"/>
    <w:rsid w:val="685C0049"/>
    <w:rsid w:val="689822E0"/>
    <w:rsid w:val="68B24F66"/>
    <w:rsid w:val="68BF4B24"/>
    <w:rsid w:val="68C3318E"/>
    <w:rsid w:val="68C37A5F"/>
    <w:rsid w:val="68E80B8B"/>
    <w:rsid w:val="68F75852"/>
    <w:rsid w:val="691421FF"/>
    <w:rsid w:val="697B692B"/>
    <w:rsid w:val="6999449E"/>
    <w:rsid w:val="69F0323B"/>
    <w:rsid w:val="6A035DDC"/>
    <w:rsid w:val="6A4A39B8"/>
    <w:rsid w:val="6A5A7D48"/>
    <w:rsid w:val="6A8C2013"/>
    <w:rsid w:val="6AA47DF9"/>
    <w:rsid w:val="6AB67005"/>
    <w:rsid w:val="6AD03FC0"/>
    <w:rsid w:val="6B084571"/>
    <w:rsid w:val="6B2E4909"/>
    <w:rsid w:val="6B58322A"/>
    <w:rsid w:val="6B86278C"/>
    <w:rsid w:val="6B870225"/>
    <w:rsid w:val="6BE17362"/>
    <w:rsid w:val="6C030708"/>
    <w:rsid w:val="6C693F2B"/>
    <w:rsid w:val="6C9F1BEC"/>
    <w:rsid w:val="6CE81FA7"/>
    <w:rsid w:val="6D321EC3"/>
    <w:rsid w:val="6D8F2954"/>
    <w:rsid w:val="6DA44B70"/>
    <w:rsid w:val="6DC1709B"/>
    <w:rsid w:val="6DC347C2"/>
    <w:rsid w:val="6DD61D9A"/>
    <w:rsid w:val="6E3E1A22"/>
    <w:rsid w:val="6E406E20"/>
    <w:rsid w:val="6E5324A5"/>
    <w:rsid w:val="6E7C3899"/>
    <w:rsid w:val="6EC04F0A"/>
    <w:rsid w:val="6EC627BC"/>
    <w:rsid w:val="6EDC49E4"/>
    <w:rsid w:val="6F3E145C"/>
    <w:rsid w:val="6F4B4A6F"/>
    <w:rsid w:val="6F54313C"/>
    <w:rsid w:val="6F56737F"/>
    <w:rsid w:val="6F85108C"/>
    <w:rsid w:val="6F986F33"/>
    <w:rsid w:val="6FBB0D04"/>
    <w:rsid w:val="6FCA33E2"/>
    <w:rsid w:val="70BA0572"/>
    <w:rsid w:val="70C679EA"/>
    <w:rsid w:val="70CE7706"/>
    <w:rsid w:val="70F35357"/>
    <w:rsid w:val="70F50086"/>
    <w:rsid w:val="710960E8"/>
    <w:rsid w:val="710B0CF0"/>
    <w:rsid w:val="71107B36"/>
    <w:rsid w:val="71207818"/>
    <w:rsid w:val="714223D0"/>
    <w:rsid w:val="718B1AC8"/>
    <w:rsid w:val="719147F1"/>
    <w:rsid w:val="71A64098"/>
    <w:rsid w:val="71B634AA"/>
    <w:rsid w:val="7205184D"/>
    <w:rsid w:val="72275553"/>
    <w:rsid w:val="72346AC2"/>
    <w:rsid w:val="72503660"/>
    <w:rsid w:val="725F61DD"/>
    <w:rsid w:val="727C61B1"/>
    <w:rsid w:val="7285295D"/>
    <w:rsid w:val="72924E0A"/>
    <w:rsid w:val="72E36375"/>
    <w:rsid w:val="72FA3B66"/>
    <w:rsid w:val="73130B1A"/>
    <w:rsid w:val="735C1779"/>
    <w:rsid w:val="73951B46"/>
    <w:rsid w:val="73CE45A7"/>
    <w:rsid w:val="73D212B8"/>
    <w:rsid w:val="74007AA0"/>
    <w:rsid w:val="742A49F9"/>
    <w:rsid w:val="74493399"/>
    <w:rsid w:val="74556271"/>
    <w:rsid w:val="747909C4"/>
    <w:rsid w:val="74805D4F"/>
    <w:rsid w:val="74D22D04"/>
    <w:rsid w:val="74D66918"/>
    <w:rsid w:val="74F910C0"/>
    <w:rsid w:val="74FC6F0A"/>
    <w:rsid w:val="75026F65"/>
    <w:rsid w:val="750F7C5D"/>
    <w:rsid w:val="75137DDD"/>
    <w:rsid w:val="75783842"/>
    <w:rsid w:val="758D02E4"/>
    <w:rsid w:val="75A34C1F"/>
    <w:rsid w:val="75AC1784"/>
    <w:rsid w:val="75F54F5B"/>
    <w:rsid w:val="76040271"/>
    <w:rsid w:val="760A36E1"/>
    <w:rsid w:val="76171EA7"/>
    <w:rsid w:val="767C14BF"/>
    <w:rsid w:val="76A120DE"/>
    <w:rsid w:val="76A34C5B"/>
    <w:rsid w:val="76A74C81"/>
    <w:rsid w:val="76D8718C"/>
    <w:rsid w:val="771C566F"/>
    <w:rsid w:val="776341E5"/>
    <w:rsid w:val="776654FB"/>
    <w:rsid w:val="779401F4"/>
    <w:rsid w:val="77984B13"/>
    <w:rsid w:val="77BD3513"/>
    <w:rsid w:val="77E617D9"/>
    <w:rsid w:val="77EF104D"/>
    <w:rsid w:val="77F07796"/>
    <w:rsid w:val="783971BF"/>
    <w:rsid w:val="784A77E7"/>
    <w:rsid w:val="78764845"/>
    <w:rsid w:val="78AA43E2"/>
    <w:rsid w:val="793C4AD6"/>
    <w:rsid w:val="793F648F"/>
    <w:rsid w:val="79651278"/>
    <w:rsid w:val="7995326F"/>
    <w:rsid w:val="79CB1C37"/>
    <w:rsid w:val="79F80813"/>
    <w:rsid w:val="79FF0BE8"/>
    <w:rsid w:val="7A0B7A1A"/>
    <w:rsid w:val="7A1B44CD"/>
    <w:rsid w:val="7A7048C9"/>
    <w:rsid w:val="7A786A7F"/>
    <w:rsid w:val="7AA51864"/>
    <w:rsid w:val="7AB17A2D"/>
    <w:rsid w:val="7AE6195B"/>
    <w:rsid w:val="7AF34520"/>
    <w:rsid w:val="7B5F46D3"/>
    <w:rsid w:val="7BC01ABE"/>
    <w:rsid w:val="7BC9496F"/>
    <w:rsid w:val="7C046C50"/>
    <w:rsid w:val="7C664BB7"/>
    <w:rsid w:val="7CA8335C"/>
    <w:rsid w:val="7CB258C5"/>
    <w:rsid w:val="7CBA381B"/>
    <w:rsid w:val="7CC32867"/>
    <w:rsid w:val="7CDB18EA"/>
    <w:rsid w:val="7D37182F"/>
    <w:rsid w:val="7D50688A"/>
    <w:rsid w:val="7D5E52BE"/>
    <w:rsid w:val="7D711919"/>
    <w:rsid w:val="7D750845"/>
    <w:rsid w:val="7DBB3FF5"/>
    <w:rsid w:val="7DE838A4"/>
    <w:rsid w:val="7DF31D12"/>
    <w:rsid w:val="7E07429F"/>
    <w:rsid w:val="7E181F9E"/>
    <w:rsid w:val="7E586D1E"/>
    <w:rsid w:val="7E6830E8"/>
    <w:rsid w:val="7E925C12"/>
    <w:rsid w:val="7EDD375C"/>
    <w:rsid w:val="7F0615EF"/>
    <w:rsid w:val="7F111040"/>
    <w:rsid w:val="7F1A541C"/>
    <w:rsid w:val="7F2353F9"/>
    <w:rsid w:val="7F333978"/>
    <w:rsid w:val="7FB44B21"/>
    <w:rsid w:val="7FD441FF"/>
    <w:rsid w:val="7FD84A57"/>
    <w:rsid w:val="7FF6744C"/>
    <w:rsid w:val="DF7DAD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adjustRightInd w:val="0"/>
      <w:snapToGrid w:val="0"/>
      <w:spacing w:line="360" w:lineRule="auto"/>
      <w:jc w:val="center"/>
      <w:outlineLvl w:val="0"/>
    </w:pPr>
    <w:rPr>
      <w:rFonts w:ascii="Times New Roman" w:hAnsi="Times New Roman" w:eastAsia="宋体"/>
      <w:b/>
      <w:kern w:val="44"/>
      <w:sz w:val="44"/>
      <w:szCs w:val="20"/>
    </w:rPr>
  </w:style>
  <w:style w:type="paragraph" w:styleId="5">
    <w:name w:val="heading 2"/>
    <w:basedOn w:val="1"/>
    <w:next w:val="1"/>
    <w:qFormat/>
    <w:uiPriority w:val="0"/>
    <w:pPr>
      <w:keepNext/>
      <w:keepLines/>
      <w:adjustRightInd w:val="0"/>
      <w:snapToGrid w:val="0"/>
      <w:spacing w:line="360" w:lineRule="auto"/>
      <w:jc w:val="left"/>
      <w:outlineLvl w:val="1"/>
    </w:pPr>
    <w:rPr>
      <w:rFonts w:ascii="Arial" w:hAnsi="Arial"/>
      <w:b/>
      <w:bCs/>
      <w:sz w:val="28"/>
      <w:szCs w:val="32"/>
    </w:rPr>
  </w:style>
  <w:style w:type="paragraph" w:styleId="6">
    <w:name w:val="heading 3"/>
    <w:basedOn w:val="1"/>
    <w:next w:val="1"/>
    <w:qFormat/>
    <w:uiPriority w:val="0"/>
    <w:pPr>
      <w:keepNext/>
      <w:keepLines/>
      <w:adjustRightInd w:val="0"/>
      <w:snapToGrid w:val="0"/>
      <w:spacing w:line="360" w:lineRule="auto"/>
      <w:outlineLvl w:val="2"/>
    </w:pPr>
    <w:rPr>
      <w:b/>
      <w:bCs/>
      <w:sz w:val="28"/>
      <w:szCs w:val="32"/>
    </w:rPr>
  </w:style>
  <w:style w:type="paragraph" w:styleId="7">
    <w:name w:val="heading 4"/>
    <w:basedOn w:val="1"/>
    <w:next w:val="1"/>
    <w:link w:val="44"/>
    <w:qFormat/>
    <w:uiPriority w:val="0"/>
    <w:pPr>
      <w:keepNext/>
      <w:keepLines/>
      <w:spacing w:before="100" w:beforeLines="0" w:beforeAutospacing="0" w:after="100" w:afterLines="0" w:afterAutospacing="0" w:line="460" w:lineRule="exact"/>
      <w:ind w:left="420" w:leftChars="200"/>
      <w:jc w:val="left"/>
      <w:outlineLvl w:val="3"/>
    </w:pPr>
    <w:rPr>
      <w:rFonts w:ascii="Arial" w:hAnsi="Arial"/>
      <w:b/>
      <w:kern w:val="0"/>
      <w:sz w:val="24"/>
      <w:szCs w:val="20"/>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8">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next w:val="13"/>
    <w:qFormat/>
    <w:uiPriority w:val="0"/>
    <w:pPr>
      <w:spacing w:after="120"/>
    </w:pPr>
    <w:rPr>
      <w:sz w:val="28"/>
    </w:rPr>
  </w:style>
  <w:style w:type="paragraph" w:styleId="13">
    <w:name w:val="Body Text First Indent"/>
    <w:basedOn w:val="12"/>
    <w:next w:val="14"/>
    <w:qFormat/>
    <w:uiPriority w:val="0"/>
    <w:pPr>
      <w:ind w:firstLine="420"/>
    </w:pPr>
    <w:rPr>
      <w:rFonts w:hAnsi="Times New Roman" w:cs="Times New Roman"/>
      <w:snapToGrid/>
      <w:szCs w:val="20"/>
    </w:rPr>
  </w:style>
  <w:style w:type="paragraph" w:styleId="14">
    <w:name w:val="toc 6"/>
    <w:basedOn w:val="1"/>
    <w:next w:val="1"/>
    <w:qFormat/>
    <w:uiPriority w:val="0"/>
    <w:pPr>
      <w:ind w:left="2100" w:leftChars="1000"/>
    </w:pPr>
  </w:style>
  <w:style w:type="paragraph" w:styleId="15">
    <w:name w:val="List Number 3"/>
    <w:basedOn w:val="1"/>
    <w:qFormat/>
    <w:uiPriority w:val="0"/>
    <w:pPr>
      <w:numPr>
        <w:ilvl w:val="0"/>
        <w:numId w:val="2"/>
      </w:numPr>
    </w:pPr>
  </w:style>
  <w:style w:type="paragraph" w:styleId="16">
    <w:name w:val="List 2"/>
    <w:basedOn w:val="1"/>
    <w:qFormat/>
    <w:uiPriority w:val="0"/>
    <w:pPr>
      <w:ind w:left="100" w:leftChars="200" w:hanging="200" w:hangingChars="200"/>
    </w:pPr>
    <w:rPr>
      <w:sz w:val="28"/>
    </w:rPr>
  </w:style>
  <w:style w:type="paragraph" w:styleId="17">
    <w:name w:val="Plain Text"/>
    <w:basedOn w:val="1"/>
    <w:qFormat/>
    <w:uiPriority w:val="0"/>
    <w:pPr>
      <w:spacing w:before="156" w:beforeLines="50" w:after="156" w:afterLines="50" w:line="400" w:lineRule="exact"/>
    </w:pPr>
    <w:rPr>
      <w:rFonts w:ascii="宋体" w:hAnsi="Courier New"/>
      <w:sz w:val="24"/>
    </w:rPr>
  </w:style>
  <w:style w:type="paragraph" w:styleId="18">
    <w:name w:val="Date"/>
    <w:basedOn w:val="1"/>
    <w:next w:val="1"/>
    <w:qFormat/>
    <w:uiPriority w:val="0"/>
    <w:pPr>
      <w:ind w:leftChars="2500"/>
    </w:pPr>
    <w:rPr>
      <w:rFonts w:eastAsia="楷体_GB2312"/>
      <w:sz w:val="32"/>
      <w:szCs w:val="20"/>
    </w:rPr>
  </w:style>
  <w:style w:type="paragraph" w:styleId="19">
    <w:name w:val="Body Text Indent 2"/>
    <w:basedOn w:val="1"/>
    <w:qFormat/>
    <w:uiPriority w:val="0"/>
    <w:pPr>
      <w:snapToGrid w:val="0"/>
      <w:ind w:firstLine="542" w:firstLineChars="225"/>
    </w:pPr>
    <w:rPr>
      <w:rFonts w:ascii="仿宋_GB2312" w:hAnsi="宋体" w:cs="Arial"/>
      <w:b/>
      <w:bCs/>
      <w:color w:val="000000"/>
      <w:sz w:val="24"/>
    </w:rPr>
  </w:style>
  <w:style w:type="paragraph" w:styleId="20">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2">
    <w:name w:val="toc 1"/>
    <w:basedOn w:val="1"/>
    <w:next w:val="1"/>
    <w:semiHidden/>
    <w:qFormat/>
    <w:uiPriority w:val="0"/>
  </w:style>
  <w:style w:type="paragraph" w:styleId="23">
    <w:name w:val="Subtitle"/>
    <w:basedOn w:val="1"/>
    <w:next w:val="1"/>
    <w:link w:val="45"/>
    <w:qFormat/>
    <w:uiPriority w:val="0"/>
    <w:pPr>
      <w:adjustRightInd w:val="0"/>
      <w:snapToGrid w:val="0"/>
      <w:spacing w:line="360" w:lineRule="auto"/>
      <w:jc w:val="center"/>
      <w:outlineLvl w:val="1"/>
    </w:pPr>
    <w:rPr>
      <w:rFonts w:ascii="Cambria" w:hAnsi="Cambria" w:cs="Times New Roman"/>
      <w:b/>
      <w:bCs/>
      <w:kern w:val="28"/>
      <w:sz w:val="28"/>
      <w:szCs w:val="32"/>
    </w:rPr>
  </w:style>
  <w:style w:type="paragraph" w:styleId="24">
    <w:name w:val="List"/>
    <w:basedOn w:val="1"/>
    <w:qFormat/>
    <w:uiPriority w:val="0"/>
    <w:pPr>
      <w:ind w:left="200" w:hanging="200" w:hangingChars="200"/>
    </w:pPr>
    <w:rPr>
      <w:sz w:val="2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oc 2"/>
    <w:basedOn w:val="1"/>
    <w:next w:val="1"/>
    <w:qFormat/>
    <w:uiPriority w:val="0"/>
    <w:pPr>
      <w:tabs>
        <w:tab w:val="left" w:pos="764"/>
        <w:tab w:val="right" w:leader="dot" w:pos="8296"/>
      </w:tabs>
      <w:ind w:left="210"/>
      <w:jc w:val="left"/>
    </w:pPr>
    <w:rPr>
      <w:rFonts w:cs="Calibri"/>
      <w:smallCaps/>
      <w:sz w:val="20"/>
      <w:szCs w:val="20"/>
    </w:rPr>
  </w:style>
  <w:style w:type="paragraph" w:styleId="27">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8">
    <w:name w:val="Normal (Web)"/>
    <w:basedOn w:val="1"/>
    <w:qFormat/>
    <w:uiPriority w:val="0"/>
    <w:pPr>
      <w:spacing w:beforeAutospacing="1" w:after="100" w:afterAutospacing="1"/>
    </w:pPr>
    <w:rPr>
      <w:sz w:val="24"/>
    </w:rPr>
  </w:style>
  <w:style w:type="paragraph" w:styleId="29">
    <w:name w:val="Title"/>
    <w:basedOn w:val="1"/>
    <w:next w:val="1"/>
    <w:qFormat/>
    <w:uiPriority w:val="0"/>
    <w:pPr>
      <w:autoSpaceDE w:val="0"/>
      <w:autoSpaceDN w:val="0"/>
      <w:adjustRightInd w:val="0"/>
      <w:spacing w:before="240" w:beforeLines="0" w:after="60" w:afterLines="0"/>
      <w:jc w:val="center"/>
      <w:outlineLvl w:val="0"/>
    </w:pPr>
    <w:rPr>
      <w:rFonts w:ascii="Cambria" w:hAnsi="Cambria"/>
      <w:b/>
      <w:bCs/>
      <w:color w:val="000000"/>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paragraph" w:customStyle="1" w:styleId="3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9">
    <w:name w:val="章正文"/>
    <w:basedOn w:val="1"/>
    <w:qFormat/>
    <w:uiPriority w:val="99"/>
    <w:pPr>
      <w:spacing w:beforeLines="50" w:after="120" w:line="300" w:lineRule="auto"/>
      <w:ind w:firstLine="480"/>
    </w:pPr>
    <w:rPr>
      <w:rFonts w:ascii="Helvetica" w:hAnsi="Helvetica"/>
      <w:kern w:val="0"/>
      <w:sz w:val="24"/>
    </w:rPr>
  </w:style>
  <w:style w:type="paragraph" w:customStyle="1" w:styleId="40">
    <w:name w:val="Default"/>
    <w:next w:val="41"/>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3">
    <w:name w:val="标题 1 Char"/>
    <w:link w:val="4"/>
    <w:qFormat/>
    <w:uiPriority w:val="0"/>
    <w:rPr>
      <w:rFonts w:ascii="Times New Roman" w:hAnsi="Times New Roman" w:eastAsia="宋体"/>
      <w:b/>
      <w:kern w:val="44"/>
      <w:sz w:val="44"/>
    </w:rPr>
  </w:style>
  <w:style w:type="character" w:customStyle="1" w:styleId="44">
    <w:name w:val="标题 4 Char"/>
    <w:link w:val="7"/>
    <w:qFormat/>
    <w:uiPriority w:val="0"/>
    <w:rPr>
      <w:rFonts w:ascii="Arial" w:hAnsi="Arial"/>
      <w:b/>
      <w:kern w:val="0"/>
      <w:sz w:val="24"/>
      <w:szCs w:val="20"/>
    </w:rPr>
  </w:style>
  <w:style w:type="character" w:customStyle="1" w:styleId="45">
    <w:name w:val="副标题 Char"/>
    <w:link w:val="23"/>
    <w:qFormat/>
    <w:uiPriority w:val="0"/>
    <w:rPr>
      <w:rFonts w:ascii="Cambria" w:hAnsi="Cambria" w:cs="Times New Roman"/>
      <w:b/>
      <w:bCs/>
      <w:kern w:val="28"/>
      <w:sz w:val="28"/>
      <w:szCs w:val="32"/>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Other|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48">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50">
    <w:name w:val="Heading #3|1"/>
    <w:basedOn w:val="1"/>
    <w:qFormat/>
    <w:uiPriority w:val="0"/>
    <w:pPr>
      <w:widowControl w:val="0"/>
      <w:shd w:val="clear" w:color="auto" w:fill="auto"/>
      <w:ind w:firstLine="280"/>
      <w:outlineLvl w:val="2"/>
    </w:pPr>
    <w:rPr>
      <w:rFonts w:ascii="宋体" w:hAnsi="宋体" w:eastAsia="宋体" w:cs="宋体"/>
      <w:sz w:val="28"/>
      <w:szCs w:val="28"/>
      <w:u w:val="none"/>
      <w:shd w:val="clear" w:color="auto" w:fill="auto"/>
      <w:lang w:val="zh-TW" w:eastAsia="zh-TW" w:bidi="zh-TW"/>
    </w:rPr>
  </w:style>
  <w:style w:type="paragraph" w:customStyle="1" w:styleId="51">
    <w:name w:val="样式1"/>
    <w:basedOn w:val="1"/>
    <w:qFormat/>
    <w:uiPriority w:val="0"/>
    <w:pPr>
      <w:spacing w:line="360" w:lineRule="exact"/>
      <w:ind w:firstLine="200" w:firstLineChars="200"/>
    </w:pPr>
    <w:rPr>
      <w:rFonts w:ascii="Arial" w:hAnsi="Arial"/>
    </w:rPr>
  </w:style>
  <w:style w:type="paragraph" w:customStyle="1" w:styleId="5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3">
    <w:name w:val="索引 11"/>
    <w:basedOn w:val="1"/>
    <w:next w:val="1"/>
    <w:qFormat/>
    <w:uiPriority w:val="0"/>
    <w:pPr>
      <w:spacing w:line="360" w:lineRule="auto"/>
    </w:pPr>
    <w:rPr>
      <w:rFonts w:ascii="仿宋_GB2312" w:eastAsia="仿宋_GB2312"/>
      <w:sz w:val="24"/>
      <w:szCs w:val="20"/>
    </w:rPr>
  </w:style>
  <w:style w:type="paragraph" w:customStyle="1" w:styleId="54">
    <w:name w:val="正文1"/>
    <w:next w:val="1"/>
    <w:qFormat/>
    <w:uiPriority w:val="0"/>
    <w:pPr>
      <w:widowControl w:val="0"/>
      <w:adjustRightInd w:val="0"/>
      <w:spacing w:line="312" w:lineRule="atLeast"/>
      <w:jc w:val="both"/>
    </w:pPr>
    <w:rPr>
      <w:rFonts w:ascii="宋体" w:hAnsi="Times New Roman" w:eastAsia="等线" w:cs="Times New Roman"/>
      <w:sz w:val="34"/>
      <w:lang w:val="en-US" w:eastAsia="zh-CN" w:bidi="ar-SA"/>
    </w:rPr>
  </w:style>
  <w:style w:type="paragraph" w:customStyle="1" w:styleId="55">
    <w:name w:val="纯文本1"/>
    <w:basedOn w:val="1"/>
    <w:qFormat/>
    <w:uiPriority w:val="0"/>
    <w:rPr>
      <w:rFonts w:ascii="宋体" w:hAnsi="Courier New"/>
      <w:kern w:val="0"/>
      <w:sz w:val="20"/>
      <w:szCs w:val="20"/>
    </w:rPr>
  </w:style>
  <w:style w:type="paragraph" w:customStyle="1" w:styleId="56">
    <w:name w:val="biao"/>
    <w:basedOn w:val="1"/>
    <w:qFormat/>
    <w:uiPriority w:val="0"/>
    <w:pPr>
      <w:tabs>
        <w:tab w:val="left" w:pos="1134"/>
      </w:tabs>
      <w:autoSpaceDE w:val="0"/>
      <w:autoSpaceDN w:val="0"/>
      <w:spacing w:line="360" w:lineRule="atLeast"/>
      <w:ind w:firstLine="0"/>
    </w:pPr>
    <w:rPr>
      <w:rFonts w:ascii="宋体"/>
    </w:rPr>
  </w:style>
  <w:style w:type="paragraph" w:customStyle="1" w:styleId="57">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58">
    <w:name w:val="正文 A"/>
    <w:qFormat/>
    <w:uiPriority w:val="0"/>
    <w:pPr>
      <w:widowControl w:val="0"/>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59">
    <w:name w:val="BodyTextIndent"/>
    <w:basedOn w:val="1"/>
    <w:qFormat/>
    <w:uiPriority w:val="0"/>
    <w:pPr>
      <w:spacing w:line="440" w:lineRule="atLeast"/>
      <w:ind w:firstLine="465" w:firstLineChars="200"/>
    </w:pPr>
    <w:rPr>
      <w:spacing w:val="12"/>
      <w:sz w:val="24"/>
      <w:szCs w:val="20"/>
    </w:rPr>
  </w:style>
  <w:style w:type="paragraph" w:customStyle="1" w:styleId="60">
    <w:name w:val="p0"/>
    <w:basedOn w:val="1"/>
    <w:qFormat/>
    <w:uiPriority w:val="0"/>
    <w:pPr>
      <w:widowControl/>
    </w:pPr>
    <w:rPr>
      <w:rFonts w:ascii="Courier New" w:hAnsi="Courier New" w:cs="Courier New"/>
      <w:kern w:val="0"/>
      <w:szCs w:val="21"/>
    </w:rPr>
  </w:style>
  <w:style w:type="paragraph" w:customStyle="1" w:styleId="61">
    <w:name w:val="列表段落1"/>
    <w:basedOn w:val="1"/>
    <w:qFormat/>
    <w:uiPriority w:val="0"/>
    <w:pPr>
      <w:ind w:firstLine="420" w:firstLineChars="200"/>
    </w:pPr>
    <w:rPr>
      <w:rFonts w:ascii="Calibri" w:hAnsi="Calibri" w:eastAsia="宋体"/>
    </w:rPr>
  </w:style>
  <w:style w:type="paragraph" w:customStyle="1" w:styleId="62">
    <w:name w:val="表格文字"/>
    <w:basedOn w:val="1"/>
    <w:next w:val="12"/>
    <w:qFormat/>
    <w:uiPriority w:val="0"/>
    <w:pPr>
      <w:adjustRightInd w:val="0"/>
      <w:spacing w:line="420" w:lineRule="atLeast"/>
      <w:jc w:val="left"/>
      <w:textAlignment w:val="baseline"/>
    </w:pPr>
    <w:rPr>
      <w:rFonts w:ascii="Times New Roman" w:hAnsi="Times New Roman" w:cs="Times New Roman"/>
      <w:kern w:val="0"/>
    </w:rPr>
  </w:style>
  <w:style w:type="paragraph" w:customStyle="1" w:styleId="6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65">
    <w:name w:val="正文段"/>
    <w:basedOn w:val="1"/>
    <w:qFormat/>
    <w:uiPriority w:val="0"/>
    <w:pPr>
      <w:widowControl/>
      <w:snapToGrid w:val="0"/>
      <w:spacing w:after="50" w:afterLines="50"/>
      <w:ind w:firstLine="200" w:firstLineChars="200"/>
    </w:pPr>
    <w:rPr>
      <w:kern w:val="0"/>
      <w:sz w:val="24"/>
      <w:szCs w:val="20"/>
    </w:rPr>
  </w:style>
  <w:style w:type="paragraph" w:customStyle="1" w:styleId="66">
    <w:name w:val="BodyText1I2"/>
    <w:basedOn w:val="59"/>
    <w:qFormat/>
    <w:uiPriority w:val="0"/>
    <w:pPr>
      <w:spacing w:after="120" w:line="240" w:lineRule="auto"/>
      <w:ind w:left="420" w:leftChars="200" w:firstLine="420"/>
    </w:pPr>
    <w:rPr>
      <w:rFonts w:ascii="Times New Roman" w:hAnsi="Times New Roman"/>
      <w:sz w:val="28"/>
    </w:rPr>
  </w:style>
  <w:style w:type="paragraph" w:customStyle="1" w:styleId="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8">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6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正文缩进1"/>
    <w:basedOn w:val="1"/>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72">
    <w:name w:val="Heading #2|1"/>
    <w:basedOn w:val="1"/>
    <w:qFormat/>
    <w:uiPriority w:val="0"/>
    <w:pPr>
      <w:widowControl w:val="0"/>
      <w:shd w:val="clear" w:color="auto" w:fill="auto"/>
      <w:spacing w:line="466" w:lineRule="exact"/>
      <w:ind w:firstLine="490"/>
      <w:outlineLvl w:val="1"/>
    </w:pPr>
    <w:rPr>
      <w:rFonts w:ascii="宋体" w:hAnsi="宋体" w:eastAsia="宋体" w:cs="宋体"/>
      <w:b/>
      <w:bCs/>
      <w:sz w:val="20"/>
      <w:szCs w:val="20"/>
      <w:u w:val="none"/>
      <w:shd w:val="clear" w:color="auto" w:fill="auto"/>
      <w:lang w:val="zh-TW" w:eastAsia="zh-TW" w:bidi="zh-TW"/>
    </w:rPr>
  </w:style>
  <w:style w:type="character" w:customStyle="1" w:styleId="73">
    <w:name w:val="Subtle Emphasis"/>
    <w:basedOn w:val="32"/>
    <w:qFormat/>
    <w:uiPriority w:val="19"/>
    <w:rPr>
      <w:i/>
      <w:iCs/>
      <w:color w:val="7F7F7F"/>
    </w:rPr>
  </w:style>
  <w:style w:type="paragraph" w:customStyle="1" w:styleId="74">
    <w:name w:val="Body text|3"/>
    <w:basedOn w:val="1"/>
    <w:qFormat/>
    <w:uiPriority w:val="0"/>
    <w:pPr>
      <w:widowControl w:val="0"/>
      <w:shd w:val="clear" w:color="auto" w:fill="auto"/>
      <w:spacing w:line="610" w:lineRule="exact"/>
      <w:ind w:firstLine="560"/>
    </w:pPr>
    <w:rPr>
      <w:sz w:val="26"/>
      <w:szCs w:val="26"/>
      <w:u w:val="none"/>
      <w:shd w:val="clear" w:color="auto" w:fill="auto"/>
      <w:lang w:val="zh-TW" w:eastAsia="zh-TW" w:bidi="zh-TW"/>
    </w:rPr>
  </w:style>
  <w:style w:type="paragraph" w:customStyle="1" w:styleId="75">
    <w:name w:val="Table Paragraph"/>
    <w:basedOn w:val="1"/>
    <w:qFormat/>
    <w:uiPriority w:val="1"/>
    <w:rPr>
      <w:rFonts w:ascii="宋体" w:hAnsi="宋体" w:eastAsia="宋体" w:cs="宋体"/>
      <w:lang w:val="zh-CN" w:eastAsia="zh-CN" w:bidi="zh-CN"/>
    </w:rPr>
  </w:style>
  <w:style w:type="character" w:customStyle="1" w:styleId="76">
    <w:name w:val="font01"/>
    <w:basedOn w:val="32"/>
    <w:qFormat/>
    <w:uiPriority w:val="0"/>
    <w:rPr>
      <w:rFonts w:hint="eastAsia" w:ascii="宋体" w:hAnsi="宋体" w:eastAsia="宋体" w:cs="宋体"/>
      <w:color w:val="000000"/>
      <w:sz w:val="20"/>
      <w:szCs w:val="20"/>
      <w:u w:val="none"/>
    </w:rPr>
  </w:style>
  <w:style w:type="character" w:customStyle="1" w:styleId="77">
    <w:name w:val="font41"/>
    <w:basedOn w:val="32"/>
    <w:qFormat/>
    <w:uiPriority w:val="0"/>
    <w:rPr>
      <w:rFonts w:hint="default" w:ascii="Calibri" w:hAnsi="Calibri" w:cs="Calibri"/>
      <w:color w:val="000000"/>
      <w:sz w:val="20"/>
      <w:szCs w:val="20"/>
      <w:u w:val="none"/>
    </w:rPr>
  </w:style>
  <w:style w:type="character" w:customStyle="1" w:styleId="78">
    <w:name w:val="font21"/>
    <w:basedOn w:val="32"/>
    <w:qFormat/>
    <w:uiPriority w:val="0"/>
    <w:rPr>
      <w:rFonts w:ascii="Segoe UI Symbol" w:hAnsi="Segoe UI Symbol" w:eastAsia="Segoe UI Symbol" w:cs="Segoe UI Symbol"/>
      <w:color w:val="000000"/>
      <w:sz w:val="20"/>
      <w:szCs w:val="20"/>
      <w:u w:val="none"/>
    </w:rPr>
  </w:style>
  <w:style w:type="paragraph" w:styleId="79">
    <w:name w:val="List Paragraph"/>
    <w:basedOn w:val="1"/>
    <w:qFormat/>
    <w:uiPriority w:val="34"/>
    <w:pPr>
      <w:ind w:firstLine="420" w:firstLineChars="200"/>
    </w:pPr>
  </w:style>
  <w:style w:type="paragraph" w:customStyle="1" w:styleId="80">
    <w:name w:val="列出段落1"/>
    <w:basedOn w:val="1"/>
    <w:qFormat/>
    <w:uiPriority w:val="34"/>
    <w:pPr>
      <w:ind w:firstLine="420" w:firstLineChars="200"/>
    </w:pPr>
  </w:style>
  <w:style w:type="character" w:customStyle="1" w:styleId="81">
    <w:name w:val="样式 宋体 小四"/>
    <w:qFormat/>
    <w:uiPriority w:val="0"/>
    <w:rPr>
      <w:rFonts w:ascii="宋体" w:hAnsi="宋体"/>
      <w:sz w:val="21"/>
    </w:rPr>
  </w:style>
  <w:style w:type="paragraph" w:customStyle="1" w:styleId="82">
    <w:name w:val="Proposals body"/>
    <w:basedOn w:val="1"/>
    <w:next w:val="1"/>
    <w:qFormat/>
    <w:uiPriority w:val="99"/>
    <w:pPr>
      <w:widowControl/>
      <w:spacing w:line="360" w:lineRule="auto"/>
      <w:jc w:val="left"/>
    </w:pPr>
    <w:rPr>
      <w:rFonts w:ascii="宋体" w:hAnsi="Calibri" w:cs="宋体"/>
      <w:color w:val="000000"/>
      <w:kern w:val="0"/>
      <w:sz w:val="24"/>
      <w:szCs w:val="24"/>
    </w:rPr>
  </w:style>
  <w:style w:type="character" w:customStyle="1" w:styleId="83">
    <w:name w:val="font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63</Pages>
  <Words>26519</Words>
  <Characters>27375</Characters>
  <Lines>336</Lines>
  <Paragraphs>94</Paragraphs>
  <TotalTime>69</TotalTime>
  <ScaleCrop>false</ScaleCrop>
  <LinksUpToDate>false</LinksUpToDate>
  <CharactersWithSpaces>28844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2009-07-23T10:47:00Z</dcterms:created>
  <dc:creator>YlmF</dc:creator>
  <cp:lastModifiedBy>鲍哲</cp:lastModifiedBy>
  <cp:lastPrinted>2023-12-04T05:50:00Z</cp:lastPrinted>
  <dcterms:modified xsi:type="dcterms:W3CDTF">2024-05-08T01:48:21Z</dcterms:modified>
  <dc:title>恒基管理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7A4874106CEB42E0B12B3B75758022F5_13</vt:lpwstr>
  </property>
  <property fmtid="{D5CDD505-2E9C-101B-9397-08002B2CF9AE}" pid="4" name="KSOSaveFontToCloudKey">
    <vt:lpwstr>696494694_btnclosed</vt:lpwstr>
  </property>
</Properties>
</file>