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DEC8A">
      <w:pPr>
        <w:spacing w:after="120"/>
        <w:jc w:val="center"/>
        <w:rPr>
          <w:rFonts w:ascii="Times New Roman" w:hAnsi="Times New Roman" w:eastAsia="华文新魏" w:cs="Times New Roman"/>
          <w:b/>
          <w:spacing w:val="-22"/>
          <w:sz w:val="52"/>
          <w:szCs w:val="52"/>
        </w:rPr>
      </w:pPr>
      <w:bookmarkStart w:id="0" w:name="OLE_LINK1"/>
    </w:p>
    <w:p w14:paraId="6AF572F5">
      <w:pPr>
        <w:spacing w:after="120"/>
        <w:jc w:val="center"/>
        <w:rPr>
          <w:rFonts w:ascii="Times New Roman" w:hAnsi="Times New Roman" w:eastAsia="华文新魏" w:cs="Times New Roman"/>
          <w:b/>
          <w:spacing w:val="-22"/>
          <w:sz w:val="52"/>
          <w:szCs w:val="52"/>
        </w:rPr>
      </w:pPr>
    </w:p>
    <w:p w14:paraId="3AE93489">
      <w:pPr>
        <w:snapToGrid w:val="0"/>
        <w:spacing w:line="312" w:lineRule="auto"/>
        <w:jc w:val="center"/>
        <w:rPr>
          <w:rFonts w:hint="eastAsia" w:ascii="华文新魏" w:hAnsi="华文新魏" w:eastAsia="华文新魏"/>
          <w:b/>
          <w:bCs/>
          <w:sz w:val="52"/>
          <w:lang w:eastAsia="zh-CN"/>
        </w:rPr>
      </w:pPr>
      <w:r>
        <w:rPr>
          <w:rFonts w:hint="eastAsia" w:ascii="华文新魏" w:hAnsi="华文新魏" w:eastAsia="华文新魏"/>
          <w:b/>
          <w:bCs/>
          <w:sz w:val="52"/>
          <w:lang w:eastAsia="zh-CN"/>
        </w:rPr>
        <w:t>浙北海洋生物种质资源库建设仪器设备采购项目</w:t>
      </w:r>
    </w:p>
    <w:p w14:paraId="00921D78">
      <w:pPr>
        <w:snapToGrid w:val="0"/>
        <w:spacing w:line="312" w:lineRule="auto"/>
        <w:jc w:val="center"/>
        <w:rPr>
          <w:rFonts w:hint="eastAsia" w:ascii="华文新魏" w:hAnsi="华文新魏" w:eastAsia="华文新魏"/>
          <w:b/>
          <w:bCs/>
          <w:sz w:val="52"/>
        </w:rPr>
      </w:pPr>
    </w:p>
    <w:p w14:paraId="504D75B5">
      <w:pPr>
        <w:snapToGrid w:val="0"/>
        <w:spacing w:line="312" w:lineRule="auto"/>
        <w:jc w:val="center"/>
        <w:rPr>
          <w:rFonts w:hint="eastAsia" w:ascii="华文新魏" w:hAnsi="华文新魏" w:eastAsia="华文新魏"/>
          <w:b/>
          <w:sz w:val="52"/>
        </w:rPr>
      </w:pPr>
      <w:r>
        <w:rPr>
          <w:rFonts w:hint="eastAsia" w:ascii="华文新魏" w:hAnsi="华文新魏" w:eastAsia="华文新魏"/>
          <w:b/>
          <w:bCs/>
          <w:sz w:val="52"/>
        </w:rPr>
        <w:t>招标文</w:t>
      </w:r>
      <w:r>
        <w:rPr>
          <w:rFonts w:hint="eastAsia" w:ascii="华文新魏" w:hAnsi="华文新魏" w:eastAsia="华文新魏"/>
          <w:b/>
          <w:sz w:val="52"/>
        </w:rPr>
        <w:t>件</w:t>
      </w:r>
    </w:p>
    <w:p w14:paraId="68AD028E">
      <w:pPr>
        <w:pStyle w:val="36"/>
        <w:snapToGrid w:val="0"/>
        <w:spacing w:before="120" w:line="312" w:lineRule="auto"/>
        <w:rPr>
          <w:rFonts w:hint="eastAsia" w:hAnsi="宋体"/>
          <w:b/>
          <w:sz w:val="30"/>
        </w:rPr>
      </w:pPr>
    </w:p>
    <w:p w14:paraId="4B576DB9">
      <w:pPr>
        <w:pStyle w:val="36"/>
        <w:snapToGrid w:val="0"/>
        <w:spacing w:before="120" w:line="312" w:lineRule="auto"/>
        <w:rPr>
          <w:rFonts w:hint="eastAsia" w:ascii="华文新魏" w:hAnsi="华文新魏" w:eastAsia="华文新魏"/>
          <w:b/>
          <w:sz w:val="32"/>
        </w:rPr>
      </w:pPr>
    </w:p>
    <w:p w14:paraId="64689946">
      <w:pPr>
        <w:pStyle w:val="36"/>
        <w:snapToGrid w:val="0"/>
        <w:spacing w:before="120" w:line="312" w:lineRule="auto"/>
        <w:ind w:left="1602" w:hanging="1602" w:hangingChars="500"/>
        <w:rPr>
          <w:rFonts w:hint="eastAsia" w:ascii="华文新魏" w:hAnsi="华文新魏" w:eastAsia="华文新魏"/>
          <w:b/>
          <w:sz w:val="32"/>
          <w:szCs w:val="32"/>
          <w:lang w:eastAsia="zh-CN"/>
        </w:rPr>
      </w:pPr>
      <w:r>
        <w:rPr>
          <w:rFonts w:hint="eastAsia" w:ascii="华文新魏" w:hAnsi="华文新魏" w:eastAsia="华文新魏"/>
          <w:b/>
          <w:sz w:val="32"/>
        </w:rPr>
        <w:t>项目名称：</w:t>
      </w:r>
      <w:r>
        <w:rPr>
          <w:rFonts w:hint="eastAsia" w:ascii="华文新魏" w:hAnsi="华文新魏" w:eastAsia="华文新魏"/>
          <w:b/>
          <w:sz w:val="32"/>
          <w:lang w:eastAsia="zh-CN"/>
        </w:rPr>
        <w:t>浙北海洋生物种质资源库建设仪器设备采购项目</w:t>
      </w:r>
    </w:p>
    <w:p w14:paraId="3D729683">
      <w:pPr>
        <w:pStyle w:val="36"/>
        <w:snapToGrid w:val="0"/>
        <w:spacing w:before="120" w:line="312" w:lineRule="auto"/>
        <w:rPr>
          <w:rFonts w:hint="eastAsia" w:ascii="华文新魏" w:hAnsi="华文新魏" w:eastAsia="华文新魏"/>
          <w:b/>
          <w:w w:val="95"/>
          <w:sz w:val="32"/>
        </w:rPr>
      </w:pPr>
    </w:p>
    <w:p w14:paraId="6A581C79">
      <w:pPr>
        <w:pStyle w:val="36"/>
        <w:snapToGrid w:val="0"/>
        <w:spacing w:before="120" w:line="312" w:lineRule="auto"/>
        <w:rPr>
          <w:rFonts w:hint="eastAsia" w:ascii="华文新魏" w:hAnsi="华文新魏" w:eastAsia="华文新魏"/>
          <w:b/>
          <w:w w:val="95"/>
          <w:sz w:val="32"/>
          <w:lang w:eastAsia="zh-CN"/>
        </w:rPr>
      </w:pPr>
      <w:r>
        <w:rPr>
          <w:rFonts w:hint="eastAsia" w:ascii="华文新魏" w:hAnsi="华文新魏" w:eastAsia="华文新魏"/>
          <w:b/>
          <w:w w:val="95"/>
          <w:sz w:val="32"/>
        </w:rPr>
        <w:t>项目编号：</w:t>
      </w:r>
      <w:r>
        <w:rPr>
          <w:rFonts w:hint="eastAsia" w:ascii="华文新魏" w:hAnsi="华文新魏" w:eastAsia="华文新魏"/>
          <w:b/>
          <w:w w:val="95"/>
          <w:sz w:val="32"/>
          <w:lang w:eastAsia="zh-CN"/>
        </w:rPr>
        <w:t>SZGXZS2025160</w:t>
      </w:r>
    </w:p>
    <w:p w14:paraId="00DBCC52">
      <w:pPr>
        <w:pStyle w:val="36"/>
        <w:snapToGrid w:val="0"/>
        <w:spacing w:before="120" w:line="312" w:lineRule="auto"/>
        <w:ind w:left="1520" w:hanging="1522" w:hangingChars="500"/>
        <w:rPr>
          <w:rFonts w:hint="eastAsia" w:ascii="华文新魏" w:hAnsi="华文新魏" w:eastAsia="华文新魏"/>
          <w:b/>
          <w:w w:val="95"/>
          <w:sz w:val="32"/>
        </w:rPr>
      </w:pPr>
    </w:p>
    <w:p w14:paraId="068E736C">
      <w:pPr>
        <w:pStyle w:val="36"/>
        <w:snapToGrid w:val="0"/>
        <w:spacing w:before="120" w:line="312" w:lineRule="auto"/>
        <w:ind w:left="1520" w:hanging="1522" w:hangingChars="500"/>
        <w:rPr>
          <w:rFonts w:hint="eastAsia" w:ascii="华文新魏" w:hAnsi="华文新魏" w:eastAsia="华文新魏"/>
          <w:sz w:val="32"/>
          <w:lang w:eastAsia="zh-CN"/>
        </w:rPr>
      </w:pPr>
      <w:r>
        <w:rPr>
          <w:rFonts w:hint="eastAsia" w:ascii="华文新魏" w:hAnsi="华文新魏" w:eastAsia="华文新魏"/>
          <w:b/>
          <w:w w:val="95"/>
          <w:sz w:val="32"/>
        </w:rPr>
        <w:t>采购单位：</w:t>
      </w:r>
      <w:r>
        <w:rPr>
          <w:rFonts w:hint="eastAsia" w:ascii="华文新魏" w:hAnsi="华文新魏" w:eastAsia="华文新魏"/>
          <w:b/>
          <w:w w:val="95"/>
          <w:sz w:val="32"/>
          <w:lang w:eastAsia="zh-CN"/>
        </w:rPr>
        <w:t>浙江省海洋水产研究所</w:t>
      </w:r>
    </w:p>
    <w:p w14:paraId="168F90F5">
      <w:pPr>
        <w:pStyle w:val="36"/>
        <w:snapToGrid w:val="0"/>
        <w:spacing w:before="120" w:line="312" w:lineRule="auto"/>
        <w:rPr>
          <w:rFonts w:hint="eastAsia" w:ascii="华文新魏" w:hAnsi="华文新魏" w:eastAsia="华文新魏"/>
          <w:b/>
          <w:w w:val="95"/>
          <w:sz w:val="32"/>
        </w:rPr>
      </w:pPr>
    </w:p>
    <w:p w14:paraId="734F266D">
      <w:pPr>
        <w:pStyle w:val="36"/>
        <w:snapToGrid w:val="0"/>
        <w:spacing w:before="120" w:line="312" w:lineRule="auto"/>
        <w:rPr>
          <w:rFonts w:hint="eastAsia" w:ascii="华文新魏" w:hAnsi="华文新魏" w:eastAsia="华文新魏"/>
          <w:b/>
          <w:w w:val="95"/>
          <w:sz w:val="32"/>
        </w:rPr>
      </w:pPr>
      <w:r>
        <w:rPr>
          <w:rFonts w:hint="eastAsia" w:ascii="华文新魏" w:hAnsi="华文新魏" w:eastAsia="华文新魏"/>
          <w:b/>
          <w:w w:val="95"/>
          <w:sz w:val="32"/>
        </w:rPr>
        <w:t>代理机构：深圳市国信招标有限公司</w:t>
      </w:r>
    </w:p>
    <w:p w14:paraId="55937246">
      <w:pPr>
        <w:pStyle w:val="36"/>
        <w:snapToGrid w:val="0"/>
        <w:spacing w:before="120" w:line="312" w:lineRule="auto"/>
        <w:rPr>
          <w:rFonts w:hint="eastAsia" w:ascii="华文新魏" w:hAnsi="华文新魏" w:eastAsia="华文新魏"/>
          <w:b/>
          <w:w w:val="95"/>
          <w:sz w:val="32"/>
        </w:rPr>
      </w:pPr>
    </w:p>
    <w:p w14:paraId="79C67522">
      <w:pPr>
        <w:pStyle w:val="36"/>
        <w:snapToGrid w:val="0"/>
        <w:spacing w:before="120" w:line="312" w:lineRule="auto"/>
        <w:ind w:left="6057" w:leftChars="2409" w:hanging="998" w:hangingChars="328"/>
        <w:rPr>
          <w:rFonts w:hint="eastAsia" w:ascii="华文新魏" w:hAnsi="华文新魏" w:eastAsia="华文新魏"/>
          <w:b/>
          <w:w w:val="95"/>
          <w:sz w:val="32"/>
        </w:rPr>
      </w:pPr>
      <w:r>
        <w:rPr>
          <w:rFonts w:hint="eastAsia" w:ascii="华文新魏" w:hAnsi="华文新魏" w:eastAsia="华文新魏"/>
          <w:b/>
          <w:w w:val="95"/>
          <w:sz w:val="32"/>
        </w:rPr>
        <w:t>202</w:t>
      </w:r>
      <w:r>
        <w:rPr>
          <w:rFonts w:hint="eastAsia" w:ascii="华文新魏" w:hAnsi="华文新魏" w:eastAsia="华文新魏"/>
          <w:b/>
          <w:w w:val="95"/>
          <w:sz w:val="32"/>
          <w:lang w:val="en-US" w:eastAsia="zh-CN"/>
        </w:rPr>
        <w:t>5</w:t>
      </w:r>
      <w:r>
        <w:rPr>
          <w:rFonts w:hint="eastAsia" w:ascii="华文新魏" w:hAnsi="华文新魏" w:eastAsia="华文新魏"/>
          <w:b/>
          <w:w w:val="95"/>
          <w:sz w:val="32"/>
        </w:rPr>
        <w:t>年</w:t>
      </w:r>
      <w:r>
        <w:rPr>
          <w:rFonts w:hint="eastAsia" w:ascii="华文新魏" w:hAnsi="华文新魏" w:eastAsia="华文新魏"/>
          <w:b/>
          <w:w w:val="95"/>
          <w:sz w:val="32"/>
          <w:lang w:val="en-US" w:eastAsia="zh-CN"/>
        </w:rPr>
        <w:t>07</w:t>
      </w:r>
      <w:r>
        <w:rPr>
          <w:rFonts w:hint="eastAsia" w:ascii="华文新魏" w:hAnsi="华文新魏" w:eastAsia="华文新魏"/>
          <w:b/>
          <w:w w:val="95"/>
          <w:sz w:val="32"/>
        </w:rPr>
        <w:t>月</w:t>
      </w:r>
      <w:r>
        <w:rPr>
          <w:rFonts w:hint="eastAsia" w:ascii="华文新魏" w:hAnsi="华文新魏" w:eastAsia="华文新魏"/>
          <w:b/>
          <w:w w:val="95"/>
          <w:sz w:val="32"/>
          <w:lang w:val="en-US" w:eastAsia="zh-CN"/>
        </w:rPr>
        <w:t>17</w:t>
      </w:r>
      <w:r>
        <w:rPr>
          <w:rFonts w:hint="eastAsia" w:ascii="华文新魏" w:hAnsi="华文新魏" w:eastAsia="华文新魏"/>
          <w:b/>
          <w:w w:val="95"/>
          <w:sz w:val="32"/>
        </w:rPr>
        <w:t>日</w:t>
      </w:r>
    </w:p>
    <w:p w14:paraId="63CF52B8">
      <w:pPr>
        <w:pStyle w:val="36"/>
        <w:snapToGrid w:val="0"/>
        <w:spacing w:before="120" w:line="312" w:lineRule="auto"/>
        <w:jc w:val="center"/>
        <w:rPr>
          <w:rFonts w:hint="eastAsia" w:ascii="创艺简标宋" w:hAnsi="宋体" w:eastAsia="创艺简标宋"/>
          <w:sz w:val="44"/>
        </w:rPr>
      </w:pPr>
    </w:p>
    <w:p w14:paraId="0E9CE77A">
      <w:pPr>
        <w:pStyle w:val="36"/>
        <w:snapToGrid w:val="0"/>
        <w:spacing w:before="120" w:line="312" w:lineRule="auto"/>
        <w:jc w:val="center"/>
        <w:rPr>
          <w:rFonts w:hint="eastAsia" w:ascii="创艺简标宋" w:hAnsi="宋体" w:eastAsia="创艺简标宋"/>
          <w:sz w:val="44"/>
        </w:rPr>
      </w:pPr>
    </w:p>
    <w:p w14:paraId="3E47D258">
      <w:pPr>
        <w:pStyle w:val="36"/>
        <w:snapToGrid w:val="0"/>
        <w:spacing w:before="120" w:line="312" w:lineRule="auto"/>
        <w:jc w:val="center"/>
        <w:rPr>
          <w:rFonts w:hint="eastAsia" w:ascii="创艺简标宋" w:hAnsi="宋体" w:eastAsia="创艺简标宋"/>
          <w:sz w:val="44"/>
        </w:rPr>
      </w:pPr>
      <w:r>
        <w:rPr>
          <w:rFonts w:hint="eastAsia" w:ascii="创艺简标宋" w:hAnsi="宋体" w:eastAsia="创艺简标宋"/>
          <w:sz w:val="44"/>
        </w:rPr>
        <w:t>目    录</w:t>
      </w:r>
    </w:p>
    <w:p w14:paraId="20102C9E">
      <w:pPr>
        <w:pStyle w:val="36"/>
        <w:snapToGrid w:val="0"/>
        <w:spacing w:before="120" w:line="312" w:lineRule="auto"/>
        <w:jc w:val="center"/>
        <w:rPr>
          <w:rFonts w:hint="eastAsia" w:ascii="创艺简标宋" w:hAnsi="宋体" w:eastAsia="创艺简标宋"/>
          <w:sz w:val="44"/>
        </w:rPr>
      </w:pPr>
    </w:p>
    <w:p w14:paraId="11DE5889">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采购公告</w:t>
      </w:r>
    </w:p>
    <w:p w14:paraId="49F825CF">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招标需求</w:t>
      </w:r>
    </w:p>
    <w:p w14:paraId="3F7396F0">
      <w:pPr>
        <w:widowControl/>
        <w:numPr>
          <w:ilvl w:val="0"/>
          <w:numId w:val="6"/>
        </w:numPr>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投标人须知</w:t>
      </w:r>
    </w:p>
    <w:p w14:paraId="574A3043">
      <w:pPr>
        <w:snapToGrid w:val="0"/>
        <w:spacing w:line="360" w:lineRule="auto"/>
        <w:ind w:left="1440"/>
        <w:rPr>
          <w:rFonts w:hint="eastAsia" w:ascii="宋体" w:hAnsi="宋体" w:eastAsia="宋体" w:cs="宋体"/>
          <w:sz w:val="24"/>
        </w:rPr>
      </w:pPr>
      <w:r>
        <w:rPr>
          <w:rFonts w:hint="eastAsia" w:ascii="宋体" w:hAnsi="宋体" w:eastAsia="宋体" w:cs="宋体"/>
          <w:sz w:val="24"/>
        </w:rPr>
        <w:t>前附表</w:t>
      </w:r>
    </w:p>
    <w:p w14:paraId="562A5999">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总则</w:t>
      </w:r>
    </w:p>
    <w:p w14:paraId="6AF9F6A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招标文件</w:t>
      </w:r>
    </w:p>
    <w:p w14:paraId="263F6505">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投标文件编制</w:t>
      </w:r>
    </w:p>
    <w:p w14:paraId="2ABAED07">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开标</w:t>
      </w:r>
    </w:p>
    <w:p w14:paraId="2BCBC035">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评标</w:t>
      </w:r>
    </w:p>
    <w:p w14:paraId="6FD9D364">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定标</w:t>
      </w:r>
    </w:p>
    <w:p w14:paraId="04C1E22D">
      <w:pPr>
        <w:widowControl/>
        <w:numPr>
          <w:ilvl w:val="1"/>
          <w:numId w:val="7"/>
        </w:numPr>
        <w:tabs>
          <w:tab w:val="left" w:pos="1305"/>
        </w:tabs>
        <w:overflowPunct w:val="0"/>
        <w:autoSpaceDE w:val="0"/>
        <w:autoSpaceDN w:val="0"/>
        <w:adjustRightInd w:val="0"/>
        <w:snapToGrid w:val="0"/>
        <w:spacing w:line="360" w:lineRule="auto"/>
        <w:textAlignment w:val="baseline"/>
        <w:rPr>
          <w:rFonts w:hint="eastAsia" w:ascii="宋体" w:hAnsi="宋体" w:eastAsia="宋体" w:cs="宋体"/>
          <w:sz w:val="24"/>
        </w:rPr>
      </w:pPr>
      <w:r>
        <w:rPr>
          <w:rFonts w:hint="eastAsia" w:ascii="宋体" w:hAnsi="宋体" w:eastAsia="宋体" w:cs="宋体"/>
          <w:sz w:val="24"/>
        </w:rPr>
        <w:t xml:space="preserve"> 合同授予</w:t>
      </w:r>
    </w:p>
    <w:p w14:paraId="4C427077">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 xml:space="preserve">第四章    </w:t>
      </w:r>
      <w:r>
        <w:rPr>
          <w:rFonts w:hint="eastAsia" w:ascii="宋体" w:hAnsi="宋体" w:eastAsia="宋体" w:cs="宋体"/>
          <w:sz w:val="24"/>
          <w:lang w:eastAsia="zh-CN"/>
        </w:rPr>
        <w:t>评标方法</w:t>
      </w:r>
      <w:r>
        <w:rPr>
          <w:rFonts w:hint="eastAsia" w:ascii="宋体" w:hAnsi="宋体" w:eastAsia="宋体" w:cs="宋体"/>
          <w:sz w:val="24"/>
        </w:rPr>
        <w:t>及评分标准</w:t>
      </w:r>
    </w:p>
    <w:p w14:paraId="46EBAA93">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第五章    采购合同主要条款</w:t>
      </w:r>
    </w:p>
    <w:p w14:paraId="3A70E20C">
      <w:pPr>
        <w:widowControl/>
        <w:overflowPunct w:val="0"/>
        <w:autoSpaceDE w:val="0"/>
        <w:autoSpaceDN w:val="0"/>
        <w:adjustRightInd w:val="0"/>
        <w:snapToGrid w:val="0"/>
        <w:spacing w:line="360" w:lineRule="auto"/>
        <w:ind w:left="165"/>
        <w:textAlignment w:val="baseline"/>
        <w:rPr>
          <w:rFonts w:hint="eastAsia" w:ascii="宋体" w:hAnsi="宋体" w:eastAsia="宋体" w:cs="宋体"/>
          <w:sz w:val="24"/>
        </w:rPr>
      </w:pPr>
      <w:r>
        <w:rPr>
          <w:rFonts w:hint="eastAsia" w:ascii="宋体" w:hAnsi="宋体" w:eastAsia="宋体" w:cs="宋体"/>
          <w:sz w:val="24"/>
        </w:rPr>
        <w:t>第六章    投标文件相关格式</w:t>
      </w:r>
    </w:p>
    <w:p w14:paraId="091A01B4">
      <w:pPr>
        <w:pStyle w:val="36"/>
        <w:snapToGrid w:val="0"/>
        <w:spacing w:before="120" w:line="312" w:lineRule="auto"/>
        <w:ind w:firstLine="2160" w:firstLineChars="900"/>
        <w:outlineLvl w:val="0"/>
        <w:rPr>
          <w:rFonts w:hint="eastAsia" w:hAnsi="宋体"/>
        </w:rPr>
      </w:pPr>
    </w:p>
    <w:p w14:paraId="1EC4C3F4">
      <w:pPr>
        <w:pStyle w:val="36"/>
        <w:snapToGrid w:val="0"/>
        <w:spacing w:before="120" w:line="312" w:lineRule="auto"/>
        <w:ind w:firstLine="2160" w:firstLineChars="900"/>
        <w:outlineLvl w:val="0"/>
        <w:rPr>
          <w:rFonts w:hint="eastAsia" w:hAnsi="宋体"/>
        </w:rPr>
      </w:pPr>
    </w:p>
    <w:p w14:paraId="57E293F4">
      <w:pPr>
        <w:pStyle w:val="36"/>
        <w:snapToGrid w:val="0"/>
        <w:spacing w:before="120" w:line="312" w:lineRule="auto"/>
        <w:ind w:firstLine="2160" w:firstLineChars="900"/>
        <w:outlineLvl w:val="0"/>
        <w:rPr>
          <w:rFonts w:hint="eastAsia" w:hAnsi="宋体"/>
        </w:rPr>
      </w:pPr>
    </w:p>
    <w:p w14:paraId="641DF446">
      <w:pPr>
        <w:pStyle w:val="36"/>
        <w:snapToGrid w:val="0"/>
        <w:spacing w:before="120" w:line="312" w:lineRule="auto"/>
        <w:ind w:firstLine="2160" w:firstLineChars="900"/>
        <w:outlineLvl w:val="0"/>
        <w:rPr>
          <w:rFonts w:hint="eastAsia" w:hAnsi="宋体"/>
        </w:rPr>
      </w:pPr>
    </w:p>
    <w:p w14:paraId="20BF939F">
      <w:pPr>
        <w:pStyle w:val="36"/>
        <w:snapToGrid w:val="0"/>
        <w:spacing w:before="120" w:line="312" w:lineRule="auto"/>
        <w:ind w:firstLine="2160" w:firstLineChars="900"/>
        <w:outlineLvl w:val="0"/>
        <w:rPr>
          <w:rFonts w:hint="eastAsia" w:hAnsi="宋体"/>
        </w:rPr>
      </w:pPr>
    </w:p>
    <w:p w14:paraId="033A195B">
      <w:pPr>
        <w:pStyle w:val="36"/>
        <w:snapToGrid w:val="0"/>
        <w:spacing w:before="120" w:line="312" w:lineRule="auto"/>
        <w:ind w:firstLine="2160" w:firstLineChars="900"/>
        <w:outlineLvl w:val="0"/>
        <w:rPr>
          <w:rFonts w:hint="eastAsia" w:hAnsi="宋体"/>
        </w:rPr>
      </w:pPr>
    </w:p>
    <w:p w14:paraId="67700F4F">
      <w:pPr>
        <w:pStyle w:val="36"/>
        <w:snapToGrid w:val="0"/>
        <w:spacing w:before="120" w:line="312" w:lineRule="auto"/>
        <w:ind w:firstLine="2160" w:firstLineChars="900"/>
        <w:outlineLvl w:val="0"/>
        <w:rPr>
          <w:rFonts w:hint="eastAsia" w:hAnsi="宋体"/>
        </w:rPr>
      </w:pPr>
    </w:p>
    <w:p w14:paraId="0468A20E">
      <w:pPr>
        <w:pStyle w:val="36"/>
        <w:snapToGrid w:val="0"/>
        <w:spacing w:before="120" w:line="312" w:lineRule="auto"/>
        <w:outlineLvl w:val="0"/>
        <w:rPr>
          <w:rFonts w:hint="eastAsia" w:ascii="黑体" w:hAnsi="宋体" w:eastAsia="黑体"/>
          <w:sz w:val="30"/>
        </w:rPr>
      </w:pPr>
    </w:p>
    <w:p w14:paraId="7A4ABB1A">
      <w:pPr>
        <w:pageBreakBefore w:val="0"/>
        <w:kinsoku/>
        <w:wordWrap/>
        <w:overflowPunct/>
        <w:topLinePunct w:val="0"/>
        <w:bidi w:val="0"/>
        <w:snapToGrid w:val="0"/>
        <w:spacing w:before="120" w:line="320" w:lineRule="exact"/>
        <w:jc w:val="center"/>
        <w:outlineLvl w:val="0"/>
        <w:rPr>
          <w:rFonts w:ascii="Times New Roman" w:hAnsi="Times New Roman" w:eastAsia="黑体" w:cs="Times New Roman"/>
          <w:sz w:val="30"/>
        </w:rPr>
      </w:pPr>
      <w:r>
        <w:rPr>
          <w:rFonts w:hint="eastAsia" w:ascii="Times New Roman" w:hAnsi="Times New Roman" w:eastAsia="黑体" w:cs="Times New Roman"/>
          <w:sz w:val="30"/>
        </w:rPr>
        <w:t>第一章 公开招标采购公告</w:t>
      </w:r>
    </w:p>
    <w:p w14:paraId="1B40D25E">
      <w:pPr>
        <w:pageBreakBefore w:val="0"/>
        <w:kinsoku/>
        <w:wordWrap/>
        <w:overflowPunct/>
        <w:topLinePunct w:val="0"/>
        <w:bidi w:val="0"/>
        <w:spacing w:line="320" w:lineRule="exact"/>
        <w:rPr>
          <w:rFonts w:ascii="Times New Roman" w:hAnsi="Times New Roman" w:eastAsia="宋体" w:cs="Times New Roman"/>
        </w:rPr>
      </w:pPr>
    </w:p>
    <w:p w14:paraId="6850A33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根据《中华人民共和国政府采购法》等规定，受</w:t>
      </w:r>
      <w:r>
        <w:rPr>
          <w:rFonts w:hint="eastAsia" w:ascii="宋体" w:hAnsi="宋体" w:eastAsia="宋体" w:cs="宋体"/>
          <w:sz w:val="21"/>
          <w:szCs w:val="21"/>
          <w:lang w:eastAsia="zh-CN"/>
        </w:rPr>
        <w:t>浙江省海洋水产研究所</w:t>
      </w:r>
      <w:r>
        <w:rPr>
          <w:rFonts w:hint="eastAsia" w:ascii="宋体" w:hAnsi="宋体" w:eastAsia="宋体" w:cs="宋体"/>
          <w:sz w:val="21"/>
          <w:szCs w:val="21"/>
        </w:rPr>
        <w:t>委托，现就</w:t>
      </w:r>
      <w:r>
        <w:rPr>
          <w:rFonts w:hint="eastAsia" w:ascii="宋体" w:hAnsi="宋体" w:eastAsia="宋体" w:cs="宋体"/>
          <w:sz w:val="21"/>
          <w:szCs w:val="21"/>
          <w:lang w:eastAsia="zh-CN"/>
        </w:rPr>
        <w:t>浙北海洋生物种质资源库建设仪器设备采购项目</w:t>
      </w:r>
      <w:r>
        <w:rPr>
          <w:rFonts w:hint="eastAsia" w:ascii="宋体" w:hAnsi="宋体" w:eastAsia="宋体" w:cs="宋体"/>
          <w:sz w:val="21"/>
          <w:szCs w:val="21"/>
        </w:rPr>
        <w:t>进行公开招标，欢迎符合资质要求并能提供相关服务的供应商参加投标。</w:t>
      </w:r>
    </w:p>
    <w:p w14:paraId="263FDA4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一、项目名称：</w:t>
      </w:r>
      <w:r>
        <w:rPr>
          <w:rFonts w:hint="eastAsia" w:ascii="宋体" w:hAnsi="宋体" w:eastAsia="宋体" w:cs="宋体"/>
          <w:sz w:val="21"/>
          <w:szCs w:val="21"/>
          <w:lang w:eastAsia="zh-CN"/>
        </w:rPr>
        <w:t>浙北海洋生物种质资源库建设仪器设备采购项目</w:t>
      </w:r>
    </w:p>
    <w:p w14:paraId="6080AD0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二、项目编号：</w:t>
      </w:r>
      <w:r>
        <w:rPr>
          <w:rFonts w:hint="eastAsia" w:ascii="宋体" w:hAnsi="宋体" w:eastAsia="宋体" w:cs="宋体"/>
          <w:kern w:val="0"/>
          <w:sz w:val="21"/>
          <w:szCs w:val="21"/>
          <w:shd w:val="clear" w:color="auto" w:fill="FFFFFF"/>
          <w:lang w:eastAsia="zh-CN"/>
        </w:rPr>
        <w:t>SZGXZS2025160</w:t>
      </w:r>
    </w:p>
    <w:p w14:paraId="58FCDA8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kern w:val="0"/>
          <w:sz w:val="21"/>
          <w:szCs w:val="21"/>
          <w:shd w:val="clear" w:color="auto" w:fill="FFFFFF"/>
        </w:rPr>
      </w:pPr>
      <w:r>
        <w:rPr>
          <w:rFonts w:hint="eastAsia" w:ascii="宋体" w:hAnsi="宋体" w:eastAsia="宋体" w:cs="宋体"/>
          <w:b/>
          <w:bCs/>
          <w:kern w:val="0"/>
          <w:sz w:val="21"/>
          <w:szCs w:val="21"/>
        </w:rPr>
        <w:t>三、采购组织类型：</w:t>
      </w:r>
      <w:r>
        <w:rPr>
          <w:rFonts w:hint="eastAsia" w:ascii="宋体" w:hAnsi="宋体" w:eastAsia="宋体" w:cs="宋体"/>
          <w:kern w:val="0"/>
          <w:sz w:val="21"/>
          <w:szCs w:val="21"/>
          <w:shd w:val="clear" w:color="auto" w:fill="FFFFFF"/>
        </w:rPr>
        <w:t>分散采购委托代理</w:t>
      </w:r>
    </w:p>
    <w:p w14:paraId="525D5C63">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kern w:val="0"/>
          <w:sz w:val="21"/>
          <w:szCs w:val="21"/>
          <w:shd w:val="clear" w:color="auto" w:fill="FFFFFF"/>
        </w:rPr>
        <w:t>四、</w:t>
      </w:r>
      <w:r>
        <w:rPr>
          <w:rFonts w:hint="eastAsia" w:ascii="宋体" w:hAnsi="宋体" w:eastAsia="宋体" w:cs="宋体"/>
          <w:b/>
          <w:bCs/>
          <w:kern w:val="0"/>
          <w:sz w:val="21"/>
          <w:szCs w:val="21"/>
        </w:rPr>
        <w:t>招标项目概况（内容、用途、数量、简要技术要求等）:</w:t>
      </w:r>
    </w:p>
    <w:tbl>
      <w:tblPr>
        <w:tblStyle w:val="62"/>
        <w:tblW w:w="8686"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346"/>
        <w:gridCol w:w="1534"/>
        <w:gridCol w:w="1480"/>
        <w:gridCol w:w="1300"/>
      </w:tblGrid>
      <w:tr w14:paraId="6491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vAlign w:val="center"/>
          </w:tcPr>
          <w:p w14:paraId="03AD9640">
            <w:pPr>
              <w:widowControl/>
              <w:jc w:val="center"/>
              <w:textAlignment w:val="center"/>
              <w:rPr>
                <w:rFonts w:hint="default" w:ascii="宋体" w:hAnsi="宋体" w:eastAsia="宋体" w:cs="宋体"/>
                <w:szCs w:val="21"/>
                <w:lang w:val="en-US" w:eastAsia="zh-CN"/>
              </w:rPr>
            </w:pPr>
            <w:bookmarkStart w:id="1" w:name="_Hlk175561779"/>
            <w:r>
              <w:rPr>
                <w:rFonts w:hint="eastAsia" w:ascii="宋体" w:hAnsi="宋体" w:eastAsia="宋体" w:cs="宋体"/>
                <w:szCs w:val="21"/>
                <w:lang w:val="en-US" w:eastAsia="zh-CN"/>
              </w:rPr>
              <w:t>序号</w:t>
            </w:r>
          </w:p>
        </w:tc>
        <w:tc>
          <w:tcPr>
            <w:tcW w:w="3346" w:type="dxa"/>
            <w:vAlign w:val="center"/>
          </w:tcPr>
          <w:p w14:paraId="18EC1190">
            <w:pPr>
              <w:widowControl/>
              <w:jc w:val="center"/>
              <w:textAlignment w:val="center"/>
              <w:rPr>
                <w:rFonts w:hint="eastAsia" w:ascii="宋体" w:hAnsi="宋体" w:eastAsia="宋体" w:cs="宋体"/>
                <w:szCs w:val="21"/>
              </w:rPr>
            </w:pPr>
            <w:r>
              <w:rPr>
                <w:rFonts w:hint="eastAsia" w:ascii="宋体" w:hAnsi="宋体" w:eastAsia="宋体" w:cs="宋体"/>
                <w:szCs w:val="21"/>
              </w:rPr>
              <w:t>设备名称</w:t>
            </w:r>
          </w:p>
        </w:tc>
        <w:tc>
          <w:tcPr>
            <w:tcW w:w="1534" w:type="dxa"/>
            <w:vAlign w:val="center"/>
          </w:tcPr>
          <w:p w14:paraId="336A75B0">
            <w:pPr>
              <w:widowControl/>
              <w:jc w:val="center"/>
              <w:textAlignment w:val="center"/>
              <w:rPr>
                <w:rFonts w:hint="eastAsia" w:ascii="宋体" w:hAnsi="宋体" w:eastAsia="宋体" w:cs="宋体"/>
                <w:szCs w:val="21"/>
              </w:rPr>
            </w:pPr>
            <w:r>
              <w:rPr>
                <w:rFonts w:hint="eastAsia" w:ascii="宋体" w:hAnsi="宋体" w:eastAsia="宋体" w:cs="宋体"/>
                <w:szCs w:val="21"/>
              </w:rPr>
              <w:t>数量</w:t>
            </w:r>
          </w:p>
        </w:tc>
        <w:tc>
          <w:tcPr>
            <w:tcW w:w="1480" w:type="dxa"/>
            <w:vAlign w:val="center"/>
          </w:tcPr>
          <w:p w14:paraId="7E58F85D">
            <w:pPr>
              <w:widowControl/>
              <w:jc w:val="center"/>
              <w:textAlignment w:val="center"/>
              <w:rPr>
                <w:rFonts w:hint="eastAsia" w:ascii="宋体" w:hAnsi="宋体" w:eastAsia="宋体" w:cs="宋体"/>
                <w:szCs w:val="21"/>
                <w:lang w:val="en-US" w:eastAsia="zh-CN"/>
              </w:rPr>
            </w:pPr>
            <w:r>
              <w:rPr>
                <w:rFonts w:hint="eastAsia" w:ascii="宋体" w:hAnsi="宋体" w:eastAsia="宋体" w:cs="宋体"/>
                <w:szCs w:val="21"/>
              </w:rPr>
              <w:t>预算</w:t>
            </w:r>
            <w:r>
              <w:rPr>
                <w:rFonts w:hint="eastAsia" w:ascii="宋体" w:hAnsi="宋体" w:eastAsia="宋体" w:cs="宋体"/>
                <w:szCs w:val="21"/>
                <w:lang w:val="en-US" w:eastAsia="zh-CN"/>
              </w:rPr>
              <w:t>金额</w:t>
            </w:r>
          </w:p>
          <w:p w14:paraId="1631B981">
            <w:pPr>
              <w:widowControl/>
              <w:jc w:val="center"/>
              <w:textAlignment w:val="center"/>
              <w:rPr>
                <w:rFonts w:hint="eastAsia" w:ascii="宋体" w:hAnsi="宋体" w:eastAsia="宋体" w:cs="宋体"/>
                <w:szCs w:val="21"/>
              </w:rPr>
            </w:pPr>
            <w:r>
              <w:rPr>
                <w:rFonts w:hint="eastAsia" w:ascii="宋体" w:hAnsi="宋体" w:eastAsia="宋体" w:cs="宋体"/>
                <w:szCs w:val="21"/>
              </w:rPr>
              <w:t>（万元）</w:t>
            </w:r>
          </w:p>
        </w:tc>
        <w:tc>
          <w:tcPr>
            <w:tcW w:w="1300" w:type="dxa"/>
            <w:vAlign w:val="center"/>
          </w:tcPr>
          <w:p w14:paraId="0CA6582B">
            <w:pPr>
              <w:widowControl/>
              <w:jc w:val="center"/>
              <w:textAlignment w:val="center"/>
              <w:rPr>
                <w:rFonts w:hint="eastAsia" w:ascii="宋体" w:hAnsi="宋体" w:eastAsia="宋体" w:cs="宋体"/>
                <w:szCs w:val="21"/>
              </w:rPr>
            </w:pPr>
            <w:r>
              <w:rPr>
                <w:rFonts w:hint="eastAsia" w:ascii="宋体" w:hAnsi="宋体" w:eastAsia="宋体" w:cs="宋体"/>
                <w:szCs w:val="21"/>
              </w:rPr>
              <w:t>备注</w:t>
            </w:r>
          </w:p>
        </w:tc>
      </w:tr>
      <w:tr w14:paraId="42EC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2D1F0F4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346" w:type="dxa"/>
            <w:shd w:val="clear" w:color="auto" w:fill="auto"/>
            <w:vAlign w:val="center"/>
          </w:tcPr>
          <w:p w14:paraId="34C58E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遗传多样性分析设备</w:t>
            </w:r>
            <w:r>
              <w:rPr>
                <w:rFonts w:hint="eastAsia" w:ascii="宋体" w:hAnsi="宋体" w:eastAsia="宋体" w:cs="宋体"/>
                <w:lang w:val="en-US" w:eastAsia="zh-CN"/>
              </w:rPr>
              <w:t xml:space="preserve">   </w:t>
            </w:r>
          </w:p>
        </w:tc>
        <w:tc>
          <w:tcPr>
            <w:tcW w:w="1534" w:type="dxa"/>
            <w:vAlign w:val="center"/>
          </w:tcPr>
          <w:p w14:paraId="1A0791D4">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台</w:t>
            </w:r>
          </w:p>
        </w:tc>
        <w:tc>
          <w:tcPr>
            <w:tcW w:w="1480" w:type="dxa"/>
            <w:vMerge w:val="restart"/>
            <w:vAlign w:val="center"/>
          </w:tcPr>
          <w:p w14:paraId="2F72330E">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360</w:t>
            </w:r>
          </w:p>
        </w:tc>
        <w:tc>
          <w:tcPr>
            <w:tcW w:w="1300" w:type="dxa"/>
            <w:vAlign w:val="center"/>
          </w:tcPr>
          <w:p w14:paraId="4B1D6D09">
            <w:pPr>
              <w:widowControl/>
              <w:tabs>
                <w:tab w:val="left" w:pos="596"/>
              </w:tabs>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18F3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4B7466C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3346" w:type="dxa"/>
            <w:shd w:val="clear" w:color="auto" w:fill="auto"/>
            <w:vAlign w:val="center"/>
          </w:tcPr>
          <w:p w14:paraId="3812E2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b/>
                <w:bCs/>
                <w:color w:val="auto"/>
                <w:kern w:val="0"/>
                <w:szCs w:val="21"/>
              </w:rPr>
              <w:t>◆</w:t>
            </w:r>
            <w:r>
              <w:rPr>
                <w:rFonts w:hint="eastAsia" w:ascii="宋体" w:hAnsi="宋体" w:eastAsia="宋体" w:cs="宋体"/>
              </w:rPr>
              <w:t>表型采集设备</w:t>
            </w:r>
            <w:r>
              <w:rPr>
                <w:rFonts w:hint="eastAsia" w:ascii="宋体" w:hAnsi="宋体" w:eastAsia="宋体" w:cs="宋体"/>
                <w:lang w:val="en-US" w:eastAsia="zh-CN"/>
              </w:rPr>
              <w:t xml:space="preserve"> </w:t>
            </w:r>
          </w:p>
        </w:tc>
        <w:tc>
          <w:tcPr>
            <w:tcW w:w="1534" w:type="dxa"/>
            <w:vAlign w:val="center"/>
          </w:tcPr>
          <w:p w14:paraId="478280B8">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1台</w:t>
            </w:r>
          </w:p>
        </w:tc>
        <w:tc>
          <w:tcPr>
            <w:tcW w:w="1480" w:type="dxa"/>
            <w:vMerge w:val="continue"/>
            <w:vAlign w:val="center"/>
          </w:tcPr>
          <w:p w14:paraId="7490ED81">
            <w:pPr>
              <w:widowControl/>
              <w:jc w:val="center"/>
              <w:textAlignment w:val="center"/>
              <w:rPr>
                <w:rFonts w:hint="eastAsia" w:ascii="宋体" w:hAnsi="宋体" w:eastAsia="宋体" w:cs="宋体"/>
                <w:color w:val="auto"/>
                <w:szCs w:val="21"/>
              </w:rPr>
            </w:pPr>
          </w:p>
        </w:tc>
        <w:tc>
          <w:tcPr>
            <w:tcW w:w="1300" w:type="dxa"/>
            <w:vAlign w:val="center"/>
          </w:tcPr>
          <w:p w14:paraId="76F465D2">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4E33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38C11BE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3346" w:type="dxa"/>
            <w:shd w:val="clear" w:color="auto" w:fill="auto"/>
            <w:vAlign w:val="center"/>
          </w:tcPr>
          <w:p w14:paraId="26727D6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超低温冰箱</w:t>
            </w:r>
            <w:r>
              <w:rPr>
                <w:rFonts w:hint="eastAsia" w:ascii="宋体" w:hAnsi="宋体" w:eastAsia="宋体" w:cs="宋体"/>
                <w:lang w:val="en-US" w:eastAsia="zh-CN"/>
              </w:rPr>
              <w:t xml:space="preserve"> </w:t>
            </w:r>
          </w:p>
        </w:tc>
        <w:tc>
          <w:tcPr>
            <w:tcW w:w="1534" w:type="dxa"/>
            <w:vAlign w:val="center"/>
          </w:tcPr>
          <w:p w14:paraId="11413115">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台</w:t>
            </w:r>
          </w:p>
        </w:tc>
        <w:tc>
          <w:tcPr>
            <w:tcW w:w="1480" w:type="dxa"/>
            <w:vMerge w:val="continue"/>
            <w:vAlign w:val="center"/>
          </w:tcPr>
          <w:p w14:paraId="0D04BE9C">
            <w:pPr>
              <w:widowControl/>
              <w:jc w:val="center"/>
              <w:textAlignment w:val="center"/>
              <w:rPr>
                <w:rFonts w:hint="eastAsia" w:ascii="宋体" w:hAnsi="宋体" w:eastAsia="宋体" w:cs="宋体"/>
                <w:color w:val="auto"/>
                <w:szCs w:val="21"/>
              </w:rPr>
            </w:pPr>
          </w:p>
        </w:tc>
        <w:tc>
          <w:tcPr>
            <w:tcW w:w="1300" w:type="dxa"/>
            <w:vAlign w:val="center"/>
          </w:tcPr>
          <w:p w14:paraId="0A112132">
            <w:pPr>
              <w:widowControl/>
              <w:jc w:val="center"/>
              <w:textAlignment w:val="center"/>
              <w:rPr>
                <w:rFonts w:hint="eastAsia" w:ascii="宋体" w:hAnsi="宋体" w:eastAsia="宋体" w:cs="宋体"/>
                <w:color w:val="auto"/>
                <w:kern w:val="0"/>
                <w:szCs w:val="21"/>
              </w:rPr>
            </w:pPr>
          </w:p>
        </w:tc>
      </w:tr>
      <w:tr w14:paraId="1B70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6A65952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3346" w:type="dxa"/>
            <w:shd w:val="clear" w:color="auto" w:fill="auto"/>
            <w:vAlign w:val="center"/>
          </w:tcPr>
          <w:p w14:paraId="7047E1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智能渔业养殖管理系统</w:t>
            </w:r>
          </w:p>
        </w:tc>
        <w:tc>
          <w:tcPr>
            <w:tcW w:w="1534" w:type="dxa"/>
            <w:vAlign w:val="center"/>
          </w:tcPr>
          <w:p w14:paraId="109F0669">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套</w:t>
            </w:r>
          </w:p>
        </w:tc>
        <w:tc>
          <w:tcPr>
            <w:tcW w:w="1480" w:type="dxa"/>
            <w:vMerge w:val="continue"/>
            <w:vAlign w:val="center"/>
          </w:tcPr>
          <w:p w14:paraId="3FC5A377">
            <w:pPr>
              <w:widowControl/>
              <w:jc w:val="center"/>
              <w:textAlignment w:val="center"/>
              <w:rPr>
                <w:rFonts w:hint="eastAsia" w:ascii="宋体" w:hAnsi="宋体" w:eastAsia="宋体" w:cs="宋体"/>
                <w:color w:val="auto"/>
                <w:kern w:val="0"/>
                <w:szCs w:val="21"/>
              </w:rPr>
            </w:pPr>
          </w:p>
        </w:tc>
        <w:tc>
          <w:tcPr>
            <w:tcW w:w="1300" w:type="dxa"/>
            <w:vAlign w:val="center"/>
          </w:tcPr>
          <w:p w14:paraId="1C1CE459">
            <w:pPr>
              <w:widowControl/>
              <w:jc w:val="center"/>
              <w:textAlignment w:val="center"/>
              <w:rPr>
                <w:rFonts w:hint="eastAsia" w:ascii="宋体" w:hAnsi="宋体" w:eastAsia="宋体" w:cs="宋体"/>
                <w:color w:val="auto"/>
                <w:kern w:val="0"/>
                <w:szCs w:val="21"/>
              </w:rPr>
            </w:pPr>
          </w:p>
        </w:tc>
      </w:tr>
      <w:bookmarkEnd w:id="1"/>
    </w:tbl>
    <w:p w14:paraId="025DCCB9">
      <w:pPr>
        <w:pageBreakBefore w:val="0"/>
        <w:widowControl/>
        <w:kinsoku/>
        <w:wordWrap/>
        <w:overflowPunct/>
        <w:topLinePunct w:val="0"/>
        <w:bidi w:val="0"/>
        <w:spacing w:line="320" w:lineRule="exact"/>
        <w:ind w:firstLine="420" w:firstLineChars="200"/>
        <w:rPr>
          <w:rFonts w:ascii="Times New Roman" w:hAnsi="Times New Roman" w:eastAsia="宋体"/>
          <w:b/>
          <w:bCs/>
          <w:color w:val="auto"/>
          <w:kern w:val="0"/>
          <w:szCs w:val="21"/>
        </w:rPr>
      </w:pPr>
      <w:r>
        <w:rPr>
          <w:rFonts w:hint="eastAsia"/>
          <w:color w:val="auto"/>
          <w:lang w:val="en-US" w:eastAsia="zh-CN"/>
        </w:rPr>
        <w:t xml:space="preserve"> </w:t>
      </w: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p w14:paraId="207E933B">
      <w:pPr>
        <w:rPr>
          <w:rFonts w:hint="eastAsia" w:eastAsiaTheme="minorEastAsia"/>
          <w:lang w:val="en-US" w:eastAsia="zh-CN"/>
        </w:rPr>
      </w:pPr>
    </w:p>
    <w:tbl>
      <w:tblPr>
        <w:tblStyle w:val="62"/>
        <w:tblpPr w:leftFromText="180" w:rightFromText="180" w:vertAnchor="text" w:tblpX="10483" w:tblpY="-7719"/>
        <w:tblOverlap w:val="never"/>
        <w:tblW w:w="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tblGrid>
      <w:tr w14:paraId="55EE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18" w:type="dxa"/>
          </w:tcPr>
          <w:p w14:paraId="717A8345">
            <w:pPr>
              <w:pageBreakBefore w:val="0"/>
              <w:widowControl/>
              <w:kinsoku/>
              <w:wordWrap/>
              <w:overflowPunct/>
              <w:topLinePunct w:val="0"/>
              <w:bidi w:val="0"/>
              <w:spacing w:line="320" w:lineRule="exact"/>
              <w:jc w:val="left"/>
              <w:rPr>
                <w:rFonts w:hint="eastAsia" w:ascii="Times New Roman" w:hAnsi="Times New Roman" w:eastAsia="宋体"/>
                <w:b/>
                <w:bCs/>
                <w:color w:val="0000FF"/>
                <w:kern w:val="0"/>
                <w:szCs w:val="21"/>
                <w:vertAlign w:val="baseline"/>
              </w:rPr>
            </w:pPr>
          </w:p>
        </w:tc>
      </w:tr>
    </w:tbl>
    <w:p w14:paraId="60CB6A04">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五、投标供应商资格要求</w:t>
      </w:r>
      <w:r>
        <w:rPr>
          <w:rFonts w:ascii="Times New Roman" w:hAnsi="Times New Roman" w:eastAsia="宋体" w:cs="Times New Roman"/>
          <w:b/>
          <w:bCs/>
          <w:kern w:val="0"/>
          <w:szCs w:val="21"/>
        </w:rPr>
        <w:t>:</w:t>
      </w:r>
    </w:p>
    <w:p w14:paraId="0BC9479A">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宋体" w:hAnsi="宋体" w:eastAsia="宋体" w:cs="宋体"/>
          <w:kern w:val="0"/>
          <w:szCs w:val="21"/>
        </w:rPr>
        <w:t>①</w:t>
      </w:r>
      <w:r>
        <w:rPr>
          <w:rFonts w:hint="eastAsia" w:ascii="Times New Roman" w:hAnsi="Times New Roman" w:eastAsia="宋体" w:cs="Times New Roman"/>
          <w:kern w:val="0"/>
          <w:szCs w:val="21"/>
        </w:rPr>
        <w:t>具有独立承担民事责任的能力；</w:t>
      </w:r>
      <w:r>
        <w:rPr>
          <w:rFonts w:hint="eastAsia" w:ascii="宋体" w:hAnsi="宋体" w:eastAsia="宋体" w:cs="宋体"/>
          <w:kern w:val="0"/>
          <w:szCs w:val="21"/>
        </w:rPr>
        <w:t>②</w:t>
      </w:r>
      <w:r>
        <w:rPr>
          <w:rFonts w:hint="eastAsia" w:ascii="Times New Roman" w:hAnsi="Times New Roman" w:eastAsia="宋体" w:cs="Times New Roman"/>
          <w:kern w:val="0"/>
          <w:szCs w:val="21"/>
        </w:rPr>
        <w:t>具有良好的商业信誉和健全的财务会计制度；</w:t>
      </w:r>
      <w:r>
        <w:rPr>
          <w:rFonts w:hint="eastAsia" w:ascii="宋体" w:hAnsi="宋体" w:eastAsia="宋体" w:cs="宋体"/>
          <w:kern w:val="0"/>
          <w:szCs w:val="21"/>
        </w:rPr>
        <w:t>③</w:t>
      </w:r>
      <w:r>
        <w:rPr>
          <w:rFonts w:hint="eastAsia" w:ascii="Times New Roman" w:hAnsi="Times New Roman" w:eastAsia="宋体" w:cs="Times New Roman"/>
          <w:kern w:val="0"/>
          <w:szCs w:val="21"/>
        </w:rPr>
        <w:t>具有履行合同所必需的设备和专业技术能力；</w:t>
      </w:r>
      <w:r>
        <w:rPr>
          <w:rFonts w:hint="eastAsia" w:ascii="宋体" w:hAnsi="宋体" w:eastAsia="宋体" w:cs="宋体"/>
          <w:kern w:val="0"/>
          <w:szCs w:val="21"/>
        </w:rPr>
        <w:t>④</w:t>
      </w:r>
      <w:r>
        <w:rPr>
          <w:rFonts w:hint="eastAsia" w:ascii="Times New Roman" w:hAnsi="Times New Roman" w:eastAsia="宋体" w:cs="Times New Roman"/>
          <w:kern w:val="0"/>
          <w:szCs w:val="21"/>
        </w:rPr>
        <w:t>参加政府采购活动前三年内，无依法缴纳税收和社会保障资金的不良记录；</w:t>
      </w:r>
      <w:r>
        <w:rPr>
          <w:rFonts w:hint="eastAsia" w:ascii="宋体" w:hAnsi="宋体" w:eastAsia="宋体" w:cs="宋体"/>
          <w:kern w:val="0"/>
          <w:szCs w:val="21"/>
        </w:rPr>
        <w:t>⑤</w:t>
      </w:r>
      <w:r>
        <w:rPr>
          <w:rFonts w:hint="eastAsia" w:ascii="Times New Roman" w:hAnsi="Times New Roman" w:eastAsia="宋体" w:cs="Times New Roman"/>
          <w:kern w:val="0"/>
          <w:szCs w:val="21"/>
        </w:rPr>
        <w:t>参加政府采购活动前三年内，在经营活动中没有重大违法记录；</w:t>
      </w:r>
      <w:r>
        <w:rPr>
          <w:rFonts w:hint="eastAsia" w:ascii="宋体" w:hAnsi="宋体" w:eastAsia="宋体" w:cs="宋体"/>
          <w:kern w:val="0"/>
          <w:szCs w:val="21"/>
        </w:rPr>
        <w:t>⑥</w:t>
      </w:r>
      <w:r>
        <w:rPr>
          <w:rFonts w:hint="eastAsia" w:ascii="Times New Roman" w:hAnsi="Times New Roman" w:eastAsia="宋体" w:cs="Times New Roman"/>
          <w:kern w:val="0"/>
          <w:szCs w:val="21"/>
        </w:rPr>
        <w:t>法律、行政法规规定的其他条件。</w:t>
      </w:r>
    </w:p>
    <w:p w14:paraId="69723CE9">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未被</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信用中国</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www.creditchina.gov.cn</w:t>
      </w:r>
      <w:r>
        <w:rPr>
          <w:rFonts w:hint="eastAsia" w:ascii="Times New Roman" w:hAnsi="Times New Roman" w:eastAsia="宋体" w:cs="Times New Roman"/>
          <w:kern w:val="0"/>
          <w:szCs w:val="21"/>
        </w:rPr>
        <w:t>）、中国政府采购网（</w:t>
      </w:r>
      <w:r>
        <w:rPr>
          <w:rFonts w:ascii="Times New Roman" w:hAnsi="Times New Roman" w:eastAsia="宋体" w:cs="Times New Roman"/>
          <w:kern w:val="0"/>
          <w:szCs w:val="21"/>
        </w:rPr>
        <w:t>www.ccgp.gov.cn</w:t>
      </w:r>
      <w:r>
        <w:rPr>
          <w:rFonts w:hint="eastAsia" w:ascii="Times New Roman" w:hAnsi="Times New Roman" w:eastAsia="宋体" w:cs="Times New Roman"/>
          <w:kern w:val="0"/>
          <w:szCs w:val="21"/>
        </w:rPr>
        <w:t>）列入失信被执行人、重大税收违法案件当事人名单、政府采购严重违法失信行为记录名单。</w:t>
      </w:r>
    </w:p>
    <w:p w14:paraId="48B893D3">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b/>
          <w:bCs/>
          <w:color w:val="auto"/>
          <w:kern w:val="0"/>
          <w:szCs w:val="21"/>
        </w:rPr>
      </w:pPr>
      <w:r>
        <w:rPr>
          <w:rFonts w:hint="eastAsia" w:ascii="Times New Roman" w:hAnsi="Times New Roman" w:eastAsia="宋体" w:cs="Times New Roman"/>
          <w:color w:val="auto"/>
          <w:kern w:val="0"/>
          <w:szCs w:val="21"/>
        </w:rPr>
        <w:t>3.本项目</w:t>
      </w:r>
      <w:r>
        <w:rPr>
          <w:rFonts w:hint="eastAsia" w:ascii="Times New Roman" w:hAnsi="Times New Roman" w:eastAsia="宋体" w:cs="Times New Roman"/>
          <w:color w:val="auto"/>
          <w:kern w:val="0"/>
          <w:szCs w:val="21"/>
          <w:lang w:val="en-US" w:eastAsia="zh-CN"/>
        </w:rPr>
        <w:t>不</w:t>
      </w:r>
      <w:r>
        <w:rPr>
          <w:rFonts w:hint="eastAsia" w:ascii="Times New Roman" w:hAnsi="Times New Roman" w:eastAsia="宋体" w:cs="Times New Roman"/>
          <w:color w:val="auto"/>
          <w:kern w:val="0"/>
          <w:szCs w:val="21"/>
        </w:rPr>
        <w:t>专门面向中小企业。本项目对应的中小企业划分标准所属行业：</w:t>
      </w:r>
      <w:r>
        <w:rPr>
          <w:rFonts w:hint="eastAsia" w:ascii="Times New Roman" w:hAnsi="Times New Roman" w:eastAsia="宋体" w:cs="Times New Roman"/>
          <w:b/>
          <w:bCs/>
          <w:color w:val="auto"/>
          <w:kern w:val="0"/>
          <w:szCs w:val="21"/>
        </w:rPr>
        <w:t>工业。(中小企业划型标准:《工信部联企业[2011]300号》)</w:t>
      </w:r>
    </w:p>
    <w:p w14:paraId="2A279ADE">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w:t>
      </w:r>
      <w:r>
        <w:rPr>
          <w:rFonts w:hint="eastAsia" w:ascii="Times New Roman" w:hAnsi="Times New Roman" w:eastAsia="宋体" w:cs="Times New Roman"/>
          <w:b/>
          <w:kern w:val="0"/>
          <w:szCs w:val="21"/>
        </w:rPr>
        <w:t>公告期限：</w:t>
      </w:r>
      <w:r>
        <w:rPr>
          <w:rFonts w:hint="eastAsia" w:ascii="Times New Roman" w:hAnsi="Times New Roman" w:eastAsia="宋体" w:cs="Times New Roman"/>
          <w:b/>
          <w:kern w:val="0"/>
          <w:szCs w:val="21"/>
          <w:u w:val="single"/>
        </w:rPr>
        <w:t>自公告发布之日起</w:t>
      </w:r>
      <w:r>
        <w:rPr>
          <w:rFonts w:ascii="Times New Roman" w:hAnsi="Times New Roman" w:eastAsia="宋体" w:cs="Times New Roman"/>
          <w:b/>
          <w:kern w:val="0"/>
          <w:szCs w:val="21"/>
          <w:u w:val="single"/>
        </w:rPr>
        <w:t>5</w:t>
      </w:r>
      <w:r>
        <w:rPr>
          <w:rFonts w:hint="eastAsia" w:ascii="Times New Roman" w:hAnsi="Times New Roman" w:eastAsia="宋体" w:cs="Times New Roman"/>
          <w:b/>
          <w:kern w:val="0"/>
          <w:szCs w:val="21"/>
          <w:u w:val="single"/>
        </w:rPr>
        <w:t>个工作日</w:t>
      </w:r>
    </w:p>
    <w:p w14:paraId="40BA1D66">
      <w:pPr>
        <w:keepNext w:val="0"/>
        <w:keepLines w:val="0"/>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1"/>
        </w:rPr>
      </w:pPr>
      <w:r>
        <w:rPr>
          <w:rFonts w:hint="eastAsia" w:ascii="Times New Roman" w:hAnsi="Times New Roman" w:eastAsia="宋体" w:cs="Times New Roman"/>
          <w:b/>
          <w:bCs/>
          <w:szCs w:val="21"/>
        </w:rPr>
        <w:t>七、注册及采购文件的获取</w:t>
      </w:r>
      <w:r>
        <w:rPr>
          <w:rFonts w:hint="eastAsia" w:ascii="Times New Roman" w:hAnsi="Times New Roman" w:eastAsia="宋体" w:cs="Times New Roman"/>
          <w:szCs w:val="21"/>
        </w:rPr>
        <w:t>：</w:t>
      </w:r>
    </w:p>
    <w:p w14:paraId="79DB4180">
      <w:pPr>
        <w:keepNext w:val="0"/>
        <w:keepLines w:val="0"/>
        <w:pageBreakBefore w:val="0"/>
        <w:widowControl/>
        <w:shd w:val="clear" w:color="auto" w:fill="FFFFFF"/>
        <w:kinsoku/>
        <w:wordWrap/>
        <w:overflowPunct/>
        <w:topLinePunct w:val="0"/>
        <w:autoSpaceDE/>
        <w:autoSpaceDN/>
        <w:bidi w:val="0"/>
        <w:adjustRightInd/>
        <w:spacing w:line="360" w:lineRule="auto"/>
        <w:ind w:firstLine="417" w:firstLine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58C229CE">
      <w:pPr>
        <w:keepNext w:val="0"/>
        <w:keepLines w:val="0"/>
        <w:pageBreakBefore w:val="0"/>
        <w:widowControl/>
        <w:shd w:val="clear" w:color="auto" w:fill="FFFFFF"/>
        <w:kinsoku/>
        <w:wordWrap/>
        <w:overflowPunct/>
        <w:topLinePunct w:val="0"/>
        <w:autoSpaceDE/>
        <w:autoSpaceDN/>
        <w:bidi w:val="0"/>
        <w:adjustRightInd/>
        <w:spacing w:line="360" w:lineRule="auto"/>
        <w:ind w:firstLine="417" w:firstLine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01DEDF86">
      <w:pPr>
        <w:keepNext w:val="0"/>
        <w:keepLines w:val="0"/>
        <w:pageBreakBefore w:val="0"/>
        <w:widowControl/>
        <w:shd w:val="clear" w:color="auto" w:fill="FFFFFF"/>
        <w:kinsoku/>
        <w:wordWrap/>
        <w:overflowPunct/>
        <w:topLinePunct w:val="0"/>
        <w:autoSpaceDE/>
        <w:autoSpaceDN/>
        <w:bidi w:val="0"/>
        <w:adjustRightInd/>
        <w:spacing w:line="360" w:lineRule="auto"/>
        <w:ind w:left="416" w:leftChars="198"/>
        <w:jc w:val="left"/>
        <w:textAlignment w:val="auto"/>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免费注册网址：浙江政府采购网（供应商注册页面）：</w:t>
      </w:r>
    </w:p>
    <w:p w14:paraId="7E39AA8A">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w:t>
      </w:r>
      <w:r>
        <w:rPr>
          <w:rFonts w:ascii="Times New Roman" w:hAnsi="Times New Roman" w:eastAsia="宋体" w:cs="Times New Roman"/>
          <w:kern w:val="0"/>
          <w:szCs w:val="21"/>
          <w:shd w:val="clear" w:color="auto" w:fill="FFFFFF"/>
        </w:rPr>
        <w:t>95763</w:t>
      </w:r>
      <w:r>
        <w:rPr>
          <w:rFonts w:hint="eastAsia" w:ascii="Times New Roman" w:hAnsi="Times New Roman" w:eastAsia="宋体" w:cs="Times New Roman"/>
          <w:kern w:val="0"/>
          <w:szCs w:val="21"/>
          <w:shd w:val="clear" w:color="auto" w:fill="FFFFFF"/>
        </w:rPr>
        <w:t>。已经注册成功的供应商无需重复注册。</w:t>
      </w:r>
    </w:p>
    <w:p w14:paraId="22569E44">
      <w:pPr>
        <w:keepNext w:val="0"/>
        <w:keepLines w:val="0"/>
        <w:pageBreakBefore w:val="0"/>
        <w:widowControl/>
        <w:shd w:val="clear" w:color="auto" w:fill="FFFFFF"/>
        <w:kinsoku/>
        <w:wordWrap/>
        <w:overflowPunct/>
        <w:topLinePunct w:val="0"/>
        <w:autoSpaceDE/>
        <w:autoSpaceDN/>
        <w:bidi w:val="0"/>
        <w:adjustRightInd/>
        <w:spacing w:line="360" w:lineRule="auto"/>
        <w:ind w:firstLine="422" w:firstLineChars="200"/>
        <w:jc w:val="left"/>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b/>
          <w:bCs/>
          <w:kern w:val="0"/>
          <w:szCs w:val="21"/>
          <w:shd w:val="clear" w:color="auto" w:fill="FFFFFF"/>
        </w:rPr>
        <w:t>4.获取采购文件时间：</w:t>
      </w:r>
      <w:r>
        <w:rPr>
          <w:rFonts w:hint="eastAsia" w:ascii="Times New Roman" w:hAnsi="Times New Roman" w:eastAsia="宋体" w:cs="Times New Roman"/>
          <w:kern w:val="0"/>
          <w:szCs w:val="21"/>
          <w:shd w:val="clear" w:color="auto" w:fill="FFFFFF"/>
        </w:rPr>
        <w:t>公告发布之日至投标截止时间</w:t>
      </w:r>
    </w:p>
    <w:p w14:paraId="0A51B5E6">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八、投标文件的制作及递交：</w:t>
      </w:r>
    </w:p>
    <w:p w14:paraId="44F083D3">
      <w:pPr>
        <w:keepNext w:val="0"/>
        <w:keepLines w:val="0"/>
        <w:pageBreakBefore w:val="0"/>
        <w:widowControl/>
        <w:shd w:val="clear" w:color="auto" w:fill="FFFFFF"/>
        <w:kinsoku/>
        <w:wordWrap/>
        <w:overflowPunct/>
        <w:topLinePunct w:val="0"/>
        <w:autoSpaceDE/>
        <w:autoSpaceDN/>
        <w:bidi w:val="0"/>
        <w:adjustRightInd/>
        <w:spacing w:line="360" w:lineRule="auto"/>
        <w:ind w:firstLine="420" w:firstLineChars="200"/>
        <w:jc w:val="left"/>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供应商须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0FE3CAE9">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50985F10">
      <w:pPr>
        <w:keepNext w:val="0"/>
        <w:keepLines w:val="0"/>
        <w:pageBreakBefore w:val="0"/>
        <w:widowControl/>
        <w:shd w:val="clear" w:color="auto" w:fill="FFFFFF"/>
        <w:kinsoku/>
        <w:wordWrap/>
        <w:overflowPunct/>
        <w:topLinePunct w:val="0"/>
        <w:autoSpaceDE/>
        <w:autoSpaceDN/>
        <w:bidi w:val="0"/>
        <w:adjustRightInd/>
        <w:spacing w:line="360" w:lineRule="auto"/>
        <w:ind w:left="420" w:leftChars="200"/>
        <w:jc w:val="left"/>
        <w:textAlignment w:val="auto"/>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4FD0FF65">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九、投标保证金：无。</w:t>
      </w:r>
    </w:p>
    <w:p w14:paraId="584C9396">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十、投标截止时间和地址：</w:t>
      </w:r>
    </w:p>
    <w:p w14:paraId="64DC56D7">
      <w:pPr>
        <w:keepNext w:val="0"/>
        <w:keepLines w:val="0"/>
        <w:pageBreakBefore w:val="0"/>
        <w:kinsoku/>
        <w:wordWrap/>
        <w:overflowPunct/>
        <w:topLinePunct w:val="0"/>
        <w:autoSpaceDE/>
        <w:autoSpaceDN/>
        <w:bidi w:val="0"/>
        <w:adjustRightInd/>
        <w:spacing w:line="360" w:lineRule="auto"/>
        <w:ind w:firstLine="632" w:firstLineChars="300"/>
        <w:textAlignment w:val="auto"/>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6C3531D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08D0C22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r>
        <w:rPr>
          <w:rFonts w:hint="eastAsia" w:ascii="Times New Roman" w:hAnsi="Times New Roman" w:eastAsia="宋体" w:cs="Times New Roman"/>
          <w:szCs w:val="21"/>
          <w:shd w:val="clear" w:color="auto" w:fill="FFFFFF"/>
        </w:rPr>
        <w:t>投标人应于</w:t>
      </w:r>
      <w:bookmarkStart w:id="2" w:name="_Hlk100345522"/>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11</w:t>
      </w:r>
      <w:r>
        <w:rPr>
          <w:rFonts w:hint="eastAsia" w:ascii="Times New Roman" w:hAnsi="Times New Roman" w:eastAsia="宋体" w:cs="Times New Roman"/>
          <w:szCs w:val="21"/>
          <w:shd w:val="clear" w:color="auto" w:fill="FFFFFF"/>
        </w:rPr>
        <w:t>日</w:t>
      </w:r>
      <w:bookmarkEnd w:id="2"/>
      <w:r>
        <w:rPr>
          <w:rFonts w:hint="eastAsia" w:ascii="Times New Roman" w:hAnsi="Times New Roman" w:eastAsia="宋体" w:cs="Times New Roman"/>
          <w:szCs w:val="21"/>
          <w:shd w:val="clear" w:color="auto" w:fill="FFFFFF"/>
          <w:lang w:val="en-US" w:eastAsia="zh-CN"/>
        </w:rPr>
        <w:t>14:45</w:t>
      </w:r>
      <w:r>
        <w:rPr>
          <w:rFonts w:hint="eastAsia" w:ascii="Times New Roman" w:hAnsi="Times New Roman" w:eastAsia="宋体" w:cs="Times New Roman"/>
          <w:szCs w:val="21"/>
          <w:shd w:val="clear" w:color="auto" w:fill="FFFFFF"/>
        </w:rPr>
        <w:t>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20004226">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15EF279E">
      <w:pPr>
        <w:keepNext w:val="0"/>
        <w:keepLines w:val="0"/>
        <w:pageBreakBefore w:val="0"/>
        <w:widowControl/>
        <w:shd w:val="clear" w:color="auto" w:fill="FFFFFF"/>
        <w:kinsoku/>
        <w:wordWrap/>
        <w:overflowPunct/>
        <w:topLinePunct w:val="0"/>
        <w:autoSpaceDE/>
        <w:autoSpaceDN/>
        <w:bidi w:val="0"/>
        <w:adjustRightInd/>
        <w:spacing w:line="360" w:lineRule="auto"/>
        <w:ind w:firstLine="519" w:firstLineChars="246"/>
        <w:jc w:val="left"/>
        <w:textAlignment w:val="auto"/>
        <w:rPr>
          <w:rFonts w:hint="default" w:ascii="Times New Roman" w:hAnsi="Times New Roman" w:eastAsia="宋体" w:cs="Times New Roman"/>
          <w:b/>
          <w:bCs w:val="0"/>
          <w:kern w:val="0"/>
          <w:szCs w:val="21"/>
          <w:lang w:val="en-US" w:eastAsia="zh-CN"/>
        </w:rPr>
      </w:pPr>
      <w:r>
        <w:rPr>
          <w:rFonts w:hint="eastAsia" w:ascii="Times New Roman" w:hAnsi="Times New Roman" w:eastAsia="宋体" w:cs="Times New Roman"/>
          <w:b/>
          <w:kern w:val="0"/>
          <w:szCs w:val="21"/>
        </w:rPr>
        <w:t>投标人可于2025年</w:t>
      </w:r>
      <w:r>
        <w:rPr>
          <w:rFonts w:hint="eastAsia" w:ascii="Times New Roman" w:hAnsi="Times New Roman" w:eastAsia="宋体" w:cs="Times New Roman"/>
          <w:b/>
          <w:kern w:val="0"/>
          <w:szCs w:val="21"/>
          <w:lang w:val="en-US" w:eastAsia="zh-CN"/>
        </w:rPr>
        <w:t>08</w:t>
      </w:r>
      <w:r>
        <w:rPr>
          <w:rFonts w:hint="eastAsia" w:ascii="Times New Roman" w:hAnsi="Times New Roman" w:eastAsia="宋体" w:cs="Times New Roman"/>
          <w:b/>
          <w:kern w:val="0"/>
          <w:szCs w:val="21"/>
        </w:rPr>
        <w:t>月</w:t>
      </w:r>
      <w:r>
        <w:rPr>
          <w:rFonts w:hint="eastAsia" w:ascii="Times New Roman" w:hAnsi="Times New Roman" w:eastAsia="宋体" w:cs="Times New Roman"/>
          <w:b/>
          <w:kern w:val="0"/>
          <w:szCs w:val="21"/>
          <w:lang w:val="en-US" w:eastAsia="zh-CN"/>
        </w:rPr>
        <w:t>10</w:t>
      </w:r>
      <w:r>
        <w:rPr>
          <w:rFonts w:hint="eastAsia" w:ascii="Times New Roman" w:hAnsi="Times New Roman" w:eastAsia="宋体" w:cs="Times New Roman"/>
          <w:b/>
          <w:kern w:val="0"/>
          <w:szCs w:val="21"/>
        </w:rPr>
        <w:t>日11：30（北京时间）前将密封的投标文件寄到或送达采购代理公司。地址：舟山市定海区昌国路232号中楼202  深圳市国信招标有限公司舟山分公司(收件人：任女士，联系电话：13567673203）。寄错地址或未按时寄到的自行承担风险。也可开标会现场递交，递交截止</w:t>
      </w:r>
      <w:r>
        <w:rPr>
          <w:rFonts w:hint="eastAsia" w:ascii="Times New Roman" w:hAnsi="Times New Roman" w:eastAsia="宋体" w:cs="Times New Roman"/>
          <w:b/>
          <w:bCs w:val="0"/>
          <w:kern w:val="0"/>
          <w:szCs w:val="21"/>
        </w:rPr>
        <w:t>时间</w:t>
      </w:r>
      <w:r>
        <w:rPr>
          <w:rFonts w:hint="eastAsia" w:ascii="Times New Roman" w:hAnsi="Times New Roman" w:eastAsia="宋体" w:cs="Times New Roman"/>
          <w:b/>
          <w:bCs w:val="0"/>
          <w:szCs w:val="21"/>
          <w:shd w:val="clear" w:color="auto" w:fill="FFFFFF"/>
        </w:rPr>
        <w:t>202</w:t>
      </w:r>
      <w:r>
        <w:rPr>
          <w:rFonts w:hint="eastAsia" w:ascii="Times New Roman" w:hAnsi="Times New Roman" w:eastAsia="宋体" w:cs="Times New Roman"/>
          <w:b/>
          <w:bCs w:val="0"/>
          <w:szCs w:val="21"/>
          <w:shd w:val="clear" w:color="auto" w:fill="FFFFFF"/>
          <w:lang w:val="en-US" w:eastAsia="zh-CN"/>
        </w:rPr>
        <w:t>5</w:t>
      </w:r>
      <w:r>
        <w:rPr>
          <w:rFonts w:hint="eastAsia" w:ascii="Times New Roman" w:hAnsi="Times New Roman" w:eastAsia="宋体" w:cs="Times New Roman"/>
          <w:b/>
          <w:bCs w:val="0"/>
          <w:szCs w:val="21"/>
          <w:shd w:val="clear" w:color="auto" w:fill="FFFFFF"/>
        </w:rPr>
        <w:t>年08月11日14:45</w:t>
      </w:r>
    </w:p>
    <w:p w14:paraId="75AA56F4">
      <w:pPr>
        <w:keepNext w:val="0"/>
        <w:keepLines w:val="0"/>
        <w:pageBreakBefore w:val="0"/>
        <w:widowControl/>
        <w:shd w:val="clear" w:color="auto" w:fill="FFFFFF"/>
        <w:kinsoku/>
        <w:wordWrap/>
        <w:overflowPunct/>
        <w:topLinePunct w:val="0"/>
        <w:autoSpaceDE/>
        <w:autoSpaceDN/>
        <w:bidi w:val="0"/>
        <w:adjustRightInd/>
        <w:spacing w:line="360" w:lineRule="auto"/>
        <w:ind w:firstLine="519" w:firstLineChars="246"/>
        <w:jc w:val="left"/>
        <w:textAlignment w:val="auto"/>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67B78434">
      <w:pPr>
        <w:keepNext w:val="0"/>
        <w:keepLines w:val="0"/>
        <w:pageBreakBefore w:val="0"/>
        <w:widowControl/>
        <w:shd w:val="clear" w:color="auto" w:fill="FFFFFF"/>
        <w:kinsoku/>
        <w:wordWrap/>
        <w:overflowPunct/>
        <w:topLinePunct w:val="0"/>
        <w:autoSpaceDE/>
        <w:autoSpaceDN/>
        <w:bidi w:val="0"/>
        <w:adjustRightInd/>
        <w:spacing w:line="360" w:lineRule="auto"/>
        <w:ind w:firstLine="413" w:firstLineChars="196"/>
        <w:jc w:val="left"/>
        <w:textAlignment w:val="auto"/>
        <w:rPr>
          <w:rFonts w:hint="default" w:ascii="Times New Roman" w:hAnsi="Times New Roman" w:eastAsia="宋体" w:cs="Times New Roman"/>
          <w:bCs/>
          <w:color w:val="auto"/>
          <w:kern w:val="0"/>
          <w:szCs w:val="21"/>
          <w:lang w:val="en-US" w:eastAsia="zh-CN"/>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hint="eastAsia"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lang w:val="en-US" w:eastAsia="zh-CN"/>
        </w:rPr>
        <w:t>5</w:t>
      </w:r>
      <w:r>
        <w:rPr>
          <w:rFonts w:hint="eastAsia"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lang w:val="en-US" w:eastAsia="zh-CN"/>
        </w:rPr>
        <w:t>08</w:t>
      </w:r>
      <w:r>
        <w:rPr>
          <w:rFonts w:hint="eastAsia" w:ascii="Times New Roman" w:hAnsi="Times New Roman" w:eastAsia="宋体" w:cs="Times New Roman"/>
          <w:szCs w:val="21"/>
          <w:shd w:val="clear" w:color="auto" w:fill="FFFFFF"/>
        </w:rPr>
        <w:t>月</w:t>
      </w:r>
      <w:r>
        <w:rPr>
          <w:rFonts w:hint="eastAsia" w:ascii="Times New Roman" w:hAnsi="Times New Roman" w:eastAsia="宋体" w:cs="Times New Roman"/>
          <w:szCs w:val="21"/>
          <w:shd w:val="clear" w:color="auto" w:fill="FFFFFF"/>
          <w:lang w:val="en-US" w:eastAsia="zh-CN"/>
        </w:rPr>
        <w:t>11</w:t>
      </w:r>
      <w:r>
        <w:rPr>
          <w:rFonts w:hint="eastAsia" w:ascii="Times New Roman" w:hAnsi="Times New Roman" w:eastAsia="宋体" w:cs="Times New Roman"/>
          <w:szCs w:val="21"/>
          <w:shd w:val="clear" w:color="auto" w:fill="FFFFFF"/>
        </w:rPr>
        <w:t>日</w:t>
      </w:r>
      <w:r>
        <w:rPr>
          <w:rFonts w:hint="eastAsia" w:ascii="Times New Roman" w:hAnsi="Times New Roman" w:eastAsia="宋体" w:cs="Times New Roman"/>
          <w:szCs w:val="21"/>
          <w:shd w:val="clear" w:color="auto" w:fill="FFFFFF"/>
          <w:lang w:val="en-US" w:eastAsia="zh-CN"/>
        </w:rPr>
        <w:t>14:45</w:t>
      </w:r>
    </w:p>
    <w:p w14:paraId="071AA2E5">
      <w:pPr>
        <w:keepNext w:val="0"/>
        <w:keepLines w:val="0"/>
        <w:pageBreakBefore w:val="0"/>
        <w:widowControl/>
        <w:shd w:val="clear" w:color="auto" w:fill="FFFFFF"/>
        <w:kinsoku/>
        <w:wordWrap/>
        <w:overflowPunct/>
        <w:topLinePunct w:val="0"/>
        <w:autoSpaceDE/>
        <w:autoSpaceDN/>
        <w:bidi w:val="0"/>
        <w:adjustRightInd/>
        <w:spacing w:line="360" w:lineRule="auto"/>
        <w:ind w:firstLine="410"/>
        <w:jc w:val="left"/>
        <w:textAlignment w:val="auto"/>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b/>
          <w:bCs/>
          <w:color w:val="auto"/>
          <w:szCs w:val="21"/>
        </w:rPr>
        <w:t>3.</w:t>
      </w:r>
      <w:r>
        <w:rPr>
          <w:rFonts w:hint="eastAsia" w:ascii="Times New Roman" w:hAnsi="Times New Roman" w:eastAsia="宋体" w:cs="Times New Roman"/>
          <w:b/>
          <w:bCs/>
          <w:color w:val="auto"/>
          <w:szCs w:val="21"/>
        </w:rPr>
        <w:t>开标地点：</w:t>
      </w:r>
      <w:r>
        <w:rPr>
          <w:rFonts w:hint="eastAsia" w:ascii="Times New Roman" w:hAnsi="Times New Roman" w:eastAsia="宋体" w:cs="Times New Roman"/>
          <w:color w:val="auto"/>
          <w:kern w:val="0"/>
          <w:szCs w:val="21"/>
        </w:rPr>
        <w:t>舟山市</w:t>
      </w:r>
      <w:r>
        <w:rPr>
          <w:rFonts w:hint="eastAsia" w:ascii="Times New Roman" w:hAnsi="Times New Roman" w:eastAsia="宋体" w:cs="Times New Roman"/>
          <w:color w:val="auto"/>
          <w:kern w:val="0"/>
          <w:szCs w:val="21"/>
          <w:lang w:val="en-US" w:eastAsia="zh-CN"/>
        </w:rPr>
        <w:t>定海区颜家峧路7号一楼</w:t>
      </w:r>
    </w:p>
    <w:p w14:paraId="129ED521">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十一、其他事项：</w:t>
      </w:r>
    </w:p>
    <w:p w14:paraId="45DC372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color w:val="auto"/>
        </w:rPr>
      </w:pPr>
      <w:r>
        <w:rPr>
          <w:rFonts w:ascii="Times New Roman" w:hAnsi="Times New Roman" w:eastAsia="宋体" w:cs="Times New Roman"/>
          <w:color w:val="auto"/>
          <w:szCs w:val="21"/>
        </w:rPr>
        <w:t>1.</w:t>
      </w:r>
      <w:r>
        <w:rPr>
          <w:rFonts w:hint="eastAsia" w:ascii="Times New Roman" w:hAnsi="Times New Roman" w:eastAsia="宋体" w:cs="Times New Roman"/>
          <w:color w:val="auto"/>
        </w:rPr>
        <w:t>本项目公告期限为</w:t>
      </w:r>
      <w:r>
        <w:rPr>
          <w:rFonts w:ascii="Times New Roman" w:hAnsi="Times New Roman" w:eastAsia="宋体" w:cs="Times New Roman"/>
          <w:color w:val="auto"/>
        </w:rPr>
        <w:t>5</w:t>
      </w:r>
      <w:r>
        <w:rPr>
          <w:rFonts w:hint="eastAsia" w:ascii="Times New Roman" w:hAnsi="Times New Roman" w:eastAsia="宋体" w:cs="Times New Roman"/>
          <w:color w:val="auto"/>
        </w:rPr>
        <w:t>个工作日，供应商认为采购文件使自己的权益受到损害的，可以自获取采购文件之日或者采购文件公告期限届满之日（公告期限届满后获取采购文件的，以公告期限届满之日为准）起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eastAsia="宋体" w:cs="Times New Roman"/>
          <w:color w:val="auto"/>
        </w:rPr>
        <w:t>7</w:t>
      </w:r>
      <w:r>
        <w:rPr>
          <w:rFonts w:hint="eastAsia" w:ascii="Times New Roman" w:hAnsi="Times New Roman" w:eastAsia="宋体" w:cs="Times New Roman"/>
          <w:color w:val="auto"/>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CFB535">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投标人应在合同签订前成为浙江政府采购网正式注册供应商。</w:t>
      </w:r>
    </w:p>
    <w:p w14:paraId="4E5CC22C">
      <w:pPr>
        <w:keepNext w:val="0"/>
        <w:keepLines w:val="0"/>
        <w:pageBreakBefore w:val="0"/>
        <w:widowControl/>
        <w:kinsoku/>
        <w:wordWrap/>
        <w:overflowPunct/>
        <w:topLinePunct w:val="0"/>
        <w:autoSpaceDE/>
        <w:autoSpaceDN/>
        <w:bidi w:val="0"/>
        <w:adjustRightInd/>
        <w:spacing w:line="360" w:lineRule="auto"/>
        <w:textAlignment w:val="auto"/>
        <w:rPr>
          <w:rFonts w:ascii="Times New Roman" w:hAnsi="Times New Roman" w:eastAsia="宋体" w:cs="Times New Roman"/>
          <w:color w:val="auto"/>
          <w:kern w:val="0"/>
          <w:szCs w:val="21"/>
        </w:rPr>
      </w:pPr>
      <w:r>
        <w:rPr>
          <w:rFonts w:hint="eastAsia" w:ascii="Times New Roman" w:hAnsi="Times New Roman" w:eastAsia="宋体" w:cs="Times New Roman"/>
          <w:b/>
          <w:bCs/>
          <w:color w:val="auto"/>
          <w:kern w:val="0"/>
          <w:szCs w:val="21"/>
        </w:rPr>
        <w:t>十二、联系方式：</w:t>
      </w:r>
    </w:p>
    <w:p w14:paraId="18EE6BFD">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ascii="Times New Roman" w:hAnsi="Times New Roman" w:eastAsia="宋体" w:cs="Times New Roman"/>
          <w:color w:val="auto"/>
          <w:kern w:val="0"/>
          <w:szCs w:val="21"/>
          <w:shd w:val="clear" w:color="auto" w:fill="FFFFFF"/>
        </w:rPr>
        <w:t>1.</w:t>
      </w:r>
      <w:r>
        <w:rPr>
          <w:rFonts w:hint="eastAsia" w:ascii="Times New Roman" w:hAnsi="Times New Roman" w:eastAsia="宋体" w:cs="Times New Roman"/>
          <w:color w:val="auto"/>
          <w:kern w:val="0"/>
          <w:szCs w:val="21"/>
          <w:shd w:val="clear" w:color="auto" w:fill="FFFFFF"/>
        </w:rPr>
        <w:t>采购代理机构名称：深圳市国信招标有限公司舟山分公司</w:t>
      </w:r>
    </w:p>
    <w:p w14:paraId="39158419">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联系人：朱女士、任女士</w:t>
      </w:r>
    </w:p>
    <w:p w14:paraId="25A1B9A4">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联系电话：</w:t>
      </w:r>
      <w:r>
        <w:rPr>
          <w:rFonts w:ascii="Times New Roman" w:hAnsi="Times New Roman" w:eastAsia="宋体" w:cs="Times New Roman"/>
          <w:color w:val="auto"/>
          <w:kern w:val="0"/>
          <w:szCs w:val="21"/>
          <w:shd w:val="clear" w:color="auto" w:fill="FFFFFF"/>
        </w:rPr>
        <w:t>0580-2054476</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13857236444</w:t>
      </w:r>
      <w:r>
        <w:rPr>
          <w:rFonts w:hint="eastAsia" w:ascii="Times New Roman" w:hAnsi="Times New Roman" w:eastAsia="宋体" w:cs="Times New Roman"/>
          <w:color w:val="auto"/>
          <w:kern w:val="0"/>
          <w:szCs w:val="21"/>
          <w:shd w:val="clear" w:color="auto" w:fill="FFFFFF"/>
        </w:rPr>
        <w:t>，</w:t>
      </w:r>
      <w:r>
        <w:rPr>
          <w:rFonts w:ascii="Times New Roman" w:hAnsi="Times New Roman" w:eastAsia="宋体" w:cs="Times New Roman"/>
          <w:color w:val="auto"/>
          <w:kern w:val="0"/>
          <w:szCs w:val="21"/>
          <w:shd w:val="clear" w:color="auto" w:fill="FFFFFF"/>
        </w:rPr>
        <w:t>13567673203</w:t>
      </w:r>
    </w:p>
    <w:p w14:paraId="1D2D6E9A">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质疑答复联系人：王女士</w:t>
      </w:r>
    </w:p>
    <w:p w14:paraId="18E54006">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联系电话：</w:t>
      </w:r>
      <w:r>
        <w:rPr>
          <w:rFonts w:ascii="Times New Roman" w:hAnsi="Times New Roman" w:eastAsia="宋体" w:cs="Times New Roman"/>
          <w:kern w:val="0"/>
          <w:szCs w:val="21"/>
          <w:shd w:val="clear" w:color="auto" w:fill="FFFFFF"/>
        </w:rPr>
        <w:t>0580-2054476</w:t>
      </w:r>
      <w:r>
        <w:rPr>
          <w:rFonts w:hint="eastAsia" w:ascii="Times New Roman" w:hAnsi="Times New Roman" w:eastAsia="宋体" w:cs="Times New Roman"/>
          <w:kern w:val="0"/>
          <w:szCs w:val="21"/>
          <w:shd w:val="clear" w:color="auto" w:fill="FFFFFF"/>
        </w:rPr>
        <w:t>，</w:t>
      </w:r>
      <w:r>
        <w:rPr>
          <w:rFonts w:ascii="Times New Roman" w:hAnsi="Times New Roman" w:eastAsia="宋体" w:cs="Times New Roman"/>
          <w:kern w:val="0"/>
          <w:szCs w:val="21"/>
          <w:shd w:val="clear" w:color="auto" w:fill="FFFFFF"/>
        </w:rPr>
        <w:t>13587045176</w:t>
      </w:r>
    </w:p>
    <w:p w14:paraId="095BAFBF">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传真：</w:t>
      </w:r>
      <w:r>
        <w:rPr>
          <w:rFonts w:ascii="Times New Roman" w:hAnsi="Times New Roman" w:eastAsia="宋体" w:cs="Times New Roman"/>
          <w:kern w:val="0"/>
          <w:szCs w:val="21"/>
          <w:shd w:val="clear" w:color="auto" w:fill="FFFFFF"/>
        </w:rPr>
        <w:t>0580-2054476</w:t>
      </w:r>
    </w:p>
    <w:p w14:paraId="657B65EC">
      <w:pPr>
        <w:keepNext w:val="0"/>
        <w:keepLines w:val="0"/>
        <w:pageBreakBefore w:val="0"/>
        <w:widowControl/>
        <w:kinsoku/>
        <w:wordWrap/>
        <w:overflowPunct/>
        <w:topLinePunct w:val="0"/>
        <w:autoSpaceDE/>
        <w:autoSpaceDN/>
        <w:bidi w:val="0"/>
        <w:adjustRightInd/>
        <w:spacing w:line="360" w:lineRule="auto"/>
        <w:ind w:firstLine="420"/>
        <w:textAlignment w:val="auto"/>
        <w:rPr>
          <w:rFonts w:ascii="Times New Roman" w:hAnsi="Times New Roman" w:eastAsia="宋体" w:cs="Times New Roman"/>
          <w:kern w:val="0"/>
          <w:szCs w:val="21"/>
          <w:shd w:val="clear" w:color="auto" w:fill="FFFFFF"/>
        </w:rPr>
      </w:pPr>
      <w:r>
        <w:rPr>
          <w:rFonts w:hint="eastAsia" w:ascii="Times New Roman" w:hAnsi="Times New Roman" w:eastAsia="宋体" w:cs="Times New Roman"/>
          <w:kern w:val="0"/>
          <w:szCs w:val="21"/>
          <w:shd w:val="clear" w:color="auto" w:fill="FFFFFF"/>
        </w:rPr>
        <w:t>地址：舟山市定海区昌国路</w:t>
      </w:r>
      <w:r>
        <w:rPr>
          <w:rFonts w:ascii="Times New Roman" w:hAnsi="Times New Roman" w:eastAsia="宋体" w:cs="Times New Roman"/>
          <w:kern w:val="0"/>
          <w:szCs w:val="21"/>
          <w:shd w:val="clear" w:color="auto" w:fill="FFFFFF"/>
        </w:rPr>
        <w:t>232</w:t>
      </w:r>
      <w:r>
        <w:rPr>
          <w:rFonts w:hint="eastAsia" w:ascii="Times New Roman" w:hAnsi="Times New Roman" w:eastAsia="宋体" w:cs="Times New Roman"/>
          <w:kern w:val="0"/>
          <w:szCs w:val="21"/>
          <w:shd w:val="clear" w:color="auto" w:fill="FFFFFF"/>
        </w:rPr>
        <w:t>号中楼</w:t>
      </w:r>
      <w:r>
        <w:rPr>
          <w:rFonts w:ascii="Times New Roman" w:hAnsi="Times New Roman" w:eastAsia="宋体" w:cs="Times New Roman"/>
          <w:kern w:val="0"/>
          <w:szCs w:val="21"/>
          <w:shd w:val="clear" w:color="auto" w:fill="FFFFFF"/>
        </w:rPr>
        <w:t>202</w:t>
      </w:r>
    </w:p>
    <w:p w14:paraId="13460162">
      <w:pPr>
        <w:keepNext w:val="0"/>
        <w:keepLines w:val="0"/>
        <w:pageBreakBefore w:val="0"/>
        <w:widowControl/>
        <w:kinsoku/>
        <w:wordWrap/>
        <w:overflowPunct/>
        <w:topLinePunct w:val="0"/>
        <w:autoSpaceDE/>
        <w:autoSpaceDN/>
        <w:bidi w:val="0"/>
        <w:adjustRightInd/>
        <w:spacing w:line="360" w:lineRule="auto"/>
        <w:ind w:firstLine="420"/>
        <w:textAlignment w:val="auto"/>
        <w:rPr>
          <w:rFonts w:hint="eastAsia" w:ascii="Times New Roman" w:hAnsi="Times New Roman" w:eastAsia="宋体" w:cs="Times New Roman"/>
          <w:color w:val="auto"/>
          <w:kern w:val="0"/>
          <w:szCs w:val="21"/>
          <w:shd w:val="clear" w:color="auto" w:fill="FFFFFF"/>
          <w:lang w:eastAsia="zh-CN"/>
        </w:rPr>
      </w:pPr>
      <w:r>
        <w:rPr>
          <w:rFonts w:hint="eastAsia" w:ascii="宋体" w:hAnsi="宋体" w:eastAsia="宋体" w:cs="Times New Roman"/>
          <w:color w:val="auto"/>
          <w:szCs w:val="21"/>
          <w:shd w:val="clear" w:color="auto" w:fill="FFFFFF"/>
        </w:rPr>
        <w:t>2</w:t>
      </w:r>
      <w:r>
        <w:rPr>
          <w:rFonts w:hint="eastAsia" w:ascii="Times New Roman" w:hAnsi="Times New Roman" w:eastAsia="宋体" w:cs="Times New Roman"/>
          <w:color w:val="auto"/>
          <w:kern w:val="0"/>
          <w:szCs w:val="21"/>
          <w:shd w:val="clear" w:color="auto" w:fill="FFFFFF"/>
        </w:rPr>
        <w:t>.采购人：</w:t>
      </w:r>
      <w:r>
        <w:rPr>
          <w:rFonts w:hint="eastAsia" w:ascii="Times New Roman" w:hAnsi="Times New Roman" w:eastAsia="宋体" w:cs="Times New Roman"/>
          <w:color w:val="auto"/>
          <w:kern w:val="0"/>
          <w:szCs w:val="21"/>
          <w:shd w:val="clear" w:color="auto" w:fill="FFFFFF"/>
          <w:lang w:eastAsia="zh-CN"/>
        </w:rPr>
        <w:t>浙江省海洋水产研究所</w:t>
      </w:r>
    </w:p>
    <w:p w14:paraId="406C3189">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联系人：</w:t>
      </w:r>
      <w:r>
        <w:rPr>
          <w:rFonts w:hint="eastAsia" w:ascii="Times New Roman" w:hAnsi="Times New Roman" w:eastAsia="宋体" w:cs="Times New Roman"/>
          <w:color w:val="auto"/>
          <w:kern w:val="0"/>
          <w:szCs w:val="21"/>
          <w:shd w:val="clear" w:color="auto" w:fill="FFFFFF"/>
          <w:lang w:val="en-US" w:eastAsia="zh-CN"/>
        </w:rPr>
        <w:t>相老师</w:t>
      </w:r>
    </w:p>
    <w:p w14:paraId="5CEED388">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15168098611</w:t>
      </w:r>
    </w:p>
    <w:p w14:paraId="33E304E8">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质疑答复联系人：</w:t>
      </w:r>
      <w:r>
        <w:rPr>
          <w:rFonts w:hint="eastAsia" w:ascii="Times New Roman" w:hAnsi="Times New Roman" w:eastAsia="宋体" w:cs="Times New Roman"/>
          <w:color w:val="auto"/>
          <w:kern w:val="0"/>
          <w:szCs w:val="21"/>
          <w:shd w:val="clear" w:color="auto" w:fill="FFFFFF"/>
          <w:lang w:val="en-US" w:eastAsia="zh-CN"/>
        </w:rPr>
        <w:t>郑老师</w:t>
      </w:r>
    </w:p>
    <w:p w14:paraId="6EA30517">
      <w:pPr>
        <w:keepNext w:val="0"/>
        <w:keepLines w:val="0"/>
        <w:pageBreakBefore w:val="0"/>
        <w:kinsoku/>
        <w:wordWrap/>
        <w:overflowPunct/>
        <w:topLinePunct w:val="0"/>
        <w:autoSpaceDE/>
        <w:autoSpaceDN/>
        <w:bidi w:val="0"/>
        <w:adjustRightInd/>
        <w:spacing w:line="360" w:lineRule="auto"/>
        <w:ind w:firstLine="472" w:firstLineChars="225"/>
        <w:textAlignment w:val="auto"/>
        <w:rPr>
          <w:rFonts w:hint="default" w:ascii="Times New Roman" w:hAnsi="Times New Roman" w:eastAsia="宋体" w:cs="Times New Roman"/>
          <w:color w:val="auto"/>
          <w:kern w:val="0"/>
          <w:szCs w:val="21"/>
          <w:shd w:val="clear" w:color="auto" w:fill="FFFFFF"/>
          <w:lang w:val="en-US" w:eastAsia="zh-CN"/>
        </w:rPr>
      </w:pPr>
      <w:r>
        <w:rPr>
          <w:rFonts w:hint="eastAsia" w:ascii="Times New Roman" w:hAnsi="Times New Roman" w:eastAsia="宋体" w:cs="Times New Roman"/>
          <w:color w:val="auto"/>
          <w:kern w:val="0"/>
          <w:szCs w:val="21"/>
          <w:shd w:val="clear" w:color="auto" w:fill="FFFFFF"/>
        </w:rPr>
        <w:t>联系电话：</w:t>
      </w:r>
      <w:r>
        <w:rPr>
          <w:rFonts w:hint="eastAsia" w:ascii="Times New Roman" w:hAnsi="Times New Roman" w:eastAsia="宋体" w:cs="Times New Roman"/>
          <w:color w:val="auto"/>
          <w:kern w:val="0"/>
          <w:szCs w:val="21"/>
          <w:shd w:val="clear" w:color="auto" w:fill="FFFFFF"/>
          <w:lang w:val="en-US" w:eastAsia="zh-CN"/>
        </w:rPr>
        <w:t>13706808262</w:t>
      </w:r>
    </w:p>
    <w:p w14:paraId="463A2A98">
      <w:pPr>
        <w:keepNext w:val="0"/>
        <w:keepLines w:val="0"/>
        <w:pageBreakBefore w:val="0"/>
        <w:kinsoku/>
        <w:wordWrap/>
        <w:overflowPunct/>
        <w:topLinePunct w:val="0"/>
        <w:autoSpaceDE/>
        <w:autoSpaceDN/>
        <w:bidi w:val="0"/>
        <w:adjustRightInd/>
        <w:snapToGrid/>
        <w:spacing w:line="360" w:lineRule="auto"/>
        <w:ind w:firstLine="472" w:firstLineChars="225"/>
        <w:textAlignment w:val="auto"/>
        <w:rPr>
          <w:rFonts w:hint="eastAsia" w:ascii="Times New Roman" w:hAnsi="Times New Roman" w:eastAsia="宋体" w:cs="Times New Roman"/>
          <w:color w:val="auto"/>
          <w:kern w:val="0"/>
          <w:szCs w:val="21"/>
          <w:shd w:val="clear" w:color="auto" w:fill="FFFFFF"/>
        </w:rPr>
      </w:pPr>
      <w:r>
        <w:rPr>
          <w:rFonts w:hint="eastAsia" w:ascii="Times New Roman" w:hAnsi="Times New Roman" w:eastAsia="宋体" w:cs="Times New Roman"/>
          <w:color w:val="auto"/>
          <w:kern w:val="0"/>
          <w:szCs w:val="21"/>
          <w:shd w:val="clear" w:color="auto" w:fill="FFFFFF"/>
        </w:rPr>
        <w:t>地址：</w:t>
      </w:r>
      <w:r>
        <w:rPr>
          <w:rFonts w:hint="eastAsia" w:ascii="宋体" w:hAnsi="宋体" w:eastAsia="宋体" w:cs="Times New Roman"/>
          <w:color w:val="auto"/>
          <w:szCs w:val="21"/>
        </w:rPr>
        <w:t>舟山市临城体育路28号</w:t>
      </w:r>
    </w:p>
    <w:p w14:paraId="7D26AF9E">
      <w:pPr>
        <w:pageBreakBefore w:val="0"/>
        <w:kinsoku/>
        <w:wordWrap/>
        <w:overflowPunct/>
        <w:topLinePunct w:val="0"/>
        <w:bidi w:val="0"/>
        <w:spacing w:line="320" w:lineRule="exact"/>
        <w:ind w:firstLine="472" w:firstLineChars="225"/>
        <w:rPr>
          <w:rFonts w:hint="eastAsia" w:ascii="宋体" w:hAnsi="宋体" w:eastAsia="宋体"/>
          <w:szCs w:val="21"/>
        </w:rPr>
      </w:pPr>
      <w:r>
        <w:rPr>
          <w:rFonts w:hint="eastAsia" w:ascii="宋体" w:hAnsi="宋体" w:eastAsia="宋体"/>
          <w:szCs w:val="21"/>
          <w:lang w:val="en-US" w:eastAsia="zh-CN"/>
        </w:rPr>
        <w:t>3.同级政府采购监督管理部门名称：浙江省政府采购行政裁决服务中心</w:t>
      </w:r>
    </w:p>
    <w:p w14:paraId="6D9A51AC">
      <w:pPr>
        <w:pageBreakBefore w:val="0"/>
        <w:kinsoku/>
        <w:wordWrap/>
        <w:overflowPunct/>
        <w:topLinePunct w:val="0"/>
        <w:bidi w:val="0"/>
        <w:spacing w:line="320" w:lineRule="exact"/>
        <w:ind w:firstLine="472" w:firstLineChars="225"/>
        <w:rPr>
          <w:rFonts w:hint="eastAsia" w:ascii="宋体" w:hAnsi="宋体" w:eastAsia="宋体"/>
          <w:szCs w:val="21"/>
        </w:rPr>
      </w:pPr>
      <w:r>
        <w:rPr>
          <w:rFonts w:hint="eastAsia" w:ascii="宋体" w:hAnsi="宋体" w:eastAsia="宋体"/>
          <w:szCs w:val="21"/>
          <w:lang w:val="en-US" w:eastAsia="zh-CN"/>
        </w:rPr>
        <w:t>联 系 人：朱老师、王老师、匡老师</w:t>
      </w:r>
    </w:p>
    <w:p w14:paraId="75F41313">
      <w:pPr>
        <w:pageBreakBefore w:val="0"/>
        <w:kinsoku/>
        <w:wordWrap/>
        <w:overflowPunct/>
        <w:topLinePunct w:val="0"/>
        <w:bidi w:val="0"/>
        <w:spacing w:line="320" w:lineRule="exact"/>
        <w:ind w:firstLine="472" w:firstLineChars="225"/>
        <w:rPr>
          <w:rFonts w:hint="eastAsia" w:ascii="宋体" w:hAnsi="宋体" w:eastAsia="宋体"/>
          <w:szCs w:val="21"/>
        </w:rPr>
      </w:pPr>
      <w:r>
        <w:rPr>
          <w:rFonts w:hint="eastAsia" w:ascii="宋体" w:hAnsi="宋体" w:eastAsia="宋体"/>
          <w:szCs w:val="21"/>
          <w:lang w:val="en-US" w:eastAsia="zh-CN"/>
        </w:rPr>
        <w:t>监督投诉电话：0571-87800218，0571-87227671</w:t>
      </w:r>
    </w:p>
    <w:p w14:paraId="14202FA3">
      <w:pPr>
        <w:pageBreakBefore w:val="0"/>
        <w:kinsoku/>
        <w:wordWrap/>
        <w:overflowPunct/>
        <w:topLinePunct w:val="0"/>
        <w:bidi w:val="0"/>
        <w:spacing w:line="320" w:lineRule="exact"/>
        <w:ind w:firstLine="678" w:firstLineChars="225"/>
        <w:rPr>
          <w:rFonts w:hint="eastAsia" w:ascii="宋体" w:hAnsi="宋体" w:eastAsia="宋体" w:cs="Times New Roman"/>
          <w:b/>
          <w:sz w:val="30"/>
        </w:rPr>
      </w:pPr>
    </w:p>
    <w:p w14:paraId="2F5D0C51">
      <w:pPr>
        <w:pageBreakBefore w:val="0"/>
        <w:kinsoku/>
        <w:wordWrap/>
        <w:overflowPunct/>
        <w:topLinePunct w:val="0"/>
        <w:bidi w:val="0"/>
        <w:spacing w:line="320" w:lineRule="exact"/>
        <w:rPr>
          <w:rFonts w:ascii="Times New Roman" w:hAnsi="Times New Roman" w:eastAsia="宋体" w:cs="Times New Roman"/>
          <w:b/>
          <w:kern w:val="0"/>
          <w:sz w:val="30"/>
        </w:rPr>
      </w:pPr>
      <w:r>
        <w:rPr>
          <w:rFonts w:ascii="Times New Roman" w:hAnsi="Times New Roman" w:eastAsia="宋体" w:cs="Times New Roman"/>
          <w:b/>
          <w:kern w:val="0"/>
          <w:sz w:val="30"/>
        </w:rPr>
        <w:br w:type="page"/>
      </w:r>
    </w:p>
    <w:p w14:paraId="5637D57E">
      <w:pPr>
        <w:pageBreakBefore w:val="0"/>
        <w:widowControl/>
        <w:kinsoku/>
        <w:wordWrap/>
        <w:overflowPunct/>
        <w:topLinePunct w:val="0"/>
        <w:bidi w:val="0"/>
        <w:spacing w:line="320" w:lineRule="exact"/>
        <w:jc w:val="left"/>
        <w:rPr>
          <w:rFonts w:ascii="Times New Roman" w:hAnsi="Times New Roman" w:eastAsia="宋体" w:cs="Times New Roman"/>
          <w:b/>
          <w:kern w:val="0"/>
          <w:sz w:val="30"/>
        </w:rPr>
        <w:sectPr>
          <w:headerReference r:id="rId3" w:type="default"/>
          <w:footerReference r:id="rId4" w:type="default"/>
          <w:pgSz w:w="11906" w:h="16838"/>
          <w:pgMar w:top="1304" w:right="1531" w:bottom="1304" w:left="1531" w:header="1134" w:footer="1304" w:gutter="0"/>
          <w:cols w:space="720" w:num="1"/>
        </w:sectPr>
      </w:pPr>
    </w:p>
    <w:p w14:paraId="39751358">
      <w:pPr>
        <w:pageBreakBefore w:val="0"/>
        <w:numPr>
          <w:ilvl w:val="0"/>
          <w:numId w:val="8"/>
        </w:numPr>
        <w:kinsoku/>
        <w:wordWrap/>
        <w:overflowPunct/>
        <w:topLinePunct w:val="0"/>
        <w:bidi w:val="0"/>
        <w:snapToGrid w:val="0"/>
        <w:spacing w:line="320" w:lineRule="exact"/>
        <w:jc w:val="center"/>
        <w:rPr>
          <w:rFonts w:ascii="Times New Roman" w:hAnsi="Times New Roman" w:eastAsia="宋体" w:cs="Times New Roman"/>
          <w:b/>
          <w:sz w:val="30"/>
        </w:rPr>
      </w:pPr>
      <w:r>
        <w:rPr>
          <w:rFonts w:hint="eastAsia" w:ascii="Times New Roman" w:hAnsi="Times New Roman" w:eastAsia="宋体" w:cs="Times New Roman"/>
          <w:b/>
          <w:sz w:val="30"/>
        </w:rPr>
        <w:t xml:space="preserve"> 招标需求</w:t>
      </w:r>
    </w:p>
    <w:p w14:paraId="2E9D6529">
      <w:pPr>
        <w:pageBreakBefore w:val="0"/>
        <w:kinsoku/>
        <w:wordWrap/>
        <w:overflowPunct/>
        <w:topLinePunct w:val="0"/>
        <w:bidi w:val="0"/>
        <w:spacing w:line="320" w:lineRule="exact"/>
        <w:outlineLvl w:val="0"/>
        <w:rPr>
          <w:rFonts w:ascii="Times New Roman" w:hAnsi="Times New Roman" w:eastAsia="宋体" w:cs="Times New Roman"/>
          <w:b/>
          <w:sz w:val="24"/>
        </w:rPr>
      </w:pPr>
    </w:p>
    <w:p w14:paraId="03F49C51">
      <w:pPr>
        <w:keepNext w:val="0"/>
        <w:keepLines w:val="0"/>
        <w:pageBreakBefore w:val="0"/>
        <w:kinsoku/>
        <w:wordWrap/>
        <w:overflowPunct/>
        <w:topLinePunct w:val="0"/>
        <w:autoSpaceDE/>
        <w:autoSpaceDN/>
        <w:bidi w:val="0"/>
        <w:adjustRightInd/>
        <w:snapToGrid/>
        <w:spacing w:line="360" w:lineRule="auto"/>
        <w:rPr>
          <w:rFonts w:hint="eastAsia" w:eastAsiaTheme="minorEastAsia"/>
          <w:lang w:val="en-US" w:eastAsia="zh-CN"/>
        </w:rPr>
      </w:pPr>
      <w:r>
        <w:rPr>
          <w:rFonts w:hint="eastAsia" w:eastAsia="宋体"/>
          <w:b/>
          <w:color w:val="000000"/>
          <w:sz w:val="24"/>
        </w:rPr>
        <w:t>一、</w:t>
      </w:r>
      <w:r>
        <w:rPr>
          <w:rFonts w:hint="eastAsia" w:ascii="宋体" w:hAnsi="宋体" w:eastAsia="宋体"/>
          <w:b/>
          <w:bCs/>
          <w:color w:val="000000"/>
          <w:sz w:val="24"/>
        </w:rPr>
        <w:t>采购</w:t>
      </w:r>
      <w:r>
        <w:rPr>
          <w:rFonts w:hint="eastAsia" w:ascii="宋体" w:hAnsi="宋体" w:eastAsia="宋体"/>
          <w:b/>
          <w:bCs/>
          <w:color w:val="000000"/>
          <w:sz w:val="24"/>
          <w:lang w:val="en-US" w:eastAsia="zh-CN"/>
        </w:rPr>
        <w:t>清单</w:t>
      </w:r>
      <w:bookmarkStart w:id="3" w:name="_Hlk172297338"/>
    </w:p>
    <w:tbl>
      <w:tblPr>
        <w:tblStyle w:val="62"/>
        <w:tblW w:w="8686"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3346"/>
        <w:gridCol w:w="1534"/>
        <w:gridCol w:w="1480"/>
        <w:gridCol w:w="1300"/>
      </w:tblGrid>
      <w:tr w14:paraId="1144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vAlign w:val="center"/>
          </w:tcPr>
          <w:p w14:paraId="282321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序号</w:t>
            </w:r>
          </w:p>
        </w:tc>
        <w:tc>
          <w:tcPr>
            <w:tcW w:w="3346" w:type="dxa"/>
            <w:vAlign w:val="center"/>
          </w:tcPr>
          <w:p w14:paraId="6897598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设备名称</w:t>
            </w:r>
          </w:p>
        </w:tc>
        <w:tc>
          <w:tcPr>
            <w:tcW w:w="1534" w:type="dxa"/>
            <w:vAlign w:val="center"/>
          </w:tcPr>
          <w:p w14:paraId="1795CCD7">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数量</w:t>
            </w:r>
          </w:p>
        </w:tc>
        <w:tc>
          <w:tcPr>
            <w:tcW w:w="1480" w:type="dxa"/>
            <w:vAlign w:val="center"/>
          </w:tcPr>
          <w:p w14:paraId="2CE558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Cs w:val="21"/>
                <w:lang w:val="en-US" w:eastAsia="zh-CN"/>
              </w:rPr>
            </w:pPr>
            <w:r>
              <w:rPr>
                <w:rFonts w:hint="eastAsia" w:ascii="宋体" w:hAnsi="宋体" w:eastAsia="宋体" w:cs="宋体"/>
                <w:szCs w:val="21"/>
              </w:rPr>
              <w:t>预算</w:t>
            </w:r>
            <w:r>
              <w:rPr>
                <w:rFonts w:hint="eastAsia" w:ascii="宋体" w:hAnsi="宋体" w:eastAsia="宋体" w:cs="宋体"/>
                <w:szCs w:val="21"/>
                <w:lang w:val="en-US" w:eastAsia="zh-CN"/>
              </w:rPr>
              <w:t>金额</w:t>
            </w:r>
          </w:p>
          <w:p w14:paraId="5499A5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szCs w:val="21"/>
              </w:rPr>
            </w:pPr>
            <w:r>
              <w:rPr>
                <w:rFonts w:hint="eastAsia" w:ascii="宋体" w:hAnsi="宋体" w:eastAsia="宋体" w:cs="宋体"/>
                <w:szCs w:val="21"/>
              </w:rPr>
              <w:t>（万元）</w:t>
            </w:r>
          </w:p>
        </w:tc>
        <w:tc>
          <w:tcPr>
            <w:tcW w:w="1300" w:type="dxa"/>
            <w:vAlign w:val="center"/>
          </w:tcPr>
          <w:p w14:paraId="0DDD641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szCs w:val="21"/>
              </w:rPr>
            </w:pPr>
            <w:r>
              <w:rPr>
                <w:rFonts w:hint="eastAsia" w:ascii="宋体" w:hAnsi="宋体" w:eastAsia="宋体" w:cs="宋体"/>
                <w:szCs w:val="21"/>
              </w:rPr>
              <w:t>备注</w:t>
            </w:r>
          </w:p>
        </w:tc>
      </w:tr>
      <w:tr w14:paraId="32C6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54DC94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3346" w:type="dxa"/>
            <w:shd w:val="clear" w:color="auto" w:fill="auto"/>
            <w:vAlign w:val="center"/>
          </w:tcPr>
          <w:p w14:paraId="2726F2C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遗传多样性分析设备</w:t>
            </w:r>
            <w:r>
              <w:rPr>
                <w:rFonts w:hint="eastAsia" w:ascii="宋体" w:hAnsi="宋体" w:eastAsia="宋体" w:cs="宋体"/>
                <w:lang w:val="en-US" w:eastAsia="zh-CN"/>
              </w:rPr>
              <w:t xml:space="preserve">   </w:t>
            </w:r>
          </w:p>
        </w:tc>
        <w:tc>
          <w:tcPr>
            <w:tcW w:w="1534" w:type="dxa"/>
            <w:vAlign w:val="center"/>
          </w:tcPr>
          <w:p w14:paraId="5C577D20">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台</w:t>
            </w:r>
          </w:p>
        </w:tc>
        <w:tc>
          <w:tcPr>
            <w:tcW w:w="1480" w:type="dxa"/>
            <w:vMerge w:val="restart"/>
            <w:vAlign w:val="center"/>
          </w:tcPr>
          <w:p w14:paraId="346C24BA">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360</w:t>
            </w:r>
          </w:p>
        </w:tc>
        <w:tc>
          <w:tcPr>
            <w:tcW w:w="1300" w:type="dxa"/>
            <w:vAlign w:val="center"/>
          </w:tcPr>
          <w:p w14:paraId="4C9CE4E1">
            <w:pPr>
              <w:widowControl/>
              <w:tabs>
                <w:tab w:val="left" w:pos="596"/>
              </w:tabs>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62C71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6696170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3346" w:type="dxa"/>
            <w:shd w:val="clear" w:color="auto" w:fill="auto"/>
            <w:vAlign w:val="center"/>
          </w:tcPr>
          <w:p w14:paraId="4C2EB6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b/>
                <w:bCs/>
                <w:color w:val="auto"/>
                <w:kern w:val="0"/>
                <w:szCs w:val="21"/>
              </w:rPr>
              <w:t>◆</w:t>
            </w:r>
            <w:r>
              <w:rPr>
                <w:rFonts w:hint="eastAsia" w:ascii="宋体" w:hAnsi="宋体" w:eastAsia="宋体" w:cs="宋体"/>
              </w:rPr>
              <w:t>表型采集设备</w:t>
            </w:r>
            <w:r>
              <w:rPr>
                <w:rFonts w:hint="eastAsia" w:ascii="宋体" w:hAnsi="宋体" w:eastAsia="宋体" w:cs="宋体"/>
                <w:lang w:val="en-US" w:eastAsia="zh-CN"/>
              </w:rPr>
              <w:t xml:space="preserve"> </w:t>
            </w:r>
          </w:p>
        </w:tc>
        <w:tc>
          <w:tcPr>
            <w:tcW w:w="1534" w:type="dxa"/>
            <w:vAlign w:val="center"/>
          </w:tcPr>
          <w:p w14:paraId="69A229DC">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rPr>
              <w:t>1台</w:t>
            </w:r>
          </w:p>
        </w:tc>
        <w:tc>
          <w:tcPr>
            <w:tcW w:w="1480" w:type="dxa"/>
            <w:vMerge w:val="continue"/>
            <w:vAlign w:val="center"/>
          </w:tcPr>
          <w:p w14:paraId="7341C8EC">
            <w:pPr>
              <w:widowControl/>
              <w:jc w:val="center"/>
              <w:textAlignment w:val="center"/>
              <w:rPr>
                <w:rFonts w:hint="eastAsia" w:ascii="宋体" w:hAnsi="宋体" w:eastAsia="宋体" w:cs="宋体"/>
                <w:color w:val="auto"/>
                <w:szCs w:val="21"/>
              </w:rPr>
            </w:pPr>
          </w:p>
        </w:tc>
        <w:tc>
          <w:tcPr>
            <w:tcW w:w="1300" w:type="dxa"/>
            <w:vAlign w:val="center"/>
          </w:tcPr>
          <w:p w14:paraId="71E97193">
            <w:pPr>
              <w:widowControl/>
              <w:jc w:val="center"/>
              <w:textAlignment w:val="center"/>
              <w:rPr>
                <w:rFonts w:hint="eastAsia" w:ascii="宋体" w:hAnsi="宋体" w:eastAsia="宋体" w:cs="宋体"/>
                <w:color w:val="auto"/>
                <w:kern w:val="0"/>
                <w:szCs w:val="21"/>
              </w:rPr>
            </w:pPr>
            <w:r>
              <w:rPr>
                <w:rFonts w:hint="eastAsia" w:ascii="宋体" w:hAnsi="宋体" w:eastAsia="宋体" w:cs="宋体"/>
                <w:color w:val="auto"/>
                <w:kern w:val="0"/>
                <w:szCs w:val="21"/>
              </w:rPr>
              <w:t>允许进口</w:t>
            </w:r>
          </w:p>
        </w:tc>
      </w:tr>
      <w:tr w14:paraId="1DD7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394DEF2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3346" w:type="dxa"/>
            <w:shd w:val="clear" w:color="auto" w:fill="auto"/>
            <w:vAlign w:val="center"/>
          </w:tcPr>
          <w:p w14:paraId="19D37BB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超低温冰箱</w:t>
            </w:r>
            <w:r>
              <w:rPr>
                <w:rFonts w:hint="eastAsia" w:ascii="宋体" w:hAnsi="宋体" w:eastAsia="宋体" w:cs="宋体"/>
                <w:lang w:val="en-US" w:eastAsia="zh-CN"/>
              </w:rPr>
              <w:t xml:space="preserve"> </w:t>
            </w:r>
          </w:p>
        </w:tc>
        <w:tc>
          <w:tcPr>
            <w:tcW w:w="1534" w:type="dxa"/>
            <w:vAlign w:val="center"/>
          </w:tcPr>
          <w:p w14:paraId="6AA94785">
            <w:pPr>
              <w:widowControl/>
              <w:jc w:val="center"/>
              <w:textAlignment w:val="center"/>
              <w:rPr>
                <w:rFonts w:hint="eastAsia"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台</w:t>
            </w:r>
          </w:p>
        </w:tc>
        <w:tc>
          <w:tcPr>
            <w:tcW w:w="1480" w:type="dxa"/>
            <w:vMerge w:val="continue"/>
            <w:vAlign w:val="center"/>
          </w:tcPr>
          <w:p w14:paraId="70E97CC1">
            <w:pPr>
              <w:widowControl/>
              <w:jc w:val="center"/>
              <w:textAlignment w:val="center"/>
              <w:rPr>
                <w:rFonts w:hint="eastAsia" w:ascii="宋体" w:hAnsi="宋体" w:eastAsia="宋体" w:cs="宋体"/>
                <w:color w:val="auto"/>
                <w:szCs w:val="21"/>
              </w:rPr>
            </w:pPr>
          </w:p>
        </w:tc>
        <w:tc>
          <w:tcPr>
            <w:tcW w:w="1300" w:type="dxa"/>
            <w:vAlign w:val="center"/>
          </w:tcPr>
          <w:p w14:paraId="2DEAE8EC">
            <w:pPr>
              <w:widowControl/>
              <w:jc w:val="center"/>
              <w:textAlignment w:val="center"/>
              <w:rPr>
                <w:rFonts w:hint="eastAsia" w:ascii="宋体" w:hAnsi="宋体" w:eastAsia="宋体" w:cs="宋体"/>
                <w:color w:val="auto"/>
                <w:kern w:val="0"/>
                <w:szCs w:val="21"/>
              </w:rPr>
            </w:pPr>
          </w:p>
        </w:tc>
      </w:tr>
      <w:tr w14:paraId="586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26" w:type="dxa"/>
            <w:shd w:val="clear" w:color="auto" w:fill="auto"/>
            <w:vAlign w:val="center"/>
          </w:tcPr>
          <w:p w14:paraId="617AC7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3346" w:type="dxa"/>
            <w:shd w:val="clear" w:color="auto" w:fill="auto"/>
            <w:vAlign w:val="center"/>
          </w:tcPr>
          <w:p w14:paraId="5D4B46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2"/>
                <w:lang w:val="en-US" w:eastAsia="zh-CN" w:bidi="ar-SA"/>
              </w:rPr>
            </w:pPr>
            <w:r>
              <w:rPr>
                <w:rFonts w:hint="eastAsia" w:ascii="宋体" w:hAnsi="宋体" w:eastAsia="宋体" w:cs="宋体"/>
              </w:rPr>
              <w:t>智能渔业养殖管理系统</w:t>
            </w:r>
          </w:p>
        </w:tc>
        <w:tc>
          <w:tcPr>
            <w:tcW w:w="1534" w:type="dxa"/>
            <w:vAlign w:val="center"/>
          </w:tcPr>
          <w:p w14:paraId="5589E124">
            <w:pPr>
              <w:widowControl/>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1</w:t>
            </w:r>
            <w:r>
              <w:rPr>
                <w:rFonts w:hint="eastAsia" w:ascii="宋体" w:hAnsi="宋体" w:eastAsia="宋体" w:cs="宋体"/>
                <w:color w:val="auto"/>
                <w:kern w:val="0"/>
                <w:szCs w:val="21"/>
                <w:lang w:eastAsia="zh-CN"/>
              </w:rPr>
              <w:t>套</w:t>
            </w:r>
          </w:p>
        </w:tc>
        <w:tc>
          <w:tcPr>
            <w:tcW w:w="1480" w:type="dxa"/>
            <w:vMerge w:val="continue"/>
            <w:vAlign w:val="center"/>
          </w:tcPr>
          <w:p w14:paraId="0310C072">
            <w:pPr>
              <w:widowControl/>
              <w:jc w:val="center"/>
              <w:textAlignment w:val="center"/>
              <w:rPr>
                <w:rFonts w:hint="eastAsia" w:ascii="宋体" w:hAnsi="宋体" w:eastAsia="宋体" w:cs="宋体"/>
                <w:color w:val="auto"/>
                <w:kern w:val="0"/>
                <w:szCs w:val="21"/>
              </w:rPr>
            </w:pPr>
          </w:p>
        </w:tc>
        <w:tc>
          <w:tcPr>
            <w:tcW w:w="1300" w:type="dxa"/>
            <w:vAlign w:val="center"/>
          </w:tcPr>
          <w:p w14:paraId="0C25362F">
            <w:pPr>
              <w:widowControl/>
              <w:jc w:val="center"/>
              <w:textAlignment w:val="center"/>
              <w:rPr>
                <w:rFonts w:hint="eastAsia" w:ascii="宋体" w:hAnsi="宋体" w:eastAsia="宋体" w:cs="宋体"/>
                <w:color w:val="auto"/>
                <w:kern w:val="0"/>
                <w:szCs w:val="21"/>
              </w:rPr>
            </w:pPr>
          </w:p>
        </w:tc>
      </w:tr>
    </w:tbl>
    <w:p w14:paraId="107F5473">
      <w:pPr>
        <w:pageBreakBefore w:val="0"/>
        <w:widowControl/>
        <w:kinsoku/>
        <w:wordWrap/>
        <w:overflowPunct/>
        <w:topLinePunct w:val="0"/>
        <w:bidi w:val="0"/>
        <w:spacing w:line="320" w:lineRule="exact"/>
        <w:ind w:firstLine="632" w:firstLineChars="300"/>
        <w:rPr>
          <w:rFonts w:ascii="Times New Roman" w:hAnsi="Times New Roman" w:eastAsia="宋体"/>
          <w:b/>
          <w:bCs/>
          <w:color w:val="auto"/>
          <w:kern w:val="0"/>
          <w:szCs w:val="21"/>
        </w:rPr>
      </w:pP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p w14:paraId="24CD979F">
      <w:pPr>
        <w:pageBreakBefore w:val="0"/>
        <w:kinsoku/>
        <w:wordWrap/>
        <w:overflowPunct/>
        <w:topLinePunct w:val="0"/>
        <w:bidi w:val="0"/>
        <w:spacing w:line="320" w:lineRule="exact"/>
        <w:outlineLvl w:val="0"/>
        <w:rPr>
          <w:rFonts w:hint="eastAsia" w:ascii="宋体" w:hAnsi="宋体" w:eastAsia="宋体"/>
          <w:b/>
          <w:bCs/>
          <w:color w:val="000000"/>
          <w:sz w:val="24"/>
        </w:rPr>
      </w:pPr>
    </w:p>
    <w:p w14:paraId="64291475">
      <w:pPr>
        <w:pageBreakBefore w:val="0"/>
        <w:kinsoku/>
        <w:wordWrap/>
        <w:overflowPunct/>
        <w:topLinePunct w:val="0"/>
        <w:bidi w:val="0"/>
        <w:spacing w:line="320" w:lineRule="exact"/>
        <w:outlineLvl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b/>
          <w:bCs/>
          <w:color w:val="000000"/>
          <w:sz w:val="24"/>
        </w:rPr>
        <w:t>二、</w:t>
      </w:r>
      <w:r>
        <w:rPr>
          <w:rFonts w:hint="eastAsia" w:ascii="宋体" w:hAnsi="宋体" w:eastAsia="宋体"/>
          <w:b/>
          <w:bCs/>
          <w:color w:val="000000"/>
          <w:sz w:val="24"/>
          <w:lang w:val="en-US" w:eastAsia="zh-CN"/>
        </w:rPr>
        <w:t>详细技术</w:t>
      </w:r>
      <w:r>
        <w:rPr>
          <w:rFonts w:hint="eastAsia" w:ascii="宋体" w:hAnsi="宋体" w:eastAsia="宋体"/>
          <w:b/>
          <w:bCs/>
          <w:color w:val="000000"/>
          <w:sz w:val="24"/>
        </w:rPr>
        <w:t>要求</w:t>
      </w:r>
      <w:bookmarkEnd w:id="3"/>
    </w:p>
    <w:p w14:paraId="0AD8A730">
      <w:pPr>
        <w:pStyle w:val="114"/>
        <w:pageBreakBefore w:val="0"/>
        <w:tabs>
          <w:tab w:val="left" w:pos="567"/>
        </w:tabs>
        <w:kinsoku/>
        <w:wordWrap/>
        <w:overflowPunct/>
        <w:topLinePunct w:val="0"/>
        <w:bidi w:val="0"/>
        <w:spacing w:line="320" w:lineRule="exact"/>
        <w:rPr>
          <w:rFonts w:hint="eastAsia" w:ascii="宋体" w:hAnsi="宋体" w:eastAsia="宋体" w:cs="Times New Roman"/>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1.遗传多样性分析设备</w:t>
      </w:r>
    </w:p>
    <w:tbl>
      <w:tblPr>
        <w:tblStyle w:val="61"/>
        <w:tblW w:w="8952"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
        <w:gridCol w:w="8026"/>
      </w:tblGrid>
      <w:tr w14:paraId="22BE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0DA02217">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026" w:type="dxa"/>
            <w:noWrap/>
            <w:vAlign w:val="center"/>
          </w:tcPr>
          <w:p w14:paraId="53489662">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72309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71D6AD33">
            <w:pPr>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8026" w:type="dxa"/>
            <w:noWrap/>
            <w:vAlign w:val="center"/>
          </w:tcPr>
          <w:p w14:paraId="53BF6FCB">
            <w:pPr>
              <w:rPr>
                <w:rFonts w:hint="eastAsia" w:ascii="宋体" w:hAnsi="宋体" w:eastAsia="宋体" w:cs="宋体"/>
                <w:bCs/>
                <w:kern w:val="0"/>
                <w:sz w:val="21"/>
                <w:szCs w:val="21"/>
              </w:rPr>
            </w:pPr>
            <w:r>
              <w:rPr>
                <w:rFonts w:hint="eastAsia" w:ascii="宋体" w:hAnsi="宋体" w:eastAsia="宋体" w:cs="宋体"/>
                <w:kern w:val="0"/>
                <w:sz w:val="21"/>
                <w:szCs w:val="21"/>
              </w:rPr>
              <w:t>主要用途</w:t>
            </w:r>
          </w:p>
        </w:tc>
      </w:tr>
      <w:tr w14:paraId="5A900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4D6043E8">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8026" w:type="dxa"/>
            <w:noWrap/>
            <w:vAlign w:val="center"/>
          </w:tcPr>
          <w:p w14:paraId="0119EC6F">
            <w:pPr>
              <w:rPr>
                <w:rFonts w:hint="eastAsia" w:ascii="宋体" w:hAnsi="宋体" w:eastAsia="宋体" w:cs="宋体"/>
                <w:kern w:val="0"/>
                <w:sz w:val="21"/>
                <w:szCs w:val="21"/>
              </w:rPr>
            </w:pPr>
            <w:r>
              <w:rPr>
                <w:rFonts w:hint="eastAsia" w:ascii="宋体" w:hAnsi="宋体" w:eastAsia="宋体" w:cs="宋体"/>
                <w:sz w:val="21"/>
                <w:szCs w:val="21"/>
              </w:rPr>
              <w:t>用于海洋水生生物DNA、RNA等核酸的电泳分析。</w:t>
            </w:r>
          </w:p>
        </w:tc>
      </w:tr>
      <w:tr w14:paraId="145B1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noWrap/>
            <w:vAlign w:val="center"/>
          </w:tcPr>
          <w:p w14:paraId="6266E9E5">
            <w:pPr>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8026" w:type="dxa"/>
            <w:noWrap/>
            <w:vAlign w:val="center"/>
          </w:tcPr>
          <w:p w14:paraId="2127F127">
            <w:pPr>
              <w:rPr>
                <w:rFonts w:hint="eastAsia" w:ascii="宋体" w:hAnsi="宋体" w:eastAsia="宋体" w:cs="宋体"/>
                <w:kern w:val="0"/>
                <w:sz w:val="21"/>
                <w:szCs w:val="21"/>
              </w:rPr>
            </w:pPr>
            <w:r>
              <w:rPr>
                <w:rFonts w:hint="eastAsia" w:ascii="宋体" w:hAnsi="宋体" w:eastAsia="宋体" w:cs="宋体"/>
                <w:kern w:val="0"/>
                <w:sz w:val="21"/>
                <w:szCs w:val="21"/>
              </w:rPr>
              <w:t>技术参数及指标</w:t>
            </w:r>
          </w:p>
        </w:tc>
      </w:tr>
      <w:tr w14:paraId="13C1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noWrap/>
            <w:vAlign w:val="center"/>
          </w:tcPr>
          <w:p w14:paraId="6CEA08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8026" w:type="dxa"/>
            <w:shd w:val="clear" w:color="auto" w:fill="auto"/>
            <w:noWrap/>
            <w:vAlign w:val="center"/>
          </w:tcPr>
          <w:p w14:paraId="59F6307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光源：LED光源，高灵敏度的光电倍增管检测</w:t>
            </w:r>
          </w:p>
        </w:tc>
      </w:tr>
      <w:tr w14:paraId="3407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noWrap/>
            <w:vAlign w:val="center"/>
          </w:tcPr>
          <w:p w14:paraId="23D152A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026" w:type="dxa"/>
            <w:shd w:val="clear" w:color="auto" w:fill="auto"/>
            <w:noWrap/>
            <w:vAlign w:val="center"/>
          </w:tcPr>
          <w:p w14:paraId="6BBB295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自动化程度：采用预装式卡夹，即插即用，无须人工制胶、灌胶、上样，整个过程全部由仪器自动来完成；每轮分析后，仪器自动清洗毛细管，无须人工清洗；无需手工添加染料，无需人工更换毛细管模块</w:t>
            </w:r>
          </w:p>
        </w:tc>
      </w:tr>
      <w:tr w14:paraId="0463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B9C4DB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8026" w:type="dxa"/>
            <w:shd w:val="clear" w:color="auto" w:fill="auto"/>
            <w:vAlign w:val="center"/>
          </w:tcPr>
          <w:p w14:paraId="06D0E7F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上样形式：直接兼容常规单管0.2ml离心管、常规8联管、12联管、96孔微孔板等；可搭配专用微量管，样品管中溶液需求量最低1-2ul； </w:t>
            </w:r>
          </w:p>
          <w:p w14:paraId="5A14D7F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（提供微量管证明材料，复印件加盖公章）</w:t>
            </w:r>
          </w:p>
        </w:tc>
      </w:tr>
      <w:tr w14:paraId="06EBE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698EC2E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8026" w:type="dxa"/>
            <w:shd w:val="clear" w:color="auto" w:fill="auto"/>
            <w:vAlign w:val="center"/>
          </w:tcPr>
          <w:p w14:paraId="0D67DD0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可以一次性完成1-100个任意个数样品的检测分析不浪费试剂；可单次自动处理单个样本不造成浪费</w:t>
            </w:r>
          </w:p>
        </w:tc>
      </w:tr>
      <w:tr w14:paraId="2574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CD9599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8026" w:type="dxa"/>
            <w:shd w:val="clear" w:color="auto" w:fill="auto"/>
            <w:vAlign w:val="center"/>
          </w:tcPr>
          <w:p w14:paraId="2A414A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电泳时间：分析时间：最快可达1-2分钟内完成一次电泳</w:t>
            </w:r>
          </w:p>
        </w:tc>
      </w:tr>
      <w:tr w14:paraId="3D326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D739B9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6</w:t>
            </w:r>
          </w:p>
        </w:tc>
        <w:tc>
          <w:tcPr>
            <w:tcW w:w="8026" w:type="dxa"/>
            <w:shd w:val="clear" w:color="auto" w:fill="auto"/>
            <w:vAlign w:val="center"/>
          </w:tcPr>
          <w:p w14:paraId="3F4C48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检测片段范围：＜15bp-＞150kb，最大可达165Kb；</w:t>
            </w:r>
          </w:p>
          <w:p w14:paraId="4B37E8D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（提供实验结果证明文件，复印件加盖公章）</w:t>
            </w:r>
          </w:p>
        </w:tc>
      </w:tr>
      <w:tr w14:paraId="283D5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D19DA1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8026" w:type="dxa"/>
            <w:shd w:val="clear" w:color="auto" w:fill="auto"/>
            <w:vAlign w:val="center"/>
          </w:tcPr>
          <w:p w14:paraId="08A9EAD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灵敏度：无需对样品进行纯化，可以直接对PCR产物原液进行检测。DNA样品的检测灵敏度可达≤0.2pg/ul</w:t>
            </w:r>
          </w:p>
        </w:tc>
      </w:tr>
      <w:tr w14:paraId="1807E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10FF88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8026" w:type="dxa"/>
            <w:shd w:val="clear" w:color="auto" w:fill="auto"/>
            <w:vAlign w:val="center"/>
          </w:tcPr>
          <w:p w14:paraId="2CD4AA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样品上样消耗量：小于0.1 ul</w:t>
            </w:r>
          </w:p>
        </w:tc>
      </w:tr>
      <w:tr w14:paraId="5573B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B5E81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8026" w:type="dxa"/>
            <w:shd w:val="clear" w:color="auto" w:fill="auto"/>
            <w:vAlign w:val="center"/>
          </w:tcPr>
          <w:p w14:paraId="7DAF08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卡夹：提供预制胶卡夹，适用于DNA高分辨率分析、DNA标准卡夹、DNA快速筛查分析、RNA质量控制分析等应用；具有大片段检测试剂盒，可检测大于150kb核酸，具有蛋白卡夹</w:t>
            </w:r>
          </w:p>
        </w:tc>
      </w:tr>
      <w:tr w14:paraId="6C75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A79925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10</w:t>
            </w:r>
          </w:p>
        </w:tc>
        <w:tc>
          <w:tcPr>
            <w:tcW w:w="8026" w:type="dxa"/>
            <w:shd w:val="clear" w:color="auto" w:fill="auto"/>
            <w:vAlign w:val="center"/>
          </w:tcPr>
          <w:p w14:paraId="733508B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分辨率：5分钟内完成1500bp电泳分析，对&lt;500bp的DNA片段最高可达1-4bp的分辨率</w:t>
            </w:r>
          </w:p>
        </w:tc>
      </w:tr>
      <w:tr w14:paraId="4928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6111A8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8026" w:type="dxa"/>
            <w:shd w:val="clear" w:color="auto" w:fill="auto"/>
            <w:vAlign w:val="center"/>
          </w:tcPr>
          <w:p w14:paraId="3562F2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软件功能：软件可以自动输出电泳胶图、峰图、样品浓度、片段大小等一系列数据，并可以以报告形式完整打印输出； PDF， WORD，JPG都可以输出</w:t>
            </w:r>
          </w:p>
        </w:tc>
      </w:tr>
      <w:tr w14:paraId="7D540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ACFC07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8026" w:type="dxa"/>
            <w:shd w:val="clear" w:color="auto" w:fill="auto"/>
            <w:vAlign w:val="center"/>
          </w:tcPr>
          <w:p w14:paraId="2A7ED2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无污染：系统中仪器、耗材及检测过程均为全封闭式，避免了核酸染色剂等有害物质与操作人员的接触</w:t>
            </w:r>
          </w:p>
        </w:tc>
      </w:tr>
      <w:tr w14:paraId="2687E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BEF882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8026" w:type="dxa"/>
            <w:shd w:val="clear" w:color="auto" w:fill="auto"/>
            <w:vAlign w:val="center"/>
          </w:tcPr>
          <w:p w14:paraId="1DE064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可选择通卡夹配件，在仪器外部对卡夹进行通胶，可以对卡夹中毛细管中的胶进行更好的置换，对过期卡夹或者保存不当卡夹进行处理</w:t>
            </w:r>
          </w:p>
        </w:tc>
      </w:tr>
      <w:tr w14:paraId="0492D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4571C4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8026" w:type="dxa"/>
            <w:shd w:val="clear" w:color="auto" w:fill="auto"/>
            <w:vAlign w:val="center"/>
          </w:tcPr>
          <w:p w14:paraId="6005029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采用空气压缩机或其他给压装置，操作方便，小巧便于放置和移动，无需氮气钢瓶，无需后期灌气</w:t>
            </w:r>
          </w:p>
        </w:tc>
      </w:tr>
      <w:tr w14:paraId="5AFE5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3AE838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8026" w:type="dxa"/>
            <w:shd w:val="clear" w:color="auto" w:fill="auto"/>
            <w:vAlign w:val="center"/>
          </w:tcPr>
          <w:p w14:paraId="5FEA4CA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仪器可以升级到21CFR版本软件</w:t>
            </w:r>
          </w:p>
        </w:tc>
      </w:tr>
      <w:tr w14:paraId="6DBB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654D309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三、</w:t>
            </w:r>
          </w:p>
        </w:tc>
        <w:tc>
          <w:tcPr>
            <w:tcW w:w="8026" w:type="dxa"/>
            <w:shd w:val="clear" w:color="auto" w:fill="auto"/>
            <w:vAlign w:val="center"/>
          </w:tcPr>
          <w:p w14:paraId="610F74F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配置要求</w:t>
            </w:r>
          </w:p>
        </w:tc>
      </w:tr>
      <w:tr w14:paraId="02F8E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79FDD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8026" w:type="dxa"/>
            <w:shd w:val="clear" w:color="auto" w:fill="auto"/>
            <w:vAlign w:val="center"/>
          </w:tcPr>
          <w:p w14:paraId="3ACFA80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主机   1台</w:t>
            </w:r>
          </w:p>
        </w:tc>
      </w:tr>
      <w:tr w14:paraId="37D4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00C7046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8026" w:type="dxa"/>
            <w:shd w:val="clear" w:color="auto" w:fill="auto"/>
            <w:vAlign w:val="center"/>
          </w:tcPr>
          <w:p w14:paraId="7DD690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分析软件1套</w:t>
            </w:r>
          </w:p>
        </w:tc>
      </w:tr>
      <w:tr w14:paraId="6CF71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2BD3B2B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8026" w:type="dxa"/>
            <w:shd w:val="clear" w:color="auto" w:fill="auto"/>
            <w:vAlign w:val="center"/>
          </w:tcPr>
          <w:p w14:paraId="02B4F1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预制胶卡夹1个</w:t>
            </w:r>
          </w:p>
        </w:tc>
      </w:tr>
      <w:tr w14:paraId="7889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7C3548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8026" w:type="dxa"/>
            <w:shd w:val="clear" w:color="auto" w:fill="auto"/>
            <w:vAlign w:val="center"/>
          </w:tcPr>
          <w:p w14:paraId="3699C2E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DNA  Alignment  Marker 1支</w:t>
            </w:r>
          </w:p>
        </w:tc>
      </w:tr>
      <w:tr w14:paraId="735E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4459F08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8026" w:type="dxa"/>
            <w:shd w:val="clear" w:color="auto" w:fill="auto"/>
            <w:vAlign w:val="center"/>
          </w:tcPr>
          <w:p w14:paraId="6369091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DNA  SIZE  Marker 1支</w:t>
            </w:r>
          </w:p>
        </w:tc>
      </w:tr>
      <w:tr w14:paraId="7EE5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1C6E8D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8026" w:type="dxa"/>
            <w:shd w:val="clear" w:color="auto" w:fill="auto"/>
            <w:vAlign w:val="center"/>
          </w:tcPr>
          <w:p w14:paraId="347B5B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缓冲液试剂1套</w:t>
            </w:r>
          </w:p>
        </w:tc>
      </w:tr>
      <w:tr w14:paraId="1900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DF4BEB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四、</w:t>
            </w:r>
          </w:p>
        </w:tc>
        <w:tc>
          <w:tcPr>
            <w:tcW w:w="8026" w:type="dxa"/>
            <w:shd w:val="clear" w:color="auto" w:fill="auto"/>
            <w:vAlign w:val="center"/>
          </w:tcPr>
          <w:p w14:paraId="5E146A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售后服务：</w:t>
            </w:r>
            <w:r>
              <w:rPr>
                <w:rFonts w:hint="eastAsia" w:ascii="宋体" w:hAnsi="宋体" w:eastAsia="宋体" w:cs="宋体"/>
                <w:sz w:val="21"/>
                <w:szCs w:val="21"/>
                <w:lang w:eastAsia="zh-CN"/>
              </w:rPr>
              <w:t>一年的免费保修期，仪器终生维修</w:t>
            </w:r>
          </w:p>
        </w:tc>
      </w:tr>
      <w:tr w14:paraId="2AD6A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26" w:type="dxa"/>
            <w:shd w:val="clear" w:color="auto" w:fill="auto"/>
            <w:vAlign w:val="center"/>
          </w:tcPr>
          <w:p w14:paraId="3AD771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w:t>
            </w:r>
          </w:p>
        </w:tc>
        <w:tc>
          <w:tcPr>
            <w:tcW w:w="8026" w:type="dxa"/>
            <w:shd w:val="clear" w:color="auto" w:fill="auto"/>
            <w:vAlign w:val="center"/>
          </w:tcPr>
          <w:p w14:paraId="2FAE5F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应提供该区域制造商或代理商正式授权及售后服务承诺</w:t>
            </w:r>
            <w:r>
              <w:rPr>
                <w:rFonts w:hint="eastAsia" w:ascii="宋体" w:hAnsi="宋体" w:eastAsia="宋体" w:cs="宋体"/>
                <w:color w:val="auto"/>
                <w:sz w:val="21"/>
                <w:szCs w:val="21"/>
                <w:lang w:eastAsia="zh-CN"/>
              </w:rPr>
              <w:t>。</w:t>
            </w:r>
          </w:p>
        </w:tc>
      </w:tr>
    </w:tbl>
    <w:p w14:paraId="57E62241">
      <w:pPr>
        <w:pStyle w:val="114"/>
        <w:pageBreakBefore w:val="0"/>
        <w:tabs>
          <w:tab w:val="left" w:pos="567"/>
        </w:tabs>
        <w:kinsoku/>
        <w:wordWrap/>
        <w:overflowPunct/>
        <w:topLinePunct w:val="0"/>
        <w:bidi w:val="0"/>
        <w:spacing w:line="320" w:lineRule="exact"/>
        <w:ind w:left="0" w:leftChars="0" w:firstLine="0" w:firstLineChars="0"/>
        <w:rPr>
          <w:rFonts w:hint="eastAsia" w:ascii="宋体" w:hAnsi="宋体" w:eastAsia="宋体" w:cs="Times New Roman"/>
          <w:spacing w:val="-2"/>
          <w:kern w:val="2"/>
          <w:position w:val="-2"/>
          <w:sz w:val="21"/>
          <w:szCs w:val="22"/>
          <w:lang w:val="en-US" w:eastAsia="zh-CN" w:bidi="ar-SA"/>
        </w:rPr>
      </w:pPr>
    </w:p>
    <w:p w14:paraId="4451FF1D">
      <w:pPr>
        <w:pStyle w:val="114"/>
        <w:pageBreakBefore w:val="0"/>
        <w:numPr>
          <w:ilvl w:val="0"/>
          <w:numId w:val="0"/>
        </w:numPr>
        <w:tabs>
          <w:tab w:val="left" w:pos="567"/>
        </w:tabs>
        <w:kinsoku/>
        <w:wordWrap/>
        <w:overflowPunct/>
        <w:topLinePunct w:val="0"/>
        <w:bidi w:val="0"/>
        <w:spacing w:line="360" w:lineRule="auto"/>
        <w:ind w:firstLine="414" w:firstLineChars="200"/>
        <w:rPr>
          <w:rFonts w:hint="eastAsia" w:ascii="宋体" w:hAnsi="宋体" w:eastAsia="宋体" w:cs="Times New Roman"/>
          <w:b/>
          <w:bCs/>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2.表型采集设备</w:t>
      </w:r>
    </w:p>
    <w:tbl>
      <w:tblPr>
        <w:tblStyle w:val="61"/>
        <w:tblW w:w="871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7778"/>
      </w:tblGrid>
      <w:tr w14:paraId="34403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0BF82E54">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778" w:type="dxa"/>
            <w:noWrap/>
            <w:vAlign w:val="center"/>
          </w:tcPr>
          <w:p w14:paraId="0E5901F2">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75CD3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6E3DC9E6">
            <w:pPr>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7778" w:type="dxa"/>
            <w:noWrap/>
            <w:vAlign w:val="center"/>
          </w:tcPr>
          <w:p w14:paraId="00E7BE84">
            <w:pPr>
              <w:rPr>
                <w:rFonts w:hint="eastAsia" w:ascii="宋体" w:hAnsi="宋体" w:eastAsia="宋体" w:cs="宋体"/>
                <w:bCs/>
                <w:kern w:val="0"/>
                <w:sz w:val="21"/>
                <w:szCs w:val="21"/>
              </w:rPr>
            </w:pPr>
            <w:r>
              <w:rPr>
                <w:rFonts w:hint="eastAsia" w:ascii="宋体" w:hAnsi="宋体" w:eastAsia="宋体" w:cs="宋体"/>
                <w:kern w:val="0"/>
                <w:sz w:val="21"/>
                <w:szCs w:val="21"/>
              </w:rPr>
              <w:t>主要用途</w:t>
            </w:r>
          </w:p>
        </w:tc>
      </w:tr>
      <w:tr w14:paraId="437B2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518A3A6B">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778" w:type="dxa"/>
            <w:noWrap/>
            <w:vAlign w:val="center"/>
          </w:tcPr>
          <w:p w14:paraId="150495C1">
            <w:pPr>
              <w:rPr>
                <w:rFonts w:hint="eastAsia" w:ascii="宋体" w:hAnsi="宋体" w:eastAsia="宋体" w:cs="宋体"/>
                <w:kern w:val="0"/>
                <w:sz w:val="21"/>
                <w:szCs w:val="21"/>
              </w:rPr>
            </w:pPr>
            <w:r>
              <w:rPr>
                <w:rFonts w:hint="eastAsia" w:ascii="宋体" w:hAnsi="宋体" w:eastAsia="宋体" w:cs="宋体"/>
                <w:color w:val="auto"/>
                <w:sz w:val="21"/>
                <w:szCs w:val="21"/>
              </w:rPr>
              <w:t>用于</w:t>
            </w:r>
            <w:r>
              <w:rPr>
                <w:rFonts w:hint="eastAsia" w:ascii="宋体" w:hAnsi="宋体" w:eastAsia="宋体" w:cs="宋体"/>
                <w:color w:val="auto"/>
                <w:sz w:val="21"/>
                <w:szCs w:val="21"/>
                <w:lang w:val="en-US" w:eastAsia="zh-CN"/>
              </w:rPr>
              <w:t>水生生物细胞分选和细胞收集</w:t>
            </w:r>
            <w:r>
              <w:rPr>
                <w:rFonts w:hint="eastAsia" w:ascii="宋体" w:hAnsi="宋体" w:eastAsia="宋体" w:cs="宋体"/>
                <w:sz w:val="21"/>
                <w:szCs w:val="21"/>
              </w:rPr>
              <w:t>。</w:t>
            </w:r>
          </w:p>
        </w:tc>
      </w:tr>
      <w:tr w14:paraId="3A44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noWrap/>
            <w:vAlign w:val="center"/>
          </w:tcPr>
          <w:p w14:paraId="490D0B03">
            <w:pPr>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7778" w:type="dxa"/>
            <w:noWrap/>
            <w:vAlign w:val="center"/>
          </w:tcPr>
          <w:p w14:paraId="380EE820">
            <w:pPr>
              <w:rPr>
                <w:rFonts w:hint="eastAsia" w:ascii="宋体" w:hAnsi="宋体" w:eastAsia="宋体" w:cs="宋体"/>
                <w:kern w:val="0"/>
                <w:sz w:val="21"/>
                <w:szCs w:val="21"/>
              </w:rPr>
            </w:pPr>
            <w:r>
              <w:rPr>
                <w:rFonts w:hint="eastAsia" w:ascii="宋体" w:hAnsi="宋体" w:eastAsia="宋体" w:cs="宋体"/>
                <w:kern w:val="0"/>
                <w:sz w:val="21"/>
                <w:szCs w:val="21"/>
              </w:rPr>
              <w:t>技术参数及指标</w:t>
            </w:r>
          </w:p>
        </w:tc>
      </w:tr>
      <w:tr w14:paraId="3535E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noWrap/>
            <w:vAlign w:val="center"/>
          </w:tcPr>
          <w:p w14:paraId="6C35F6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（一）</w:t>
            </w:r>
          </w:p>
        </w:tc>
        <w:tc>
          <w:tcPr>
            <w:tcW w:w="7778" w:type="dxa"/>
            <w:shd w:val="clear" w:color="auto" w:fill="auto"/>
            <w:noWrap/>
            <w:vAlign w:val="center"/>
          </w:tcPr>
          <w:p w14:paraId="77B54C3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光路系统</w:t>
            </w:r>
          </w:p>
        </w:tc>
      </w:tr>
      <w:tr w14:paraId="18B9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F78E77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w:t>
            </w:r>
          </w:p>
        </w:tc>
        <w:tc>
          <w:tcPr>
            <w:tcW w:w="7778" w:type="dxa"/>
            <w:shd w:val="clear" w:color="auto" w:fill="auto"/>
            <w:vAlign w:val="center"/>
          </w:tcPr>
          <w:p w14:paraId="733B3FA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同时配备4根固态高功率激光器：488nm（≥50mw）、638nm/640nm（≥50mw）、405nm（≥80mw）、561nm（≥30mw）；可检测15个</w:t>
            </w:r>
            <w:r>
              <w:rPr>
                <w:rFonts w:hint="eastAsia" w:ascii="宋体" w:hAnsi="宋体" w:eastAsia="宋体" w:cs="宋体"/>
                <w:color w:val="auto"/>
                <w:sz w:val="21"/>
                <w:szCs w:val="21"/>
                <w:lang w:val="en-US" w:eastAsia="zh-CN"/>
              </w:rPr>
              <w:t>不同通道</w:t>
            </w:r>
            <w:r>
              <w:rPr>
                <w:rFonts w:hint="eastAsia" w:ascii="宋体" w:hAnsi="宋体" w:eastAsia="宋体" w:cs="宋体"/>
                <w:color w:val="auto"/>
                <w:sz w:val="21"/>
                <w:szCs w:val="21"/>
              </w:rPr>
              <w:t>参数</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且所有荧光通道检测波长都为带通,波长间隔都40nm以上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具备升级到58荧光检测通道能力。</w:t>
            </w:r>
          </w:p>
        </w:tc>
      </w:tr>
      <w:tr w14:paraId="0F497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292E8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4DA51AE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具有激光智能监控系统：具有激光温度控制功能，确保仪器稳定性和检测结果可靠性不受环境影响；自动监测并调节激光功率</w:t>
            </w:r>
          </w:p>
        </w:tc>
      </w:tr>
      <w:tr w14:paraId="1373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3E8B1E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0B20D95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可选配特定波长滤光片系统，13种以上荧光检测通道可供选择</w:t>
            </w:r>
          </w:p>
        </w:tc>
      </w:tr>
      <w:tr w14:paraId="4AC8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713CD4B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17BBCC6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固定校准的光路设计，滤光片可以灵活插拔，不影响光路</w:t>
            </w:r>
          </w:p>
        </w:tc>
      </w:tr>
      <w:tr w14:paraId="1DC00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777157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w:t>
            </w:r>
          </w:p>
        </w:tc>
        <w:tc>
          <w:tcPr>
            <w:tcW w:w="7778" w:type="dxa"/>
            <w:shd w:val="clear" w:color="auto" w:fill="auto"/>
            <w:vAlign w:val="center"/>
          </w:tcPr>
          <w:p w14:paraId="28727E6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光信号收集系统：镜头NA≥1.3</w:t>
            </w:r>
          </w:p>
        </w:tc>
      </w:tr>
      <w:tr w14:paraId="3C02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962947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二</w:t>
            </w:r>
            <w:r>
              <w:rPr>
                <w:rFonts w:hint="eastAsia" w:ascii="宋体" w:hAnsi="宋体" w:eastAsia="宋体" w:cs="宋体"/>
                <w:color w:val="auto"/>
                <w:sz w:val="21"/>
                <w:szCs w:val="21"/>
                <w:lang w:val="en-US" w:eastAsia="zh-CN"/>
              </w:rPr>
              <w:t>）</w:t>
            </w:r>
          </w:p>
        </w:tc>
        <w:tc>
          <w:tcPr>
            <w:tcW w:w="7778" w:type="dxa"/>
            <w:shd w:val="clear" w:color="auto" w:fill="auto"/>
            <w:vAlign w:val="center"/>
          </w:tcPr>
          <w:p w14:paraId="68608F3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电子和检测系统</w:t>
            </w:r>
          </w:p>
        </w:tc>
      </w:tr>
      <w:tr w14:paraId="71E5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A4D678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778" w:type="dxa"/>
            <w:shd w:val="clear" w:color="auto" w:fill="auto"/>
            <w:vAlign w:val="center"/>
          </w:tcPr>
          <w:p w14:paraId="52928A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动态范围：0-10</w:t>
            </w:r>
            <w:r>
              <w:rPr>
                <w:rFonts w:hint="eastAsia" w:ascii="宋体" w:hAnsi="宋体" w:eastAsia="宋体" w:cs="宋体"/>
                <w:color w:val="auto"/>
                <w:sz w:val="21"/>
                <w:szCs w:val="21"/>
                <w:vertAlign w:val="superscript"/>
              </w:rPr>
              <w:t>7</w:t>
            </w:r>
          </w:p>
        </w:tc>
      </w:tr>
      <w:tr w14:paraId="0030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A0797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76DEEE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数字化采样频率25MHz</w:t>
            </w:r>
          </w:p>
        </w:tc>
      </w:tr>
      <w:tr w14:paraId="5FAB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6CAE6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0E6B55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检测速度≥30,000 events/s</w:t>
            </w:r>
          </w:p>
        </w:tc>
      </w:tr>
      <w:tr w14:paraId="569BD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27C476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08017C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CV &lt;3%</w:t>
            </w:r>
          </w:p>
        </w:tc>
      </w:tr>
      <w:tr w14:paraId="6DBEF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3B77EC5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5</w:t>
            </w:r>
          </w:p>
        </w:tc>
        <w:tc>
          <w:tcPr>
            <w:tcW w:w="7778" w:type="dxa"/>
            <w:shd w:val="clear" w:color="auto" w:fill="auto"/>
            <w:vAlign w:val="center"/>
          </w:tcPr>
          <w:p w14:paraId="5FED7E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采用光纤阵列高灵敏度检测器，FITC灵敏度≤ 30MESF，PE灵敏度≤ 10MESF</w:t>
            </w:r>
          </w:p>
        </w:tc>
      </w:tr>
      <w:tr w14:paraId="476A1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2C993D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6</w:t>
            </w:r>
          </w:p>
        </w:tc>
        <w:tc>
          <w:tcPr>
            <w:tcW w:w="7778" w:type="dxa"/>
            <w:shd w:val="clear" w:color="auto" w:fill="auto"/>
            <w:vAlign w:val="center"/>
          </w:tcPr>
          <w:p w14:paraId="7ED8EE7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侧向角分辨力：＜80nm</w:t>
            </w:r>
          </w:p>
        </w:tc>
      </w:tr>
      <w:tr w14:paraId="68404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1F40D2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三</w:t>
            </w:r>
            <w:r>
              <w:rPr>
                <w:rFonts w:hint="eastAsia" w:ascii="宋体" w:hAnsi="宋体" w:eastAsia="宋体" w:cs="宋体"/>
                <w:color w:val="auto"/>
                <w:sz w:val="21"/>
                <w:szCs w:val="21"/>
                <w:lang w:val="en-US" w:eastAsia="zh-CN"/>
              </w:rPr>
              <w:t>）</w:t>
            </w:r>
          </w:p>
        </w:tc>
        <w:tc>
          <w:tcPr>
            <w:tcW w:w="7778" w:type="dxa"/>
            <w:shd w:val="clear" w:color="auto" w:fill="auto"/>
            <w:vAlign w:val="center"/>
          </w:tcPr>
          <w:p w14:paraId="0278214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液流和上样系统</w:t>
            </w:r>
          </w:p>
        </w:tc>
      </w:tr>
      <w:tr w14:paraId="76866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04353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778" w:type="dxa"/>
            <w:shd w:val="clear" w:color="auto" w:fill="auto"/>
            <w:vAlign w:val="center"/>
          </w:tcPr>
          <w:p w14:paraId="435BA59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采用经典稳定的鞘液流聚焦原理</w:t>
            </w:r>
          </w:p>
        </w:tc>
      </w:tr>
      <w:tr w14:paraId="702C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416ECA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1F784AF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检测过程中，具有自动反冲洗去除堵塞功能</w:t>
            </w:r>
          </w:p>
        </w:tc>
      </w:tr>
      <w:tr w14:paraId="56CB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A18FF1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332748E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流速： 10ul/min 到240ul/min</w:t>
            </w:r>
          </w:p>
        </w:tc>
      </w:tr>
      <w:tr w14:paraId="49C9E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F9DD18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2DF289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上样系统：兼容多种上样管（5ml流式管、1.5ml或2ml EP管），具有自动混匀和自动清洗功能，降低样本间交叉污染</w:t>
            </w:r>
          </w:p>
        </w:tc>
      </w:tr>
      <w:tr w14:paraId="0F641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47DA611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w:t>
            </w:r>
          </w:p>
        </w:tc>
        <w:tc>
          <w:tcPr>
            <w:tcW w:w="7778" w:type="dxa"/>
            <w:shd w:val="clear" w:color="auto" w:fill="auto"/>
            <w:vAlign w:val="center"/>
          </w:tcPr>
          <w:p w14:paraId="6D67035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无需微球的绝对计数功能，在检测同时即可自动计算样本浓度，结果准确</w:t>
            </w:r>
          </w:p>
        </w:tc>
      </w:tr>
      <w:tr w14:paraId="7A36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B2DDF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c>
          <w:tcPr>
            <w:tcW w:w="7778" w:type="dxa"/>
            <w:shd w:val="clear" w:color="auto" w:fill="auto"/>
            <w:vAlign w:val="center"/>
          </w:tcPr>
          <w:p w14:paraId="62666D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具有鞘液过滤器，确保液流的洁净度，检测微颗粒时避免杂质的干扰</w:t>
            </w:r>
          </w:p>
        </w:tc>
      </w:tr>
      <w:tr w14:paraId="2E13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D78AC7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7</w:t>
            </w:r>
          </w:p>
        </w:tc>
        <w:tc>
          <w:tcPr>
            <w:tcW w:w="7778" w:type="dxa"/>
            <w:shd w:val="clear" w:color="auto" w:fill="auto"/>
            <w:vAlign w:val="center"/>
          </w:tcPr>
          <w:p w14:paraId="7CE4A4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具有鞘液和废液传感器，自动感应鞘液压力和废液桶液面高度，自动报警</w:t>
            </w:r>
          </w:p>
        </w:tc>
      </w:tr>
      <w:tr w14:paraId="5803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F3AB8B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四</w:t>
            </w:r>
            <w:r>
              <w:rPr>
                <w:rFonts w:hint="eastAsia" w:ascii="宋体" w:hAnsi="宋体" w:eastAsia="宋体" w:cs="宋体"/>
                <w:color w:val="auto"/>
                <w:sz w:val="21"/>
                <w:szCs w:val="21"/>
                <w:lang w:val="en-US" w:eastAsia="zh-CN"/>
              </w:rPr>
              <w:t>）</w:t>
            </w:r>
          </w:p>
        </w:tc>
        <w:tc>
          <w:tcPr>
            <w:tcW w:w="7778" w:type="dxa"/>
            <w:shd w:val="clear" w:color="auto" w:fill="auto"/>
            <w:vAlign w:val="center"/>
          </w:tcPr>
          <w:p w14:paraId="753B76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软件系统</w:t>
            </w:r>
          </w:p>
        </w:tc>
      </w:tr>
      <w:tr w14:paraId="71DC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7045B4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c>
          <w:tcPr>
            <w:tcW w:w="7778" w:type="dxa"/>
            <w:shd w:val="clear" w:color="auto" w:fill="auto"/>
            <w:vAlign w:val="center"/>
          </w:tcPr>
          <w:p w14:paraId="77D850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可选择中、英文界面</w:t>
            </w:r>
          </w:p>
        </w:tc>
      </w:tr>
      <w:tr w14:paraId="1F5C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20D0916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w:t>
            </w:r>
          </w:p>
        </w:tc>
        <w:tc>
          <w:tcPr>
            <w:tcW w:w="7778" w:type="dxa"/>
            <w:shd w:val="clear" w:color="auto" w:fill="auto"/>
            <w:vAlign w:val="center"/>
          </w:tcPr>
          <w:p w14:paraId="51F6C09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实时的电压调节,图型上直接拖动调节电压，无需输入数字，直观方便。并可选择自动电压调节模式：可自动判断最佳电压，无需调节</w:t>
            </w:r>
          </w:p>
        </w:tc>
      </w:tr>
      <w:tr w14:paraId="7AFB4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5B2C193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w:t>
            </w:r>
          </w:p>
        </w:tc>
        <w:tc>
          <w:tcPr>
            <w:tcW w:w="7778" w:type="dxa"/>
            <w:shd w:val="clear" w:color="auto" w:fill="auto"/>
            <w:vAlign w:val="center"/>
          </w:tcPr>
          <w:p w14:paraId="2DF1BAA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自动补偿设置：全矩阵荧光补偿，自动补偿调整，图型上自动拖动调节补偿，直观方便</w:t>
            </w:r>
          </w:p>
        </w:tc>
      </w:tr>
      <w:tr w14:paraId="0171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AE925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4</w:t>
            </w:r>
          </w:p>
        </w:tc>
        <w:tc>
          <w:tcPr>
            <w:tcW w:w="7778" w:type="dxa"/>
            <w:shd w:val="clear" w:color="auto" w:fill="auto"/>
            <w:vAlign w:val="center"/>
          </w:tcPr>
          <w:p w14:paraId="1847B00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补偿调节后，再次调节电压，补偿自动调整，无需人工再干预</w:t>
            </w:r>
          </w:p>
        </w:tc>
      </w:tr>
      <w:tr w14:paraId="0C985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299E5AA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三、</w:t>
            </w:r>
          </w:p>
        </w:tc>
        <w:tc>
          <w:tcPr>
            <w:tcW w:w="7778" w:type="dxa"/>
            <w:shd w:val="clear" w:color="auto" w:fill="auto"/>
            <w:vAlign w:val="center"/>
          </w:tcPr>
          <w:p w14:paraId="6B2D3A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配置要求</w:t>
            </w:r>
          </w:p>
        </w:tc>
      </w:tr>
      <w:tr w14:paraId="79B72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0228D85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7778" w:type="dxa"/>
            <w:shd w:val="clear" w:color="auto" w:fill="auto"/>
            <w:vAlign w:val="center"/>
          </w:tcPr>
          <w:p w14:paraId="0BA844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主机</w:t>
            </w:r>
            <w:r>
              <w:rPr>
                <w:rFonts w:hint="eastAsia" w:ascii="宋体" w:hAnsi="宋体" w:eastAsia="宋体" w:cs="宋体"/>
                <w:color w:val="auto"/>
                <w:sz w:val="21"/>
                <w:szCs w:val="21"/>
                <w:lang w:val="en-US" w:eastAsia="zh-CN"/>
              </w:rPr>
              <w:t xml:space="preserve"> 1台</w:t>
            </w:r>
          </w:p>
        </w:tc>
      </w:tr>
      <w:tr w14:paraId="4FC5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9CD6A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w:t>
            </w:r>
          </w:p>
        </w:tc>
        <w:tc>
          <w:tcPr>
            <w:tcW w:w="7778" w:type="dxa"/>
            <w:shd w:val="clear" w:color="auto" w:fill="auto"/>
            <w:vAlign w:val="center"/>
          </w:tcPr>
          <w:p w14:paraId="37A2A03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96孔板进样器1套</w:t>
            </w:r>
          </w:p>
        </w:tc>
      </w:tr>
      <w:tr w14:paraId="7B10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529921F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c>
          <w:tcPr>
            <w:tcW w:w="7778" w:type="dxa"/>
            <w:shd w:val="clear" w:color="auto" w:fill="auto"/>
            <w:vAlign w:val="center"/>
          </w:tcPr>
          <w:p w14:paraId="109B68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工作站1台</w:t>
            </w:r>
          </w:p>
        </w:tc>
      </w:tr>
      <w:tr w14:paraId="508AA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6FFC67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c>
          <w:tcPr>
            <w:tcW w:w="7778" w:type="dxa"/>
            <w:shd w:val="clear" w:color="auto" w:fill="auto"/>
            <w:vAlign w:val="center"/>
          </w:tcPr>
          <w:p w14:paraId="3D8029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鞘液</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盒</w:t>
            </w:r>
          </w:p>
        </w:tc>
      </w:tr>
      <w:tr w14:paraId="07D43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1CEF079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7778" w:type="dxa"/>
            <w:shd w:val="clear" w:color="auto" w:fill="auto"/>
            <w:vAlign w:val="center"/>
          </w:tcPr>
          <w:p w14:paraId="3B5B134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清洗液</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盒</w:t>
            </w:r>
          </w:p>
        </w:tc>
      </w:tr>
      <w:tr w14:paraId="7D89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3C107B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70C0"/>
                <w:kern w:val="2"/>
                <w:sz w:val="21"/>
                <w:szCs w:val="21"/>
                <w:lang w:val="en-US" w:eastAsia="zh-CN" w:bidi="ar-SA"/>
              </w:rPr>
            </w:pPr>
            <w:r>
              <w:rPr>
                <w:rFonts w:hint="eastAsia" w:ascii="宋体" w:hAnsi="宋体" w:eastAsia="宋体" w:cs="宋体"/>
                <w:sz w:val="21"/>
                <w:szCs w:val="21"/>
                <w:lang w:val="en-US" w:eastAsia="zh-CN"/>
              </w:rPr>
              <w:t>四、</w:t>
            </w:r>
          </w:p>
        </w:tc>
        <w:tc>
          <w:tcPr>
            <w:tcW w:w="7778" w:type="dxa"/>
            <w:shd w:val="clear" w:color="auto" w:fill="auto"/>
            <w:vAlign w:val="center"/>
          </w:tcPr>
          <w:p w14:paraId="040518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70C0"/>
                <w:kern w:val="2"/>
                <w:sz w:val="21"/>
                <w:szCs w:val="21"/>
                <w:lang w:val="en-US" w:eastAsia="zh-CN" w:bidi="ar-SA"/>
              </w:rPr>
            </w:pPr>
            <w:r>
              <w:rPr>
                <w:rFonts w:hint="eastAsia" w:ascii="宋体" w:hAnsi="宋体" w:eastAsia="宋体" w:cs="宋体"/>
                <w:sz w:val="21"/>
                <w:szCs w:val="21"/>
                <w:lang w:val="en-US" w:eastAsia="zh-CN"/>
              </w:rPr>
              <w:t>售后服务：</w:t>
            </w:r>
            <w:r>
              <w:rPr>
                <w:rFonts w:hint="eastAsia" w:ascii="宋体" w:hAnsi="宋体" w:eastAsia="宋体" w:cs="宋体"/>
                <w:sz w:val="21"/>
                <w:szCs w:val="21"/>
                <w:lang w:eastAsia="zh-CN"/>
              </w:rPr>
              <w:t>一年的免费保修期，仪器终生维修</w:t>
            </w:r>
          </w:p>
        </w:tc>
      </w:tr>
      <w:tr w14:paraId="6E531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41" w:type="dxa"/>
            <w:shd w:val="clear" w:color="auto" w:fill="auto"/>
            <w:vAlign w:val="center"/>
          </w:tcPr>
          <w:p w14:paraId="4F6C50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▲五</w:t>
            </w:r>
          </w:p>
        </w:tc>
        <w:tc>
          <w:tcPr>
            <w:tcW w:w="7778" w:type="dxa"/>
            <w:shd w:val="clear" w:color="auto" w:fill="auto"/>
            <w:vAlign w:val="center"/>
          </w:tcPr>
          <w:p w14:paraId="348FB6F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应提供该区域制造商或代理商正式授权及售后服务承诺</w:t>
            </w:r>
            <w:r>
              <w:rPr>
                <w:rFonts w:hint="eastAsia" w:ascii="宋体" w:hAnsi="宋体" w:eastAsia="宋体" w:cs="宋体"/>
                <w:color w:val="auto"/>
                <w:sz w:val="21"/>
                <w:szCs w:val="21"/>
                <w:lang w:eastAsia="zh-CN"/>
              </w:rPr>
              <w:t>。</w:t>
            </w:r>
          </w:p>
        </w:tc>
      </w:tr>
    </w:tbl>
    <w:p w14:paraId="759930AA">
      <w:pPr>
        <w:pStyle w:val="114"/>
        <w:pageBreakBefore w:val="0"/>
        <w:numPr>
          <w:ilvl w:val="0"/>
          <w:numId w:val="0"/>
        </w:numPr>
        <w:tabs>
          <w:tab w:val="left" w:pos="567"/>
        </w:tabs>
        <w:kinsoku/>
        <w:wordWrap/>
        <w:overflowPunct/>
        <w:topLinePunct w:val="0"/>
        <w:bidi w:val="0"/>
        <w:spacing w:line="320" w:lineRule="exact"/>
        <w:rPr>
          <w:rFonts w:hint="eastAsia" w:ascii="宋体" w:hAnsi="宋体" w:eastAsia="宋体" w:cs="Times New Roman"/>
          <w:spacing w:val="-2"/>
          <w:kern w:val="2"/>
          <w:position w:val="-2"/>
          <w:sz w:val="21"/>
          <w:szCs w:val="22"/>
          <w:lang w:val="en-US" w:eastAsia="zh-CN" w:bidi="ar-SA"/>
        </w:rPr>
      </w:pPr>
    </w:p>
    <w:p w14:paraId="3CAD52A0">
      <w:pPr>
        <w:pStyle w:val="114"/>
        <w:pageBreakBefore w:val="0"/>
        <w:tabs>
          <w:tab w:val="left" w:pos="567"/>
        </w:tabs>
        <w:kinsoku/>
        <w:wordWrap/>
        <w:overflowPunct/>
        <w:topLinePunct w:val="0"/>
        <w:bidi w:val="0"/>
        <w:spacing w:line="360" w:lineRule="auto"/>
        <w:rPr>
          <w:rFonts w:hint="eastAsia" w:ascii="宋体" w:hAnsi="宋体" w:eastAsia="宋体" w:cs="Times New Roman"/>
          <w:b/>
          <w:bCs/>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3.超低温冰箱</w:t>
      </w:r>
    </w:p>
    <w:tbl>
      <w:tblPr>
        <w:tblStyle w:val="61"/>
        <w:tblW w:w="8722"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7785"/>
      </w:tblGrid>
      <w:tr w14:paraId="06EA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076AA795">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785" w:type="dxa"/>
            <w:noWrap/>
            <w:vAlign w:val="center"/>
          </w:tcPr>
          <w:p w14:paraId="6FADD982">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4E51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55B89380">
            <w:pPr>
              <w:jc w:val="center"/>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7785" w:type="dxa"/>
            <w:noWrap/>
            <w:vAlign w:val="center"/>
          </w:tcPr>
          <w:p w14:paraId="0C0E7351">
            <w:pPr>
              <w:rPr>
                <w:rFonts w:hint="eastAsia" w:ascii="宋体" w:hAnsi="宋体" w:eastAsia="宋体" w:cs="宋体"/>
                <w:bCs/>
                <w:kern w:val="0"/>
                <w:sz w:val="21"/>
                <w:szCs w:val="21"/>
              </w:rPr>
            </w:pPr>
            <w:r>
              <w:rPr>
                <w:rFonts w:hint="eastAsia" w:ascii="宋体" w:hAnsi="宋体" w:eastAsia="宋体" w:cs="宋体"/>
                <w:kern w:val="0"/>
                <w:sz w:val="21"/>
                <w:szCs w:val="21"/>
              </w:rPr>
              <w:t>主要用途</w:t>
            </w:r>
          </w:p>
        </w:tc>
      </w:tr>
      <w:tr w14:paraId="7792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59066D61">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785" w:type="dxa"/>
            <w:noWrap/>
            <w:vAlign w:val="center"/>
          </w:tcPr>
          <w:p w14:paraId="36FD5118">
            <w:pPr>
              <w:rPr>
                <w:rFonts w:hint="eastAsia" w:ascii="宋体" w:hAnsi="宋体" w:eastAsia="宋体" w:cs="宋体"/>
                <w:kern w:val="0"/>
                <w:sz w:val="21"/>
                <w:szCs w:val="21"/>
              </w:rPr>
            </w:pPr>
            <w:r>
              <w:rPr>
                <w:rFonts w:hint="eastAsia" w:ascii="宋体" w:hAnsi="宋体" w:eastAsia="宋体" w:cs="宋体"/>
                <w:sz w:val="21"/>
                <w:szCs w:val="21"/>
                <w:lang w:val="en-US" w:eastAsia="zh-CN"/>
              </w:rPr>
              <w:t>用于水产品种质资源生物样本的超低温保存</w:t>
            </w:r>
          </w:p>
        </w:tc>
      </w:tr>
      <w:tr w14:paraId="480E9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noWrap/>
            <w:vAlign w:val="center"/>
          </w:tcPr>
          <w:p w14:paraId="5184F9AD">
            <w:pPr>
              <w:jc w:val="center"/>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7785" w:type="dxa"/>
            <w:noWrap/>
            <w:vAlign w:val="center"/>
          </w:tcPr>
          <w:p w14:paraId="52581776">
            <w:pPr>
              <w:rPr>
                <w:rFonts w:hint="eastAsia" w:ascii="宋体" w:hAnsi="宋体" w:eastAsia="宋体" w:cs="宋体"/>
                <w:kern w:val="0"/>
                <w:sz w:val="21"/>
                <w:szCs w:val="21"/>
              </w:rPr>
            </w:pPr>
            <w:r>
              <w:rPr>
                <w:rFonts w:hint="eastAsia" w:ascii="宋体" w:hAnsi="宋体" w:eastAsia="宋体" w:cs="宋体"/>
                <w:kern w:val="0"/>
                <w:sz w:val="21"/>
                <w:szCs w:val="21"/>
              </w:rPr>
              <w:t>技术参数及指标</w:t>
            </w:r>
          </w:p>
        </w:tc>
      </w:tr>
      <w:tr w14:paraId="77DBD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noWrap/>
            <w:vAlign w:val="center"/>
          </w:tcPr>
          <w:p w14:paraId="3BC798F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1</w:t>
            </w:r>
          </w:p>
        </w:tc>
        <w:tc>
          <w:tcPr>
            <w:tcW w:w="7785" w:type="dxa"/>
            <w:shd w:val="clear" w:color="auto" w:fill="auto"/>
            <w:noWrap/>
            <w:vAlign w:val="center"/>
          </w:tcPr>
          <w:p w14:paraId="69A1C00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内部容积：不小于 4</w:t>
            </w:r>
            <w:r>
              <w:rPr>
                <w:rFonts w:hint="eastAsia" w:ascii="宋体" w:hAnsi="宋体" w:eastAsia="宋体" w:cs="宋体"/>
                <w:sz w:val="21"/>
                <w:szCs w:val="21"/>
                <w:lang w:val="en-US" w:eastAsia="zh-CN"/>
              </w:rPr>
              <w:t>2</w:t>
            </w:r>
            <w:r>
              <w:rPr>
                <w:rFonts w:hint="eastAsia" w:ascii="宋体" w:hAnsi="宋体" w:eastAsia="宋体" w:cs="宋体"/>
                <w:sz w:val="21"/>
                <w:szCs w:val="21"/>
              </w:rPr>
              <w:t>0升</w:t>
            </w:r>
          </w:p>
        </w:tc>
      </w:tr>
      <w:tr w14:paraId="4A57E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noWrap/>
            <w:vAlign w:val="center"/>
          </w:tcPr>
          <w:p w14:paraId="374A09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7785" w:type="dxa"/>
            <w:shd w:val="clear" w:color="auto" w:fill="auto"/>
            <w:noWrap/>
            <w:vAlign w:val="center"/>
          </w:tcPr>
          <w:p w14:paraId="5829085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外部尺寸不大于（ H x D x W）：1981 x 978 x 693 (mm) ，单位样品量储存占地最小化</w:t>
            </w:r>
          </w:p>
        </w:tc>
      </w:tr>
      <w:tr w14:paraId="1CD2F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1D1249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7785" w:type="dxa"/>
            <w:shd w:val="clear" w:color="auto" w:fill="auto"/>
            <w:vAlign w:val="center"/>
          </w:tcPr>
          <w:p w14:paraId="17F2E31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工作温度范围:-50℃∽-86℃，微电脑控制，PT1000 控制探头，工作温度设定点可调节</w:t>
            </w:r>
          </w:p>
        </w:tc>
      </w:tr>
      <w:tr w14:paraId="3BAC9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73CDD8F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7785" w:type="dxa"/>
            <w:shd w:val="clear" w:color="auto" w:fill="auto"/>
            <w:vAlign w:val="center"/>
          </w:tcPr>
          <w:p w14:paraId="239D1BB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制冷剂为完全无氟碳氢制冷剂乙烷（R170）和丙烷 (R290) ，节能环保</w:t>
            </w:r>
          </w:p>
        </w:tc>
      </w:tr>
      <w:tr w14:paraId="1CD3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0BB8462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5</w:t>
            </w:r>
          </w:p>
        </w:tc>
        <w:tc>
          <w:tcPr>
            <w:tcW w:w="7785" w:type="dxa"/>
            <w:shd w:val="clear" w:color="auto" w:fill="auto"/>
            <w:vAlign w:val="center"/>
          </w:tcPr>
          <w:p w14:paraId="0F5AD7C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整机内置7个温度探头，全面监控超低温冰箱腔体温度、环境温度、热交换器温度、蒸发器入口温度、蒸发器出口温度、一级吸气管温度、二级吸气管温度等，确保冰箱顺利运行；其中5个温度探头的数据工程师可直接导出，有助于故障原因的快速判断</w:t>
            </w:r>
          </w:p>
        </w:tc>
      </w:tr>
      <w:tr w14:paraId="234C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299F0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7785" w:type="dxa"/>
            <w:shd w:val="clear" w:color="auto" w:fill="auto"/>
            <w:vAlign w:val="center"/>
          </w:tcPr>
          <w:p w14:paraId="3A1A27A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创新的超薄保温结构设计：2.5厘米厚真空绝热板，结合环保、水发泡沫绝热材料，显著增强保温性能及腔体存储空间</w:t>
            </w:r>
          </w:p>
        </w:tc>
      </w:tr>
      <w:tr w14:paraId="343B0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9E33D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7785" w:type="dxa"/>
            <w:shd w:val="clear" w:color="auto" w:fill="auto"/>
            <w:vAlign w:val="center"/>
          </w:tcPr>
          <w:p w14:paraId="3556BF3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标配四扇聚苯乙烯泡沫绝热内门，减少冷气丢失；嵌入式磁铁门闩，防止传统插销式门把的结冰情况</w:t>
            </w:r>
          </w:p>
        </w:tc>
      </w:tr>
      <w:tr w14:paraId="4527B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2D9D5B3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7785" w:type="dxa"/>
            <w:shd w:val="clear" w:color="auto" w:fill="auto"/>
            <w:vAlign w:val="center"/>
          </w:tcPr>
          <w:p w14:paraId="4F5DEBF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标配3块不锈钢搁板, 隔板数量可增加，可调节高度；最大承重达56.8KG</w:t>
            </w:r>
          </w:p>
        </w:tc>
      </w:tr>
      <w:tr w14:paraId="0ED98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F96D5B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9</w:t>
            </w:r>
          </w:p>
        </w:tc>
        <w:tc>
          <w:tcPr>
            <w:tcW w:w="7785" w:type="dxa"/>
            <w:shd w:val="clear" w:color="auto" w:fill="auto"/>
            <w:vAlign w:val="center"/>
          </w:tcPr>
          <w:p w14:paraId="6BF4902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创新四点七层电加热式密封条，有效防止门封条及周边结霜，确保最佳密封保温效果；加热器嵌入门内，确保热量不会进入样品存储区域</w:t>
            </w:r>
          </w:p>
        </w:tc>
      </w:tr>
      <w:tr w14:paraId="77986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FF3222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7785" w:type="dxa"/>
            <w:shd w:val="clear" w:color="auto" w:fill="auto"/>
            <w:vAlign w:val="center"/>
          </w:tcPr>
          <w:p w14:paraId="1D4394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外门配有带加热功能的自动减压阀，可在关门后迅速平衡冰箱门内外压差，方便高度密封的外门在1分钟左右的时间内再次单手轻松开启</w:t>
            </w:r>
          </w:p>
        </w:tc>
      </w:tr>
      <w:tr w14:paraId="1C430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112F4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7785" w:type="dxa"/>
            <w:shd w:val="clear" w:color="auto" w:fill="auto"/>
            <w:vAlign w:val="center"/>
          </w:tcPr>
          <w:p w14:paraId="3A4E9BB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符合人体工程学的单手操作门把手，可锁定并可同时增加一挂锁，提高安全性</w:t>
            </w:r>
          </w:p>
        </w:tc>
      </w:tr>
      <w:tr w14:paraId="6997E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2AEEEF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7785" w:type="dxa"/>
            <w:shd w:val="clear" w:color="auto" w:fill="auto"/>
            <w:vAlign w:val="center"/>
          </w:tcPr>
          <w:p w14:paraId="350D38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冷凝器过滤网易拆卸，可水洗, 保护冷凝器免沾灰尘，提高制冷性能</w:t>
            </w:r>
          </w:p>
        </w:tc>
      </w:tr>
      <w:tr w14:paraId="2D9D6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209F021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7785" w:type="dxa"/>
            <w:shd w:val="clear" w:color="auto" w:fill="auto"/>
            <w:vAlign w:val="center"/>
          </w:tcPr>
          <w:p w14:paraId="7C60EC2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用户界面：5.6英寸电容式触摸按键屏, 清晰的数字温度显示, 面板上的图标直观显示冰箱运行健康状态、以及超温、门半开或电源故障等警报状态</w:t>
            </w:r>
          </w:p>
        </w:tc>
      </w:tr>
      <w:tr w14:paraId="648F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2835AE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14</w:t>
            </w:r>
          </w:p>
        </w:tc>
        <w:tc>
          <w:tcPr>
            <w:tcW w:w="7785" w:type="dxa"/>
            <w:shd w:val="clear" w:color="auto" w:fill="auto"/>
            <w:vAlign w:val="center"/>
          </w:tcPr>
          <w:p w14:paraId="454F3C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具有三位数密码保护，安全管理温度设置和报警设置，防止无关人员随意篡改</w:t>
            </w:r>
          </w:p>
        </w:tc>
      </w:tr>
      <w:tr w14:paraId="33D30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7CAB28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7785" w:type="dxa"/>
            <w:shd w:val="clear" w:color="auto" w:fill="auto"/>
            <w:vAlign w:val="center"/>
          </w:tcPr>
          <w:p w14:paraId="3F406E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通过控制面板，可进行运行温度和报警温度设置，温度过高警报测试功能，以及温度校准补偿功能</w:t>
            </w:r>
          </w:p>
        </w:tc>
      </w:tr>
      <w:tr w14:paraId="2E742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22D646C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7785" w:type="dxa"/>
            <w:shd w:val="clear" w:color="auto" w:fill="auto"/>
            <w:vAlign w:val="center"/>
          </w:tcPr>
          <w:p w14:paraId="4F657FE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控制操作面板高度：1.4至1.5米，方便查看和设置参数</w:t>
            </w:r>
          </w:p>
        </w:tc>
      </w:tr>
      <w:tr w14:paraId="6A64A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661E25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7785" w:type="dxa"/>
            <w:shd w:val="clear" w:color="auto" w:fill="auto"/>
            <w:vAlign w:val="center"/>
          </w:tcPr>
          <w:p w14:paraId="05B019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控制面板具有屏幕防水设计，可以有效防止清洁时液体进入损坏控制器</w:t>
            </w:r>
          </w:p>
        </w:tc>
      </w:tr>
      <w:tr w14:paraId="5CDA6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62049B7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7785" w:type="dxa"/>
            <w:shd w:val="clear" w:color="auto" w:fill="auto"/>
            <w:vAlign w:val="center"/>
          </w:tcPr>
          <w:p w14:paraId="153C1BA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标配2个1” (25mm) 预留外接端口，可连接外部探头或仪器</w:t>
            </w:r>
          </w:p>
        </w:tc>
      </w:tr>
      <w:tr w14:paraId="2CB8A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31CE965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7785" w:type="dxa"/>
            <w:shd w:val="clear" w:color="auto" w:fill="auto"/>
            <w:vAlign w:val="center"/>
          </w:tcPr>
          <w:p w14:paraId="62B94F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完善的温度数据和报警信号通信端口：标配RS485,4-20 毫安输出端口及Dry Contact远程报警接口</w:t>
            </w:r>
          </w:p>
        </w:tc>
      </w:tr>
      <w:tr w14:paraId="4F1C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4E229EF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w:t>
            </w:r>
          </w:p>
        </w:tc>
        <w:tc>
          <w:tcPr>
            <w:tcW w:w="7785" w:type="dxa"/>
            <w:shd w:val="clear" w:color="auto" w:fill="auto"/>
            <w:vAlign w:val="center"/>
          </w:tcPr>
          <w:p w14:paraId="74F732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配置要求</w:t>
            </w:r>
          </w:p>
        </w:tc>
      </w:tr>
      <w:tr w14:paraId="7A9D4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3D9B4C6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7785" w:type="dxa"/>
            <w:shd w:val="clear" w:color="auto" w:fill="auto"/>
            <w:vAlign w:val="center"/>
          </w:tcPr>
          <w:p w14:paraId="0615A71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超低温冰箱</w:t>
            </w:r>
            <w:r>
              <w:rPr>
                <w:rFonts w:hint="eastAsia" w:ascii="宋体" w:hAnsi="宋体" w:eastAsia="宋体" w:cs="宋体"/>
                <w:sz w:val="21"/>
                <w:szCs w:val="21"/>
                <w:lang w:val="en-US" w:eastAsia="zh-CN"/>
              </w:rPr>
              <w:t xml:space="preserve"> 1台</w:t>
            </w:r>
          </w:p>
        </w:tc>
      </w:tr>
      <w:tr w14:paraId="7C2CC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37" w:type="dxa"/>
            <w:shd w:val="clear" w:color="auto" w:fill="auto"/>
            <w:vAlign w:val="center"/>
          </w:tcPr>
          <w:p w14:paraId="19C0B2B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四</w:t>
            </w:r>
          </w:p>
        </w:tc>
        <w:tc>
          <w:tcPr>
            <w:tcW w:w="7785" w:type="dxa"/>
            <w:shd w:val="clear" w:color="auto" w:fill="auto"/>
            <w:vAlign w:val="center"/>
          </w:tcPr>
          <w:p w14:paraId="5338A7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售后服务：</w:t>
            </w:r>
            <w:r>
              <w:rPr>
                <w:rFonts w:hint="eastAsia" w:ascii="宋体" w:hAnsi="宋体" w:eastAsia="宋体" w:cs="宋体"/>
                <w:sz w:val="21"/>
                <w:szCs w:val="21"/>
                <w:lang w:eastAsia="zh-CN"/>
              </w:rPr>
              <w:t>一年的免费保修期，仪器终生维修</w:t>
            </w:r>
          </w:p>
        </w:tc>
      </w:tr>
    </w:tbl>
    <w:p w14:paraId="625AD05E">
      <w:pPr>
        <w:pStyle w:val="114"/>
        <w:pageBreakBefore w:val="0"/>
        <w:tabs>
          <w:tab w:val="left" w:pos="567"/>
        </w:tabs>
        <w:kinsoku/>
        <w:wordWrap/>
        <w:overflowPunct/>
        <w:topLinePunct w:val="0"/>
        <w:bidi w:val="0"/>
        <w:spacing w:line="360" w:lineRule="auto"/>
        <w:rPr>
          <w:rFonts w:hint="default" w:ascii="宋体" w:hAnsi="宋体" w:eastAsia="宋体" w:cs="Times New Roman"/>
          <w:b/>
          <w:bCs/>
          <w:spacing w:val="-2"/>
          <w:kern w:val="2"/>
          <w:position w:val="-2"/>
          <w:sz w:val="21"/>
          <w:szCs w:val="22"/>
          <w:lang w:val="en-US" w:eastAsia="zh-CN" w:bidi="ar-SA"/>
        </w:rPr>
      </w:pPr>
    </w:p>
    <w:p w14:paraId="48A70A0D">
      <w:pPr>
        <w:pStyle w:val="114"/>
        <w:pageBreakBefore w:val="0"/>
        <w:tabs>
          <w:tab w:val="left" w:pos="567"/>
        </w:tabs>
        <w:kinsoku/>
        <w:wordWrap/>
        <w:overflowPunct/>
        <w:topLinePunct w:val="0"/>
        <w:bidi w:val="0"/>
        <w:spacing w:line="360" w:lineRule="auto"/>
        <w:rPr>
          <w:rFonts w:hint="default" w:ascii="宋体" w:hAnsi="宋体" w:eastAsia="宋体" w:cs="Times New Roman"/>
          <w:b/>
          <w:bCs/>
          <w:spacing w:val="-2"/>
          <w:kern w:val="2"/>
          <w:position w:val="-2"/>
          <w:sz w:val="21"/>
          <w:szCs w:val="22"/>
          <w:lang w:val="en-US" w:eastAsia="zh-CN" w:bidi="ar-SA"/>
        </w:rPr>
      </w:pPr>
      <w:r>
        <w:rPr>
          <w:rFonts w:hint="eastAsia" w:ascii="宋体" w:hAnsi="宋体" w:eastAsia="宋体" w:cs="Times New Roman"/>
          <w:b/>
          <w:bCs/>
          <w:spacing w:val="-2"/>
          <w:kern w:val="2"/>
          <w:position w:val="-2"/>
          <w:sz w:val="21"/>
          <w:szCs w:val="22"/>
          <w:lang w:val="en-US" w:eastAsia="zh-CN" w:bidi="ar-SA"/>
        </w:rPr>
        <w:t>4.</w:t>
      </w:r>
      <w:r>
        <w:rPr>
          <w:rFonts w:hint="default" w:ascii="宋体" w:hAnsi="宋体" w:eastAsia="宋体" w:cs="Times New Roman"/>
          <w:b/>
          <w:bCs/>
          <w:spacing w:val="-2"/>
          <w:kern w:val="2"/>
          <w:position w:val="-2"/>
          <w:sz w:val="21"/>
          <w:szCs w:val="22"/>
          <w:lang w:val="en-US" w:eastAsia="zh-CN" w:bidi="ar-SA"/>
        </w:rPr>
        <w:t>智能渔业养殖管理系统</w:t>
      </w:r>
    </w:p>
    <w:tbl>
      <w:tblPr>
        <w:tblStyle w:val="61"/>
        <w:tblW w:w="866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982"/>
        <w:gridCol w:w="7687"/>
      </w:tblGrid>
      <w:tr w14:paraId="45A2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7E6F7738">
            <w:pPr>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7687" w:type="dxa"/>
            <w:shd w:val="clear" w:color="auto" w:fill="FFFFFF" w:themeFill="background1"/>
            <w:noWrap/>
            <w:vAlign w:val="center"/>
          </w:tcPr>
          <w:p w14:paraId="69ACB67C">
            <w:pPr>
              <w:jc w:val="center"/>
              <w:rPr>
                <w:rFonts w:hint="eastAsia" w:ascii="宋体" w:hAnsi="宋体" w:eastAsia="宋体" w:cs="宋体"/>
                <w:kern w:val="0"/>
                <w:sz w:val="21"/>
                <w:szCs w:val="21"/>
              </w:rPr>
            </w:pPr>
            <w:r>
              <w:rPr>
                <w:rFonts w:hint="eastAsia" w:ascii="宋体" w:hAnsi="宋体" w:eastAsia="宋体" w:cs="宋体"/>
                <w:kern w:val="0"/>
                <w:sz w:val="21"/>
                <w:szCs w:val="21"/>
              </w:rPr>
              <w:t>技术要求</w:t>
            </w:r>
          </w:p>
        </w:tc>
      </w:tr>
      <w:tr w14:paraId="55315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1A639AF8">
            <w:pPr>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7687" w:type="dxa"/>
            <w:shd w:val="clear" w:color="auto" w:fill="FFFFFF" w:themeFill="background1"/>
            <w:noWrap/>
            <w:vAlign w:val="center"/>
          </w:tcPr>
          <w:p w14:paraId="69E7BAF4">
            <w:pPr>
              <w:jc w:val="both"/>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集中式调配控制显示系统</w:t>
            </w:r>
          </w:p>
        </w:tc>
      </w:tr>
      <w:tr w14:paraId="09D57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4E85BF8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noWrap/>
            <w:vAlign w:val="center"/>
          </w:tcPr>
          <w:p w14:paraId="42986D5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3325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1DDE2113">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noWrap/>
            <w:vAlign w:val="center"/>
          </w:tcPr>
          <w:p w14:paraId="1ECE37CB">
            <w:pPr>
              <w:jc w:val="both"/>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用于</w:t>
            </w:r>
            <w:r>
              <w:rPr>
                <w:rFonts w:hint="eastAsia" w:ascii="宋体" w:hAnsi="宋体" w:eastAsia="宋体" w:cs="宋体"/>
                <w:color w:val="000000"/>
                <w:kern w:val="0"/>
                <w:sz w:val="21"/>
                <w:szCs w:val="21"/>
              </w:rPr>
              <w:t>集中控制显示运行状态。</w:t>
            </w:r>
          </w:p>
        </w:tc>
      </w:tr>
      <w:tr w14:paraId="2E51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10551097">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noWrap/>
            <w:vAlign w:val="center"/>
          </w:tcPr>
          <w:p w14:paraId="13AAD74D">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48EC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3971A6A3">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noWrap/>
            <w:vAlign w:val="center"/>
          </w:tcPr>
          <w:p w14:paraId="7EBAF23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电源动力系统</w:t>
            </w:r>
          </w:p>
        </w:tc>
      </w:tr>
      <w:tr w14:paraId="0E8A8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5E3E483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1.1</w:t>
            </w:r>
          </w:p>
        </w:tc>
        <w:tc>
          <w:tcPr>
            <w:tcW w:w="7687" w:type="dxa"/>
            <w:shd w:val="clear" w:color="auto" w:fill="FFFFFF" w:themeFill="background1"/>
            <w:noWrap/>
            <w:vAlign w:val="center"/>
          </w:tcPr>
          <w:p w14:paraId="1170425D">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集中转换‌：将输入电源统一转换为设备所需电压；</w:t>
            </w:r>
          </w:p>
        </w:tc>
      </w:tr>
      <w:tr w14:paraId="54102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7B1D8FF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1.2</w:t>
            </w:r>
          </w:p>
        </w:tc>
        <w:tc>
          <w:tcPr>
            <w:tcW w:w="7687" w:type="dxa"/>
            <w:shd w:val="clear" w:color="auto" w:fill="FFFFFF" w:themeFill="background1"/>
            <w:noWrap/>
            <w:vAlign w:val="center"/>
          </w:tcPr>
          <w:p w14:paraId="45EA7837">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智能分配‌：通过配电单元（如列头柜）按需分配至终端设备；</w:t>
            </w:r>
          </w:p>
        </w:tc>
      </w:tr>
      <w:tr w14:paraId="7139A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noWrap/>
            <w:vAlign w:val="center"/>
          </w:tcPr>
          <w:p w14:paraId="5C189891">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1.3</w:t>
            </w:r>
          </w:p>
        </w:tc>
        <w:tc>
          <w:tcPr>
            <w:tcW w:w="7687" w:type="dxa"/>
            <w:shd w:val="clear" w:color="auto" w:fill="FFFFFF" w:themeFill="background1"/>
            <w:noWrap/>
            <w:vAlign w:val="center"/>
          </w:tcPr>
          <w:p w14:paraId="06DB35C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‌冗余保护‌：集成过压/欠压保护.短路熔断等安全机制，确保供电稳定性</w:t>
            </w:r>
          </w:p>
        </w:tc>
      </w:tr>
      <w:tr w14:paraId="2521F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ED0F07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687" w:type="dxa"/>
            <w:shd w:val="clear" w:color="auto" w:fill="FFFFFF" w:themeFill="background1"/>
            <w:vAlign w:val="center"/>
          </w:tcPr>
          <w:p w14:paraId="27244792">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视觉</w:t>
            </w:r>
            <w:r>
              <w:rPr>
                <w:rFonts w:hint="eastAsia" w:ascii="宋体" w:hAnsi="宋体" w:eastAsia="宋体" w:cs="宋体"/>
                <w:color w:val="000000"/>
                <w:kern w:val="0"/>
                <w:sz w:val="21"/>
                <w:szCs w:val="21"/>
              </w:rPr>
              <w:t>显示模组</w:t>
            </w:r>
          </w:p>
        </w:tc>
      </w:tr>
      <w:tr w14:paraId="7757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2BBE98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2.1</w:t>
            </w:r>
          </w:p>
        </w:tc>
        <w:tc>
          <w:tcPr>
            <w:tcW w:w="7687" w:type="dxa"/>
            <w:shd w:val="clear" w:color="auto" w:fill="FFFFFF" w:themeFill="background1"/>
            <w:vAlign w:val="center"/>
          </w:tcPr>
          <w:p w14:paraId="15F831D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55寸</w:t>
            </w:r>
          </w:p>
        </w:tc>
      </w:tr>
      <w:tr w14:paraId="5DDA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6EE484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2.2</w:t>
            </w:r>
          </w:p>
        </w:tc>
        <w:tc>
          <w:tcPr>
            <w:tcW w:w="7687" w:type="dxa"/>
            <w:shd w:val="clear" w:color="auto" w:fill="FFFFFF" w:themeFill="background1"/>
            <w:vAlign w:val="center"/>
          </w:tcPr>
          <w:p w14:paraId="70CDCE6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分辨率：支持3840*2160输入</w:t>
            </w:r>
          </w:p>
        </w:tc>
      </w:tr>
      <w:tr w14:paraId="51246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4024F4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2.3</w:t>
            </w:r>
          </w:p>
        </w:tc>
        <w:tc>
          <w:tcPr>
            <w:tcW w:w="7687" w:type="dxa"/>
            <w:shd w:val="clear" w:color="auto" w:fill="FFFFFF" w:themeFill="background1"/>
            <w:vAlign w:val="center"/>
          </w:tcPr>
          <w:p w14:paraId="172271CD">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显示模式：16：9</w:t>
            </w:r>
          </w:p>
        </w:tc>
      </w:tr>
      <w:tr w14:paraId="69600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4F623F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2.4</w:t>
            </w:r>
          </w:p>
        </w:tc>
        <w:tc>
          <w:tcPr>
            <w:tcW w:w="7687" w:type="dxa"/>
            <w:shd w:val="clear" w:color="auto" w:fill="FFFFFF" w:themeFill="background1"/>
            <w:vAlign w:val="center"/>
          </w:tcPr>
          <w:p w14:paraId="0FCF2371">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亮度：500cd/㎡</w:t>
            </w:r>
          </w:p>
        </w:tc>
      </w:tr>
      <w:tr w14:paraId="5E04F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ED24FD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2.5</w:t>
            </w:r>
          </w:p>
        </w:tc>
        <w:tc>
          <w:tcPr>
            <w:tcW w:w="7687" w:type="dxa"/>
            <w:shd w:val="clear" w:color="auto" w:fill="FFFFFF" w:themeFill="background1"/>
            <w:vAlign w:val="center"/>
          </w:tcPr>
          <w:p w14:paraId="31AD82D4">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物理拼缝：</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3.5mm</w:t>
            </w:r>
          </w:p>
        </w:tc>
      </w:tr>
      <w:tr w14:paraId="499E4970">
        <w:tblPrEx>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552E8C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2.6</w:t>
            </w:r>
          </w:p>
        </w:tc>
        <w:tc>
          <w:tcPr>
            <w:tcW w:w="7687" w:type="dxa"/>
            <w:shd w:val="clear" w:color="auto" w:fill="FFFFFF" w:themeFill="background1"/>
            <w:vAlign w:val="center"/>
          </w:tcPr>
          <w:p w14:paraId="6DE12E42">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对比度（动态）：4000：1</w:t>
            </w:r>
          </w:p>
        </w:tc>
      </w:tr>
      <w:tr w14:paraId="0538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5E48C6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2.7</w:t>
            </w:r>
          </w:p>
        </w:tc>
        <w:tc>
          <w:tcPr>
            <w:tcW w:w="7687" w:type="dxa"/>
            <w:shd w:val="clear" w:color="auto" w:fill="FFFFFF" w:themeFill="background1"/>
            <w:vAlign w:val="center"/>
          </w:tcPr>
          <w:p w14:paraId="3CE58C3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可视角度：上下左右178度</w:t>
            </w:r>
          </w:p>
        </w:tc>
      </w:tr>
      <w:tr w14:paraId="3298D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C5D143E">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2.8</w:t>
            </w:r>
          </w:p>
        </w:tc>
        <w:tc>
          <w:tcPr>
            <w:tcW w:w="7687" w:type="dxa"/>
            <w:shd w:val="clear" w:color="auto" w:fill="FFFFFF" w:themeFill="background1"/>
            <w:vAlign w:val="center"/>
          </w:tcPr>
          <w:p w14:paraId="5A8EA91F">
            <w:pPr>
              <w:widowControl/>
              <w:jc w:val="both"/>
              <w:rPr>
                <w:rFonts w:hint="eastAsia" w:ascii="宋体" w:hAnsi="宋体" w:eastAsia="宋体" w:cs="宋体"/>
                <w:color w:val="C00000"/>
                <w:kern w:val="0"/>
                <w:sz w:val="21"/>
                <w:szCs w:val="21"/>
                <w:lang w:val="en-US" w:eastAsia="zh-CN" w:bidi="ar-SA"/>
              </w:rPr>
            </w:pPr>
            <w:r>
              <w:rPr>
                <w:rFonts w:hint="eastAsia" w:ascii="宋体" w:hAnsi="宋体" w:eastAsia="宋体" w:cs="宋体"/>
                <w:color w:val="000000"/>
                <w:kern w:val="0"/>
                <w:sz w:val="21"/>
                <w:szCs w:val="21"/>
              </w:rPr>
              <w:t>响应时间：≦8ms</w:t>
            </w:r>
          </w:p>
        </w:tc>
      </w:tr>
      <w:tr w14:paraId="28F2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25D6AC2">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2.9</w:t>
            </w:r>
          </w:p>
        </w:tc>
        <w:tc>
          <w:tcPr>
            <w:tcW w:w="7687" w:type="dxa"/>
            <w:shd w:val="clear" w:color="auto" w:fill="FFFFFF" w:themeFill="background1"/>
            <w:vAlign w:val="center"/>
          </w:tcPr>
          <w:p w14:paraId="3F8BAA11">
            <w:pPr>
              <w:widowControl/>
              <w:jc w:val="both"/>
              <w:rPr>
                <w:rFonts w:hint="eastAsia" w:ascii="宋体" w:hAnsi="宋体" w:eastAsia="宋体" w:cs="宋体"/>
                <w:color w:val="C00000"/>
                <w:kern w:val="0"/>
                <w:sz w:val="21"/>
                <w:szCs w:val="21"/>
                <w:lang w:val="en-US" w:eastAsia="zh-CN" w:bidi="ar-SA"/>
              </w:rPr>
            </w:pPr>
            <w:r>
              <w:rPr>
                <w:rFonts w:hint="eastAsia" w:ascii="宋体" w:hAnsi="宋体" w:eastAsia="宋体" w:cs="宋体"/>
                <w:color w:val="000000"/>
                <w:kern w:val="0"/>
                <w:sz w:val="21"/>
                <w:szCs w:val="21"/>
              </w:rPr>
              <w:t>HDMI分配器：1进16出，支持1路HDMI信号输入，16路HDMI信号输出；</w:t>
            </w:r>
          </w:p>
        </w:tc>
      </w:tr>
      <w:tr w14:paraId="2CF08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2449EB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p>
        </w:tc>
        <w:tc>
          <w:tcPr>
            <w:tcW w:w="7687" w:type="dxa"/>
            <w:shd w:val="clear" w:color="auto" w:fill="FFFFFF" w:themeFill="background1"/>
            <w:vAlign w:val="center"/>
          </w:tcPr>
          <w:p w14:paraId="61DB48E4">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接收卡</w:t>
            </w:r>
          </w:p>
        </w:tc>
      </w:tr>
      <w:tr w14:paraId="1F6A2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2E011E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3.1</w:t>
            </w:r>
          </w:p>
        </w:tc>
        <w:tc>
          <w:tcPr>
            <w:tcW w:w="7687" w:type="dxa"/>
            <w:shd w:val="clear" w:color="auto" w:fill="FFFFFF" w:themeFill="background1"/>
            <w:vAlign w:val="center"/>
          </w:tcPr>
          <w:p w14:paraId="2C44628C">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带载256x1024；</w:t>
            </w:r>
          </w:p>
        </w:tc>
      </w:tr>
      <w:tr w14:paraId="4806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096E73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3.2</w:t>
            </w:r>
          </w:p>
        </w:tc>
        <w:tc>
          <w:tcPr>
            <w:tcW w:w="7687" w:type="dxa"/>
            <w:shd w:val="clear" w:color="auto" w:fill="FFFFFF" w:themeFill="background1"/>
            <w:vAlign w:val="center"/>
          </w:tcPr>
          <w:p w14:paraId="0E2A6278">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输出:12×HUB75；</w:t>
            </w:r>
          </w:p>
        </w:tc>
      </w:tr>
      <w:tr w14:paraId="5978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5920F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3.3</w:t>
            </w:r>
          </w:p>
        </w:tc>
        <w:tc>
          <w:tcPr>
            <w:tcW w:w="7687" w:type="dxa"/>
            <w:shd w:val="clear" w:color="auto" w:fill="FFFFFF" w:themeFill="background1"/>
            <w:vAlign w:val="center"/>
          </w:tcPr>
          <w:p w14:paraId="307CCCA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支持32扫</w:t>
            </w:r>
          </w:p>
        </w:tc>
      </w:tr>
      <w:tr w14:paraId="1349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B13150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3.4</w:t>
            </w:r>
          </w:p>
        </w:tc>
        <w:tc>
          <w:tcPr>
            <w:tcW w:w="7687" w:type="dxa"/>
            <w:shd w:val="clear" w:color="auto" w:fill="FFFFFF" w:themeFill="background1"/>
            <w:vAlign w:val="center"/>
          </w:tcPr>
          <w:p w14:paraId="613B4A94">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18bit+</w:t>
            </w:r>
          </w:p>
        </w:tc>
      </w:tr>
      <w:tr w14:paraId="35B1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FB94AC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3.5</w:t>
            </w:r>
          </w:p>
        </w:tc>
        <w:tc>
          <w:tcPr>
            <w:tcW w:w="7687" w:type="dxa"/>
            <w:shd w:val="clear" w:color="auto" w:fill="FFFFFF" w:themeFill="background1"/>
            <w:vAlign w:val="center"/>
          </w:tcPr>
          <w:p w14:paraId="666C732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配置参数双备份</w:t>
            </w:r>
          </w:p>
        </w:tc>
      </w:tr>
      <w:tr w14:paraId="2642F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7EE7D3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3.6</w:t>
            </w:r>
          </w:p>
        </w:tc>
        <w:tc>
          <w:tcPr>
            <w:tcW w:w="7687" w:type="dxa"/>
            <w:shd w:val="clear" w:color="auto" w:fill="FFFFFF" w:themeFill="background1"/>
            <w:vAlign w:val="center"/>
          </w:tcPr>
          <w:p w14:paraId="76C6B52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支持固件程序版本回读</w:t>
            </w:r>
          </w:p>
        </w:tc>
      </w:tr>
      <w:tr w14:paraId="3608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AC41A8E">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7687" w:type="dxa"/>
            <w:shd w:val="clear" w:color="auto" w:fill="FFFFFF" w:themeFill="background1"/>
            <w:vAlign w:val="center"/>
          </w:tcPr>
          <w:p w14:paraId="734A758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智能控制器</w:t>
            </w:r>
          </w:p>
        </w:tc>
      </w:tr>
      <w:tr w14:paraId="6D6F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E3006C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4.1</w:t>
            </w:r>
          </w:p>
        </w:tc>
        <w:tc>
          <w:tcPr>
            <w:tcW w:w="7687" w:type="dxa"/>
            <w:shd w:val="clear" w:color="auto" w:fill="FFFFFF" w:themeFill="background1"/>
            <w:vAlign w:val="center"/>
          </w:tcPr>
          <w:p w14:paraId="76959611">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内置</w:t>
            </w:r>
            <w:r>
              <w:rPr>
                <w:rFonts w:hint="eastAsia" w:ascii="宋体" w:hAnsi="宋体" w:eastAsia="宋体" w:cs="宋体"/>
                <w:color w:val="000000"/>
                <w:kern w:val="0"/>
                <w:sz w:val="21"/>
                <w:szCs w:val="21"/>
              </w:rPr>
              <w:t>空气开关、熔断器、交流接触器、电流互感器、电压互感器、电源防雷器等</w:t>
            </w:r>
          </w:p>
        </w:tc>
      </w:tr>
      <w:tr w14:paraId="5BA2A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D02E48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4.2</w:t>
            </w:r>
          </w:p>
        </w:tc>
        <w:tc>
          <w:tcPr>
            <w:tcW w:w="7687" w:type="dxa"/>
            <w:shd w:val="clear" w:color="auto" w:fill="FFFFFF" w:themeFill="background1"/>
            <w:vAlign w:val="center"/>
          </w:tcPr>
          <w:p w14:paraId="70C9057B">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含多功能卡智能上电系统</w:t>
            </w:r>
          </w:p>
        </w:tc>
      </w:tr>
      <w:tr w14:paraId="0D351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238EAE3">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4.3</w:t>
            </w:r>
            <w:r>
              <w:rPr>
                <w:rFonts w:hint="eastAsia" w:ascii="宋体" w:hAnsi="宋体" w:eastAsia="宋体" w:cs="宋体"/>
                <w:color w:val="000000"/>
                <w:kern w:val="0"/>
                <w:sz w:val="21"/>
                <w:szCs w:val="21"/>
              </w:rPr>
              <w:t>　</w:t>
            </w:r>
          </w:p>
        </w:tc>
        <w:tc>
          <w:tcPr>
            <w:tcW w:w="7687" w:type="dxa"/>
            <w:shd w:val="clear" w:color="auto" w:fill="FFFFFF" w:themeFill="background1"/>
            <w:vAlign w:val="center"/>
          </w:tcPr>
          <w:p w14:paraId="0AD376A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具有过流、过压、欠压、短路、断路、超温、超负荷、断电、等保护功能</w:t>
            </w:r>
          </w:p>
        </w:tc>
      </w:tr>
      <w:tr w14:paraId="264CC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FC235A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687" w:type="dxa"/>
            <w:shd w:val="clear" w:color="auto" w:fill="FFFFFF" w:themeFill="background1"/>
            <w:vAlign w:val="center"/>
          </w:tcPr>
          <w:p w14:paraId="1AB4691F">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系统基站</w:t>
            </w:r>
          </w:p>
        </w:tc>
      </w:tr>
      <w:tr w14:paraId="068D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AE94C42">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5.1</w:t>
            </w:r>
          </w:p>
        </w:tc>
        <w:tc>
          <w:tcPr>
            <w:tcW w:w="7687" w:type="dxa"/>
            <w:shd w:val="clear" w:color="auto" w:fill="FFFFFF" w:themeFill="background1"/>
            <w:vAlign w:val="center"/>
          </w:tcPr>
          <w:p w14:paraId="4D0DC260">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CPU</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intel I5；</w:t>
            </w:r>
          </w:p>
        </w:tc>
      </w:tr>
      <w:tr w14:paraId="018B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5A9B80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5.2</w:t>
            </w:r>
          </w:p>
        </w:tc>
        <w:tc>
          <w:tcPr>
            <w:tcW w:w="7687" w:type="dxa"/>
            <w:shd w:val="clear" w:color="auto" w:fill="FFFFFF" w:themeFill="background1"/>
            <w:vAlign w:val="center"/>
          </w:tcPr>
          <w:p w14:paraId="1A4D653F">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16G内存+256固态硬盘；</w:t>
            </w:r>
          </w:p>
        </w:tc>
      </w:tr>
      <w:tr w14:paraId="7E16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0DC0046">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5.3</w:t>
            </w:r>
          </w:p>
        </w:tc>
        <w:tc>
          <w:tcPr>
            <w:tcW w:w="7687" w:type="dxa"/>
            <w:shd w:val="clear" w:color="auto" w:fill="FFFFFF" w:themeFill="background1"/>
            <w:vAlign w:val="center"/>
          </w:tcPr>
          <w:p w14:paraId="6F4942C8">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10/100/1000/Mbps Realtek 8111E,支持网络唤醒</w:t>
            </w:r>
          </w:p>
        </w:tc>
      </w:tr>
      <w:tr w14:paraId="753AE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BDD5BF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5.4</w:t>
            </w:r>
          </w:p>
        </w:tc>
        <w:tc>
          <w:tcPr>
            <w:tcW w:w="7687" w:type="dxa"/>
            <w:shd w:val="clear" w:color="auto" w:fill="FFFFFF" w:themeFill="background1"/>
            <w:vAlign w:val="center"/>
          </w:tcPr>
          <w:p w14:paraId="4B71AA90">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机箱大小：6L以下；</w:t>
            </w:r>
          </w:p>
        </w:tc>
      </w:tr>
      <w:tr w14:paraId="44C8A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4C7ACE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w:t>
            </w:r>
          </w:p>
        </w:tc>
        <w:tc>
          <w:tcPr>
            <w:tcW w:w="7687" w:type="dxa"/>
            <w:shd w:val="clear" w:color="auto" w:fill="FFFFFF" w:themeFill="background1"/>
            <w:vAlign w:val="center"/>
          </w:tcPr>
          <w:p w14:paraId="2BF69A4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集中调配控制预警器</w:t>
            </w:r>
          </w:p>
        </w:tc>
      </w:tr>
      <w:tr w14:paraId="7FD0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80BE3B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6.1</w:t>
            </w:r>
          </w:p>
        </w:tc>
        <w:tc>
          <w:tcPr>
            <w:tcW w:w="7687" w:type="dxa"/>
            <w:shd w:val="clear" w:color="auto" w:fill="FFFFFF" w:themeFill="background1"/>
            <w:vAlign w:val="center"/>
          </w:tcPr>
          <w:p w14:paraId="767EFE7C">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可视化数据展示;</w:t>
            </w:r>
          </w:p>
        </w:tc>
      </w:tr>
      <w:tr w14:paraId="4A6A9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E35659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6.2</w:t>
            </w:r>
          </w:p>
        </w:tc>
        <w:tc>
          <w:tcPr>
            <w:tcW w:w="7687" w:type="dxa"/>
            <w:shd w:val="clear" w:color="auto" w:fill="FFFFFF" w:themeFill="background1"/>
            <w:vAlign w:val="center"/>
          </w:tcPr>
          <w:p w14:paraId="6A8CE9E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软件界面展现客户名称和图片相关资料;</w:t>
            </w:r>
          </w:p>
        </w:tc>
      </w:tr>
      <w:tr w14:paraId="158F9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A22907">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▲6.3</w:t>
            </w:r>
          </w:p>
        </w:tc>
        <w:tc>
          <w:tcPr>
            <w:tcW w:w="7687" w:type="dxa"/>
            <w:shd w:val="clear" w:color="auto" w:fill="FFFFFF" w:themeFill="background1"/>
            <w:vAlign w:val="center"/>
          </w:tcPr>
          <w:p w14:paraId="085D009D">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运行管理与控制，通过权限管理，实现远程控制仪器设备的工作状态参数，获取监测状态信息，并对系统运行状况进行评估;</w:t>
            </w:r>
          </w:p>
        </w:tc>
      </w:tr>
      <w:tr w14:paraId="44F3F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7179948">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6.4</w:t>
            </w:r>
          </w:p>
        </w:tc>
        <w:tc>
          <w:tcPr>
            <w:tcW w:w="7687" w:type="dxa"/>
            <w:shd w:val="clear" w:color="auto" w:fill="FFFFFF" w:themeFill="background1"/>
            <w:vAlign w:val="center"/>
          </w:tcPr>
          <w:p w14:paraId="6CCFC20B">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数据.状态信息查询与统计分析，通过对自动站实际监测信息的监控，实现数据的接收统计.状态查询及分析;</w:t>
            </w:r>
          </w:p>
        </w:tc>
      </w:tr>
      <w:tr w14:paraId="69A5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E55A0EF">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6.5</w:t>
            </w:r>
          </w:p>
        </w:tc>
        <w:tc>
          <w:tcPr>
            <w:tcW w:w="7687" w:type="dxa"/>
            <w:shd w:val="clear" w:color="auto" w:fill="FFFFFF" w:themeFill="background1"/>
            <w:vAlign w:val="center"/>
          </w:tcPr>
          <w:p w14:paraId="4F94368E">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预警与报警实现 水质异常变化.超标或系统发生异常.故障时，系统平台及时作出判断，并及时通报相关人员采取措施;</w:t>
            </w:r>
          </w:p>
        </w:tc>
      </w:tr>
      <w:tr w14:paraId="7C979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A73483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6.6</w:t>
            </w:r>
          </w:p>
        </w:tc>
        <w:tc>
          <w:tcPr>
            <w:tcW w:w="7687" w:type="dxa"/>
            <w:shd w:val="clear" w:color="auto" w:fill="FFFFFF" w:themeFill="background1"/>
            <w:vAlign w:val="center"/>
          </w:tcPr>
          <w:p w14:paraId="6161BB30">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运维管理模块对运维计划.运维日志.运维报表等实现电子化管理，无纸化办公;</w:t>
            </w:r>
          </w:p>
        </w:tc>
      </w:tr>
      <w:tr w14:paraId="0DF4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8FBCF4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6.7</w:t>
            </w:r>
          </w:p>
        </w:tc>
        <w:tc>
          <w:tcPr>
            <w:tcW w:w="7687" w:type="dxa"/>
            <w:shd w:val="clear" w:color="auto" w:fill="FFFFFF" w:themeFill="background1"/>
            <w:vAlign w:val="center"/>
          </w:tcPr>
          <w:p w14:paraId="5DC0D439">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通过各个数据的信息汇总与延伸，建立大数据共享中心，使平台更智能化。</w:t>
            </w:r>
          </w:p>
        </w:tc>
      </w:tr>
      <w:tr w14:paraId="6196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ACFD270">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三</w:t>
            </w:r>
            <w:r>
              <w:rPr>
                <w:rFonts w:hint="eastAsia" w:ascii="宋体" w:hAnsi="宋体" w:eastAsia="宋体" w:cs="宋体"/>
                <w:color w:val="000000"/>
                <w:kern w:val="0"/>
                <w:sz w:val="21"/>
                <w:szCs w:val="21"/>
                <w:lang w:eastAsia="zh-CN"/>
              </w:rPr>
              <w:t>）</w:t>
            </w:r>
          </w:p>
        </w:tc>
        <w:tc>
          <w:tcPr>
            <w:tcW w:w="7687" w:type="dxa"/>
            <w:shd w:val="clear" w:color="auto" w:fill="FFFFFF" w:themeFill="background1"/>
            <w:vAlign w:val="center"/>
          </w:tcPr>
          <w:p w14:paraId="167FC7A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配置要求</w:t>
            </w:r>
          </w:p>
        </w:tc>
      </w:tr>
      <w:tr w14:paraId="1A957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798FE9C">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p>
        </w:tc>
        <w:tc>
          <w:tcPr>
            <w:tcW w:w="7687" w:type="dxa"/>
            <w:shd w:val="clear" w:color="auto" w:fill="FFFFFF" w:themeFill="background1"/>
            <w:vAlign w:val="center"/>
          </w:tcPr>
          <w:p w14:paraId="11F52CF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动力模块</w:t>
            </w:r>
            <w:r>
              <w:rPr>
                <w:rFonts w:hint="eastAsia" w:ascii="宋体" w:hAnsi="宋体" w:eastAsia="宋体" w:cs="宋体"/>
                <w:color w:val="000000"/>
                <w:kern w:val="0"/>
                <w:sz w:val="21"/>
                <w:szCs w:val="21"/>
              </w:rPr>
              <w:t>1套</w:t>
            </w:r>
          </w:p>
        </w:tc>
      </w:tr>
      <w:tr w14:paraId="2DB5E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EC4E404">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2</w:t>
            </w:r>
          </w:p>
        </w:tc>
        <w:tc>
          <w:tcPr>
            <w:tcW w:w="7687" w:type="dxa"/>
            <w:shd w:val="clear" w:color="auto" w:fill="FFFFFF" w:themeFill="background1"/>
            <w:vAlign w:val="center"/>
          </w:tcPr>
          <w:p w14:paraId="1F15E6D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视觉</w:t>
            </w:r>
            <w:r>
              <w:rPr>
                <w:rFonts w:hint="eastAsia" w:ascii="宋体" w:hAnsi="宋体" w:eastAsia="宋体" w:cs="宋体"/>
                <w:color w:val="000000"/>
                <w:kern w:val="0"/>
                <w:sz w:val="21"/>
                <w:szCs w:val="21"/>
              </w:rPr>
              <w:t>显示模组1套</w:t>
            </w:r>
          </w:p>
        </w:tc>
      </w:tr>
      <w:tr w14:paraId="6F2F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8F74F7A">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3</w:t>
            </w:r>
          </w:p>
        </w:tc>
        <w:tc>
          <w:tcPr>
            <w:tcW w:w="7687" w:type="dxa"/>
            <w:shd w:val="clear" w:color="auto" w:fill="FFFFFF" w:themeFill="background1"/>
            <w:vAlign w:val="center"/>
          </w:tcPr>
          <w:p w14:paraId="062A17B6">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接收卡1套</w:t>
            </w:r>
          </w:p>
        </w:tc>
      </w:tr>
      <w:tr w14:paraId="6D67F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2D3A68B">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4</w:t>
            </w:r>
          </w:p>
        </w:tc>
        <w:tc>
          <w:tcPr>
            <w:tcW w:w="7687" w:type="dxa"/>
            <w:shd w:val="clear" w:color="auto" w:fill="FFFFFF" w:themeFill="background1"/>
            <w:vAlign w:val="center"/>
          </w:tcPr>
          <w:p w14:paraId="59D4D6C3">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智能控制器1套</w:t>
            </w:r>
          </w:p>
        </w:tc>
      </w:tr>
      <w:tr w14:paraId="3BDF8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EED1575">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5</w:t>
            </w:r>
          </w:p>
        </w:tc>
        <w:tc>
          <w:tcPr>
            <w:tcW w:w="7687" w:type="dxa"/>
            <w:shd w:val="clear" w:color="auto" w:fill="FFFFFF" w:themeFill="background1"/>
            <w:vAlign w:val="center"/>
          </w:tcPr>
          <w:p w14:paraId="416A8435">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系统基站</w:t>
            </w:r>
            <w:r>
              <w:rPr>
                <w:rFonts w:hint="eastAsia" w:ascii="宋体" w:hAnsi="宋体" w:eastAsia="宋体" w:cs="宋体"/>
                <w:color w:val="000000"/>
                <w:kern w:val="0"/>
                <w:sz w:val="21"/>
                <w:szCs w:val="21"/>
              </w:rPr>
              <w:t>1套</w:t>
            </w:r>
          </w:p>
        </w:tc>
      </w:tr>
      <w:tr w14:paraId="2BB00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6BA8C29">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6</w:t>
            </w:r>
          </w:p>
        </w:tc>
        <w:tc>
          <w:tcPr>
            <w:tcW w:w="7687" w:type="dxa"/>
            <w:shd w:val="clear" w:color="auto" w:fill="FFFFFF" w:themeFill="background1"/>
            <w:vAlign w:val="center"/>
          </w:tcPr>
          <w:p w14:paraId="24EF06B1">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集中调配控制预警器1套</w:t>
            </w:r>
          </w:p>
        </w:tc>
      </w:tr>
      <w:tr w14:paraId="5A73F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595D462">
            <w:pPr>
              <w:widowControl/>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二、</w:t>
            </w:r>
          </w:p>
        </w:tc>
        <w:tc>
          <w:tcPr>
            <w:tcW w:w="7687" w:type="dxa"/>
            <w:shd w:val="clear" w:color="auto" w:fill="FFFFFF" w:themeFill="background1"/>
            <w:vAlign w:val="center"/>
          </w:tcPr>
          <w:p w14:paraId="7DD76180">
            <w:pPr>
              <w:widowControl/>
              <w:jc w:val="both"/>
              <w:rPr>
                <w:rFonts w:hint="eastAsia" w:ascii="宋体" w:hAnsi="宋体" w:eastAsia="宋体" w:cs="宋体"/>
                <w:b/>
                <w:bCs/>
                <w:color w:val="000000"/>
                <w:kern w:val="0"/>
                <w:sz w:val="21"/>
                <w:szCs w:val="21"/>
              </w:rPr>
            </w:pPr>
            <w:r>
              <w:rPr>
                <w:rFonts w:hint="eastAsia" w:ascii="宋体" w:hAnsi="宋体" w:eastAsia="宋体" w:cs="宋体"/>
                <w:b/>
                <w:bCs/>
                <w:sz w:val="21"/>
                <w:szCs w:val="21"/>
              </w:rPr>
              <w:t>自动巡检分析系统</w:t>
            </w:r>
          </w:p>
        </w:tc>
      </w:tr>
      <w:tr w14:paraId="55B66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D4C03B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66DB976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3AF0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32C2AD7">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6BA2F1FF">
            <w:pPr>
              <w:jc w:val="both"/>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rPr>
              <w:t>自动巡查检测分析</w:t>
            </w:r>
          </w:p>
        </w:tc>
      </w:tr>
      <w:tr w14:paraId="1490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2EB30AF">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79960421">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393CC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077F6A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26F05A8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多功能</w:t>
            </w:r>
            <w:r>
              <w:rPr>
                <w:rFonts w:hint="eastAsia" w:ascii="宋体" w:hAnsi="宋体" w:eastAsia="宋体" w:cs="宋体"/>
                <w:b w:val="0"/>
                <w:bCs w:val="0"/>
                <w:color w:val="000000"/>
                <w:kern w:val="0"/>
                <w:sz w:val="21"/>
                <w:szCs w:val="21"/>
              </w:rPr>
              <w:t>巡检机器人</w:t>
            </w:r>
          </w:p>
        </w:tc>
      </w:tr>
      <w:tr w14:paraId="20E6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1BB68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FFFFFF" w:themeFill="background1"/>
            <w:vAlign w:val="center"/>
          </w:tcPr>
          <w:p w14:paraId="6D8591A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单轨牵引机（含巡检升降机）：</w:t>
            </w:r>
          </w:p>
        </w:tc>
      </w:tr>
      <w:tr w14:paraId="3D7C9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2EFE0F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FFFFFF" w:themeFill="background1"/>
            <w:vAlign w:val="center"/>
          </w:tcPr>
          <w:p w14:paraId="154CDBD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悬挂式导轨牵引机；</w:t>
            </w:r>
          </w:p>
        </w:tc>
      </w:tr>
      <w:tr w14:paraId="12A5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FBE9E2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1.3</w:t>
            </w:r>
          </w:p>
        </w:tc>
        <w:tc>
          <w:tcPr>
            <w:tcW w:w="7687" w:type="dxa"/>
            <w:shd w:val="clear" w:color="auto" w:fill="FFFFFF" w:themeFill="background1"/>
            <w:vAlign w:val="center"/>
          </w:tcPr>
          <w:p w14:paraId="3ABA8BA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电池容量：48V50AH磷酸铁锂电池；</w:t>
            </w:r>
          </w:p>
        </w:tc>
      </w:tr>
      <w:tr w14:paraId="46F9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7A4F0B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1.4</w:t>
            </w:r>
          </w:p>
        </w:tc>
        <w:tc>
          <w:tcPr>
            <w:tcW w:w="7687" w:type="dxa"/>
            <w:shd w:val="clear" w:color="auto" w:fill="FFFFFF" w:themeFill="background1"/>
            <w:vAlign w:val="center"/>
          </w:tcPr>
          <w:p w14:paraId="071E641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自动充电系统</w:t>
            </w:r>
          </w:p>
        </w:tc>
      </w:tr>
      <w:tr w14:paraId="082A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A163D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1.5</w:t>
            </w:r>
          </w:p>
        </w:tc>
        <w:tc>
          <w:tcPr>
            <w:tcW w:w="7687" w:type="dxa"/>
            <w:shd w:val="clear" w:color="auto" w:fill="FFFFFF" w:themeFill="background1"/>
            <w:vAlign w:val="center"/>
          </w:tcPr>
          <w:p w14:paraId="34B1C74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空载最大运行速度：35m/min；</w:t>
            </w:r>
          </w:p>
        </w:tc>
      </w:tr>
      <w:tr w14:paraId="374BE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07F9DD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w:t>
            </w:r>
          </w:p>
        </w:tc>
        <w:tc>
          <w:tcPr>
            <w:tcW w:w="7687" w:type="dxa"/>
            <w:shd w:val="clear" w:color="auto" w:fill="FFFFFF" w:themeFill="background1"/>
            <w:vAlign w:val="center"/>
          </w:tcPr>
          <w:p w14:paraId="28590D3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转弯半径：≥1.5m，轨道安装水平，不得有斜坡</w:t>
            </w:r>
          </w:p>
        </w:tc>
      </w:tr>
      <w:tr w14:paraId="62308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460D9DB">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7</w:t>
            </w:r>
          </w:p>
        </w:tc>
        <w:tc>
          <w:tcPr>
            <w:tcW w:w="7687" w:type="dxa"/>
            <w:shd w:val="clear" w:color="auto" w:fill="FFFFFF" w:themeFill="background1"/>
            <w:vAlign w:val="center"/>
          </w:tcPr>
          <w:p w14:paraId="6FD9ED6B">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投料机:</w:t>
            </w:r>
          </w:p>
        </w:tc>
      </w:tr>
      <w:tr w14:paraId="5E41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2F80F50">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8</w:t>
            </w:r>
          </w:p>
        </w:tc>
        <w:tc>
          <w:tcPr>
            <w:tcW w:w="7687" w:type="dxa"/>
            <w:shd w:val="clear" w:color="auto" w:fill="FFFFFF" w:themeFill="background1"/>
            <w:vAlign w:val="center"/>
          </w:tcPr>
          <w:p w14:paraId="3D255BF9">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无动力式轨道滑行机构；</w:t>
            </w:r>
          </w:p>
        </w:tc>
      </w:tr>
      <w:tr w14:paraId="4819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42E25A0">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w:t>
            </w:r>
            <w:r>
              <w:rPr>
                <w:rFonts w:hint="eastAsia" w:ascii="宋体" w:hAnsi="宋体" w:eastAsia="宋体" w:cs="宋体"/>
                <w:b w:val="0"/>
                <w:bCs w:val="0"/>
                <w:color w:val="auto"/>
                <w:kern w:val="0"/>
                <w:sz w:val="21"/>
                <w:szCs w:val="21"/>
                <w:lang w:val="en-US" w:eastAsia="zh-CN"/>
              </w:rPr>
              <w:t>9</w:t>
            </w:r>
          </w:p>
        </w:tc>
        <w:tc>
          <w:tcPr>
            <w:tcW w:w="7687" w:type="dxa"/>
            <w:shd w:val="clear" w:color="auto" w:fill="FFFFFF" w:themeFill="background1"/>
            <w:vAlign w:val="center"/>
          </w:tcPr>
          <w:p w14:paraId="5C2A26D6">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称重模块，缺料报警；</w:t>
            </w:r>
          </w:p>
        </w:tc>
      </w:tr>
      <w:tr w14:paraId="5EB73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B581405">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1.10</w:t>
            </w:r>
          </w:p>
        </w:tc>
        <w:tc>
          <w:tcPr>
            <w:tcW w:w="7687" w:type="dxa"/>
            <w:shd w:val="clear" w:color="auto" w:fill="FFFFFF" w:themeFill="background1"/>
            <w:vAlign w:val="center"/>
          </w:tcPr>
          <w:p w14:paraId="7A39F2F1">
            <w:pPr>
              <w:widowControl/>
              <w:jc w:val="both"/>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000000"/>
                <w:kern w:val="0"/>
                <w:sz w:val="21"/>
                <w:szCs w:val="21"/>
              </w:rPr>
              <w:t>容量80L料斗</w:t>
            </w:r>
          </w:p>
        </w:tc>
      </w:tr>
      <w:tr w14:paraId="4E78B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2C9E379">
            <w:pPr>
              <w:widowControl/>
              <w:jc w:val="center"/>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1.11</w:t>
            </w:r>
          </w:p>
        </w:tc>
        <w:tc>
          <w:tcPr>
            <w:tcW w:w="7687" w:type="dxa"/>
            <w:shd w:val="clear" w:color="auto" w:fill="FFFFFF" w:themeFill="background1"/>
            <w:vAlign w:val="center"/>
          </w:tcPr>
          <w:p w14:paraId="1725074A">
            <w:pPr>
              <w:widowControl/>
              <w:jc w:val="both"/>
              <w:rPr>
                <w:rFonts w:hint="eastAsia" w:ascii="宋体" w:hAnsi="宋体" w:eastAsia="宋体" w:cs="宋体"/>
                <w:b w:val="0"/>
                <w:bCs w:val="0"/>
                <w:color w:val="auto"/>
                <w:kern w:val="0"/>
                <w:sz w:val="21"/>
                <w:szCs w:val="21"/>
              </w:rPr>
            </w:pPr>
            <w:r>
              <w:rPr>
                <w:rFonts w:hint="eastAsia" w:ascii="宋体" w:hAnsi="宋体" w:eastAsia="宋体" w:cs="宋体"/>
                <w:color w:val="000000"/>
                <w:kern w:val="0"/>
                <w:sz w:val="21"/>
                <w:szCs w:val="21"/>
              </w:rPr>
              <w:t>螺旋下料，分盘撒料模式；</w:t>
            </w:r>
          </w:p>
        </w:tc>
      </w:tr>
      <w:tr w14:paraId="04F4C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1AEA85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1.12</w:t>
            </w:r>
          </w:p>
        </w:tc>
        <w:tc>
          <w:tcPr>
            <w:tcW w:w="7687" w:type="dxa"/>
            <w:shd w:val="clear" w:color="auto" w:fill="FFFFFF" w:themeFill="background1"/>
            <w:vAlign w:val="center"/>
          </w:tcPr>
          <w:p w14:paraId="3D0326C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动力装置</w:t>
            </w:r>
          </w:p>
        </w:tc>
      </w:tr>
      <w:tr w14:paraId="0F656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4265E26">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1.13</w:t>
            </w:r>
          </w:p>
        </w:tc>
        <w:tc>
          <w:tcPr>
            <w:tcW w:w="7687" w:type="dxa"/>
            <w:shd w:val="clear" w:color="auto" w:fill="FFFFFF" w:themeFill="background1"/>
            <w:vAlign w:val="center"/>
          </w:tcPr>
          <w:p w14:paraId="7D3D40D3">
            <w:pPr>
              <w:widowControl/>
              <w:jc w:val="both"/>
              <w:rPr>
                <w:rFonts w:hint="eastAsia" w:ascii="宋体" w:hAnsi="宋体" w:eastAsia="宋体" w:cs="宋体"/>
                <w:b w:val="0"/>
                <w:bCs w:val="0"/>
                <w:color w:val="C00000"/>
                <w:kern w:val="0"/>
                <w:sz w:val="21"/>
                <w:szCs w:val="21"/>
                <w:lang w:val="en-US" w:eastAsia="zh-CN" w:bidi="ar-SA"/>
              </w:rPr>
            </w:pPr>
            <w:r>
              <w:rPr>
                <w:rFonts w:hint="eastAsia" w:ascii="宋体" w:hAnsi="宋体" w:eastAsia="宋体" w:cs="宋体"/>
                <w:b w:val="0"/>
                <w:bCs w:val="0"/>
                <w:color w:val="auto"/>
                <w:kern w:val="0"/>
                <w:sz w:val="21"/>
                <w:szCs w:val="21"/>
              </w:rPr>
              <w:t>充电机机架.立柱式安装机柜；</w:t>
            </w:r>
          </w:p>
        </w:tc>
      </w:tr>
      <w:tr w14:paraId="5B06B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C1406FF">
            <w:pPr>
              <w:widowControl/>
              <w:jc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rPr>
              <w:t>1.14</w:t>
            </w:r>
          </w:p>
        </w:tc>
        <w:tc>
          <w:tcPr>
            <w:tcW w:w="7687" w:type="dxa"/>
            <w:shd w:val="clear" w:color="auto" w:fill="FFFFFF" w:themeFill="background1"/>
            <w:vAlign w:val="center"/>
          </w:tcPr>
          <w:p w14:paraId="34A2FC70">
            <w:pPr>
              <w:widowControl/>
              <w:jc w:val="both"/>
              <w:rPr>
                <w:rFonts w:hint="eastAsia" w:ascii="宋体" w:hAnsi="宋体" w:eastAsia="宋体" w:cs="宋体"/>
                <w:b w:val="0"/>
                <w:bCs w:val="0"/>
                <w:color w:val="C00000"/>
                <w:kern w:val="0"/>
                <w:sz w:val="21"/>
                <w:szCs w:val="21"/>
                <w:lang w:val="en-US" w:eastAsia="zh-CN" w:bidi="ar-SA"/>
              </w:rPr>
            </w:pPr>
            <w:r>
              <w:rPr>
                <w:rFonts w:hint="eastAsia" w:ascii="宋体" w:hAnsi="宋体" w:eastAsia="宋体" w:cs="宋体"/>
                <w:color w:val="000000"/>
                <w:kern w:val="0"/>
                <w:sz w:val="21"/>
                <w:szCs w:val="21"/>
              </w:rPr>
              <w:t>上料系统：</w:t>
            </w:r>
          </w:p>
        </w:tc>
      </w:tr>
      <w:tr w14:paraId="6E87D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FA5047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1.15</w:t>
            </w:r>
          </w:p>
        </w:tc>
        <w:tc>
          <w:tcPr>
            <w:tcW w:w="7687" w:type="dxa"/>
            <w:shd w:val="clear" w:color="auto" w:fill="FFFFFF" w:themeFill="background1"/>
            <w:vAlign w:val="center"/>
          </w:tcPr>
          <w:p w14:paraId="37546D7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电器控制设备：</w:t>
            </w:r>
          </w:p>
        </w:tc>
      </w:tr>
      <w:tr w14:paraId="4E91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93923F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1.16</w:t>
            </w:r>
          </w:p>
        </w:tc>
        <w:tc>
          <w:tcPr>
            <w:tcW w:w="7687" w:type="dxa"/>
            <w:shd w:val="clear" w:color="auto" w:fill="FFFFFF" w:themeFill="background1"/>
            <w:vAlign w:val="center"/>
          </w:tcPr>
          <w:p w14:paraId="0C4626D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配套材料：设备装配配套轨道.连接件.螺丝.卡簧.垫片.弹簧等</w:t>
            </w:r>
          </w:p>
        </w:tc>
      </w:tr>
      <w:tr w14:paraId="58340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EC47B5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FFFFFF" w:themeFill="background1"/>
            <w:vAlign w:val="center"/>
          </w:tcPr>
          <w:p w14:paraId="5776191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智能水体监测系统</w:t>
            </w:r>
          </w:p>
        </w:tc>
      </w:tr>
      <w:tr w14:paraId="13687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64D133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w:t>
            </w:r>
          </w:p>
        </w:tc>
        <w:tc>
          <w:tcPr>
            <w:tcW w:w="7687" w:type="dxa"/>
            <w:shd w:val="clear" w:color="auto" w:fill="FFFFFF" w:themeFill="background1"/>
            <w:vAlign w:val="center"/>
          </w:tcPr>
          <w:p w14:paraId="4AE8745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温度.溶解氧和pH探头数据并进行校正，可现场快速简便更换电极.灵活设置采样间隔时间和优化工作/休眠时间。</w:t>
            </w:r>
          </w:p>
        </w:tc>
      </w:tr>
      <w:tr w14:paraId="2CD9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D2E7D7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w:t>
            </w:r>
          </w:p>
        </w:tc>
        <w:tc>
          <w:tcPr>
            <w:tcW w:w="7687" w:type="dxa"/>
            <w:shd w:val="clear" w:color="auto" w:fill="FFFFFF" w:themeFill="background1"/>
            <w:vAlign w:val="center"/>
          </w:tcPr>
          <w:p w14:paraId="260B8C2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PH传感器</w:t>
            </w:r>
          </w:p>
        </w:tc>
      </w:tr>
      <w:tr w14:paraId="37DF2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C5C3BD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w:t>
            </w:r>
          </w:p>
        </w:tc>
        <w:tc>
          <w:tcPr>
            <w:tcW w:w="7687" w:type="dxa"/>
            <w:shd w:val="clear" w:color="auto" w:fill="FFFFFF" w:themeFill="background1"/>
            <w:vAlign w:val="center"/>
          </w:tcPr>
          <w:p w14:paraId="306D8DA2">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测量方式：玻璃电极法；</w:t>
            </w:r>
          </w:p>
        </w:tc>
      </w:tr>
      <w:tr w14:paraId="5FE99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7A671D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▲2.4</w:t>
            </w:r>
          </w:p>
        </w:tc>
        <w:tc>
          <w:tcPr>
            <w:tcW w:w="7687" w:type="dxa"/>
            <w:shd w:val="clear" w:color="auto" w:fill="FFFFFF" w:themeFill="background1"/>
            <w:vAlign w:val="center"/>
          </w:tcPr>
          <w:p w14:paraId="32FCD47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量程范围：0～14pH；供电电压：12VDC~24VDC；</w:t>
            </w:r>
          </w:p>
        </w:tc>
      </w:tr>
      <w:tr w14:paraId="59AF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B23FF2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2.5</w:t>
            </w:r>
          </w:p>
        </w:tc>
        <w:tc>
          <w:tcPr>
            <w:tcW w:w="7687" w:type="dxa"/>
            <w:shd w:val="clear" w:color="auto" w:fill="FFFFFF" w:themeFill="background1"/>
            <w:vAlign w:val="center"/>
          </w:tcPr>
          <w:p w14:paraId="5B21339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分辨率：0.01pH；精度：±0.1pH；</w:t>
            </w:r>
          </w:p>
        </w:tc>
      </w:tr>
      <w:tr w14:paraId="06FBD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9C58D0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2.6</w:t>
            </w:r>
          </w:p>
        </w:tc>
        <w:tc>
          <w:tcPr>
            <w:tcW w:w="7687" w:type="dxa"/>
            <w:shd w:val="clear" w:color="auto" w:fill="FFFFFF" w:themeFill="background1"/>
            <w:vAlign w:val="center"/>
          </w:tcPr>
          <w:p w14:paraId="3E26308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信号输出方式： Rs485(Modbus/RTU)；</w:t>
            </w:r>
          </w:p>
        </w:tc>
      </w:tr>
      <w:tr w14:paraId="4AA2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125A92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2.7</w:t>
            </w:r>
          </w:p>
        </w:tc>
        <w:tc>
          <w:tcPr>
            <w:tcW w:w="7687" w:type="dxa"/>
            <w:shd w:val="clear" w:color="auto" w:fill="FFFFFF" w:themeFill="background1"/>
            <w:vAlign w:val="center"/>
          </w:tcPr>
          <w:p w14:paraId="41ACBA2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线缆长度：10米；</w:t>
            </w:r>
          </w:p>
        </w:tc>
      </w:tr>
      <w:tr w14:paraId="538C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93720D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2.8</w:t>
            </w:r>
          </w:p>
        </w:tc>
        <w:tc>
          <w:tcPr>
            <w:tcW w:w="7687" w:type="dxa"/>
            <w:shd w:val="clear" w:color="auto" w:fill="FFFFFF" w:themeFill="background1"/>
            <w:vAlign w:val="center"/>
          </w:tcPr>
          <w:p w14:paraId="056DFBA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安装方式：3/4NPT螺纹或投入式安装；</w:t>
            </w:r>
          </w:p>
        </w:tc>
      </w:tr>
      <w:tr w14:paraId="5770F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C291AA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2.9</w:t>
            </w:r>
          </w:p>
        </w:tc>
        <w:tc>
          <w:tcPr>
            <w:tcW w:w="7687" w:type="dxa"/>
            <w:shd w:val="clear" w:color="auto" w:fill="FFFFFF" w:themeFill="background1"/>
            <w:vAlign w:val="center"/>
          </w:tcPr>
          <w:p w14:paraId="3B4456D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防护等级：IP68；</w:t>
            </w:r>
          </w:p>
        </w:tc>
      </w:tr>
      <w:tr w14:paraId="1D39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55041E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2.10</w:t>
            </w:r>
          </w:p>
        </w:tc>
        <w:tc>
          <w:tcPr>
            <w:tcW w:w="7687" w:type="dxa"/>
            <w:shd w:val="clear" w:color="auto" w:fill="FFFFFF" w:themeFill="background1"/>
            <w:vAlign w:val="center"/>
          </w:tcPr>
          <w:p w14:paraId="3B7BCCF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工作环境：0~65℃;&lt;0.2MPa;</w:t>
            </w:r>
          </w:p>
        </w:tc>
      </w:tr>
      <w:tr w14:paraId="7B1A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89A22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2.11</w:t>
            </w:r>
          </w:p>
        </w:tc>
        <w:tc>
          <w:tcPr>
            <w:tcW w:w="7687" w:type="dxa"/>
            <w:shd w:val="clear" w:color="auto" w:fill="FFFFFF" w:themeFill="background1"/>
            <w:vAlign w:val="center"/>
          </w:tcPr>
          <w:p w14:paraId="70722DE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响应时间：10秒T90；</w:t>
            </w:r>
          </w:p>
        </w:tc>
      </w:tr>
      <w:tr w14:paraId="6B944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A138C9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2.12</w:t>
            </w:r>
          </w:p>
        </w:tc>
        <w:tc>
          <w:tcPr>
            <w:tcW w:w="7687" w:type="dxa"/>
            <w:shd w:val="clear" w:color="auto" w:fill="FFFFFF" w:themeFill="background1"/>
            <w:vAlign w:val="center"/>
          </w:tcPr>
          <w:p w14:paraId="1B7E1818">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校准方式：两点校准；</w:t>
            </w:r>
          </w:p>
        </w:tc>
      </w:tr>
      <w:tr w14:paraId="7B516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DFEB01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2.13</w:t>
            </w:r>
          </w:p>
        </w:tc>
        <w:tc>
          <w:tcPr>
            <w:tcW w:w="7687" w:type="dxa"/>
            <w:shd w:val="clear" w:color="auto" w:fill="FFFFFF" w:themeFill="background1"/>
            <w:vAlign w:val="center"/>
          </w:tcPr>
          <w:p w14:paraId="02D5628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内置温度传感器，可以自动温度补偿；</w:t>
            </w:r>
          </w:p>
        </w:tc>
      </w:tr>
      <w:tr w14:paraId="06C0D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50B16A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2.14</w:t>
            </w:r>
          </w:p>
        </w:tc>
        <w:tc>
          <w:tcPr>
            <w:tcW w:w="7687" w:type="dxa"/>
            <w:shd w:val="clear" w:color="auto" w:fill="FFFFFF" w:themeFill="background1"/>
            <w:vAlign w:val="center"/>
          </w:tcPr>
          <w:p w14:paraId="0B44B1A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 xml:space="preserve"> 双盐桥.双高阻抗设计，抗干扰强，数据稳定；</w:t>
            </w:r>
          </w:p>
        </w:tc>
      </w:tr>
      <w:tr w14:paraId="7A38D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382E91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2.15</w:t>
            </w:r>
          </w:p>
        </w:tc>
        <w:tc>
          <w:tcPr>
            <w:tcW w:w="7687" w:type="dxa"/>
            <w:shd w:val="clear" w:color="auto" w:fill="FFFFFF" w:themeFill="background1"/>
            <w:vAlign w:val="center"/>
          </w:tcPr>
          <w:p w14:paraId="2D9E574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传感器功耗低，内部电路抗干扰设计；</w:t>
            </w:r>
          </w:p>
        </w:tc>
      </w:tr>
      <w:tr w14:paraId="64249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97CE74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2.16</w:t>
            </w:r>
          </w:p>
        </w:tc>
        <w:tc>
          <w:tcPr>
            <w:tcW w:w="7687" w:type="dxa"/>
            <w:shd w:val="clear" w:color="auto" w:fill="FFFFFF" w:themeFill="background1"/>
            <w:vAlign w:val="center"/>
          </w:tcPr>
          <w:p w14:paraId="3161C4A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支持电极可更换；</w:t>
            </w:r>
          </w:p>
        </w:tc>
      </w:tr>
      <w:tr w14:paraId="3DE7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432FC53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2.17</w:t>
            </w:r>
          </w:p>
        </w:tc>
        <w:tc>
          <w:tcPr>
            <w:tcW w:w="7687" w:type="dxa"/>
            <w:shd w:val="clear" w:color="auto" w:fill="FFFFFF" w:themeFill="background1"/>
            <w:vAlign w:val="center"/>
          </w:tcPr>
          <w:p w14:paraId="0E12A3E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溶氧传感器（带水温检测）:</w:t>
            </w:r>
          </w:p>
        </w:tc>
      </w:tr>
      <w:tr w14:paraId="5214C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AC9B65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2.18</w:t>
            </w:r>
          </w:p>
        </w:tc>
        <w:tc>
          <w:tcPr>
            <w:tcW w:w="7687" w:type="dxa"/>
            <w:shd w:val="clear" w:color="auto" w:fill="FFFFFF" w:themeFill="background1"/>
            <w:vAlign w:val="center"/>
          </w:tcPr>
          <w:p w14:paraId="3120905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测量方式：荧光法；</w:t>
            </w:r>
          </w:p>
        </w:tc>
      </w:tr>
      <w:tr w14:paraId="7902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7E40B9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▲2.19</w:t>
            </w:r>
          </w:p>
        </w:tc>
        <w:tc>
          <w:tcPr>
            <w:tcW w:w="7687" w:type="dxa"/>
            <w:shd w:val="clear" w:color="auto" w:fill="FFFFFF" w:themeFill="background1"/>
            <w:vAlign w:val="center"/>
          </w:tcPr>
          <w:p w14:paraId="1033CEE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量程范围：0～20mg/L(0～200%饱和度)；供电电压：12VDC~24VDC；</w:t>
            </w:r>
          </w:p>
        </w:tc>
      </w:tr>
      <w:tr w14:paraId="7BA1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C0C7FF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2.20</w:t>
            </w:r>
          </w:p>
        </w:tc>
        <w:tc>
          <w:tcPr>
            <w:tcW w:w="7687" w:type="dxa"/>
            <w:shd w:val="clear" w:color="auto" w:fill="FFFFFF" w:themeFill="background1"/>
            <w:vAlign w:val="center"/>
          </w:tcPr>
          <w:p w14:paraId="24F9283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分辨率：0.01mg/L,0.1℃；精度：±2%F.S,±0.5℃ ；</w:t>
            </w:r>
          </w:p>
        </w:tc>
      </w:tr>
      <w:tr w14:paraId="2D98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5FB307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2.21</w:t>
            </w:r>
          </w:p>
        </w:tc>
        <w:tc>
          <w:tcPr>
            <w:tcW w:w="7687" w:type="dxa"/>
            <w:shd w:val="clear" w:color="auto" w:fill="FFFFFF" w:themeFill="background1"/>
            <w:vAlign w:val="center"/>
          </w:tcPr>
          <w:p w14:paraId="51DE610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信号输出方式： Rs485(Modbus/RTU)；</w:t>
            </w:r>
          </w:p>
        </w:tc>
      </w:tr>
      <w:tr w14:paraId="6439A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9C1B0F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2.22</w:t>
            </w:r>
          </w:p>
        </w:tc>
        <w:tc>
          <w:tcPr>
            <w:tcW w:w="7687" w:type="dxa"/>
            <w:shd w:val="clear" w:color="auto" w:fill="FFFFFF" w:themeFill="background1"/>
            <w:vAlign w:val="center"/>
          </w:tcPr>
          <w:p w14:paraId="4A43339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线缆长度：10米；安装方式：3/4NPT螺纹，投入式安装；</w:t>
            </w:r>
          </w:p>
        </w:tc>
      </w:tr>
      <w:tr w14:paraId="3FE16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5F0BA37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2.23</w:t>
            </w:r>
          </w:p>
        </w:tc>
        <w:tc>
          <w:tcPr>
            <w:tcW w:w="7687" w:type="dxa"/>
            <w:shd w:val="clear" w:color="auto" w:fill="FFFFFF" w:themeFill="background1"/>
            <w:vAlign w:val="center"/>
          </w:tcPr>
          <w:p w14:paraId="4994B7E4">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防护等级：IP68；</w:t>
            </w:r>
          </w:p>
        </w:tc>
      </w:tr>
      <w:tr w14:paraId="3DD24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B601D0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2.24</w:t>
            </w:r>
          </w:p>
        </w:tc>
        <w:tc>
          <w:tcPr>
            <w:tcW w:w="7687" w:type="dxa"/>
            <w:shd w:val="clear" w:color="auto" w:fill="FFFFFF" w:themeFill="background1"/>
            <w:vAlign w:val="center"/>
          </w:tcPr>
          <w:p w14:paraId="774B8860">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工作环境：0～45℃.&lt;0.2MPa；</w:t>
            </w:r>
          </w:p>
        </w:tc>
      </w:tr>
      <w:tr w14:paraId="2B8F5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E8C7E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2.25</w:t>
            </w:r>
          </w:p>
        </w:tc>
        <w:tc>
          <w:tcPr>
            <w:tcW w:w="7687" w:type="dxa"/>
            <w:shd w:val="clear" w:color="auto" w:fill="FFFFFF" w:themeFill="background1"/>
            <w:vAlign w:val="center"/>
          </w:tcPr>
          <w:p w14:paraId="3D15D0A9">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响应时间：40秒T90；</w:t>
            </w:r>
          </w:p>
        </w:tc>
      </w:tr>
      <w:tr w14:paraId="65A1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8FADD7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2.26</w:t>
            </w:r>
          </w:p>
        </w:tc>
        <w:tc>
          <w:tcPr>
            <w:tcW w:w="7687" w:type="dxa"/>
            <w:shd w:val="clear" w:color="auto" w:fill="FFFFFF" w:themeFill="background1"/>
            <w:vAlign w:val="center"/>
          </w:tcPr>
          <w:p w14:paraId="799CF60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校准方式：两点校准；</w:t>
            </w:r>
          </w:p>
        </w:tc>
      </w:tr>
      <w:tr w14:paraId="20828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5D8489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2.27</w:t>
            </w:r>
          </w:p>
        </w:tc>
        <w:tc>
          <w:tcPr>
            <w:tcW w:w="7687" w:type="dxa"/>
            <w:shd w:val="clear" w:color="auto" w:fill="FFFFFF" w:themeFill="background1"/>
            <w:vAlign w:val="center"/>
          </w:tcPr>
          <w:p w14:paraId="6D12D663">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内置温度.压力传感器，可以自动补偿；内置盐度补偿；</w:t>
            </w:r>
          </w:p>
        </w:tc>
      </w:tr>
      <w:tr w14:paraId="7AAEA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19BD09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2.28</w:t>
            </w:r>
          </w:p>
        </w:tc>
        <w:tc>
          <w:tcPr>
            <w:tcW w:w="7687" w:type="dxa"/>
            <w:shd w:val="clear" w:color="auto" w:fill="FFFFFF" w:themeFill="background1"/>
            <w:vAlign w:val="center"/>
          </w:tcPr>
          <w:p w14:paraId="236DFC3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光学设计，无需消耗电解液，测量同时不消耗氧；</w:t>
            </w:r>
          </w:p>
        </w:tc>
      </w:tr>
      <w:tr w14:paraId="6458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E11F40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2.29</w:t>
            </w:r>
          </w:p>
        </w:tc>
        <w:tc>
          <w:tcPr>
            <w:tcW w:w="7687" w:type="dxa"/>
            <w:shd w:val="clear" w:color="auto" w:fill="FFFFFF" w:themeFill="background1"/>
            <w:vAlign w:val="center"/>
          </w:tcPr>
          <w:p w14:paraId="399809E6">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增加滤光设计，抗光源干扰，稳定性好；</w:t>
            </w:r>
          </w:p>
        </w:tc>
      </w:tr>
      <w:tr w14:paraId="5D952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0A360E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2.30</w:t>
            </w:r>
          </w:p>
        </w:tc>
        <w:tc>
          <w:tcPr>
            <w:tcW w:w="7687" w:type="dxa"/>
            <w:shd w:val="clear" w:color="auto" w:fill="FFFFFF" w:themeFill="background1"/>
            <w:vAlign w:val="center"/>
          </w:tcPr>
          <w:p w14:paraId="46798708">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荧光帽头易更换，维护成本更低，使用周期较长；</w:t>
            </w:r>
          </w:p>
        </w:tc>
      </w:tr>
      <w:tr w14:paraId="564CA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D01372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2.31</w:t>
            </w:r>
          </w:p>
        </w:tc>
        <w:tc>
          <w:tcPr>
            <w:tcW w:w="7687" w:type="dxa"/>
            <w:shd w:val="clear" w:color="auto" w:fill="FFFFFF" w:themeFill="background1"/>
            <w:vAlign w:val="center"/>
          </w:tcPr>
          <w:p w14:paraId="71CF568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表面进行防腐喷涂处理；</w:t>
            </w:r>
          </w:p>
        </w:tc>
      </w:tr>
      <w:tr w14:paraId="595EC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91ABBC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FFFFFF" w:themeFill="background1"/>
            <w:vAlign w:val="center"/>
          </w:tcPr>
          <w:p w14:paraId="0F3E346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60F1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58295C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5A6B15C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多功能</w:t>
            </w:r>
            <w:r>
              <w:rPr>
                <w:rFonts w:hint="eastAsia" w:ascii="宋体" w:hAnsi="宋体" w:eastAsia="宋体" w:cs="宋体"/>
                <w:b w:val="0"/>
                <w:bCs w:val="0"/>
                <w:color w:val="000000"/>
                <w:kern w:val="0"/>
                <w:sz w:val="21"/>
                <w:szCs w:val="21"/>
              </w:rPr>
              <w:t>巡检机器人1套</w:t>
            </w:r>
          </w:p>
        </w:tc>
      </w:tr>
      <w:tr w14:paraId="7F80B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E2B880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FFFFFF" w:themeFill="background1"/>
            <w:vAlign w:val="center"/>
          </w:tcPr>
          <w:p w14:paraId="6B14E6B9">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智能水体监测系统</w:t>
            </w:r>
            <w:r>
              <w:rPr>
                <w:rFonts w:hint="eastAsia" w:ascii="宋体" w:hAnsi="宋体" w:eastAsia="宋体" w:cs="宋体"/>
                <w:b w:val="0"/>
                <w:bCs w:val="0"/>
                <w:color w:val="000000"/>
                <w:kern w:val="0"/>
                <w:sz w:val="21"/>
                <w:szCs w:val="21"/>
              </w:rPr>
              <w:t>4套</w:t>
            </w:r>
          </w:p>
        </w:tc>
      </w:tr>
      <w:tr w14:paraId="1C8D6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F022FE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FFFFFF" w:themeFill="background1"/>
            <w:vAlign w:val="center"/>
          </w:tcPr>
          <w:p w14:paraId="392314D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38C0A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17A8B1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4AE72D1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r w14:paraId="26DAE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BA0A359">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eastAsia="zh-CN"/>
              </w:rPr>
              <w:t>三、</w:t>
            </w:r>
          </w:p>
        </w:tc>
        <w:tc>
          <w:tcPr>
            <w:tcW w:w="7687" w:type="dxa"/>
            <w:shd w:val="clear" w:color="auto" w:fill="FFFFFF" w:themeFill="background1"/>
            <w:vAlign w:val="center"/>
          </w:tcPr>
          <w:p w14:paraId="4F7854D3">
            <w:pPr>
              <w:widowControl/>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sz w:val="21"/>
                <w:szCs w:val="21"/>
              </w:rPr>
              <w:t>水域立体实景监测装置</w:t>
            </w:r>
          </w:p>
        </w:tc>
      </w:tr>
      <w:tr w14:paraId="0826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2E2114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5B8F4E2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2024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7FCA2D4">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1517A02A">
            <w:pPr>
              <w:jc w:val="both"/>
              <w:rPr>
                <w:rFonts w:hint="eastAsia" w:ascii="宋体" w:hAnsi="宋体" w:eastAsia="宋体" w:cs="宋体"/>
                <w:kern w:val="0"/>
                <w:sz w:val="21"/>
                <w:szCs w:val="21"/>
                <w:lang w:val="en-US" w:eastAsia="zh-CN" w:bidi="ar-SA"/>
              </w:rPr>
            </w:pPr>
            <w:r>
              <w:rPr>
                <w:rFonts w:hint="eastAsia" w:ascii="宋体" w:hAnsi="宋体" w:eastAsia="宋体" w:cs="宋体"/>
                <w:b w:val="0"/>
                <w:bCs w:val="0"/>
                <w:color w:val="000000"/>
                <w:kern w:val="0"/>
                <w:sz w:val="21"/>
                <w:szCs w:val="21"/>
              </w:rPr>
              <w:t>立体全方位监控</w:t>
            </w:r>
          </w:p>
        </w:tc>
      </w:tr>
      <w:tr w14:paraId="2B9EB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64677E7">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12C4E9CC">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0A51E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2FE3F4F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0D936244">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视频接收器</w:t>
            </w:r>
          </w:p>
        </w:tc>
      </w:tr>
      <w:tr w14:paraId="309DF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BAAF1F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auto"/>
            <w:vAlign w:val="center"/>
          </w:tcPr>
          <w:p w14:paraId="73C5F8C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200万网络高清像素；15米远程拾音，双向语音；</w:t>
            </w:r>
          </w:p>
        </w:tc>
      </w:tr>
      <w:tr w14:paraId="0CC26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29FB08A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auto"/>
            <w:vAlign w:val="center"/>
          </w:tcPr>
          <w:p w14:paraId="2D3B130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8倍AI双目变焦；</w:t>
            </w:r>
          </w:p>
        </w:tc>
      </w:tr>
      <w:tr w14:paraId="27F92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C4A526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1.3</w:t>
            </w:r>
          </w:p>
        </w:tc>
        <w:tc>
          <w:tcPr>
            <w:tcW w:w="7687" w:type="dxa"/>
            <w:shd w:val="clear" w:color="auto" w:fill="auto"/>
            <w:vAlign w:val="center"/>
          </w:tcPr>
          <w:p w14:paraId="7B982D89">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水平340度，垂直0°~80°；</w:t>
            </w:r>
          </w:p>
        </w:tc>
      </w:tr>
      <w:tr w14:paraId="08A97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0DAFC8D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1.4</w:t>
            </w:r>
          </w:p>
        </w:tc>
        <w:tc>
          <w:tcPr>
            <w:tcW w:w="7687" w:type="dxa"/>
            <w:shd w:val="clear" w:color="auto" w:fill="auto"/>
            <w:vAlign w:val="center"/>
          </w:tcPr>
          <w:p w14:paraId="3BDF59F6">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IP66防护等级；</w:t>
            </w:r>
          </w:p>
        </w:tc>
      </w:tr>
      <w:tr w14:paraId="6E78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1C304D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1.5</w:t>
            </w:r>
          </w:p>
        </w:tc>
        <w:tc>
          <w:tcPr>
            <w:tcW w:w="7687" w:type="dxa"/>
            <w:shd w:val="clear" w:color="auto" w:fill="auto"/>
            <w:vAlign w:val="center"/>
          </w:tcPr>
          <w:p w14:paraId="4178F40F">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音频压缩码率：：64 Kbps（G.711 ulaw/G.711 alaw）/16 Kbps（G.722.1）/16 Kbps（G.726）/32~192 Kbps（MP2L2）/16~64 Kbps（AAC）</w:t>
            </w:r>
          </w:p>
        </w:tc>
      </w:tr>
      <w:tr w14:paraId="4C87F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E103DF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w:t>
            </w:r>
          </w:p>
        </w:tc>
        <w:tc>
          <w:tcPr>
            <w:tcW w:w="7687" w:type="dxa"/>
            <w:shd w:val="clear" w:color="auto" w:fill="auto"/>
            <w:vAlign w:val="center"/>
          </w:tcPr>
          <w:p w14:paraId="78FDA26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视频压缩标准：主码流：H.265/H.264.子码流：H.265/H.264/MJPEG.第三码流：H.265/H.264；</w:t>
            </w:r>
          </w:p>
        </w:tc>
      </w:tr>
      <w:tr w14:paraId="2D0F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34109C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1.7</w:t>
            </w:r>
          </w:p>
        </w:tc>
        <w:tc>
          <w:tcPr>
            <w:tcW w:w="7687" w:type="dxa"/>
            <w:shd w:val="clear" w:color="auto" w:fill="auto"/>
            <w:vAlign w:val="center"/>
          </w:tcPr>
          <w:p w14:paraId="36DDFC5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报警：1路输入，1路输出（报警输出最大支持DC12 V，30 mA）；</w:t>
            </w:r>
          </w:p>
        </w:tc>
      </w:tr>
      <w:tr w14:paraId="616D3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2F04D2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1.8</w:t>
            </w:r>
          </w:p>
        </w:tc>
        <w:tc>
          <w:tcPr>
            <w:tcW w:w="7687" w:type="dxa"/>
            <w:shd w:val="clear" w:color="auto" w:fill="auto"/>
            <w:vAlign w:val="center"/>
          </w:tcPr>
          <w:p w14:paraId="6DA25D6C">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SMART事件：场景变更侦测，区域入侵侦测，越界侦测，进入区域侦测，离开区域侦测；</w:t>
            </w:r>
          </w:p>
        </w:tc>
      </w:tr>
      <w:tr w14:paraId="6557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EF5771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1.9</w:t>
            </w:r>
          </w:p>
        </w:tc>
        <w:tc>
          <w:tcPr>
            <w:tcW w:w="7687" w:type="dxa"/>
            <w:shd w:val="clear" w:color="auto" w:fill="auto"/>
            <w:vAlign w:val="center"/>
          </w:tcPr>
          <w:p w14:paraId="3FB415D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含电源，含支架；</w:t>
            </w:r>
          </w:p>
        </w:tc>
      </w:tr>
      <w:tr w14:paraId="4750A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6484CC5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2888B48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水下生物监测器</w:t>
            </w:r>
          </w:p>
        </w:tc>
      </w:tr>
      <w:tr w14:paraId="0EB35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4C45D6D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w:t>
            </w:r>
          </w:p>
        </w:tc>
        <w:tc>
          <w:tcPr>
            <w:tcW w:w="7687" w:type="dxa"/>
            <w:shd w:val="clear" w:color="auto" w:fill="auto"/>
            <w:vAlign w:val="center"/>
          </w:tcPr>
          <w:p w14:paraId="3AD4280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500万POE监控全高清摄像头；</w:t>
            </w:r>
          </w:p>
        </w:tc>
      </w:tr>
      <w:tr w14:paraId="7676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8ABF98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w:t>
            </w:r>
          </w:p>
        </w:tc>
        <w:tc>
          <w:tcPr>
            <w:tcW w:w="7687" w:type="dxa"/>
            <w:shd w:val="clear" w:color="auto" w:fill="auto"/>
            <w:vAlign w:val="center"/>
          </w:tcPr>
          <w:p w14:paraId="712CE754">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焦距3.6mm，分辨率2592×1944P；</w:t>
            </w:r>
          </w:p>
        </w:tc>
      </w:tr>
      <w:tr w14:paraId="4BB38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F6334B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w:t>
            </w:r>
          </w:p>
        </w:tc>
        <w:tc>
          <w:tcPr>
            <w:tcW w:w="7687" w:type="dxa"/>
            <w:shd w:val="clear" w:color="auto" w:fill="auto"/>
            <w:vAlign w:val="center"/>
          </w:tcPr>
          <w:p w14:paraId="68BB8C5D">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材质为海水级不锈钢，防水等级达到IP68，可永久安装水下。耐压最大500Kpa，最大水深50M。</w:t>
            </w:r>
          </w:p>
        </w:tc>
      </w:tr>
      <w:tr w14:paraId="4087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2E5BCB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2.4</w:t>
            </w:r>
          </w:p>
        </w:tc>
        <w:tc>
          <w:tcPr>
            <w:tcW w:w="7687" w:type="dxa"/>
            <w:shd w:val="clear" w:color="auto" w:fill="auto"/>
            <w:vAlign w:val="center"/>
          </w:tcPr>
          <w:p w14:paraId="30100E1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补光灯：补光灯可通过手机、电脑或NVR设置，具备自动模式、手动控制、时间控制3种方式。包含3PCS白光，10级亮度，1000流明；以及3PCS红外灯，同样具备10级亮度和1000流明；</w:t>
            </w:r>
          </w:p>
        </w:tc>
      </w:tr>
      <w:tr w14:paraId="3FE5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76F3CC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2.5</w:t>
            </w:r>
          </w:p>
        </w:tc>
        <w:tc>
          <w:tcPr>
            <w:tcW w:w="7687" w:type="dxa"/>
            <w:shd w:val="clear" w:color="auto" w:fill="auto"/>
            <w:vAlign w:val="center"/>
          </w:tcPr>
          <w:p w14:paraId="4513654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图像颜色有两种模式：白光灯模式下为全彩，红外灯模式下则自动彩转黑白；</w:t>
            </w:r>
          </w:p>
        </w:tc>
      </w:tr>
      <w:tr w14:paraId="33AE8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8B6D57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2.6</w:t>
            </w:r>
          </w:p>
        </w:tc>
        <w:tc>
          <w:tcPr>
            <w:tcW w:w="7687" w:type="dxa"/>
            <w:shd w:val="clear" w:color="auto" w:fill="auto"/>
            <w:vAlign w:val="center"/>
          </w:tcPr>
          <w:p w14:paraId="3FC24E7D">
            <w:pPr>
              <w:widowControl/>
              <w:adjustRightInd w:val="0"/>
              <w:snapToGrid w:val="0"/>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支持协议：支持的协议有IPv4/IPv6.802.1x.GB28181.RTSP.RTMP.ONVIF.HTTP.HTTPS.TCP/IP.UDP.RTP.RTCP.RTSP.SMTP.NTP.DHCP.DNS.PPPoE.DDNS.FTP.SDK等；</w:t>
            </w:r>
          </w:p>
        </w:tc>
      </w:tr>
      <w:tr w14:paraId="6BFE1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94D649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2.7</w:t>
            </w:r>
          </w:p>
        </w:tc>
        <w:tc>
          <w:tcPr>
            <w:tcW w:w="7687" w:type="dxa"/>
            <w:shd w:val="clear" w:color="auto" w:fill="auto"/>
            <w:vAlign w:val="center"/>
          </w:tcPr>
          <w:p w14:paraId="235652B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工作湿度范围为0%-100%，工作温度在-20°至55°之间。</w:t>
            </w:r>
          </w:p>
        </w:tc>
      </w:tr>
      <w:tr w14:paraId="444B1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393C69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w:t>
            </w:r>
          </w:p>
        </w:tc>
        <w:tc>
          <w:tcPr>
            <w:tcW w:w="7687" w:type="dxa"/>
            <w:shd w:val="clear" w:color="auto" w:fill="auto"/>
            <w:vAlign w:val="center"/>
          </w:tcPr>
          <w:p w14:paraId="3FDB4948">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液晶显示屏</w:t>
            </w:r>
          </w:p>
        </w:tc>
      </w:tr>
      <w:tr w14:paraId="09773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407757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3.1</w:t>
            </w:r>
          </w:p>
        </w:tc>
        <w:tc>
          <w:tcPr>
            <w:tcW w:w="7687" w:type="dxa"/>
            <w:shd w:val="clear" w:color="auto" w:fill="auto"/>
            <w:vAlign w:val="center"/>
          </w:tcPr>
          <w:p w14:paraId="7B306516">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尺寸：24英寸；</w:t>
            </w:r>
          </w:p>
        </w:tc>
      </w:tr>
      <w:tr w14:paraId="68FB9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791407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3.2</w:t>
            </w:r>
          </w:p>
        </w:tc>
        <w:tc>
          <w:tcPr>
            <w:tcW w:w="7687" w:type="dxa"/>
            <w:shd w:val="clear" w:color="auto" w:fill="auto"/>
            <w:vAlign w:val="center"/>
          </w:tcPr>
          <w:p w14:paraId="7D9CE66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分辨率：1920*1080；</w:t>
            </w:r>
          </w:p>
        </w:tc>
      </w:tr>
      <w:tr w14:paraId="1ECAD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C5262F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3.3</w:t>
            </w:r>
          </w:p>
        </w:tc>
        <w:tc>
          <w:tcPr>
            <w:tcW w:w="7687" w:type="dxa"/>
            <w:shd w:val="clear" w:color="auto" w:fill="auto"/>
            <w:vAlign w:val="center"/>
          </w:tcPr>
          <w:p w14:paraId="62594C12">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获得节能认证</w:t>
            </w:r>
            <w:r>
              <w:rPr>
                <w:rFonts w:hint="eastAsia" w:ascii="宋体" w:hAnsi="宋体" w:eastAsia="宋体" w:cs="宋体"/>
                <w:b w:val="0"/>
                <w:bCs w:val="0"/>
                <w:color w:val="000000"/>
                <w:kern w:val="0"/>
                <w:sz w:val="21"/>
                <w:szCs w:val="21"/>
              </w:rPr>
              <w:t>；</w:t>
            </w:r>
          </w:p>
        </w:tc>
      </w:tr>
      <w:tr w14:paraId="04F1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2EC3F0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w:t>
            </w:r>
          </w:p>
        </w:tc>
        <w:tc>
          <w:tcPr>
            <w:tcW w:w="7687" w:type="dxa"/>
            <w:shd w:val="clear" w:color="auto" w:fill="auto"/>
            <w:vAlign w:val="center"/>
          </w:tcPr>
          <w:p w14:paraId="54990C6B">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数据存储</w:t>
            </w:r>
            <w:r>
              <w:rPr>
                <w:rFonts w:hint="eastAsia" w:ascii="宋体" w:hAnsi="宋体" w:eastAsia="宋体" w:cs="宋体"/>
                <w:b w:val="0"/>
                <w:bCs w:val="0"/>
                <w:color w:val="000000"/>
                <w:kern w:val="0"/>
                <w:sz w:val="21"/>
                <w:szCs w:val="21"/>
                <w:lang w:eastAsia="zh-CN"/>
              </w:rPr>
              <w:t>中心</w:t>
            </w:r>
          </w:p>
        </w:tc>
      </w:tr>
      <w:tr w14:paraId="42499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FFAD5E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4.1</w:t>
            </w:r>
          </w:p>
        </w:tc>
        <w:tc>
          <w:tcPr>
            <w:tcW w:w="7687" w:type="dxa"/>
            <w:shd w:val="clear" w:color="auto" w:fill="auto"/>
            <w:vAlign w:val="center"/>
          </w:tcPr>
          <w:p w14:paraId="625CC51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可接驳符合ONVIF.RTSP标准的众多主流厂商网络摄像机；</w:t>
            </w:r>
          </w:p>
        </w:tc>
      </w:tr>
      <w:tr w14:paraId="70E15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CBCB2B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4.2</w:t>
            </w:r>
          </w:p>
        </w:tc>
        <w:tc>
          <w:tcPr>
            <w:tcW w:w="7687" w:type="dxa"/>
            <w:shd w:val="clear" w:color="auto" w:fill="auto"/>
            <w:vAlign w:val="center"/>
          </w:tcPr>
          <w:p w14:paraId="58DAE4F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支持接入H.265.Smart265.H.264.Smart264视频编码码流；</w:t>
            </w:r>
          </w:p>
        </w:tc>
      </w:tr>
      <w:tr w14:paraId="305B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8A47A1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4.3</w:t>
            </w:r>
          </w:p>
        </w:tc>
        <w:tc>
          <w:tcPr>
            <w:tcW w:w="7687" w:type="dxa"/>
            <w:shd w:val="clear" w:color="auto" w:fill="auto"/>
            <w:vAlign w:val="center"/>
          </w:tcPr>
          <w:p w14:paraId="2BB016B1">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解码性能强劲，最大支持24路1080P解码；</w:t>
            </w:r>
          </w:p>
        </w:tc>
      </w:tr>
      <w:tr w14:paraId="62456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D474B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4.4</w:t>
            </w:r>
          </w:p>
        </w:tc>
        <w:tc>
          <w:tcPr>
            <w:tcW w:w="7687" w:type="dxa"/>
            <w:shd w:val="clear" w:color="auto" w:fill="auto"/>
            <w:vAlign w:val="center"/>
          </w:tcPr>
          <w:p w14:paraId="5386DCF1">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支持1200万像素高清网络视频的预览.存储与回放；</w:t>
            </w:r>
          </w:p>
        </w:tc>
      </w:tr>
      <w:tr w14:paraId="22DCD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EB9665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4.5</w:t>
            </w:r>
          </w:p>
        </w:tc>
        <w:tc>
          <w:tcPr>
            <w:tcW w:w="7687" w:type="dxa"/>
            <w:shd w:val="clear" w:color="auto" w:fill="auto"/>
            <w:vAlign w:val="center"/>
          </w:tcPr>
          <w:p w14:paraId="2280EEAE">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支持HDMI与VGA同/异源输出，HDMI最大支持4K超高清显示输出，VGA支持1080P高清显示输出；</w:t>
            </w:r>
          </w:p>
        </w:tc>
      </w:tr>
      <w:tr w14:paraId="4C2F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AC2D14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4.6</w:t>
            </w:r>
          </w:p>
        </w:tc>
        <w:tc>
          <w:tcPr>
            <w:tcW w:w="7687" w:type="dxa"/>
            <w:shd w:val="clear" w:color="auto" w:fill="auto"/>
            <w:vAlign w:val="center"/>
          </w:tcPr>
          <w:p w14:paraId="481AB935">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自带16个SATA接口，含4T硬盘2块，以满足现场视频存储；</w:t>
            </w:r>
          </w:p>
        </w:tc>
      </w:tr>
      <w:tr w14:paraId="30CD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3EEF77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4.7</w:t>
            </w:r>
          </w:p>
        </w:tc>
        <w:tc>
          <w:tcPr>
            <w:tcW w:w="7687" w:type="dxa"/>
            <w:shd w:val="clear" w:color="auto" w:fill="auto"/>
            <w:vAlign w:val="center"/>
          </w:tcPr>
          <w:p w14:paraId="320BA7C1">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支持IP设备集中管理，包括IP设备一键添加.参数配置.批量升级.导入/导出等；</w:t>
            </w:r>
          </w:p>
        </w:tc>
      </w:tr>
      <w:tr w14:paraId="1D5F4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D4C60B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4.8</w:t>
            </w:r>
          </w:p>
        </w:tc>
        <w:tc>
          <w:tcPr>
            <w:tcW w:w="7687" w:type="dxa"/>
            <w:shd w:val="clear" w:color="auto" w:fill="auto"/>
            <w:vAlign w:val="center"/>
          </w:tcPr>
          <w:p w14:paraId="32EA7F6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最大支持16路本地同步回放；</w:t>
            </w:r>
          </w:p>
        </w:tc>
      </w:tr>
      <w:tr w14:paraId="27A6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B72B38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4.9</w:t>
            </w:r>
          </w:p>
        </w:tc>
        <w:tc>
          <w:tcPr>
            <w:tcW w:w="7687" w:type="dxa"/>
            <w:shd w:val="clear" w:color="auto" w:fill="auto"/>
            <w:vAlign w:val="center"/>
          </w:tcPr>
          <w:p w14:paraId="5BBAA1E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针对人.车及事件类型，支持快速回放与智能检索功能，大幅提升录像回放和检索效率。</w:t>
            </w:r>
          </w:p>
        </w:tc>
      </w:tr>
      <w:tr w14:paraId="5062E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9800D9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w:t>
            </w:r>
          </w:p>
        </w:tc>
        <w:tc>
          <w:tcPr>
            <w:tcW w:w="7687" w:type="dxa"/>
            <w:shd w:val="clear" w:color="auto" w:fill="auto"/>
            <w:vAlign w:val="center"/>
          </w:tcPr>
          <w:p w14:paraId="6C31CF09">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无线键鼠</w:t>
            </w:r>
          </w:p>
        </w:tc>
      </w:tr>
      <w:tr w14:paraId="43B09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787776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5.1</w:t>
            </w:r>
          </w:p>
        </w:tc>
        <w:tc>
          <w:tcPr>
            <w:tcW w:w="7687" w:type="dxa"/>
            <w:shd w:val="clear" w:color="auto" w:fill="auto"/>
            <w:vAlign w:val="center"/>
          </w:tcPr>
          <w:p w14:paraId="4248C17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连接方式: 无线；</w:t>
            </w:r>
          </w:p>
        </w:tc>
      </w:tr>
      <w:tr w14:paraId="6EDEF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925381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5.2</w:t>
            </w:r>
          </w:p>
        </w:tc>
        <w:tc>
          <w:tcPr>
            <w:tcW w:w="7687" w:type="dxa"/>
            <w:shd w:val="clear" w:color="auto" w:fill="auto"/>
            <w:vAlign w:val="center"/>
          </w:tcPr>
          <w:p w14:paraId="5CDDE5F5">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鼠标接口: USB；</w:t>
            </w:r>
          </w:p>
        </w:tc>
      </w:tr>
      <w:tr w14:paraId="71B93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EEAEFA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5.3</w:t>
            </w:r>
          </w:p>
        </w:tc>
        <w:tc>
          <w:tcPr>
            <w:tcW w:w="7687" w:type="dxa"/>
            <w:shd w:val="clear" w:color="auto" w:fill="auto"/>
            <w:vAlign w:val="center"/>
          </w:tcPr>
          <w:p w14:paraId="2D8E9414">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键盘接口: USB；</w:t>
            </w:r>
          </w:p>
        </w:tc>
      </w:tr>
      <w:tr w14:paraId="5D45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771547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w:t>
            </w:r>
          </w:p>
        </w:tc>
        <w:tc>
          <w:tcPr>
            <w:tcW w:w="7687" w:type="dxa"/>
            <w:shd w:val="clear" w:color="auto" w:fill="auto"/>
            <w:vAlign w:val="center"/>
          </w:tcPr>
          <w:p w14:paraId="104703A0">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系统基站</w:t>
            </w:r>
          </w:p>
        </w:tc>
      </w:tr>
      <w:tr w14:paraId="5079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7BC4EF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6.1</w:t>
            </w:r>
          </w:p>
        </w:tc>
        <w:tc>
          <w:tcPr>
            <w:tcW w:w="7687" w:type="dxa"/>
            <w:shd w:val="clear" w:color="auto" w:fill="auto"/>
            <w:vAlign w:val="center"/>
          </w:tcPr>
          <w:p w14:paraId="02B54677">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CPU：intel I5；</w:t>
            </w:r>
          </w:p>
        </w:tc>
      </w:tr>
      <w:tr w14:paraId="73E05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1B8C6C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6.2</w:t>
            </w:r>
          </w:p>
        </w:tc>
        <w:tc>
          <w:tcPr>
            <w:tcW w:w="7687" w:type="dxa"/>
            <w:shd w:val="clear" w:color="auto" w:fill="auto"/>
            <w:vAlign w:val="center"/>
          </w:tcPr>
          <w:p w14:paraId="70D4F366">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16G内存+256固态硬盘；</w:t>
            </w:r>
          </w:p>
        </w:tc>
      </w:tr>
      <w:tr w14:paraId="41543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DBBC9D5">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6.3</w:t>
            </w:r>
          </w:p>
        </w:tc>
        <w:tc>
          <w:tcPr>
            <w:tcW w:w="7687" w:type="dxa"/>
            <w:shd w:val="clear" w:color="auto" w:fill="auto"/>
            <w:vAlign w:val="center"/>
          </w:tcPr>
          <w:p w14:paraId="1FE96FDD">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10/100/1000/Mbps Realtek 8111E,支持网络唤醒</w:t>
            </w:r>
          </w:p>
        </w:tc>
      </w:tr>
      <w:tr w14:paraId="39A0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650CFB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6.4</w:t>
            </w:r>
          </w:p>
        </w:tc>
        <w:tc>
          <w:tcPr>
            <w:tcW w:w="7687" w:type="dxa"/>
            <w:shd w:val="clear" w:color="auto" w:fill="auto"/>
            <w:vAlign w:val="center"/>
          </w:tcPr>
          <w:p w14:paraId="59D3051F">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机箱大小：6L以下；</w:t>
            </w:r>
          </w:p>
        </w:tc>
      </w:tr>
      <w:tr w14:paraId="3DBD8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3FE06C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7</w:t>
            </w:r>
          </w:p>
        </w:tc>
        <w:tc>
          <w:tcPr>
            <w:tcW w:w="7687" w:type="dxa"/>
            <w:shd w:val="clear" w:color="auto" w:fill="auto"/>
            <w:vAlign w:val="center"/>
          </w:tcPr>
          <w:p w14:paraId="199CF9B2">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机柜成套</w:t>
            </w:r>
          </w:p>
        </w:tc>
      </w:tr>
      <w:tr w14:paraId="423A0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3FB045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7.1</w:t>
            </w:r>
          </w:p>
        </w:tc>
        <w:tc>
          <w:tcPr>
            <w:tcW w:w="7687" w:type="dxa"/>
            <w:shd w:val="clear" w:color="auto" w:fill="auto"/>
            <w:vAlign w:val="center"/>
          </w:tcPr>
          <w:p w14:paraId="3C5A00B2">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材质：冷轧板喷漆；1800*600*600</w:t>
            </w:r>
          </w:p>
        </w:tc>
      </w:tr>
      <w:tr w14:paraId="1A015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DB5514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w:t>
            </w:r>
          </w:p>
        </w:tc>
        <w:tc>
          <w:tcPr>
            <w:tcW w:w="7687" w:type="dxa"/>
            <w:shd w:val="clear" w:color="auto" w:fill="auto"/>
            <w:vAlign w:val="center"/>
          </w:tcPr>
          <w:p w14:paraId="56CBCFEF">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数据交换中心</w:t>
            </w:r>
          </w:p>
        </w:tc>
      </w:tr>
      <w:tr w14:paraId="285F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7061CF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8.1</w:t>
            </w:r>
          </w:p>
        </w:tc>
        <w:tc>
          <w:tcPr>
            <w:tcW w:w="7687" w:type="dxa"/>
            <w:shd w:val="clear" w:color="auto" w:fill="auto"/>
            <w:vAlign w:val="center"/>
          </w:tcPr>
          <w:p w14:paraId="5A65014E">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接口：9千兆RJ45网口，1个千兆光口；</w:t>
            </w:r>
          </w:p>
        </w:tc>
      </w:tr>
      <w:tr w14:paraId="648FB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92AACF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8.2</w:t>
            </w:r>
          </w:p>
        </w:tc>
        <w:tc>
          <w:tcPr>
            <w:tcW w:w="7687" w:type="dxa"/>
            <w:shd w:val="clear" w:color="auto" w:fill="auto"/>
            <w:vAlign w:val="center"/>
          </w:tcPr>
          <w:p w14:paraId="21836B13">
            <w:pPr>
              <w:widowControl/>
              <w:adjustRightInd w:val="0"/>
              <w:snapToGrid w:val="0"/>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支持Web管理、VLAN隔离、标准交换三种工作模式；</w:t>
            </w:r>
          </w:p>
        </w:tc>
      </w:tr>
      <w:tr w14:paraId="474F8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24CEC9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1FDF54D0">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314B0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FD927B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7312A90D">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视频接收器</w:t>
            </w:r>
            <w:r>
              <w:rPr>
                <w:rFonts w:hint="eastAsia" w:ascii="宋体" w:hAnsi="宋体" w:eastAsia="宋体" w:cs="宋体"/>
                <w:b w:val="0"/>
                <w:bCs w:val="0"/>
                <w:color w:val="000000"/>
                <w:kern w:val="0"/>
                <w:sz w:val="21"/>
                <w:szCs w:val="21"/>
              </w:rPr>
              <w:t>8套</w:t>
            </w:r>
          </w:p>
        </w:tc>
      </w:tr>
      <w:tr w14:paraId="76FD2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1BE6DB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07123126">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水下生物监测器2台</w:t>
            </w:r>
          </w:p>
        </w:tc>
      </w:tr>
      <w:tr w14:paraId="09CE9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27F58F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3</w:t>
            </w:r>
          </w:p>
        </w:tc>
        <w:tc>
          <w:tcPr>
            <w:tcW w:w="7687" w:type="dxa"/>
            <w:shd w:val="clear" w:color="auto" w:fill="auto"/>
            <w:vAlign w:val="center"/>
          </w:tcPr>
          <w:p w14:paraId="5CFE1BA4">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液晶显示屏1台</w:t>
            </w:r>
          </w:p>
        </w:tc>
      </w:tr>
      <w:tr w14:paraId="25C87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BDD320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4</w:t>
            </w:r>
          </w:p>
        </w:tc>
        <w:tc>
          <w:tcPr>
            <w:tcW w:w="7687" w:type="dxa"/>
            <w:shd w:val="clear" w:color="auto" w:fill="auto"/>
            <w:vAlign w:val="center"/>
          </w:tcPr>
          <w:p w14:paraId="4167615A">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视频存储</w:t>
            </w:r>
            <w:r>
              <w:rPr>
                <w:rFonts w:hint="eastAsia" w:ascii="宋体" w:hAnsi="宋体" w:eastAsia="宋体" w:cs="宋体"/>
                <w:b w:val="0"/>
                <w:bCs w:val="0"/>
                <w:color w:val="000000"/>
                <w:kern w:val="0"/>
                <w:sz w:val="21"/>
                <w:szCs w:val="21"/>
                <w:lang w:eastAsia="zh-CN"/>
              </w:rPr>
              <w:t>中心</w:t>
            </w:r>
            <w:r>
              <w:rPr>
                <w:rFonts w:hint="eastAsia" w:ascii="宋体" w:hAnsi="宋体" w:eastAsia="宋体" w:cs="宋体"/>
                <w:b w:val="0"/>
                <w:bCs w:val="0"/>
                <w:color w:val="000000"/>
                <w:kern w:val="0"/>
                <w:sz w:val="21"/>
                <w:szCs w:val="21"/>
              </w:rPr>
              <w:t>1套</w:t>
            </w:r>
          </w:p>
        </w:tc>
      </w:tr>
      <w:tr w14:paraId="0639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27E419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5</w:t>
            </w:r>
          </w:p>
        </w:tc>
        <w:tc>
          <w:tcPr>
            <w:tcW w:w="7687" w:type="dxa"/>
            <w:shd w:val="clear" w:color="auto" w:fill="auto"/>
            <w:vAlign w:val="center"/>
          </w:tcPr>
          <w:p w14:paraId="7E4898A7">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无线键鼠1套</w:t>
            </w:r>
          </w:p>
        </w:tc>
      </w:tr>
      <w:tr w14:paraId="4FE09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39AB7B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6</w:t>
            </w:r>
          </w:p>
        </w:tc>
        <w:tc>
          <w:tcPr>
            <w:tcW w:w="7687" w:type="dxa"/>
            <w:shd w:val="clear" w:color="auto" w:fill="auto"/>
            <w:vAlign w:val="center"/>
          </w:tcPr>
          <w:p w14:paraId="387EE26A">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系统基站</w:t>
            </w:r>
            <w:r>
              <w:rPr>
                <w:rFonts w:hint="eastAsia" w:ascii="宋体" w:hAnsi="宋体" w:eastAsia="宋体" w:cs="宋体"/>
                <w:b w:val="0"/>
                <w:bCs w:val="0"/>
                <w:color w:val="000000"/>
                <w:kern w:val="0"/>
                <w:sz w:val="21"/>
                <w:szCs w:val="21"/>
              </w:rPr>
              <w:t>1台</w:t>
            </w:r>
          </w:p>
        </w:tc>
      </w:tr>
      <w:tr w14:paraId="297C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6BD074A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7</w:t>
            </w:r>
          </w:p>
        </w:tc>
        <w:tc>
          <w:tcPr>
            <w:tcW w:w="7687" w:type="dxa"/>
            <w:shd w:val="clear" w:color="auto" w:fill="auto"/>
            <w:vAlign w:val="center"/>
          </w:tcPr>
          <w:p w14:paraId="4AD37FAF">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机柜成套1套</w:t>
            </w:r>
          </w:p>
        </w:tc>
      </w:tr>
      <w:tr w14:paraId="75155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E5797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8</w:t>
            </w:r>
          </w:p>
        </w:tc>
        <w:tc>
          <w:tcPr>
            <w:tcW w:w="7687" w:type="dxa"/>
            <w:shd w:val="clear" w:color="auto" w:fill="auto"/>
            <w:vAlign w:val="center"/>
          </w:tcPr>
          <w:p w14:paraId="6C6B5529">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数据交换中心</w:t>
            </w:r>
            <w:r>
              <w:rPr>
                <w:rFonts w:hint="eastAsia" w:ascii="宋体" w:hAnsi="宋体" w:eastAsia="宋体" w:cs="宋体"/>
                <w:b w:val="0"/>
                <w:bCs w:val="0"/>
                <w:color w:val="000000"/>
                <w:kern w:val="0"/>
                <w:sz w:val="21"/>
                <w:szCs w:val="21"/>
              </w:rPr>
              <w:t>1套</w:t>
            </w:r>
          </w:p>
        </w:tc>
      </w:tr>
      <w:tr w14:paraId="593B2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606BF39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31863C79">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61DF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4A994E2A">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1AE1FF25">
            <w:pPr>
              <w:widowControl/>
              <w:adjustRightInd w:val="0"/>
              <w:snapToGrid w:val="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r w14:paraId="128C4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4CB5483">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eastAsia="zh-CN"/>
              </w:rPr>
              <w:t>四、</w:t>
            </w:r>
          </w:p>
        </w:tc>
        <w:tc>
          <w:tcPr>
            <w:tcW w:w="7687" w:type="dxa"/>
            <w:shd w:val="clear" w:color="auto" w:fill="FFFFFF" w:themeFill="background1"/>
            <w:vAlign w:val="center"/>
          </w:tcPr>
          <w:p w14:paraId="4BEA3C9B">
            <w:pPr>
              <w:widowControl/>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sz w:val="21"/>
                <w:szCs w:val="21"/>
              </w:rPr>
              <w:t>中央电子活体AI学习控制机</w:t>
            </w:r>
          </w:p>
        </w:tc>
      </w:tr>
      <w:tr w14:paraId="63C1E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4B5D97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6A7A39C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6AFA6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6A0A6C3">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0A4886A4">
            <w:pPr>
              <w:jc w:val="both"/>
              <w:rPr>
                <w:rFonts w:hint="eastAsia" w:ascii="宋体" w:hAnsi="宋体" w:eastAsia="宋体" w:cs="宋体"/>
                <w:kern w:val="0"/>
                <w:sz w:val="21"/>
                <w:szCs w:val="21"/>
                <w:lang w:val="en-US" w:eastAsia="zh-CN" w:bidi="ar-SA"/>
              </w:rPr>
            </w:pPr>
            <w:r>
              <w:rPr>
                <w:rFonts w:hint="eastAsia" w:ascii="宋体" w:hAnsi="宋体" w:eastAsia="宋体" w:cs="宋体"/>
                <w:b w:val="0"/>
                <w:bCs w:val="0"/>
                <w:color w:val="000000"/>
                <w:kern w:val="0"/>
                <w:sz w:val="21"/>
                <w:szCs w:val="21"/>
              </w:rPr>
              <w:t>策略调控分配运行状态及模式</w:t>
            </w:r>
          </w:p>
        </w:tc>
      </w:tr>
      <w:tr w14:paraId="5533E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B77D295">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40AC78DA">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7B578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094409C4">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center"/>
          </w:tcPr>
          <w:p w14:paraId="7BEECE1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中央电子鱼类活体AI学习控制机</w:t>
            </w:r>
          </w:p>
        </w:tc>
      </w:tr>
      <w:tr w14:paraId="6C65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091FB9A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auto"/>
            <w:vAlign w:val="center"/>
          </w:tcPr>
          <w:p w14:paraId="5C13025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西门子PLC控制，MCGS触摸屏；显示器参数：</w:t>
            </w:r>
          </w:p>
        </w:tc>
      </w:tr>
      <w:tr w14:paraId="1962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CE777D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auto"/>
            <w:vAlign w:val="center"/>
          </w:tcPr>
          <w:p w14:paraId="61D5EBC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10寸，彩色；显示色彩 16M；分辨率：800*480；</w:t>
            </w:r>
          </w:p>
        </w:tc>
      </w:tr>
      <w:tr w14:paraId="4F749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849A5F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1.3</w:t>
            </w:r>
          </w:p>
        </w:tc>
        <w:tc>
          <w:tcPr>
            <w:tcW w:w="7687" w:type="dxa"/>
            <w:shd w:val="clear" w:color="auto" w:fill="auto"/>
            <w:vAlign w:val="center"/>
          </w:tcPr>
          <w:p w14:paraId="5862538D">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内建储存内存；IP65 面板防护等级；内置电源隔离保护；</w:t>
            </w:r>
          </w:p>
        </w:tc>
      </w:tr>
      <w:tr w14:paraId="3EE0C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0D37FC2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1.4</w:t>
            </w:r>
          </w:p>
        </w:tc>
        <w:tc>
          <w:tcPr>
            <w:tcW w:w="7687" w:type="dxa"/>
            <w:shd w:val="clear" w:color="auto" w:fill="auto"/>
            <w:vAlign w:val="center"/>
          </w:tcPr>
          <w:p w14:paraId="4B1FF8E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COM1 RS-485 支持 MPI 187.5K；可接入最多128DI+64DO+128AI+64AO；</w:t>
            </w:r>
          </w:p>
        </w:tc>
      </w:tr>
      <w:tr w14:paraId="0E330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00B22F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1.5</w:t>
            </w:r>
          </w:p>
        </w:tc>
        <w:tc>
          <w:tcPr>
            <w:tcW w:w="7687" w:type="dxa"/>
            <w:shd w:val="clear" w:color="auto" w:fill="auto"/>
            <w:vAlign w:val="center"/>
          </w:tcPr>
          <w:p w14:paraId="3D41525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支持扩展加入第三方串口设备；</w:t>
            </w:r>
          </w:p>
        </w:tc>
      </w:tr>
      <w:tr w14:paraId="26383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1F882C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1.6</w:t>
            </w:r>
          </w:p>
        </w:tc>
        <w:tc>
          <w:tcPr>
            <w:tcW w:w="7687" w:type="dxa"/>
            <w:shd w:val="clear" w:color="auto" w:fill="auto"/>
            <w:vAlign w:val="center"/>
          </w:tcPr>
          <w:p w14:paraId="0D80EAA8">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环境传感器数据采集和远传集成；</w:t>
            </w:r>
          </w:p>
        </w:tc>
      </w:tr>
      <w:tr w14:paraId="7A41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86505CE">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1.7</w:t>
            </w:r>
          </w:p>
        </w:tc>
        <w:tc>
          <w:tcPr>
            <w:tcW w:w="7687" w:type="dxa"/>
            <w:shd w:val="clear" w:color="auto" w:fill="auto"/>
            <w:vAlign w:val="center"/>
          </w:tcPr>
          <w:p w14:paraId="5BB6F5B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按键电控/工控机触控/远程软件/自动控制四种操作模式；</w:t>
            </w:r>
          </w:p>
        </w:tc>
      </w:tr>
      <w:tr w14:paraId="3DBC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63BAE5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1.8</w:t>
            </w:r>
          </w:p>
        </w:tc>
        <w:tc>
          <w:tcPr>
            <w:tcW w:w="7687" w:type="dxa"/>
            <w:shd w:val="clear" w:color="auto" w:fill="auto"/>
            <w:vAlign w:val="center"/>
          </w:tcPr>
          <w:p w14:paraId="27E36991">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以太网/WiFi通信接口；</w:t>
            </w:r>
          </w:p>
        </w:tc>
      </w:tr>
      <w:tr w14:paraId="5E21E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B8AB8DF">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1.9</w:t>
            </w:r>
          </w:p>
        </w:tc>
        <w:tc>
          <w:tcPr>
            <w:tcW w:w="7687" w:type="dxa"/>
            <w:shd w:val="clear" w:color="auto" w:fill="auto"/>
            <w:vAlign w:val="center"/>
          </w:tcPr>
          <w:p w14:paraId="507EA44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漏电保护.AC/DC电源.接触器.热继电器.交换机等配件及辅材；</w:t>
            </w:r>
          </w:p>
        </w:tc>
      </w:tr>
      <w:tr w14:paraId="4DCCA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D67C30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1.10</w:t>
            </w:r>
          </w:p>
        </w:tc>
        <w:tc>
          <w:tcPr>
            <w:tcW w:w="7687" w:type="dxa"/>
            <w:shd w:val="clear" w:color="auto" w:fill="auto"/>
            <w:vAlign w:val="center"/>
          </w:tcPr>
          <w:p w14:paraId="6EFA2E7C">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根据工艺过程可以分为进水.水处理.温控.水质数据显示.增氧.pH条件等，在触摸屏上显示；</w:t>
            </w:r>
          </w:p>
        </w:tc>
      </w:tr>
      <w:tr w14:paraId="7D649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4B94AAE1">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10789A9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中央电子虾蟹类活体AI学习控制机</w:t>
            </w:r>
          </w:p>
        </w:tc>
      </w:tr>
      <w:tr w14:paraId="52393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7102375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w:t>
            </w:r>
          </w:p>
        </w:tc>
        <w:tc>
          <w:tcPr>
            <w:tcW w:w="7687" w:type="dxa"/>
            <w:shd w:val="clear" w:color="auto" w:fill="auto"/>
            <w:vAlign w:val="center"/>
          </w:tcPr>
          <w:p w14:paraId="2170383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西门子PLC控制，MCGS触摸屏；显示器参数：</w:t>
            </w:r>
          </w:p>
        </w:tc>
      </w:tr>
      <w:tr w14:paraId="7EFB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B29332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2.2</w:t>
            </w:r>
          </w:p>
        </w:tc>
        <w:tc>
          <w:tcPr>
            <w:tcW w:w="7687" w:type="dxa"/>
            <w:shd w:val="clear" w:color="auto" w:fill="auto"/>
            <w:vAlign w:val="center"/>
          </w:tcPr>
          <w:p w14:paraId="63D5ED0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10寸，彩色；显示色彩 16M；分辨率：800*480；</w:t>
            </w:r>
          </w:p>
        </w:tc>
      </w:tr>
      <w:tr w14:paraId="335C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7E6925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2.3</w:t>
            </w:r>
          </w:p>
        </w:tc>
        <w:tc>
          <w:tcPr>
            <w:tcW w:w="7687" w:type="dxa"/>
            <w:shd w:val="clear" w:color="auto" w:fill="auto"/>
            <w:vAlign w:val="center"/>
          </w:tcPr>
          <w:p w14:paraId="41013FD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内建储存内存；IP65 面板防护等级；内置电源隔离保护；</w:t>
            </w:r>
          </w:p>
        </w:tc>
      </w:tr>
      <w:tr w14:paraId="7114F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4A5A7B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2.4</w:t>
            </w:r>
          </w:p>
        </w:tc>
        <w:tc>
          <w:tcPr>
            <w:tcW w:w="7687" w:type="dxa"/>
            <w:shd w:val="clear" w:color="auto" w:fill="auto"/>
            <w:vAlign w:val="center"/>
          </w:tcPr>
          <w:p w14:paraId="00454A4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COM1 RS-485 支持 MPI 187.5K；可接入最多128DI+64DO+128AI+64AO；</w:t>
            </w:r>
          </w:p>
        </w:tc>
      </w:tr>
      <w:tr w14:paraId="50F5F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7628DDE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2.5</w:t>
            </w:r>
          </w:p>
        </w:tc>
        <w:tc>
          <w:tcPr>
            <w:tcW w:w="7687" w:type="dxa"/>
            <w:shd w:val="clear" w:color="auto" w:fill="auto"/>
            <w:vAlign w:val="center"/>
          </w:tcPr>
          <w:p w14:paraId="71FA7A7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支持扩展加入第三方串口设备；</w:t>
            </w:r>
          </w:p>
        </w:tc>
      </w:tr>
      <w:tr w14:paraId="11CEA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C8222C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2.6</w:t>
            </w:r>
          </w:p>
        </w:tc>
        <w:tc>
          <w:tcPr>
            <w:tcW w:w="7687" w:type="dxa"/>
            <w:shd w:val="clear" w:color="auto" w:fill="auto"/>
            <w:vAlign w:val="center"/>
          </w:tcPr>
          <w:p w14:paraId="05A1BFC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环境传感器数据采集和远传集成；</w:t>
            </w:r>
          </w:p>
        </w:tc>
      </w:tr>
      <w:tr w14:paraId="436FF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6F434A2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▲2.7</w:t>
            </w:r>
          </w:p>
        </w:tc>
        <w:tc>
          <w:tcPr>
            <w:tcW w:w="7687" w:type="dxa"/>
            <w:shd w:val="clear" w:color="auto" w:fill="auto"/>
            <w:vAlign w:val="center"/>
          </w:tcPr>
          <w:p w14:paraId="2B556900">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按键电控/工控机触控/远程软件/自动控制四种操作模式；</w:t>
            </w:r>
          </w:p>
        </w:tc>
      </w:tr>
      <w:tr w14:paraId="5522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2B6553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2.8</w:t>
            </w:r>
          </w:p>
        </w:tc>
        <w:tc>
          <w:tcPr>
            <w:tcW w:w="7687" w:type="dxa"/>
            <w:shd w:val="clear" w:color="auto" w:fill="auto"/>
            <w:vAlign w:val="center"/>
          </w:tcPr>
          <w:p w14:paraId="2272B832">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以太网/WiFi通信接口；</w:t>
            </w:r>
          </w:p>
        </w:tc>
      </w:tr>
      <w:tr w14:paraId="466E0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1FA74EE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2.9</w:t>
            </w:r>
          </w:p>
        </w:tc>
        <w:tc>
          <w:tcPr>
            <w:tcW w:w="7687" w:type="dxa"/>
            <w:shd w:val="clear" w:color="auto" w:fill="auto"/>
            <w:vAlign w:val="center"/>
          </w:tcPr>
          <w:p w14:paraId="7BC19E0B">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漏电保护.AC/DC电源.接触器.热继电器.交换机等配件及辅材；</w:t>
            </w:r>
          </w:p>
        </w:tc>
      </w:tr>
      <w:tr w14:paraId="6DDDA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4C01B3B3">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2.10</w:t>
            </w:r>
          </w:p>
        </w:tc>
        <w:tc>
          <w:tcPr>
            <w:tcW w:w="7687" w:type="dxa"/>
            <w:shd w:val="clear" w:color="auto" w:fill="auto"/>
            <w:vAlign w:val="center"/>
          </w:tcPr>
          <w:p w14:paraId="7F6DC897">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根据工艺过程可以分为进水.水处理.温控.水质数据显示.增氧.pH条件等，在触摸屏上显示；</w:t>
            </w:r>
          </w:p>
        </w:tc>
      </w:tr>
      <w:tr w14:paraId="22F6D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5AF8E3B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485CDCC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768D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9C81FD0">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0BB65275">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中央电子鱼类活体AI学习控制机7套</w:t>
            </w:r>
          </w:p>
        </w:tc>
      </w:tr>
      <w:tr w14:paraId="59BB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3EAEC37D">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2</w:t>
            </w:r>
          </w:p>
        </w:tc>
        <w:tc>
          <w:tcPr>
            <w:tcW w:w="7687" w:type="dxa"/>
            <w:shd w:val="clear" w:color="auto" w:fill="auto"/>
            <w:vAlign w:val="center"/>
          </w:tcPr>
          <w:p w14:paraId="32DAFD1F">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中央电子虾蟹类活体AI学习控制机9套</w:t>
            </w:r>
          </w:p>
        </w:tc>
      </w:tr>
      <w:tr w14:paraId="6888C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36E0767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525C5F0A">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2125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8BEE8B6">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158212CE">
            <w:pPr>
              <w:widowControl/>
              <w:jc w:val="both"/>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r w14:paraId="4E8CD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1E875BF">
            <w:pPr>
              <w:widowControl/>
              <w:jc w:val="center"/>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eastAsia="zh-CN"/>
              </w:rPr>
              <w:t>五、</w:t>
            </w:r>
          </w:p>
        </w:tc>
        <w:tc>
          <w:tcPr>
            <w:tcW w:w="7687" w:type="dxa"/>
            <w:shd w:val="clear" w:color="auto" w:fill="FFFFFF" w:themeFill="background1"/>
            <w:vAlign w:val="center"/>
          </w:tcPr>
          <w:p w14:paraId="1318E24F">
            <w:pPr>
              <w:widowControl/>
              <w:jc w:val="both"/>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sz w:val="21"/>
                <w:szCs w:val="21"/>
              </w:rPr>
              <w:t>生化系统</w:t>
            </w:r>
          </w:p>
        </w:tc>
      </w:tr>
      <w:tr w14:paraId="6215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7D54DC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w:t>
            </w:r>
          </w:p>
        </w:tc>
        <w:tc>
          <w:tcPr>
            <w:tcW w:w="7687" w:type="dxa"/>
            <w:shd w:val="clear" w:color="auto" w:fill="FFFFFF" w:themeFill="background1"/>
            <w:vAlign w:val="center"/>
          </w:tcPr>
          <w:p w14:paraId="0639F87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eastAsia="zh-CN" w:bidi="ar"/>
              </w:rPr>
              <w:t>主要用途</w:t>
            </w:r>
          </w:p>
        </w:tc>
      </w:tr>
      <w:tr w14:paraId="4804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6359412F">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7687" w:type="dxa"/>
            <w:shd w:val="clear" w:color="auto" w:fill="FFFFFF" w:themeFill="background1"/>
            <w:vAlign w:val="center"/>
          </w:tcPr>
          <w:p w14:paraId="6D39FA20">
            <w:pPr>
              <w:jc w:val="both"/>
              <w:rPr>
                <w:rFonts w:hint="eastAsia" w:ascii="宋体" w:hAnsi="宋体" w:eastAsia="宋体" w:cs="宋体"/>
                <w:kern w:val="0"/>
                <w:sz w:val="21"/>
                <w:szCs w:val="21"/>
                <w:lang w:val="en-US" w:eastAsia="zh-CN" w:bidi="ar-SA"/>
              </w:rPr>
            </w:pPr>
            <w:r>
              <w:rPr>
                <w:rFonts w:hint="eastAsia" w:ascii="宋体" w:hAnsi="宋体" w:eastAsia="宋体" w:cs="宋体"/>
                <w:b w:val="0"/>
                <w:bCs w:val="0"/>
                <w:color w:val="000000"/>
                <w:kern w:val="0"/>
                <w:sz w:val="21"/>
                <w:szCs w:val="21"/>
              </w:rPr>
              <w:t>生化培育</w:t>
            </w:r>
          </w:p>
        </w:tc>
      </w:tr>
      <w:tr w14:paraId="5DBFD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19C64FAE">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w:t>
            </w:r>
          </w:p>
        </w:tc>
        <w:tc>
          <w:tcPr>
            <w:tcW w:w="7687" w:type="dxa"/>
            <w:shd w:val="clear" w:color="auto" w:fill="FFFFFF" w:themeFill="background1"/>
            <w:vAlign w:val="center"/>
          </w:tcPr>
          <w:p w14:paraId="6990D142">
            <w:pPr>
              <w:jc w:val="both"/>
              <w:rPr>
                <w:rFonts w:hint="eastAsia" w:ascii="宋体" w:hAnsi="宋体" w:eastAsia="宋体" w:cs="宋体"/>
                <w:bCs/>
                <w:kern w:val="0"/>
                <w:sz w:val="21"/>
                <w:szCs w:val="21"/>
                <w:lang w:val="en-US" w:eastAsia="zh-CN" w:bidi="ar-SA"/>
              </w:rPr>
            </w:pPr>
            <w:r>
              <w:rPr>
                <w:rFonts w:hint="eastAsia" w:ascii="宋体" w:hAnsi="宋体" w:eastAsia="宋体" w:cs="宋体"/>
                <w:kern w:val="0"/>
                <w:sz w:val="21"/>
                <w:szCs w:val="21"/>
              </w:rPr>
              <w:t>技术参数及指标</w:t>
            </w:r>
          </w:p>
        </w:tc>
      </w:tr>
      <w:tr w14:paraId="4015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FFFFFF" w:themeFill="background1"/>
            <w:vAlign w:val="center"/>
          </w:tcPr>
          <w:p w14:paraId="3CC2FAD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FFFFFF" w:themeFill="background1"/>
            <w:vAlign w:val="bottom"/>
          </w:tcPr>
          <w:p w14:paraId="48746409">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高效生物包</w:t>
            </w:r>
          </w:p>
        </w:tc>
      </w:tr>
      <w:tr w14:paraId="7F4D1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2F696A12">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1.1</w:t>
            </w:r>
          </w:p>
        </w:tc>
        <w:tc>
          <w:tcPr>
            <w:tcW w:w="7687" w:type="dxa"/>
            <w:shd w:val="clear" w:color="auto" w:fill="auto"/>
            <w:vAlign w:val="center"/>
          </w:tcPr>
          <w:p w14:paraId="68FC3915">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材质: PE（聚乙烯）</w:t>
            </w:r>
          </w:p>
        </w:tc>
      </w:tr>
      <w:tr w14:paraId="1F73C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34979CC">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▲1.2</w:t>
            </w:r>
          </w:p>
        </w:tc>
        <w:tc>
          <w:tcPr>
            <w:tcW w:w="7687" w:type="dxa"/>
            <w:shd w:val="clear" w:color="auto" w:fill="auto"/>
            <w:vAlign w:val="center"/>
          </w:tcPr>
          <w:p w14:paraId="3EDC2BBE">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比表面积: ≥1200㎡/m³</w:t>
            </w:r>
          </w:p>
        </w:tc>
      </w:tr>
      <w:tr w14:paraId="7B2E2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58639768">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三</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7E47B10D">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配置要求</w:t>
            </w:r>
          </w:p>
        </w:tc>
      </w:tr>
      <w:tr w14:paraId="0FC3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2CEF769B">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457AA7B3">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高效生物包90m³</w:t>
            </w:r>
          </w:p>
        </w:tc>
      </w:tr>
      <w:tr w14:paraId="7C8D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69" w:hRule="atLeast"/>
        </w:trPr>
        <w:tc>
          <w:tcPr>
            <w:tcW w:w="982" w:type="dxa"/>
            <w:shd w:val="clear" w:color="auto" w:fill="auto"/>
            <w:vAlign w:val="center"/>
          </w:tcPr>
          <w:p w14:paraId="2D3624E9">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rPr>
              <w:t>四</w:t>
            </w:r>
            <w:r>
              <w:rPr>
                <w:rFonts w:hint="eastAsia" w:ascii="宋体" w:hAnsi="宋体" w:eastAsia="宋体" w:cs="宋体"/>
                <w:b w:val="0"/>
                <w:bCs w:val="0"/>
                <w:color w:val="000000"/>
                <w:kern w:val="0"/>
                <w:sz w:val="21"/>
                <w:szCs w:val="21"/>
                <w:lang w:eastAsia="zh-CN"/>
              </w:rPr>
              <w:t>）</w:t>
            </w:r>
          </w:p>
        </w:tc>
        <w:tc>
          <w:tcPr>
            <w:tcW w:w="7687" w:type="dxa"/>
            <w:shd w:val="clear" w:color="auto" w:fill="auto"/>
            <w:vAlign w:val="center"/>
          </w:tcPr>
          <w:p w14:paraId="03E1F238">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售后服务</w:t>
            </w:r>
          </w:p>
        </w:tc>
      </w:tr>
      <w:tr w14:paraId="41F3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982" w:type="dxa"/>
            <w:shd w:val="clear" w:color="auto" w:fill="auto"/>
            <w:vAlign w:val="center"/>
          </w:tcPr>
          <w:p w14:paraId="1D6D3407">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1</w:t>
            </w:r>
          </w:p>
        </w:tc>
        <w:tc>
          <w:tcPr>
            <w:tcW w:w="7687" w:type="dxa"/>
            <w:shd w:val="clear" w:color="auto" w:fill="auto"/>
            <w:vAlign w:val="center"/>
          </w:tcPr>
          <w:p w14:paraId="45AA2F6E">
            <w:pPr>
              <w:widowControl/>
              <w:jc w:val="left"/>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rPr>
              <w:t>一年的免费保修期，技术服务终生</w:t>
            </w:r>
          </w:p>
        </w:tc>
      </w:tr>
    </w:tbl>
    <w:p w14:paraId="3BFE1D91">
      <w:pPr>
        <w:pStyle w:val="114"/>
        <w:pageBreakBefore w:val="0"/>
        <w:tabs>
          <w:tab w:val="left" w:pos="567"/>
        </w:tabs>
        <w:kinsoku/>
        <w:wordWrap/>
        <w:overflowPunct/>
        <w:topLinePunct w:val="0"/>
        <w:bidi w:val="0"/>
        <w:spacing w:line="360" w:lineRule="auto"/>
        <w:ind w:left="0" w:leftChars="0" w:firstLine="0" w:firstLineChars="0"/>
        <w:rPr>
          <w:rFonts w:hint="default" w:ascii="宋体" w:hAnsi="宋体" w:eastAsia="宋体" w:cs="Times New Roman"/>
          <w:b/>
          <w:bCs/>
          <w:spacing w:val="-2"/>
          <w:kern w:val="2"/>
          <w:position w:val="-2"/>
          <w:sz w:val="21"/>
          <w:szCs w:val="22"/>
          <w:lang w:val="en-US" w:eastAsia="zh-CN" w:bidi="ar-SA"/>
        </w:rPr>
      </w:pPr>
    </w:p>
    <w:p w14:paraId="5B70BBC6">
      <w:pPr>
        <w:spacing w:line="360" w:lineRule="auto"/>
        <w:ind w:firstLine="422" w:firstLineChars="200"/>
        <w:rPr>
          <w:rFonts w:hint="default" w:ascii="Times New Roman" w:hAnsi="Calibri" w:eastAsia="宋体" w:cs="Times New Roman"/>
          <w:b/>
          <w:bCs/>
          <w:color w:val="3A1FDF"/>
          <w:kern w:val="0"/>
          <w:lang w:val="en-US" w:eastAsia="zh-CN"/>
        </w:rPr>
      </w:pPr>
      <w:r>
        <w:rPr>
          <w:rFonts w:hint="eastAsia" w:ascii="宋体" w:hAnsi="宋体" w:eastAsia="宋体" w:cs="宋体"/>
          <w:b/>
          <w:bCs/>
          <w:color w:val="auto"/>
          <w:sz w:val="21"/>
          <w:szCs w:val="21"/>
          <w:lang w:val="en-US" w:eastAsia="zh-CN"/>
        </w:rPr>
        <w:t>要求</w:t>
      </w:r>
      <w:r>
        <w:rPr>
          <w:rFonts w:hint="eastAsia" w:ascii="宋体" w:hAnsi="宋体" w:eastAsia="宋体" w:cs="宋体"/>
          <w:b/>
          <w:bCs/>
          <w:color w:val="auto"/>
          <w:sz w:val="21"/>
          <w:szCs w:val="21"/>
        </w:rPr>
        <w:t>提供原厂商授权函</w:t>
      </w:r>
      <w:r>
        <w:rPr>
          <w:rFonts w:hint="eastAsia" w:ascii="宋体" w:hAnsi="宋体" w:eastAsia="宋体" w:cs="宋体"/>
          <w:b/>
          <w:bCs/>
          <w:color w:val="auto"/>
          <w:sz w:val="21"/>
          <w:szCs w:val="21"/>
          <w:lang w:val="en-US" w:eastAsia="zh-CN"/>
        </w:rPr>
        <w:t>和</w:t>
      </w:r>
      <w:r>
        <w:rPr>
          <w:rFonts w:hint="eastAsia" w:ascii="宋体" w:hAnsi="宋体" w:eastAsia="宋体" w:cs="宋体"/>
          <w:b/>
          <w:bCs/>
          <w:color w:val="auto"/>
          <w:sz w:val="21"/>
          <w:szCs w:val="21"/>
        </w:rPr>
        <w:t>原厂商售后服务承诺</w:t>
      </w:r>
      <w:r>
        <w:rPr>
          <w:rFonts w:hint="eastAsia" w:ascii="宋体" w:hAnsi="宋体" w:eastAsia="宋体" w:cs="宋体"/>
          <w:b/>
          <w:bCs/>
          <w:color w:val="auto"/>
          <w:sz w:val="21"/>
          <w:szCs w:val="21"/>
          <w:lang w:val="en-US" w:eastAsia="zh-CN"/>
        </w:rPr>
        <w:t>的</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可以先承诺，</w:t>
      </w:r>
      <w:r>
        <w:rPr>
          <w:rFonts w:hint="eastAsia" w:ascii="宋体" w:hAnsi="宋体" w:eastAsia="宋体" w:cs="宋体"/>
          <w:b/>
          <w:bCs/>
          <w:color w:val="auto"/>
          <w:sz w:val="21"/>
          <w:szCs w:val="21"/>
        </w:rPr>
        <w:t>中标公告期限届满之日内（7个工作日内）提供原厂商的授权函或原厂商售后服务承诺函原件（加盖公章）；</w:t>
      </w:r>
      <w:r>
        <w:rPr>
          <w:rFonts w:hint="eastAsia" w:ascii="宋体" w:hAnsi="宋体" w:eastAsia="宋体" w:cs="宋体"/>
          <w:b/>
          <w:bCs/>
          <w:color w:val="auto"/>
          <w:sz w:val="21"/>
          <w:szCs w:val="21"/>
          <w:lang w:val="en-US" w:eastAsia="zh-CN"/>
        </w:rPr>
        <w:t>已承诺，又</w:t>
      </w:r>
      <w:r>
        <w:rPr>
          <w:rFonts w:hint="eastAsia" w:ascii="宋体" w:hAnsi="宋体" w:eastAsia="宋体" w:cs="宋体"/>
          <w:b/>
          <w:bCs/>
          <w:color w:val="auto"/>
          <w:sz w:val="21"/>
          <w:szCs w:val="21"/>
        </w:rPr>
        <w:t>无法提供作无效标处理，并追究相关责任。</w:t>
      </w:r>
    </w:p>
    <w:p w14:paraId="6753DE8A">
      <w:pPr>
        <w:snapToGrid w:val="0"/>
        <w:spacing w:line="312" w:lineRule="auto"/>
        <w:ind w:firstLine="422" w:firstLineChars="200"/>
        <w:rPr>
          <w:rFonts w:hint="eastAsia" w:ascii="宋体" w:hAnsi="宋体" w:eastAsia="宋体" w:cs="宋体"/>
          <w:b/>
          <w:bCs/>
          <w:color w:val="auto"/>
          <w:kern w:val="0"/>
          <w:sz w:val="21"/>
          <w:szCs w:val="21"/>
        </w:rPr>
      </w:pPr>
      <w:r>
        <w:rPr>
          <w:rFonts w:hint="eastAsia" w:ascii="Times New Roman" w:hAnsi="Calibri" w:eastAsia="宋体" w:cs="Times New Roman"/>
          <w:b/>
          <w:bCs/>
          <w:color w:val="auto"/>
          <w:kern w:val="0"/>
          <w:lang w:val="en-US" w:eastAsia="zh-CN"/>
        </w:rPr>
        <w:t>注：</w:t>
      </w:r>
      <w:r>
        <w:rPr>
          <w:rFonts w:hint="eastAsia" w:ascii="宋体" w:hAnsi="宋体" w:eastAsia="宋体" w:cs="宋体"/>
          <w:b/>
          <w:bCs/>
          <w:color w:val="auto"/>
          <w:kern w:val="0"/>
          <w:sz w:val="21"/>
          <w:szCs w:val="21"/>
        </w:rPr>
        <w:t>所提供的货物必须为合格产品。投标供应商应在投标文件中说明本次投标产品的技术参数是否与官网上公开的技术参数一致，如不一致，要求明确哪些参数不一致，不一致的原因以及使用何种技术可以达到投标产品参数。</w:t>
      </w:r>
    </w:p>
    <w:p w14:paraId="5347B29C">
      <w:pPr>
        <w:pageBreakBefore w:val="0"/>
        <w:kinsoku/>
        <w:wordWrap/>
        <w:overflowPunct/>
        <w:topLinePunct w:val="0"/>
        <w:bidi w:val="0"/>
        <w:snapToGrid w:val="0"/>
        <w:spacing w:line="320" w:lineRule="exac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rPr>
        <w:t xml:space="preserve"> </w:t>
      </w:r>
      <w:r>
        <w:rPr>
          <w:rFonts w:hint="eastAsia" w:ascii="宋体" w:hAnsi="宋体" w:eastAsia="宋体" w:cs="Times New Roman"/>
          <w:b/>
          <w:color w:val="auto"/>
          <w:sz w:val="24"/>
          <w:lang w:val="en-US" w:eastAsia="zh-CN"/>
        </w:rPr>
        <w:t xml:space="preserve">   </w:t>
      </w:r>
      <w:r>
        <w:rPr>
          <w:rFonts w:hint="eastAsia" w:ascii="宋体" w:hAnsi="宋体" w:eastAsia="宋体" w:cs="宋体"/>
          <w:b/>
          <w:bCs/>
          <w:color w:val="auto"/>
          <w:kern w:val="0"/>
          <w:sz w:val="21"/>
          <w:szCs w:val="21"/>
        </w:rPr>
        <w:t>如属于国家强制性产品认证的，中标后（中标公告发布之日起）15个工作日内提供强制性产品认证证书，否则视为放弃中标（成交）资格，并承担相关承任。</w:t>
      </w:r>
    </w:p>
    <w:p w14:paraId="684FD01F">
      <w:pPr>
        <w:pageBreakBefore w:val="0"/>
        <w:kinsoku/>
        <w:wordWrap/>
        <w:overflowPunct/>
        <w:topLinePunct w:val="0"/>
        <w:bidi w:val="0"/>
        <w:snapToGrid w:val="0"/>
        <w:spacing w:line="360" w:lineRule="auto"/>
        <w:rPr>
          <w:rFonts w:hint="eastAsia" w:ascii="宋体" w:hAnsi="宋体" w:eastAsia="宋体" w:cs="Times New Roman"/>
          <w:b/>
          <w:sz w:val="24"/>
          <w:lang w:val="en-US" w:eastAsia="zh-CN"/>
        </w:rPr>
      </w:pPr>
    </w:p>
    <w:p w14:paraId="77D34AEB">
      <w:pPr>
        <w:pageBreakBefore w:val="0"/>
        <w:kinsoku/>
        <w:wordWrap/>
        <w:overflowPunct/>
        <w:topLinePunct w:val="0"/>
        <w:bidi w:val="0"/>
        <w:snapToGrid w:val="0"/>
        <w:spacing w:line="360" w:lineRule="auto"/>
        <w:rPr>
          <w:rFonts w:hint="eastAsia" w:ascii="宋体" w:hAnsi="宋体" w:eastAsia="宋体" w:cs="宋体"/>
          <w:szCs w:val="21"/>
        </w:rPr>
      </w:pPr>
      <w:r>
        <w:rPr>
          <w:rFonts w:hint="eastAsia" w:ascii="宋体" w:hAnsi="宋体" w:eastAsia="宋体" w:cs="Times New Roman"/>
          <w:b/>
          <w:sz w:val="24"/>
          <w:lang w:val="en-US" w:eastAsia="zh-CN"/>
        </w:rPr>
        <w:t>三</w:t>
      </w:r>
      <w:r>
        <w:rPr>
          <w:rFonts w:hint="eastAsia" w:ascii="宋体" w:hAnsi="宋体" w:eastAsia="宋体" w:cs="Times New Roman"/>
          <w:b/>
          <w:sz w:val="24"/>
        </w:rPr>
        <w:t>、安装、测试与验收要求</w:t>
      </w:r>
    </w:p>
    <w:p w14:paraId="77D36168">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1.安装</w:t>
      </w:r>
    </w:p>
    <w:p w14:paraId="4A8C5EBF">
      <w:pPr>
        <w:pageBreakBefore w:val="0"/>
        <w:kinsoku/>
        <w:wordWrap/>
        <w:overflowPunct/>
        <w:topLinePunct w:val="0"/>
        <w:bidi w:val="0"/>
        <w:adjustRightInd w:val="0"/>
        <w:snapToGrid w:val="0"/>
        <w:spacing w:line="360" w:lineRule="auto"/>
        <w:ind w:firstLine="412" w:firstLineChars="200"/>
        <w:rPr>
          <w:rFonts w:hint="eastAsia" w:ascii="宋体" w:hAnsi="宋体" w:eastAsia="宋体" w:cs="Times New Roman"/>
        </w:rPr>
      </w:pPr>
      <w:r>
        <w:rPr>
          <w:rFonts w:hint="eastAsia" w:ascii="宋体" w:hAnsi="宋体" w:eastAsia="宋体" w:cs="Times New Roman"/>
          <w:spacing w:val="-2"/>
          <w:position w:val="-2"/>
        </w:rPr>
        <w:t>投标人必须提供标书中采购的所有设备安装和维护服务的全</w:t>
      </w:r>
      <w:r>
        <w:rPr>
          <w:rFonts w:hint="eastAsia" w:ascii="宋体" w:hAnsi="宋体" w:eastAsia="宋体" w:cs="Times New Roman"/>
        </w:rPr>
        <w:t>部内容，并在需要的时候配合完成整个设备的调试工作。</w:t>
      </w:r>
    </w:p>
    <w:p w14:paraId="54AFD529">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所有产品均须由投标人送货上门并负责安装调试，采购人不再支付任何费用；</w:t>
      </w:r>
    </w:p>
    <w:p w14:paraId="57A375C6">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自安装工作一开始，投标人应允许采购单位的工作人员一起参与现场的系统安装、测试、诊断及解决遇到的问题等各项工作；</w:t>
      </w:r>
    </w:p>
    <w:p w14:paraId="3CE7B47D">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2.安装地点</w:t>
      </w:r>
    </w:p>
    <w:p w14:paraId="4B0C19FF">
      <w:pPr>
        <w:pageBreakBefore w:val="0"/>
        <w:kinsoku/>
        <w:wordWrap/>
        <w:overflowPunct/>
        <w:topLinePunct w:val="0"/>
        <w:bidi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szCs w:val="21"/>
          <w:lang w:eastAsia="zh-CN"/>
        </w:rPr>
        <w:t>浙江省海洋水产研究所</w:t>
      </w:r>
      <w:r>
        <w:rPr>
          <w:rFonts w:hint="eastAsia" w:ascii="宋体" w:hAnsi="宋体" w:eastAsia="宋体" w:cs="Times New Roman"/>
          <w:bCs/>
        </w:rPr>
        <w:t>指</w:t>
      </w:r>
      <w:r>
        <w:rPr>
          <w:rFonts w:hint="eastAsia" w:ascii="宋体" w:hAnsi="宋体" w:eastAsia="宋体" w:cs="Times New Roman"/>
        </w:rPr>
        <w:t>定地点</w:t>
      </w:r>
    </w:p>
    <w:p w14:paraId="5EBBA03C">
      <w:pPr>
        <w:pageBreakBefore w:val="0"/>
        <w:kinsoku/>
        <w:wordWrap/>
        <w:overflowPunct/>
        <w:topLinePunct w:val="0"/>
        <w:bidi w:val="0"/>
        <w:snapToGrid w:val="0"/>
        <w:spacing w:line="360" w:lineRule="auto"/>
        <w:rPr>
          <w:rFonts w:hint="eastAsia" w:ascii="宋体" w:hAnsi="宋体" w:eastAsia="宋体" w:cs="Times New Roman"/>
          <w:b/>
        </w:rPr>
      </w:pPr>
      <w:r>
        <w:rPr>
          <w:rFonts w:hint="eastAsia" w:ascii="宋体" w:hAnsi="宋体" w:eastAsia="宋体" w:cs="Times New Roman"/>
          <w:b/>
        </w:rPr>
        <w:t>3.验收标准</w:t>
      </w:r>
    </w:p>
    <w:p w14:paraId="4C8A33C6">
      <w:pPr>
        <w:pageBreakBefore w:val="0"/>
        <w:kinsoku/>
        <w:wordWrap/>
        <w:overflowPunct/>
        <w:topLinePunct w:val="0"/>
        <w:bidi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3.1投标人必须派技术人员到现场安装调试，安装完毕投标人派专业人员检查安装质量。</w:t>
      </w:r>
    </w:p>
    <w:p w14:paraId="67947E84">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b/>
        </w:rPr>
      </w:pPr>
      <w:r>
        <w:rPr>
          <w:rFonts w:hint="eastAsia" w:ascii="宋体" w:hAnsi="宋体" w:eastAsia="宋体" w:cs="Times New Roman"/>
        </w:rPr>
        <w:t>3.2 投标人必须为使用单位设计、安装、调试、维修、使用提供足够的技术资料和技术保障。提供有关证明，如产地、出厂合格证、质量保证书和测试合格证等。</w:t>
      </w:r>
    </w:p>
    <w:p w14:paraId="784E9CDE">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3.3 若产品验收时有关技术参数不能满足招标文件技术要求，使用单位有权要求更换，同时有权要求索赔，所产生的一切费用（含所有检验费用）由中标人全部承担。</w:t>
      </w:r>
    </w:p>
    <w:p w14:paraId="07F9119D">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3.4系统测试要求</w:t>
      </w:r>
    </w:p>
    <w:p w14:paraId="30792224">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系统安装完成后，由设备使用单位进行设备或网络测试，投标人必须给予充分的配合。</w:t>
      </w:r>
    </w:p>
    <w:p w14:paraId="694D8EF2">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3.5 单项测试</w:t>
      </w:r>
    </w:p>
    <w:p w14:paraId="6ADA4611">
      <w:pPr>
        <w:pageBreakBefore w:val="0"/>
        <w:kinsoku/>
        <w:wordWrap/>
        <w:overflowPunct/>
        <w:topLinePunct w:val="0"/>
        <w:bidi w:val="0"/>
        <w:adjustRightInd w:val="0"/>
        <w:snapToGrid w:val="0"/>
        <w:spacing w:line="360" w:lineRule="auto"/>
        <w:ind w:firstLine="420" w:firstLineChars="200"/>
        <w:rPr>
          <w:rFonts w:hint="eastAsia" w:ascii="宋体" w:hAnsi="宋体" w:eastAsia="宋体" w:cs="Times New Roman"/>
        </w:rPr>
      </w:pPr>
      <w:r>
        <w:rPr>
          <w:rFonts w:hint="eastAsia" w:ascii="宋体" w:hAnsi="宋体" w:eastAsia="宋体" w:cs="Times New Roman"/>
        </w:rPr>
        <w:t>单项产品安装完成后，由投标人进行产品自身性能的测试。</w:t>
      </w:r>
    </w:p>
    <w:p w14:paraId="02301641">
      <w:pPr>
        <w:pageBreakBefore w:val="0"/>
        <w:widowControl/>
        <w:kinsoku/>
        <w:wordWrap/>
        <w:overflowPunct/>
        <w:topLinePunct w:val="0"/>
        <w:autoSpaceDE w:val="0"/>
        <w:autoSpaceDN w:val="0"/>
        <w:bidi w:val="0"/>
        <w:snapToGrid w:val="0"/>
        <w:spacing w:line="360" w:lineRule="auto"/>
        <w:ind w:right="-53" w:rightChars="-25"/>
        <w:textAlignment w:val="bottom"/>
        <w:rPr>
          <w:rFonts w:hint="eastAsia" w:ascii="宋体" w:hAnsi="宋体" w:eastAsia="宋体" w:cs="Times New Roman"/>
          <w:b/>
          <w:sz w:val="24"/>
        </w:rPr>
      </w:pPr>
    </w:p>
    <w:p w14:paraId="76F65698">
      <w:pPr>
        <w:keepNext w:val="0"/>
        <w:keepLines w:val="0"/>
        <w:pageBreakBefore w:val="0"/>
        <w:widowControl/>
        <w:kinsoku/>
        <w:wordWrap/>
        <w:overflowPunct/>
        <w:topLinePunct w:val="0"/>
        <w:autoSpaceDE w:val="0"/>
        <w:autoSpaceDN w:val="0"/>
        <w:bidi w:val="0"/>
        <w:adjustRightInd/>
        <w:snapToGrid w:val="0"/>
        <w:spacing w:line="360" w:lineRule="auto"/>
        <w:ind w:right="0" w:rightChars="0"/>
        <w:textAlignment w:val="bottom"/>
        <w:rPr>
          <w:rFonts w:ascii="宋体" w:hAnsi="宋体" w:eastAsia="宋体"/>
          <w:b/>
          <w:sz w:val="24"/>
        </w:rPr>
      </w:pPr>
      <w:r>
        <w:rPr>
          <w:rFonts w:hint="eastAsia" w:ascii="Times New Roman" w:hAnsi="Times New Roman" w:eastAsia="宋体"/>
          <w:b/>
          <w:sz w:val="24"/>
        </w:rPr>
        <w:t>四、售后服务与培训要求</w:t>
      </w:r>
    </w:p>
    <w:p w14:paraId="498F546D">
      <w:pPr>
        <w:keepNext w:val="0"/>
        <w:keepLines w:val="0"/>
        <w:pageBreakBefore w:val="0"/>
        <w:kinsoku/>
        <w:wordWrap/>
        <w:overflowPunct/>
        <w:topLinePunct w:val="0"/>
        <w:bidi w:val="0"/>
        <w:adjustRightInd/>
        <w:snapToGrid w:val="0"/>
        <w:spacing w:line="360" w:lineRule="auto"/>
        <w:ind w:right="0" w:rightChars="0" w:firstLine="207" w:firstLineChars="98"/>
        <w:rPr>
          <w:rFonts w:ascii="宋体" w:hAnsi="宋体" w:eastAsia="宋体"/>
          <w:b/>
          <w:szCs w:val="21"/>
        </w:rPr>
      </w:pPr>
      <w:r>
        <w:rPr>
          <w:rFonts w:ascii="宋体" w:hAnsi="宋体" w:eastAsia="宋体"/>
          <w:b/>
          <w:szCs w:val="21"/>
        </w:rPr>
        <w:t>1.</w:t>
      </w:r>
      <w:r>
        <w:rPr>
          <w:rFonts w:hint="eastAsia" w:ascii="宋体" w:hAnsi="宋体" w:eastAsia="宋体"/>
          <w:b/>
          <w:szCs w:val="21"/>
        </w:rPr>
        <w:t>售后服务</w:t>
      </w:r>
    </w:p>
    <w:p w14:paraId="073F394D">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ascii="宋体" w:hAnsi="宋体" w:eastAsia="宋体"/>
        </w:rPr>
        <w:t xml:space="preserve">1.1 </w:t>
      </w:r>
      <w:r>
        <w:rPr>
          <w:rFonts w:hint="eastAsia" w:ascii="宋体" w:hAnsi="宋体" w:eastAsia="宋体"/>
        </w:rPr>
        <w:t>质量保证期及备件供应</w:t>
      </w:r>
    </w:p>
    <w:p w14:paraId="3B05201B">
      <w:pPr>
        <w:keepNext w:val="0"/>
        <w:keepLines w:val="0"/>
        <w:pageBreakBefore w:val="0"/>
        <w:kinsoku/>
        <w:wordWrap/>
        <w:overflowPunct/>
        <w:topLinePunct w:val="0"/>
        <w:bidi w:val="0"/>
        <w:adjustRightInd/>
        <w:snapToGrid w:val="0"/>
        <w:spacing w:line="360" w:lineRule="auto"/>
        <w:ind w:right="0" w:rightChars="0" w:firstLine="525" w:firstLineChars="250"/>
        <w:rPr>
          <w:rFonts w:hint="default" w:ascii="宋体" w:hAnsi="宋体" w:eastAsia="宋体"/>
          <w:color w:val="auto"/>
          <w:lang w:val="en-US" w:eastAsia="zh-CN"/>
        </w:rPr>
      </w:pPr>
      <w:r>
        <w:rPr>
          <w:rFonts w:hint="eastAsia" w:ascii="宋体" w:hAnsi="宋体" w:eastAsia="宋体"/>
          <w:color w:val="auto"/>
        </w:rPr>
        <w:t>自</w:t>
      </w:r>
      <w:r>
        <w:rPr>
          <w:rFonts w:hint="eastAsia" w:ascii="宋体" w:hAnsi="宋体" w:eastAsia="宋体"/>
          <w:color w:val="auto"/>
          <w:lang w:val="en-US" w:eastAsia="zh-CN"/>
        </w:rPr>
        <w:t>系统</w:t>
      </w:r>
      <w:r>
        <w:rPr>
          <w:rFonts w:hint="eastAsia" w:ascii="宋体" w:hAnsi="宋体" w:eastAsia="宋体"/>
          <w:color w:val="auto"/>
        </w:rPr>
        <w:t>设备最终验收合格之日起，投标人提供免费</w:t>
      </w:r>
      <w:r>
        <w:rPr>
          <w:rFonts w:hint="eastAsia" w:ascii="宋体" w:hAnsi="宋体" w:eastAsia="宋体"/>
          <w:color w:val="auto"/>
          <w:lang w:val="en-US" w:eastAsia="zh-CN"/>
        </w:rPr>
        <w:t>一年</w:t>
      </w:r>
      <w:r>
        <w:rPr>
          <w:rFonts w:hint="eastAsia" w:ascii="宋体" w:hAnsi="宋体" w:eastAsia="宋体"/>
          <w:color w:val="auto"/>
        </w:rPr>
        <w:t>保修服务</w:t>
      </w:r>
      <w:r>
        <w:rPr>
          <w:rFonts w:hint="eastAsia" w:ascii="宋体" w:hAnsi="宋体" w:eastAsia="宋体"/>
          <w:color w:val="auto"/>
          <w:lang w:eastAsia="zh-CN"/>
        </w:rPr>
        <w:t>，</w:t>
      </w:r>
      <w:r>
        <w:rPr>
          <w:rFonts w:hint="eastAsia" w:ascii="宋体" w:hAnsi="宋体" w:eastAsia="宋体" w:cs="宋体"/>
          <w:color w:val="auto"/>
          <w:sz w:val="21"/>
          <w:szCs w:val="21"/>
          <w:lang w:eastAsia="zh-CN"/>
        </w:rPr>
        <w:t>仪器终生维修。</w:t>
      </w:r>
    </w:p>
    <w:p w14:paraId="76D8180E">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ascii="宋体" w:hAnsi="宋体" w:eastAsia="宋体"/>
        </w:rPr>
        <w:t xml:space="preserve">1.2 </w:t>
      </w:r>
      <w:r>
        <w:rPr>
          <w:rFonts w:hint="eastAsia" w:ascii="宋体" w:hAnsi="宋体" w:eastAsia="宋体"/>
        </w:rPr>
        <w:t>培训计划</w:t>
      </w:r>
    </w:p>
    <w:p w14:paraId="351F4C86">
      <w:pPr>
        <w:keepNext w:val="0"/>
        <w:keepLines w:val="0"/>
        <w:pageBreakBefore w:val="0"/>
        <w:kinsoku/>
        <w:wordWrap/>
        <w:overflowPunct/>
        <w:topLinePunct w:val="0"/>
        <w:bidi w:val="0"/>
        <w:adjustRightInd/>
        <w:snapToGrid w:val="0"/>
        <w:spacing w:line="360" w:lineRule="auto"/>
        <w:ind w:right="0" w:rightChars="0" w:firstLine="525" w:firstLineChars="250"/>
        <w:rPr>
          <w:rFonts w:ascii="宋体" w:hAnsi="宋体" w:eastAsia="宋体"/>
        </w:rPr>
      </w:pPr>
      <w:r>
        <w:rPr>
          <w:rFonts w:hint="eastAsia" w:ascii="宋体" w:hAnsi="宋体" w:eastAsia="宋体"/>
        </w:rPr>
        <w:t>中选人除安装调试时为用户进行免费操作培训外，还必须提供详细免费国内集中培训方案，以保证用户能熟练使用该系统。</w:t>
      </w:r>
    </w:p>
    <w:p w14:paraId="2057E1CE">
      <w:pPr>
        <w:snapToGrid w:val="0"/>
        <w:spacing w:line="360" w:lineRule="auto"/>
        <w:ind w:firstLine="525" w:firstLineChars="250"/>
        <w:rPr>
          <w:rFonts w:ascii="宋体" w:hAnsi="宋体" w:eastAsia="宋体"/>
        </w:rPr>
      </w:pPr>
      <w:r>
        <w:rPr>
          <w:rFonts w:ascii="宋体" w:hAnsi="宋体" w:eastAsia="宋体"/>
        </w:rPr>
        <w:t xml:space="preserve">1.3 </w:t>
      </w:r>
      <w:r>
        <w:rPr>
          <w:rFonts w:hint="eastAsia" w:ascii="宋体" w:hAnsi="宋体" w:eastAsia="宋体"/>
        </w:rPr>
        <w:t>技术服务</w:t>
      </w:r>
    </w:p>
    <w:p w14:paraId="3029B91A">
      <w:pPr>
        <w:snapToGrid w:val="0"/>
        <w:spacing w:line="360" w:lineRule="auto"/>
        <w:ind w:firstLine="420" w:firstLineChars="200"/>
        <w:rPr>
          <w:rFonts w:ascii="宋体" w:hAnsi="宋体" w:eastAsia="宋体"/>
        </w:rPr>
      </w:pPr>
      <w:r>
        <w:rPr>
          <w:rFonts w:hint="eastAsia" w:ascii="宋体" w:hAnsi="宋体" w:eastAsia="宋体"/>
        </w:rPr>
        <w:t>提供快捷、周到、规范的技术服务，仪器设备或系统出现故障时，维修人员在接到通知后应立即应答，并在规定时间内到达现场，及时排除故障。</w:t>
      </w:r>
    </w:p>
    <w:p w14:paraId="079318B9">
      <w:pPr>
        <w:snapToGrid w:val="0"/>
        <w:spacing w:line="360" w:lineRule="auto"/>
        <w:ind w:firstLine="525" w:firstLineChars="250"/>
        <w:rPr>
          <w:rFonts w:ascii="宋体" w:hAnsi="宋体" w:eastAsia="宋体"/>
        </w:rPr>
      </w:pPr>
      <w:r>
        <w:rPr>
          <w:rFonts w:ascii="宋体" w:hAnsi="宋体" w:eastAsia="宋体"/>
        </w:rPr>
        <w:t xml:space="preserve">1.4 </w:t>
      </w:r>
      <w:r>
        <w:rPr>
          <w:rFonts w:hint="eastAsia" w:ascii="宋体" w:hAnsi="宋体" w:eastAsia="宋体"/>
        </w:rPr>
        <w:t>操作维护手册</w:t>
      </w:r>
    </w:p>
    <w:p w14:paraId="4B36ECD0">
      <w:pPr>
        <w:snapToGrid w:val="0"/>
        <w:spacing w:line="360" w:lineRule="auto"/>
        <w:ind w:firstLine="525" w:firstLineChars="250"/>
        <w:rPr>
          <w:rFonts w:ascii="宋体" w:hAnsi="宋体" w:eastAsia="宋体"/>
        </w:rPr>
      </w:pPr>
      <w:r>
        <w:rPr>
          <w:rFonts w:hint="eastAsia" w:ascii="宋体" w:hAnsi="宋体" w:eastAsia="宋体"/>
        </w:rPr>
        <w:t>投标人应提供所有仪器设备详细的英文和中文操作手册，详细的系统操作和维护手册，详细的软件使用手册。</w:t>
      </w:r>
    </w:p>
    <w:p w14:paraId="20DBC63B">
      <w:pPr>
        <w:snapToGrid w:val="0"/>
        <w:spacing w:line="360" w:lineRule="auto"/>
        <w:ind w:firstLine="525" w:firstLineChars="250"/>
        <w:rPr>
          <w:rFonts w:ascii="宋体" w:hAnsi="宋体" w:eastAsia="宋体"/>
        </w:rPr>
      </w:pPr>
      <w:r>
        <w:rPr>
          <w:rFonts w:ascii="宋体" w:hAnsi="宋体" w:eastAsia="宋体"/>
        </w:rPr>
        <w:t xml:space="preserve">1.5 </w:t>
      </w:r>
      <w:r>
        <w:rPr>
          <w:rFonts w:hint="eastAsia" w:ascii="宋体" w:hAnsi="宋体" w:eastAsia="宋体"/>
        </w:rPr>
        <w:t>专用工具</w:t>
      </w:r>
    </w:p>
    <w:p w14:paraId="0F7FB89E">
      <w:pPr>
        <w:snapToGrid w:val="0"/>
        <w:spacing w:line="360" w:lineRule="auto"/>
        <w:ind w:firstLine="525" w:firstLineChars="250"/>
        <w:rPr>
          <w:rFonts w:ascii="宋体" w:hAnsi="宋体" w:eastAsia="宋体"/>
        </w:rPr>
      </w:pPr>
      <w:r>
        <w:rPr>
          <w:rFonts w:hint="eastAsia" w:ascii="宋体" w:hAnsi="宋体" w:eastAsia="宋体"/>
        </w:rPr>
        <w:t>投标人应提供完整的专用工具，以便维护、维修所供仪器设备。</w:t>
      </w:r>
    </w:p>
    <w:p w14:paraId="261FF3C6">
      <w:pPr>
        <w:snapToGrid w:val="0"/>
        <w:spacing w:line="360" w:lineRule="auto"/>
        <w:ind w:firstLine="207" w:firstLineChars="98"/>
        <w:outlineLvl w:val="0"/>
        <w:rPr>
          <w:rFonts w:ascii="宋体" w:hAnsi="宋体" w:eastAsia="宋体"/>
          <w:b/>
          <w:szCs w:val="21"/>
        </w:rPr>
      </w:pPr>
      <w:bookmarkStart w:id="4" w:name="_Toc173749297"/>
      <w:bookmarkStart w:id="5" w:name="_Toc173123575"/>
      <w:bookmarkStart w:id="6" w:name="_Toc172432830"/>
      <w:bookmarkStart w:id="7" w:name="_Toc213418190"/>
      <w:r>
        <w:rPr>
          <w:rFonts w:ascii="宋体" w:hAnsi="宋体" w:eastAsia="宋体"/>
          <w:b/>
          <w:szCs w:val="21"/>
        </w:rPr>
        <w:t>2</w:t>
      </w:r>
      <w:r>
        <w:rPr>
          <w:rFonts w:hint="eastAsia" w:ascii="宋体" w:hAnsi="宋体" w:eastAsia="宋体"/>
          <w:b/>
          <w:szCs w:val="21"/>
          <w:lang w:eastAsia="zh-CN"/>
        </w:rPr>
        <w:t>.</w:t>
      </w:r>
      <w:r>
        <w:rPr>
          <w:rFonts w:hint="eastAsia" w:ascii="宋体" w:hAnsi="宋体" w:eastAsia="宋体"/>
          <w:b/>
          <w:szCs w:val="21"/>
        </w:rPr>
        <w:t>培训要求</w:t>
      </w:r>
      <w:bookmarkEnd w:id="4"/>
      <w:bookmarkEnd w:id="5"/>
      <w:bookmarkEnd w:id="6"/>
      <w:bookmarkEnd w:id="7"/>
    </w:p>
    <w:p w14:paraId="3B45FA76">
      <w:pPr>
        <w:autoSpaceDE w:val="0"/>
        <w:autoSpaceDN w:val="0"/>
        <w:adjustRightInd w:val="0"/>
        <w:snapToGrid w:val="0"/>
        <w:spacing w:line="360" w:lineRule="auto"/>
        <w:ind w:firstLine="420" w:firstLineChars="200"/>
        <w:outlineLvl w:val="0"/>
        <w:rPr>
          <w:rFonts w:ascii="宋体" w:hAnsi="宋体" w:eastAsia="宋体"/>
          <w:lang w:val="zh-CN"/>
        </w:rPr>
      </w:pPr>
      <w:bookmarkStart w:id="8" w:name="_Toc173749298"/>
      <w:bookmarkStart w:id="9" w:name="_Toc173123576"/>
      <w:bookmarkStart w:id="10" w:name="_Toc172432831"/>
      <w:bookmarkStart w:id="11" w:name="_Toc213418191"/>
      <w:r>
        <w:rPr>
          <w:rFonts w:ascii="宋体" w:hAnsi="宋体" w:eastAsia="宋体"/>
          <w:lang w:val="zh-CN"/>
        </w:rPr>
        <w:t xml:space="preserve">2.1 </w:t>
      </w:r>
      <w:r>
        <w:rPr>
          <w:rFonts w:hint="eastAsia" w:ascii="宋体" w:hAnsi="宋体" w:eastAsia="宋体"/>
          <w:lang w:val="zh-CN"/>
        </w:rPr>
        <w:t>培训总则</w:t>
      </w:r>
      <w:bookmarkEnd w:id="8"/>
      <w:bookmarkEnd w:id="9"/>
      <w:bookmarkEnd w:id="10"/>
      <w:bookmarkEnd w:id="11"/>
    </w:p>
    <w:p w14:paraId="528ADD4C">
      <w:pPr>
        <w:autoSpaceDE w:val="0"/>
        <w:autoSpaceDN w:val="0"/>
        <w:adjustRightInd w:val="0"/>
        <w:snapToGrid w:val="0"/>
        <w:spacing w:line="360" w:lineRule="auto"/>
        <w:jc w:val="left"/>
        <w:rPr>
          <w:rFonts w:ascii="宋体" w:hAnsi="宋体" w:eastAsia="宋体"/>
        </w:rPr>
      </w:pPr>
      <w:r>
        <w:rPr>
          <w:rFonts w:ascii="宋体" w:hAnsi="宋体" w:eastAsia="宋体"/>
        </w:rPr>
        <w:t xml:space="preserve">    </w:t>
      </w:r>
      <w:r>
        <w:rPr>
          <w:rFonts w:hint="eastAsia" w:ascii="宋体" w:hAnsi="宋体" w:eastAsia="宋体"/>
        </w:rPr>
        <w:t>投标人</w:t>
      </w:r>
      <w:r>
        <w:rPr>
          <w:rFonts w:hint="eastAsia" w:ascii="MS UI Gothic" w:hAnsi="MS UI Gothic" w:eastAsia="宋体"/>
        </w:rPr>
        <w:t>除安装</w:t>
      </w:r>
      <w:r>
        <w:rPr>
          <w:rFonts w:hint="eastAsia" w:ascii="宋体" w:hAnsi="宋体" w:eastAsia="宋体"/>
        </w:rPr>
        <w:t>调试时为</w:t>
      </w:r>
      <w:r>
        <w:rPr>
          <w:rFonts w:hint="eastAsia" w:ascii="MS UI Gothic" w:hAnsi="MS UI Gothic" w:eastAsia="宋体"/>
        </w:rPr>
        <w:t>用</w:t>
      </w:r>
      <w:r>
        <w:rPr>
          <w:rFonts w:hint="eastAsia" w:ascii="宋体" w:hAnsi="宋体" w:eastAsia="宋体"/>
        </w:rPr>
        <w:t>户进</w:t>
      </w:r>
      <w:r>
        <w:rPr>
          <w:rFonts w:hint="eastAsia" w:ascii="MS UI Gothic" w:hAnsi="MS UI Gothic" w:eastAsia="宋体"/>
        </w:rPr>
        <w:t>行免</w:t>
      </w:r>
      <w:r>
        <w:rPr>
          <w:rFonts w:hint="eastAsia" w:ascii="宋体" w:hAnsi="宋体" w:eastAsia="宋体"/>
        </w:rPr>
        <w:t>费</w:t>
      </w:r>
      <w:r>
        <w:rPr>
          <w:rFonts w:hint="eastAsia" w:ascii="MS UI Gothic" w:hAnsi="MS UI Gothic" w:eastAsia="宋体"/>
        </w:rPr>
        <w:t>操</w:t>
      </w:r>
      <w:r>
        <w:rPr>
          <w:rFonts w:hint="eastAsia" w:ascii="宋体" w:hAnsi="宋体" w:eastAsia="宋体"/>
        </w:rPr>
        <w:t>作培训</w:t>
      </w:r>
      <w:r>
        <w:rPr>
          <w:rFonts w:hint="eastAsia" w:ascii="MS UI Gothic" w:hAnsi="MS UI Gothic" w:eastAsia="宋体"/>
        </w:rPr>
        <w:t>外，</w:t>
      </w:r>
      <w:r>
        <w:rPr>
          <w:rFonts w:hint="eastAsia" w:ascii="宋体" w:hAnsi="宋体" w:eastAsia="宋体"/>
        </w:rPr>
        <w:t>还</w:t>
      </w:r>
      <w:r>
        <w:rPr>
          <w:rFonts w:hint="eastAsia" w:ascii="MS UI Gothic" w:hAnsi="MS UI Gothic" w:eastAsia="宋体"/>
        </w:rPr>
        <w:t>必</w:t>
      </w:r>
      <w:r>
        <w:rPr>
          <w:rFonts w:hint="eastAsia" w:ascii="宋体" w:hAnsi="宋体" w:eastAsia="宋体"/>
        </w:rPr>
        <w:t>须</w:t>
      </w:r>
      <w:r>
        <w:rPr>
          <w:rFonts w:hint="eastAsia" w:ascii="MS UI Gothic" w:hAnsi="MS UI Gothic" w:eastAsia="宋体"/>
        </w:rPr>
        <w:t>提供</w:t>
      </w:r>
      <w:r>
        <w:rPr>
          <w:rFonts w:hint="eastAsia" w:ascii="宋体" w:hAnsi="宋体" w:eastAsia="宋体"/>
        </w:rPr>
        <w:t>详细</w:t>
      </w:r>
      <w:r>
        <w:rPr>
          <w:rFonts w:hint="eastAsia" w:ascii="MS UI Gothic" w:hAnsi="MS UI Gothic" w:eastAsia="宋体"/>
        </w:rPr>
        <w:t>免</w:t>
      </w:r>
      <w:r>
        <w:rPr>
          <w:rFonts w:hint="eastAsia" w:ascii="宋体" w:hAnsi="宋体" w:eastAsia="宋体"/>
        </w:rPr>
        <w:t>费</w:t>
      </w:r>
      <w:r>
        <w:rPr>
          <w:rFonts w:hint="eastAsia" w:ascii="MS UI Gothic" w:hAnsi="MS UI Gothic" w:eastAsia="宋体"/>
        </w:rPr>
        <w:t>培</w:t>
      </w:r>
      <w:r>
        <w:rPr>
          <w:rFonts w:hint="eastAsia" w:ascii="宋体" w:hAnsi="宋体" w:eastAsia="宋体"/>
        </w:rPr>
        <w:t>训</w:t>
      </w:r>
      <w:r>
        <w:rPr>
          <w:rFonts w:hint="eastAsia" w:ascii="MS UI Gothic" w:hAnsi="MS UI Gothic" w:eastAsia="宋体"/>
        </w:rPr>
        <w:t>方案，以保</w:t>
      </w:r>
      <w:r>
        <w:rPr>
          <w:rFonts w:hint="eastAsia" w:ascii="宋体" w:hAnsi="宋体" w:eastAsia="宋体"/>
        </w:rPr>
        <w:t>证</w:t>
      </w:r>
      <w:r>
        <w:rPr>
          <w:rFonts w:hint="eastAsia" w:ascii="MS UI Gothic" w:hAnsi="MS UI Gothic" w:eastAsia="宋体"/>
        </w:rPr>
        <w:t>用</w:t>
      </w:r>
      <w:r>
        <w:rPr>
          <w:rFonts w:hint="eastAsia" w:ascii="宋体" w:hAnsi="宋体" w:eastAsia="宋体"/>
        </w:rPr>
        <w:t>户</w:t>
      </w:r>
      <w:r>
        <w:rPr>
          <w:rFonts w:hint="eastAsia" w:ascii="MS UI Gothic" w:hAnsi="MS UI Gothic" w:eastAsia="宋体"/>
        </w:rPr>
        <w:t>能熟</w:t>
      </w:r>
      <w:r>
        <w:rPr>
          <w:rFonts w:hint="eastAsia" w:ascii="宋体" w:hAnsi="宋体" w:eastAsia="宋体"/>
        </w:rPr>
        <w:t>练</w:t>
      </w:r>
      <w:r>
        <w:rPr>
          <w:rFonts w:hint="eastAsia" w:ascii="MS UI Gothic" w:hAnsi="MS UI Gothic" w:eastAsia="宋体"/>
        </w:rPr>
        <w:t>使用</w:t>
      </w:r>
      <w:r>
        <w:rPr>
          <w:rFonts w:hint="eastAsia" w:ascii="宋体" w:hAnsi="宋体" w:eastAsia="宋体"/>
        </w:rPr>
        <w:t>该</w:t>
      </w:r>
      <w:r>
        <w:rPr>
          <w:rFonts w:hint="eastAsia" w:ascii="MS UI Gothic" w:hAnsi="MS UI Gothic" w:eastAsia="宋体"/>
        </w:rPr>
        <w:t>系</w:t>
      </w:r>
      <w:r>
        <w:rPr>
          <w:rFonts w:hint="eastAsia" w:ascii="宋体" w:hAnsi="宋体" w:eastAsia="宋体"/>
        </w:rPr>
        <w:t>统</w:t>
      </w:r>
      <w:r>
        <w:rPr>
          <w:rFonts w:hint="eastAsia" w:ascii="MS UI Gothic" w:hAnsi="MS UI Gothic" w:eastAsia="宋体"/>
        </w:rPr>
        <w:t>。</w:t>
      </w:r>
    </w:p>
    <w:p w14:paraId="5DD307F6">
      <w:pPr>
        <w:autoSpaceDE w:val="0"/>
        <w:autoSpaceDN w:val="0"/>
        <w:adjustRightInd w:val="0"/>
        <w:snapToGrid w:val="0"/>
        <w:spacing w:line="360" w:lineRule="auto"/>
        <w:ind w:firstLine="420" w:firstLineChars="200"/>
        <w:jc w:val="left"/>
        <w:outlineLvl w:val="0"/>
        <w:rPr>
          <w:rFonts w:ascii="宋体" w:hAnsi="宋体" w:eastAsia="宋体"/>
          <w:lang w:val="zh-CN"/>
        </w:rPr>
      </w:pPr>
      <w:bookmarkStart w:id="12" w:name="_Toc173123577"/>
      <w:bookmarkStart w:id="13" w:name="_Toc172432832"/>
      <w:bookmarkStart w:id="14" w:name="_Toc173749299"/>
      <w:bookmarkStart w:id="15" w:name="_Toc213418192"/>
      <w:r>
        <w:rPr>
          <w:rFonts w:ascii="宋体" w:hAnsi="宋体" w:eastAsia="宋体"/>
          <w:lang w:val="zh-CN"/>
        </w:rPr>
        <w:t xml:space="preserve">2.2 </w:t>
      </w:r>
      <w:r>
        <w:rPr>
          <w:rFonts w:hint="eastAsia" w:ascii="宋体" w:hAnsi="宋体" w:eastAsia="宋体"/>
          <w:lang w:val="zh-CN"/>
        </w:rPr>
        <w:t>培训费用</w:t>
      </w:r>
      <w:bookmarkEnd w:id="12"/>
      <w:bookmarkEnd w:id="13"/>
      <w:bookmarkEnd w:id="14"/>
      <w:bookmarkEnd w:id="15"/>
    </w:p>
    <w:p w14:paraId="5957429E">
      <w:pPr>
        <w:autoSpaceDE w:val="0"/>
        <w:autoSpaceDN w:val="0"/>
        <w:adjustRightInd w:val="0"/>
        <w:snapToGrid w:val="0"/>
        <w:spacing w:line="360" w:lineRule="auto"/>
        <w:ind w:firstLine="420" w:firstLineChars="200"/>
        <w:jc w:val="left"/>
        <w:outlineLvl w:val="0"/>
        <w:rPr>
          <w:rFonts w:ascii="宋体" w:hAnsi="宋体" w:eastAsia="宋体"/>
          <w:lang w:val="zh-CN"/>
        </w:rPr>
      </w:pPr>
      <w:r>
        <w:rPr>
          <w:rFonts w:hint="eastAsia" w:ascii="宋体" w:hAnsi="宋体" w:eastAsia="宋体"/>
          <w:lang w:val="zh-CN"/>
        </w:rPr>
        <w:t>所有的培训费用必须计入投标总价。</w:t>
      </w:r>
    </w:p>
    <w:p w14:paraId="7DE3129B">
      <w:pPr>
        <w:pageBreakBefore w:val="0"/>
        <w:widowControl/>
        <w:kinsoku/>
        <w:wordWrap/>
        <w:overflowPunct/>
        <w:topLinePunct w:val="0"/>
        <w:autoSpaceDE w:val="0"/>
        <w:autoSpaceDN w:val="0"/>
        <w:bidi w:val="0"/>
        <w:snapToGrid w:val="0"/>
        <w:spacing w:line="320" w:lineRule="exact"/>
        <w:ind w:right="-53" w:rightChars="-25"/>
        <w:textAlignment w:val="bottom"/>
        <w:rPr>
          <w:rFonts w:hint="eastAsia" w:ascii="宋体" w:hAnsi="宋体" w:eastAsia="宋体" w:cs="Times New Roman"/>
          <w:b/>
          <w:sz w:val="24"/>
          <w:lang w:val="en-US" w:eastAsia="zh-CN"/>
        </w:rPr>
      </w:pPr>
    </w:p>
    <w:p w14:paraId="27A1B590">
      <w:pPr>
        <w:pageBreakBefore w:val="0"/>
        <w:widowControl/>
        <w:kinsoku/>
        <w:wordWrap/>
        <w:overflowPunct/>
        <w:topLinePunct w:val="0"/>
        <w:autoSpaceDE w:val="0"/>
        <w:autoSpaceDN w:val="0"/>
        <w:bidi w:val="0"/>
        <w:snapToGrid w:val="0"/>
        <w:spacing w:line="360" w:lineRule="auto"/>
        <w:ind w:right="-53" w:rightChars="-25"/>
        <w:textAlignment w:val="bottom"/>
        <w:rPr>
          <w:rFonts w:hint="eastAsia" w:ascii="宋体" w:hAnsi="宋体" w:eastAsia="宋体" w:cs="Times New Roman"/>
          <w:b/>
          <w:sz w:val="24"/>
        </w:rPr>
      </w:pPr>
      <w:r>
        <w:rPr>
          <w:rFonts w:hint="eastAsia" w:ascii="宋体" w:hAnsi="宋体" w:eastAsia="宋体" w:cs="Times New Roman"/>
          <w:b/>
          <w:sz w:val="24"/>
          <w:lang w:val="en-US" w:eastAsia="zh-CN"/>
        </w:rPr>
        <w:t>五、</w:t>
      </w:r>
      <w:r>
        <w:rPr>
          <w:rFonts w:hint="eastAsia" w:ascii="宋体" w:hAnsi="宋体" w:eastAsia="宋体" w:cs="Times New Roman"/>
          <w:b/>
          <w:sz w:val="24"/>
        </w:rPr>
        <w:t>到货要求</w:t>
      </w:r>
    </w:p>
    <w:p w14:paraId="1F2A2B17">
      <w:pPr>
        <w:pageBreakBefore w:val="0"/>
        <w:tabs>
          <w:tab w:val="left" w:pos="624"/>
        </w:tabs>
        <w:kinsoku/>
        <w:wordWrap/>
        <w:overflowPunct/>
        <w:topLinePunct w:val="0"/>
        <w:autoSpaceDE w:val="0"/>
        <w:autoSpaceDN w:val="0"/>
        <w:bidi w:val="0"/>
        <w:adjustRightInd w:val="0"/>
        <w:snapToGrid w:val="0"/>
        <w:spacing w:line="360" w:lineRule="auto"/>
        <w:ind w:firstLine="360"/>
        <w:rPr>
          <w:rFonts w:hint="eastAsia" w:ascii="宋体" w:hAnsi="宋体" w:eastAsia="宋体" w:cs="Times New Roman"/>
          <w:lang w:val="zh-CN"/>
        </w:rPr>
      </w:pPr>
      <w:r>
        <w:rPr>
          <w:rFonts w:hint="eastAsia" w:ascii="宋体" w:hAnsi="宋体" w:eastAsia="宋体" w:cs="Times New Roman"/>
          <w:lang w:val="zh-CN"/>
        </w:rPr>
        <w:t>1.交货期要求</w:t>
      </w:r>
    </w:p>
    <w:p w14:paraId="4B8EB1AE">
      <w:pPr>
        <w:pageBreakBefore w:val="0"/>
        <w:kinsoku/>
        <w:wordWrap/>
        <w:overflowPunct/>
        <w:topLinePunct w:val="0"/>
        <w:autoSpaceDE w:val="0"/>
        <w:autoSpaceDN w:val="0"/>
        <w:bidi w:val="0"/>
        <w:adjustRightInd w:val="0"/>
        <w:snapToGrid w:val="0"/>
        <w:spacing w:line="360" w:lineRule="auto"/>
        <w:ind w:firstLine="627" w:firstLineChars="299"/>
        <w:rPr>
          <w:rFonts w:hint="default" w:ascii="宋体" w:hAnsi="宋体" w:eastAsia="宋体" w:cs="Times New Roman"/>
          <w:color w:val="FF0000"/>
          <w:lang w:val="en-US" w:eastAsia="zh-CN"/>
        </w:rPr>
      </w:pPr>
      <w:r>
        <w:rPr>
          <w:rFonts w:hint="eastAsia" w:ascii="宋体" w:hAnsi="宋体" w:eastAsia="宋体" w:cs="Times New Roman"/>
          <w:color w:val="auto"/>
        </w:rPr>
        <w:t>合同</w:t>
      </w:r>
      <w:r>
        <w:rPr>
          <w:rFonts w:hint="eastAsia" w:ascii="宋体" w:hAnsi="宋体" w:eastAsia="宋体" w:cs="Times New Roman"/>
          <w:color w:val="auto"/>
          <w:lang w:val="en-US" w:eastAsia="zh-CN"/>
        </w:rPr>
        <w:t>签订后90天</w:t>
      </w:r>
      <w:r>
        <w:rPr>
          <w:rFonts w:hint="eastAsia" w:ascii="宋体" w:hAnsi="宋体" w:eastAsia="宋体" w:cs="Times New Roman"/>
          <w:color w:val="auto"/>
        </w:rPr>
        <w:t>内完成设备供货、安装、调试并进入试运行。</w:t>
      </w:r>
      <w:r>
        <w:rPr>
          <w:rFonts w:hint="eastAsia" w:ascii="宋体" w:hAnsi="宋体" w:eastAsia="宋体" w:cs="Times New Roman"/>
          <w:color w:val="auto"/>
          <w:lang w:val="en-US" w:eastAsia="zh-CN"/>
        </w:rPr>
        <w:t xml:space="preserve"> </w:t>
      </w:r>
    </w:p>
    <w:p w14:paraId="3765BE5E">
      <w:pPr>
        <w:pageBreakBefore w:val="0"/>
        <w:kinsoku/>
        <w:wordWrap/>
        <w:overflowPunct/>
        <w:topLinePunct w:val="0"/>
        <w:autoSpaceDE w:val="0"/>
        <w:autoSpaceDN w:val="0"/>
        <w:bidi w:val="0"/>
        <w:adjustRightInd w:val="0"/>
        <w:snapToGrid w:val="0"/>
        <w:spacing w:line="360" w:lineRule="auto"/>
        <w:ind w:firstLine="360"/>
        <w:rPr>
          <w:rFonts w:hint="eastAsia" w:ascii="宋体" w:hAnsi="宋体" w:eastAsia="宋体" w:cs="Times New Roman"/>
          <w:lang w:val="zh-CN"/>
        </w:rPr>
      </w:pPr>
      <w:r>
        <w:rPr>
          <w:rFonts w:hint="eastAsia" w:ascii="宋体" w:hAnsi="宋体" w:eastAsia="宋体" w:cs="Times New Roman"/>
          <w:lang w:val="zh-CN"/>
        </w:rPr>
        <w:t>2.交货地点要求</w:t>
      </w:r>
    </w:p>
    <w:p w14:paraId="6E0A0EBC">
      <w:pPr>
        <w:pageBreakBefore w:val="0"/>
        <w:kinsoku/>
        <w:wordWrap/>
        <w:overflowPunct/>
        <w:topLinePunct w:val="0"/>
        <w:autoSpaceDE w:val="0"/>
        <w:autoSpaceDN w:val="0"/>
        <w:bidi w:val="0"/>
        <w:adjustRightInd w:val="0"/>
        <w:snapToGrid w:val="0"/>
        <w:spacing w:line="360" w:lineRule="auto"/>
        <w:ind w:left="1257" w:hanging="480"/>
        <w:rPr>
          <w:rFonts w:hint="eastAsia" w:ascii="宋体" w:hAnsi="宋体" w:eastAsia="宋体" w:cs="Times New Roman"/>
          <w:lang w:val="zh-CN"/>
        </w:rPr>
      </w:pPr>
      <w:r>
        <w:rPr>
          <w:rFonts w:hint="eastAsia" w:ascii="宋体" w:hAnsi="宋体" w:eastAsia="宋体" w:cs="Times New Roman"/>
          <w:lang w:val="zh-CN"/>
        </w:rPr>
        <w:t>2.1 交货地点：使用单位——</w:t>
      </w:r>
      <w:r>
        <w:rPr>
          <w:rFonts w:hint="eastAsia" w:ascii="宋体" w:hAnsi="宋体" w:eastAsia="宋体" w:cs="Times New Roman"/>
          <w:szCs w:val="21"/>
          <w:lang w:eastAsia="zh-CN"/>
        </w:rPr>
        <w:t>浙江省海洋水产研究所</w:t>
      </w:r>
      <w:r>
        <w:rPr>
          <w:rFonts w:hint="eastAsia" w:ascii="宋体" w:hAnsi="宋体" w:eastAsia="宋体" w:cs="Times New Roman"/>
          <w:lang w:val="zh-CN"/>
        </w:rPr>
        <w:t>指定地点。</w:t>
      </w:r>
    </w:p>
    <w:p w14:paraId="3322DA33">
      <w:pPr>
        <w:pageBreakBefore w:val="0"/>
        <w:kinsoku/>
        <w:wordWrap/>
        <w:overflowPunct/>
        <w:topLinePunct w:val="0"/>
        <w:bidi w:val="0"/>
        <w:adjustRightInd w:val="0"/>
        <w:snapToGrid w:val="0"/>
        <w:spacing w:line="360" w:lineRule="auto"/>
        <w:ind w:left="1197" w:leftChars="370" w:hanging="420" w:hangingChars="200"/>
        <w:rPr>
          <w:rFonts w:hint="eastAsia" w:eastAsia="宋体"/>
          <w:b/>
          <w:sz w:val="24"/>
        </w:rPr>
      </w:pPr>
      <w:r>
        <w:rPr>
          <w:rFonts w:ascii="Times New Roman" w:hAnsi="Times New Roman" w:eastAsia="宋体" w:cs="Times New Roman"/>
          <w:lang w:val="zh-CN"/>
        </w:rPr>
        <w:t xml:space="preserve">2.2 </w:t>
      </w:r>
      <w:r>
        <w:rPr>
          <w:rFonts w:hint="eastAsia" w:ascii="宋体" w:hAnsi="宋体" w:eastAsia="宋体" w:cs="Times New Roman"/>
        </w:rPr>
        <w:t>投标人须派专业人员将产品送到指定地点，其所有费用由投标人承担。</w:t>
      </w:r>
    </w:p>
    <w:p w14:paraId="299C62C0">
      <w:pPr>
        <w:pageBreakBefore w:val="0"/>
        <w:kinsoku/>
        <w:wordWrap/>
        <w:overflowPunct/>
        <w:topLinePunct w:val="0"/>
        <w:bidi w:val="0"/>
        <w:spacing w:line="320" w:lineRule="exact"/>
        <w:outlineLvl w:val="0"/>
        <w:rPr>
          <w:rFonts w:hint="eastAsia" w:eastAsia="宋体"/>
          <w:b/>
          <w:sz w:val="24"/>
          <w:lang w:val="en-US" w:eastAsia="zh-CN"/>
        </w:rPr>
      </w:pPr>
    </w:p>
    <w:p w14:paraId="2906A182">
      <w:pPr>
        <w:pageBreakBefore w:val="0"/>
        <w:kinsoku/>
        <w:wordWrap/>
        <w:overflowPunct/>
        <w:topLinePunct w:val="0"/>
        <w:bidi w:val="0"/>
        <w:spacing w:line="360" w:lineRule="auto"/>
        <w:outlineLvl w:val="0"/>
        <w:rPr>
          <w:rFonts w:hint="eastAsia" w:eastAsia="宋体"/>
          <w:b/>
          <w:color w:val="auto"/>
          <w:sz w:val="24"/>
        </w:rPr>
      </w:pPr>
      <w:r>
        <w:rPr>
          <w:rFonts w:hint="eastAsia" w:eastAsia="宋体"/>
          <w:b/>
          <w:sz w:val="24"/>
          <w:lang w:val="en-US" w:eastAsia="zh-CN"/>
        </w:rPr>
        <w:t>六</w:t>
      </w:r>
      <w:r>
        <w:rPr>
          <w:rFonts w:hint="eastAsia" w:eastAsia="宋体"/>
          <w:b/>
          <w:sz w:val="24"/>
        </w:rPr>
        <w:t>、</w:t>
      </w:r>
      <w:r>
        <w:rPr>
          <w:rFonts w:hint="eastAsia" w:eastAsia="宋体"/>
          <w:b/>
          <w:color w:val="auto"/>
          <w:sz w:val="24"/>
        </w:rPr>
        <w:t>付款方式</w:t>
      </w:r>
    </w:p>
    <w:p w14:paraId="33EEF5C3">
      <w:pPr>
        <w:pageBreakBefore w:val="0"/>
        <w:kinsoku/>
        <w:wordWrap/>
        <w:overflowPunct/>
        <w:topLinePunct w:val="0"/>
        <w:bidi w:val="0"/>
        <w:spacing w:line="360" w:lineRule="auto"/>
        <w:ind w:firstLine="420" w:firstLineChars="200"/>
        <w:outlineLvl w:val="0"/>
        <w:rPr>
          <w:rFonts w:hint="eastAsia" w:ascii="宋体" w:hAnsi="宋体" w:eastAsia="宋体"/>
          <w:b w:val="0"/>
          <w:bCs w:val="0"/>
          <w:color w:val="auto"/>
          <w:szCs w:val="21"/>
        </w:rPr>
      </w:pPr>
      <w:r>
        <w:rPr>
          <w:rFonts w:hint="eastAsia" w:ascii="宋体" w:hAnsi="宋体" w:eastAsia="宋体"/>
          <w:b w:val="0"/>
          <w:bCs w:val="0"/>
          <w:color w:val="auto"/>
          <w:szCs w:val="21"/>
        </w:rPr>
        <w:t>合同生效以及具备实施条件</w:t>
      </w:r>
      <w:r>
        <w:rPr>
          <w:rFonts w:hint="eastAsia" w:ascii="宋体" w:hAnsi="宋体" w:eastAsia="宋体"/>
          <w:b w:val="0"/>
          <w:bCs w:val="0"/>
          <w:color w:val="auto"/>
          <w:szCs w:val="21"/>
          <w:lang w:eastAsia="zh-CN"/>
        </w:rPr>
        <w:t>，</w:t>
      </w:r>
      <w:r>
        <w:rPr>
          <w:rFonts w:hint="eastAsia" w:ascii="宋体" w:hAnsi="宋体" w:eastAsia="宋体"/>
          <w:b w:val="0"/>
          <w:bCs w:val="0"/>
          <w:color w:val="auto"/>
          <w:szCs w:val="21"/>
        </w:rPr>
        <w:t>支付合同金额的</w:t>
      </w:r>
      <w:r>
        <w:rPr>
          <w:rFonts w:hint="eastAsia" w:ascii="宋体" w:hAnsi="宋体" w:eastAsia="宋体"/>
          <w:b w:val="0"/>
          <w:bCs w:val="0"/>
          <w:color w:val="auto"/>
          <w:szCs w:val="21"/>
          <w:lang w:val="en-US" w:eastAsia="zh-CN"/>
        </w:rPr>
        <w:t>6</w:t>
      </w:r>
      <w:r>
        <w:rPr>
          <w:rFonts w:hint="eastAsia" w:ascii="宋体" w:hAnsi="宋体" w:eastAsia="宋体"/>
          <w:b w:val="0"/>
          <w:bCs w:val="0"/>
          <w:color w:val="auto"/>
          <w:szCs w:val="21"/>
        </w:rPr>
        <w:t>0%</w:t>
      </w:r>
      <w:r>
        <w:rPr>
          <w:rFonts w:hint="eastAsia" w:ascii="宋体" w:hAnsi="宋体" w:eastAsia="宋体"/>
          <w:b w:val="0"/>
          <w:bCs w:val="0"/>
          <w:color w:val="auto"/>
          <w:szCs w:val="21"/>
          <w:lang w:val="en-US" w:eastAsia="zh-CN"/>
        </w:rPr>
        <w:t>作</w:t>
      </w:r>
      <w:r>
        <w:rPr>
          <w:rFonts w:hint="eastAsia" w:ascii="宋体" w:hAnsi="宋体" w:eastAsia="宋体"/>
          <w:b w:val="0"/>
          <w:bCs w:val="0"/>
          <w:color w:val="auto"/>
          <w:szCs w:val="21"/>
        </w:rPr>
        <w:t>为预付款，项目完成并通过验收合格后，自收到发票后7个工作日内，支付剩余款项。</w:t>
      </w:r>
    </w:p>
    <w:p w14:paraId="18022A93">
      <w:pPr>
        <w:pageBreakBefore w:val="0"/>
        <w:kinsoku/>
        <w:wordWrap/>
        <w:overflowPunct/>
        <w:topLinePunct w:val="0"/>
        <w:bidi w:val="0"/>
        <w:spacing w:line="320" w:lineRule="exact"/>
        <w:outlineLvl w:val="0"/>
        <w:rPr>
          <w:rFonts w:hint="eastAsia" w:eastAsia="宋体"/>
          <w:b/>
          <w:sz w:val="24"/>
        </w:rPr>
      </w:pPr>
    </w:p>
    <w:p w14:paraId="051EBAED">
      <w:pPr>
        <w:pageBreakBefore w:val="0"/>
        <w:kinsoku/>
        <w:wordWrap/>
        <w:overflowPunct/>
        <w:topLinePunct w:val="0"/>
        <w:bidi w:val="0"/>
        <w:spacing w:line="360" w:lineRule="auto"/>
        <w:outlineLvl w:val="0"/>
        <w:rPr>
          <w:rFonts w:hint="eastAsia" w:eastAsia="宋体"/>
          <w:b/>
          <w:sz w:val="24"/>
        </w:rPr>
      </w:pPr>
      <w:r>
        <w:rPr>
          <w:rFonts w:hint="eastAsia" w:eastAsia="宋体"/>
          <w:b/>
          <w:sz w:val="24"/>
          <w:lang w:val="en-US" w:eastAsia="zh-CN"/>
        </w:rPr>
        <w:t>七</w:t>
      </w:r>
      <w:r>
        <w:rPr>
          <w:rFonts w:hint="eastAsia" w:eastAsia="宋体"/>
          <w:b/>
          <w:sz w:val="24"/>
        </w:rPr>
        <w:t>、报价要求</w:t>
      </w:r>
    </w:p>
    <w:p w14:paraId="351352BB">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1.投标人应根据招标文件报出合同总价。合同总价一旦核实确认，不得再做更改。对投标人漏报致使项目未能达到需求的功能和效果，其费用和后果由投标人自行负责。</w:t>
      </w:r>
    </w:p>
    <w:p w14:paraId="5D40C495">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2.所有报价均应已包含国家规定的所有税费。</w:t>
      </w:r>
    </w:p>
    <w:p w14:paraId="7A4E35EA">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3.投标人报价应包含项目过程中发生的所有费用。</w:t>
      </w:r>
    </w:p>
    <w:p w14:paraId="643AE027">
      <w:pPr>
        <w:pageBreakBefore w:val="0"/>
        <w:kinsoku/>
        <w:wordWrap/>
        <w:overflowPunct/>
        <w:topLinePunct w:val="0"/>
        <w:bidi w:val="0"/>
        <w:spacing w:line="360" w:lineRule="auto"/>
        <w:ind w:firstLine="420" w:firstLineChars="200"/>
        <w:rPr>
          <w:rFonts w:hint="default" w:ascii="宋体" w:hAnsi="宋体" w:eastAsia="宋体" w:cs="Times New Roman"/>
          <w:bCs/>
          <w:szCs w:val="21"/>
          <w:lang w:val="en-US" w:eastAsia="zh-CN"/>
        </w:rPr>
      </w:pPr>
      <w:r>
        <w:rPr>
          <w:rFonts w:hint="eastAsia" w:ascii="宋体" w:hAnsi="宋体" w:eastAsia="宋体" w:cs="Times New Roman"/>
        </w:rPr>
        <w:t>4.投标人免费提供的部件必须注明“免费”或数字“0”，但不能省略，如有严重缺漏项，视为无效标。</w:t>
      </w:r>
      <w:r>
        <w:rPr>
          <w:rFonts w:hint="eastAsia" w:ascii="宋体" w:hAnsi="宋体" w:eastAsia="宋体" w:cs="Times New Roman"/>
          <w:lang w:val="en-US" w:eastAsia="zh-CN"/>
        </w:rPr>
        <w:t>数量增加或减少，按单价进行调整。</w:t>
      </w:r>
    </w:p>
    <w:p w14:paraId="7556EB23">
      <w:pPr>
        <w:pageBreakBefore w:val="0"/>
        <w:tabs>
          <w:tab w:val="left" w:pos="0"/>
        </w:tabs>
        <w:kinsoku/>
        <w:wordWrap/>
        <w:overflowPunct/>
        <w:topLinePunct w:val="0"/>
        <w:bidi w:val="0"/>
        <w:adjustRightInd w:val="0"/>
        <w:snapToGrid w:val="0"/>
        <w:spacing w:line="360" w:lineRule="auto"/>
        <w:ind w:firstLine="420" w:firstLineChars="200"/>
        <w:jc w:val="left"/>
        <w:rPr>
          <w:rFonts w:hint="eastAsia" w:ascii="宋体" w:hAnsi="宋体" w:eastAsia="宋体" w:cs="Times New Roman"/>
          <w:bCs/>
          <w:szCs w:val="21"/>
        </w:rPr>
      </w:pPr>
      <w:r>
        <w:rPr>
          <w:rFonts w:hint="eastAsia" w:ascii="宋体" w:hAnsi="宋体" w:eastAsia="宋体" w:cs="Times New Roman"/>
        </w:rPr>
        <w:t>5.</w:t>
      </w:r>
      <w:r>
        <w:rPr>
          <w:rFonts w:hint="eastAsia" w:ascii="宋体" w:hAnsi="宋体" w:eastAsia="宋体" w:cs="Times New Roman"/>
          <w:bCs/>
          <w:szCs w:val="21"/>
        </w:rPr>
        <w:t>扶持政策说明：</w:t>
      </w:r>
    </w:p>
    <w:p w14:paraId="71E30DB3">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rPr>
        <w:t>（1）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宋体" w:hAnsi="宋体" w:eastAsia="宋体" w:cs="Times New Roman"/>
          <w:b/>
          <w:bCs/>
          <w:lang w:val="en-US" w:eastAsia="zh-CN"/>
        </w:rPr>
        <w:t>本项目不专门面向中小企业，</w:t>
      </w:r>
      <w:r>
        <w:rPr>
          <w:rFonts w:hint="eastAsia" w:ascii="宋体" w:hAnsi="宋体" w:eastAsia="宋体" w:cs="Times New Roman"/>
          <w:b/>
          <w:bCs/>
        </w:rPr>
        <w:t>本项目对应的中小企业划分标准所属行业：工业。(中小企业划型标准:《工信部联企业[2011]300号》)</w:t>
      </w:r>
    </w:p>
    <w:p w14:paraId="374DA588">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未提供完整证明材料的，投标报价不予扣减。</w:t>
      </w:r>
    </w:p>
    <w:p w14:paraId="3BD758C1">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（2）根据《关于政府采购支持监狱企业发展有关问题的通知》（财库[2014]68号）的规定，供应商如为监狱企业且所投产品为小型或微型企业生产的，其投标报价扣除10%后参与评审。</w:t>
      </w:r>
    </w:p>
    <w:p w14:paraId="7456F802">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投标文件中须同时提供：供应商的省级以上监狱管理局、戒毒管理局（含新疆生产建设兵团）出具的属于监狱企业的证明文件，投标产品制造商的小微企业证明，未提供完整证明材料的，投标报价不予扣减。</w:t>
      </w:r>
    </w:p>
    <w:p w14:paraId="65DA66ED">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3B590FFE">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投标文件中须提供：《残疾人福利性单位声明函》，未提供完整证明材料的，投标报价不予扣减。</w:t>
      </w:r>
    </w:p>
    <w:p w14:paraId="6D74FF9A">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上述（1）、（2）、（3）政策不重复计算。</w:t>
      </w:r>
    </w:p>
    <w:p w14:paraId="02F27CD9">
      <w:pPr>
        <w:pageBreakBefore w:val="0"/>
        <w:kinsoku/>
        <w:wordWrap/>
        <w:overflowPunct/>
        <w:topLinePunct w:val="0"/>
        <w:bidi w:val="0"/>
        <w:spacing w:line="360" w:lineRule="auto"/>
        <w:ind w:firstLine="420" w:firstLineChars="200"/>
        <w:rPr>
          <w:rFonts w:hint="eastAsia" w:ascii="宋体" w:hAnsi="宋体" w:eastAsia="宋体" w:cs="Times New Roman"/>
        </w:rPr>
      </w:pPr>
      <w:r>
        <w:rPr>
          <w:rFonts w:hint="eastAsia" w:ascii="宋体" w:hAnsi="宋体" w:eastAsia="宋体" w:cs="Times New Roman"/>
          <w:lang w:val="en-US" w:eastAsia="zh-CN"/>
        </w:rPr>
        <w:t>此项由评标委员会集体核实后统一打分。</w:t>
      </w:r>
    </w:p>
    <w:p w14:paraId="63310FD0">
      <w:pPr>
        <w:pageBreakBefore w:val="0"/>
        <w:kinsoku/>
        <w:wordWrap/>
        <w:overflowPunct/>
        <w:topLinePunct w:val="0"/>
        <w:bidi w:val="0"/>
        <w:adjustRightInd w:val="0"/>
        <w:spacing w:line="360" w:lineRule="auto"/>
        <w:ind w:firstLine="422" w:firstLineChars="200"/>
        <w:rPr>
          <w:rFonts w:hint="eastAsia" w:ascii="宋体" w:hAnsi="宋体" w:eastAsia="宋体" w:cs="Times New Roman"/>
          <w:b/>
          <w:bCs/>
        </w:rPr>
      </w:pPr>
      <w:r>
        <w:rPr>
          <w:rFonts w:hint="eastAsia" w:ascii="宋体" w:hAnsi="宋体" w:eastAsia="宋体" w:cs="Times New Roman"/>
          <w:b/>
          <w:bCs/>
          <w:szCs w:val="21"/>
        </w:rPr>
        <w:t>6.本次项</w:t>
      </w:r>
      <w:r>
        <w:rPr>
          <w:rFonts w:hint="eastAsia" w:ascii="宋体" w:hAnsi="宋体" w:eastAsia="宋体" w:cs="Times New Roman"/>
          <w:b/>
          <w:szCs w:val="21"/>
        </w:rPr>
        <w:t>目的预算金额为</w:t>
      </w:r>
      <w:r>
        <w:rPr>
          <w:rFonts w:hint="eastAsia" w:ascii="宋体" w:hAnsi="宋体" w:eastAsia="宋体" w:cs="Times New Roman"/>
          <w:b/>
          <w:bCs/>
        </w:rPr>
        <w:t>：</w:t>
      </w:r>
      <w:r>
        <w:rPr>
          <w:rFonts w:hint="eastAsia" w:ascii="宋体" w:hAnsi="宋体" w:eastAsia="宋体" w:cs="Times New Roman"/>
          <w:b/>
          <w:bCs/>
          <w:lang w:val="en-US" w:eastAsia="zh-CN"/>
        </w:rPr>
        <w:t>人民币叁佰陆拾万元整（3,600,000.00元）</w:t>
      </w:r>
      <w:r>
        <w:rPr>
          <w:rFonts w:hint="eastAsia" w:ascii="宋体" w:hAnsi="宋体" w:eastAsia="宋体" w:cs="Times New Roman"/>
          <w:b/>
          <w:bCs/>
        </w:rPr>
        <w:t>。</w:t>
      </w:r>
    </w:p>
    <w:p w14:paraId="09E15237">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 投标人须知</w:t>
      </w:r>
    </w:p>
    <w:p w14:paraId="22667146">
      <w:pPr>
        <w:snapToGrid w:val="0"/>
        <w:ind w:firstLine="4340" w:firstLineChars="155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1"/>
        <w:tblW w:w="1073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178"/>
        <w:gridCol w:w="5205"/>
        <w:gridCol w:w="1098"/>
        <w:gridCol w:w="2740"/>
      </w:tblGrid>
      <w:tr w14:paraId="0E5F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741AB6">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10200"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358866">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5433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F080350">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FBC9A1D">
            <w:pPr>
              <w:spacing w:line="240" w:lineRule="exact"/>
              <w:jc w:val="center"/>
              <w:rPr>
                <w:rFonts w:ascii="Times New Roman" w:hAnsi="Times New Roman" w:eastAsia="宋体" w:cs="Times New Roman"/>
                <w:b/>
              </w:rPr>
            </w:pPr>
            <w:r>
              <w:rPr>
                <w:rFonts w:hint="eastAsia" w:ascii="Times New Roman" w:hAnsi="Times New Roman" w:eastAsia="宋体" w:cs="Times New Roman"/>
                <w:b/>
              </w:rPr>
              <w:t>项目名称</w:t>
            </w:r>
          </w:p>
        </w:tc>
        <w:tc>
          <w:tcPr>
            <w:tcW w:w="519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95141B">
            <w:pPr>
              <w:spacing w:line="240" w:lineRule="exact"/>
              <w:rPr>
                <w:rFonts w:hint="eastAsia" w:ascii="Times New Roman" w:hAnsi="Times New Roman" w:eastAsia="宋体" w:cs="Times New Roman"/>
                <w:bCs/>
                <w:lang w:val="zh-CN" w:eastAsia="zh-CN"/>
              </w:rPr>
            </w:pPr>
            <w:r>
              <w:rPr>
                <w:rFonts w:hint="eastAsia" w:ascii="Times New Roman" w:hAnsi="Times New Roman" w:eastAsia="宋体" w:cs="Times New Roman"/>
                <w:lang w:eastAsia="zh-CN"/>
              </w:rPr>
              <w:t>浙北海洋生物种质资源库建设仪器设备采购项目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E613AF">
            <w:pPr>
              <w:spacing w:line="240" w:lineRule="exact"/>
              <w:jc w:val="center"/>
              <w:rPr>
                <w:rFonts w:ascii="Times New Roman" w:hAnsi="Times New Roman" w:eastAsia="宋体" w:cs="Times New Roman"/>
                <w:bCs/>
              </w:rPr>
            </w:pPr>
            <w:r>
              <w:rPr>
                <w:rFonts w:hint="eastAsia" w:ascii="Times New Roman" w:hAnsi="Times New Roman" w:eastAsia="宋体" w:cs="Times New Roman"/>
                <w:b/>
              </w:rPr>
              <w:t>项目编号</w:t>
            </w:r>
          </w:p>
        </w:tc>
        <w:tc>
          <w:tcPr>
            <w:tcW w:w="27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26A255">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SZGXZS2025160</w:t>
            </w:r>
          </w:p>
        </w:tc>
      </w:tr>
      <w:tr w14:paraId="2E92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9D6452">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C313AD7">
            <w:pPr>
              <w:spacing w:line="240" w:lineRule="exact"/>
              <w:jc w:val="center"/>
              <w:rPr>
                <w:rFonts w:ascii="Times New Roman" w:hAnsi="Times New Roman" w:eastAsia="宋体" w:cs="Times New Roman"/>
                <w:b/>
              </w:rPr>
            </w:pPr>
            <w:r>
              <w:rPr>
                <w:rFonts w:hint="eastAsia" w:ascii="Times New Roman" w:hAnsi="Times New Roman" w:eastAsia="宋体" w:cs="Times New Roman"/>
                <w:b/>
              </w:rPr>
              <w:t>采购单位名称</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9BDE3B">
            <w:pPr>
              <w:spacing w:line="240" w:lineRule="exact"/>
              <w:rPr>
                <w:rFonts w:hint="eastAsia" w:ascii="Times New Roman" w:hAnsi="Times New Roman" w:eastAsia="宋体" w:cs="Times New Roman"/>
                <w:bCs/>
                <w:lang w:eastAsia="zh-CN"/>
              </w:rPr>
            </w:pPr>
            <w:r>
              <w:rPr>
                <w:rFonts w:hint="eastAsia" w:ascii="Times New Roman" w:hAnsi="Times New Roman" w:eastAsia="宋体" w:cs="Times New Roman"/>
                <w:lang w:eastAsia="zh-CN"/>
              </w:rPr>
              <w:t>浙江省海洋水产研究所</w:t>
            </w:r>
          </w:p>
        </w:tc>
      </w:tr>
      <w:tr w14:paraId="693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214B3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2FD038">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采购内容</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tbl>
            <w:tblPr>
              <w:tblStyle w:val="62"/>
              <w:tblW w:w="8392"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560"/>
              <w:gridCol w:w="1811"/>
              <w:gridCol w:w="1480"/>
            </w:tblGrid>
            <w:tr w14:paraId="74A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vAlign w:val="center"/>
                </w:tcPr>
                <w:p w14:paraId="24784DE3">
                  <w:pPr>
                    <w:widowControl/>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2800" w:type="dxa"/>
                  <w:vAlign w:val="center"/>
                </w:tcPr>
                <w:p w14:paraId="506CEBAE">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设备名称</w:t>
                  </w:r>
                </w:p>
              </w:tc>
              <w:tc>
                <w:tcPr>
                  <w:tcW w:w="1560" w:type="dxa"/>
                  <w:vAlign w:val="center"/>
                </w:tcPr>
                <w:p w14:paraId="0A05F80F">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811" w:type="dxa"/>
                  <w:vAlign w:val="center"/>
                </w:tcPr>
                <w:p w14:paraId="4136B72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金额</w:t>
                  </w:r>
                  <w:r>
                    <w:rPr>
                      <w:rFonts w:hint="eastAsia" w:ascii="宋体" w:hAnsi="宋体" w:eastAsia="宋体" w:cs="宋体"/>
                      <w:color w:val="auto"/>
                      <w:sz w:val="21"/>
                      <w:szCs w:val="21"/>
                    </w:rPr>
                    <w:t>（万元）</w:t>
                  </w:r>
                </w:p>
              </w:tc>
              <w:tc>
                <w:tcPr>
                  <w:tcW w:w="1480" w:type="dxa"/>
                  <w:vAlign w:val="center"/>
                </w:tcPr>
                <w:p w14:paraId="13FDCC38">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14EB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shd w:val="clear" w:color="auto" w:fill="auto"/>
                  <w:vAlign w:val="center"/>
                </w:tcPr>
                <w:p w14:paraId="2D4A730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800" w:type="dxa"/>
                  <w:shd w:val="clear" w:color="auto" w:fill="auto"/>
                  <w:vAlign w:val="center"/>
                </w:tcPr>
                <w:p w14:paraId="1243C01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遗传多样性分析设备</w:t>
                  </w:r>
                  <w:r>
                    <w:rPr>
                      <w:rFonts w:hint="eastAsia" w:ascii="宋体" w:hAnsi="宋体" w:eastAsia="宋体" w:cs="宋体"/>
                      <w:color w:val="auto"/>
                      <w:sz w:val="21"/>
                      <w:szCs w:val="21"/>
                      <w:lang w:val="en-US" w:eastAsia="zh-CN"/>
                    </w:rPr>
                    <w:t xml:space="preserve">   </w:t>
                  </w:r>
                </w:p>
              </w:tc>
              <w:tc>
                <w:tcPr>
                  <w:tcW w:w="1560" w:type="dxa"/>
                  <w:vAlign w:val="center"/>
                </w:tcPr>
                <w:p w14:paraId="1B2AF654">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台</w:t>
                  </w:r>
                </w:p>
              </w:tc>
              <w:tc>
                <w:tcPr>
                  <w:tcW w:w="1811" w:type="dxa"/>
                  <w:vMerge w:val="restart"/>
                  <w:vAlign w:val="center"/>
                </w:tcPr>
                <w:p w14:paraId="7483A8F2">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360</w:t>
                  </w:r>
                </w:p>
              </w:tc>
              <w:tc>
                <w:tcPr>
                  <w:tcW w:w="1480" w:type="dxa"/>
                  <w:vAlign w:val="center"/>
                </w:tcPr>
                <w:p w14:paraId="78C0895B">
                  <w:pPr>
                    <w:widowControl/>
                    <w:tabs>
                      <w:tab w:val="left" w:pos="596"/>
                    </w:tabs>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允许进口</w:t>
                  </w:r>
                </w:p>
              </w:tc>
            </w:tr>
            <w:tr w14:paraId="4752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shd w:val="clear" w:color="auto" w:fill="auto"/>
                  <w:vAlign w:val="center"/>
                </w:tcPr>
                <w:p w14:paraId="136E138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b/>
                      <w:bCs/>
                      <w:color w:val="auto"/>
                      <w:kern w:val="0"/>
                      <w:szCs w:val="21"/>
                      <w:lang w:val="en-US" w:eastAsia="zh-CN"/>
                    </w:rPr>
                  </w:pPr>
                  <w:r>
                    <w:rPr>
                      <w:rFonts w:hint="eastAsia" w:ascii="宋体" w:hAnsi="宋体" w:eastAsia="宋体"/>
                      <w:b/>
                      <w:bCs/>
                      <w:color w:val="auto"/>
                      <w:kern w:val="0"/>
                      <w:szCs w:val="21"/>
                      <w:lang w:val="en-US" w:eastAsia="zh-CN"/>
                    </w:rPr>
                    <w:t>2</w:t>
                  </w:r>
                </w:p>
              </w:tc>
              <w:tc>
                <w:tcPr>
                  <w:tcW w:w="2800" w:type="dxa"/>
                  <w:shd w:val="clear" w:color="auto" w:fill="auto"/>
                  <w:vAlign w:val="center"/>
                </w:tcPr>
                <w:p w14:paraId="54E14C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b/>
                      <w:bCs/>
                      <w:color w:val="auto"/>
                      <w:kern w:val="0"/>
                      <w:szCs w:val="21"/>
                    </w:rPr>
                    <w:t>◆</w:t>
                  </w:r>
                  <w:r>
                    <w:rPr>
                      <w:rFonts w:hint="eastAsia" w:ascii="宋体" w:hAnsi="宋体" w:eastAsia="宋体" w:cs="宋体"/>
                      <w:color w:val="auto"/>
                      <w:sz w:val="21"/>
                      <w:szCs w:val="21"/>
                    </w:rPr>
                    <w:t>表型采集设备</w:t>
                  </w:r>
                  <w:r>
                    <w:rPr>
                      <w:rFonts w:hint="eastAsia" w:ascii="宋体" w:hAnsi="宋体" w:eastAsia="宋体" w:cs="宋体"/>
                      <w:color w:val="auto"/>
                      <w:sz w:val="21"/>
                      <w:szCs w:val="21"/>
                      <w:lang w:val="en-US" w:eastAsia="zh-CN"/>
                    </w:rPr>
                    <w:t xml:space="preserve"> </w:t>
                  </w:r>
                </w:p>
              </w:tc>
              <w:tc>
                <w:tcPr>
                  <w:tcW w:w="1560" w:type="dxa"/>
                  <w:vAlign w:val="center"/>
                </w:tcPr>
                <w:p w14:paraId="5210BCA0">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1台</w:t>
                  </w:r>
                </w:p>
              </w:tc>
              <w:tc>
                <w:tcPr>
                  <w:tcW w:w="1811" w:type="dxa"/>
                  <w:vMerge w:val="continue"/>
                  <w:vAlign w:val="center"/>
                </w:tcPr>
                <w:p w14:paraId="40B66006">
                  <w:pPr>
                    <w:widowControl/>
                    <w:jc w:val="center"/>
                    <w:textAlignment w:val="center"/>
                    <w:rPr>
                      <w:rFonts w:hint="eastAsia" w:ascii="宋体" w:hAnsi="宋体" w:eastAsia="宋体" w:cs="宋体"/>
                      <w:color w:val="auto"/>
                      <w:sz w:val="21"/>
                      <w:szCs w:val="21"/>
                    </w:rPr>
                  </w:pPr>
                </w:p>
              </w:tc>
              <w:tc>
                <w:tcPr>
                  <w:tcW w:w="1480" w:type="dxa"/>
                  <w:vAlign w:val="center"/>
                </w:tcPr>
                <w:p w14:paraId="3AD16480">
                  <w:pPr>
                    <w:widowControl/>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允许进口</w:t>
                  </w:r>
                </w:p>
              </w:tc>
            </w:tr>
            <w:tr w14:paraId="20AB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41" w:type="dxa"/>
                  <w:shd w:val="clear" w:color="auto" w:fill="auto"/>
                  <w:vAlign w:val="center"/>
                </w:tcPr>
                <w:p w14:paraId="1F876B4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800" w:type="dxa"/>
                  <w:shd w:val="clear" w:color="auto" w:fill="auto"/>
                  <w:vAlign w:val="center"/>
                </w:tcPr>
                <w:p w14:paraId="696353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超低温冰箱</w:t>
                  </w:r>
                  <w:r>
                    <w:rPr>
                      <w:rFonts w:hint="eastAsia" w:ascii="宋体" w:hAnsi="宋体" w:eastAsia="宋体" w:cs="宋体"/>
                      <w:color w:val="auto"/>
                      <w:sz w:val="21"/>
                      <w:szCs w:val="21"/>
                      <w:lang w:val="en-US" w:eastAsia="zh-CN"/>
                    </w:rPr>
                    <w:t xml:space="preserve"> </w:t>
                  </w:r>
                </w:p>
              </w:tc>
              <w:tc>
                <w:tcPr>
                  <w:tcW w:w="1560" w:type="dxa"/>
                  <w:vAlign w:val="center"/>
                </w:tcPr>
                <w:p w14:paraId="24327D43">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台</w:t>
                  </w:r>
                </w:p>
              </w:tc>
              <w:tc>
                <w:tcPr>
                  <w:tcW w:w="1811" w:type="dxa"/>
                  <w:vMerge w:val="continue"/>
                  <w:vAlign w:val="center"/>
                </w:tcPr>
                <w:p w14:paraId="184970DF">
                  <w:pPr>
                    <w:widowControl/>
                    <w:jc w:val="center"/>
                    <w:textAlignment w:val="center"/>
                    <w:rPr>
                      <w:rFonts w:hint="eastAsia" w:ascii="宋体" w:hAnsi="宋体" w:eastAsia="宋体" w:cs="宋体"/>
                      <w:color w:val="auto"/>
                      <w:sz w:val="21"/>
                      <w:szCs w:val="21"/>
                    </w:rPr>
                  </w:pPr>
                </w:p>
              </w:tc>
              <w:tc>
                <w:tcPr>
                  <w:tcW w:w="1480" w:type="dxa"/>
                  <w:vAlign w:val="center"/>
                </w:tcPr>
                <w:p w14:paraId="25F9E4BE">
                  <w:pPr>
                    <w:widowControl/>
                    <w:jc w:val="center"/>
                    <w:textAlignment w:val="center"/>
                    <w:rPr>
                      <w:rFonts w:hint="eastAsia" w:ascii="宋体" w:hAnsi="宋体" w:eastAsia="宋体" w:cs="宋体"/>
                      <w:color w:val="auto"/>
                      <w:kern w:val="0"/>
                      <w:sz w:val="21"/>
                      <w:szCs w:val="21"/>
                    </w:rPr>
                  </w:pPr>
                </w:p>
              </w:tc>
            </w:tr>
            <w:tr w14:paraId="11F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41" w:type="dxa"/>
                  <w:shd w:val="clear" w:color="auto" w:fill="auto"/>
                  <w:vAlign w:val="center"/>
                </w:tcPr>
                <w:p w14:paraId="4C56857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800" w:type="dxa"/>
                  <w:shd w:val="clear" w:color="auto" w:fill="auto"/>
                  <w:vAlign w:val="center"/>
                </w:tcPr>
                <w:p w14:paraId="775CC5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智能渔业养殖管理系统</w:t>
                  </w:r>
                </w:p>
              </w:tc>
              <w:tc>
                <w:tcPr>
                  <w:tcW w:w="1560" w:type="dxa"/>
                  <w:vAlign w:val="center"/>
                </w:tcPr>
                <w:p w14:paraId="70F5507A">
                  <w:pPr>
                    <w:widowControl/>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eastAsia="zh-CN"/>
                    </w:rPr>
                    <w:t>套</w:t>
                  </w:r>
                </w:p>
              </w:tc>
              <w:tc>
                <w:tcPr>
                  <w:tcW w:w="1811" w:type="dxa"/>
                  <w:vMerge w:val="continue"/>
                  <w:vAlign w:val="center"/>
                </w:tcPr>
                <w:p w14:paraId="63056C40">
                  <w:pPr>
                    <w:widowControl/>
                    <w:jc w:val="center"/>
                    <w:textAlignment w:val="center"/>
                    <w:rPr>
                      <w:rFonts w:hint="eastAsia" w:ascii="宋体" w:hAnsi="宋体" w:eastAsia="宋体" w:cs="宋体"/>
                      <w:color w:val="auto"/>
                      <w:kern w:val="0"/>
                      <w:sz w:val="21"/>
                      <w:szCs w:val="21"/>
                    </w:rPr>
                  </w:pPr>
                </w:p>
              </w:tc>
              <w:tc>
                <w:tcPr>
                  <w:tcW w:w="1480" w:type="dxa"/>
                  <w:vAlign w:val="center"/>
                </w:tcPr>
                <w:p w14:paraId="1AE6BAE2">
                  <w:pPr>
                    <w:widowControl/>
                    <w:jc w:val="center"/>
                    <w:textAlignment w:val="center"/>
                    <w:rPr>
                      <w:rFonts w:hint="eastAsia" w:ascii="宋体" w:hAnsi="宋体" w:eastAsia="宋体" w:cs="宋体"/>
                      <w:color w:val="auto"/>
                      <w:kern w:val="0"/>
                      <w:sz w:val="21"/>
                      <w:szCs w:val="21"/>
                    </w:rPr>
                  </w:pPr>
                </w:p>
              </w:tc>
            </w:tr>
          </w:tbl>
          <w:p w14:paraId="7C424C71">
            <w:pPr>
              <w:spacing w:after="120"/>
              <w:rPr>
                <w:rFonts w:ascii="Times New Roman" w:hAnsi="Times New Roman" w:eastAsia="宋体" w:cs="Times New Roman"/>
                <w:color w:val="auto"/>
                <w:kern w:val="0"/>
              </w:rPr>
            </w:pPr>
            <w:r>
              <w:rPr>
                <w:rFonts w:hint="eastAsia" w:ascii="Times New Roman" w:hAnsi="Times New Roman" w:eastAsia="宋体"/>
                <w:b/>
                <w:bCs/>
                <w:color w:val="auto"/>
                <w:kern w:val="0"/>
                <w:szCs w:val="21"/>
              </w:rPr>
              <w:t>打“</w:t>
            </w:r>
            <w:r>
              <w:rPr>
                <w:rFonts w:hint="eastAsia" w:ascii="宋体" w:hAnsi="宋体" w:eastAsia="宋体"/>
                <w:b/>
                <w:bCs/>
                <w:color w:val="auto"/>
                <w:kern w:val="0"/>
                <w:szCs w:val="21"/>
              </w:rPr>
              <w:t>◆</w:t>
            </w:r>
            <w:r>
              <w:rPr>
                <w:rFonts w:hint="eastAsia" w:ascii="Times New Roman" w:hAnsi="Times New Roman" w:eastAsia="宋体"/>
                <w:b/>
                <w:bCs/>
                <w:color w:val="auto"/>
                <w:kern w:val="0"/>
                <w:szCs w:val="21"/>
              </w:rPr>
              <w:t>“为核心产品</w:t>
            </w:r>
          </w:p>
        </w:tc>
      </w:tr>
      <w:tr w14:paraId="1DB0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A0CD1AA">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F1CE1E">
            <w:pPr>
              <w:spacing w:line="240" w:lineRule="exact"/>
              <w:jc w:val="center"/>
              <w:rPr>
                <w:rFonts w:ascii="Times New Roman" w:hAnsi="Times New Roman" w:eastAsia="宋体" w:cs="Times New Roman"/>
                <w:b/>
                <w:color w:val="auto"/>
              </w:rPr>
            </w:pPr>
            <w:r>
              <w:rPr>
                <w:rFonts w:hint="eastAsia" w:ascii="Times New Roman" w:hAnsi="Times New Roman" w:eastAsia="宋体" w:cs="Times New Roman"/>
                <w:b/>
                <w:color w:val="auto"/>
              </w:rPr>
              <w:t>本项目预算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0F0C36B">
            <w:pPr>
              <w:spacing w:line="240" w:lineRule="exact"/>
              <w:jc w:val="left"/>
              <w:rPr>
                <w:rFonts w:ascii="Times New Roman" w:hAnsi="Times New Roman" w:eastAsia="宋体" w:cs="Times New Roman"/>
                <w:bCs/>
                <w:color w:val="auto"/>
                <w:szCs w:val="21"/>
              </w:rPr>
            </w:pPr>
            <w:r>
              <w:rPr>
                <w:rFonts w:hint="eastAsia" w:ascii="宋体" w:hAnsi="宋体" w:eastAsia="宋体" w:cs="Times New Roman"/>
                <w:b/>
                <w:bCs/>
                <w:color w:val="auto"/>
                <w:lang w:val="en-US" w:eastAsia="zh-CN"/>
              </w:rPr>
              <w:t>人民币叁佰陆拾万元整（3,600,000.00元）</w:t>
            </w:r>
          </w:p>
        </w:tc>
      </w:tr>
      <w:tr w14:paraId="3BA5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57B853">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6927B0">
            <w:pPr>
              <w:jc w:val="center"/>
              <w:rPr>
                <w:rFonts w:hint="eastAsia" w:ascii="宋体" w:hAnsi="宋体" w:eastAsia="宋体" w:cs="Times New Roman"/>
                <w:b/>
                <w:color w:val="auto"/>
              </w:rPr>
            </w:pPr>
            <w:r>
              <w:rPr>
                <w:rFonts w:hint="eastAsia" w:ascii="宋体" w:hAnsi="宋体" w:eastAsia="宋体" w:cs="Times New Roman"/>
                <w:b/>
                <w:color w:val="auto"/>
              </w:rPr>
              <w:t>时间要求</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731776">
            <w:pPr>
              <w:autoSpaceDE w:val="0"/>
              <w:autoSpaceDN w:val="0"/>
              <w:adjustRightInd w:val="0"/>
              <w:snapToGrid w:val="0"/>
              <w:spacing w:line="312" w:lineRule="auto"/>
              <w:rPr>
                <w:rFonts w:ascii="Times New Roman" w:hAnsi="Times New Roman" w:eastAsia="宋体" w:cs="Times New Roman"/>
                <w:color w:val="auto"/>
                <w:szCs w:val="21"/>
              </w:rPr>
            </w:pPr>
            <w:r>
              <w:rPr>
                <w:rFonts w:hint="eastAsia" w:ascii="宋体" w:hAnsi="宋体" w:eastAsia="宋体" w:cs="Times New Roman"/>
                <w:color w:val="auto"/>
              </w:rPr>
              <w:t>合同</w:t>
            </w:r>
            <w:r>
              <w:rPr>
                <w:rFonts w:hint="eastAsia" w:ascii="宋体" w:hAnsi="宋体" w:eastAsia="宋体" w:cs="Times New Roman"/>
                <w:color w:val="auto"/>
                <w:lang w:val="en-US" w:eastAsia="zh-CN"/>
              </w:rPr>
              <w:t>签订后90天</w:t>
            </w:r>
            <w:r>
              <w:rPr>
                <w:rFonts w:hint="eastAsia" w:ascii="宋体" w:hAnsi="宋体" w:eastAsia="宋体" w:cs="Times New Roman"/>
                <w:color w:val="auto"/>
              </w:rPr>
              <w:t>内完成设备供货、安装、调试并进入试运行。</w:t>
            </w:r>
          </w:p>
        </w:tc>
      </w:tr>
      <w:tr w14:paraId="608D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8BA34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67213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投标有效期</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95880C">
            <w:pPr>
              <w:spacing w:line="240" w:lineRule="exact"/>
              <w:rPr>
                <w:rFonts w:ascii="Times New Roman" w:hAnsi="Times New Roman" w:eastAsia="宋体" w:cs="Times New Roman"/>
                <w:szCs w:val="21"/>
              </w:rPr>
            </w:pPr>
            <w:r>
              <w:rPr>
                <w:rFonts w:ascii="Times New Roman" w:hAnsi="Times New Roman" w:eastAsia="宋体" w:cs="Times New Roman"/>
                <w:szCs w:val="21"/>
                <w:u w:val="single"/>
              </w:rPr>
              <w:t>90</w:t>
            </w:r>
            <w:r>
              <w:rPr>
                <w:rFonts w:hint="eastAsia" w:ascii="Times New Roman" w:hAnsi="Times New Roman" w:eastAsia="宋体" w:cs="Times New Roman"/>
                <w:szCs w:val="21"/>
                <w:u w:val="single"/>
              </w:rPr>
              <w:t>日</w:t>
            </w:r>
            <w:r>
              <w:rPr>
                <w:rFonts w:hint="eastAsia" w:ascii="Times New Roman" w:hAnsi="Times New Roman" w:eastAsia="宋体" w:cs="Times New Roman"/>
                <w:szCs w:val="21"/>
              </w:rPr>
              <w:t>历天。（从投标截止之日算起）</w:t>
            </w:r>
          </w:p>
        </w:tc>
      </w:tr>
      <w:tr w14:paraId="5D10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78EE87">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BF21225">
            <w:pPr>
              <w:spacing w:line="240" w:lineRule="exact"/>
              <w:jc w:val="center"/>
              <w:rPr>
                <w:rFonts w:hint="eastAsia" w:ascii="Times New Roman" w:hAnsi="Times New Roman" w:eastAsia="宋体" w:cs="Times New Roman"/>
                <w:b/>
                <w:szCs w:val="21"/>
                <w:lang w:eastAsia="zh-CN"/>
              </w:rPr>
            </w:pPr>
            <w:r>
              <w:rPr>
                <w:rFonts w:hint="eastAsia" w:ascii="Times New Roman" w:hAnsi="Times New Roman" w:eastAsia="宋体" w:cs="Times New Roman"/>
                <w:b/>
                <w:szCs w:val="21"/>
                <w:lang w:eastAsia="zh-CN"/>
              </w:rPr>
              <w:t>评标方法</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9879E95">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综合评分法</w:t>
            </w:r>
          </w:p>
        </w:tc>
      </w:tr>
      <w:tr w14:paraId="3340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47710E">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126E9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签订合同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FE60B2">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中标通知书发出后</w:t>
            </w:r>
            <w:r>
              <w:rPr>
                <w:rFonts w:ascii="Times New Roman" w:hAnsi="Times New Roman" w:eastAsia="宋体" w:cs="Times New Roman"/>
                <w:szCs w:val="21"/>
                <w:u w:val="single"/>
              </w:rPr>
              <w:t>30</w:t>
            </w:r>
            <w:r>
              <w:rPr>
                <w:rFonts w:hint="eastAsia" w:ascii="Times New Roman" w:hAnsi="Times New Roman" w:eastAsia="宋体" w:cs="Times New Roman"/>
                <w:szCs w:val="21"/>
              </w:rPr>
              <w:t>天内</w:t>
            </w:r>
          </w:p>
        </w:tc>
      </w:tr>
      <w:tr w14:paraId="44FB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DCC4B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46B5546">
            <w:pPr>
              <w:spacing w:line="240"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资金结算</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D715C1">
            <w:pPr>
              <w:spacing w:line="240" w:lineRule="auto"/>
              <w:outlineLvl w:val="0"/>
              <w:rPr>
                <w:rFonts w:hint="eastAsia" w:ascii="宋体" w:hAnsi="宋体" w:eastAsia="宋体" w:cs="Times New Roman"/>
                <w:bCs/>
                <w:color w:val="auto"/>
                <w:szCs w:val="21"/>
              </w:rPr>
            </w:pPr>
            <w:r>
              <w:rPr>
                <w:rFonts w:hint="eastAsia" w:ascii="宋体" w:hAnsi="宋体" w:eastAsia="宋体"/>
                <w:b w:val="0"/>
                <w:bCs w:val="0"/>
                <w:color w:val="auto"/>
                <w:szCs w:val="21"/>
              </w:rPr>
              <w:t>合同生效以及具备实施条件</w:t>
            </w:r>
            <w:r>
              <w:rPr>
                <w:rFonts w:hint="eastAsia" w:ascii="宋体" w:hAnsi="宋体" w:eastAsia="宋体"/>
                <w:b w:val="0"/>
                <w:bCs w:val="0"/>
                <w:color w:val="auto"/>
                <w:szCs w:val="21"/>
                <w:lang w:eastAsia="zh-CN"/>
              </w:rPr>
              <w:t>，</w:t>
            </w:r>
            <w:r>
              <w:rPr>
                <w:rFonts w:hint="eastAsia" w:ascii="宋体" w:hAnsi="宋体" w:eastAsia="宋体"/>
                <w:b w:val="0"/>
                <w:bCs w:val="0"/>
                <w:color w:val="auto"/>
                <w:szCs w:val="21"/>
              </w:rPr>
              <w:t>支付合同金额的</w:t>
            </w:r>
            <w:r>
              <w:rPr>
                <w:rFonts w:hint="eastAsia" w:ascii="宋体" w:hAnsi="宋体" w:eastAsia="宋体"/>
                <w:b w:val="0"/>
                <w:bCs w:val="0"/>
                <w:color w:val="auto"/>
                <w:szCs w:val="21"/>
                <w:lang w:val="en-US" w:eastAsia="zh-CN"/>
              </w:rPr>
              <w:t>6</w:t>
            </w:r>
            <w:r>
              <w:rPr>
                <w:rFonts w:hint="eastAsia" w:ascii="宋体" w:hAnsi="宋体" w:eastAsia="宋体"/>
                <w:b w:val="0"/>
                <w:bCs w:val="0"/>
                <w:color w:val="auto"/>
                <w:szCs w:val="21"/>
              </w:rPr>
              <w:t>0%</w:t>
            </w:r>
            <w:r>
              <w:rPr>
                <w:rFonts w:hint="eastAsia" w:ascii="宋体" w:hAnsi="宋体" w:eastAsia="宋体"/>
                <w:b w:val="0"/>
                <w:bCs w:val="0"/>
                <w:color w:val="auto"/>
                <w:szCs w:val="21"/>
                <w:lang w:val="en-US" w:eastAsia="zh-CN"/>
              </w:rPr>
              <w:t>作</w:t>
            </w:r>
            <w:r>
              <w:rPr>
                <w:rFonts w:hint="eastAsia" w:ascii="宋体" w:hAnsi="宋体" w:eastAsia="宋体"/>
                <w:b w:val="0"/>
                <w:bCs w:val="0"/>
                <w:color w:val="auto"/>
                <w:szCs w:val="21"/>
              </w:rPr>
              <w:t>为预付款，项目完成并通过验收合格后，自收到发票后7个工作日内，支付剩余款项</w:t>
            </w:r>
          </w:p>
        </w:tc>
      </w:tr>
      <w:tr w14:paraId="22BA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48EBE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10</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C18DDB">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投标报价</w:t>
            </w:r>
          </w:p>
          <w:p w14:paraId="30928AAD">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与费用</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2B41D2">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本项目的投标应以人民币报价，投标报价应包括所有费用。</w:t>
            </w:r>
          </w:p>
          <w:p w14:paraId="6188634D">
            <w:pPr>
              <w:spacing w:line="240" w:lineRule="exact"/>
              <w:rPr>
                <w:rFonts w:ascii="Times New Roman" w:hAnsi="Times New Roman" w:eastAsia="宋体" w:cs="Times New Roman"/>
                <w:bCs/>
                <w:color w:val="auto"/>
                <w:szCs w:val="21"/>
              </w:rPr>
            </w:pPr>
            <w:r>
              <w:rPr>
                <w:rFonts w:ascii="Times New Roman" w:hAnsi="Times New Roman" w:eastAsia="宋体" w:cs="Times New Roman"/>
                <w:color w:val="auto"/>
                <w:szCs w:val="21"/>
              </w:rPr>
              <w:t>2.</w:t>
            </w:r>
            <w:r>
              <w:rPr>
                <w:rFonts w:hint="eastAsia" w:ascii="Times New Roman" w:hAnsi="Times New Roman" w:eastAsia="宋体" w:cs="Times New Roman"/>
                <w:color w:val="auto"/>
                <w:szCs w:val="21"/>
              </w:rPr>
              <w:t>投</w:t>
            </w:r>
            <w:r>
              <w:rPr>
                <w:rFonts w:hint="eastAsia" w:ascii="Times New Roman" w:hAnsi="Times New Roman" w:eastAsia="宋体" w:cs="Times New Roman"/>
                <w:bCs/>
                <w:color w:val="auto"/>
                <w:szCs w:val="21"/>
              </w:rPr>
              <w:t xml:space="preserve">标人应承担其参加本招标活动自身所发生的费用。 </w:t>
            </w:r>
          </w:p>
          <w:p w14:paraId="5679541E">
            <w:pPr>
              <w:spacing w:line="240" w:lineRule="exact"/>
              <w:rPr>
                <w:rFonts w:ascii="Times New Roman" w:hAnsi="Times New Roman" w:eastAsia="宋体" w:cs="Times New Roman"/>
                <w:bCs/>
                <w:color w:val="auto"/>
                <w:szCs w:val="21"/>
              </w:rPr>
            </w:pPr>
            <w:r>
              <w:rPr>
                <w:rFonts w:ascii="Times New Roman" w:hAnsi="Times New Roman" w:eastAsia="宋体" w:cs="Times New Roman"/>
                <w:bCs/>
                <w:color w:val="auto"/>
                <w:szCs w:val="21"/>
              </w:rPr>
              <w:t>3.</w:t>
            </w:r>
            <w:r>
              <w:rPr>
                <w:rFonts w:hint="eastAsia" w:ascii="Times New Roman" w:hAnsi="Times New Roman" w:eastAsia="宋体" w:cs="Times New Roman"/>
                <w:bCs/>
                <w:color w:val="auto"/>
                <w:szCs w:val="21"/>
              </w:rPr>
              <w:t>中标人须缴纳招标代理费，收费标准为：按项目中标金额为计费基数，100万元（含）以下部分按1.5%收取，100万-500万按1.1%收取，所计算出的代理费总额下浮20%，最低收费6000元整。</w:t>
            </w:r>
          </w:p>
          <w:p w14:paraId="33967715">
            <w:pPr>
              <w:spacing w:line="240" w:lineRule="exact"/>
              <w:rPr>
                <w:rFonts w:ascii="Times New Roman" w:hAnsi="Times New Roman" w:eastAsia="宋体" w:cs="Times New Roman"/>
                <w:color w:val="auto"/>
                <w:szCs w:val="21"/>
              </w:rPr>
            </w:pPr>
            <w:r>
              <w:rPr>
                <w:rFonts w:ascii="Times New Roman" w:hAnsi="Times New Roman" w:eastAsia="宋体" w:cs="Times New Roman"/>
                <w:color w:val="auto"/>
              </w:rPr>
              <w:t>4.</w:t>
            </w:r>
            <w:r>
              <w:rPr>
                <w:rFonts w:hint="eastAsia" w:ascii="Times New Roman" w:hAnsi="Times New Roman" w:eastAsia="宋体" w:cs="Times New Roman"/>
                <w:color w:val="auto"/>
              </w:rPr>
              <w:t>中标通知书发出的同时，中标人应及时支付招标代理费，收到服务费后提供全额发票。中标结果确认后，因中标单位自身原因退出中标，招标代理费不予退回。</w:t>
            </w:r>
          </w:p>
        </w:tc>
      </w:tr>
      <w:tr w14:paraId="1318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475E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11</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3A3811">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银行账号</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85D150">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收款单位：深圳市国信招标有限公司舟山分公司</w:t>
            </w:r>
          </w:p>
          <w:p w14:paraId="36250DA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开户银行：中国工商银行舟山市定海区支行</w:t>
            </w:r>
          </w:p>
          <w:p w14:paraId="3501A29F">
            <w:pPr>
              <w:spacing w:line="240" w:lineRule="exact"/>
              <w:rPr>
                <w:rFonts w:ascii="Times New Roman" w:hAnsi="Times New Roman" w:eastAsia="宋体" w:cs="Times New Roman"/>
                <w:szCs w:val="21"/>
              </w:rPr>
            </w:pPr>
            <w:r>
              <w:rPr>
                <w:rFonts w:hint="eastAsia" w:ascii="Times New Roman" w:hAnsi="Times New Roman" w:eastAsia="宋体" w:cs="Times New Roman"/>
                <w:szCs w:val="21"/>
              </w:rPr>
              <w:t>银行账号：</w:t>
            </w:r>
            <w:r>
              <w:rPr>
                <w:rFonts w:ascii="Times New Roman" w:hAnsi="Times New Roman" w:eastAsia="宋体" w:cs="Times New Roman"/>
                <w:szCs w:val="21"/>
              </w:rPr>
              <w:t>1206020209200081758</w:t>
            </w:r>
          </w:p>
        </w:tc>
      </w:tr>
      <w:tr w14:paraId="3B08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43960C">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12</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265939">
            <w:pPr>
              <w:spacing w:line="240" w:lineRule="exact"/>
              <w:jc w:val="center"/>
              <w:rPr>
                <w:rFonts w:ascii="Times New Roman" w:hAnsi="Times New Roman" w:eastAsia="宋体" w:cs="Times New Roman"/>
                <w:b/>
                <w:szCs w:val="21"/>
              </w:rPr>
            </w:pPr>
            <w:r>
              <w:rPr>
                <w:rFonts w:hint="eastAsia" w:ascii="Times New Roman" w:hAnsi="Times New Roman" w:eastAsia="宋体" w:cs="Times New Roman"/>
                <w:b/>
                <w:szCs w:val="21"/>
              </w:rPr>
              <w:t>质量标准</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80508FA">
            <w:pPr>
              <w:spacing w:line="240" w:lineRule="exact"/>
              <w:rPr>
                <w:rFonts w:ascii="Times New Roman" w:hAnsi="Times New Roman" w:eastAsia="宋体" w:cs="Times New Roman"/>
                <w:szCs w:val="21"/>
              </w:rPr>
            </w:pPr>
            <w:r>
              <w:rPr>
                <w:rFonts w:hint="eastAsia" w:ascii="宋体" w:hAnsi="宋体" w:eastAsia="宋体" w:cs="Times New Roman"/>
              </w:rPr>
              <w:t>合同约定，经验收合格</w:t>
            </w:r>
          </w:p>
        </w:tc>
      </w:tr>
      <w:tr w14:paraId="0BF4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DAD4D9">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13</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7C6C42">
            <w:pPr>
              <w:spacing w:line="240" w:lineRule="exact"/>
              <w:jc w:val="center"/>
              <w:rPr>
                <w:rFonts w:ascii="Times New Roman" w:hAnsi="Times New Roman" w:eastAsia="宋体" w:cs="Times New Roman"/>
                <w:b/>
              </w:rPr>
            </w:pPr>
            <w:r>
              <w:rPr>
                <w:rFonts w:hint="eastAsia" w:ascii="Times New Roman" w:hAnsi="Times New Roman" w:eastAsia="宋体" w:cs="Times New Roman"/>
                <w:b/>
                <w:szCs w:val="21"/>
              </w:rPr>
              <w:t>履约保证金</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9590E9B">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无</w:t>
            </w:r>
          </w:p>
        </w:tc>
      </w:tr>
      <w:tr w14:paraId="23DA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F0B43F">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4</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CA1150">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58F7F1E">
            <w:pPr>
              <w:snapToGrid w:val="0"/>
              <w:jc w:val="center"/>
              <w:rPr>
                <w:rFonts w:ascii="Times New Roman" w:hAnsi="Times New Roman" w:eastAsia="宋体" w:cs="Times New Roman"/>
                <w:b/>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25A322">
            <w:pPr>
              <w:snapToGrid w:val="0"/>
              <w:rPr>
                <w:rFonts w:ascii="Times New Roman" w:hAnsi="Times New Roman" w:eastAsia="宋体" w:cs="Times New Roman"/>
                <w:szCs w:val="21"/>
              </w:rPr>
            </w:pPr>
            <w:r>
              <w:rPr>
                <w:rFonts w:hint="eastAsia" w:ascii="Times New Roman" w:hAnsi="Times New Roman" w:eastAsia="宋体" w:cs="Times New Roman"/>
                <w:szCs w:val="21"/>
              </w:rPr>
              <w:t>投标文件由资格响应文件、商务及技术响应文件、报价文件组成。</w:t>
            </w:r>
          </w:p>
        </w:tc>
      </w:tr>
      <w:tr w14:paraId="196B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2066B6">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5</w:t>
            </w:r>
          </w:p>
        </w:tc>
        <w:tc>
          <w:tcPr>
            <w:tcW w:w="11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F7B7FEC">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029D1D45">
            <w:pPr>
              <w:ind w:firstLine="517" w:firstLineChars="245"/>
              <w:rPr>
                <w:rFonts w:ascii="Times New Roman" w:hAnsi="Times New Roman" w:eastAsia="宋体" w:cs="Times New Roman"/>
                <w:b/>
                <w:szCs w:val="21"/>
                <w:shd w:val="pct10" w:color="auto" w:fill="FFFFFF"/>
              </w:rPr>
            </w:pPr>
            <w:r>
              <w:rPr>
                <w:rFonts w:hint="eastAsia" w:ascii="Times New Roman" w:hAnsi="Times New Roman" w:eastAsia="宋体" w:cs="Times New Roman"/>
                <w:b/>
              </w:rPr>
              <w:t>制作</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0F2D25">
            <w:pPr>
              <w:rPr>
                <w:rFonts w:ascii="Times New Roman" w:hAnsi="Times New Roman" w:eastAsia="宋体" w:cs="Times New Roman"/>
                <w:szCs w:val="21"/>
              </w:rPr>
            </w:pPr>
            <w:r>
              <w:rPr>
                <w:rFonts w:hint="eastAsia" w:ascii="Times New Roman" w:hAnsi="Times New Roman" w:eastAsia="宋体" w:cs="Times New Roman"/>
                <w:szCs w:val="21"/>
              </w:rPr>
              <w:t>本项目实行电子投标。</w:t>
            </w:r>
          </w:p>
          <w:p w14:paraId="10D5B0C3">
            <w:pPr>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w:t>
            </w:r>
          </w:p>
          <w:p w14:paraId="73F3FE9F">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电子交易操作指南及本招标文件要求递交。</w:t>
            </w:r>
          </w:p>
          <w:p w14:paraId="2C5F88F8">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7DCE5E92">
            <w:pPr>
              <w:rPr>
                <w:rFonts w:ascii="Times New Roman" w:hAnsi="Times New Roman" w:eastAsia="宋体" w:cs="Times New Roman"/>
                <w:szCs w:val="21"/>
              </w:rPr>
            </w:pPr>
            <w:r>
              <w:rPr>
                <w:rFonts w:hint="eastAsia" w:ascii="Times New Roman" w:hAnsi="Times New Roman" w:eastAsia="宋体" w:cs="Times New Roman"/>
                <w:szCs w:val="21"/>
              </w:rPr>
              <w:t>投标文件均由资格响应文件、商务及技术响应文件、报价文件组成。</w:t>
            </w:r>
          </w:p>
        </w:tc>
      </w:tr>
      <w:tr w14:paraId="1B0A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18DA7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6</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3D9C23">
            <w:pPr>
              <w:snapToGrid w:val="0"/>
              <w:jc w:val="center"/>
              <w:rPr>
                <w:rFonts w:ascii="Times New Roman" w:hAnsi="Times New Roman" w:eastAsia="宋体" w:cs="Times New Roman"/>
                <w:b/>
              </w:rPr>
            </w:pPr>
            <w:r>
              <w:rPr>
                <w:rFonts w:hint="eastAsia" w:ascii="Times New Roman" w:hAnsi="Times New Roman" w:eastAsia="宋体" w:cs="Times New Roman"/>
                <w:b/>
              </w:rPr>
              <w:t>投标文件的</w:t>
            </w:r>
          </w:p>
          <w:p w14:paraId="55BF6644">
            <w:pPr>
              <w:jc w:val="center"/>
              <w:rPr>
                <w:rFonts w:ascii="Times New Roman" w:hAnsi="Times New Roman" w:eastAsia="宋体" w:cs="Times New Roman"/>
                <w:b/>
                <w:sz w:val="22"/>
                <w:shd w:val="pct10" w:color="auto" w:fill="FFFFFF"/>
              </w:rPr>
            </w:pPr>
            <w:r>
              <w:rPr>
                <w:rFonts w:hint="eastAsia" w:ascii="Times New Roman" w:hAnsi="Times New Roman" w:eastAsia="宋体" w:cs="Times New Roman"/>
                <w:b/>
              </w:rPr>
              <w:t>组成</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405374">
            <w:pPr>
              <w:rPr>
                <w:rFonts w:ascii="Times New Roman" w:hAnsi="Times New Roman" w:eastAsia="宋体" w:cs="Times New Roman"/>
                <w:sz w:val="22"/>
              </w:rPr>
            </w:pPr>
            <w:r>
              <w:rPr>
                <w:rFonts w:hint="eastAsia" w:ascii="Times New Roman" w:hAnsi="Times New Roman" w:eastAsia="宋体" w:cs="Times New Roman"/>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43E35207">
            <w:pPr>
              <w:rPr>
                <w:rFonts w:ascii="Times New Roman" w:hAnsi="Times New Roman" w:eastAsia="宋体" w:cs="Times New Roman"/>
                <w:sz w:val="22"/>
              </w:rPr>
            </w:pPr>
            <w:r>
              <w:rPr>
                <w:rFonts w:hint="eastAsia" w:ascii="Times New Roman" w:hAnsi="Times New Roman" w:eastAsia="宋体" w:cs="Times New Roman"/>
                <w:sz w:val="22"/>
              </w:rPr>
              <w:t>投标人应当在规定时间前将以介质存储的数据电文形式的备份投标文件寄到或送达采购代理公司：舟山市定海区昌国路</w:t>
            </w:r>
            <w:r>
              <w:rPr>
                <w:rFonts w:ascii="Times New Roman" w:hAnsi="Times New Roman" w:eastAsia="宋体" w:cs="Times New Roman"/>
                <w:sz w:val="22"/>
              </w:rPr>
              <w:t>232</w:t>
            </w:r>
            <w:r>
              <w:rPr>
                <w:rFonts w:hint="eastAsia" w:ascii="Times New Roman" w:hAnsi="Times New Roman" w:eastAsia="宋体" w:cs="Times New Roman"/>
                <w:sz w:val="22"/>
              </w:rPr>
              <w:t>号中楼</w:t>
            </w:r>
            <w:r>
              <w:rPr>
                <w:rFonts w:ascii="Times New Roman" w:hAnsi="Times New Roman" w:eastAsia="宋体" w:cs="Times New Roman"/>
                <w:sz w:val="22"/>
              </w:rPr>
              <w:t>202</w:t>
            </w:r>
            <w:r>
              <w:rPr>
                <w:rFonts w:hint="eastAsia" w:ascii="Times New Roman" w:hAnsi="Times New Roman" w:eastAsia="宋体" w:cs="Times New Roman"/>
                <w:sz w:val="22"/>
              </w:rPr>
              <w:t>(收件人：任女士，联系电话：13567673203）。逾期送达或未密封将被拒收。也可现场递交。</w:t>
            </w:r>
          </w:p>
          <w:p w14:paraId="67EC9B19">
            <w:pPr>
              <w:rPr>
                <w:rFonts w:ascii="Times New Roman" w:hAnsi="Times New Roman" w:eastAsia="宋体" w:cs="Times New Roman"/>
                <w:sz w:val="22"/>
              </w:rPr>
            </w:pPr>
            <w:r>
              <w:rPr>
                <w:rFonts w:hint="eastAsia" w:ascii="Times New Roman" w:hAnsi="Times New Roman" w:eastAsia="宋体" w:cs="Times New Roman"/>
                <w:sz w:val="22"/>
              </w:rPr>
              <w:t>投标人递交以介质存储的数据电文形式的备份投标文件时，如出现下列情况之一的，将被拒收：</w:t>
            </w:r>
          </w:p>
          <w:p w14:paraId="33005286">
            <w:pPr>
              <w:rPr>
                <w:rFonts w:ascii="Times New Roman" w:hAnsi="Times New Roman" w:eastAsia="宋体" w:cs="Times New Roman"/>
                <w:sz w:val="22"/>
              </w:rPr>
            </w:pPr>
            <w:r>
              <w:rPr>
                <w:rFonts w:ascii="Times New Roman" w:hAnsi="Times New Roman" w:eastAsia="宋体" w:cs="Times New Roman"/>
                <w:sz w:val="22"/>
              </w:rPr>
              <w:t>1.</w:t>
            </w:r>
            <w:r>
              <w:rPr>
                <w:rFonts w:hint="eastAsia" w:ascii="Times New Roman" w:hAnsi="Times New Roman" w:eastAsia="宋体" w:cs="Times New Roman"/>
                <w:sz w:val="22"/>
              </w:rPr>
              <w:t>未按规定密封或标记的投标文件；</w:t>
            </w:r>
          </w:p>
          <w:p w14:paraId="6B7DDB7A">
            <w:pPr>
              <w:rPr>
                <w:rFonts w:ascii="Times New Roman" w:hAnsi="Times New Roman" w:eastAsia="宋体" w:cs="Times New Roman"/>
                <w:sz w:val="22"/>
              </w:rPr>
            </w:pPr>
            <w:r>
              <w:rPr>
                <w:rFonts w:ascii="Times New Roman" w:hAnsi="Times New Roman" w:eastAsia="宋体" w:cs="Times New Roman"/>
                <w:sz w:val="22"/>
              </w:rPr>
              <w:t>2.</w:t>
            </w:r>
            <w:r>
              <w:rPr>
                <w:rFonts w:hint="eastAsia" w:ascii="Times New Roman" w:hAnsi="Times New Roman" w:eastAsia="宋体" w:cs="Times New Roman"/>
                <w:sz w:val="22"/>
              </w:rPr>
              <w:t>由于包装不妥，在送交途中严重破损或失散的；</w:t>
            </w:r>
          </w:p>
          <w:p w14:paraId="5FAD0BC8">
            <w:pPr>
              <w:rPr>
                <w:rFonts w:ascii="Times New Roman" w:hAnsi="Times New Roman" w:eastAsia="宋体" w:cs="Times New Roman"/>
                <w:sz w:val="22"/>
              </w:rPr>
            </w:pPr>
            <w:r>
              <w:rPr>
                <w:rFonts w:ascii="Times New Roman" w:hAnsi="Times New Roman" w:eastAsia="宋体" w:cs="Times New Roman"/>
                <w:sz w:val="22"/>
              </w:rPr>
              <w:t>3.</w:t>
            </w:r>
            <w:r>
              <w:rPr>
                <w:rFonts w:hint="eastAsia" w:ascii="Times New Roman" w:hAnsi="Times New Roman" w:eastAsia="宋体" w:cs="Times New Roman"/>
                <w:sz w:val="22"/>
              </w:rPr>
              <w:t>未成功办理投标人报名手续的；</w:t>
            </w:r>
          </w:p>
          <w:p w14:paraId="5B854667">
            <w:pPr>
              <w:rPr>
                <w:rFonts w:ascii="Times New Roman" w:hAnsi="Times New Roman" w:eastAsia="宋体" w:cs="Times New Roman"/>
                <w:sz w:val="22"/>
              </w:rPr>
            </w:pPr>
            <w:r>
              <w:rPr>
                <w:rFonts w:ascii="Times New Roman" w:hAnsi="Times New Roman" w:eastAsia="宋体" w:cs="Times New Roman"/>
                <w:sz w:val="22"/>
              </w:rPr>
              <w:t>4.</w:t>
            </w:r>
            <w:r>
              <w:rPr>
                <w:rFonts w:hint="eastAsia" w:ascii="Times New Roman" w:hAnsi="Times New Roman" w:eastAsia="宋体" w:cs="Times New Roman"/>
                <w:sz w:val="22"/>
              </w:rPr>
              <w:t>超过截止时间送达的；</w:t>
            </w:r>
          </w:p>
          <w:p w14:paraId="3358377F">
            <w:pPr>
              <w:rPr>
                <w:rFonts w:ascii="Times New Roman" w:hAnsi="Times New Roman" w:eastAsia="宋体" w:cs="Times New Roman"/>
                <w:sz w:val="22"/>
              </w:rPr>
            </w:pPr>
            <w:r>
              <w:rPr>
                <w:rFonts w:hint="eastAsia" w:ascii="Times New Roman" w:hAnsi="Times New Roman" w:eastAsia="宋体" w:cs="Times New Roman"/>
                <w:sz w:val="22"/>
              </w:rPr>
              <w:t>仅提供备份投标文件的，投标无效。</w:t>
            </w:r>
          </w:p>
          <w:p w14:paraId="6B3752A1">
            <w:pPr>
              <w:rPr>
                <w:rFonts w:ascii="Times New Roman" w:hAnsi="Times New Roman" w:eastAsia="宋体" w:cs="Times New Roman"/>
                <w:sz w:val="22"/>
              </w:rPr>
            </w:pPr>
            <w:r>
              <w:rPr>
                <w:rFonts w:hint="eastAsia" w:ascii="Times New Roman" w:hAnsi="Times New Roman" w:eastAsia="宋体" w:cs="Times New Roman"/>
                <w:sz w:val="22"/>
              </w:rPr>
              <w:t>投标人可以不提供备份投标文件，造成项目开评标活动无法进行下去的，投标无效，相关风险由投标人自行承担。</w:t>
            </w:r>
          </w:p>
        </w:tc>
      </w:tr>
      <w:tr w14:paraId="2218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02D9601">
            <w:pPr>
              <w:snapToGrid w:val="0"/>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7</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1E4C9C">
            <w:pPr>
              <w:jc w:val="center"/>
              <w:rPr>
                <w:rFonts w:ascii="Times New Roman" w:hAnsi="Times New Roman" w:eastAsia="宋体" w:cs="Times New Roman"/>
                <w:b/>
                <w:szCs w:val="21"/>
              </w:rPr>
            </w:pPr>
            <w:r>
              <w:rPr>
                <w:rFonts w:hint="eastAsia" w:ascii="Times New Roman" w:hAnsi="Times New Roman" w:eastAsia="宋体" w:cs="Times New Roman"/>
                <w:b/>
                <w:szCs w:val="21"/>
              </w:rPr>
              <w:t>投标人注册</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F4FFE9">
            <w:pPr>
              <w:spacing w:before="24" w:beforeLines="10"/>
              <w:jc w:val="left"/>
              <w:rPr>
                <w:rFonts w:ascii="Times New Roman" w:hAnsi="Times New Roman" w:eastAsia="宋体" w:cs="Times New Roman"/>
                <w:bCs/>
                <w:snapToGrid w:val="0"/>
                <w:kern w:val="0"/>
              </w:rPr>
            </w:pPr>
            <w:r>
              <w:rPr>
                <w:rFonts w:hint="eastAsia" w:ascii="Times New Roman" w:hAnsi="Times New Roman" w:eastAsia="宋体" w:cs="Times New Roman"/>
                <w:bCs/>
                <w:snapToGrid w:val="0"/>
                <w:kern w:val="0"/>
              </w:rPr>
              <w:t>各投标人须在投标截止时间前根据浙江省财政厅《关于开展政府采购投标人网上注册登记和诚信管理工作的通知》（浙财采监【</w:t>
            </w:r>
            <w:r>
              <w:rPr>
                <w:rFonts w:ascii="Times New Roman" w:hAnsi="Times New Roman" w:eastAsia="宋体" w:cs="Times New Roman"/>
                <w:bCs/>
                <w:snapToGrid w:val="0"/>
                <w:kern w:val="0"/>
              </w:rPr>
              <w:t>2010</w:t>
            </w:r>
            <w:r>
              <w:rPr>
                <w:rFonts w:hint="eastAsia" w:ascii="Times New Roman" w:hAnsi="Times New Roman" w:eastAsia="宋体" w:cs="Times New Roman"/>
                <w:bCs/>
                <w:snapToGrid w:val="0"/>
                <w:kern w:val="0"/>
              </w:rPr>
              <w:t>】</w:t>
            </w:r>
            <w:r>
              <w:rPr>
                <w:rFonts w:ascii="Times New Roman" w:hAnsi="Times New Roman" w:eastAsia="宋体" w:cs="Times New Roman"/>
                <w:bCs/>
                <w:snapToGrid w:val="0"/>
                <w:kern w:val="0"/>
              </w:rPr>
              <w:t>8</w:t>
            </w:r>
            <w:r>
              <w:rPr>
                <w:rFonts w:hint="eastAsia" w:ascii="Times New Roman" w:hAnsi="Times New Roman" w:eastAsia="宋体" w:cs="Times New Roman"/>
                <w:bCs/>
                <w:snapToGrid w:val="0"/>
                <w:kern w:val="0"/>
              </w:rPr>
              <w:t>号文）的要求，通过浙江政府采购网申请注册加入政府采购投标人库。以免影响享受相关政策优惠及成交后的款项支付。</w:t>
            </w:r>
          </w:p>
          <w:p w14:paraId="7DB2C258">
            <w:pPr>
              <w:spacing w:before="24" w:beforeLines="10"/>
              <w:jc w:val="left"/>
              <w:rPr>
                <w:rFonts w:ascii="Times New Roman" w:hAnsi="Times New Roman" w:eastAsia="宋体" w:cs="Times New Roman"/>
                <w:szCs w:val="21"/>
              </w:rPr>
            </w:pPr>
            <w:r>
              <w:rPr>
                <w:rFonts w:hint="eastAsia" w:ascii="Times New Roman" w:hAnsi="Times New Roman" w:eastAsia="宋体" w:cs="Times New Roman"/>
                <w:bCs/>
                <w:snapToGrid w:val="0"/>
                <w:kern w:val="0"/>
              </w:rPr>
              <w:t>投标人在申请注册前，请认真阅读，学习《中华人民共和国政府采购法》和《浙江省政府采购投标人注册及诚信管理暂行办法》等相关法规规定。</w:t>
            </w:r>
          </w:p>
        </w:tc>
      </w:tr>
      <w:tr w14:paraId="0E57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8BEA0D">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8</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FC1433">
            <w:pPr>
              <w:jc w:val="center"/>
              <w:rPr>
                <w:rFonts w:ascii="Times New Roman" w:hAnsi="Times New Roman" w:eastAsia="宋体" w:cs="Times New Roman"/>
                <w:b/>
                <w:szCs w:val="21"/>
              </w:rPr>
            </w:pPr>
            <w:r>
              <w:rPr>
                <w:rFonts w:hint="eastAsia" w:ascii="Times New Roman" w:hAnsi="Times New Roman" w:eastAsia="宋体" w:cs="Times New Roman"/>
                <w:b/>
                <w:szCs w:val="21"/>
              </w:rPr>
              <w:t>不良信用记录查询</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CD8696">
            <w:pPr>
              <w:rPr>
                <w:rFonts w:ascii="Times New Roman" w:hAnsi="Times New Roman" w:eastAsia="宋体" w:cs="Times New Roman"/>
                <w:szCs w:val="21"/>
              </w:rPr>
            </w:pPr>
            <w:r>
              <w:rPr>
                <w:rFonts w:hint="eastAsia" w:ascii="Times New Roman" w:hAnsi="Times New Roman" w:eastAsia="宋体" w:cs="Times New Roman"/>
                <w:szCs w:val="21"/>
              </w:rPr>
              <w:t>根据财库</w:t>
            </w:r>
            <w:r>
              <w:rPr>
                <w:rFonts w:ascii="Times New Roman" w:hAnsi="Times New Roman" w:eastAsia="宋体" w:cs="Times New Roman"/>
                <w:szCs w:val="21"/>
              </w:rPr>
              <w:t>[2016]125</w:t>
            </w:r>
            <w:r>
              <w:rPr>
                <w:rFonts w:hint="eastAsia" w:ascii="Times New Roman" w:hAnsi="Times New Roman" w:eastAsia="宋体" w:cs="Times New Roman"/>
                <w:szCs w:val="21"/>
              </w:rPr>
              <w:t>号文件：</w:t>
            </w:r>
          </w:p>
          <w:p w14:paraId="0EBC5EB1">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至本项目投标截止前未被列入</w:t>
            </w:r>
            <w:r>
              <w:rPr>
                <w:rFonts w:ascii="Times New Roman" w:hAnsi="Times New Roman" w:eastAsia="宋体" w:cs="Times New Roman"/>
                <w:szCs w:val="21"/>
              </w:rPr>
              <w:t>“</w:t>
            </w:r>
            <w:r>
              <w:rPr>
                <w:rFonts w:hint="eastAsia" w:ascii="Times New Roman" w:hAnsi="Times New Roman" w:eastAsia="宋体" w:cs="Times New Roman"/>
                <w:szCs w:val="21"/>
              </w:rPr>
              <w:t>信用中国</w:t>
            </w:r>
            <w:r>
              <w:rPr>
                <w:rFonts w:ascii="Times New Roman" w:hAnsi="Times New Roman" w:eastAsia="宋体" w:cs="Times New Roman"/>
                <w:szCs w:val="21"/>
              </w:rPr>
              <w:t>”</w:t>
            </w:r>
            <w:r>
              <w:rPr>
                <w:rFonts w:hint="eastAsia" w:ascii="Times New Roman" w:hAnsi="Times New Roman" w:eastAsia="宋体" w:cs="Times New Roman"/>
                <w:szCs w:val="21"/>
              </w:rPr>
              <w:t>网站</w:t>
            </w:r>
            <w:r>
              <w:rPr>
                <w:rFonts w:ascii="Times New Roman" w:hAnsi="Times New Roman" w:eastAsia="宋体" w:cs="Times New Roman"/>
                <w:szCs w:val="21"/>
              </w:rPr>
              <w:t>(www.creditchina.gov.cn)“</w:t>
            </w:r>
            <w:r>
              <w:rPr>
                <w:rFonts w:hint="eastAsia" w:ascii="Times New Roman" w:hAnsi="Times New Roman" w:eastAsia="宋体" w:cs="Times New Roman"/>
                <w:szCs w:val="21"/>
              </w:rPr>
              <w:t>记录失信被执行人或重大税收违法案件当事人名单</w:t>
            </w:r>
            <w:r>
              <w:rPr>
                <w:rFonts w:ascii="Times New Roman" w:hAnsi="Times New Roman" w:eastAsia="宋体" w:cs="Times New Roman"/>
                <w:szCs w:val="21"/>
              </w:rPr>
              <w:t>”</w:t>
            </w:r>
            <w:r>
              <w:rPr>
                <w:rFonts w:hint="eastAsia" w:ascii="Times New Roman" w:hAnsi="Times New Roman" w:eastAsia="宋体" w:cs="Times New Roman"/>
                <w:szCs w:val="21"/>
              </w:rPr>
              <w:t>记录名单。</w:t>
            </w:r>
          </w:p>
          <w:p w14:paraId="0133BA3C">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至本项目投标截止前不处于中国政府采购网</w:t>
            </w:r>
            <w:r>
              <w:rPr>
                <w:rFonts w:ascii="Times New Roman" w:hAnsi="Times New Roman" w:eastAsia="宋体" w:cs="Times New Roman"/>
                <w:szCs w:val="21"/>
              </w:rPr>
              <w:t>(www.ccgp.gov.cn)“</w:t>
            </w:r>
            <w:r>
              <w:rPr>
                <w:rFonts w:hint="eastAsia" w:ascii="Times New Roman" w:hAnsi="Times New Roman" w:eastAsia="宋体" w:cs="Times New Roman"/>
                <w:szCs w:val="21"/>
              </w:rPr>
              <w:t>政府采购严重违法失信行为信息记录</w:t>
            </w:r>
            <w:r>
              <w:rPr>
                <w:rFonts w:ascii="Times New Roman" w:hAnsi="Times New Roman" w:eastAsia="宋体" w:cs="Times New Roman"/>
                <w:szCs w:val="21"/>
              </w:rPr>
              <w:t>”</w:t>
            </w:r>
            <w:r>
              <w:rPr>
                <w:rFonts w:hint="eastAsia" w:ascii="Times New Roman" w:hAnsi="Times New Roman" w:eastAsia="宋体" w:cs="Times New Roman"/>
                <w:szCs w:val="21"/>
              </w:rPr>
              <w:t>中的禁止参加政府采购活动期间。</w:t>
            </w:r>
          </w:p>
          <w:p w14:paraId="10BF085E">
            <w:pPr>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b/>
              </w:rPr>
              <w:t>查询截图，（截图查询网站时间须在开标截止前二个星期内）。</w:t>
            </w:r>
            <w:r>
              <w:rPr>
                <w:rFonts w:hint="eastAsia" w:ascii="Times New Roman" w:hAnsi="Times New Roman" w:eastAsia="宋体" w:cs="Times New Roman"/>
                <w:szCs w:val="21"/>
              </w:rPr>
              <w:t>对列入失信被执行人、重大税收违法案件当事人名单、政府采购严重违法失信行为记录名单的供应商，</w:t>
            </w:r>
            <w:r>
              <w:rPr>
                <w:rFonts w:hint="eastAsia" w:ascii="Times New Roman" w:hAnsi="Times New Roman" w:eastAsia="宋体" w:cs="Times New Roman"/>
                <w:b/>
                <w:szCs w:val="21"/>
              </w:rPr>
              <w:t>其投标将作无效标处理</w:t>
            </w:r>
            <w:r>
              <w:rPr>
                <w:rFonts w:hint="eastAsia" w:ascii="Times New Roman" w:hAnsi="Times New Roman" w:eastAsia="宋体" w:cs="Times New Roman"/>
                <w:szCs w:val="21"/>
              </w:rPr>
              <w:t>。</w:t>
            </w:r>
          </w:p>
        </w:tc>
      </w:tr>
      <w:tr w14:paraId="5A2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20E47B">
            <w:pPr>
              <w:snapToGrid w:val="0"/>
              <w:spacing w:line="240" w:lineRule="exact"/>
              <w:jc w:val="center"/>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9</w:t>
            </w:r>
          </w:p>
        </w:tc>
        <w:tc>
          <w:tcPr>
            <w:tcW w:w="116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EB9D411">
            <w:pPr>
              <w:jc w:val="center"/>
              <w:rPr>
                <w:rFonts w:ascii="Times New Roman" w:hAnsi="Times New Roman" w:eastAsia="宋体" w:cs="Times New Roman"/>
                <w:b/>
                <w:szCs w:val="21"/>
              </w:rPr>
            </w:pPr>
            <w:r>
              <w:rPr>
                <w:rFonts w:hint="eastAsia" w:ascii="Times New Roman" w:hAnsi="Times New Roman" w:eastAsia="宋体" w:cs="Times New Roman"/>
                <w:b/>
                <w:szCs w:val="21"/>
              </w:rPr>
              <w:t>中小企业有关政策</w:t>
            </w:r>
          </w:p>
        </w:tc>
        <w:tc>
          <w:tcPr>
            <w:tcW w:w="9022"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B6CCD1">
            <w:pPr>
              <w:snapToGrid w:val="0"/>
              <w:rPr>
                <w:rFonts w:ascii="Times New Roman" w:hAnsi="Times New Roman" w:eastAsia="宋体" w:cs="Times New Roman"/>
                <w:b/>
                <w:bCs/>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根据财政部财库〔2022〕19号《关于进一步加大政府采购支持中小企业力度的通知》等相关文件规定，对小型和微型企业的价格给予10%的扣除。对于联合协议或者分包意向协议约定小微企业的合同份额占到合同总金额40%以上的，给予4%的扣除。属于小型和微型企业的，投标文件中投标人必须提供《中小企业声明函》。</w:t>
            </w:r>
            <w:r>
              <w:rPr>
                <w:rFonts w:hint="eastAsia" w:ascii="Times New Roman" w:hAnsi="Times New Roman" w:eastAsia="宋体" w:cs="Times New Roman"/>
                <w:b/>
                <w:bCs/>
                <w:szCs w:val="21"/>
                <w:lang w:val="en-US" w:eastAsia="zh-CN"/>
              </w:rPr>
              <w:t>本项目不专门面向中小企业，</w:t>
            </w:r>
            <w:r>
              <w:rPr>
                <w:rFonts w:ascii="Times New Roman" w:hAnsi="Times New Roman" w:eastAsia="宋体" w:cs="Times New Roman"/>
                <w:b/>
                <w:bCs/>
                <w:szCs w:val="21"/>
              </w:rPr>
              <w:t>本项目对应的中小企业划分标准所属行业：</w:t>
            </w:r>
            <w:r>
              <w:rPr>
                <w:rFonts w:hint="eastAsia" w:ascii="Times New Roman" w:hAnsi="Times New Roman" w:eastAsia="宋体" w:cs="Times New Roman"/>
                <w:b/>
                <w:bCs/>
                <w:szCs w:val="21"/>
              </w:rPr>
              <w:t>工业</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(中小企业划型标准:《工信部联企业[2011]300号》)</w:t>
            </w:r>
          </w:p>
          <w:p w14:paraId="13EFE228">
            <w:pPr>
              <w:snapToGrid w:val="0"/>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未提供完整证明材料的，投标报价不予扣减。</w:t>
            </w:r>
          </w:p>
          <w:p w14:paraId="440BFF10">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（2）根据《关于政府采购支持监狱企业发展有关问题的通知》（财库[2014]68号）的规定，供应商如为监狱企业且所投产品为小型或微型企业生产的，其投标报价扣除10%后参与评审。</w:t>
            </w:r>
          </w:p>
          <w:p w14:paraId="1B308EDF">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投标文件中须同时提供：供应商的省级以上监狱管理局、戒毒管理局（含新疆生产建设兵团）出具的属于监狱企业的证明文件，投标产品制造商的小微企业证明，未提供完整证明材料的，投标报价不予扣减。</w:t>
            </w:r>
          </w:p>
          <w:p w14:paraId="74051208">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14:paraId="4DC00F1A">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投标文件中须提供：《残疾人福利性单位声明函》，未提供完整证明材料的，投标报价不予扣减。</w:t>
            </w:r>
          </w:p>
          <w:p w14:paraId="0E00AA57">
            <w:pPr>
              <w:snapToGrid w:val="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上述（1）、（2）、（3）政策不重复计算。</w:t>
            </w:r>
          </w:p>
          <w:p w14:paraId="58EEFFAA">
            <w:pPr>
              <w:snapToGrid w:val="0"/>
              <w:rPr>
                <w:rFonts w:ascii="Times New Roman" w:hAnsi="Times New Roman" w:eastAsia="宋体" w:cs="Times New Roman"/>
                <w:szCs w:val="21"/>
              </w:rPr>
            </w:pPr>
            <w:r>
              <w:rPr>
                <w:rFonts w:hint="eastAsia" w:ascii="Times New Roman" w:hAnsi="Times New Roman" w:eastAsia="宋体" w:cs="Times New Roman"/>
                <w:szCs w:val="21"/>
                <w:lang w:val="en-US" w:eastAsia="zh-CN"/>
              </w:rPr>
              <w:t>此项由评标委员会集体核实后统一打分</w:t>
            </w:r>
            <w:r>
              <w:rPr>
                <w:rFonts w:ascii="Times New Roman" w:hAnsi="Times New Roman" w:eastAsia="宋体" w:cs="Times New Roman"/>
                <w:szCs w:val="21"/>
              </w:rPr>
              <w:t>。</w:t>
            </w:r>
          </w:p>
          <w:p w14:paraId="2FB0C584">
            <w:pPr>
              <w:snapToGrid w:val="0"/>
              <w:rPr>
                <w:rFonts w:ascii="Times New Roman" w:hAnsi="Times New Roman" w:eastAsia="宋体" w:cs="Times New Roman"/>
                <w:szCs w:val="21"/>
              </w:rPr>
            </w:pPr>
            <w:r>
              <w:rPr>
                <w:rFonts w:hint="eastAsia" w:ascii="Times New Roman" w:hAnsi="Times New Roman" w:eastAsia="宋体" w:cs="Times New Roman"/>
                <w:szCs w:val="21"/>
              </w:rPr>
              <w:t>本项目专门面向中小企业采购（参加投标供应商须出具《中小企业声明函》，未提供不认定为中小企业，此次投标无效）。</w:t>
            </w:r>
          </w:p>
        </w:tc>
      </w:tr>
    </w:tbl>
    <w:p w14:paraId="6F7482C7">
      <w:pPr>
        <w:snapToGrid w:val="0"/>
        <w:spacing w:before="120" w:line="312" w:lineRule="auto"/>
        <w:jc w:val="center"/>
        <w:rPr>
          <w:rFonts w:hint="eastAsia" w:ascii="Times New Roman" w:hAnsi="Times New Roman" w:eastAsia="宋体" w:cs="Times New Roman"/>
          <w:b/>
          <w:sz w:val="28"/>
        </w:rPr>
      </w:pPr>
    </w:p>
    <w:p w14:paraId="58247FC8">
      <w:pPr>
        <w:snapToGrid w:val="0"/>
        <w:spacing w:before="120" w:line="312" w:lineRule="auto"/>
        <w:jc w:val="center"/>
        <w:rPr>
          <w:rFonts w:ascii="Times New Roman" w:hAnsi="Times New Roman" w:eastAsia="宋体" w:cs="Times New Roman"/>
          <w:b/>
        </w:rPr>
      </w:pPr>
      <w:r>
        <w:rPr>
          <w:rFonts w:hint="eastAsia" w:ascii="Times New Roman" w:hAnsi="Times New Roman" w:eastAsia="宋体" w:cs="Times New Roman"/>
          <w:b/>
          <w:sz w:val="28"/>
        </w:rPr>
        <w:t>一、总  则</w:t>
      </w:r>
    </w:p>
    <w:p w14:paraId="415FD080">
      <w:pPr>
        <w:snapToGrid w:val="0"/>
        <w:spacing w:before="120" w:line="360" w:lineRule="auto"/>
        <w:ind w:right="55" w:rightChars="26"/>
        <w:rPr>
          <w:rFonts w:ascii="Times New Roman" w:hAnsi="Times New Roman" w:eastAsia="宋体" w:cs="Times New Roman"/>
          <w:b/>
        </w:rPr>
      </w:pPr>
    </w:p>
    <w:p w14:paraId="6283258A">
      <w:pPr>
        <w:snapToGrid w:val="0"/>
        <w:spacing w:before="120" w:line="360" w:lineRule="auto"/>
        <w:ind w:right="55" w:rightChars="26"/>
        <w:rPr>
          <w:rFonts w:ascii="Times New Roman" w:hAnsi="Times New Roman" w:eastAsia="宋体" w:cs="Times New Roman"/>
          <w:b/>
          <w:sz w:val="28"/>
        </w:rPr>
      </w:pPr>
      <w:r>
        <w:rPr>
          <w:rFonts w:hint="eastAsia" w:ascii="Times New Roman" w:hAnsi="Times New Roman" w:eastAsia="宋体" w:cs="Times New Roman"/>
          <w:b/>
        </w:rPr>
        <w:t>（一）适用范围</w:t>
      </w:r>
    </w:p>
    <w:p w14:paraId="0DAE0EBE">
      <w:pPr>
        <w:snapToGrid w:val="0"/>
        <w:spacing w:line="360"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本招标文件适用于</w:t>
      </w:r>
      <w:r>
        <w:rPr>
          <w:rFonts w:hint="eastAsia" w:ascii="Times New Roman" w:hAnsi="Times New Roman" w:eastAsia="宋体" w:cs="Times New Roman"/>
          <w:bCs/>
          <w:lang w:eastAsia="zh-CN"/>
        </w:rPr>
        <w:t>浙北海洋生物种质资源库建设仪器设备采购项目</w:t>
      </w:r>
      <w:r>
        <w:rPr>
          <w:rFonts w:hint="eastAsia" w:ascii="Times New Roman" w:hAnsi="Times New Roman" w:eastAsia="宋体" w:cs="Times New Roman"/>
        </w:rPr>
        <w:t>的招标、投标、评标、定标、验收、合同履约、付款等行为（法律、法规另有规定的，从其规定）。</w:t>
      </w:r>
    </w:p>
    <w:p w14:paraId="5817385F">
      <w:pPr>
        <w:snapToGrid w:val="0"/>
        <w:spacing w:line="360"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（二）定义</w:t>
      </w:r>
    </w:p>
    <w:p w14:paraId="708BD434">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“采购人”系指</w:t>
      </w:r>
      <w:r>
        <w:rPr>
          <w:rFonts w:hint="eastAsia" w:ascii="Times New Roman" w:hAnsi="Times New Roman" w:eastAsia="宋体" w:cs="Times New Roman"/>
          <w:bCs/>
          <w:lang w:eastAsia="zh-CN"/>
        </w:rPr>
        <w:t>浙江省海洋水产研究所</w:t>
      </w:r>
      <w:r>
        <w:rPr>
          <w:rFonts w:hint="eastAsia" w:ascii="Times New Roman" w:hAnsi="Times New Roman" w:eastAsia="宋体" w:cs="Times New Roman"/>
        </w:rPr>
        <w:t>。</w:t>
      </w:r>
    </w:p>
    <w:p w14:paraId="70E4A228">
      <w:pPr>
        <w:spacing w:after="120"/>
        <w:ind w:firstLine="420" w:firstLineChars="200"/>
        <w:rPr>
          <w:rFonts w:ascii="Times New Roman" w:hAnsi="Calibri" w:eastAsia="宋体" w:cs="Times New Roman"/>
          <w:kern w:val="0"/>
        </w:rPr>
      </w:pPr>
      <w:r>
        <w:rPr>
          <w:rFonts w:ascii="Times New Roman" w:hAnsi="Calibri" w:eastAsia="宋体" w:cs="Times New Roman"/>
          <w:kern w:val="0"/>
        </w:rPr>
        <w:t>2.</w:t>
      </w:r>
      <w:r>
        <w:rPr>
          <w:rFonts w:hint="eastAsia" w:ascii="Times New Roman" w:hAnsi="Calibri" w:eastAsia="宋体" w:cs="Times New Roman"/>
          <w:kern w:val="0"/>
        </w:rPr>
        <w:t>“采购代理机构”系指组织本次招标的深圳市国信招标有限公司。</w:t>
      </w:r>
    </w:p>
    <w:p w14:paraId="65A347AF">
      <w:pPr>
        <w:snapToGrid w:val="0"/>
        <w:spacing w:line="360" w:lineRule="auto"/>
        <w:ind w:right="55" w:rightChars="26"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“投标人”系指向采购人提交投标文件的单位或个人。</w:t>
      </w:r>
    </w:p>
    <w:p w14:paraId="170E7638">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“产品”系指投标人按招标文件规定，须向采购人提供的一切设备、保险、税金、备品备件、工具、手册及其它有关技术资料和材料。</w:t>
      </w:r>
    </w:p>
    <w:p w14:paraId="5047FCF6">
      <w:pPr>
        <w:snapToGrid w:val="0"/>
        <w:spacing w:line="360" w:lineRule="auto"/>
        <w:ind w:right="-506" w:rightChars="-2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“服务”系指招标文件规定投标人须承担的安装、调试、技术协助、校准、培训、技术指导以及其他类似的义务。</w:t>
      </w:r>
    </w:p>
    <w:p w14:paraId="75E14D84">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“项目”系指投标人按招标文件规定向采购人提供的产品和服务。</w:t>
      </w:r>
    </w:p>
    <w:p w14:paraId="17C39C33">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“书面形式”包括信函、传真、邮件、电子文档等。</w:t>
      </w:r>
    </w:p>
    <w:p w14:paraId="2851A955">
      <w:pPr>
        <w:snapToGrid w:val="0"/>
        <w:spacing w:line="360" w:lineRule="auto"/>
        <w:ind w:firstLine="420" w:firstLineChars="200"/>
        <w:jc w:val="left"/>
        <w:rPr>
          <w:rFonts w:ascii="Times New Roman" w:hAnsi="Times New Roman" w:eastAsia="宋体" w:cs="Times New Roman"/>
        </w:rPr>
      </w:pPr>
      <w:r>
        <w:rPr>
          <w:rFonts w:ascii="Times New Roman" w:hAnsi="Times New Roman" w:eastAsia="宋体" w:cs="Times New Roman"/>
        </w:rPr>
        <w:t>8.</w:t>
      </w:r>
      <w:r>
        <w:rPr>
          <w:rFonts w:hint="eastAsia" w:ascii="Times New Roman" w:hAnsi="Times New Roman" w:eastAsia="宋体" w:cs="Times New Roman"/>
        </w:rPr>
        <w:t>“★”系指实质性要求条款，未响应的作无效标处理。</w:t>
      </w:r>
    </w:p>
    <w:p w14:paraId="4C14B14F">
      <w:pPr>
        <w:snapToGrid w:val="0"/>
        <w:spacing w:line="312" w:lineRule="auto"/>
        <w:jc w:val="left"/>
        <w:outlineLvl w:val="1"/>
        <w:rPr>
          <w:rFonts w:ascii="Times New Roman" w:hAnsi="Times New Roman" w:eastAsia="宋体" w:cs="Times New Roman"/>
          <w:b/>
          <w:sz w:val="24"/>
        </w:rPr>
      </w:pPr>
      <w:r>
        <w:rPr>
          <w:rFonts w:hint="eastAsia" w:ascii="Times New Roman" w:hAnsi="Times New Roman" w:eastAsia="宋体" w:cs="Times New Roman"/>
          <w:b/>
          <w:sz w:val="24"/>
        </w:rPr>
        <w:t>（三）招标方式</w:t>
      </w:r>
    </w:p>
    <w:p w14:paraId="62CBE0E6">
      <w:pPr>
        <w:snapToGrid w:val="0"/>
        <w:spacing w:line="312" w:lineRule="auto"/>
        <w:ind w:firstLine="420" w:firstLineChars="200"/>
        <w:jc w:val="left"/>
        <w:rPr>
          <w:rFonts w:ascii="Times New Roman" w:hAnsi="Times New Roman" w:eastAsia="宋体" w:cs="Times New Roman"/>
        </w:rPr>
      </w:pPr>
      <w:r>
        <w:rPr>
          <w:rFonts w:hint="eastAsia" w:ascii="Times New Roman" w:hAnsi="Times New Roman" w:eastAsia="宋体" w:cs="Times New Roman"/>
        </w:rPr>
        <w:t>本次招标采用公开招标。</w:t>
      </w:r>
    </w:p>
    <w:p w14:paraId="5539F710">
      <w:pPr>
        <w:snapToGrid w:val="0"/>
        <w:spacing w:line="312" w:lineRule="auto"/>
        <w:ind w:right="55" w:rightChars="26"/>
        <w:jc w:val="left"/>
        <w:outlineLvl w:val="1"/>
        <w:rPr>
          <w:rFonts w:ascii="Times New Roman" w:hAnsi="Times New Roman" w:eastAsia="宋体" w:cs="Times New Roman"/>
          <w:b/>
          <w:sz w:val="24"/>
        </w:rPr>
      </w:pPr>
      <w:r>
        <w:rPr>
          <w:rFonts w:hint="eastAsia" w:ascii="Times New Roman" w:hAnsi="Times New Roman" w:eastAsia="宋体" w:cs="Times New Roman"/>
          <w:b/>
          <w:sz w:val="24"/>
        </w:rPr>
        <w:t>（四）投标费用</w:t>
      </w:r>
    </w:p>
    <w:p w14:paraId="67FBD88B">
      <w:pPr>
        <w:snapToGrid w:val="0"/>
        <w:spacing w:line="312" w:lineRule="auto"/>
        <w:ind w:right="55" w:rightChars="26" w:firstLine="420" w:firstLineChars="200"/>
        <w:jc w:val="left"/>
        <w:rPr>
          <w:rFonts w:ascii="Times New Roman" w:hAnsi="Times New Roman" w:eastAsia="宋体" w:cs="Times New Roman"/>
        </w:rPr>
      </w:pPr>
      <w:r>
        <w:rPr>
          <w:rFonts w:hint="eastAsia" w:ascii="Times New Roman" w:hAnsi="Times New Roman" w:eastAsia="宋体" w:cs="Times New Roman"/>
        </w:rPr>
        <w:t>不论投标结果如何，投标人均应自行承担所有与投标有关的全部费用（招标文件另有规定除外）。</w:t>
      </w:r>
    </w:p>
    <w:p w14:paraId="3CE3A933">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（五）关于联合体</w:t>
      </w:r>
    </w:p>
    <w:p w14:paraId="766166DB">
      <w:pPr>
        <w:snapToGrid w:val="0"/>
        <w:spacing w:line="360" w:lineRule="auto"/>
        <w:ind w:right="55" w:rightChars="26" w:firstLine="420" w:firstLineChars="200"/>
        <w:rPr>
          <w:rFonts w:ascii="Times New Roman" w:hAnsi="Times New Roman" w:eastAsia="宋体" w:cs="Times New Roman"/>
          <w:bCs/>
          <w:szCs w:val="21"/>
        </w:rPr>
      </w:pPr>
      <w:r>
        <w:rPr>
          <w:rFonts w:ascii="Times New Roman" w:hAnsi="Times New Roman" w:eastAsia="宋体" w:cs="Times New Roman"/>
          <w:bCs/>
          <w:szCs w:val="21"/>
        </w:rPr>
        <w:t>本项目不接受联合体投标</w:t>
      </w:r>
    </w:p>
    <w:p w14:paraId="0B0EEDC8">
      <w:pPr>
        <w:snapToGrid w:val="0"/>
        <w:spacing w:line="360" w:lineRule="auto"/>
        <w:ind w:right="55" w:rightChars="26"/>
        <w:rPr>
          <w:rFonts w:ascii="Times New Roman" w:hAnsi="Times New Roman" w:eastAsia="宋体" w:cs="Times New Roman"/>
          <w:b/>
          <w:sz w:val="24"/>
        </w:rPr>
      </w:pPr>
      <w:r>
        <w:rPr>
          <w:rFonts w:hint="eastAsia" w:ascii="Times New Roman" w:hAnsi="Times New Roman" w:eastAsia="宋体" w:cs="Times New Roman"/>
          <w:b/>
          <w:sz w:val="24"/>
        </w:rPr>
        <w:t>（六）关于分包、转包</w:t>
      </w:r>
    </w:p>
    <w:p w14:paraId="404227B6">
      <w:pPr>
        <w:snapToGrid w:val="0"/>
        <w:spacing w:line="360" w:lineRule="auto"/>
        <w:ind w:right="55" w:rightChars="26" w:firstLine="420" w:firstLineChars="200"/>
        <w:rPr>
          <w:rFonts w:ascii="Times New Roman" w:hAnsi="Times New Roman" w:eastAsia="宋体" w:cs="Times New Roman"/>
        </w:rPr>
      </w:pPr>
      <w:r>
        <w:rPr>
          <w:rFonts w:hint="eastAsia" w:ascii="Times New Roman" w:hAnsi="Times New Roman" w:eastAsia="宋体" w:cs="Times New Roman"/>
        </w:rPr>
        <w:t>本项目不允许分包；</w:t>
      </w:r>
    </w:p>
    <w:p w14:paraId="6846DE12">
      <w:pPr>
        <w:spacing w:line="360" w:lineRule="auto"/>
        <w:ind w:firstLine="420" w:firstLineChars="200"/>
        <w:rPr>
          <w:rFonts w:ascii="Times New Roman" w:hAnsi="Times New Roman" w:eastAsia="宋体" w:cs="Times New Roman"/>
          <w:szCs w:val="24"/>
        </w:rPr>
      </w:pPr>
      <w:r>
        <w:rPr>
          <w:rFonts w:hint="eastAsia" w:ascii="Times New Roman" w:hAnsi="Times New Roman" w:eastAsia="宋体" w:cs="Times New Roman"/>
          <w:szCs w:val="24"/>
        </w:rPr>
        <w:t>本项目不允许转包。</w:t>
      </w:r>
    </w:p>
    <w:p w14:paraId="4908FC85">
      <w:pPr>
        <w:snapToGrid w:val="0"/>
        <w:spacing w:line="360" w:lineRule="auto"/>
        <w:ind w:right="55" w:rightChars="26"/>
        <w:rPr>
          <w:rFonts w:ascii="Times New Roman" w:hAnsi="Times New Roman" w:eastAsia="宋体" w:cs="Times New Roman"/>
          <w:b/>
          <w:spacing w:val="-4"/>
          <w:kern w:val="0"/>
          <w:sz w:val="24"/>
          <w:szCs w:val="24"/>
        </w:rPr>
      </w:pPr>
      <w:r>
        <w:rPr>
          <w:rFonts w:hint="eastAsia" w:ascii="Times New Roman" w:hAnsi="Times New Roman" w:eastAsia="宋体" w:cs="Times New Roman"/>
          <w:b/>
          <w:spacing w:val="-4"/>
          <w:kern w:val="0"/>
          <w:sz w:val="24"/>
          <w:szCs w:val="24"/>
        </w:rPr>
        <w:t>（七）特别说明：</w:t>
      </w:r>
    </w:p>
    <w:p w14:paraId="0CE87691">
      <w:pPr>
        <w:snapToGrid w:val="0"/>
        <w:spacing w:line="360" w:lineRule="auto"/>
        <w:ind w:right="-86" w:rightChars="-41" w:firstLine="406" w:firstLineChars="200"/>
        <w:rPr>
          <w:rFonts w:ascii="Times New Roman" w:hAnsi="Times New Roman" w:eastAsia="宋体" w:cs="Times New Roman"/>
          <w:b/>
          <w:bCs/>
          <w:spacing w:val="-4"/>
          <w:kern w:val="0"/>
        </w:rPr>
      </w:pPr>
      <w:r>
        <w:rPr>
          <w:rFonts w:ascii="Times New Roman" w:hAnsi="Times New Roman" w:eastAsia="宋体" w:cs="Times New Roman"/>
          <w:b/>
          <w:bCs/>
          <w:spacing w:val="-4"/>
          <w:kern w:val="0"/>
        </w:rPr>
        <w:t xml:space="preserve">1. </w:t>
      </w:r>
      <w:r>
        <w:rPr>
          <w:rFonts w:hint="eastAsia" w:ascii="Times New Roman" w:hAnsi="Times New Roman" w:eastAsia="宋体" w:cs="Times New Roman"/>
          <w:b/>
          <w:bCs/>
          <w:spacing w:val="-4"/>
          <w:kern w:val="0"/>
        </w:rPr>
        <w:t>提供相同品牌产品且通过资格审查、符合性审查的不同投标人参加同一合同项下投标的，按一家投标人计算，评审后得分最高的同品牌投标人获得中标人推荐资格；评审得分相同的，取报价最低一家为有效供应商；当报价相同时，则以技术标最优一家为有效供应商；均相同时，抽签决定。其他同品牌投标人不作为中标候选人。</w:t>
      </w:r>
    </w:p>
    <w:p w14:paraId="01D5597B">
      <w:pPr>
        <w:snapToGrid w:val="0"/>
        <w:spacing w:line="360" w:lineRule="auto"/>
        <w:ind w:right="-86" w:rightChars="-41" w:firstLine="404" w:firstLineChars="199"/>
        <w:rPr>
          <w:rFonts w:ascii="Times New Roman" w:hAnsi="Times New Roman" w:eastAsia="宋体" w:cs="Times New Roman"/>
          <w:b/>
          <w:bCs/>
          <w:spacing w:val="-4"/>
          <w:kern w:val="0"/>
        </w:rPr>
      </w:pPr>
      <w:r>
        <w:rPr>
          <w:rFonts w:hint="eastAsia" w:ascii="Times New Roman" w:hAnsi="Times New Roman" w:eastAsia="宋体" w:cs="Times New Roman"/>
          <w:b/>
          <w:bCs/>
          <w:spacing w:val="-4"/>
          <w:kern w:val="0"/>
        </w:rPr>
        <w:t>多家投标人提供的核心产品品牌相同的，按以上规定处理。</w:t>
      </w:r>
    </w:p>
    <w:p w14:paraId="77A34982">
      <w:pPr>
        <w:snapToGrid w:val="0"/>
        <w:spacing w:line="360" w:lineRule="auto"/>
        <w:ind w:right="-86" w:rightChars="-41" w:firstLine="401" w:firstLineChars="199"/>
        <w:rPr>
          <w:rFonts w:ascii="Times New Roman" w:hAnsi="Times New Roman" w:eastAsia="宋体" w:cs="Times New Roman"/>
          <w:bCs/>
          <w:spacing w:val="-4"/>
          <w:kern w:val="0"/>
        </w:rPr>
      </w:pPr>
      <w:r>
        <w:rPr>
          <w:rFonts w:ascii="Times New Roman" w:hAnsi="Times New Roman" w:eastAsia="宋体" w:cs="Times New Roman"/>
          <w:bCs/>
          <w:spacing w:val="-4"/>
          <w:kern w:val="0"/>
        </w:rPr>
        <w:t>2.</w:t>
      </w:r>
      <w:r>
        <w:rPr>
          <w:rFonts w:hint="eastAsia" w:ascii="Times New Roman" w:hAnsi="Times New Roman" w:eastAsia="宋体" w:cs="Times New Roman"/>
          <w:bCs/>
          <w:spacing w:val="-4"/>
          <w:kern w:val="0"/>
        </w:rPr>
        <w:t>投标人投标所使用的资格、信誉、荣誉、业绩与企业认证必须为本法人所拥有。投标人投标所使用的采购项目实施人员必须为本法人员工。</w:t>
      </w:r>
    </w:p>
    <w:p w14:paraId="7B121BF1">
      <w:pPr>
        <w:keepNext w:val="0"/>
        <w:keepLines w:val="0"/>
        <w:pageBreakBefore w:val="0"/>
        <w:kinsoku/>
        <w:wordWrap/>
        <w:overflowPunct/>
        <w:topLinePunct w:val="0"/>
        <w:autoSpaceDE/>
        <w:autoSpaceDN/>
        <w:bidi w:val="0"/>
        <w:adjustRightInd/>
        <w:snapToGrid w:val="0"/>
        <w:spacing w:line="360" w:lineRule="auto"/>
        <w:ind w:right="0" w:rightChars="0" w:firstLine="404" w:firstLineChars="200"/>
        <w:textAlignment w:val="auto"/>
        <w:rPr>
          <w:rFonts w:ascii="Times New Roman" w:hAnsi="Times New Roman" w:eastAsia="宋体" w:cs="Times New Roman"/>
          <w:bCs/>
          <w:spacing w:val="-4"/>
          <w:kern w:val="0"/>
        </w:rPr>
      </w:pPr>
      <w:r>
        <w:rPr>
          <w:rFonts w:ascii="Times New Roman" w:hAnsi="Times New Roman" w:eastAsia="宋体" w:cs="Times New Roman"/>
          <w:bCs/>
          <w:spacing w:val="-4"/>
          <w:kern w:val="0"/>
        </w:rPr>
        <w:t>3.</w:t>
      </w:r>
      <w:r>
        <w:rPr>
          <w:rFonts w:hint="eastAsia" w:ascii="Times New Roman" w:hAnsi="Times New Roman" w:eastAsia="宋体" w:cs="Times New Roman"/>
          <w:bCs/>
          <w:spacing w:val="-4"/>
          <w:kern w:val="0"/>
        </w:rPr>
        <w:t>投标人应仔细阅读招标文件的所有内容，按照招标文件的要求提交投标文件，并对所提供的全部资料的真实性承担法律责任。</w:t>
      </w:r>
    </w:p>
    <w:p w14:paraId="1D96055E">
      <w:pPr>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1"/>
        <w:rPr>
          <w:rFonts w:ascii="Times New Roman" w:hAnsi="Times New Roman" w:eastAsia="宋体" w:cs="Times New Roman"/>
          <w:b/>
          <w:sz w:val="24"/>
          <w:szCs w:val="24"/>
        </w:rPr>
      </w:pPr>
      <w:r>
        <w:rPr>
          <w:rFonts w:hint="eastAsia" w:ascii="Times New Roman" w:hAnsi="Times New Roman" w:eastAsia="宋体" w:cs="Times New Roman"/>
          <w:b/>
          <w:sz w:val="24"/>
          <w:szCs w:val="24"/>
        </w:rPr>
        <w:t>（八）质疑</w:t>
      </w:r>
    </w:p>
    <w:p w14:paraId="30829372">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投标人应当自知道或者应当知道其合法权益受到损害之日起七个工作日内提出质疑。</w:t>
      </w:r>
    </w:p>
    <w:p w14:paraId="7A4EE4D2">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1.</w:t>
      </w:r>
      <w:r>
        <w:rPr>
          <w:rFonts w:hint="eastAsia" w:ascii="Times New Roman" w:hAnsi="Times New Roman" w:eastAsia="宋体" w:cs="Times New Roman"/>
          <w:bCs/>
          <w:szCs w:val="21"/>
        </w:rPr>
        <w:t>对可以质疑的采购文件提出质疑的，为收到采购文件之日或者采购文件公告期限届满之日；</w:t>
      </w:r>
    </w:p>
    <w:p w14:paraId="4C51543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2.</w:t>
      </w:r>
      <w:r>
        <w:rPr>
          <w:rFonts w:hint="eastAsia" w:ascii="Times New Roman" w:hAnsi="Times New Roman" w:eastAsia="宋体" w:cs="Times New Roman"/>
          <w:bCs/>
          <w:szCs w:val="21"/>
        </w:rPr>
        <w:t>对采购过程提出质疑的，为各采购程序环节结束之日；</w:t>
      </w:r>
    </w:p>
    <w:p w14:paraId="1D7AE326">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3.</w:t>
      </w:r>
      <w:r>
        <w:rPr>
          <w:rFonts w:hint="eastAsia" w:ascii="Times New Roman" w:hAnsi="Times New Roman" w:eastAsia="宋体" w:cs="Times New Roman"/>
          <w:bCs/>
          <w:szCs w:val="21"/>
        </w:rPr>
        <w:t>对中标或者成交结果提出质疑的，为中标或者成交结果公告期限届满之日。</w:t>
      </w:r>
    </w:p>
    <w:p w14:paraId="30EB379F">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质疑书应包括下列主要内容：</w:t>
      </w:r>
    </w:p>
    <w:p w14:paraId="3A5769D0">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①</w:t>
      </w:r>
      <w:r>
        <w:rPr>
          <w:rFonts w:hint="eastAsia" w:ascii="Times New Roman" w:hAnsi="Times New Roman" w:eastAsia="宋体" w:cs="Times New Roman"/>
          <w:bCs/>
          <w:szCs w:val="21"/>
        </w:rPr>
        <w:t>质疑人的名称、地址、邮政编码、联系人、联系电话，以及被质疑人名称及联系方式；</w:t>
      </w:r>
    </w:p>
    <w:p w14:paraId="24B0B62D">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②</w:t>
      </w:r>
      <w:r>
        <w:rPr>
          <w:rFonts w:hint="eastAsia" w:ascii="Times New Roman" w:hAnsi="Times New Roman" w:eastAsia="宋体" w:cs="Times New Roman"/>
          <w:bCs/>
          <w:szCs w:val="21"/>
        </w:rPr>
        <w:t>被质疑采购项目名称、编号及采购内容；</w:t>
      </w:r>
    </w:p>
    <w:p w14:paraId="05846697">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③</w:t>
      </w:r>
      <w:r>
        <w:rPr>
          <w:rFonts w:hint="eastAsia" w:ascii="Times New Roman" w:hAnsi="Times New Roman" w:eastAsia="宋体" w:cs="Times New Roman"/>
          <w:bCs/>
          <w:szCs w:val="21"/>
        </w:rPr>
        <w:t>具体的质疑事项及事实依据；</w:t>
      </w:r>
    </w:p>
    <w:p w14:paraId="5C9E1FD8">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④</w:t>
      </w:r>
      <w:r>
        <w:rPr>
          <w:rFonts w:hint="eastAsia" w:ascii="Times New Roman" w:hAnsi="Times New Roman" w:eastAsia="宋体" w:cs="Times New Roman"/>
          <w:bCs/>
          <w:szCs w:val="21"/>
        </w:rPr>
        <w:t>认为自己合法权益受到损害或可能受到损害的相关证据材料；</w:t>
      </w:r>
    </w:p>
    <w:p w14:paraId="79F5E365">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宋体" w:hAnsi="宋体" w:eastAsia="宋体" w:cs="宋体"/>
          <w:bCs/>
          <w:szCs w:val="21"/>
        </w:rPr>
        <w:t>⑤</w:t>
      </w:r>
      <w:r>
        <w:rPr>
          <w:rFonts w:hint="eastAsia" w:ascii="Times New Roman" w:hAnsi="Times New Roman" w:eastAsia="宋体" w:cs="Times New Roman"/>
          <w:bCs/>
          <w:szCs w:val="21"/>
        </w:rPr>
        <w:t>提出质疑的日期。</w:t>
      </w:r>
    </w:p>
    <w:p w14:paraId="4E472529">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Cs/>
          <w:szCs w:val="21"/>
        </w:rPr>
      </w:pPr>
      <w:r>
        <w:rPr>
          <w:rFonts w:hint="eastAsia" w:ascii="Times New Roman" w:hAnsi="Times New Roman" w:eastAsia="宋体" w:cs="Times New Roman"/>
          <w:bCs/>
          <w:szCs w:val="21"/>
        </w:rPr>
        <w:t>供应商为自然人的，应当由本人签字：供应商为法人或者其他组织的，应当由法定代表人、主要负责人，或者其授权代表签字或者盖章，并加盖公章。</w:t>
      </w:r>
    </w:p>
    <w:p w14:paraId="3F14B8FE">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200"/>
        <w:textAlignment w:val="auto"/>
        <w:outlineLvl w:val="1"/>
        <w:rPr>
          <w:rFonts w:ascii="Times New Roman" w:hAnsi="Times New Roman" w:eastAsia="宋体" w:cs="Times New Roman"/>
          <w:b/>
          <w:sz w:val="28"/>
        </w:rPr>
      </w:pPr>
      <w:r>
        <w:rPr>
          <w:rFonts w:hint="eastAsia" w:ascii="Times New Roman" w:hAnsi="Times New Roman" w:eastAsia="宋体" w:cs="Times New Roman"/>
          <w:bCs/>
          <w:szCs w:val="21"/>
        </w:rPr>
        <w:t>供应商在法定质疑期内一次性提出针对同一采购程序环节的质疑。</w:t>
      </w:r>
    </w:p>
    <w:p w14:paraId="04BD789B">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二、招标文件</w:t>
      </w:r>
    </w:p>
    <w:p w14:paraId="02605D81">
      <w:pPr>
        <w:snapToGrid w:val="0"/>
        <w:spacing w:line="360" w:lineRule="auto"/>
        <w:ind w:right="-341"/>
        <w:jc w:val="left"/>
        <w:rPr>
          <w:rFonts w:ascii="Times New Roman" w:hAnsi="Times New Roman" w:eastAsia="宋体" w:cs="Times New Roman"/>
          <w:b/>
          <w:sz w:val="24"/>
        </w:rPr>
      </w:pPr>
      <w:r>
        <w:rPr>
          <w:rFonts w:hint="eastAsia" w:ascii="Times New Roman" w:hAnsi="Times New Roman" w:eastAsia="宋体" w:cs="Times New Roman"/>
          <w:b/>
          <w:sz w:val="24"/>
        </w:rPr>
        <w:t>（一）招标文件的构成。本招标文件由以下部份组成：</w:t>
      </w:r>
    </w:p>
    <w:p w14:paraId="319AA3E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招标公告</w:t>
      </w:r>
    </w:p>
    <w:p w14:paraId="02AB87CF">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招标需求</w:t>
      </w:r>
    </w:p>
    <w:p w14:paraId="1A02D63C">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投标人须知</w:t>
      </w:r>
    </w:p>
    <w:p w14:paraId="64AB00BA">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lang w:eastAsia="zh-CN"/>
        </w:rPr>
        <w:t>评标方法</w:t>
      </w:r>
      <w:r>
        <w:rPr>
          <w:rFonts w:hint="eastAsia" w:ascii="Times New Roman" w:hAnsi="Times New Roman" w:eastAsia="宋体" w:cs="Times New Roman"/>
        </w:rPr>
        <w:t>及标准</w:t>
      </w:r>
    </w:p>
    <w:p w14:paraId="5977F1C0">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合同主要条款</w:t>
      </w:r>
    </w:p>
    <w:p w14:paraId="7A48197D">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投标文件格式</w:t>
      </w:r>
    </w:p>
    <w:p w14:paraId="1AA6AEA4">
      <w:pPr>
        <w:snapToGrid w:val="0"/>
        <w:spacing w:line="360" w:lineRule="auto"/>
        <w:ind w:right="-341" w:firstLine="420" w:firstLineChars="200"/>
        <w:jc w:val="left"/>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本项目招标文件的澄清、答复、修改、补充的内容</w:t>
      </w:r>
    </w:p>
    <w:p w14:paraId="22FDB5D7">
      <w:pPr>
        <w:keepNext w:val="0"/>
        <w:keepLines w:val="0"/>
        <w:pageBreakBefore w:val="0"/>
        <w:kinsoku/>
        <w:wordWrap/>
        <w:overflowPunct/>
        <w:topLinePunct w:val="0"/>
        <w:autoSpaceDE/>
        <w:autoSpaceDN/>
        <w:bidi w:val="0"/>
        <w:adjustRightInd/>
        <w:snapToGrid w:val="0"/>
        <w:spacing w:line="360" w:lineRule="auto"/>
        <w:ind w:left="0" w:right="0" w:rightChars="0"/>
        <w:jc w:val="left"/>
        <w:textAlignment w:val="auto"/>
        <w:rPr>
          <w:rFonts w:ascii="Times New Roman" w:hAnsi="Times New Roman" w:eastAsia="宋体" w:cs="Times New Roman"/>
          <w:b/>
          <w:sz w:val="24"/>
        </w:rPr>
      </w:pPr>
      <w:r>
        <w:rPr>
          <w:rFonts w:hint="eastAsia" w:ascii="Times New Roman" w:hAnsi="Times New Roman" w:eastAsia="宋体" w:cs="Times New Roman"/>
          <w:b/>
          <w:sz w:val="24"/>
        </w:rPr>
        <w:t>（二）投标人的风险</w:t>
      </w:r>
    </w:p>
    <w:p w14:paraId="060505CC">
      <w:pPr>
        <w:keepNext w:val="0"/>
        <w:keepLines w:val="0"/>
        <w:pageBreakBefore w:val="0"/>
        <w:kinsoku/>
        <w:wordWrap/>
        <w:overflowPunct/>
        <w:topLinePunct w:val="0"/>
        <w:autoSpaceDE/>
        <w:autoSpaceDN/>
        <w:bidi w:val="0"/>
        <w:adjustRightInd/>
        <w:spacing w:line="360" w:lineRule="auto"/>
        <w:ind w:left="0" w:right="0" w:rightChars="0" w:firstLine="420"/>
        <w:textAlignment w:val="auto"/>
        <w:rPr>
          <w:rFonts w:ascii="Times New Roman" w:hAnsi="Times New Roman" w:eastAsia="宋体" w:cs="Times New Roman"/>
        </w:rPr>
      </w:pPr>
      <w:r>
        <w:rPr>
          <w:rFonts w:hint="eastAsia" w:ascii="Times New Roman" w:hAnsi="Times New Roman" w:eastAsia="宋体" w:cs="Times New Roman"/>
        </w:rPr>
        <w:t>投标人没有按照招标文件要求提供全部资料，或者投标人没有对招标文件在各方面作出实质性响应是投标人的风险，并可能导致其投标被拒绝。</w:t>
      </w:r>
    </w:p>
    <w:p w14:paraId="695EA470">
      <w:pPr>
        <w:keepNext w:val="0"/>
        <w:keepLines w:val="0"/>
        <w:pageBreakBefore w:val="0"/>
        <w:tabs>
          <w:tab w:val="left" w:pos="454"/>
          <w:tab w:val="left" w:pos="720"/>
          <w:tab w:val="left" w:pos="900"/>
        </w:tabs>
        <w:kinsoku/>
        <w:wordWrap/>
        <w:overflowPunct/>
        <w:topLinePunct w:val="0"/>
        <w:autoSpaceDE/>
        <w:autoSpaceDN/>
        <w:bidi w:val="0"/>
        <w:adjustRightInd/>
        <w:snapToGrid w:val="0"/>
        <w:spacing w:line="360" w:lineRule="auto"/>
        <w:ind w:left="0" w:right="0" w:rightChars="0" w:hanging="247" w:hangingChars="117"/>
        <w:textAlignment w:val="auto"/>
        <w:rPr>
          <w:rFonts w:ascii="Times New Roman" w:hAnsi="Times New Roman" w:eastAsia="宋体" w:cs="Times New Roman"/>
          <w:b/>
        </w:rPr>
      </w:pPr>
      <w:r>
        <w:rPr>
          <w:rFonts w:hint="eastAsia" w:ascii="Times New Roman" w:hAnsi="Times New Roman" w:eastAsia="宋体" w:cs="Times New Roman"/>
          <w:b/>
        </w:rPr>
        <w:t>（三）招标文件的澄清与修改</w:t>
      </w:r>
    </w:p>
    <w:p w14:paraId="0C8A19ED">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投标人应认真阅读本招标文件，发现其中有误或有要求不合理的，投标人必须在投标截止前</w:t>
      </w:r>
      <w:r>
        <w:rPr>
          <w:rFonts w:ascii="Times New Roman" w:hAnsi="Times New Roman" w:eastAsia="宋体" w:cs="Times New Roman"/>
          <w:szCs w:val="21"/>
        </w:rPr>
        <w:t>15</w:t>
      </w:r>
      <w:r>
        <w:rPr>
          <w:rFonts w:hint="eastAsia" w:ascii="Times New Roman" w:hAnsi="Times New Roman" w:eastAsia="宋体" w:cs="Times New Roman"/>
          <w:szCs w:val="21"/>
        </w:rPr>
        <w:t>天内以书面形式要求招标采购单位澄清。招标采购单位对已发出的招标文件进行必要澄清、答复、修改或补充的，应当在招标文件要求提交投标文件截止时间</w:t>
      </w:r>
      <w:r>
        <w:rPr>
          <w:rFonts w:ascii="Times New Roman" w:hAnsi="Times New Roman" w:eastAsia="宋体" w:cs="Times New Roman"/>
          <w:szCs w:val="21"/>
        </w:rPr>
        <w:t>15</w:t>
      </w:r>
      <w:r>
        <w:rPr>
          <w:rFonts w:hint="eastAsia" w:ascii="Times New Roman" w:hAnsi="Times New Roman" w:eastAsia="宋体" w:cs="Times New Roman"/>
          <w:szCs w:val="21"/>
        </w:rPr>
        <w:t>天前，在财政部门指定的政府采购信息发布媒体上发布更正公告，并通知所有已报名的潜在投标人。</w:t>
      </w:r>
    </w:p>
    <w:p w14:paraId="7F8924CA">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招标文件的答复、澄清、修改、补充通知实质上改变采购需求相关内容，且自招标文件的答复、澄清、修改、补充通知发出之日起至投标截止时间止不足</w:t>
      </w:r>
      <w:r>
        <w:rPr>
          <w:rFonts w:ascii="Times New Roman" w:hAnsi="Times New Roman" w:eastAsia="宋体" w:cs="Times New Roman"/>
          <w:szCs w:val="21"/>
        </w:rPr>
        <w:t>15</w:t>
      </w:r>
      <w:r>
        <w:rPr>
          <w:rFonts w:hint="eastAsia" w:ascii="Times New Roman" w:hAnsi="Times New Roman" w:eastAsia="宋体" w:cs="Times New Roman"/>
          <w:szCs w:val="21"/>
        </w:rPr>
        <w:t>天的，招标采购单位可视情况推迟投标截止时间和开标时间，按规定在财政部门指定的政府采购信息发布媒体上发布变更公告，并将变更后的时间通知所有已报名的潜在投标人。</w:t>
      </w:r>
    </w:p>
    <w:p w14:paraId="3E60BEA4">
      <w:pPr>
        <w:keepNext w:val="0"/>
        <w:keepLines w:val="0"/>
        <w:pageBreakBefore w:val="0"/>
        <w:widowControl/>
        <w:kinsoku/>
        <w:wordWrap/>
        <w:overflowPunct/>
        <w:topLinePunct w:val="0"/>
        <w:autoSpaceDE/>
        <w:autoSpaceDN/>
        <w:bidi w:val="0"/>
        <w:adjustRightInd/>
        <w:snapToGrid w:val="0"/>
        <w:spacing w:line="360" w:lineRule="auto"/>
        <w:ind w:left="0" w:right="0" w:rightChars="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招标文件澄清、答复、修改、补充的内容为采购文件的组成部分。当招标文件与招标文件的答复、澄清、修改、补充通知就同一内容的表述不一致时，以最后发出的变更公告为准。</w:t>
      </w:r>
    </w:p>
    <w:p w14:paraId="42D761FD">
      <w:pPr>
        <w:keepNext w:val="0"/>
        <w:keepLines w:val="0"/>
        <w:pageBreakBefore w:val="0"/>
        <w:kinsoku/>
        <w:wordWrap/>
        <w:overflowPunct/>
        <w:topLinePunct w:val="0"/>
        <w:autoSpaceDE/>
        <w:autoSpaceDN/>
        <w:bidi w:val="0"/>
        <w:adjustRightInd/>
        <w:snapToGrid w:val="0"/>
        <w:spacing w:line="360" w:lineRule="auto"/>
        <w:ind w:left="0" w:right="0" w:rightChars="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招标文件的澄清、答复、修改或补充都应该通过本代理机构以法定形式发布。</w:t>
      </w:r>
    </w:p>
    <w:p w14:paraId="51BF5B96">
      <w:pPr>
        <w:keepNext w:val="0"/>
        <w:keepLines w:val="0"/>
        <w:pageBreakBefore w:val="0"/>
        <w:kinsoku/>
        <w:wordWrap/>
        <w:overflowPunct/>
        <w:topLinePunct w:val="0"/>
        <w:autoSpaceDE/>
        <w:autoSpaceDN/>
        <w:bidi w:val="0"/>
        <w:adjustRightInd/>
        <w:snapToGrid w:val="0"/>
        <w:spacing w:line="360" w:lineRule="auto"/>
        <w:ind w:left="0" w:right="0" w:rightChars="0" w:firstLine="2923" w:firstLineChars="1040"/>
        <w:textAlignment w:val="auto"/>
        <w:outlineLvl w:val="1"/>
        <w:rPr>
          <w:rFonts w:ascii="Times New Roman" w:hAnsi="Times New Roman" w:eastAsia="宋体" w:cs="Times New Roman"/>
          <w:b/>
          <w:sz w:val="28"/>
        </w:rPr>
      </w:pPr>
      <w:r>
        <w:rPr>
          <w:rFonts w:hint="eastAsia" w:ascii="Times New Roman" w:hAnsi="Times New Roman" w:eastAsia="宋体" w:cs="Times New Roman"/>
          <w:b/>
          <w:sz w:val="28"/>
        </w:rPr>
        <w:t>三、投标文件的编制</w:t>
      </w:r>
    </w:p>
    <w:p w14:paraId="3A6BF450">
      <w:pPr>
        <w:keepNext w:val="0"/>
        <w:keepLines w:val="0"/>
        <w:pageBreakBefore w:val="0"/>
        <w:kinsoku/>
        <w:wordWrap/>
        <w:overflowPunct/>
        <w:topLinePunct w:val="0"/>
        <w:autoSpaceDE/>
        <w:autoSpaceDN/>
        <w:bidi w:val="0"/>
        <w:adjustRightInd/>
        <w:spacing w:line="336" w:lineRule="auto"/>
        <w:ind w:left="0" w:right="0" w:rightChars="0" w:firstLine="211" w:firstLineChars="100"/>
        <w:textAlignment w:val="auto"/>
        <w:rPr>
          <w:rFonts w:ascii="Times New Roman" w:hAnsi="Times New Roman" w:eastAsia="宋体" w:cs="Times New Roman"/>
          <w:b/>
          <w:szCs w:val="21"/>
        </w:rPr>
      </w:pPr>
      <w:r>
        <w:rPr>
          <w:rFonts w:hint="eastAsia" w:ascii="Times New Roman" w:hAnsi="Times New Roman" w:eastAsia="宋体" w:cs="Times New Roman"/>
          <w:b/>
          <w:szCs w:val="21"/>
        </w:rPr>
        <w:t>（一）投标文件的签署</w:t>
      </w:r>
    </w:p>
    <w:p w14:paraId="483197DC">
      <w:pPr>
        <w:keepNext w:val="0"/>
        <w:keepLines w:val="0"/>
        <w:pageBreakBefore w:val="0"/>
        <w:kinsoku/>
        <w:wordWrap/>
        <w:overflowPunct/>
        <w:topLinePunct w:val="0"/>
        <w:autoSpaceDE/>
        <w:autoSpaceDN/>
        <w:bidi w:val="0"/>
        <w:adjustRightInd/>
        <w:spacing w:line="336" w:lineRule="auto"/>
        <w:ind w:left="0"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电子投标文件部分：</w:t>
      </w:r>
    </w:p>
    <w:p w14:paraId="0D6C5FFF">
      <w:pPr>
        <w:keepNext w:val="0"/>
        <w:keepLines w:val="0"/>
        <w:pageBreakBefore w:val="0"/>
        <w:kinsoku/>
        <w:wordWrap/>
        <w:overflowPunct/>
        <w:topLinePunct w:val="0"/>
        <w:autoSpaceDE/>
        <w:autoSpaceDN/>
        <w:bidi w:val="0"/>
        <w:adjustRightInd/>
        <w:spacing w:line="336" w:lineRule="auto"/>
        <w:ind w:left="0" w:right="0" w:rightChars="0" w:firstLine="420"/>
        <w:textAlignment w:val="auto"/>
        <w:rPr>
          <w:rFonts w:ascii="Times New Roman" w:hAnsi="Times New Roman" w:eastAsia="宋体" w:cs="Times New Roman"/>
          <w:szCs w:val="21"/>
        </w:rPr>
      </w:pPr>
      <w:r>
        <w:rPr>
          <w:rFonts w:hint="eastAsia" w:ascii="Times New Roman" w:hAnsi="Times New Roman" w:eastAsia="宋体" w:cs="Times New Roman"/>
          <w:szCs w:val="21"/>
        </w:rPr>
        <w:t>投标人应根据</w:t>
      </w:r>
      <w:r>
        <w:rPr>
          <w:rFonts w:ascii="Times New Roman" w:hAnsi="Times New Roman" w:eastAsia="宋体" w:cs="Times New Roman"/>
          <w:szCs w:val="21"/>
        </w:rPr>
        <w:t>“</w:t>
      </w:r>
      <w:r>
        <w:rPr>
          <w:rFonts w:hint="eastAsia" w:ascii="Times New Roman" w:hAnsi="Times New Roman" w:eastAsia="宋体" w:cs="Times New Roman"/>
          <w:szCs w:val="21"/>
        </w:rPr>
        <w:t>政采云供应商项目采购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w:t>
      </w:r>
      <w:r>
        <w:rPr>
          <w:rFonts w:ascii="Times New Roman" w:hAnsi="Times New Roman" w:eastAsia="宋体" w:cs="Times New Roman"/>
          <w:szCs w:val="21"/>
        </w:rPr>
        <w:t>”</w:t>
      </w:r>
      <w:r>
        <w:rPr>
          <w:rFonts w:hint="eastAsia" w:ascii="Times New Roman" w:hAnsi="Times New Roman" w:eastAsia="宋体" w:cs="Times New Roman"/>
          <w:szCs w:val="21"/>
        </w:rPr>
        <w:t>及本招标文件规定的格式和顺序编制电子投标文件并进行关联定位。</w:t>
      </w:r>
    </w:p>
    <w:p w14:paraId="02094C19">
      <w:pPr>
        <w:keepNext w:val="0"/>
        <w:keepLines w:val="0"/>
        <w:pageBreakBefore w:val="0"/>
        <w:kinsoku/>
        <w:wordWrap/>
        <w:overflowPunct/>
        <w:topLinePunct w:val="0"/>
        <w:autoSpaceDE/>
        <w:autoSpaceDN/>
        <w:bidi w:val="0"/>
        <w:adjustRightInd/>
        <w:spacing w:line="336" w:lineRule="auto"/>
        <w:ind w:left="0" w:right="0" w:rightChars="0" w:firstLine="42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备份投标文件部分：</w:t>
      </w:r>
    </w:p>
    <w:p w14:paraId="24AE61C8">
      <w:pPr>
        <w:keepNext w:val="0"/>
        <w:keepLines w:val="0"/>
        <w:pageBreakBefore w:val="0"/>
        <w:kinsoku/>
        <w:wordWrap/>
        <w:overflowPunct/>
        <w:topLinePunct w:val="0"/>
        <w:autoSpaceDE/>
        <w:autoSpaceDN/>
        <w:bidi w:val="0"/>
        <w:adjustRightInd/>
        <w:snapToGrid w:val="0"/>
        <w:spacing w:line="336" w:lineRule="auto"/>
        <w:ind w:left="0" w:right="0" w:rightChars="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2E674D9F">
      <w:pPr>
        <w:keepNext w:val="0"/>
        <w:keepLines w:val="0"/>
        <w:pageBreakBefore w:val="0"/>
        <w:tabs>
          <w:tab w:val="left" w:pos="0"/>
        </w:tabs>
        <w:kinsoku/>
        <w:wordWrap/>
        <w:overflowPunct/>
        <w:topLinePunct w:val="0"/>
        <w:autoSpaceDE/>
        <w:autoSpaceDN/>
        <w:bidi w:val="0"/>
        <w:adjustRightInd/>
        <w:spacing w:line="360" w:lineRule="auto"/>
        <w:ind w:left="0" w:right="0" w:rightChars="0" w:firstLine="211" w:firstLineChars="100"/>
        <w:textAlignment w:val="auto"/>
        <w:rPr>
          <w:rFonts w:ascii="Times New Roman" w:hAnsi="Times New Roman" w:eastAsia="宋体" w:cs="Times New Roman"/>
          <w:b/>
          <w:szCs w:val="21"/>
        </w:rPr>
      </w:pPr>
      <w:r>
        <w:rPr>
          <w:rFonts w:hint="eastAsia" w:ascii="Times New Roman" w:hAnsi="Times New Roman" w:eastAsia="宋体" w:cs="Times New Roman"/>
          <w:b/>
          <w:szCs w:val="21"/>
        </w:rPr>
        <w:t>（二）投标文件的组成</w:t>
      </w:r>
    </w:p>
    <w:p w14:paraId="35AE73B7">
      <w:pPr>
        <w:keepNext w:val="0"/>
        <w:keepLines w:val="0"/>
        <w:pageBreakBefore w:val="0"/>
        <w:kinsoku/>
        <w:wordWrap/>
        <w:overflowPunct/>
        <w:topLinePunct w:val="0"/>
        <w:autoSpaceDE/>
        <w:autoSpaceDN/>
        <w:bidi w:val="0"/>
        <w:adjustRightInd/>
        <w:spacing w:line="360" w:lineRule="auto"/>
        <w:ind w:left="0" w:right="0" w:rightChars="0" w:firstLine="413" w:firstLineChars="196"/>
        <w:textAlignment w:val="auto"/>
        <w:rPr>
          <w:rFonts w:ascii="宋体" w:hAnsi="Courier New" w:eastAsia="宋体" w:cs="Times New Roman"/>
          <w:szCs w:val="21"/>
        </w:rPr>
      </w:pPr>
      <w:r>
        <w:rPr>
          <w:rFonts w:hint="eastAsia" w:ascii="宋体" w:hAnsi="Courier New" w:eastAsia="宋体" w:cs="Times New Roman"/>
          <w:b/>
          <w:bCs/>
          <w:szCs w:val="21"/>
        </w:rPr>
        <w:t>投标文件由资格响应文件、商务及技术响应文件、报价文件三部份组成。</w:t>
      </w:r>
      <w:r>
        <w:rPr>
          <w:rFonts w:hint="eastAsia" w:ascii="宋体" w:hAnsi="Courier New" w:eastAsia="宋体" w:cs="Times New Roman"/>
          <w:szCs w:val="21"/>
        </w:rPr>
        <w:t>电子投标文件中所须加盖公章部分均采用CA签章。（以下投标文件的部分格式详见本招标文件第六章，如本招标文件没有提供相应的格式，投标人可自行制表填写）</w:t>
      </w:r>
    </w:p>
    <w:p w14:paraId="2606967C">
      <w:pPr>
        <w:keepNext w:val="0"/>
        <w:keepLines w:val="0"/>
        <w:pageBreakBefore w:val="0"/>
        <w:kinsoku/>
        <w:wordWrap/>
        <w:overflowPunct/>
        <w:topLinePunct w:val="0"/>
        <w:autoSpaceDE/>
        <w:autoSpaceDN/>
        <w:bidi w:val="0"/>
        <w:adjustRightInd/>
        <w:spacing w:line="360" w:lineRule="auto"/>
        <w:ind w:left="0" w:right="0" w:rightChars="0"/>
        <w:textAlignment w:val="auto"/>
        <w:rPr>
          <w:rFonts w:ascii="Times New Roman" w:hAnsi="Times New Roman" w:eastAsia="宋体" w:cs="Times New Roman"/>
          <w:b/>
          <w:szCs w:val="21"/>
        </w:rPr>
      </w:pPr>
      <w:r>
        <w:rPr>
          <w:rFonts w:hint="eastAsia" w:ascii="Times New Roman" w:hAnsi="Times New Roman" w:eastAsia="宋体" w:cs="Times New Roman"/>
          <w:b/>
          <w:szCs w:val="21"/>
        </w:rPr>
        <w:t>资格响应部份：</w:t>
      </w:r>
    </w:p>
    <w:p w14:paraId="2C6E0EBB">
      <w:pPr>
        <w:keepNext w:val="0"/>
        <w:keepLines w:val="0"/>
        <w:pageBreakBefore w:val="0"/>
        <w:kinsoku/>
        <w:wordWrap/>
        <w:overflowPunct/>
        <w:topLinePunct w:val="0"/>
        <w:autoSpaceDE/>
        <w:autoSpaceDN/>
        <w:bidi w:val="0"/>
        <w:adjustRightInd/>
        <w:spacing w:line="360" w:lineRule="auto"/>
        <w:ind w:left="0" w:right="0" w:rightChars="0"/>
        <w:textAlignment w:val="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基本资格条件：符合《中华人民共和国政府采购法》第二十二条的规定；</w:t>
      </w:r>
    </w:p>
    <w:p w14:paraId="5A29C848">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（以下</w:t>
      </w:r>
      <w:r>
        <w:rPr>
          <w:rFonts w:ascii="Times New Roman" w:hAnsi="Times New Roman" w:eastAsia="宋体" w:cs="Times New Roman"/>
        </w:rPr>
        <w:t>A~E</w:t>
      </w:r>
      <w:r>
        <w:rPr>
          <w:rFonts w:hint="eastAsia" w:ascii="Times New Roman" w:hAnsi="Times New Roman" w:eastAsia="宋体" w:cs="Times New Roman"/>
        </w:rPr>
        <w:t>项是第二十二条要求及对应证明材料的具体内容，各投标人须在投标文件中出具对应证明材料）</w:t>
      </w:r>
    </w:p>
    <w:p w14:paraId="45058234">
      <w:pPr>
        <w:keepNext w:val="0"/>
        <w:keepLines w:val="0"/>
        <w:pageBreakBefore w:val="0"/>
        <w:kinsoku/>
        <w:wordWrap/>
        <w:overflowPunct/>
        <w:topLinePunct w:val="0"/>
        <w:autoSpaceDE/>
        <w:autoSpaceDN/>
        <w:bidi w:val="0"/>
        <w:adjustRightInd/>
        <w:spacing w:line="360" w:lineRule="auto"/>
        <w:ind w:left="0" w:right="0" w:rightChars="0" w:firstLine="482" w:firstLineChars="200"/>
        <w:textAlignment w:val="auto"/>
        <w:rPr>
          <w:rFonts w:ascii="Times New Roman" w:hAnsi="Times New Roman" w:eastAsia="宋体" w:cs="Times New Roman"/>
          <w:b/>
          <w:bCs/>
        </w:rPr>
      </w:pPr>
      <w:r>
        <w:rPr>
          <w:rFonts w:ascii="Times New Roman" w:hAnsi="Times New Roman" w:eastAsia="宋体" w:cs="Times New Roman"/>
          <w:b/>
          <w:bCs/>
          <w:sz w:val="24"/>
        </w:rPr>
        <w:t>A.</w:t>
      </w:r>
      <w:r>
        <w:rPr>
          <w:rFonts w:hint="eastAsia" w:ascii="Times New Roman" w:hAnsi="Times New Roman" w:eastAsia="宋体" w:cs="Times New Roman"/>
          <w:b/>
          <w:bCs/>
        </w:rPr>
        <w:t>具有独立承担民事责任的能力：</w:t>
      </w:r>
    </w:p>
    <w:p w14:paraId="25EEA8BD">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b/>
          <w:bCs/>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（五选一）：</w:t>
      </w:r>
    </w:p>
    <w:p w14:paraId="7A36F6BC">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①如投标人是企业（包括合伙企业），提供在工商部门注册的有效</w:t>
      </w:r>
      <w:r>
        <w:rPr>
          <w:rFonts w:ascii="Times New Roman" w:hAnsi="Times New Roman" w:eastAsia="宋体" w:cs="Times New Roman"/>
        </w:rPr>
        <w:t>“</w:t>
      </w:r>
      <w:r>
        <w:rPr>
          <w:rFonts w:hint="eastAsia" w:ascii="Times New Roman" w:hAnsi="Times New Roman" w:eastAsia="宋体" w:cs="Times New Roman"/>
        </w:rPr>
        <w:t>企业法人营业执照</w:t>
      </w:r>
      <w:r>
        <w:rPr>
          <w:rFonts w:ascii="Times New Roman" w:hAnsi="Times New Roman" w:eastAsia="宋体" w:cs="Times New Roman"/>
        </w:rPr>
        <w:t>”</w:t>
      </w:r>
      <w:r>
        <w:rPr>
          <w:rFonts w:hint="eastAsia" w:ascii="Times New Roman" w:hAnsi="Times New Roman" w:eastAsia="宋体" w:cs="Times New Roman"/>
        </w:rPr>
        <w:t>或</w:t>
      </w:r>
      <w:r>
        <w:rPr>
          <w:rFonts w:ascii="Times New Roman" w:hAnsi="Times New Roman" w:eastAsia="宋体" w:cs="Times New Roman"/>
        </w:rPr>
        <w:t>“</w:t>
      </w:r>
      <w:r>
        <w:rPr>
          <w:rFonts w:hint="eastAsia" w:ascii="Times New Roman" w:hAnsi="Times New Roman" w:eastAsia="宋体" w:cs="Times New Roman"/>
        </w:rPr>
        <w:t>营业执照</w:t>
      </w:r>
      <w:r>
        <w:rPr>
          <w:rFonts w:ascii="Times New Roman" w:hAnsi="Times New Roman" w:eastAsia="宋体" w:cs="Times New Roman"/>
        </w:rPr>
        <w:t>”</w:t>
      </w:r>
      <w:r>
        <w:rPr>
          <w:rFonts w:hint="eastAsia" w:ascii="Times New Roman" w:hAnsi="Times New Roman" w:eastAsia="宋体" w:cs="Times New Roman"/>
        </w:rPr>
        <w:t>；</w:t>
      </w:r>
    </w:p>
    <w:p w14:paraId="27A19831">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②如投标人是事业单位，提供有效的</w:t>
      </w:r>
      <w:r>
        <w:rPr>
          <w:rFonts w:ascii="Times New Roman" w:hAnsi="Times New Roman" w:eastAsia="宋体" w:cs="Times New Roman"/>
        </w:rPr>
        <w:t>“</w:t>
      </w:r>
      <w:r>
        <w:rPr>
          <w:rFonts w:hint="eastAsia" w:ascii="Times New Roman" w:hAnsi="Times New Roman" w:eastAsia="宋体" w:cs="Times New Roman"/>
        </w:rPr>
        <w:t>事业单位法人证书</w:t>
      </w:r>
      <w:r>
        <w:rPr>
          <w:rFonts w:ascii="Times New Roman" w:hAnsi="Times New Roman" w:eastAsia="宋体" w:cs="Times New Roman"/>
        </w:rPr>
        <w:t>”</w:t>
      </w:r>
      <w:r>
        <w:rPr>
          <w:rFonts w:hint="eastAsia" w:ascii="Times New Roman" w:hAnsi="Times New Roman" w:eastAsia="宋体" w:cs="Times New Roman"/>
        </w:rPr>
        <w:t>；</w:t>
      </w:r>
    </w:p>
    <w:p w14:paraId="4B8DC370">
      <w:pPr>
        <w:keepNext w:val="0"/>
        <w:keepLines w:val="0"/>
        <w:pageBreakBefore w:val="0"/>
        <w:kinsoku/>
        <w:wordWrap/>
        <w:overflowPunct/>
        <w:topLinePunct w:val="0"/>
        <w:autoSpaceDE/>
        <w:autoSpaceDN/>
        <w:bidi w:val="0"/>
        <w:adjustRightInd/>
        <w:spacing w:line="360" w:lineRule="auto"/>
        <w:ind w:left="0" w:right="0" w:rightChars="0" w:firstLine="420" w:firstLineChars="200"/>
        <w:textAlignment w:val="auto"/>
        <w:rPr>
          <w:rFonts w:ascii="Times New Roman" w:hAnsi="Times New Roman" w:eastAsia="宋体" w:cs="Times New Roman"/>
        </w:rPr>
      </w:pPr>
      <w:r>
        <w:rPr>
          <w:rFonts w:hint="eastAsia" w:ascii="Times New Roman" w:hAnsi="Times New Roman" w:eastAsia="宋体" w:cs="Times New Roman"/>
        </w:rPr>
        <w:t>③如投标人是非企业专业服务机构的，提供执业许可证等证明文件；</w:t>
      </w:r>
    </w:p>
    <w:p w14:paraId="0042A959">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④如投标人是个体工商户，提供有效的</w:t>
      </w:r>
      <w:r>
        <w:rPr>
          <w:rFonts w:ascii="Times New Roman" w:hAnsi="Times New Roman" w:eastAsia="宋体" w:cs="Times New Roman"/>
        </w:rPr>
        <w:t>“</w:t>
      </w:r>
      <w:r>
        <w:rPr>
          <w:rFonts w:hint="eastAsia" w:ascii="Times New Roman" w:hAnsi="Times New Roman" w:eastAsia="宋体" w:cs="Times New Roman"/>
        </w:rPr>
        <w:t>个体工商户营业执照</w:t>
      </w:r>
      <w:r>
        <w:rPr>
          <w:rFonts w:ascii="Times New Roman" w:hAnsi="Times New Roman" w:eastAsia="宋体" w:cs="Times New Roman"/>
        </w:rPr>
        <w:t>”</w:t>
      </w:r>
      <w:r>
        <w:rPr>
          <w:rFonts w:hint="eastAsia" w:ascii="Times New Roman" w:hAnsi="Times New Roman" w:eastAsia="宋体" w:cs="Times New Roman"/>
        </w:rPr>
        <w:t>；</w:t>
      </w:r>
    </w:p>
    <w:p w14:paraId="023D2428">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⑤如投标人是自然人，提供有效的自然人身份证明（居民身份证正反面或公安机关出具的临时居民身份证正反面或港澳台胞证或证照）。</w:t>
      </w:r>
    </w:p>
    <w:p w14:paraId="1569EDBC">
      <w:pPr>
        <w:keepNext w:val="0"/>
        <w:keepLines w:val="0"/>
        <w:pageBreakBefore w:val="0"/>
        <w:widowControl w:val="0"/>
        <w:kinsoku/>
        <w:wordWrap/>
        <w:overflowPunct/>
        <w:topLinePunct w:val="0"/>
        <w:autoSpaceDE/>
        <w:autoSpaceDN/>
        <w:bidi w:val="0"/>
        <w:adjustRightInd/>
        <w:spacing w:line="360" w:lineRule="auto"/>
        <w:ind w:left="0" w:firstLine="422" w:firstLineChars="200"/>
        <w:textAlignment w:val="auto"/>
        <w:rPr>
          <w:rFonts w:ascii="Times New Roman" w:hAnsi="Times New Roman" w:eastAsia="宋体" w:cs="Times New Roman"/>
          <w:b/>
          <w:bCs/>
        </w:rPr>
      </w:pPr>
      <w:r>
        <w:rPr>
          <w:rFonts w:ascii="Times New Roman" w:hAnsi="Times New Roman" w:eastAsia="宋体" w:cs="Times New Roman"/>
          <w:b/>
          <w:bCs/>
          <w:szCs w:val="21"/>
        </w:rPr>
        <w:t>B.</w:t>
      </w:r>
      <w:r>
        <w:rPr>
          <w:rFonts w:hint="eastAsia" w:ascii="Times New Roman" w:hAnsi="Times New Roman" w:eastAsia="宋体" w:cs="Times New Roman"/>
          <w:b/>
          <w:bCs/>
        </w:rPr>
        <w:t>具有良好的商业信誉和健全的财务会计制度：</w:t>
      </w:r>
    </w:p>
    <w:p w14:paraId="5C43D087">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①良好的商业信誉：</w:t>
      </w:r>
    </w:p>
    <w:p w14:paraId="67EB55B9">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至本项目投标截止时间止未被</w:t>
      </w:r>
      <w:r>
        <w:rPr>
          <w:rFonts w:ascii="Times New Roman" w:hAnsi="Times New Roman" w:eastAsia="宋体" w:cs="Times New Roman"/>
        </w:rPr>
        <w:t>“</w:t>
      </w:r>
      <w:r>
        <w:rPr>
          <w:rFonts w:hint="eastAsia" w:ascii="Times New Roman" w:hAnsi="Times New Roman" w:eastAsia="宋体" w:cs="Times New Roman"/>
        </w:rPr>
        <w:t>信用中国</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www.creditchina.gov.cn</w:t>
      </w:r>
      <w:r>
        <w:rPr>
          <w:rFonts w:hint="eastAsia" w:ascii="Times New Roman" w:hAnsi="Times New Roman" w:eastAsia="宋体" w:cs="Times New Roman"/>
        </w:rPr>
        <w:t>）、中国政府采购网（</w:t>
      </w:r>
      <w:r>
        <w:rPr>
          <w:rFonts w:ascii="Times New Roman" w:hAnsi="Times New Roman" w:eastAsia="宋体" w:cs="Times New Roman"/>
        </w:rPr>
        <w:t>www.ccgp.gov.cn</w:t>
      </w:r>
      <w:r>
        <w:rPr>
          <w:rFonts w:hint="eastAsia" w:ascii="Times New Roman" w:hAnsi="Times New Roman" w:eastAsia="宋体" w:cs="Times New Roman"/>
        </w:rPr>
        <w:t>）列入失信被执行人、重大税收违法案件当事人名单、政府采购严重违法失信行为记录名单网页查询记录截图。</w:t>
      </w:r>
    </w:p>
    <w:p w14:paraId="06AEB223">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szCs w:val="21"/>
        </w:rPr>
        <w:t>提供</w:t>
      </w:r>
      <w:r>
        <w:rPr>
          <w:rFonts w:hint="eastAsia" w:ascii="Times New Roman" w:hAnsi="Times New Roman" w:eastAsia="宋体" w:cs="Times New Roman"/>
        </w:rPr>
        <w:t>查询截图，（截图查询网站时间须在开标截止前二个星期内）</w:t>
      </w:r>
    </w:p>
    <w:p w14:paraId="65589D38">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szCs w:val="21"/>
        </w:rPr>
        <w:t>对</w:t>
      </w:r>
      <w:r>
        <w:rPr>
          <w:rFonts w:hint="eastAsia" w:ascii="Times New Roman" w:hAnsi="Times New Roman" w:eastAsia="宋体" w:cs="Times New Roman"/>
        </w:rPr>
        <w:t>列入失信被执行人、重大税收违法案件当事人名单、政府采购严重违法失信行为记录名单的投标人，其投标将作无效标处理。</w:t>
      </w:r>
    </w:p>
    <w:p w14:paraId="33AFEAEB">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健全的财务会计制度：</w:t>
      </w:r>
    </w:p>
    <w:p w14:paraId="18381201">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投标人须在投标文件中出具符合以下情况的证明材料复印件</w:t>
      </w:r>
      <w:r>
        <w:rPr>
          <w:rFonts w:hint="eastAsia" w:ascii="Times New Roman" w:hAnsi="Times New Roman" w:eastAsia="宋体" w:cs="Times New Roman"/>
          <w:b/>
          <w:bCs/>
        </w:rPr>
        <w:t>（三选一）</w:t>
      </w:r>
      <w:r>
        <w:rPr>
          <w:rFonts w:hint="eastAsia" w:ascii="Times New Roman" w:hAnsi="Times New Roman" w:eastAsia="宋体" w:cs="Times New Roman"/>
        </w:rPr>
        <w:t>：</w:t>
      </w:r>
    </w:p>
    <w:p w14:paraId="2AF3E06E">
      <w:pPr>
        <w:keepNext w:val="0"/>
        <w:keepLines w:val="0"/>
        <w:pageBreakBefore w:val="0"/>
        <w:widowControl w:val="0"/>
        <w:tabs>
          <w:tab w:val="left" w:pos="735"/>
        </w:tabs>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（一）投标人是法人的，应提供最近一个年度经审计的财务报告，包括资产负债表、利润表、现金流量表</w:t>
      </w:r>
      <w:bookmarkStart w:id="16" w:name="_Hlk172274234"/>
      <w:r>
        <w:rPr>
          <w:rFonts w:hint="eastAsia" w:ascii="Times New Roman" w:hAnsi="Times New Roman" w:eastAsia="宋体" w:cs="Times New Roman"/>
        </w:rPr>
        <w:t>（执行《小企业会计准则》的提供资产负债表和利润表两张基本报表，执行《政府会计准则》的提供资产负债表、收入费用表和现金流量表）</w:t>
      </w:r>
      <w:bookmarkEnd w:id="16"/>
      <w:r>
        <w:rPr>
          <w:rFonts w:hint="eastAsia" w:ascii="Times New Roman" w:hAnsi="Times New Roman" w:eastAsia="宋体" w:cs="Times New Roman"/>
        </w:rPr>
        <w:t>，未经审计的，提供资产负债表、利润表或损益表。</w:t>
      </w:r>
    </w:p>
    <w:p w14:paraId="79EAAA12">
      <w:pPr>
        <w:keepNext w:val="0"/>
        <w:keepLines w:val="0"/>
        <w:pageBreakBefore w:val="0"/>
        <w:widowControl w:val="0"/>
        <w:numPr>
          <w:ilvl w:val="0"/>
          <w:numId w:val="9"/>
        </w:numPr>
        <w:tabs>
          <w:tab w:val="left" w:pos="735"/>
        </w:tabs>
        <w:kinsoku/>
        <w:wordWrap/>
        <w:overflowPunct/>
        <w:topLinePunct w:val="0"/>
        <w:autoSpaceDE/>
        <w:autoSpaceDN/>
        <w:bidi w:val="0"/>
        <w:adjustRightInd/>
        <w:spacing w:line="360" w:lineRule="auto"/>
        <w:ind w:left="0"/>
        <w:textAlignment w:val="auto"/>
        <w:rPr>
          <w:rFonts w:ascii="Times New Roman" w:hAnsi="Times New Roman" w:eastAsia="宋体" w:cs="Times New Roman"/>
        </w:rPr>
      </w:pPr>
      <w:r>
        <w:rPr>
          <w:rFonts w:hint="eastAsia" w:ascii="Times New Roman" w:hAnsi="Times New Roman" w:eastAsia="宋体" w:cs="Times New Roman"/>
        </w:rPr>
        <w:t>其他组织和自然人如没有经审计的财务报告的，可以提供资产负债表、利润表、现金</w:t>
      </w:r>
    </w:p>
    <w:p w14:paraId="62FF88C4">
      <w:pPr>
        <w:keepNext w:val="0"/>
        <w:keepLines w:val="0"/>
        <w:pageBreakBefore w:val="0"/>
        <w:widowControl w:val="0"/>
        <w:tabs>
          <w:tab w:val="left" w:pos="735"/>
        </w:tabs>
        <w:kinsoku/>
        <w:wordWrap/>
        <w:overflowPunct/>
        <w:topLinePunct w:val="0"/>
        <w:autoSpaceDE/>
        <w:autoSpaceDN/>
        <w:bidi w:val="0"/>
        <w:adjustRightInd/>
        <w:spacing w:line="360" w:lineRule="auto"/>
        <w:ind w:left="0"/>
        <w:textAlignment w:val="auto"/>
        <w:rPr>
          <w:rFonts w:ascii="Times New Roman" w:hAnsi="Times New Roman" w:eastAsia="宋体" w:cs="Times New Roman"/>
        </w:rPr>
      </w:pPr>
      <w:r>
        <w:rPr>
          <w:rFonts w:hint="eastAsia" w:ascii="Times New Roman" w:hAnsi="Times New Roman" w:eastAsia="宋体" w:cs="Times New Roman"/>
        </w:rPr>
        <w:t>流量表。</w:t>
      </w:r>
    </w:p>
    <w:p w14:paraId="55669F90">
      <w:pPr>
        <w:keepNext w:val="0"/>
        <w:keepLines w:val="0"/>
        <w:pageBreakBefore w:val="0"/>
        <w:widowControl w:val="0"/>
        <w:numPr>
          <w:ilvl w:val="0"/>
          <w:numId w:val="9"/>
        </w:numPr>
        <w:tabs>
          <w:tab w:val="left" w:pos="735"/>
        </w:tabs>
        <w:kinsoku/>
        <w:wordWrap/>
        <w:overflowPunct/>
        <w:topLinePunct w:val="0"/>
        <w:autoSpaceDE/>
        <w:autoSpaceDN/>
        <w:bidi w:val="0"/>
        <w:adjustRightInd/>
        <w:spacing w:line="360" w:lineRule="auto"/>
        <w:ind w:left="0"/>
        <w:textAlignment w:val="auto"/>
        <w:rPr>
          <w:rFonts w:ascii="Times New Roman" w:hAnsi="Times New Roman" w:eastAsia="宋体" w:cs="Times New Roman"/>
        </w:rPr>
      </w:pPr>
      <w:r>
        <w:rPr>
          <w:rFonts w:hint="eastAsia" w:ascii="Times New Roman" w:hAnsi="Times New Roman" w:eastAsia="宋体" w:cs="Times New Roman"/>
        </w:rPr>
        <w:t>新成立不足一年的公司须出具情况说明。</w:t>
      </w:r>
    </w:p>
    <w:p w14:paraId="0821BE09">
      <w:pPr>
        <w:keepNext w:val="0"/>
        <w:keepLines w:val="0"/>
        <w:pageBreakBefore w:val="0"/>
        <w:widowControl w:val="0"/>
        <w:kinsoku/>
        <w:wordWrap/>
        <w:overflowPunct/>
        <w:topLinePunct w:val="0"/>
        <w:autoSpaceDE/>
        <w:autoSpaceDN/>
        <w:bidi w:val="0"/>
        <w:adjustRightInd/>
        <w:spacing w:line="360" w:lineRule="auto"/>
        <w:ind w:left="0" w:firstLine="413" w:firstLineChars="196"/>
        <w:textAlignment w:val="auto"/>
        <w:rPr>
          <w:rFonts w:ascii="Times New Roman" w:hAnsi="Times New Roman" w:eastAsia="宋体" w:cs="Times New Roman"/>
          <w:b/>
          <w:bCs/>
          <w:szCs w:val="21"/>
        </w:rPr>
      </w:pPr>
      <w:r>
        <w:rPr>
          <w:rFonts w:ascii="Times New Roman" w:hAnsi="Times New Roman" w:eastAsia="宋体" w:cs="Times New Roman"/>
          <w:b/>
          <w:bCs/>
          <w:szCs w:val="21"/>
        </w:rPr>
        <w:t>C.</w:t>
      </w:r>
      <w:r>
        <w:rPr>
          <w:rFonts w:hint="eastAsia" w:ascii="Times New Roman" w:hAnsi="Times New Roman" w:eastAsia="宋体" w:cs="Times New Roman"/>
          <w:b/>
          <w:bCs/>
          <w:szCs w:val="21"/>
        </w:rPr>
        <w:t>具有履行合同所必需的设备和专业技术能力：</w:t>
      </w:r>
    </w:p>
    <w:p w14:paraId="42A3E5B6">
      <w:pPr>
        <w:keepNext w:val="0"/>
        <w:keepLines w:val="0"/>
        <w:pageBreakBefore w:val="0"/>
        <w:widowControl w:val="0"/>
        <w:kinsoku/>
        <w:wordWrap/>
        <w:overflowPunct/>
        <w:topLinePunct w:val="0"/>
        <w:autoSpaceDE/>
        <w:autoSpaceDN/>
        <w:bidi w:val="0"/>
        <w:adjustRightInd/>
        <w:spacing w:line="360" w:lineRule="auto"/>
        <w:ind w:left="0"/>
        <w:textAlignment w:val="auto"/>
        <w:rPr>
          <w:rFonts w:ascii="Times New Roman" w:hAnsi="Times New Roman" w:eastAsia="宋体" w:cs="Times New Roman"/>
          <w:kern w:val="0"/>
          <w:szCs w:val="21"/>
        </w:rPr>
      </w:pPr>
      <w:r>
        <w:rPr>
          <w:rFonts w:hint="eastAsia" w:ascii="Times New Roman" w:hAnsi="Times New Roman" w:eastAsia="宋体" w:cs="Times New Roman"/>
          <w:kern w:val="0"/>
          <w:szCs w:val="21"/>
        </w:rPr>
        <w:t>投标人须在投标文件中出具具有履行合同所必需的设备和专业技术能力的《投标函》。</w:t>
      </w:r>
    </w:p>
    <w:p w14:paraId="1A79FCB4">
      <w:pPr>
        <w:keepNext w:val="0"/>
        <w:keepLines w:val="0"/>
        <w:pageBreakBefore w:val="0"/>
        <w:widowControl w:val="0"/>
        <w:kinsoku/>
        <w:wordWrap/>
        <w:overflowPunct/>
        <w:topLinePunct w:val="0"/>
        <w:autoSpaceDE/>
        <w:autoSpaceDN/>
        <w:bidi w:val="0"/>
        <w:adjustRightInd/>
        <w:spacing w:line="360" w:lineRule="auto"/>
        <w:ind w:left="0" w:firstLine="413" w:firstLineChars="196"/>
        <w:textAlignment w:val="auto"/>
        <w:rPr>
          <w:rFonts w:ascii="Times New Roman" w:hAnsi="Times New Roman" w:eastAsia="宋体" w:cs="Times New Roman"/>
          <w:b/>
          <w:bCs/>
          <w:szCs w:val="21"/>
        </w:rPr>
      </w:pPr>
      <w:r>
        <w:rPr>
          <w:rFonts w:ascii="Times New Roman" w:hAnsi="Times New Roman" w:eastAsia="宋体" w:cs="Times New Roman"/>
          <w:b/>
          <w:bCs/>
          <w:szCs w:val="21"/>
        </w:rPr>
        <w:t>D.</w:t>
      </w:r>
      <w:r>
        <w:rPr>
          <w:rFonts w:hint="eastAsia" w:ascii="Times New Roman" w:hAnsi="Times New Roman" w:eastAsia="宋体" w:cs="Times New Roman"/>
          <w:b/>
          <w:bCs/>
          <w:szCs w:val="21"/>
        </w:rPr>
        <w:t>有依法缴纳税收和社会保障资金的良好记录：（如有）</w:t>
      </w:r>
    </w:p>
    <w:p w14:paraId="0906A4BE">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投标人须在投标文件中同时出具满足以下要求的证明材料复印件：</w:t>
      </w:r>
    </w:p>
    <w:p w14:paraId="283C5109">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①投标人须提供由税务部门出具的最近一季度缴纳增值税和企业所得税的纳税证明。</w:t>
      </w:r>
    </w:p>
    <w:p w14:paraId="7BFDDD84">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宋体" w:hAnsi="宋体" w:eastAsia="宋体" w:cs="宋体"/>
        </w:rPr>
        <w:t>②</w:t>
      </w:r>
      <w:r>
        <w:rPr>
          <w:rFonts w:hint="eastAsia" w:ascii="Times New Roman" w:hAnsi="Times New Roman" w:eastAsia="宋体" w:cs="Times New Roman"/>
        </w:rPr>
        <w:t>投标人须提供最近三个月内缴纳社会保险的凭据（缴税付款凭证或社会保险缴纳证明）</w:t>
      </w:r>
    </w:p>
    <w:p w14:paraId="175E816B">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依法免税或不需要缴纳社会保障资金的投标人，应提供相应文件证明其依法免税或不需要缴纳社会保障资金。</w:t>
      </w:r>
    </w:p>
    <w:p w14:paraId="70EC538C">
      <w:pPr>
        <w:keepNext w:val="0"/>
        <w:keepLines w:val="0"/>
        <w:pageBreakBefore w:val="0"/>
        <w:widowControl w:val="0"/>
        <w:kinsoku/>
        <w:wordWrap/>
        <w:overflowPunct/>
        <w:topLinePunct w:val="0"/>
        <w:autoSpaceDE/>
        <w:autoSpaceDN/>
        <w:bidi w:val="0"/>
        <w:adjustRightInd/>
        <w:spacing w:line="360" w:lineRule="auto"/>
        <w:ind w:left="0" w:firstLine="422" w:firstLineChars="200"/>
        <w:textAlignment w:val="auto"/>
        <w:rPr>
          <w:rFonts w:ascii="Times New Roman" w:hAnsi="Times New Roman" w:eastAsia="宋体" w:cs="Times New Roman"/>
          <w:b/>
          <w:bCs/>
        </w:rPr>
      </w:pPr>
      <w:r>
        <w:rPr>
          <w:rFonts w:ascii="Times New Roman" w:hAnsi="Times New Roman" w:eastAsia="宋体" w:cs="Times New Roman"/>
          <w:b/>
          <w:bCs/>
        </w:rPr>
        <w:t>E.</w:t>
      </w:r>
      <w:r>
        <w:rPr>
          <w:rFonts w:hint="eastAsia" w:ascii="Times New Roman" w:hAnsi="Times New Roman" w:eastAsia="宋体" w:cs="Times New Roman"/>
          <w:b/>
          <w:bCs/>
        </w:rPr>
        <w:t>参加政府采购活动前三年内，在经营活动中没有重大违法记录：</w:t>
      </w:r>
    </w:p>
    <w:p w14:paraId="7067B4B7">
      <w:pPr>
        <w:keepNext w:val="0"/>
        <w:keepLines w:val="0"/>
        <w:pageBreakBefore w:val="0"/>
        <w:widowControl w:val="0"/>
        <w:kinsoku/>
        <w:wordWrap/>
        <w:overflowPunct/>
        <w:topLinePunct w:val="0"/>
        <w:autoSpaceDE/>
        <w:autoSpaceDN/>
        <w:bidi w:val="0"/>
        <w:adjustRightInd/>
        <w:spacing w:line="360" w:lineRule="auto"/>
        <w:ind w:left="0" w:firstLine="420" w:firstLineChars="200"/>
        <w:textAlignment w:val="auto"/>
        <w:rPr>
          <w:rFonts w:ascii="Times New Roman" w:hAnsi="Times New Roman" w:eastAsia="宋体" w:cs="Times New Roman"/>
        </w:rPr>
      </w:pPr>
      <w:r>
        <w:rPr>
          <w:rFonts w:hint="eastAsia" w:ascii="Times New Roman" w:hAnsi="Times New Roman" w:eastAsia="宋体" w:cs="Times New Roman"/>
        </w:rPr>
        <w:t>投标人须在投标文件中出具《声明函》、廉政承诺书。（格式见附件）</w:t>
      </w:r>
    </w:p>
    <w:p w14:paraId="05137F54">
      <w:pPr>
        <w:keepNext w:val="0"/>
        <w:keepLines w:val="0"/>
        <w:pageBreakBefore w:val="0"/>
        <w:widowControl w:val="0"/>
        <w:kinsoku/>
        <w:wordWrap/>
        <w:overflowPunct/>
        <w:topLinePunct w:val="0"/>
        <w:autoSpaceDE/>
        <w:autoSpaceDN/>
        <w:bidi w:val="0"/>
        <w:adjustRightInd/>
        <w:snapToGrid w:val="0"/>
        <w:spacing w:line="360" w:lineRule="auto"/>
        <w:ind w:left="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注：证明材料均需加盖签章。</w:t>
      </w:r>
    </w:p>
    <w:p w14:paraId="14EF244E">
      <w:pPr>
        <w:keepNext w:val="0"/>
        <w:keepLines w:val="0"/>
        <w:pageBreakBefore w:val="0"/>
        <w:widowControl w:val="0"/>
        <w:kinsoku/>
        <w:wordWrap/>
        <w:overflowPunct/>
        <w:topLinePunct w:val="0"/>
        <w:autoSpaceDE/>
        <w:autoSpaceDN/>
        <w:bidi w:val="0"/>
        <w:adjustRightInd/>
        <w:snapToGrid w:val="0"/>
        <w:spacing w:line="336" w:lineRule="auto"/>
        <w:ind w:left="0" w:right="0" w:rightChars="0"/>
        <w:textAlignment w:val="auto"/>
        <w:rPr>
          <w:rFonts w:hint="eastAsia" w:ascii="宋体" w:hAnsi="宋体" w:eastAsia="宋体" w:cs="Times New Roman"/>
          <w:b/>
          <w:szCs w:val="21"/>
        </w:rPr>
      </w:pPr>
      <w:r>
        <w:rPr>
          <w:rFonts w:hint="eastAsia" w:ascii="宋体" w:hAnsi="宋体" w:eastAsia="宋体" w:cs="Times New Roman"/>
          <w:b/>
          <w:szCs w:val="21"/>
        </w:rPr>
        <w:t>2.商务及技术部分：</w:t>
      </w:r>
    </w:p>
    <w:p w14:paraId="232A7AE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2.1</w:t>
      </w:r>
      <w:r>
        <w:rPr>
          <w:rFonts w:hint="eastAsia" w:ascii="宋体" w:hAnsi="宋体" w:eastAsia="宋体" w:cs="Times New Roman"/>
          <w:szCs w:val="21"/>
        </w:rPr>
        <w:t>投标人基本情况表（如有）；</w:t>
      </w:r>
    </w:p>
    <w:p w14:paraId="4777F328">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2.2</w:t>
      </w:r>
      <w:r>
        <w:rPr>
          <w:rFonts w:hint="eastAsia" w:ascii="宋体" w:hAnsi="宋体" w:eastAsia="宋体" w:cs="Times New Roman"/>
          <w:szCs w:val="21"/>
        </w:rPr>
        <w:t>成功案例及业绩；</w:t>
      </w:r>
    </w:p>
    <w:p w14:paraId="5475BFD3">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 xml:space="preserve">2.3 </w:t>
      </w:r>
      <w:r>
        <w:rPr>
          <w:rFonts w:hint="eastAsia" w:ascii="宋体" w:hAnsi="宋体" w:eastAsia="宋体" w:cs="Times New Roman"/>
          <w:szCs w:val="21"/>
        </w:rPr>
        <w:t>项目负责人简历表（须附相关证明材料）；项目实施人员一览表（须附职称证书复印件）；（如有）</w:t>
      </w:r>
    </w:p>
    <w:p w14:paraId="5D537220">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szCs w:val="21"/>
        </w:rPr>
      </w:pPr>
      <w:r>
        <w:rPr>
          <w:rFonts w:ascii="宋体" w:hAnsi="宋体" w:eastAsia="宋体" w:cs="Times New Roman"/>
          <w:szCs w:val="21"/>
        </w:rPr>
        <w:t>2.4</w:t>
      </w:r>
      <w:r>
        <w:rPr>
          <w:rFonts w:hint="eastAsia" w:ascii="宋体" w:hAnsi="宋体" w:eastAsia="宋体" w:cs="Times New Roman"/>
          <w:szCs w:val="21"/>
        </w:rPr>
        <w:t>商务响应表；</w:t>
      </w:r>
    </w:p>
    <w:p w14:paraId="57E2D04F">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宋体" w:eastAsia="宋体" w:cs="Times New Roman"/>
        </w:rPr>
        <w:t>2.5</w:t>
      </w:r>
      <w:r>
        <w:rPr>
          <w:rFonts w:hint="eastAsia" w:ascii="宋体" w:hAnsi="宋体" w:eastAsia="宋体" w:cs="Times New Roman"/>
        </w:rPr>
        <w:t>对本项目总体要求的理解；</w:t>
      </w:r>
    </w:p>
    <w:p w14:paraId="591C80C8">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rPr>
      </w:pPr>
      <w:r>
        <w:rPr>
          <w:rFonts w:ascii="宋体" w:hAnsi="宋体" w:eastAsia="宋体" w:cs="Times New Roman"/>
        </w:rPr>
        <w:t>2.6</w:t>
      </w:r>
      <w:r>
        <w:rPr>
          <w:rFonts w:hint="eastAsia" w:ascii="宋体" w:hAnsi="宋体" w:eastAsia="宋体" w:cs="Times New Roman"/>
        </w:rPr>
        <w:t>项目总体架构及技术解决方案（包括</w:t>
      </w:r>
      <w:r>
        <w:rPr>
          <w:rFonts w:hint="eastAsia" w:ascii="宋体" w:hAnsi="宋体" w:eastAsia="宋体" w:cs="宋体"/>
          <w:szCs w:val="21"/>
        </w:rPr>
        <w:t>功能说明、性能指标及设备选型说明</w:t>
      </w:r>
      <w:r>
        <w:rPr>
          <w:rFonts w:hint="eastAsia" w:ascii="宋体" w:hAnsi="宋体" w:eastAsia="宋体" w:cs="Times New Roman"/>
        </w:rPr>
        <w:t>，安装调试、系统集成、试运行、测试、调优、应用开发培训、管理培训、维护服务项目等内容。本项目详细工作实施组织方案，包括</w:t>
      </w:r>
      <w:r>
        <w:rPr>
          <w:rFonts w:ascii="宋体" w:hAnsi="宋体" w:eastAsia="宋体" w:cs="Times New Roman"/>
        </w:rPr>
        <w:t>(</w:t>
      </w:r>
      <w:r>
        <w:rPr>
          <w:rFonts w:hint="eastAsia" w:ascii="宋体" w:hAnsi="宋体" w:eastAsia="宋体" w:cs="Times New Roman"/>
        </w:rPr>
        <w:t>但不限于</w:t>
      </w:r>
      <w:r>
        <w:rPr>
          <w:rFonts w:ascii="宋体" w:hAnsi="宋体" w:eastAsia="宋体" w:cs="Times New Roman"/>
        </w:rPr>
        <w:t>)</w:t>
      </w:r>
      <w:r>
        <w:rPr>
          <w:rFonts w:hint="eastAsia" w:ascii="宋体" w:hAnsi="宋体" w:eastAsia="宋体" w:cs="Times New Roman"/>
        </w:rPr>
        <w:t>以下内容：组织机构、工作时间进度表、工作程序和步骤、管理和协调方法、关键步骤的思路和要点。）</w:t>
      </w:r>
    </w:p>
    <w:p w14:paraId="3354955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2.7</w:t>
      </w:r>
      <w:r>
        <w:rPr>
          <w:rFonts w:hint="eastAsia" w:ascii="宋体" w:hAnsi="Times New Roman" w:eastAsia="宋体" w:cs="Times New Roman"/>
        </w:rPr>
        <w:t>产品出厂标准、质量检测报告</w:t>
      </w:r>
    </w:p>
    <w:p w14:paraId="3A066E0C">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2.8</w:t>
      </w:r>
      <w:r>
        <w:rPr>
          <w:rFonts w:hint="eastAsia" w:ascii="宋体" w:hAnsi="Times New Roman" w:eastAsia="宋体" w:cs="Times New Roman"/>
        </w:rPr>
        <w:t>设备配置清单（包括型号、品牌、数量）</w:t>
      </w:r>
    </w:p>
    <w:p w14:paraId="153E88DB">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lang w:val="en-US" w:eastAsia="zh-CN"/>
        </w:rPr>
      </w:pPr>
      <w:r>
        <w:rPr>
          <w:rFonts w:ascii="宋体" w:hAnsi="宋体" w:eastAsia="宋体" w:cs="Times New Roman"/>
        </w:rPr>
        <w:t>2.9</w:t>
      </w:r>
      <w:r>
        <w:rPr>
          <w:rFonts w:hint="eastAsia" w:ascii="宋体" w:hAnsi="宋体" w:eastAsia="宋体" w:cs="Times New Roman"/>
        </w:rPr>
        <w:t>保证项目质量的技术力量及技术措施；</w:t>
      </w:r>
      <w:r>
        <w:rPr>
          <w:rFonts w:hint="eastAsia" w:ascii="宋体" w:hAnsi="Times New Roman" w:eastAsia="宋体" w:cs="Times New Roman"/>
          <w:lang w:val="en-US" w:eastAsia="zh-CN"/>
        </w:rPr>
        <w:t xml:space="preserve"> </w:t>
      </w:r>
    </w:p>
    <w:p w14:paraId="550E5469">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rPr>
      </w:pPr>
      <w:r>
        <w:rPr>
          <w:rFonts w:ascii="宋体" w:hAnsi="宋体" w:eastAsia="宋体" w:cs="Times New Roman"/>
        </w:rPr>
        <w:t>2.1</w:t>
      </w:r>
      <w:r>
        <w:rPr>
          <w:rFonts w:hint="eastAsia" w:ascii="宋体" w:hAnsi="宋体" w:eastAsia="宋体" w:cs="Times New Roman"/>
          <w:lang w:val="en-US" w:eastAsia="zh-CN"/>
        </w:rPr>
        <w:t>0</w:t>
      </w:r>
      <w:r>
        <w:rPr>
          <w:rFonts w:hint="eastAsia" w:ascii="宋体" w:hAnsi="宋体" w:eastAsia="宋体" w:cs="Times New Roman"/>
        </w:rPr>
        <w:t>技术服务、技术培训、售后服务的内容和措施；</w:t>
      </w:r>
    </w:p>
    <w:p w14:paraId="0F663DA5">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Times New Roman" w:eastAsia="宋体" w:cs="Times New Roman"/>
        </w:rPr>
        <w:t>2.1</w:t>
      </w:r>
      <w:r>
        <w:rPr>
          <w:rFonts w:hint="eastAsia" w:ascii="宋体" w:hAnsi="Times New Roman" w:eastAsia="宋体" w:cs="Times New Roman"/>
          <w:lang w:val="en-US" w:eastAsia="zh-CN"/>
        </w:rPr>
        <w:t>1</w:t>
      </w:r>
      <w:r>
        <w:rPr>
          <w:rFonts w:hint="eastAsia" w:ascii="宋体" w:hAnsi="Times New Roman" w:eastAsia="宋体" w:cs="Times New Roman"/>
        </w:rPr>
        <w:t>技术响应表（本次投标产品的技术参数是否与官网上公开的技术参数一致，如不一致，要求明确哪些参数不一致，不一致的原因以及使用何种技术可以达到投标产品参数。）</w:t>
      </w:r>
    </w:p>
    <w:p w14:paraId="1AC840D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ascii="宋体" w:hAnsi="Times New Roman" w:eastAsia="宋体" w:cs="Times New Roman"/>
        </w:rPr>
      </w:pPr>
      <w:r>
        <w:rPr>
          <w:rFonts w:ascii="宋体" w:hAnsi="宋体" w:eastAsia="宋体" w:cs="Times New Roman"/>
        </w:rPr>
        <w:t>2.1</w:t>
      </w:r>
      <w:r>
        <w:rPr>
          <w:rFonts w:hint="eastAsia" w:ascii="宋体" w:hAnsi="宋体" w:eastAsia="宋体" w:cs="Times New Roman"/>
          <w:lang w:val="en-US" w:eastAsia="zh-CN"/>
        </w:rPr>
        <w:t>2</w:t>
      </w:r>
      <w:r>
        <w:rPr>
          <w:rFonts w:hint="eastAsia" w:ascii="宋体" w:hAnsi="宋体" w:eastAsia="宋体" w:cs="Times New Roman"/>
        </w:rPr>
        <w:t>优惠条件：投标人承诺给予招标人的各种优惠条件</w:t>
      </w:r>
    </w:p>
    <w:p w14:paraId="799412B5">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411" w:firstLineChars="196"/>
        <w:jc w:val="left"/>
        <w:textAlignment w:val="auto"/>
        <w:rPr>
          <w:rFonts w:hint="eastAsia" w:ascii="宋体" w:hAnsi="宋体" w:eastAsia="宋体" w:cs="Times New Roman"/>
          <w:bCs/>
          <w:szCs w:val="21"/>
        </w:rPr>
      </w:pPr>
      <w:r>
        <w:rPr>
          <w:rFonts w:ascii="宋体" w:hAnsi="宋体" w:eastAsia="宋体" w:cs="Times New Roman"/>
        </w:rPr>
        <w:t>2.1</w:t>
      </w:r>
      <w:r>
        <w:rPr>
          <w:rFonts w:hint="eastAsia" w:ascii="宋体" w:hAnsi="宋体" w:eastAsia="宋体" w:cs="Times New Roman"/>
          <w:lang w:val="en-US" w:eastAsia="zh-CN"/>
        </w:rPr>
        <w:t>3</w:t>
      </w:r>
      <w:r>
        <w:rPr>
          <w:rFonts w:hint="eastAsia" w:ascii="宋体" w:hAnsi="宋体" w:eastAsia="宋体" w:cs="Times New Roman"/>
        </w:rPr>
        <w:t>评分规则中涉及的所需提交的材料（如有），投标人需要说明的其他文件和说明（如有）</w:t>
      </w:r>
      <w:r>
        <w:rPr>
          <w:rFonts w:hint="eastAsia" w:ascii="宋体" w:hAnsi="宋体" w:eastAsia="宋体" w:cs="Times New Roman"/>
          <w:bCs/>
          <w:szCs w:val="21"/>
        </w:rPr>
        <w:t>。</w:t>
      </w:r>
    </w:p>
    <w:p w14:paraId="5C304D21">
      <w:pPr>
        <w:keepNext w:val="0"/>
        <w:keepLines w:val="0"/>
        <w:pageBreakBefore w:val="0"/>
        <w:widowControl w:val="0"/>
        <w:kinsoku/>
        <w:wordWrap/>
        <w:overflowPunct/>
        <w:topLinePunct w:val="0"/>
        <w:autoSpaceDE/>
        <w:autoSpaceDN/>
        <w:bidi w:val="0"/>
        <w:adjustRightInd/>
        <w:snapToGrid w:val="0"/>
        <w:spacing w:line="360" w:lineRule="auto"/>
        <w:ind w:firstLine="413" w:firstLineChars="196"/>
        <w:jc w:val="left"/>
        <w:textAlignment w:val="auto"/>
        <w:rPr>
          <w:rFonts w:hint="eastAsia" w:ascii="宋体" w:hAnsi="宋体" w:eastAsia="宋体" w:cs="Times New Roman"/>
          <w:b/>
          <w:szCs w:val="21"/>
        </w:rPr>
      </w:pPr>
      <w:r>
        <w:rPr>
          <w:rFonts w:hint="eastAsia" w:ascii="宋体" w:hAnsi="宋体" w:eastAsia="宋体" w:cs="Times New Roman"/>
          <w:b/>
          <w:szCs w:val="21"/>
        </w:rPr>
        <w:t>3.报价部分：</w:t>
      </w:r>
    </w:p>
    <w:p w14:paraId="0A7FDDEC">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3.1投标报价一览表；</w:t>
      </w:r>
    </w:p>
    <w:p w14:paraId="4DDB3234">
      <w:pPr>
        <w:keepNext w:val="0"/>
        <w:keepLines w:val="0"/>
        <w:pageBreakBefore w:val="0"/>
        <w:widowControl w:val="0"/>
        <w:tabs>
          <w:tab w:val="left" w:pos="3870"/>
          <w:tab w:val="left" w:pos="4085"/>
        </w:tabs>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3.2报价明细表；</w:t>
      </w:r>
    </w:p>
    <w:p w14:paraId="7E67D566">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3.3投标人针对报价需要说明的其他文件和说明。</w:t>
      </w:r>
    </w:p>
    <w:p w14:paraId="60F8CFD6">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中小企业声明函</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如是</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w:t>
      </w:r>
    </w:p>
    <w:p w14:paraId="43A15880">
      <w:pPr>
        <w:keepNext w:val="0"/>
        <w:keepLines w:val="0"/>
        <w:pageBreakBefore w:val="0"/>
        <w:widowControl w:val="0"/>
        <w:kinsoku/>
        <w:wordWrap/>
        <w:overflowPunct/>
        <w:topLinePunct w:val="0"/>
        <w:autoSpaceDE/>
        <w:autoSpaceDN/>
        <w:bidi w:val="0"/>
        <w:adjustRightInd/>
        <w:snapToGrid w:val="0"/>
        <w:spacing w:line="336" w:lineRule="auto"/>
        <w:ind w:firstLine="420" w:firstLineChars="200"/>
        <w:jc w:val="left"/>
        <w:textAlignment w:val="auto"/>
        <w:rPr>
          <w:rFonts w:ascii="Times New Roman" w:hAnsi="Times New Roman" w:eastAsia="宋体" w:cs="Times New Roman"/>
          <w:szCs w:val="21"/>
        </w:rPr>
      </w:pPr>
      <w:r>
        <w:rPr>
          <w:rFonts w:hint="eastAsia" w:ascii="Times New Roman" w:hAnsi="Times New Roman" w:eastAsia="宋体" w:cs="Times New Roman"/>
          <w:szCs w:val="21"/>
        </w:rPr>
        <w:t>监狱企业声明函（如是）；</w:t>
      </w:r>
    </w:p>
    <w:p w14:paraId="5FF04F66">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Times New Roman" w:hAnsi="Times New Roman" w:eastAsia="宋体" w:cs="Times New Roman"/>
          <w:b/>
          <w:szCs w:val="21"/>
        </w:rPr>
      </w:pPr>
      <w:r>
        <w:rPr>
          <w:rFonts w:hint="eastAsia" w:ascii="Times New Roman" w:hAnsi="Times New Roman" w:eastAsia="宋体" w:cs="Times New Roman"/>
          <w:szCs w:val="21"/>
        </w:rPr>
        <w:t>残疾人福利性单位声明函（如是）；</w:t>
      </w:r>
    </w:p>
    <w:p w14:paraId="2BCE353B">
      <w:pPr>
        <w:snapToGrid w:val="0"/>
        <w:spacing w:line="360" w:lineRule="auto"/>
        <w:ind w:right="55"/>
        <w:jc w:val="left"/>
        <w:outlineLvl w:val="0"/>
        <w:rPr>
          <w:rFonts w:ascii="Times New Roman" w:hAnsi="Times New Roman" w:eastAsia="宋体" w:cs="Times New Roman"/>
          <w:b/>
          <w:sz w:val="24"/>
        </w:rPr>
      </w:pPr>
      <w:r>
        <w:rPr>
          <w:rFonts w:hint="eastAsia" w:ascii="Times New Roman" w:hAnsi="Times New Roman" w:eastAsia="宋体" w:cs="Times New Roman"/>
          <w:b/>
          <w:szCs w:val="21"/>
        </w:rPr>
        <w:t>（二）投标文件的语言及计量</w:t>
      </w:r>
    </w:p>
    <w:p w14:paraId="13D1BD80">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投标文件以及投标人与采购人就有关投标事宜的所有来往函电，均应以中文汉语书写。除签名、盖章、专用名称等特殊情形外，以中文汉语以外的文字表述的投标文件视同未提供。</w:t>
      </w:r>
    </w:p>
    <w:p w14:paraId="3194FB98">
      <w:pPr>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投标计量单位，采购文件已有明确规定的，使用采购文件规定的计量单位；采购文件没有规定的，应采用中华人民共和国法定计量单位（货币单位：人民币元），否则视同未响应。</w:t>
      </w:r>
    </w:p>
    <w:p w14:paraId="299BB869">
      <w:pPr>
        <w:tabs>
          <w:tab w:val="left" w:pos="0"/>
        </w:tabs>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（三）响应报价</w:t>
      </w:r>
    </w:p>
    <w:p w14:paraId="187B2470">
      <w:pPr>
        <w:snapToGrid w:val="0"/>
        <w:spacing w:line="360" w:lineRule="auto"/>
        <w:ind w:firstLine="422" w:firstLineChars="200"/>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投标报价应以人民币报价，投标人报价应是包括为完成本项目服务、设备供应可能发生的全部费用及中标人的利润和应交纳的税金等一切费用。</w:t>
      </w:r>
    </w:p>
    <w:p w14:paraId="6C270AFE">
      <w:pPr>
        <w:spacing w:line="360" w:lineRule="auto"/>
        <w:ind w:firstLine="420"/>
        <w:rPr>
          <w:rFonts w:ascii="Times New Roman" w:hAnsi="Times New Roman" w:eastAsia="宋体" w:cs="Times New Roman"/>
        </w:rPr>
      </w:pPr>
      <w:r>
        <w:rPr>
          <w:rFonts w:ascii="Times New Roman" w:hAnsi="Times New Roman" w:eastAsia="宋体" w:cs="Times New Roman"/>
          <w:b/>
          <w:bCs/>
          <w:szCs w:val="21"/>
        </w:rPr>
        <w:t>2.</w:t>
      </w:r>
      <w:r>
        <w:rPr>
          <w:rFonts w:hint="eastAsia" w:ascii="Times New Roman" w:hAnsi="Times New Roman" w:eastAsia="宋体" w:cs="Times New Roman"/>
          <w:b/>
          <w:bCs/>
          <w:szCs w:val="21"/>
        </w:rPr>
        <w:t>投标文件针对同一内容只允许有一个报价，有选择的或有条件的报价将不予接受。</w:t>
      </w:r>
    </w:p>
    <w:p w14:paraId="69D171AC">
      <w:pPr>
        <w:snapToGrid w:val="0"/>
        <w:spacing w:line="360" w:lineRule="auto"/>
        <w:jc w:val="left"/>
        <w:outlineLvl w:val="0"/>
        <w:rPr>
          <w:rFonts w:ascii="Times New Roman" w:hAnsi="Times New Roman" w:eastAsia="宋体" w:cs="Times New Roman"/>
          <w:b/>
          <w:szCs w:val="21"/>
        </w:rPr>
      </w:pPr>
      <w:r>
        <w:rPr>
          <w:rFonts w:hint="eastAsia" w:ascii="Times New Roman" w:hAnsi="Times New Roman" w:eastAsia="宋体" w:cs="Times New Roman"/>
          <w:b/>
          <w:szCs w:val="21"/>
        </w:rPr>
        <w:t>（四）投标文件的有效期</w:t>
      </w:r>
    </w:p>
    <w:p w14:paraId="70E4B3B7">
      <w:pPr>
        <w:tabs>
          <w:tab w:val="left" w:pos="360"/>
          <w:tab w:val="left" w:pos="454"/>
          <w:tab w:val="left" w:pos="720"/>
          <w:tab w:val="left" w:pos="900"/>
        </w:tabs>
        <w:snapToGrid w:val="0"/>
        <w:spacing w:line="360" w:lineRule="auto"/>
        <w:ind w:right="-506" w:rightChars="-241" w:firstLine="420" w:firstLineChars="20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自投标截止日起</w:t>
      </w:r>
      <w:r>
        <w:rPr>
          <w:rFonts w:ascii="Times New Roman" w:hAnsi="Times New Roman" w:eastAsia="宋体" w:cs="Times New Roman"/>
          <w:b/>
          <w:u w:val="single"/>
        </w:rPr>
        <w:t>90</w:t>
      </w:r>
      <w:r>
        <w:rPr>
          <w:rFonts w:hint="eastAsia" w:ascii="Times New Roman" w:hAnsi="Times New Roman" w:eastAsia="宋体" w:cs="Times New Roman"/>
          <w:b/>
        </w:rPr>
        <w:t>天</w:t>
      </w:r>
      <w:r>
        <w:rPr>
          <w:rFonts w:hint="eastAsia" w:ascii="Times New Roman" w:hAnsi="Times New Roman" w:eastAsia="宋体" w:cs="Times New Roman"/>
        </w:rPr>
        <w:t>投标文件应保持有效。有效期不足的投标文件将被拒绝。</w:t>
      </w:r>
    </w:p>
    <w:p w14:paraId="70F640AE">
      <w:pPr>
        <w:snapToGrid w:val="0"/>
        <w:spacing w:line="360" w:lineRule="auto"/>
        <w:ind w:right="-86" w:rightChars="-41" w:firstLine="420" w:firstLineChars="200"/>
        <w:jc w:val="left"/>
        <w:outlineLvl w:val="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在特殊情况下，采购人可与投标人协商延长投标书的有效期，这种要求和答复均以书面形式进行。</w:t>
      </w:r>
    </w:p>
    <w:p w14:paraId="09B1E341">
      <w:pPr>
        <w:snapToGrid w:val="0"/>
        <w:spacing w:line="360" w:lineRule="auto"/>
        <w:ind w:right="55" w:firstLine="420" w:firstLineChars="200"/>
        <w:jc w:val="left"/>
        <w:outlineLvl w:val="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中标人的投标文件自开标之日起至合同履行完毕止均应保持有效。</w:t>
      </w:r>
    </w:p>
    <w:p w14:paraId="16FFD128">
      <w:pPr>
        <w:snapToGrid w:val="0"/>
        <w:spacing w:line="360" w:lineRule="auto"/>
        <w:jc w:val="left"/>
        <w:rPr>
          <w:rFonts w:ascii="Times New Roman" w:hAnsi="Times New Roman" w:eastAsia="宋体" w:cs="Times New Roman"/>
          <w:b/>
          <w:szCs w:val="21"/>
        </w:rPr>
      </w:pPr>
      <w:r>
        <w:rPr>
          <w:rFonts w:hint="eastAsia" w:ascii="Times New Roman" w:hAnsi="Times New Roman" w:eastAsia="宋体" w:cs="Times New Roman"/>
          <w:b/>
          <w:szCs w:val="21"/>
        </w:rPr>
        <w:t>（五）投标文件的包装、递交、修改和撤回</w:t>
      </w:r>
    </w:p>
    <w:p w14:paraId="012992A8">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6F3FB01">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投标人应当在投标截止时间前将以介质存储的数据电文形式的备份投标文件</w:t>
      </w:r>
      <w:r>
        <w:rPr>
          <w:rFonts w:hint="eastAsia" w:ascii="Times New Roman" w:hAnsi="Times New Roman" w:eastAsia="宋体" w:cs="Times New Roman"/>
          <w:szCs w:val="21"/>
        </w:rPr>
        <w:t>寄到或送达采购代理公司。地址：舟山市定海区昌国路</w:t>
      </w:r>
      <w:r>
        <w:rPr>
          <w:rFonts w:ascii="Times New Roman" w:hAnsi="Times New Roman" w:eastAsia="宋体" w:cs="Times New Roman"/>
          <w:szCs w:val="21"/>
        </w:rPr>
        <w:t>232</w:t>
      </w:r>
      <w:r>
        <w:rPr>
          <w:rFonts w:hint="eastAsia" w:ascii="Times New Roman" w:hAnsi="Times New Roman" w:eastAsia="宋体" w:cs="Times New Roman"/>
          <w:szCs w:val="21"/>
        </w:rPr>
        <w:t>号中楼</w:t>
      </w:r>
      <w:r>
        <w:rPr>
          <w:rFonts w:ascii="Times New Roman" w:hAnsi="Times New Roman" w:eastAsia="宋体" w:cs="Times New Roman"/>
          <w:szCs w:val="21"/>
        </w:rPr>
        <w:t>202</w:t>
      </w:r>
      <w:r>
        <w:rPr>
          <w:rFonts w:hint="eastAsia" w:ascii="Times New Roman" w:hAnsi="Times New Roman" w:eastAsia="宋体" w:cs="Times New Roman"/>
          <w:szCs w:val="21"/>
        </w:rPr>
        <w:t>深圳市国信招标有限公司舟山分公司。也可现场递交。</w:t>
      </w:r>
      <w:r>
        <w:rPr>
          <w:rFonts w:hint="eastAsia" w:ascii="Times New Roman" w:hAnsi="Times New Roman" w:eastAsia="宋体" w:cs="Times New Roman"/>
        </w:rPr>
        <w:t>逾期送达或未密封将被拒收。</w:t>
      </w:r>
    </w:p>
    <w:p w14:paraId="6B0FCAED">
      <w:pPr>
        <w:snapToGrid w:val="0"/>
        <w:spacing w:line="360" w:lineRule="auto"/>
        <w:ind w:right="-86" w:rightChars="-41" w:firstLine="422" w:firstLineChars="200"/>
        <w:jc w:val="left"/>
        <w:rPr>
          <w:rFonts w:ascii="Times New Roman" w:hAnsi="Times New Roman" w:eastAsia="宋体" w:cs="Times New Roman"/>
        </w:rPr>
      </w:pPr>
      <w:r>
        <w:rPr>
          <w:rFonts w:hint="eastAsia" w:ascii="Times New Roman" w:hAnsi="Times New Roman" w:eastAsia="宋体" w:cs="Times New Roman"/>
          <w:b/>
          <w:szCs w:val="21"/>
        </w:rPr>
        <w:t>投标人可以不提供备份投标文件，造成项目开评标活动无法进行下去的，投标无效，相关风险由投标人自行承担</w:t>
      </w:r>
    </w:p>
    <w:p w14:paraId="2AFC4C41">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投标人递交以介质存储的数据电文形式的备份投标文件时，如出现下列情况之一的，将被拒收：</w:t>
      </w:r>
    </w:p>
    <w:p w14:paraId="383D62E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1</w:t>
      </w:r>
      <w:r>
        <w:rPr>
          <w:rFonts w:hint="eastAsia" w:ascii="Times New Roman" w:hAnsi="Times New Roman" w:eastAsia="宋体" w:cs="Times New Roman"/>
        </w:rPr>
        <w:t>）未按规定密封或标记的投标文件；</w:t>
      </w:r>
    </w:p>
    <w:p w14:paraId="72672392">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）由于包装不妥，在送交途中严重破损或失散的；</w:t>
      </w:r>
    </w:p>
    <w:p w14:paraId="51E3232E">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3</w:t>
      </w:r>
      <w:r>
        <w:rPr>
          <w:rFonts w:hint="eastAsia" w:ascii="Times New Roman" w:hAnsi="Times New Roman" w:eastAsia="宋体" w:cs="Times New Roman"/>
        </w:rPr>
        <w:t>）未成功办理投标人报名手续的；</w:t>
      </w:r>
    </w:p>
    <w:p w14:paraId="2C7259BA">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4</w:t>
      </w:r>
      <w:r>
        <w:rPr>
          <w:rFonts w:hint="eastAsia" w:ascii="Times New Roman" w:hAnsi="Times New Roman" w:eastAsia="宋体" w:cs="Times New Roman"/>
        </w:rPr>
        <w:t>）超过投标截止时间送达的；</w:t>
      </w:r>
    </w:p>
    <w:p w14:paraId="644BD9BF">
      <w:pPr>
        <w:snapToGrid w:val="0"/>
        <w:spacing w:line="360" w:lineRule="auto"/>
        <w:ind w:right="-86" w:rightChars="-41" w:firstLine="420" w:firstLineChars="200"/>
        <w:jc w:val="left"/>
        <w:rPr>
          <w:rFonts w:ascii="Times New Roman" w:hAnsi="Times New Roman" w:eastAsia="宋体" w:cs="Times New Roman"/>
        </w:rPr>
      </w:pPr>
      <w:r>
        <w:rPr>
          <w:rFonts w:hint="eastAsia" w:ascii="Times New Roman" w:hAnsi="Times New Roman" w:eastAsia="宋体" w:cs="Times New Roman"/>
        </w:rPr>
        <w:t>仅提供备份投标文件的，投标无效。</w:t>
      </w:r>
    </w:p>
    <w:p w14:paraId="327BBF82">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投标、响应文件未按时解密，供应商提供了备份投标、响应文件的，以备份投标、响应文件作为依据，否则视为投标、响应文件撤回。投标、响应文件已按时解密的，备份投标、响应文件自动失效。</w:t>
      </w:r>
    </w:p>
    <w:p w14:paraId="3D54022D">
      <w:pPr>
        <w:snapToGrid w:val="0"/>
        <w:spacing w:line="360" w:lineRule="auto"/>
        <w:ind w:right="-86" w:rightChars="-41" w:firstLine="420" w:firstLineChars="200"/>
        <w:jc w:val="left"/>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备份投标文件须密封封装。包装封面上应注明投标人名称，封口处加盖投标人公章。</w:t>
      </w:r>
    </w:p>
    <w:p w14:paraId="4304ADD3">
      <w:pPr>
        <w:keepNext w:val="0"/>
        <w:keepLines w:val="0"/>
        <w:pageBreakBefore w:val="0"/>
        <w:widowControl w:val="0"/>
        <w:kinsoku/>
        <w:wordWrap/>
        <w:overflowPunct/>
        <w:topLinePunct w:val="0"/>
        <w:autoSpaceDE/>
        <w:autoSpaceDN/>
        <w:bidi w:val="0"/>
        <w:adjustRightInd/>
        <w:spacing w:line="360" w:lineRule="auto"/>
        <w:ind w:right="0" w:rightChars="0"/>
        <w:textAlignment w:val="auto"/>
        <w:rPr>
          <w:rFonts w:ascii="Times New Roman" w:hAnsi="Times New Roman" w:eastAsia="宋体" w:cs="Times New Roman"/>
        </w:rPr>
      </w:pPr>
      <w:r>
        <w:rPr>
          <w:rFonts w:hint="eastAsia" w:ascii="Times New Roman" w:hAnsi="Times New Roman" w:eastAsia="宋体" w:cs="Times New Roman"/>
          <w:b/>
          <w:szCs w:val="21"/>
        </w:rPr>
        <w:t>（六）投标无效的情形</w:t>
      </w:r>
    </w:p>
    <w:p w14:paraId="42736BEB">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7DBF1FF8">
      <w:pPr>
        <w:keepNext w:val="0"/>
        <w:keepLines w:val="0"/>
        <w:pageBreakBefore w:val="0"/>
        <w:widowControl w:val="0"/>
        <w:kinsoku/>
        <w:wordWrap/>
        <w:overflowPunct/>
        <w:topLinePunct w:val="0"/>
        <w:autoSpaceDE/>
        <w:autoSpaceDN/>
        <w:bidi w:val="0"/>
        <w:adjustRightInd/>
        <w:snapToGrid w:val="0"/>
        <w:spacing w:line="360" w:lineRule="auto"/>
        <w:ind w:right="0" w:rightChars="0" w:firstLine="417" w:firstLineChars="198"/>
        <w:textAlignment w:val="auto"/>
        <w:rPr>
          <w:rFonts w:ascii="Times New Roman" w:hAnsi="Times New Roman" w:eastAsia="宋体" w:cs="Times New Roman"/>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在符合性审查和商务评审时，如发现下列情形之一且无法作出合理解释的的，投标文件将被视为无效投标：</w:t>
      </w:r>
    </w:p>
    <w:p w14:paraId="4B58B37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1.1</w:t>
      </w:r>
      <w:r>
        <w:rPr>
          <w:rFonts w:hint="eastAsia" w:ascii="Times New Roman" w:hAnsi="Times New Roman" w:eastAsia="宋体" w:cs="Times New Roman"/>
          <w:szCs w:val="21"/>
        </w:rPr>
        <w:t>资格证明文件不全的，或者不符合采购文件标明的资格要求的</w:t>
      </w:r>
      <w:r>
        <w:rPr>
          <w:rFonts w:hint="eastAsia" w:ascii="Times New Roman" w:hAnsi="Times New Roman" w:eastAsia="宋体" w:cs="Times New Roman"/>
          <w:bCs/>
          <w:szCs w:val="21"/>
        </w:rPr>
        <w:t>；</w:t>
      </w:r>
    </w:p>
    <w:p w14:paraId="51F9704E">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投标文件组成不全的；</w:t>
      </w:r>
    </w:p>
    <w:p w14:paraId="28281B90">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1.3</w:t>
      </w:r>
      <w:r>
        <w:rPr>
          <w:rFonts w:hint="eastAsia" w:ascii="Times New Roman" w:hAnsi="Times New Roman" w:eastAsia="宋体" w:cs="Times New Roman"/>
          <w:bCs/>
          <w:szCs w:val="21"/>
        </w:rPr>
        <w:t>投标文件的实质性内容未使用中文表述、意思表述不明确、前后矛盾或者使用计量单位不符合采购文件要求的；（</w:t>
      </w:r>
      <w:r>
        <w:rPr>
          <w:rFonts w:hint="eastAsia" w:ascii="Times New Roman" w:hAnsi="Times New Roman" w:eastAsia="宋体" w:cs="Times New Roman"/>
          <w:szCs w:val="21"/>
        </w:rPr>
        <w:t>经评审小组认定允许其在线更正的笔误除外</w:t>
      </w:r>
      <w:r>
        <w:rPr>
          <w:rFonts w:hint="eastAsia" w:ascii="Times New Roman" w:hAnsi="Times New Roman" w:eastAsia="宋体" w:cs="Times New Roman"/>
          <w:bCs/>
          <w:szCs w:val="21"/>
        </w:rPr>
        <w:t>）</w:t>
      </w:r>
    </w:p>
    <w:p w14:paraId="6B3E29F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1.4</w:t>
      </w:r>
      <w:r>
        <w:rPr>
          <w:rFonts w:hint="eastAsia" w:ascii="Times New Roman" w:hAnsi="Times New Roman" w:eastAsia="宋体" w:cs="Times New Roman"/>
          <w:bCs/>
          <w:szCs w:val="21"/>
        </w:rPr>
        <w:t>投标文件的关键内容字迹模糊、无法辨认的，或者投标文件中经修正的内容字迹模糊难以辩认或者修改处未按规定签名盖章的；</w:t>
      </w:r>
    </w:p>
    <w:p w14:paraId="26D577C8">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1.5</w:t>
      </w:r>
      <w:r>
        <w:rPr>
          <w:rFonts w:hint="eastAsia" w:ascii="Times New Roman" w:hAnsi="Times New Roman" w:eastAsia="宋体" w:cs="Times New Roman"/>
          <w:bCs/>
          <w:szCs w:val="21"/>
        </w:rPr>
        <w:t>投标有效期、交货时间、质保期等商务条款不能满足采购文件要求的；</w:t>
      </w:r>
    </w:p>
    <w:p w14:paraId="3BCB6CA5">
      <w:pPr>
        <w:keepNext w:val="0"/>
        <w:keepLines w:val="0"/>
        <w:pageBreakBefore w:val="0"/>
        <w:widowControl w:val="0"/>
        <w:kinsoku/>
        <w:wordWrap/>
        <w:overflowPunct/>
        <w:topLinePunct w:val="0"/>
        <w:autoSpaceDE/>
        <w:autoSpaceDN/>
        <w:bidi w:val="0"/>
        <w:adjustRightInd/>
        <w:snapToGrid w:val="0"/>
        <w:spacing w:line="360" w:lineRule="auto"/>
        <w:ind w:right="0" w:rightChars="0" w:firstLine="415" w:firstLineChars="198"/>
        <w:textAlignment w:val="auto"/>
        <w:rPr>
          <w:rFonts w:ascii="Times New Roman" w:hAnsi="Times New Roman" w:eastAsia="宋体" w:cs="Times New Roman"/>
          <w:bCs/>
          <w:szCs w:val="21"/>
        </w:rPr>
      </w:pPr>
      <w:r>
        <w:rPr>
          <w:rFonts w:ascii="Times New Roman" w:hAnsi="Times New Roman" w:eastAsia="宋体" w:cs="Times New Roman"/>
          <w:bCs/>
          <w:szCs w:val="21"/>
        </w:rPr>
        <w:t>1.6</w:t>
      </w:r>
      <w:r>
        <w:rPr>
          <w:rFonts w:hint="eastAsia" w:ascii="Times New Roman" w:hAnsi="Times New Roman" w:eastAsia="宋体" w:cs="Times New Roman"/>
          <w:bCs/>
          <w:szCs w:val="21"/>
        </w:rPr>
        <w:t>未响应采购文件实质性要求或者投标文件有采购人不能接受的附加条件的；</w:t>
      </w:r>
    </w:p>
    <w:p w14:paraId="2CE81015">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bCs/>
          <w:szCs w:val="21"/>
        </w:rPr>
      </w:pPr>
      <w:r>
        <w:rPr>
          <w:rFonts w:ascii="Times New Roman" w:hAnsi="Times New Roman" w:eastAsia="宋体" w:cs="Times New Roman"/>
          <w:bCs/>
          <w:szCs w:val="21"/>
        </w:rPr>
        <w:t>1.7</w:t>
      </w:r>
      <w:r>
        <w:rPr>
          <w:rFonts w:hint="eastAsia" w:ascii="Times New Roman" w:hAnsi="Times New Roman" w:eastAsia="宋体" w:cs="Times New Roman"/>
          <w:bCs/>
          <w:szCs w:val="21"/>
        </w:rPr>
        <w:t>投标文件没有按采购文件要求响应有标</w:t>
      </w:r>
      <w:r>
        <w:rPr>
          <w:rFonts w:ascii="Times New Roman" w:hAnsi="Times New Roman" w:eastAsia="宋体" w:cs="Times New Roman"/>
          <w:bCs/>
          <w:szCs w:val="21"/>
        </w:rPr>
        <w:t>“</w:t>
      </w:r>
      <w:r>
        <w:rPr>
          <w:rFonts w:hint="eastAsia" w:ascii="Times New Roman" w:hAnsi="Times New Roman" w:eastAsia="宋体" w:cs="Times New Roman"/>
          <w:bCs/>
          <w:szCs w:val="21"/>
        </w:rPr>
        <w:t>★</w:t>
      </w:r>
      <w:r>
        <w:rPr>
          <w:rFonts w:ascii="Times New Roman" w:hAnsi="Times New Roman" w:eastAsia="宋体" w:cs="Times New Roman"/>
          <w:bCs/>
          <w:szCs w:val="21"/>
        </w:rPr>
        <w:t>”</w:t>
      </w:r>
      <w:r>
        <w:rPr>
          <w:rFonts w:hint="eastAsia" w:ascii="Times New Roman" w:hAnsi="Times New Roman" w:eastAsia="宋体" w:cs="Times New Roman"/>
          <w:bCs/>
          <w:szCs w:val="21"/>
        </w:rPr>
        <w:t>的条款的资料和材料的；</w:t>
      </w:r>
      <w:bookmarkStart w:id="17" w:name="_Hlk175926338"/>
    </w:p>
    <w:p w14:paraId="64512E24">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1.8在不影响公平竞争的前提下，采购文件中参与同一标段（包）的供应商存在以下情形的，其投标文件相应无效：MAC地址相同、计算机硬盘序列号相同、采购文件细节错误一致且无合理解释的等情形。</w:t>
      </w:r>
    </w:p>
    <w:p w14:paraId="3829B648">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1.9上传的电子投标（响应）文件若出现使用本项目其他投标（响应）供应商的数字证书加密的，或者加盖本项目其他投标（响应）供应商的电子印章的；</w:t>
      </w:r>
    </w:p>
    <w:p w14:paraId="6A1E1DB0">
      <w:pPr>
        <w:pStyle w:val="2"/>
        <w:keepNext w:val="0"/>
        <w:keepLines w:val="0"/>
        <w:pageBreakBefore w:val="0"/>
        <w:widowControl w:val="0"/>
        <w:kinsoku/>
        <w:wordWrap/>
        <w:overflowPunct/>
        <w:topLinePunct w:val="0"/>
        <w:autoSpaceDE/>
        <w:autoSpaceDN/>
        <w:bidi w:val="0"/>
        <w:adjustRightInd/>
        <w:spacing w:after="0" w:line="360" w:lineRule="auto"/>
        <w:ind w:left="0" w:leftChars="0" w:firstLine="420" w:firstLineChars="200"/>
        <w:textAlignment w:val="auto"/>
        <w:rPr>
          <w:rFonts w:hint="eastAsia" w:ascii="Times New Roman" w:hAnsi="Times New Roman" w:eastAsia="宋体" w:cs="Times New Roman"/>
          <w:b w:val="0"/>
          <w:bCs/>
          <w:color w:val="000000" w:themeColor="text1"/>
          <w:szCs w:val="21"/>
          <w14:textFill>
            <w14:solidFill>
              <w14:schemeClr w14:val="tx1"/>
            </w14:solidFill>
          </w14:textFill>
          <w14:ligatures w14:val="none"/>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1.10不同供应商的投标（响应）文件的内容存在三处（含）以上错误一致的；</w:t>
      </w:r>
    </w:p>
    <w:p w14:paraId="6E83D019">
      <w:pPr>
        <w:keepNext w:val="0"/>
        <w:keepLines w:val="0"/>
        <w:pageBreakBefore w:val="0"/>
        <w:widowControl w:val="0"/>
        <w:kinsoku/>
        <w:wordWrap/>
        <w:overflowPunct/>
        <w:topLinePunct w:val="0"/>
        <w:autoSpaceDE/>
        <w:autoSpaceDN/>
        <w:bidi w:val="0"/>
        <w:adjustRightInd/>
        <w:spacing w:line="360" w:lineRule="auto"/>
        <w:ind w:right="0" w:rightChars="0" w:firstLine="420" w:firstLineChars="200"/>
        <w:textAlignment w:val="auto"/>
        <w:rPr>
          <w:rFonts w:ascii="Times New Roman" w:hAnsi="Times New Roman" w:eastAsia="宋体" w:cs="Times New Roman"/>
          <w:b/>
          <w:bCs/>
          <w:szCs w:val="20"/>
        </w:rPr>
      </w:pPr>
      <w:r>
        <w:rPr>
          <w:rFonts w:hint="eastAsia" w:ascii="Times New Roman" w:hAnsi="Times New Roman" w:eastAsia="宋体" w:cs="Times New Roman"/>
          <w:b w:val="0"/>
          <w:bCs/>
          <w:color w:val="000000" w:themeColor="text1"/>
          <w:szCs w:val="21"/>
          <w14:textFill>
            <w14:solidFill>
              <w14:schemeClr w14:val="tx1"/>
            </w14:solidFill>
          </w14:textFill>
          <w14:ligatures w14:val="none"/>
        </w:rPr>
        <w:t>1.11不同供应商联系人为同一人或不同联系人的联系电话一致的</w:t>
      </w:r>
      <w:r>
        <w:rPr>
          <w:rFonts w:ascii="宋体" w:hAnsi="宋体" w:eastAsia="宋体" w:cs="Times New Roman"/>
          <w:b/>
          <w:bCs/>
        </w:rPr>
        <w:t>。</w:t>
      </w:r>
      <w:bookmarkEnd w:id="17"/>
    </w:p>
    <w:p w14:paraId="64B53E44">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2.</w:t>
      </w:r>
      <w:r>
        <w:rPr>
          <w:rFonts w:hint="eastAsia" w:ascii="Times New Roman" w:hAnsi="Times New Roman" w:eastAsia="宋体" w:cs="Times New Roman"/>
          <w:b/>
          <w:bCs/>
        </w:rPr>
        <w:t>在技术评审时，如发现下列情形之一的，投标文件将被视为无效响应：</w:t>
      </w:r>
    </w:p>
    <w:p w14:paraId="044D49D9">
      <w:pPr>
        <w:spacing w:line="360" w:lineRule="auto"/>
        <w:ind w:firstLine="420"/>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投标文件标明的响应或偏离与事实不符或虚假投标的；</w:t>
      </w:r>
    </w:p>
    <w:p w14:paraId="5FAD2AB8">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bCs/>
          <w:szCs w:val="21"/>
        </w:rPr>
        <w:t>2.2</w:t>
      </w:r>
      <w:r>
        <w:rPr>
          <w:rFonts w:hint="eastAsia" w:ascii="Times New Roman" w:hAnsi="Times New Roman" w:eastAsia="宋体" w:cs="Times New Roman"/>
          <w:bCs/>
          <w:szCs w:val="21"/>
        </w:rPr>
        <w:t>明显不符合采购文件标明的质量标准，或者采购文件中标</w:t>
      </w:r>
      <w:r>
        <w:rPr>
          <w:rFonts w:ascii="Times New Roman" w:hAnsi="Times New Roman" w:eastAsia="宋体" w:cs="Times New Roman"/>
          <w:bCs/>
          <w:szCs w:val="21"/>
        </w:rPr>
        <w:t>“</w:t>
      </w:r>
      <w:r>
        <w:rPr>
          <w:rFonts w:hint="eastAsia" w:ascii="Times New Roman" w:hAnsi="Times New Roman" w:eastAsia="宋体" w:cs="Times New Roman"/>
          <w:b/>
        </w:rPr>
        <w:t>★</w:t>
      </w:r>
      <w:r>
        <w:rPr>
          <w:rFonts w:ascii="Times New Roman" w:hAnsi="Times New Roman" w:eastAsia="宋体" w:cs="Times New Roman"/>
          <w:bCs/>
          <w:szCs w:val="21"/>
        </w:rPr>
        <w:t>”</w:t>
      </w:r>
      <w:r>
        <w:rPr>
          <w:rFonts w:hint="eastAsia" w:ascii="Times New Roman" w:hAnsi="Times New Roman" w:eastAsia="宋体" w:cs="Times New Roman"/>
          <w:bCs/>
          <w:szCs w:val="21"/>
        </w:rPr>
        <w:t>的技术参数、条款（如有）发生实质性偏离的；</w:t>
      </w:r>
    </w:p>
    <w:p w14:paraId="17E23B05">
      <w:pPr>
        <w:spacing w:line="360" w:lineRule="auto"/>
        <w:ind w:firstLine="420"/>
        <w:rPr>
          <w:rFonts w:ascii="Times New Roman" w:hAnsi="Times New Roman" w:eastAsia="宋体" w:cs="Times New Roman"/>
        </w:rPr>
      </w:pPr>
      <w:r>
        <w:rPr>
          <w:rFonts w:ascii="Times New Roman" w:hAnsi="Times New Roman" w:eastAsia="宋体" w:cs="Times New Roman"/>
          <w:szCs w:val="21"/>
        </w:rPr>
        <w:t>2.3</w:t>
      </w:r>
      <w:r>
        <w:rPr>
          <w:rFonts w:hint="eastAsia" w:ascii="Times New Roman" w:hAnsi="Times New Roman" w:eastAsia="宋体" w:cs="Times New Roman"/>
          <w:szCs w:val="21"/>
        </w:rPr>
        <w:t>投标技术方案不明确，存在一个或一个以上备选（替代）投标方案的；</w:t>
      </w:r>
    </w:p>
    <w:p w14:paraId="05AE0C17">
      <w:pPr>
        <w:spacing w:line="360" w:lineRule="auto"/>
        <w:ind w:firstLine="420"/>
        <w:rPr>
          <w:rFonts w:ascii="Times New Roman" w:hAnsi="Times New Roman" w:eastAsia="宋体" w:cs="Times New Roman"/>
          <w:szCs w:val="21"/>
        </w:rPr>
      </w:pPr>
      <w:r>
        <w:rPr>
          <w:rFonts w:ascii="Times New Roman" w:hAnsi="Times New Roman" w:eastAsia="宋体" w:cs="Times New Roman"/>
          <w:b/>
          <w:bCs/>
        </w:rPr>
        <w:t>3.</w:t>
      </w:r>
      <w:r>
        <w:rPr>
          <w:rFonts w:hint="eastAsia" w:ascii="Times New Roman" w:hAnsi="Times New Roman" w:eastAsia="宋体" w:cs="Times New Roman"/>
          <w:b/>
          <w:szCs w:val="21"/>
        </w:rPr>
        <w:t>在投标报价文件评审时</w:t>
      </w:r>
      <w:r>
        <w:rPr>
          <w:rFonts w:hint="eastAsia" w:ascii="Times New Roman" w:hAnsi="Times New Roman" w:eastAsia="宋体" w:cs="Times New Roman"/>
          <w:b/>
          <w:bCs/>
        </w:rPr>
        <w:t>，如发现下列情形之一的，投标文件将被视为无效响应：</w:t>
      </w:r>
    </w:p>
    <w:p w14:paraId="18443515">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3.1</w:t>
      </w:r>
      <w:r>
        <w:rPr>
          <w:rFonts w:hint="eastAsia" w:ascii="Times New Roman" w:hAnsi="Times New Roman" w:eastAsia="宋体" w:cs="Times New Roman"/>
          <w:szCs w:val="20"/>
        </w:rPr>
        <w:t>未采用人民币报价或者未按照采购文件标明的币种报价的；</w:t>
      </w:r>
    </w:p>
    <w:p w14:paraId="0E3C1E8A">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3.2</w:t>
      </w:r>
      <w:r>
        <w:rPr>
          <w:rFonts w:hint="eastAsia" w:ascii="Times New Roman" w:hAnsi="Times New Roman" w:eastAsia="宋体" w:cs="Times New Roman"/>
          <w:szCs w:val="20"/>
        </w:rPr>
        <w:t>报价超出最高限价，或者超出采购预算金额，采购人不能支付的；</w:t>
      </w:r>
    </w:p>
    <w:p w14:paraId="491C61D5">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3.3</w:t>
      </w:r>
      <w:r>
        <w:rPr>
          <w:rFonts w:hint="eastAsia" w:ascii="Times New Roman" w:hAnsi="Times New Roman" w:eastAsia="宋体" w:cs="Times New Roman"/>
          <w:szCs w:val="2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021D20C">
      <w:pPr>
        <w:snapToGrid w:val="0"/>
        <w:spacing w:line="360" w:lineRule="auto"/>
        <w:ind w:right="-86" w:rightChars="-41" w:firstLine="438" w:firstLineChars="209"/>
        <w:rPr>
          <w:rFonts w:ascii="Times New Roman" w:hAnsi="Times New Roman" w:eastAsia="宋体" w:cs="Times New Roman"/>
          <w:szCs w:val="20"/>
        </w:rPr>
      </w:pPr>
      <w:r>
        <w:rPr>
          <w:rFonts w:ascii="Times New Roman" w:hAnsi="Times New Roman" w:eastAsia="宋体" w:cs="Times New Roman"/>
          <w:szCs w:val="20"/>
        </w:rPr>
        <w:t>3.4</w:t>
      </w:r>
      <w:r>
        <w:rPr>
          <w:rFonts w:hint="eastAsia" w:ascii="Times New Roman" w:hAnsi="Times New Roman" w:eastAsia="宋体" w:cs="Times New Roman"/>
          <w:szCs w:val="20"/>
        </w:rPr>
        <w:t>投标报价具有选择性，或者开标价格与投标文件承诺的优惠（折扣）价格不一致的；</w:t>
      </w:r>
    </w:p>
    <w:p w14:paraId="394C2467">
      <w:pPr>
        <w:snapToGrid w:val="0"/>
        <w:spacing w:line="360" w:lineRule="auto"/>
        <w:ind w:right="-86" w:rightChars="-41" w:firstLine="441" w:firstLineChars="209"/>
        <w:rPr>
          <w:rFonts w:ascii="Times New Roman" w:hAnsi="Times New Roman" w:eastAsia="宋体" w:cs="Times New Roman"/>
          <w:b/>
          <w:bCs/>
          <w:szCs w:val="20"/>
        </w:rPr>
      </w:pPr>
      <w:r>
        <w:rPr>
          <w:rFonts w:hint="eastAsia" w:ascii="Times New Roman" w:hAnsi="Times New Roman" w:eastAsia="宋体" w:cs="Times New Roman"/>
          <w:b/>
          <w:bCs/>
          <w:szCs w:val="20"/>
        </w:rPr>
        <w:t>4</w:t>
      </w:r>
      <w:r>
        <w:rPr>
          <w:rFonts w:ascii="Times New Roman" w:hAnsi="Times New Roman" w:eastAsia="宋体" w:cs="Times New Roman"/>
          <w:b/>
          <w:bCs/>
          <w:szCs w:val="20"/>
        </w:rPr>
        <w:t>.</w:t>
      </w:r>
      <w:r>
        <w:rPr>
          <w:rFonts w:hint="eastAsia" w:ascii="Times New Roman" w:hAnsi="Times New Roman" w:eastAsia="宋体" w:cs="Times New Roman"/>
          <w:b/>
          <w:bCs/>
          <w:szCs w:val="20"/>
        </w:rPr>
        <w:t>法律、法规和采购文件规定的其他无效情形。</w:t>
      </w:r>
    </w:p>
    <w:p w14:paraId="7C475D5C">
      <w:pPr>
        <w:snapToGrid w:val="0"/>
        <w:spacing w:line="360" w:lineRule="auto"/>
        <w:ind w:right="-86" w:rightChars="-41"/>
        <w:rPr>
          <w:rFonts w:ascii="Times New Roman" w:hAnsi="Times New Roman" w:eastAsia="宋体" w:cs="Times New Roman"/>
          <w:szCs w:val="20"/>
        </w:rPr>
      </w:pPr>
      <w:r>
        <w:rPr>
          <w:rFonts w:hint="eastAsia" w:ascii="Times New Roman" w:hAnsi="Times New Roman" w:eastAsia="宋体" w:cs="Times New Roman"/>
          <w:b/>
          <w:szCs w:val="21"/>
        </w:rPr>
        <w:t>（七）</w:t>
      </w:r>
      <w:r>
        <w:rPr>
          <w:rFonts w:hint="eastAsia" w:ascii="Times New Roman" w:hAnsi="Times New Roman" w:eastAsia="宋体" w:cs="Times New Roman"/>
          <w:b/>
          <w:szCs w:val="20"/>
        </w:rPr>
        <w:t>出现以下情形，导致电子交易平台无法正常运行，或者无法保证电子交易的公平、公正和安全时，中止电子交易活动：</w:t>
      </w:r>
    </w:p>
    <w:p w14:paraId="5CFD94A9">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（一）电子交易平台发生故障而无法登录访问的；</w:t>
      </w:r>
    </w:p>
    <w:p w14:paraId="42BC086C">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（二）电子交易平台应用或数据库出现错误，不能进行正常操作的；</w:t>
      </w:r>
    </w:p>
    <w:p w14:paraId="1BBDA22D">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（三）电子交易平台发现严重安全漏洞，有潜在泄密危险的；</w:t>
      </w:r>
    </w:p>
    <w:p w14:paraId="60337F97">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（四）病毒发作导致不能进行正常操作的；</w:t>
      </w:r>
    </w:p>
    <w:p w14:paraId="2870BF5A">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（五）其他无法保证电子交易的公平、公正和安全的情况。</w:t>
      </w:r>
    </w:p>
    <w:p w14:paraId="4DCB59A1">
      <w:pPr>
        <w:snapToGrid w:val="0"/>
        <w:spacing w:line="360" w:lineRule="auto"/>
        <w:ind w:right="-86" w:rightChars="-41" w:firstLine="438" w:firstLineChars="209"/>
        <w:rPr>
          <w:rFonts w:ascii="Times New Roman" w:hAnsi="Times New Roman" w:eastAsia="宋体" w:cs="Times New Roman"/>
          <w:szCs w:val="20"/>
        </w:rPr>
      </w:pPr>
      <w:r>
        <w:rPr>
          <w:rFonts w:hint="eastAsia" w:ascii="Times New Roman" w:hAnsi="Times New Roman" w:eastAsia="宋体" w:cs="Times New Roman"/>
          <w:szCs w:val="20"/>
        </w:rPr>
        <w:t>出现前款规定情形，不影响采购公平、公正性的，代理机构可以待上述情形消除后继续组织电子交易活动，也可以决定某些环节以纸质形式进行；影响或可能影响采购公平、公正性的，重新采购。</w:t>
      </w:r>
    </w:p>
    <w:p w14:paraId="10A28955">
      <w:pPr>
        <w:widowControl/>
        <w:snapToGrid w:val="0"/>
        <w:spacing w:line="360" w:lineRule="auto"/>
        <w:ind w:right="55"/>
        <w:rPr>
          <w:rFonts w:ascii="Times New Roman" w:hAnsi="Times New Roman" w:eastAsia="宋体" w:cs="Times New Roman"/>
          <w:b/>
          <w:bCs/>
          <w:spacing w:val="-4"/>
          <w:kern w:val="0"/>
          <w:szCs w:val="21"/>
        </w:rPr>
      </w:pPr>
      <w:r>
        <w:rPr>
          <w:rFonts w:hint="eastAsia" w:ascii="Times New Roman" w:hAnsi="Times New Roman" w:eastAsia="宋体" w:cs="Times New Roman"/>
          <w:b/>
          <w:bCs/>
          <w:spacing w:val="-4"/>
          <w:kern w:val="0"/>
          <w:szCs w:val="21"/>
        </w:rPr>
        <w:t>（八）报名不足三家的处理方式</w:t>
      </w:r>
    </w:p>
    <w:p w14:paraId="53BC6226">
      <w:pPr>
        <w:widowControl/>
        <w:snapToGrid w:val="0"/>
        <w:spacing w:line="360" w:lineRule="auto"/>
        <w:ind w:right="55" w:firstLine="470"/>
        <w:rPr>
          <w:rFonts w:ascii="Times New Roman" w:hAnsi="Times New Roman" w:eastAsia="宋体" w:cs="Times New Roman"/>
          <w:bCs/>
          <w:spacing w:val="-4"/>
          <w:kern w:val="0"/>
          <w:szCs w:val="21"/>
        </w:rPr>
      </w:pPr>
      <w:r>
        <w:rPr>
          <w:rFonts w:hint="eastAsia" w:ascii="Times New Roman" w:hAnsi="Times New Roman" w:eastAsia="宋体" w:cs="Times New Roman"/>
          <w:bCs/>
          <w:spacing w:val="-4"/>
          <w:kern w:val="0"/>
          <w:szCs w:val="21"/>
        </w:rPr>
        <w:t>报名时间截止后，在开标时间前获取招标文件的潜在投标人不足三家的，采购代理机构可以顺延提供期限，并予公告。</w:t>
      </w:r>
    </w:p>
    <w:p w14:paraId="3485B180">
      <w:pPr>
        <w:widowControl/>
        <w:snapToGrid w:val="0"/>
        <w:spacing w:line="360" w:lineRule="auto"/>
        <w:ind w:right="55"/>
        <w:jc w:val="left"/>
        <w:rPr>
          <w:rFonts w:ascii="Times New Roman" w:hAnsi="Times New Roman" w:eastAsia="宋体" w:cs="Times New Roman"/>
          <w:szCs w:val="20"/>
        </w:rPr>
      </w:pPr>
      <w:r>
        <w:rPr>
          <w:rFonts w:hint="eastAsia" w:ascii="Times New Roman" w:hAnsi="Times New Roman" w:eastAsia="宋体" w:cs="Times New Roman"/>
          <w:b/>
          <w:spacing w:val="-4"/>
          <w:kern w:val="0"/>
          <w:szCs w:val="21"/>
        </w:rPr>
        <w:t>（九）被拒绝的投标文件为无效。</w:t>
      </w:r>
    </w:p>
    <w:p w14:paraId="5B505E80">
      <w:pPr>
        <w:widowControl/>
        <w:snapToGrid w:val="0"/>
        <w:spacing w:line="360" w:lineRule="auto"/>
        <w:ind w:right="55" w:firstLine="3591" w:firstLineChars="1315"/>
        <w:rPr>
          <w:rFonts w:ascii="Times New Roman" w:hAnsi="Times New Roman" w:eastAsia="宋体" w:cs="Times New Roman"/>
          <w:b/>
          <w:spacing w:val="-4"/>
          <w:kern w:val="0"/>
          <w:sz w:val="28"/>
          <w:szCs w:val="28"/>
        </w:rPr>
      </w:pPr>
      <w:r>
        <w:rPr>
          <w:rFonts w:hint="eastAsia" w:ascii="Times New Roman" w:hAnsi="Times New Roman" w:eastAsia="宋体" w:cs="Times New Roman"/>
          <w:b/>
          <w:spacing w:val="-4"/>
          <w:kern w:val="0"/>
          <w:sz w:val="28"/>
          <w:szCs w:val="28"/>
        </w:rPr>
        <w:t>四、开标</w:t>
      </w:r>
    </w:p>
    <w:p w14:paraId="65F5EFAC">
      <w:pPr>
        <w:spacing w:after="120" w:line="360" w:lineRule="auto"/>
        <w:ind w:firstLine="422" w:firstLineChars="200"/>
        <w:jc w:val="left"/>
        <w:rPr>
          <w:rFonts w:ascii="Times New Roman" w:hAnsi="Times New Roman" w:eastAsia="宋体" w:cs="Times New Roman"/>
          <w:b/>
          <w:szCs w:val="21"/>
        </w:rPr>
      </w:pPr>
      <w:r>
        <w:rPr>
          <w:rFonts w:hint="eastAsia" w:ascii="Times New Roman" w:hAnsi="Times New Roman" w:eastAsia="宋体" w:cs="Times New Roman"/>
          <w:b/>
          <w:szCs w:val="21"/>
        </w:rPr>
        <w:t>电子招投标开标及评审程序</w:t>
      </w:r>
    </w:p>
    <w:p w14:paraId="45B84DF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采购组织机构按照规定的时间通过政采云系统组织开标、开启响应文件，所有投标人均应当准时在线参加。</w:t>
      </w:r>
    </w:p>
    <w:p w14:paraId="1DA41B2D">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投标截止时间后，投标人登录政采云平台，用</w:t>
      </w:r>
      <w:r>
        <w:rPr>
          <w:rFonts w:ascii="Times New Roman" w:hAnsi="Times New Roman" w:eastAsia="宋体" w:cs="Times New Roman"/>
          <w:szCs w:val="21"/>
        </w:rPr>
        <w:t>“</w:t>
      </w:r>
      <w:r>
        <w:rPr>
          <w:rFonts w:hint="eastAsia" w:ascii="Times New Roman" w:hAnsi="Times New Roman" w:eastAsia="宋体" w:cs="Times New Roman"/>
          <w:szCs w:val="21"/>
        </w:rPr>
        <w:t>项目采购</w:t>
      </w:r>
      <w:r>
        <w:rPr>
          <w:rFonts w:ascii="Times New Roman" w:hAnsi="Times New Roman" w:eastAsia="宋体" w:cs="Times New Roman"/>
          <w:szCs w:val="21"/>
        </w:rPr>
        <w:t>-</w:t>
      </w:r>
      <w:r>
        <w:rPr>
          <w:rFonts w:hint="eastAsia" w:ascii="Times New Roman" w:hAnsi="Times New Roman" w:eastAsia="宋体" w:cs="Times New Roman"/>
          <w:szCs w:val="21"/>
        </w:rPr>
        <w:t>开标评标</w:t>
      </w:r>
      <w:r>
        <w:rPr>
          <w:rFonts w:ascii="Times New Roman" w:hAnsi="Times New Roman" w:eastAsia="宋体" w:cs="Times New Roman"/>
          <w:szCs w:val="21"/>
        </w:rPr>
        <w:t>”</w:t>
      </w:r>
      <w:r>
        <w:rPr>
          <w:rFonts w:hint="eastAsia" w:ascii="Times New Roman" w:hAnsi="Times New Roman" w:eastAsia="宋体" w:cs="Times New Roman"/>
          <w:szCs w:val="21"/>
        </w:rPr>
        <w:t>功能对电子投标文件进行</w:t>
      </w:r>
      <w:r>
        <w:rPr>
          <w:rFonts w:hint="eastAsia" w:ascii="Times New Roman" w:hAnsi="Times New Roman" w:eastAsia="宋体" w:cs="Times New Roman"/>
          <w:b/>
          <w:bCs/>
          <w:szCs w:val="21"/>
        </w:rPr>
        <w:t>在线解密。</w:t>
      </w:r>
      <w:r>
        <w:rPr>
          <w:rFonts w:hint="eastAsia" w:ascii="Times New Roman" w:hAnsi="Times New Roman" w:eastAsia="宋体" w:cs="Times New Roman"/>
          <w:szCs w:val="21"/>
        </w:rPr>
        <w:t>在线解密电子投标文件时间</w:t>
      </w:r>
      <w:r>
        <w:rPr>
          <w:rFonts w:hint="eastAsia" w:ascii="Times New Roman" w:hAnsi="Times New Roman" w:eastAsia="宋体" w:cs="Times New Roman"/>
          <w:b/>
          <w:bCs/>
          <w:szCs w:val="21"/>
        </w:rPr>
        <w:t>为开标时间起半个小时内；</w:t>
      </w:r>
    </w:p>
    <w:p w14:paraId="2E2641D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采购人或代理机构对资格文件进行评审，评标委员会对商务技术响应文件进行评审。</w:t>
      </w:r>
    </w:p>
    <w:p w14:paraId="4C5B22F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在系统上公开资格和商务技术评审结果；</w:t>
      </w:r>
    </w:p>
    <w:p w14:paraId="09CAD2EA">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在系统上公开报价开标情况；</w:t>
      </w:r>
    </w:p>
    <w:p w14:paraId="607C7FA8">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评标委员会对报价情况进行评审；</w:t>
      </w:r>
    </w:p>
    <w:p w14:paraId="7998EDBF">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在系统上公布评审结果。</w:t>
      </w:r>
    </w:p>
    <w:p w14:paraId="4BFE4FF1">
      <w:pPr>
        <w:adjustRightInd w:val="0"/>
        <w:snapToGrid w:val="0"/>
        <w:spacing w:line="360" w:lineRule="auto"/>
        <w:ind w:firstLine="420" w:firstLineChars="200"/>
        <w:jc w:val="left"/>
        <w:rPr>
          <w:rFonts w:ascii="Times New Roman" w:hAnsi="Times New Roman" w:eastAsia="宋体" w:cs="Times New Roman"/>
          <w:szCs w:val="20"/>
        </w:rPr>
      </w:pPr>
      <w:r>
        <w:rPr>
          <w:rFonts w:hint="eastAsia" w:ascii="Times New Roman" w:hAnsi="Times New Roman" w:eastAsia="宋体" w:cs="Times New Roman"/>
          <w:szCs w:val="21"/>
        </w:rPr>
        <w:t>特别说明：政采云公司如对电子化开标及评审程序有调整的，按调整后的程序操作。</w:t>
      </w:r>
    </w:p>
    <w:p w14:paraId="24270719">
      <w:pPr>
        <w:snapToGrid w:val="0"/>
        <w:spacing w:before="120" w:line="360" w:lineRule="auto"/>
        <w:ind w:right="-87" w:firstLine="3654" w:firstLineChars="1300"/>
        <w:outlineLvl w:val="1"/>
        <w:rPr>
          <w:rFonts w:ascii="Times New Roman" w:hAnsi="Times New Roman" w:eastAsia="宋体" w:cs="Times New Roman"/>
          <w:b/>
          <w:sz w:val="28"/>
        </w:rPr>
      </w:pPr>
      <w:r>
        <w:rPr>
          <w:rFonts w:hint="eastAsia" w:ascii="Times New Roman" w:hAnsi="Times New Roman" w:eastAsia="宋体" w:cs="Times New Roman"/>
          <w:b/>
          <w:sz w:val="28"/>
        </w:rPr>
        <w:t>五、评标</w:t>
      </w:r>
    </w:p>
    <w:p w14:paraId="73F9867C">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（一）组建评标委员会</w:t>
      </w:r>
    </w:p>
    <w:p w14:paraId="2FC0CB01">
      <w:pPr>
        <w:snapToGrid w:val="0"/>
        <w:spacing w:before="120" w:line="360" w:lineRule="auto"/>
        <w:ind w:right="-87" w:firstLine="420" w:firstLineChars="200"/>
        <w:rPr>
          <w:rFonts w:ascii="Times New Roman" w:hAnsi="Times New Roman" w:eastAsia="宋体" w:cs="Times New Roman"/>
        </w:rPr>
      </w:pPr>
      <w:r>
        <w:rPr>
          <w:rFonts w:hint="eastAsia" w:ascii="Times New Roman" w:hAnsi="Times New Roman" w:eastAsia="宋体" w:cs="Times New Roman"/>
        </w:rPr>
        <w:t>评标委员会由采购人代表和评审专家组成，成员人数为5人（含）以上单数，其中评审专家不得少于成员总数的三分之二。</w:t>
      </w:r>
    </w:p>
    <w:p w14:paraId="7B03AB9F">
      <w:pPr>
        <w:snapToGrid w:val="0"/>
        <w:spacing w:before="120" w:line="360" w:lineRule="auto"/>
        <w:ind w:right="-87"/>
        <w:rPr>
          <w:rFonts w:ascii="Times New Roman" w:hAnsi="Times New Roman" w:eastAsia="宋体" w:cs="Times New Roman"/>
          <w:b/>
        </w:rPr>
      </w:pPr>
      <w:r>
        <w:rPr>
          <w:rFonts w:hint="eastAsia" w:ascii="Times New Roman" w:hAnsi="Times New Roman" w:eastAsia="宋体" w:cs="Times New Roman"/>
          <w:b/>
        </w:rPr>
        <w:t>（二）评标程序</w:t>
      </w:r>
    </w:p>
    <w:p w14:paraId="163BD84C">
      <w:pPr>
        <w:snapToGrid w:val="0"/>
        <w:spacing w:line="360" w:lineRule="auto"/>
        <w:ind w:right="-87"/>
        <w:rPr>
          <w:rFonts w:ascii="Times New Roman" w:hAnsi="Times New Roman" w:eastAsia="宋体" w:cs="Times New Roman"/>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投标文件初审</w:t>
      </w:r>
    </w:p>
    <w:p w14:paraId="43431F8C">
      <w:pPr>
        <w:snapToGrid w:val="0"/>
        <w:spacing w:line="360" w:lineRule="auto"/>
        <w:ind w:right="-87" w:firstLine="420" w:firstLineChars="200"/>
        <w:rPr>
          <w:rFonts w:ascii="Times New Roman" w:hAnsi="Times New Roman" w:eastAsia="宋体" w:cs="Times New Roman"/>
          <w:b/>
          <w:szCs w:val="21"/>
        </w:rPr>
      </w:pPr>
      <w:r>
        <w:rPr>
          <w:rFonts w:hint="eastAsia" w:ascii="Times New Roman" w:hAnsi="Times New Roman" w:eastAsia="宋体" w:cs="Times New Roman"/>
          <w:szCs w:val="21"/>
        </w:rPr>
        <w:t>初审分为资格性检查和符合性检查。</w:t>
      </w:r>
    </w:p>
    <w:p w14:paraId="5824AF8C">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资格性检查。依据法律法规和采购文件的规定，对投标文件中的资格证明等进行审查，以确定投标人是否具备投标资格。</w:t>
      </w:r>
    </w:p>
    <w:p w14:paraId="317D34B2">
      <w:pPr>
        <w:adjustRightInd w:val="0"/>
        <w:snapToGrid w:val="0"/>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符合性检查。依据采购文件的规定，从投标文件的有效性、完整性和对采购文件的响应程度进行审查，以确定是否对采购文件的实质性要求作出响应。</w:t>
      </w:r>
    </w:p>
    <w:p w14:paraId="17175602">
      <w:pPr>
        <w:snapToGrid w:val="0"/>
        <w:spacing w:line="360" w:lineRule="auto"/>
        <w:ind w:right="-87"/>
        <w:rPr>
          <w:rFonts w:ascii="Times New Roman" w:hAnsi="Times New Roman" w:eastAsia="宋体" w:cs="Times New Roman"/>
          <w:b/>
          <w:sz w:val="24"/>
        </w:rPr>
      </w:pPr>
      <w:r>
        <w:rPr>
          <w:rFonts w:ascii="Times New Roman" w:hAnsi="Times New Roman" w:eastAsia="宋体" w:cs="Times New Roman"/>
          <w:b/>
          <w:sz w:val="24"/>
        </w:rPr>
        <w:t>2.</w:t>
      </w:r>
      <w:r>
        <w:rPr>
          <w:rFonts w:hint="eastAsia" w:ascii="Times New Roman" w:hAnsi="Times New Roman" w:eastAsia="宋体" w:cs="Times New Roman"/>
          <w:b/>
          <w:szCs w:val="21"/>
        </w:rPr>
        <w:t>实质审查</w:t>
      </w:r>
    </w:p>
    <w:p w14:paraId="0CEECB36">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）评标委员会审查投标文件的实质性内容是否符合采购文件的实质性要求。</w:t>
      </w:r>
    </w:p>
    <w:p w14:paraId="09910EB1">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9187821">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）评审小组商务、技术方案响应性评定；</w:t>
      </w:r>
    </w:p>
    <w:p w14:paraId="1414EEA2">
      <w:pPr>
        <w:spacing w:line="360" w:lineRule="auto"/>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）各投标人的技术得分为所有评委的有效评分的算术平均数，由指定专人进行计算复核。</w:t>
      </w:r>
    </w:p>
    <w:p w14:paraId="1A81EF9E">
      <w:pPr>
        <w:spacing w:line="360" w:lineRule="auto"/>
        <w:ind w:firstLine="420" w:firstLineChars="200"/>
        <w:rPr>
          <w:rFonts w:ascii="Times New Roman" w:hAnsi="Times New Roman" w:eastAsia="宋体" w:cs="Times New Roman"/>
          <w:b/>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）评标委员会完成评标后，评委对各部分得分汇总，计算出本项目综合评估分。评标委员会按评标原则通过电子系统向采购人及采购代理机构提交评审报告。</w:t>
      </w:r>
    </w:p>
    <w:p w14:paraId="421B49F4">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（三）澄清问题的形式</w:t>
      </w:r>
    </w:p>
    <w:p w14:paraId="1CED5463">
      <w:pPr>
        <w:snapToGrid w:val="0"/>
        <w:spacing w:line="360" w:lineRule="auto"/>
        <w:ind w:left="228" w:right="-87" w:firstLine="420" w:firstLineChars="200"/>
        <w:rPr>
          <w:rFonts w:ascii="Times New Roman" w:hAnsi="Times New Roman" w:eastAsia="宋体" w:cs="Times New Roman"/>
        </w:rPr>
      </w:pPr>
      <w:r>
        <w:rPr>
          <w:rFonts w:hint="eastAsia" w:ascii="Times New Roman" w:hAnsi="Times New Roman" w:eastAsia="宋体" w:cs="Times New Roman"/>
        </w:rPr>
        <w:t>对投标文件中含义不明确、同类问题表述不一致或者有明显文字和计算错误的内容，评标委员会可要求投标人作出必要的澄清、说明或者纠正。投标人与评审小组</w:t>
      </w:r>
      <w:r>
        <w:rPr>
          <w:rFonts w:hint="eastAsia" w:ascii="Times New Roman" w:hAnsi="Times New Roman" w:eastAsia="宋体" w:cs="Times New Roman"/>
          <w:szCs w:val="21"/>
        </w:rPr>
        <w:t>通过电子交易平台交换数据电文的形式进行</w:t>
      </w:r>
      <w:r>
        <w:rPr>
          <w:rFonts w:hint="eastAsia" w:ascii="Times New Roman" w:hAnsi="Times New Roman" w:eastAsia="宋体" w:cs="Times New Roman"/>
        </w:rPr>
        <w:t>，给予投标人提交澄清说明或补正的时间不少于半个小时，投标人已经明确表示澄清说明或补正完毕的除外。不得超出投标文件的范围或者改变投标文件的实质性内容。</w:t>
      </w:r>
    </w:p>
    <w:p w14:paraId="2D639832">
      <w:pPr>
        <w:keepNext w:val="0"/>
        <w:keepLines w:val="0"/>
        <w:pageBreakBefore w:val="0"/>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szCs w:val="21"/>
        </w:rPr>
      </w:pPr>
      <w:r>
        <w:rPr>
          <w:rFonts w:hint="eastAsia" w:ascii="Times New Roman" w:hAnsi="Times New Roman" w:eastAsia="宋体" w:cs="Times New Roman"/>
          <w:b/>
          <w:szCs w:val="21"/>
        </w:rPr>
        <w:t>（四）错误修正</w:t>
      </w:r>
    </w:p>
    <w:p w14:paraId="38D59F1B">
      <w:pPr>
        <w:keepNext w:val="0"/>
        <w:keepLines w:val="0"/>
        <w:pageBreakBefore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投标文件如果出现计算或表达上的错误，修正错误的原则如下：</w:t>
      </w:r>
    </w:p>
    <w:p w14:paraId="6F7A8509">
      <w:pPr>
        <w:keepNext w:val="0"/>
        <w:keepLines w:val="0"/>
        <w:pageBreakBefore w:val="0"/>
        <w:kinsoku/>
        <w:wordWrap/>
        <w:overflowPunct/>
        <w:topLinePunct w:val="0"/>
        <w:autoSpaceDE/>
        <w:autoSpaceDN/>
        <w:bidi w:val="0"/>
        <w:adjustRightInd/>
        <w:snapToGrid w:val="0"/>
        <w:spacing w:line="360" w:lineRule="auto"/>
        <w:ind w:right="0" w:firstLine="415" w:firstLineChars="198"/>
        <w:textAlignment w:val="auto"/>
        <w:rPr>
          <w:rFonts w:ascii="Times New Roman" w:hAnsi="Times New Roman" w:eastAsia="宋体" w:cs="Times New Roman"/>
          <w:szCs w:val="21"/>
        </w:rPr>
      </w:pPr>
      <w:r>
        <w:rPr>
          <w:rFonts w:hint="eastAsia" w:ascii="Times New Roman" w:hAnsi="Times New Roman" w:eastAsia="宋体" w:cs="Times New Roman"/>
          <w:szCs w:val="21"/>
        </w:rPr>
        <w:t>1.投标文件中开标一览表（报价表）内容与投标文件中相应内容不一致的，以开标一览表（报价表）为准；</w:t>
      </w:r>
    </w:p>
    <w:p w14:paraId="4A8E14A0">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2.大写金额和小写金额不一致的，以大写金额为准；</w:t>
      </w:r>
    </w:p>
    <w:p w14:paraId="71123F57">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3.单价金额小数点或者百分比有明显错位的，以开标一览表的总价为准，并修改单价；</w:t>
      </w:r>
    </w:p>
    <w:p w14:paraId="79AF2DEF">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4.总价金额与按单价汇总金额不一致的，以单价金额计算结果为准。</w:t>
      </w:r>
    </w:p>
    <w:p w14:paraId="4A1888E2">
      <w:pPr>
        <w:keepNext w:val="0"/>
        <w:keepLines w:val="0"/>
        <w:pageBreakBefore w:val="0"/>
        <w:kinsoku/>
        <w:wordWrap/>
        <w:overflowPunct/>
        <w:topLinePunct w:val="0"/>
        <w:autoSpaceDE/>
        <w:autoSpaceDN/>
        <w:bidi w:val="0"/>
        <w:adjustRightInd/>
        <w:snapToGrid w:val="0"/>
        <w:spacing w:line="360" w:lineRule="auto"/>
        <w:ind w:right="0" w:firstLine="417" w:firstLineChars="198"/>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同时出现两种以上不一致的，按照前款规定的顺序修正。</w:t>
      </w:r>
    </w:p>
    <w:p w14:paraId="3249A8DA">
      <w:pPr>
        <w:keepNext w:val="0"/>
        <w:keepLines w:val="0"/>
        <w:pageBreakBefore w:val="0"/>
        <w:kinsoku/>
        <w:wordWrap/>
        <w:overflowPunct/>
        <w:topLinePunct w:val="0"/>
        <w:autoSpaceDE/>
        <w:autoSpaceDN/>
        <w:bidi w:val="0"/>
        <w:adjustRightInd/>
        <w:snapToGrid w:val="0"/>
        <w:spacing w:line="360" w:lineRule="auto"/>
        <w:ind w:right="0" w:firstLine="417" w:firstLineChars="198"/>
        <w:textAlignment w:val="auto"/>
        <w:rPr>
          <w:rFonts w:ascii="Times New Roman" w:hAnsi="Times New Roman" w:eastAsia="宋体" w:cs="Times New Roman"/>
          <w:szCs w:val="21"/>
        </w:rPr>
      </w:pPr>
      <w:r>
        <w:rPr>
          <w:rFonts w:ascii="Times New Roman" w:hAnsi="Times New Roman" w:eastAsia="宋体" w:cs="Times New Roman"/>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387AB942">
      <w:pPr>
        <w:keepNext w:val="0"/>
        <w:keepLines w:val="0"/>
        <w:pageBreakBefore w:val="0"/>
        <w:kinsoku/>
        <w:wordWrap/>
        <w:overflowPunct/>
        <w:topLinePunct w:val="0"/>
        <w:autoSpaceDE/>
        <w:autoSpaceDN/>
        <w:bidi w:val="0"/>
        <w:adjustRightInd/>
        <w:snapToGrid w:val="0"/>
        <w:spacing w:line="360" w:lineRule="auto"/>
        <w:ind w:right="0"/>
        <w:jc w:val="left"/>
        <w:textAlignment w:val="auto"/>
        <w:rPr>
          <w:rFonts w:hint="eastAsia" w:ascii="Times New Roman" w:hAnsi="Times New Roman" w:eastAsia="宋体" w:cs="Times New Roman"/>
          <w:b/>
          <w:szCs w:val="21"/>
          <w:lang w:eastAsia="zh-CN"/>
        </w:rPr>
      </w:pPr>
      <w:r>
        <w:rPr>
          <w:rFonts w:hint="eastAsia" w:ascii="Times New Roman" w:hAnsi="Times New Roman" w:eastAsia="宋体" w:cs="Times New Roman"/>
          <w:b/>
          <w:szCs w:val="21"/>
        </w:rPr>
        <w:t>（五）评标原则和</w:t>
      </w:r>
      <w:r>
        <w:rPr>
          <w:rFonts w:hint="eastAsia" w:ascii="Times New Roman" w:hAnsi="Times New Roman" w:eastAsia="宋体" w:cs="Times New Roman"/>
          <w:b/>
          <w:szCs w:val="21"/>
          <w:lang w:eastAsia="zh-CN"/>
        </w:rPr>
        <w:t>评标方法</w:t>
      </w:r>
    </w:p>
    <w:p w14:paraId="6725E6DD">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评标委员会必须公平、公正、客观，不带任何倾向性和启发性；不得向外界透露任何与评标有关的内容；任何单位和个人不得干扰、影响评标的正常进行；评标委员会及有关工作人员不得私下与投标人接触。</w:t>
      </w:r>
    </w:p>
    <w:p w14:paraId="5BAB7975">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sz w:val="24"/>
        </w:rPr>
      </w:pPr>
      <w:r>
        <w:rPr>
          <w:rFonts w:ascii="Times New Roman" w:hAnsi="Times New Roman" w:eastAsia="宋体" w:cs="Times New Roman"/>
          <w:szCs w:val="21"/>
        </w:rPr>
        <w:t>2.</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。本项目</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是</w:t>
      </w:r>
      <w:r>
        <w:rPr>
          <w:rFonts w:hint="eastAsia" w:ascii="Times New Roman" w:hAnsi="Times New Roman" w:eastAsia="宋体" w:cs="Times New Roman"/>
          <w:szCs w:val="21"/>
          <w:u w:val="single"/>
        </w:rPr>
        <w:t>综合评分法</w:t>
      </w:r>
      <w:r>
        <w:rPr>
          <w:rFonts w:hint="eastAsia" w:ascii="Times New Roman" w:hAnsi="Times New Roman" w:eastAsia="宋体" w:cs="Times New Roman"/>
          <w:szCs w:val="21"/>
        </w:rPr>
        <w:t>，具体评标内容及评分标准等详见《第四章：</w:t>
      </w:r>
      <w:r>
        <w:rPr>
          <w:rFonts w:hint="eastAsia" w:ascii="Times New Roman" w:hAnsi="Times New Roman" w:eastAsia="宋体" w:cs="Times New Roman"/>
          <w:szCs w:val="21"/>
          <w:lang w:eastAsia="zh-CN"/>
        </w:rPr>
        <w:t>评标方法</w:t>
      </w:r>
      <w:r>
        <w:rPr>
          <w:rFonts w:hint="eastAsia" w:ascii="Times New Roman" w:hAnsi="Times New Roman" w:eastAsia="宋体" w:cs="Times New Roman"/>
          <w:szCs w:val="21"/>
        </w:rPr>
        <w:t>及评分标准》。</w:t>
      </w:r>
    </w:p>
    <w:p w14:paraId="3BB579A3">
      <w:pPr>
        <w:keepNext w:val="0"/>
        <w:keepLines w:val="0"/>
        <w:pageBreakBefore w:val="0"/>
        <w:widowControl/>
        <w:kinsoku/>
        <w:wordWrap/>
        <w:overflowPunct/>
        <w:topLinePunct w:val="0"/>
        <w:autoSpaceDE/>
        <w:autoSpaceDN/>
        <w:bidi w:val="0"/>
        <w:adjustRightInd/>
        <w:snapToGrid w:val="0"/>
        <w:spacing w:line="360" w:lineRule="auto"/>
        <w:ind w:right="0"/>
        <w:textAlignment w:val="auto"/>
        <w:rPr>
          <w:rFonts w:ascii="Times New Roman" w:hAnsi="Times New Roman" w:eastAsia="宋体" w:cs="Times New Roman"/>
          <w:b/>
          <w:szCs w:val="21"/>
        </w:rPr>
      </w:pPr>
      <w:r>
        <w:rPr>
          <w:rFonts w:hint="eastAsia" w:ascii="Times New Roman" w:hAnsi="Times New Roman" w:eastAsia="宋体" w:cs="Times New Roman"/>
          <w:b/>
          <w:szCs w:val="21"/>
        </w:rPr>
        <w:t>（六）评标过程的监控</w:t>
      </w:r>
    </w:p>
    <w:p w14:paraId="6D9ED6B3">
      <w:pPr>
        <w:keepNext w:val="0"/>
        <w:keepLines w:val="0"/>
        <w:pageBreakBefore w:val="0"/>
        <w:kinsoku/>
        <w:wordWrap/>
        <w:overflowPunct/>
        <w:topLinePunct w:val="0"/>
        <w:autoSpaceDE/>
        <w:autoSpaceDN/>
        <w:bidi w:val="0"/>
        <w:adjustRightInd/>
        <w:snapToGrid w:val="0"/>
        <w:spacing w:line="360" w:lineRule="auto"/>
        <w:ind w:right="0" w:firstLine="420" w:firstLineChars="200"/>
        <w:textAlignment w:val="auto"/>
        <w:rPr>
          <w:rFonts w:ascii="Times New Roman" w:hAnsi="Times New Roman" w:eastAsia="宋体" w:cs="Times New Roman"/>
          <w:b/>
          <w:sz w:val="28"/>
          <w:szCs w:val="24"/>
        </w:rPr>
      </w:pPr>
      <w:r>
        <w:rPr>
          <w:rFonts w:hint="eastAsia" w:ascii="Times New Roman" w:hAnsi="Times New Roman" w:eastAsia="宋体" w:cs="Times New Roman"/>
          <w:szCs w:val="24"/>
        </w:rPr>
        <w:t>本项目评标过程实行全程录音、录像监控。</w:t>
      </w:r>
    </w:p>
    <w:p w14:paraId="268392F7">
      <w:pPr>
        <w:snapToGrid w:val="0"/>
        <w:spacing w:before="120" w:line="360" w:lineRule="auto"/>
        <w:ind w:right="-87"/>
        <w:jc w:val="center"/>
        <w:outlineLvl w:val="1"/>
        <w:rPr>
          <w:rFonts w:ascii="Times New Roman" w:hAnsi="Times New Roman" w:eastAsia="宋体" w:cs="Times New Roman"/>
          <w:b/>
          <w:sz w:val="28"/>
        </w:rPr>
      </w:pPr>
      <w:r>
        <w:rPr>
          <w:rFonts w:hint="eastAsia" w:ascii="Times New Roman" w:hAnsi="Times New Roman" w:eastAsia="宋体" w:cs="Times New Roman"/>
          <w:b/>
          <w:sz w:val="28"/>
        </w:rPr>
        <w:t>六、定标</w:t>
      </w:r>
    </w:p>
    <w:p w14:paraId="0B3FE5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b/>
          <w:szCs w:val="21"/>
        </w:rPr>
      </w:pPr>
      <w:r>
        <w:rPr>
          <w:rFonts w:hint="eastAsia" w:ascii="Times New Roman" w:hAnsi="Times New Roman" w:eastAsia="宋体" w:cs="Times New Roman"/>
          <w:b/>
          <w:szCs w:val="21"/>
        </w:rPr>
        <w:t>（一）确定中标人。</w:t>
      </w:r>
    </w:p>
    <w:p w14:paraId="3731EC34">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b/>
          <w:szCs w:val="21"/>
        </w:rPr>
      </w:pPr>
      <w:r>
        <w:rPr>
          <w:rFonts w:hint="eastAsia" w:ascii="Times New Roman" w:hAnsi="Times New Roman" w:eastAsia="宋体" w:cs="Times New Roman"/>
          <w:szCs w:val="21"/>
        </w:rPr>
        <w:t>本项目由采购人事先授权评审小组确定候选中标人</w:t>
      </w:r>
      <w:r>
        <w:rPr>
          <w:rFonts w:ascii="Times New Roman" w:hAnsi="Times New Roman" w:eastAsia="宋体" w:cs="Times New Roman"/>
          <w:szCs w:val="21"/>
        </w:rPr>
        <w:t>1</w:t>
      </w:r>
      <w:r>
        <w:rPr>
          <w:rFonts w:hint="eastAsia" w:ascii="Times New Roman" w:hAnsi="Times New Roman" w:eastAsia="宋体" w:cs="Times New Roman"/>
          <w:szCs w:val="21"/>
        </w:rPr>
        <w:t>名。经采购人确认后，确定项目中标人，同时发布采购结果公告</w:t>
      </w:r>
      <w:r>
        <w:rPr>
          <w:rFonts w:hint="eastAsia" w:ascii="Times New Roman" w:hAnsi="Times New Roman" w:eastAsia="宋体" w:cs="Times New Roman"/>
          <w:b/>
          <w:szCs w:val="21"/>
        </w:rPr>
        <w:t>（中标人通过政采云系统领取中标通知书）。</w:t>
      </w:r>
    </w:p>
    <w:p w14:paraId="3550E39F">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采购代理机构在评标结束后在</w:t>
      </w:r>
      <w:r>
        <w:rPr>
          <w:rFonts w:ascii="Times New Roman" w:hAnsi="Times New Roman" w:eastAsia="宋体" w:cs="Times New Roman"/>
          <w:szCs w:val="21"/>
        </w:rPr>
        <w:t>2</w:t>
      </w:r>
      <w:r>
        <w:rPr>
          <w:rFonts w:hint="eastAsia" w:ascii="Times New Roman" w:hAnsi="Times New Roman" w:eastAsia="宋体" w:cs="Times New Roman"/>
          <w:szCs w:val="21"/>
        </w:rPr>
        <w:t>个工作日内将评审报告交采购人确认。</w:t>
      </w:r>
    </w:p>
    <w:p w14:paraId="1779A14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投标人对评审结果无异议的，采购人应在收到评审报告后</w:t>
      </w:r>
      <w:r>
        <w:rPr>
          <w:rFonts w:ascii="Times New Roman" w:hAnsi="Times New Roman" w:eastAsia="宋体" w:cs="Times New Roman"/>
          <w:szCs w:val="21"/>
        </w:rPr>
        <w:t>5</w:t>
      </w:r>
      <w:r>
        <w:rPr>
          <w:rFonts w:hint="eastAsia" w:ascii="Times New Roman" w:hAnsi="Times New Roman" w:eastAsia="宋体" w:cs="Times New Roman"/>
          <w:szCs w:val="21"/>
        </w:rPr>
        <w:t>个工作日内对评审结果进行确认。如有投标人对评审结果提出质疑的，采购人可在质疑处理完毕后确定中标人。</w:t>
      </w:r>
    </w:p>
    <w:p w14:paraId="79FEE1AC">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采购人依法确定中标人后</w:t>
      </w:r>
      <w:r>
        <w:rPr>
          <w:rFonts w:ascii="Times New Roman" w:hAnsi="Times New Roman" w:eastAsia="宋体" w:cs="Times New Roman"/>
          <w:szCs w:val="21"/>
        </w:rPr>
        <w:t>2</w:t>
      </w:r>
      <w:r>
        <w:rPr>
          <w:rFonts w:hint="eastAsia" w:ascii="Times New Roman" w:hAnsi="Times New Roman" w:eastAsia="宋体" w:cs="Times New Roman"/>
          <w:szCs w:val="21"/>
        </w:rPr>
        <w:t>个工作日内，采购代理机构发出《中标通知书》</w:t>
      </w:r>
      <w:r>
        <w:rPr>
          <w:rFonts w:ascii="Times New Roman" w:hAnsi="Times New Roman" w:eastAsia="宋体" w:cs="Times New Roman"/>
          <w:szCs w:val="21"/>
        </w:rPr>
        <w:t>,</w:t>
      </w:r>
      <w:r>
        <w:rPr>
          <w:rFonts w:hint="eastAsia" w:ascii="Times New Roman" w:hAnsi="Times New Roman" w:eastAsia="宋体" w:cs="Times New Roman"/>
          <w:szCs w:val="21"/>
        </w:rPr>
        <w:t>并同时在相关网站上发布中标公告。</w:t>
      </w:r>
    </w:p>
    <w:p w14:paraId="67E3097D">
      <w:pPr>
        <w:ind w:firstLine="420" w:firstLineChars="200"/>
        <w:rPr>
          <w:rFonts w:ascii="Times New Roman" w:hAnsi="Times New Roman" w:eastAsia="宋体" w:cs="Times New Roman"/>
          <w:szCs w:val="20"/>
        </w:rPr>
      </w:pPr>
    </w:p>
    <w:p w14:paraId="3473E29B">
      <w:pPr>
        <w:snapToGrid w:val="0"/>
        <w:spacing w:before="120" w:line="240" w:lineRule="auto"/>
        <w:ind w:right="-87" w:firstLine="3345" w:firstLineChars="1190"/>
        <w:outlineLvl w:val="1"/>
        <w:rPr>
          <w:rFonts w:ascii="Times New Roman" w:hAnsi="Times New Roman" w:eastAsia="宋体" w:cs="Times New Roman"/>
          <w:b/>
          <w:sz w:val="28"/>
        </w:rPr>
      </w:pPr>
      <w:r>
        <w:rPr>
          <w:rFonts w:hint="eastAsia" w:ascii="Times New Roman" w:hAnsi="Times New Roman" w:eastAsia="宋体" w:cs="Times New Roman"/>
          <w:b/>
          <w:sz w:val="28"/>
        </w:rPr>
        <w:t>七、合同授予</w:t>
      </w:r>
    </w:p>
    <w:p w14:paraId="68250A1B">
      <w:pPr>
        <w:widowControl/>
        <w:numPr>
          <w:ilvl w:val="0"/>
          <w:numId w:val="10"/>
        </w:numPr>
        <w:overflowPunct w:val="0"/>
        <w:autoSpaceDE w:val="0"/>
        <w:autoSpaceDN w:val="0"/>
        <w:adjustRightInd w:val="0"/>
        <w:snapToGrid w:val="0"/>
        <w:spacing w:line="240" w:lineRule="auto"/>
        <w:ind w:right="-87"/>
        <w:jc w:val="left"/>
        <w:textAlignment w:val="baseline"/>
        <w:rPr>
          <w:rFonts w:ascii="Times New Roman" w:hAnsi="Times New Roman" w:eastAsia="宋体" w:cs="Times New Roman"/>
          <w:b/>
          <w:sz w:val="24"/>
        </w:rPr>
      </w:pPr>
      <w:r>
        <w:rPr>
          <w:rFonts w:hint="eastAsia" w:ascii="Times New Roman" w:hAnsi="Times New Roman" w:eastAsia="宋体" w:cs="Times New Roman"/>
          <w:b/>
          <w:sz w:val="24"/>
        </w:rPr>
        <w:t>签订合同</w:t>
      </w:r>
    </w:p>
    <w:p w14:paraId="47BF2C75">
      <w:pPr>
        <w:snapToGrid w:val="0"/>
        <w:spacing w:line="336" w:lineRule="auto"/>
        <w:ind w:right="-87" w:firstLine="424" w:firstLineChars="20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采购人与中标人应当在《中标通知书》发出之日起</w:t>
      </w:r>
      <w:r>
        <w:rPr>
          <w:rFonts w:ascii="Times New Roman" w:hAnsi="Times New Roman" w:eastAsia="宋体" w:cs="Times New Roman"/>
        </w:rPr>
        <w:t>30</w:t>
      </w:r>
      <w:r>
        <w:rPr>
          <w:rFonts w:hint="eastAsia" w:ascii="Times New Roman" w:hAnsi="Times New Roman" w:eastAsia="宋体" w:cs="Times New Roman"/>
        </w:rPr>
        <w:t>日内签订政府采购合同。同时，采购代理机构对合同内容进行审查，如发现与采购结果和投标承诺内容不一致的，应予以纠正。</w:t>
      </w:r>
    </w:p>
    <w:p w14:paraId="054CD902">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中标人拖延、拒签合同的，将上报监管部门并取消中标资格。</w:t>
      </w:r>
    </w:p>
    <w:p w14:paraId="28E3D5C6">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中标人和采购人签订合同，按合同规定的供货时间供货并安装调试完毕。</w:t>
      </w:r>
    </w:p>
    <w:p w14:paraId="24B46318">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2DB5492B">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（二）合同公告</w:t>
      </w:r>
    </w:p>
    <w:p w14:paraId="3745B515">
      <w:pPr>
        <w:keepNext w:val="0"/>
        <w:keepLines w:val="0"/>
        <w:pageBreakBefore w:val="0"/>
        <w:widowControl w:val="0"/>
        <w:kinsoku/>
        <w:wordWrap/>
        <w:overflowPunct/>
        <w:topLinePunct w:val="0"/>
        <w:autoSpaceDE/>
        <w:autoSpaceDN/>
        <w:bidi w:val="0"/>
        <w:adjustRightInd/>
        <w:snapToGrid w:val="0"/>
        <w:spacing w:line="336" w:lineRule="auto"/>
        <w:ind w:firstLine="415" w:firstLineChars="198"/>
        <w:textAlignment w:val="auto"/>
        <w:rPr>
          <w:rFonts w:ascii="Times New Roman" w:hAnsi="Times New Roman" w:eastAsia="黑体" w:cs="Times New Roman"/>
          <w:sz w:val="30"/>
        </w:rPr>
      </w:pPr>
      <w:r>
        <w:rPr>
          <w:rFonts w:hint="eastAsia" w:ascii="Times New Roman" w:hAnsi="Times New Roman" w:eastAsia="宋体" w:cs="Times New Roman"/>
          <w:szCs w:val="21"/>
        </w:rPr>
        <w:t>采购人应当自政府采购合同签订之日起</w:t>
      </w:r>
      <w:r>
        <w:rPr>
          <w:rFonts w:ascii="Times New Roman" w:hAnsi="Times New Roman" w:eastAsia="宋体" w:cs="Times New Roman"/>
          <w:szCs w:val="21"/>
        </w:rPr>
        <w:t>2</w:t>
      </w:r>
      <w:r>
        <w:rPr>
          <w:rFonts w:hint="eastAsia" w:ascii="Times New Roman" w:hAnsi="Times New Roman" w:eastAsia="宋体" w:cs="Times New Roman"/>
          <w:szCs w:val="21"/>
        </w:rPr>
        <w:t>个工作日内，将政府采购合同在省级以上人民政府财政部门指定的媒体上公告，但政府采购合同中涉及国家秘密、商业秘密的内容除外。</w:t>
      </w:r>
    </w:p>
    <w:p w14:paraId="6A7C421D">
      <w:pPr>
        <w:snapToGrid w:val="0"/>
        <w:spacing w:before="120" w:line="480" w:lineRule="auto"/>
        <w:ind w:right="-87"/>
        <w:jc w:val="both"/>
        <w:rPr>
          <w:rFonts w:hint="eastAsia" w:ascii="Times New Roman" w:hAnsi="Times New Roman" w:eastAsia="黑体" w:cs="Times New Roman"/>
          <w:sz w:val="30"/>
        </w:rPr>
      </w:pPr>
    </w:p>
    <w:p w14:paraId="69EBBB2C">
      <w:pPr>
        <w:snapToGrid w:val="0"/>
        <w:spacing w:before="120" w:line="480" w:lineRule="auto"/>
        <w:ind w:right="-87"/>
        <w:jc w:val="both"/>
        <w:rPr>
          <w:rFonts w:hint="eastAsia" w:ascii="Times New Roman" w:hAnsi="Times New Roman" w:eastAsia="黑体" w:cs="Times New Roman"/>
          <w:sz w:val="30"/>
        </w:rPr>
      </w:pPr>
    </w:p>
    <w:p w14:paraId="17281508">
      <w:pPr>
        <w:pStyle w:val="2"/>
        <w:rPr>
          <w:rFonts w:hint="eastAsia" w:ascii="Times New Roman" w:hAnsi="Times New Roman" w:eastAsia="黑体" w:cs="Times New Roman"/>
          <w:sz w:val="30"/>
        </w:rPr>
      </w:pPr>
    </w:p>
    <w:p w14:paraId="46663CF2">
      <w:pPr>
        <w:pStyle w:val="2"/>
        <w:rPr>
          <w:rFonts w:hint="eastAsia" w:ascii="Times New Roman" w:hAnsi="Times New Roman" w:eastAsia="黑体" w:cs="Times New Roman"/>
          <w:sz w:val="30"/>
        </w:rPr>
      </w:pPr>
    </w:p>
    <w:p w14:paraId="27275950">
      <w:pPr>
        <w:pStyle w:val="2"/>
        <w:rPr>
          <w:rFonts w:hint="eastAsia" w:ascii="Times New Roman" w:hAnsi="Times New Roman" w:eastAsia="黑体" w:cs="Times New Roman"/>
          <w:sz w:val="30"/>
        </w:rPr>
      </w:pPr>
    </w:p>
    <w:p w14:paraId="390C1873">
      <w:pPr>
        <w:pStyle w:val="2"/>
        <w:rPr>
          <w:rFonts w:hint="eastAsia" w:ascii="Times New Roman" w:hAnsi="Times New Roman" w:eastAsia="黑体" w:cs="Times New Roman"/>
          <w:sz w:val="30"/>
        </w:rPr>
      </w:pPr>
    </w:p>
    <w:p w14:paraId="1B3486B7">
      <w:pPr>
        <w:snapToGrid w:val="0"/>
        <w:spacing w:before="120" w:line="480" w:lineRule="auto"/>
        <w:ind w:right="-87"/>
        <w:jc w:val="center"/>
        <w:rPr>
          <w:rFonts w:hint="eastAsia" w:ascii="Times New Roman" w:hAnsi="Times New Roman" w:eastAsia="黑体" w:cs="Times New Roman"/>
          <w:sz w:val="30"/>
        </w:rPr>
      </w:pPr>
    </w:p>
    <w:p w14:paraId="46AC3E09">
      <w:pPr>
        <w:snapToGrid w:val="0"/>
        <w:spacing w:before="120" w:line="480" w:lineRule="auto"/>
        <w:ind w:right="-87"/>
        <w:jc w:val="both"/>
        <w:rPr>
          <w:rFonts w:hint="eastAsia" w:ascii="Times New Roman" w:hAnsi="Times New Roman" w:eastAsia="黑体" w:cs="Times New Roman"/>
          <w:sz w:val="30"/>
        </w:rPr>
      </w:pPr>
    </w:p>
    <w:p w14:paraId="793D1A25">
      <w:pPr>
        <w:snapToGrid w:val="0"/>
        <w:spacing w:before="120" w:line="48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 xml:space="preserve">第四章  </w:t>
      </w:r>
      <w:r>
        <w:rPr>
          <w:rFonts w:hint="eastAsia" w:ascii="Times New Roman" w:hAnsi="Times New Roman" w:eastAsia="黑体" w:cs="Times New Roman"/>
          <w:sz w:val="30"/>
          <w:lang w:eastAsia="zh-CN"/>
        </w:rPr>
        <w:t>评标方法</w:t>
      </w:r>
      <w:r>
        <w:rPr>
          <w:rFonts w:hint="eastAsia" w:ascii="Times New Roman" w:hAnsi="Times New Roman" w:eastAsia="黑体" w:cs="Times New Roman"/>
          <w:sz w:val="30"/>
        </w:rPr>
        <w:t>及评分标准</w:t>
      </w:r>
    </w:p>
    <w:p w14:paraId="5C5DD59A">
      <w:pPr>
        <w:snapToGrid w:val="0"/>
        <w:spacing w:before="120" w:line="480"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38501983">
      <w:pPr>
        <w:snapToGrid w:val="0"/>
        <w:spacing w:line="336" w:lineRule="auto"/>
        <w:ind w:right="-87" w:firstLine="1687" w:firstLineChars="700"/>
        <w:rPr>
          <w:rFonts w:hint="eastAsia" w:ascii="Times New Roman" w:hAnsi="Times New Roman" w:eastAsia="宋体" w:cs="Times New Roman"/>
          <w:b/>
          <w:sz w:val="24"/>
          <w:szCs w:val="24"/>
          <w:lang w:eastAsia="zh-CN"/>
        </w:rPr>
      </w:pPr>
      <w:r>
        <w:rPr>
          <w:rFonts w:hint="eastAsia" w:ascii="Times New Roman" w:hAnsi="Times New Roman" w:eastAsia="宋体" w:cs="Times New Roman"/>
          <w:b/>
          <w:sz w:val="24"/>
          <w:szCs w:val="24"/>
          <w:lang w:eastAsia="zh-CN"/>
        </w:rPr>
        <w:t>浙北海洋生物种质资源库建设仪器设备采购项目评标方法</w:t>
      </w:r>
    </w:p>
    <w:p w14:paraId="59EA18B8">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rPr>
        <w:t>为公正、公平、科学地选择中标人，根据《中华人民共和国政府采购法》等有关法律法规的规定，并结合本项目的实际，制定本办法。</w:t>
      </w:r>
    </w:p>
    <w:p w14:paraId="3917850C">
      <w:pPr>
        <w:snapToGrid w:val="0"/>
        <w:spacing w:line="336" w:lineRule="auto"/>
        <w:ind w:right="-87" w:firstLine="420"/>
        <w:rPr>
          <w:rFonts w:ascii="Times New Roman" w:hAnsi="Times New Roman" w:eastAsia="宋体" w:cs="Times New Roman"/>
        </w:rPr>
      </w:pPr>
      <w:r>
        <w:rPr>
          <w:rFonts w:hint="eastAsia" w:ascii="Times New Roman" w:hAnsi="Times New Roman" w:eastAsia="宋体" w:cs="Times New Roman"/>
          <w:szCs w:val="21"/>
        </w:rPr>
        <w:t>本办法适用于</w:t>
      </w:r>
      <w:r>
        <w:rPr>
          <w:rFonts w:hint="eastAsia" w:ascii="Times New Roman" w:hAnsi="Times New Roman" w:eastAsia="宋体" w:cs="Times New Roman"/>
          <w:szCs w:val="21"/>
          <w:lang w:eastAsia="zh-CN"/>
        </w:rPr>
        <w:t>浙北海洋生物种质资源库建设仪器设备采购项目</w:t>
      </w:r>
      <w:r>
        <w:rPr>
          <w:rFonts w:hint="eastAsia" w:ascii="Times New Roman" w:hAnsi="Times New Roman" w:eastAsia="宋体" w:cs="Times New Roman"/>
          <w:szCs w:val="21"/>
        </w:rPr>
        <w:t>的评标。</w:t>
      </w:r>
    </w:p>
    <w:p w14:paraId="0265E5A4">
      <w:pPr>
        <w:snapToGrid w:val="0"/>
        <w:spacing w:line="336" w:lineRule="auto"/>
        <w:ind w:left="756" w:leftChars="114" w:hanging="517" w:hangingChars="245"/>
        <w:rPr>
          <w:rFonts w:hint="eastAsia" w:ascii="宋体" w:hAnsi="宋体" w:eastAsia="宋体" w:cs="Times New Roman"/>
        </w:rPr>
      </w:pPr>
      <w:r>
        <w:rPr>
          <w:rFonts w:hint="eastAsia" w:ascii="Times New Roman" w:hAnsi="Times New Roman" w:eastAsia="宋体" w:cs="Times New Roman"/>
          <w:b/>
        </w:rPr>
        <w:t>中标依据：</w:t>
      </w:r>
      <w:r>
        <w:rPr>
          <w:rFonts w:hint="eastAsia" w:ascii="宋体" w:hAnsi="宋体" w:eastAsia="宋体" w:cs="Times New Roman"/>
          <w:u w:val="single" w:color="000000"/>
        </w:rPr>
        <w:t>综合</w:t>
      </w:r>
      <w:r>
        <w:rPr>
          <w:rFonts w:hint="eastAsia" w:ascii="宋体" w:hAnsi="宋体" w:eastAsia="宋体" w:cs="Times New Roman"/>
          <w:u w:val="single" w:color="000000"/>
          <w:lang w:val="en-US" w:eastAsia="zh-CN"/>
        </w:rPr>
        <w:t>得</w:t>
      </w:r>
      <w:r>
        <w:rPr>
          <w:rFonts w:hint="eastAsia" w:ascii="宋体" w:hAnsi="宋体" w:eastAsia="宋体" w:cs="Times New Roman"/>
          <w:u w:val="single" w:color="000000"/>
        </w:rPr>
        <w:t>分</w:t>
      </w:r>
      <w:r>
        <w:rPr>
          <w:rFonts w:hint="eastAsia" w:ascii="宋体" w:hAnsi="宋体" w:eastAsia="宋体" w:cs="Times New Roman"/>
        </w:rPr>
        <w:t>最高者为中标候选人。</w:t>
      </w:r>
    </w:p>
    <w:p w14:paraId="726A4906">
      <w:pPr>
        <w:snapToGrid w:val="0"/>
        <w:spacing w:line="336" w:lineRule="auto"/>
        <w:ind w:left="756" w:leftChars="114" w:hanging="517" w:hangingChars="245"/>
        <w:rPr>
          <w:rFonts w:ascii="Times New Roman" w:hAnsi="Times New Roman" w:eastAsia="宋体" w:cs="Times New Roman"/>
          <w:b/>
        </w:rPr>
      </w:pPr>
      <w:r>
        <w:rPr>
          <w:rFonts w:hint="eastAsia" w:ascii="宋体" w:hAnsi="宋体" w:eastAsia="宋体" w:cs="Times New Roman"/>
          <w:b/>
          <w:u w:val="single"/>
        </w:rPr>
        <w:t>最高限价：预算金额。</w:t>
      </w:r>
    </w:p>
    <w:p w14:paraId="4C21E3AB">
      <w:pPr>
        <w:snapToGrid w:val="0"/>
        <w:spacing w:line="336" w:lineRule="auto"/>
        <w:ind w:left="756" w:leftChars="114" w:hanging="517" w:hangingChars="245"/>
        <w:rPr>
          <w:rFonts w:ascii="Times New Roman" w:hAnsi="Times New Roman" w:eastAsia="宋体" w:cs="Times New Roman"/>
          <w:b/>
        </w:rPr>
      </w:pPr>
      <w:r>
        <w:rPr>
          <w:rFonts w:hint="eastAsia" w:ascii="Times New Roman" w:hAnsi="Times New Roman" w:eastAsia="宋体" w:cs="Times New Roman"/>
          <w:b/>
        </w:rPr>
        <w:t>报价的计分方法：</w:t>
      </w:r>
    </w:p>
    <w:p w14:paraId="01B0BC56">
      <w:pPr>
        <w:autoSpaceDE w:val="0"/>
        <w:autoSpaceDN w:val="0"/>
        <w:adjustRightInd w:val="0"/>
        <w:snapToGrid w:val="0"/>
        <w:spacing w:line="336" w:lineRule="auto"/>
        <w:ind w:right="-87" w:firstLine="411" w:firstLineChars="196"/>
        <w:rPr>
          <w:rFonts w:ascii="Times New Roman" w:hAnsi="Times New Roman" w:eastAsia="宋体" w:cs="Times New Roman"/>
          <w:lang w:val="zh-CN"/>
        </w:rPr>
      </w:pPr>
      <w:r>
        <w:rPr>
          <w:rFonts w:hint="eastAsia" w:ascii="Times New Roman" w:hAnsi="Times New Roman" w:eastAsia="宋体" w:cs="Times New Roman"/>
          <w:lang w:val="zh-CN"/>
        </w:rPr>
        <w:t>满足投标文件要求</w:t>
      </w:r>
      <w:r>
        <w:rPr>
          <w:rFonts w:hint="eastAsia" w:ascii="宋体" w:hAnsi="宋体" w:eastAsia="宋体" w:cs="宋体"/>
          <w:kern w:val="0"/>
          <w:sz w:val="22"/>
        </w:rPr>
        <w:t>且投</w:t>
      </w:r>
      <w:r>
        <w:rPr>
          <w:rFonts w:hint="eastAsia" w:ascii="Times New Roman" w:hAnsi="Times New Roman" w:eastAsia="宋体" w:cs="Times New Roman"/>
          <w:lang w:val="zh-CN"/>
        </w:rPr>
        <w:t>标报价最低的为评标基准价，其价格分为满分，其他投标人的价格分按下列公式计算：</w:t>
      </w:r>
    </w:p>
    <w:p w14:paraId="1E7F827A">
      <w:pPr>
        <w:autoSpaceDE w:val="0"/>
        <w:autoSpaceDN w:val="0"/>
        <w:adjustRightInd w:val="0"/>
        <w:snapToGrid w:val="0"/>
        <w:spacing w:line="336" w:lineRule="auto"/>
        <w:ind w:right="-87" w:firstLine="550" w:firstLineChars="262"/>
        <w:rPr>
          <w:rFonts w:ascii="Times New Roman" w:hAnsi="Times New Roman" w:eastAsia="宋体" w:cs="Times New Roman"/>
          <w:lang w:val="zh-CN"/>
        </w:rPr>
      </w:pPr>
      <w:r>
        <w:rPr>
          <w:rFonts w:hint="eastAsia" w:ascii="Times New Roman" w:hAnsi="Times New Roman" w:eastAsia="宋体" w:cs="Times New Roman"/>
          <w:lang w:val="zh-CN"/>
        </w:rPr>
        <w:t>价格得分＝（评标基准价</w:t>
      </w:r>
      <w:r>
        <w:rPr>
          <w:rFonts w:ascii="Times New Roman" w:hAnsi="Times New Roman" w:eastAsia="宋体" w:cs="Times New Roman"/>
          <w:lang w:val="zh-CN"/>
        </w:rPr>
        <w:t>/</w:t>
      </w:r>
      <w:r>
        <w:rPr>
          <w:rFonts w:hint="eastAsia" w:ascii="Times New Roman" w:hAnsi="Times New Roman" w:eastAsia="宋体" w:cs="Times New Roman"/>
          <w:lang w:val="zh-CN"/>
        </w:rPr>
        <w:t>投标报价）</w:t>
      </w:r>
      <w:r>
        <w:rPr>
          <w:rFonts w:ascii="Times New Roman" w:hAnsi="Times New Roman" w:eastAsia="宋体" w:cs="Times New Roman"/>
          <w:lang w:val="zh-CN"/>
        </w:rPr>
        <w:t>×</w:t>
      </w:r>
      <w:r>
        <w:rPr>
          <w:rFonts w:hint="eastAsia" w:ascii="Times New Roman" w:hAnsi="Times New Roman" w:eastAsia="宋体" w:cs="Times New Roman"/>
          <w:lang w:val="zh-CN"/>
        </w:rPr>
        <w:t>价格权重</w:t>
      </w:r>
      <w:r>
        <w:rPr>
          <w:rFonts w:ascii="Times New Roman" w:hAnsi="Times New Roman" w:eastAsia="宋体" w:cs="Times New Roman"/>
          <w:lang w:val="zh-CN"/>
        </w:rPr>
        <w:t>×100</w:t>
      </w:r>
      <w:r>
        <w:rPr>
          <w:rFonts w:hint="eastAsia" w:ascii="Times New Roman" w:hAnsi="Times New Roman" w:eastAsia="宋体" w:cs="Times New Roman"/>
          <w:lang w:val="zh-CN"/>
        </w:rPr>
        <w:t>。</w:t>
      </w:r>
    </w:p>
    <w:tbl>
      <w:tblPr>
        <w:tblStyle w:val="61"/>
        <w:tblW w:w="77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700"/>
      </w:tblGrid>
      <w:tr w14:paraId="4DFB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40" w:type="dxa"/>
            <w:tcBorders>
              <w:top w:val="single" w:color="auto" w:sz="4" w:space="0"/>
              <w:left w:val="single" w:color="auto" w:sz="4" w:space="0"/>
              <w:bottom w:val="single" w:color="auto" w:sz="4" w:space="0"/>
              <w:right w:val="single" w:color="auto" w:sz="4" w:space="0"/>
            </w:tcBorders>
            <w:vAlign w:val="center"/>
          </w:tcPr>
          <w:p w14:paraId="08DC4194">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lang w:val="zh-CN"/>
              </w:rPr>
              <w:t>评价指标和各评价权重指标：</w:t>
            </w:r>
            <w:r>
              <w:rPr>
                <w:rFonts w:hint="eastAsia" w:ascii="Times New Roman" w:hAnsi="Times New Roman" w:eastAsia="宋体" w:cs="Times New Roman"/>
              </w:rPr>
              <w:t>评标指标</w:t>
            </w:r>
          </w:p>
        </w:tc>
        <w:tc>
          <w:tcPr>
            <w:tcW w:w="2700" w:type="dxa"/>
            <w:tcBorders>
              <w:top w:val="single" w:color="auto" w:sz="4" w:space="0"/>
              <w:left w:val="single" w:color="auto" w:sz="4" w:space="0"/>
              <w:bottom w:val="single" w:color="auto" w:sz="4" w:space="0"/>
              <w:right w:val="single" w:color="auto" w:sz="4" w:space="0"/>
            </w:tcBorders>
            <w:vAlign w:val="center"/>
          </w:tcPr>
          <w:p w14:paraId="39E85568">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权重（％）</w:t>
            </w:r>
          </w:p>
        </w:tc>
      </w:tr>
      <w:tr w14:paraId="0CAD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bottom w:val="single" w:color="auto" w:sz="4" w:space="0"/>
              <w:right w:val="single" w:color="auto" w:sz="4" w:space="0"/>
            </w:tcBorders>
            <w:vAlign w:val="center"/>
          </w:tcPr>
          <w:p w14:paraId="09258236">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商务、技术部分</w:t>
            </w:r>
          </w:p>
        </w:tc>
        <w:tc>
          <w:tcPr>
            <w:tcW w:w="2700" w:type="dxa"/>
            <w:tcBorders>
              <w:top w:val="single" w:color="auto" w:sz="4" w:space="0"/>
              <w:left w:val="single" w:color="auto" w:sz="4" w:space="0"/>
              <w:bottom w:val="single" w:color="auto" w:sz="4" w:space="0"/>
              <w:right w:val="single" w:color="auto" w:sz="4" w:space="0"/>
            </w:tcBorders>
            <w:vAlign w:val="center"/>
          </w:tcPr>
          <w:p w14:paraId="3601AC67">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70</w:t>
            </w:r>
          </w:p>
        </w:tc>
      </w:tr>
      <w:tr w14:paraId="3946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1204858C">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投标报价</w:t>
            </w:r>
          </w:p>
        </w:tc>
        <w:tc>
          <w:tcPr>
            <w:tcW w:w="2700" w:type="dxa"/>
            <w:tcBorders>
              <w:top w:val="single" w:color="auto" w:sz="4" w:space="0"/>
              <w:left w:val="single" w:color="auto" w:sz="4" w:space="0"/>
              <w:bottom w:val="single" w:color="auto" w:sz="4" w:space="0"/>
              <w:right w:val="single" w:color="auto" w:sz="4" w:space="0"/>
            </w:tcBorders>
            <w:vAlign w:val="center"/>
          </w:tcPr>
          <w:p w14:paraId="18BD8030">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30</w:t>
            </w:r>
          </w:p>
        </w:tc>
      </w:tr>
      <w:tr w14:paraId="18B0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03ADACC2">
            <w:pPr>
              <w:spacing w:line="336" w:lineRule="auto"/>
              <w:ind w:right="-341"/>
              <w:jc w:val="center"/>
              <w:rPr>
                <w:rFonts w:ascii="Times New Roman" w:hAnsi="Times New Roman" w:eastAsia="宋体" w:cs="Times New Roman"/>
              </w:rPr>
            </w:pPr>
            <w:r>
              <w:rPr>
                <w:rFonts w:hint="eastAsia" w:ascii="Times New Roman" w:hAnsi="Times New Roman" w:eastAsia="宋体" w:cs="Times New Roman"/>
              </w:rPr>
              <w:t>合计</w:t>
            </w:r>
          </w:p>
        </w:tc>
        <w:tc>
          <w:tcPr>
            <w:tcW w:w="2700" w:type="dxa"/>
            <w:tcBorders>
              <w:top w:val="single" w:color="auto" w:sz="4" w:space="0"/>
              <w:left w:val="single" w:color="auto" w:sz="4" w:space="0"/>
              <w:bottom w:val="single" w:color="auto" w:sz="4" w:space="0"/>
              <w:right w:val="single" w:color="auto" w:sz="4" w:space="0"/>
            </w:tcBorders>
            <w:vAlign w:val="center"/>
          </w:tcPr>
          <w:p w14:paraId="7860B72F">
            <w:pPr>
              <w:spacing w:line="336" w:lineRule="auto"/>
              <w:ind w:right="-341"/>
              <w:jc w:val="center"/>
              <w:rPr>
                <w:rFonts w:ascii="Times New Roman" w:hAnsi="Times New Roman" w:eastAsia="宋体" w:cs="Times New Roman"/>
              </w:rPr>
            </w:pPr>
            <w:r>
              <w:rPr>
                <w:rFonts w:ascii="Times New Roman" w:hAnsi="Times New Roman" w:eastAsia="宋体" w:cs="Times New Roman"/>
              </w:rPr>
              <w:t>100</w:t>
            </w:r>
          </w:p>
        </w:tc>
      </w:tr>
    </w:tbl>
    <w:p w14:paraId="798D3EE0">
      <w:pPr>
        <w:autoSpaceDE w:val="0"/>
        <w:autoSpaceDN w:val="0"/>
        <w:adjustRightInd w:val="0"/>
        <w:spacing w:line="336" w:lineRule="auto"/>
        <w:ind w:right="-341" w:firstLine="424" w:firstLineChars="202"/>
        <w:rPr>
          <w:rFonts w:ascii="Times New Roman" w:hAnsi="Times New Roman" w:eastAsia="宋体" w:cs="Times New Roman"/>
        </w:rPr>
      </w:pPr>
      <w:r>
        <w:rPr>
          <w:rFonts w:hint="eastAsia" w:ascii="宋体" w:hAnsi="宋体" w:eastAsia="宋体" w:cs="Times New Roman"/>
          <w:u w:val="none" w:color="auto"/>
        </w:rPr>
        <w:t>综合</w:t>
      </w:r>
      <w:r>
        <w:rPr>
          <w:rFonts w:hint="eastAsia" w:ascii="宋体" w:hAnsi="宋体" w:eastAsia="宋体" w:cs="Times New Roman"/>
          <w:u w:val="none" w:color="auto"/>
          <w:lang w:val="en-US" w:eastAsia="zh-CN"/>
        </w:rPr>
        <w:t>得</w:t>
      </w:r>
      <w:r>
        <w:rPr>
          <w:rFonts w:hint="eastAsia" w:ascii="Times New Roman" w:hAnsi="Times New Roman" w:eastAsia="宋体" w:cs="Times New Roman"/>
          <w:u w:val="none" w:color="auto"/>
        </w:rPr>
        <w:t>分</w:t>
      </w:r>
      <w:r>
        <w:rPr>
          <w:rFonts w:ascii="Times New Roman" w:hAnsi="Times New Roman" w:eastAsia="宋体" w:cs="Times New Roman"/>
        </w:rPr>
        <w:t>=</w:t>
      </w:r>
      <w:r>
        <w:rPr>
          <w:rFonts w:hint="eastAsia" w:ascii="Times New Roman" w:hAnsi="Times New Roman" w:eastAsia="宋体" w:cs="Times New Roman"/>
        </w:rPr>
        <w:t>商务技术得分＋价格得分</w:t>
      </w:r>
      <w:r>
        <w:rPr>
          <w:rFonts w:ascii="Times New Roman" w:hAnsi="Times New Roman" w:eastAsia="宋体" w:cs="Times New Roman"/>
        </w:rPr>
        <w:t>(</w:t>
      </w:r>
      <w:r>
        <w:rPr>
          <w:rFonts w:hint="eastAsia" w:ascii="Times New Roman" w:hAnsi="Times New Roman" w:eastAsia="宋体" w:cs="Times New Roman"/>
        </w:rPr>
        <w:t>评分过程中采用四舍五入法，并保留小数</w:t>
      </w:r>
      <w:r>
        <w:rPr>
          <w:rFonts w:ascii="Times New Roman" w:hAnsi="Times New Roman" w:eastAsia="宋体" w:cs="Times New Roman"/>
        </w:rPr>
        <w:t>2</w:t>
      </w:r>
      <w:r>
        <w:rPr>
          <w:rFonts w:hint="eastAsia" w:ascii="Times New Roman" w:hAnsi="Times New Roman" w:eastAsia="宋体" w:cs="Times New Roman"/>
        </w:rPr>
        <w:t>位</w:t>
      </w:r>
      <w:r>
        <w:rPr>
          <w:rFonts w:ascii="Times New Roman" w:hAnsi="Times New Roman" w:eastAsia="宋体" w:cs="Times New Roman"/>
        </w:rPr>
        <w:t>)</w:t>
      </w:r>
    </w:p>
    <w:p w14:paraId="7D797676">
      <w:pPr>
        <w:autoSpaceDE w:val="0"/>
        <w:autoSpaceDN w:val="0"/>
        <w:adjustRightInd w:val="0"/>
        <w:spacing w:line="336" w:lineRule="auto"/>
        <w:ind w:right="-341" w:firstLine="424" w:firstLineChars="202"/>
        <w:rPr>
          <w:rFonts w:ascii="Times New Roman" w:hAnsi="Times New Roman" w:eastAsia="宋体" w:cs="Times New Roman"/>
        </w:rPr>
      </w:pPr>
      <w:bookmarkStart w:id="18" w:name="_Hlk113978293"/>
      <w:r>
        <w:rPr>
          <w:rFonts w:hint="eastAsia" w:ascii="Times New Roman" w:hAnsi="Times New Roman" w:eastAsia="宋体" w:cs="Times New Roman"/>
        </w:rPr>
        <w:t>将综合</w:t>
      </w:r>
      <w:r>
        <w:rPr>
          <w:rFonts w:hint="eastAsia" w:ascii="Times New Roman" w:hAnsi="Times New Roman" w:eastAsia="宋体" w:cs="Times New Roman"/>
          <w:lang w:val="en-US" w:eastAsia="zh-CN"/>
        </w:rPr>
        <w:t>得</w:t>
      </w:r>
      <w:r>
        <w:rPr>
          <w:rFonts w:hint="eastAsia" w:ascii="Times New Roman" w:hAnsi="Times New Roman" w:eastAsia="宋体" w:cs="Times New Roman"/>
        </w:rPr>
        <w:t>分从高到低排序，得出投标人名次。得分相同时，按投标报价由低到高顺序排列，得分且投标报价相同的，按技术指标优劣顺序排列</w:t>
      </w:r>
    </w:p>
    <w:bookmarkEnd w:id="18"/>
    <w:p w14:paraId="67D5A069">
      <w:pPr>
        <w:tabs>
          <w:tab w:val="left" w:pos="1620"/>
        </w:tabs>
        <w:spacing w:line="336" w:lineRule="auto"/>
        <w:ind w:left="1111" w:leftChars="228" w:hanging="632" w:hangingChars="300"/>
        <w:rPr>
          <w:rFonts w:ascii="Times New Roman" w:hAnsi="Times New Roman" w:eastAsia="宋体" w:cs="Times New Roman"/>
          <w:b/>
        </w:rPr>
      </w:pPr>
      <w:r>
        <w:rPr>
          <w:rFonts w:hint="eastAsia" w:ascii="Times New Roman" w:hAnsi="Times New Roman" w:eastAsia="宋体" w:cs="Times New Roman"/>
          <w:b/>
        </w:rPr>
        <w:t>候选中标商的选取</w:t>
      </w:r>
    </w:p>
    <w:p w14:paraId="6EA19334">
      <w:pPr>
        <w:spacing w:line="336" w:lineRule="auto"/>
        <w:ind w:right="-341" w:firstLine="525" w:firstLineChars="250"/>
        <w:rPr>
          <w:rFonts w:ascii="Times New Roman" w:hAnsi="Times New Roman" w:eastAsia="宋体" w:cs="Times New Roman"/>
          <w:b/>
          <w:sz w:val="28"/>
          <w:szCs w:val="28"/>
          <w:lang w:val="zh-CN"/>
        </w:rPr>
      </w:pPr>
      <w:r>
        <w:rPr>
          <w:rFonts w:hint="eastAsia" w:ascii="Times New Roman" w:hAnsi="Times New Roman" w:eastAsia="宋体" w:cs="Times New Roman"/>
        </w:rPr>
        <w:t>按照综合</w:t>
      </w:r>
      <w:r>
        <w:rPr>
          <w:rFonts w:hint="eastAsia" w:ascii="Times New Roman" w:hAnsi="Times New Roman" w:eastAsia="宋体" w:cs="Times New Roman"/>
          <w:lang w:val="en-US" w:eastAsia="zh-CN"/>
        </w:rPr>
        <w:t>得</w:t>
      </w:r>
      <w:r>
        <w:rPr>
          <w:rFonts w:hint="eastAsia" w:ascii="Times New Roman" w:hAnsi="Times New Roman" w:eastAsia="宋体" w:cs="Times New Roman"/>
        </w:rPr>
        <w:t>分名次推荐候选中标人</w:t>
      </w:r>
      <w:r>
        <w:rPr>
          <w:rFonts w:ascii="Times New Roman" w:hAnsi="Times New Roman" w:eastAsia="宋体" w:cs="Times New Roman"/>
        </w:rPr>
        <w:t>1</w:t>
      </w:r>
      <w:r>
        <w:rPr>
          <w:rFonts w:hint="eastAsia" w:ascii="Times New Roman" w:hAnsi="Times New Roman" w:eastAsia="宋体" w:cs="Times New Roman"/>
        </w:rPr>
        <w:t>名。</w:t>
      </w:r>
    </w:p>
    <w:p w14:paraId="2A6BB015">
      <w:pPr>
        <w:rPr>
          <w:rFonts w:ascii="Times New Roman" w:hAnsi="Times New Roman" w:eastAsia="宋体" w:cs="Times New Roman"/>
          <w:b/>
          <w:sz w:val="24"/>
          <w:szCs w:val="24"/>
        </w:rPr>
      </w:pPr>
    </w:p>
    <w:p w14:paraId="232B267E">
      <w:pPr>
        <w:pStyle w:val="3"/>
      </w:pPr>
    </w:p>
    <w:p w14:paraId="14B3D61F">
      <w:pPr>
        <w:tabs>
          <w:tab w:val="left" w:pos="1476"/>
          <w:tab w:val="center" w:pos="4651"/>
        </w:tabs>
        <w:spacing w:line="288" w:lineRule="auto"/>
        <w:ind w:right="-341"/>
        <w:jc w:val="left"/>
        <w:rPr>
          <w:rFonts w:ascii="Times New Roman" w:hAnsi="Times New Roman" w:eastAsia="宋体" w:cs="Times New Roman"/>
          <w:b/>
          <w:sz w:val="24"/>
          <w:szCs w:val="24"/>
        </w:rPr>
      </w:pPr>
    </w:p>
    <w:p w14:paraId="5D4C04A9">
      <w:pPr>
        <w:pStyle w:val="18"/>
        <w:rPr>
          <w:rFonts w:ascii="Times New Roman" w:hAnsi="Times New Roman" w:eastAsia="宋体" w:cs="Times New Roman"/>
          <w:b/>
          <w:sz w:val="24"/>
          <w:szCs w:val="24"/>
        </w:rPr>
      </w:pPr>
    </w:p>
    <w:p w14:paraId="339CCA8F">
      <w:pPr>
        <w:pStyle w:val="18"/>
        <w:rPr>
          <w:rFonts w:ascii="Times New Roman" w:hAnsi="Times New Roman" w:eastAsia="宋体" w:cs="Times New Roman"/>
          <w:b/>
          <w:sz w:val="24"/>
          <w:szCs w:val="24"/>
        </w:rPr>
      </w:pPr>
    </w:p>
    <w:p w14:paraId="636C81F4">
      <w:pPr>
        <w:pStyle w:val="18"/>
        <w:rPr>
          <w:rFonts w:ascii="Times New Roman" w:hAnsi="Times New Roman" w:eastAsia="宋体" w:cs="Times New Roman"/>
          <w:b/>
          <w:sz w:val="24"/>
          <w:szCs w:val="24"/>
        </w:rPr>
      </w:pPr>
    </w:p>
    <w:p w14:paraId="18B2A7A8">
      <w:pPr>
        <w:pStyle w:val="18"/>
        <w:rPr>
          <w:rFonts w:ascii="Times New Roman" w:hAnsi="Times New Roman" w:eastAsia="宋体" w:cs="Times New Roman"/>
          <w:b/>
          <w:sz w:val="24"/>
          <w:szCs w:val="24"/>
        </w:rPr>
      </w:pPr>
    </w:p>
    <w:p w14:paraId="5BCAA1EC">
      <w:pPr>
        <w:pStyle w:val="18"/>
        <w:rPr>
          <w:rFonts w:ascii="Times New Roman" w:hAnsi="Times New Roman" w:eastAsia="宋体" w:cs="Times New Roman"/>
          <w:b/>
          <w:sz w:val="24"/>
          <w:szCs w:val="24"/>
        </w:rPr>
      </w:pPr>
    </w:p>
    <w:p w14:paraId="1D7438CC">
      <w:pPr>
        <w:pStyle w:val="18"/>
        <w:rPr>
          <w:rFonts w:ascii="Times New Roman" w:hAnsi="Times New Roman" w:eastAsia="宋体" w:cs="Times New Roman"/>
          <w:b/>
          <w:sz w:val="24"/>
          <w:szCs w:val="24"/>
        </w:rPr>
      </w:pPr>
    </w:p>
    <w:p w14:paraId="00CA90CA">
      <w:pPr>
        <w:pStyle w:val="18"/>
        <w:rPr>
          <w:rFonts w:ascii="Times New Roman" w:hAnsi="Times New Roman" w:eastAsia="宋体" w:cs="Times New Roman"/>
          <w:b/>
          <w:sz w:val="24"/>
          <w:szCs w:val="24"/>
        </w:rPr>
      </w:pPr>
    </w:p>
    <w:p w14:paraId="4BDFDD74">
      <w:pPr>
        <w:pStyle w:val="18"/>
        <w:rPr>
          <w:rFonts w:ascii="Times New Roman" w:hAnsi="Times New Roman" w:eastAsia="宋体" w:cs="Times New Roman"/>
          <w:b/>
          <w:sz w:val="24"/>
          <w:szCs w:val="24"/>
        </w:rPr>
      </w:pPr>
    </w:p>
    <w:p w14:paraId="0E6C113E">
      <w:pPr>
        <w:pStyle w:val="18"/>
        <w:rPr>
          <w:rFonts w:ascii="Times New Roman" w:hAnsi="Times New Roman" w:eastAsia="宋体" w:cs="Times New Roman"/>
          <w:b/>
          <w:sz w:val="24"/>
          <w:szCs w:val="24"/>
        </w:rPr>
      </w:pPr>
    </w:p>
    <w:p w14:paraId="5AB49B57">
      <w:pPr>
        <w:pStyle w:val="18"/>
        <w:rPr>
          <w:rFonts w:ascii="Times New Roman" w:hAnsi="Times New Roman" w:eastAsia="宋体" w:cs="Times New Roman"/>
          <w:b/>
          <w:sz w:val="24"/>
          <w:szCs w:val="24"/>
        </w:rPr>
      </w:pPr>
    </w:p>
    <w:p w14:paraId="0C5E5223">
      <w:pPr>
        <w:pStyle w:val="18"/>
        <w:rPr>
          <w:rFonts w:ascii="Times New Roman" w:hAnsi="Times New Roman" w:eastAsia="宋体" w:cs="Times New Roman"/>
          <w:b/>
          <w:sz w:val="24"/>
          <w:szCs w:val="24"/>
        </w:rPr>
      </w:pPr>
    </w:p>
    <w:p w14:paraId="208D0931">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3DF06AE4">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6D1E28A5">
      <w:pPr>
        <w:tabs>
          <w:tab w:val="left" w:pos="1476"/>
          <w:tab w:val="center" w:pos="4651"/>
        </w:tabs>
        <w:spacing w:line="288" w:lineRule="auto"/>
        <w:ind w:right="-341"/>
        <w:jc w:val="center"/>
        <w:rPr>
          <w:rFonts w:hint="eastAsia" w:ascii="Times New Roman" w:hAnsi="Times New Roman" w:eastAsia="宋体" w:cs="Times New Roman"/>
          <w:b/>
          <w:sz w:val="24"/>
          <w:szCs w:val="24"/>
          <w:lang w:eastAsia="zh-CN"/>
        </w:rPr>
      </w:pPr>
    </w:p>
    <w:p w14:paraId="70FE6E91">
      <w:pPr>
        <w:tabs>
          <w:tab w:val="left" w:pos="1476"/>
          <w:tab w:val="center" w:pos="4651"/>
        </w:tabs>
        <w:spacing w:line="288" w:lineRule="auto"/>
        <w:ind w:right="-341"/>
        <w:jc w:val="center"/>
        <w:rPr>
          <w:rFonts w:hint="eastAsia"/>
        </w:rPr>
      </w:pPr>
      <w:r>
        <w:rPr>
          <w:rFonts w:hint="eastAsia" w:ascii="Times New Roman" w:hAnsi="Times New Roman" w:eastAsia="宋体" w:cs="Times New Roman"/>
          <w:b/>
          <w:sz w:val="24"/>
          <w:szCs w:val="24"/>
          <w:lang w:eastAsia="zh-CN"/>
        </w:rPr>
        <w:t>浙北海洋生物种质资源库建设仪器设备采购项目</w:t>
      </w:r>
      <w:r>
        <w:rPr>
          <w:rFonts w:hint="eastAsia" w:ascii="Times New Roman" w:hAnsi="Times New Roman" w:eastAsia="宋体" w:cs="Times New Roman"/>
          <w:b/>
          <w:sz w:val="24"/>
          <w:szCs w:val="24"/>
        </w:rPr>
        <w:t>评分表</w:t>
      </w:r>
    </w:p>
    <w:tbl>
      <w:tblPr>
        <w:tblStyle w:val="61"/>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7394"/>
        <w:gridCol w:w="744"/>
      </w:tblGrid>
      <w:tr w14:paraId="0771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restart"/>
            <w:noWrap/>
            <w:vAlign w:val="center"/>
          </w:tcPr>
          <w:p w14:paraId="76ACCC94">
            <w:pPr>
              <w:spacing w:line="312" w:lineRule="auto"/>
              <w:jc w:val="center"/>
              <w:rPr>
                <w:rFonts w:ascii="Times New Roman" w:hAnsi="Times New Roman" w:eastAsia="宋体"/>
              </w:rPr>
            </w:pPr>
            <w:r>
              <w:rPr>
                <w:rFonts w:hint="eastAsia" w:ascii="Times New Roman" w:hAnsi="Times New Roman" w:eastAsia="宋体"/>
              </w:rPr>
              <w:t>商务技术得分</w:t>
            </w:r>
          </w:p>
          <w:p w14:paraId="5E312EFE">
            <w:pPr>
              <w:spacing w:line="312" w:lineRule="auto"/>
              <w:rPr>
                <w:rFonts w:ascii="Times New Roman" w:hAnsi="Times New Roman" w:eastAsia="宋体"/>
              </w:rPr>
            </w:pPr>
            <w:r>
              <w:rPr>
                <w:rFonts w:hint="eastAsia" w:ascii="Times New Roman" w:hAnsi="Times New Roman" w:eastAsia="宋体"/>
              </w:rPr>
              <w:t>（</w:t>
            </w:r>
            <w:r>
              <w:rPr>
                <w:rFonts w:ascii="Times New Roman" w:hAnsi="Times New Roman" w:eastAsia="宋体"/>
              </w:rPr>
              <w:t>70</w:t>
            </w:r>
            <w:r>
              <w:rPr>
                <w:rFonts w:hint="eastAsia" w:ascii="Times New Roman" w:hAnsi="Times New Roman" w:eastAsia="宋体"/>
              </w:rPr>
              <w:t>分）</w:t>
            </w:r>
          </w:p>
        </w:tc>
        <w:tc>
          <w:tcPr>
            <w:tcW w:w="1134" w:type="dxa"/>
            <w:vMerge w:val="restart"/>
            <w:noWrap/>
            <w:vAlign w:val="center"/>
          </w:tcPr>
          <w:p w14:paraId="1FE4AF66">
            <w:pPr>
              <w:spacing w:line="240" w:lineRule="auto"/>
              <w:jc w:val="center"/>
              <w:rPr>
                <w:rFonts w:ascii="Times New Roman" w:hAnsi="Times New Roman" w:eastAsia="宋体"/>
              </w:rPr>
            </w:pPr>
            <w:r>
              <w:rPr>
                <w:rFonts w:hint="eastAsia" w:ascii="Times New Roman" w:hAnsi="Times New Roman" w:eastAsia="宋体"/>
              </w:rPr>
              <w:t>评审内容</w:t>
            </w:r>
          </w:p>
        </w:tc>
        <w:tc>
          <w:tcPr>
            <w:tcW w:w="7394" w:type="dxa"/>
            <w:vMerge w:val="restart"/>
            <w:noWrap/>
            <w:vAlign w:val="center"/>
          </w:tcPr>
          <w:p w14:paraId="2329AFD4">
            <w:pPr>
              <w:spacing w:line="240" w:lineRule="auto"/>
              <w:ind w:firstLine="210"/>
              <w:jc w:val="center"/>
              <w:rPr>
                <w:rFonts w:ascii="Times New Roman" w:hAnsi="Times New Roman" w:eastAsia="宋体"/>
              </w:rPr>
            </w:pPr>
            <w:r>
              <w:rPr>
                <w:rFonts w:hint="eastAsia" w:ascii="Times New Roman" w:hAnsi="Times New Roman" w:eastAsia="宋体"/>
              </w:rPr>
              <w:t>评分标准</w:t>
            </w:r>
          </w:p>
        </w:tc>
        <w:tc>
          <w:tcPr>
            <w:tcW w:w="744" w:type="dxa"/>
            <w:vMerge w:val="restart"/>
            <w:noWrap/>
            <w:vAlign w:val="center"/>
          </w:tcPr>
          <w:p w14:paraId="114B0E58">
            <w:pPr>
              <w:spacing w:line="240" w:lineRule="auto"/>
              <w:jc w:val="center"/>
              <w:rPr>
                <w:rFonts w:ascii="Times New Roman" w:hAnsi="Times New Roman" w:eastAsia="宋体"/>
              </w:rPr>
            </w:pPr>
            <w:r>
              <w:rPr>
                <w:rFonts w:hint="eastAsia" w:ascii="Times New Roman" w:hAnsi="Times New Roman" w:eastAsia="宋体"/>
              </w:rPr>
              <w:t>得分</w:t>
            </w:r>
          </w:p>
        </w:tc>
      </w:tr>
      <w:tr w14:paraId="7B08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35" w:type="dxa"/>
            <w:vMerge w:val="continue"/>
            <w:noWrap/>
            <w:vAlign w:val="center"/>
          </w:tcPr>
          <w:p w14:paraId="38B250A6">
            <w:pPr>
              <w:widowControl/>
              <w:spacing w:line="312" w:lineRule="auto"/>
              <w:jc w:val="center"/>
              <w:rPr>
                <w:rFonts w:ascii="Times New Roman" w:hAnsi="Times New Roman" w:eastAsia="宋体"/>
              </w:rPr>
            </w:pPr>
          </w:p>
        </w:tc>
        <w:tc>
          <w:tcPr>
            <w:tcW w:w="1134" w:type="dxa"/>
            <w:vMerge w:val="continue"/>
            <w:noWrap/>
            <w:vAlign w:val="center"/>
          </w:tcPr>
          <w:p w14:paraId="2BCCCCC5">
            <w:pPr>
              <w:widowControl/>
              <w:spacing w:line="312" w:lineRule="auto"/>
              <w:jc w:val="center"/>
              <w:rPr>
                <w:rFonts w:ascii="Times New Roman" w:hAnsi="Times New Roman" w:eastAsia="宋体"/>
              </w:rPr>
            </w:pPr>
          </w:p>
        </w:tc>
        <w:tc>
          <w:tcPr>
            <w:tcW w:w="7394" w:type="dxa"/>
            <w:vMerge w:val="continue"/>
            <w:noWrap/>
            <w:vAlign w:val="center"/>
          </w:tcPr>
          <w:p w14:paraId="6AD85A96">
            <w:pPr>
              <w:widowControl/>
              <w:spacing w:line="312" w:lineRule="auto"/>
              <w:jc w:val="left"/>
              <w:rPr>
                <w:rFonts w:ascii="Times New Roman" w:hAnsi="Times New Roman" w:eastAsia="宋体"/>
              </w:rPr>
            </w:pPr>
          </w:p>
        </w:tc>
        <w:tc>
          <w:tcPr>
            <w:tcW w:w="744" w:type="dxa"/>
            <w:vMerge w:val="continue"/>
            <w:noWrap/>
            <w:vAlign w:val="center"/>
          </w:tcPr>
          <w:p w14:paraId="09180F1A">
            <w:pPr>
              <w:widowControl/>
              <w:jc w:val="left"/>
              <w:rPr>
                <w:rFonts w:ascii="Times New Roman" w:hAnsi="Times New Roman" w:eastAsia="宋体"/>
              </w:rPr>
            </w:pPr>
          </w:p>
        </w:tc>
      </w:tr>
      <w:tr w14:paraId="273A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35" w:type="dxa"/>
            <w:vMerge w:val="continue"/>
            <w:noWrap/>
            <w:vAlign w:val="center"/>
          </w:tcPr>
          <w:p w14:paraId="7EF7ABD1">
            <w:pPr>
              <w:spacing w:line="312" w:lineRule="auto"/>
              <w:jc w:val="center"/>
              <w:rPr>
                <w:rFonts w:ascii="Times New Roman" w:hAnsi="Times New Roman" w:eastAsia="宋体"/>
              </w:rPr>
            </w:pPr>
          </w:p>
        </w:tc>
        <w:tc>
          <w:tcPr>
            <w:tcW w:w="1134" w:type="dxa"/>
            <w:noWrap/>
            <w:vAlign w:val="center"/>
          </w:tcPr>
          <w:p w14:paraId="7E876B21">
            <w:pPr>
              <w:rPr>
                <w:rFonts w:hint="eastAsia" w:ascii="宋体" w:hAnsi="宋体" w:eastAsia="宋体"/>
                <w:szCs w:val="21"/>
                <w:lang w:val="zh-CN"/>
              </w:rPr>
            </w:pPr>
            <w:r>
              <w:rPr>
                <w:rFonts w:hint="eastAsia" w:ascii="宋体" w:hAnsi="宋体" w:eastAsia="宋体"/>
                <w:szCs w:val="21"/>
                <w:lang w:val="zh-CN"/>
              </w:rPr>
              <w:t>成功案例</w:t>
            </w:r>
          </w:p>
          <w:p w14:paraId="2C25DB15">
            <w:pPr>
              <w:rPr>
                <w:rFonts w:hint="eastAsia" w:ascii="宋体" w:hAnsi="宋体" w:eastAsia="宋体"/>
                <w:szCs w:val="21"/>
                <w:lang w:val="zh-CN"/>
              </w:rPr>
            </w:pPr>
            <w:r>
              <w:rPr>
                <w:rFonts w:hint="eastAsia" w:ascii="宋体" w:hAnsi="宋体" w:eastAsia="宋体"/>
                <w:szCs w:val="21"/>
                <w:lang w:val="zh-CN"/>
              </w:rPr>
              <w:t>（</w:t>
            </w:r>
            <w:r>
              <w:rPr>
                <w:rFonts w:ascii="宋体" w:hAnsi="宋体" w:eastAsia="宋体"/>
                <w:szCs w:val="21"/>
                <w:lang w:val="zh-CN"/>
              </w:rPr>
              <w:t>3</w:t>
            </w:r>
            <w:r>
              <w:rPr>
                <w:rFonts w:hint="eastAsia" w:ascii="宋体" w:hAnsi="宋体" w:eastAsia="宋体"/>
                <w:szCs w:val="21"/>
                <w:lang w:val="zh-CN"/>
              </w:rPr>
              <w:t>分）</w:t>
            </w:r>
          </w:p>
        </w:tc>
        <w:tc>
          <w:tcPr>
            <w:tcW w:w="7394" w:type="dxa"/>
            <w:shd w:val="clear" w:color="auto" w:fill="FFFFFF"/>
            <w:noWrap/>
            <w:vAlign w:val="center"/>
          </w:tcPr>
          <w:p w14:paraId="4352857A">
            <w:pPr>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w:t>
            </w:r>
            <w:r>
              <w:rPr>
                <w:rFonts w:hint="eastAsia" w:ascii="宋体" w:hAnsi="宋体" w:eastAsia="宋体"/>
                <w:szCs w:val="21"/>
                <w:lang w:val="en-US" w:eastAsia="zh-CN"/>
              </w:rPr>
              <w:t>2</w:t>
            </w:r>
            <w:r>
              <w:rPr>
                <w:rFonts w:hint="eastAsia" w:ascii="宋体" w:hAnsi="宋体" w:eastAsia="宋体"/>
                <w:szCs w:val="21"/>
              </w:rPr>
              <w:t>年</w:t>
            </w:r>
            <w:r>
              <w:rPr>
                <w:rFonts w:ascii="宋体" w:hAnsi="宋体" w:eastAsia="宋体"/>
                <w:szCs w:val="21"/>
              </w:rPr>
              <w:t>1</w:t>
            </w:r>
            <w:r>
              <w:rPr>
                <w:rFonts w:hint="eastAsia" w:ascii="宋体" w:hAnsi="宋体" w:eastAsia="宋体"/>
                <w:szCs w:val="21"/>
              </w:rPr>
              <w:t>月以来同类项目案例，每个得</w:t>
            </w:r>
            <w:r>
              <w:rPr>
                <w:rFonts w:ascii="宋体" w:hAnsi="宋体" w:eastAsia="宋体"/>
                <w:szCs w:val="21"/>
              </w:rPr>
              <w:t>1</w:t>
            </w:r>
            <w:r>
              <w:rPr>
                <w:rFonts w:hint="eastAsia" w:ascii="宋体" w:hAnsi="宋体" w:eastAsia="宋体"/>
                <w:szCs w:val="21"/>
              </w:rPr>
              <w:t>分，最高得</w:t>
            </w:r>
            <w:r>
              <w:rPr>
                <w:rFonts w:ascii="宋体" w:hAnsi="宋体" w:eastAsia="宋体"/>
                <w:szCs w:val="21"/>
              </w:rPr>
              <w:t>3</w:t>
            </w:r>
            <w:r>
              <w:rPr>
                <w:rFonts w:hint="eastAsia" w:ascii="宋体" w:hAnsi="宋体" w:eastAsia="宋体"/>
                <w:szCs w:val="21"/>
              </w:rPr>
              <w:t>分。</w:t>
            </w:r>
          </w:p>
          <w:p w14:paraId="4FD772C9">
            <w:pPr>
              <w:pStyle w:val="27"/>
              <w:ind w:left="0" w:leftChars="0" w:firstLine="0" w:firstLineChars="0"/>
              <w:jc w:val="left"/>
              <w:rPr>
                <w:rFonts w:hint="eastAsia" w:hAnsi="宋体"/>
                <w:lang w:val="zh-CN"/>
              </w:rPr>
            </w:pPr>
            <w:r>
              <w:rPr>
                <w:rFonts w:hint="eastAsia"/>
                <w:b/>
                <w:bCs/>
                <w:sz w:val="21"/>
                <w:szCs w:val="21"/>
              </w:rPr>
              <w:t>（提供中标通知书（如有）、合同协议书及投标人认为需要提交的其他证明材料证实，复印件加盖公章，须提供重要页面，能够体现项目内容）</w:t>
            </w:r>
          </w:p>
        </w:tc>
        <w:tc>
          <w:tcPr>
            <w:tcW w:w="744" w:type="dxa"/>
            <w:noWrap/>
            <w:vAlign w:val="center"/>
          </w:tcPr>
          <w:p w14:paraId="175B5E37">
            <w:pPr>
              <w:ind w:firstLine="210" w:firstLineChars="100"/>
              <w:rPr>
                <w:rFonts w:hint="eastAsia" w:ascii="Times New Roman" w:hAnsi="Times New Roman" w:eastAsia="宋体"/>
                <w:lang w:val="en-US" w:eastAsia="zh-CN"/>
              </w:rPr>
            </w:pPr>
            <w:bookmarkStart w:id="20" w:name="_GoBack"/>
            <w:bookmarkEnd w:id="20"/>
          </w:p>
        </w:tc>
      </w:tr>
      <w:tr w14:paraId="1E52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135" w:type="dxa"/>
            <w:vMerge w:val="continue"/>
            <w:noWrap/>
            <w:vAlign w:val="center"/>
          </w:tcPr>
          <w:p w14:paraId="7DA7F262">
            <w:pPr>
              <w:spacing w:line="312" w:lineRule="auto"/>
              <w:jc w:val="center"/>
              <w:rPr>
                <w:rFonts w:ascii="Times New Roman" w:hAnsi="Times New Roman" w:eastAsia="宋体"/>
              </w:rPr>
            </w:pPr>
          </w:p>
        </w:tc>
        <w:tc>
          <w:tcPr>
            <w:tcW w:w="1134" w:type="dxa"/>
            <w:vMerge w:val="restart"/>
            <w:noWrap/>
            <w:vAlign w:val="center"/>
          </w:tcPr>
          <w:p w14:paraId="2F0A9D54">
            <w:pPr>
              <w:rPr>
                <w:rFonts w:hint="eastAsia" w:ascii="宋体" w:hAnsi="宋体" w:eastAsia="宋体"/>
                <w:color w:val="auto"/>
              </w:rPr>
            </w:pPr>
            <w:r>
              <w:rPr>
                <w:rFonts w:hint="eastAsia" w:ascii="宋体" w:hAnsi="宋体" w:eastAsia="宋体"/>
                <w:color w:val="auto"/>
              </w:rPr>
              <w:t>投标产品的性能与需求的吻合程度</w:t>
            </w:r>
          </w:p>
          <w:p w14:paraId="45425F94">
            <w:pPr>
              <w:rPr>
                <w:rFonts w:hint="eastAsia" w:ascii="宋体" w:hAnsi="宋体" w:eastAsia="宋体"/>
                <w:color w:val="auto"/>
              </w:rPr>
            </w:pPr>
            <w:r>
              <w:rPr>
                <w:rFonts w:hint="eastAsia" w:ascii="宋体" w:hAnsi="宋体" w:eastAsia="宋体"/>
                <w:color w:val="auto"/>
              </w:rPr>
              <w:t>（</w:t>
            </w:r>
            <w:r>
              <w:rPr>
                <w:rFonts w:hint="eastAsia" w:ascii="宋体" w:hAnsi="宋体" w:eastAsia="宋体"/>
                <w:color w:val="auto"/>
                <w:lang w:val="en-US" w:eastAsia="zh-CN"/>
              </w:rPr>
              <w:t>40</w:t>
            </w:r>
            <w:r>
              <w:rPr>
                <w:rFonts w:hint="eastAsia" w:ascii="宋体" w:hAnsi="宋体" w:eastAsia="宋体"/>
                <w:color w:val="auto"/>
              </w:rPr>
              <w:t>分）</w:t>
            </w:r>
          </w:p>
        </w:tc>
        <w:tc>
          <w:tcPr>
            <w:tcW w:w="7394" w:type="dxa"/>
            <w:shd w:val="clear" w:color="auto" w:fill="FFFFFF"/>
            <w:noWrap/>
            <w:vAlign w:val="center"/>
          </w:tcPr>
          <w:p w14:paraId="1E599639">
            <w:pPr>
              <w:rPr>
                <w:rFonts w:hint="eastAsia" w:ascii="宋体" w:hAnsi="宋体" w:eastAsia="宋体"/>
                <w:color w:val="auto"/>
              </w:rPr>
            </w:pPr>
            <w:r>
              <w:rPr>
                <w:rFonts w:hint="eastAsia" w:ascii="宋体" w:hAnsi="宋体" w:eastAsia="宋体"/>
                <w:color w:val="auto"/>
              </w:rPr>
              <w:t>投标产品的基本功能、技术指标与需求的吻合程度和偏差情况（包括所投标产品的品牌、规格型号、详细配置、主要技术参数、随机软件等）。（</w:t>
            </w:r>
            <w:r>
              <w:rPr>
                <w:rFonts w:hint="eastAsia" w:ascii="宋体" w:hAnsi="宋体" w:eastAsia="宋体"/>
                <w:color w:val="auto"/>
                <w:lang w:val="en-US" w:eastAsia="zh-CN"/>
              </w:rPr>
              <w:t>32</w:t>
            </w:r>
            <w:r>
              <w:rPr>
                <w:rFonts w:hint="eastAsia" w:ascii="宋体" w:hAnsi="宋体" w:eastAsia="宋体"/>
                <w:color w:val="auto"/>
              </w:rPr>
              <w:t>分）</w:t>
            </w:r>
          </w:p>
          <w:p w14:paraId="1D37C5D8">
            <w:pPr>
              <w:rPr>
                <w:rFonts w:hint="eastAsia" w:ascii="宋体" w:hAnsi="宋体" w:eastAsia="宋体"/>
                <w:color w:val="auto"/>
                <w:lang w:val="en-US" w:eastAsia="zh-CN"/>
              </w:rPr>
            </w:pPr>
            <w:r>
              <w:rPr>
                <w:rFonts w:hint="eastAsia" w:ascii="宋体" w:hAnsi="宋体" w:eastAsia="宋体"/>
                <w:color w:val="auto"/>
                <w:lang w:val="en-US" w:eastAsia="zh-CN"/>
              </w:rPr>
              <w:t>1.打“</w:t>
            </w:r>
            <w:r>
              <w:rPr>
                <w:rFonts w:hint="eastAsia"/>
                <w:b/>
                <w:color w:val="auto"/>
              </w:rPr>
              <w:t>▲</w:t>
            </w:r>
            <w:r>
              <w:rPr>
                <w:rFonts w:hint="eastAsia" w:ascii="宋体" w:hAnsi="宋体" w:eastAsia="宋体"/>
                <w:color w:val="auto"/>
                <w:lang w:val="en-US" w:eastAsia="zh-CN"/>
              </w:rPr>
              <w:t>”技术参数每满足一项得1分，最多得24分。</w:t>
            </w:r>
          </w:p>
          <w:p w14:paraId="60FBC6B6">
            <w:pPr>
              <w:rPr>
                <w:rFonts w:hint="eastAsia" w:ascii="宋体" w:hAnsi="宋体" w:eastAsia="宋体" w:cs="宋体"/>
                <w:color w:val="auto"/>
                <w:lang w:val="en-US" w:eastAsia="zh-CN"/>
              </w:rPr>
            </w:pPr>
            <w:r>
              <w:rPr>
                <w:rFonts w:hint="eastAsia" w:ascii="宋体" w:hAnsi="宋体" w:eastAsia="宋体"/>
                <w:color w:val="auto"/>
                <w:lang w:val="en-US" w:eastAsia="zh-CN"/>
              </w:rPr>
              <w:t>2.除打</w:t>
            </w:r>
            <w:r>
              <w:rPr>
                <w:rFonts w:hint="eastAsia" w:ascii="宋体" w:hAnsi="宋体" w:eastAsia="宋体" w:cs="宋体"/>
                <w:color w:val="auto"/>
                <w:lang w:val="en-US" w:eastAsia="zh-CN"/>
              </w:rPr>
              <w:t>“▲”外其它技术参数（8分）：</w:t>
            </w:r>
          </w:p>
          <w:p w14:paraId="782F12E0">
            <w:pPr>
              <w:rPr>
                <w:rFonts w:hint="eastAsia" w:ascii="宋体" w:hAnsi="宋体" w:eastAsia="宋体" w:cs="宋体"/>
                <w:color w:val="auto"/>
                <w:lang w:val="en-US" w:eastAsia="zh-CN"/>
              </w:rPr>
            </w:pPr>
            <w:r>
              <w:rPr>
                <w:rFonts w:hint="eastAsia" w:ascii="宋体" w:hAnsi="宋体" w:eastAsia="宋体" w:cs="宋体"/>
                <w:color w:val="auto"/>
                <w:lang w:val="en-US" w:eastAsia="zh-CN"/>
              </w:rPr>
              <w:t>（1）遗传多样性分析设备：</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p w14:paraId="4DD195C2">
            <w:pPr>
              <w:rPr>
                <w:rFonts w:hint="eastAsia" w:ascii="宋体" w:hAnsi="宋体" w:eastAsia="宋体" w:cs="宋体"/>
                <w:color w:val="auto"/>
                <w:lang w:val="en-US" w:eastAsia="zh-CN"/>
              </w:rPr>
            </w:pPr>
            <w:r>
              <w:rPr>
                <w:rFonts w:hint="eastAsia" w:ascii="宋体" w:hAnsi="宋体" w:eastAsia="宋体" w:cs="宋体"/>
                <w:color w:val="auto"/>
                <w:lang w:val="en-US" w:eastAsia="zh-CN"/>
              </w:rPr>
              <w:t>（2）表型采集设备：</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p w14:paraId="375BF280">
            <w:pPr>
              <w:rPr>
                <w:rFonts w:hint="eastAsia" w:ascii="宋体" w:hAnsi="宋体" w:eastAsia="宋体" w:cs="宋体"/>
                <w:color w:val="auto"/>
                <w:lang w:val="en-US" w:eastAsia="zh-CN"/>
              </w:rPr>
            </w:pPr>
            <w:r>
              <w:rPr>
                <w:rFonts w:hint="eastAsia" w:ascii="宋体" w:hAnsi="宋体" w:eastAsia="宋体" w:cs="宋体"/>
                <w:color w:val="auto"/>
                <w:lang w:val="en-US" w:eastAsia="zh-CN"/>
              </w:rPr>
              <w:t>（3）超低温冰箱：</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p w14:paraId="1E18DEF4">
            <w:pPr>
              <w:rPr>
                <w:color w:val="auto"/>
              </w:rPr>
            </w:pPr>
            <w:r>
              <w:rPr>
                <w:rFonts w:hint="eastAsia" w:ascii="宋体" w:hAnsi="宋体" w:eastAsia="宋体" w:cs="宋体"/>
                <w:color w:val="auto"/>
                <w:lang w:val="en-US" w:eastAsia="zh-CN"/>
              </w:rPr>
              <w:t>（4）智能渔业养殖管理系统：</w:t>
            </w:r>
            <w:r>
              <w:rPr>
                <w:rFonts w:hint="eastAsia" w:ascii="宋体" w:hAnsi="宋体" w:eastAsia="宋体"/>
                <w:color w:val="auto"/>
                <w:lang w:val="en-US" w:eastAsia="zh-CN"/>
              </w:rPr>
              <w:t>技术参数完全满足得2分，其它不得分；</w:t>
            </w:r>
            <w:r>
              <w:rPr>
                <w:rFonts w:hint="eastAsia" w:ascii="宋体" w:hAnsi="宋体" w:eastAsia="宋体" w:cs="宋体"/>
                <w:color w:val="auto"/>
                <w:lang w:val="en-US" w:eastAsia="zh-CN"/>
              </w:rPr>
              <w:t xml:space="preserve"> </w:t>
            </w:r>
          </w:p>
        </w:tc>
        <w:tc>
          <w:tcPr>
            <w:tcW w:w="744" w:type="dxa"/>
            <w:noWrap/>
            <w:vAlign w:val="center"/>
          </w:tcPr>
          <w:p w14:paraId="1A753A83">
            <w:pPr>
              <w:ind w:firstLine="210" w:firstLineChars="100"/>
              <w:rPr>
                <w:rFonts w:hint="eastAsia" w:ascii="Times New Roman" w:hAnsi="Times New Roman" w:eastAsia="宋体"/>
                <w:lang w:val="en-US" w:eastAsia="zh-CN"/>
              </w:rPr>
            </w:pPr>
          </w:p>
        </w:tc>
      </w:tr>
      <w:tr w14:paraId="1C56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135" w:type="dxa"/>
            <w:vMerge w:val="continue"/>
            <w:noWrap/>
            <w:vAlign w:val="center"/>
          </w:tcPr>
          <w:p w14:paraId="5D8D4336">
            <w:pPr>
              <w:spacing w:line="312" w:lineRule="auto"/>
              <w:jc w:val="center"/>
              <w:rPr>
                <w:rFonts w:ascii="Times New Roman" w:hAnsi="Times New Roman" w:eastAsia="宋体"/>
              </w:rPr>
            </w:pPr>
          </w:p>
        </w:tc>
        <w:tc>
          <w:tcPr>
            <w:tcW w:w="1134" w:type="dxa"/>
            <w:vMerge w:val="continue"/>
            <w:noWrap/>
            <w:vAlign w:val="center"/>
          </w:tcPr>
          <w:p w14:paraId="0F586468">
            <w:pPr>
              <w:rPr>
                <w:rFonts w:hint="eastAsia" w:ascii="宋体" w:hAnsi="宋体" w:eastAsia="宋体"/>
              </w:rPr>
            </w:pPr>
          </w:p>
        </w:tc>
        <w:tc>
          <w:tcPr>
            <w:tcW w:w="7394" w:type="dxa"/>
            <w:shd w:val="clear" w:color="auto" w:fill="FFFFFF"/>
            <w:noWrap/>
            <w:vAlign w:val="center"/>
          </w:tcPr>
          <w:p w14:paraId="4D10B1F0">
            <w:pPr>
              <w:rPr>
                <w:rFonts w:hint="eastAsia" w:ascii="宋体" w:hAnsi="宋体" w:eastAsia="宋体"/>
              </w:rPr>
            </w:pPr>
            <w:r>
              <w:rPr>
                <w:rFonts w:hint="eastAsia" w:ascii="宋体" w:hAnsi="宋体" w:eastAsia="宋体"/>
              </w:rPr>
              <w:t>整体技术方案条理清晰，层次分明，操作性强, 其配置和性能完全满足本项目运行的需求的，得</w:t>
            </w:r>
            <w:r>
              <w:rPr>
                <w:rFonts w:hint="eastAsia" w:ascii="宋体" w:hAnsi="宋体" w:eastAsia="宋体"/>
                <w:lang w:val="en-US" w:eastAsia="zh-CN"/>
              </w:rPr>
              <w:t>8</w:t>
            </w:r>
            <w:r>
              <w:rPr>
                <w:rFonts w:hint="eastAsia" w:ascii="宋体" w:hAnsi="宋体" w:eastAsia="宋体"/>
              </w:rPr>
              <w:t>分；</w:t>
            </w:r>
          </w:p>
          <w:p w14:paraId="14871AF5">
            <w:pPr>
              <w:rPr>
                <w:rFonts w:hint="eastAsia" w:ascii="宋体" w:hAnsi="宋体" w:eastAsia="宋体"/>
              </w:rPr>
            </w:pPr>
            <w:r>
              <w:rPr>
                <w:rFonts w:hint="eastAsia" w:ascii="宋体" w:hAnsi="宋体" w:eastAsia="宋体"/>
              </w:rPr>
              <w:t>技术方案基本满足招标要求的，得</w:t>
            </w:r>
            <w:r>
              <w:rPr>
                <w:rFonts w:hint="eastAsia" w:ascii="宋体" w:hAnsi="宋体" w:eastAsia="宋体"/>
                <w:lang w:val="en-US" w:eastAsia="zh-CN"/>
              </w:rPr>
              <w:t>5</w:t>
            </w:r>
            <w:r>
              <w:rPr>
                <w:rFonts w:hint="eastAsia" w:ascii="宋体" w:hAnsi="宋体" w:eastAsia="宋体"/>
              </w:rPr>
              <w:t>分；</w:t>
            </w:r>
          </w:p>
          <w:p w14:paraId="1E21E985">
            <w:pPr>
              <w:rPr>
                <w:rFonts w:hint="eastAsia" w:ascii="宋体" w:hAnsi="宋体" w:eastAsia="宋体"/>
              </w:rPr>
            </w:pPr>
            <w:r>
              <w:rPr>
                <w:rFonts w:hint="eastAsia" w:ascii="宋体" w:hAnsi="宋体" w:eastAsia="宋体"/>
              </w:rPr>
              <w:t>技术方案简单的，得</w:t>
            </w:r>
            <w:r>
              <w:rPr>
                <w:rFonts w:hint="eastAsia" w:ascii="宋体" w:hAnsi="宋体" w:eastAsia="宋体"/>
                <w:lang w:val="en-US" w:eastAsia="zh-CN"/>
              </w:rPr>
              <w:t>2</w:t>
            </w:r>
            <w:r>
              <w:rPr>
                <w:rFonts w:hint="eastAsia" w:ascii="宋体" w:hAnsi="宋体" w:eastAsia="宋体"/>
              </w:rPr>
              <w:t>分；</w:t>
            </w:r>
          </w:p>
          <w:p w14:paraId="160855DB">
            <w:pPr>
              <w:rPr>
                <w:rFonts w:hint="eastAsia" w:ascii="宋体" w:hAnsi="宋体" w:eastAsia="宋体"/>
              </w:rPr>
            </w:pPr>
            <w:r>
              <w:rPr>
                <w:rFonts w:hint="eastAsia" w:ascii="宋体" w:hAnsi="宋体" w:eastAsia="宋体"/>
              </w:rPr>
              <w:t>完全不满足的不得分。</w:t>
            </w:r>
          </w:p>
        </w:tc>
        <w:tc>
          <w:tcPr>
            <w:tcW w:w="744" w:type="dxa"/>
            <w:noWrap/>
            <w:vAlign w:val="center"/>
          </w:tcPr>
          <w:p w14:paraId="58D2716C">
            <w:pPr>
              <w:ind w:firstLine="210" w:firstLineChars="100"/>
              <w:rPr>
                <w:rFonts w:ascii="Times New Roman" w:hAnsi="Times New Roman" w:eastAsia="宋体"/>
              </w:rPr>
            </w:pPr>
          </w:p>
        </w:tc>
      </w:tr>
      <w:tr w14:paraId="73FA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5" w:type="dxa"/>
            <w:vMerge w:val="continue"/>
            <w:noWrap/>
            <w:vAlign w:val="center"/>
          </w:tcPr>
          <w:p w14:paraId="2FE12E53">
            <w:pPr>
              <w:spacing w:line="312" w:lineRule="auto"/>
              <w:jc w:val="center"/>
              <w:rPr>
                <w:rFonts w:ascii="Times New Roman" w:hAnsi="Times New Roman" w:eastAsia="宋体"/>
              </w:rPr>
            </w:pPr>
          </w:p>
        </w:tc>
        <w:tc>
          <w:tcPr>
            <w:tcW w:w="1134" w:type="dxa"/>
            <w:noWrap/>
            <w:vAlign w:val="center"/>
          </w:tcPr>
          <w:p w14:paraId="6CBAE098">
            <w:pPr>
              <w:jc w:val="center"/>
              <w:rPr>
                <w:rFonts w:ascii="Times New Roman" w:hAnsi="Times New Roman" w:eastAsia="宋体"/>
              </w:rPr>
            </w:pPr>
            <w:r>
              <w:rPr>
                <w:rFonts w:hint="eastAsia" w:ascii="Times New Roman" w:hAnsi="Times New Roman" w:eastAsia="宋体"/>
              </w:rPr>
              <w:t>组织实施方案</w:t>
            </w:r>
          </w:p>
          <w:p w14:paraId="58471B22">
            <w:pPr>
              <w:jc w:val="center"/>
              <w:rPr>
                <w:rFonts w:ascii="Times New Roman" w:hAnsi="Times New Roman" w:eastAsia="宋体"/>
              </w:rPr>
            </w:pPr>
            <w:r>
              <w:rPr>
                <w:rFonts w:hint="eastAsia" w:ascii="Times New Roman" w:hAnsi="Times New Roman" w:eastAsia="宋体"/>
              </w:rPr>
              <w:t>（</w:t>
            </w:r>
            <w:r>
              <w:rPr>
                <w:rFonts w:hint="eastAsia" w:ascii="Times New Roman" w:hAnsi="Times New Roman" w:eastAsia="宋体"/>
                <w:lang w:val="en-US" w:eastAsia="zh-CN"/>
              </w:rPr>
              <w:t>8</w:t>
            </w:r>
            <w:r>
              <w:rPr>
                <w:rFonts w:hint="eastAsia" w:ascii="Times New Roman" w:hAnsi="Times New Roman" w:eastAsia="宋体"/>
              </w:rPr>
              <w:t>分）</w:t>
            </w:r>
          </w:p>
        </w:tc>
        <w:tc>
          <w:tcPr>
            <w:tcW w:w="7394" w:type="dxa"/>
            <w:shd w:val="clear" w:color="auto" w:fill="FFFFFF"/>
            <w:noWrap/>
            <w:vAlign w:val="center"/>
          </w:tcPr>
          <w:p w14:paraId="3AE8C131">
            <w:pPr>
              <w:adjustRightInd w:val="0"/>
              <w:snapToGrid w:val="0"/>
              <w:rPr>
                <w:rFonts w:ascii="Times New Roman" w:hAnsi="Times New Roman" w:eastAsia="宋体"/>
                <w:szCs w:val="21"/>
              </w:rPr>
            </w:pPr>
            <w:r>
              <w:rPr>
                <w:rFonts w:hint="eastAsia" w:ascii="Times New Roman" w:hAnsi="Times New Roman" w:eastAsia="宋体"/>
                <w:szCs w:val="21"/>
              </w:rPr>
              <w:t>投标人组织实施方案的完整性、合理性等：</w:t>
            </w:r>
          </w:p>
          <w:p w14:paraId="0E48467A">
            <w:pPr>
              <w:adjustRightInd w:val="0"/>
              <w:snapToGrid w:val="0"/>
              <w:rPr>
                <w:rFonts w:ascii="Times New Roman" w:hAnsi="Times New Roman" w:eastAsia="宋体"/>
                <w:szCs w:val="21"/>
              </w:rPr>
            </w:pPr>
            <w:r>
              <w:rPr>
                <w:rFonts w:hint="eastAsia" w:ascii="Times New Roman" w:hAnsi="Times New Roman" w:eastAsia="宋体"/>
                <w:szCs w:val="21"/>
              </w:rPr>
              <w:t>方案完整、合理，满足招标文件要求的，得</w:t>
            </w:r>
            <w:r>
              <w:rPr>
                <w:rFonts w:hint="eastAsia" w:ascii="Times New Roman" w:hAnsi="Times New Roman" w:eastAsia="宋体"/>
                <w:szCs w:val="21"/>
                <w:lang w:val="en-US" w:eastAsia="zh-CN"/>
              </w:rPr>
              <w:t>8</w:t>
            </w:r>
            <w:r>
              <w:rPr>
                <w:rFonts w:hint="eastAsia" w:ascii="Times New Roman" w:hAnsi="Times New Roman" w:eastAsia="宋体"/>
                <w:szCs w:val="21"/>
              </w:rPr>
              <w:t>分;</w:t>
            </w:r>
          </w:p>
          <w:p w14:paraId="05C4695A">
            <w:pPr>
              <w:adjustRightInd w:val="0"/>
              <w:snapToGrid w:val="0"/>
              <w:rPr>
                <w:rFonts w:ascii="Times New Roman" w:hAnsi="Times New Roman" w:eastAsia="宋体"/>
                <w:szCs w:val="21"/>
              </w:rPr>
            </w:pPr>
            <w:r>
              <w:rPr>
                <w:rFonts w:hint="eastAsia" w:ascii="Times New Roman" w:hAnsi="Times New Roman" w:eastAsia="宋体"/>
                <w:szCs w:val="21"/>
              </w:rPr>
              <w:t>方案较完整合理，基本满足招标文件要求的，得</w:t>
            </w:r>
            <w:r>
              <w:rPr>
                <w:rFonts w:hint="eastAsia" w:ascii="Times New Roman" w:hAnsi="Times New Roman" w:eastAsia="宋体"/>
                <w:szCs w:val="21"/>
                <w:lang w:val="en-US" w:eastAsia="zh-CN"/>
              </w:rPr>
              <w:t>5</w:t>
            </w:r>
            <w:r>
              <w:rPr>
                <w:rFonts w:hint="eastAsia" w:ascii="Times New Roman" w:hAnsi="Times New Roman" w:eastAsia="宋体"/>
                <w:szCs w:val="21"/>
              </w:rPr>
              <w:t>分;</w:t>
            </w:r>
          </w:p>
          <w:p w14:paraId="5B0A498E">
            <w:pPr>
              <w:adjustRightInd w:val="0"/>
              <w:snapToGrid w:val="0"/>
              <w:rPr>
                <w:rFonts w:ascii="Times New Roman" w:hAnsi="Times New Roman" w:eastAsia="宋体"/>
                <w:szCs w:val="21"/>
              </w:rPr>
            </w:pPr>
            <w:r>
              <w:rPr>
                <w:rFonts w:hint="eastAsia" w:ascii="Times New Roman" w:hAnsi="Times New Roman" w:eastAsia="宋体"/>
                <w:szCs w:val="21"/>
              </w:rPr>
              <w:t>方案简单的，得2分；</w:t>
            </w:r>
          </w:p>
          <w:p w14:paraId="34B4BEB4">
            <w:pPr>
              <w:adjustRightInd w:val="0"/>
              <w:snapToGrid w:val="0"/>
              <w:rPr>
                <w:rFonts w:ascii="Times New Roman" w:hAnsi="Calibri" w:eastAsia="宋体"/>
                <w:kern w:val="0"/>
              </w:rPr>
            </w:pPr>
            <w:r>
              <w:rPr>
                <w:rFonts w:hint="eastAsia" w:ascii="Times New Roman" w:hAnsi="Times New Roman" w:eastAsia="宋体"/>
                <w:szCs w:val="21"/>
              </w:rPr>
              <w:t>无法满足招标文件要求的不得分。</w:t>
            </w:r>
          </w:p>
        </w:tc>
        <w:tc>
          <w:tcPr>
            <w:tcW w:w="744" w:type="dxa"/>
            <w:noWrap/>
            <w:vAlign w:val="center"/>
          </w:tcPr>
          <w:p w14:paraId="1504CB5F">
            <w:pPr>
              <w:ind w:firstLine="210" w:firstLineChars="100"/>
              <w:rPr>
                <w:rFonts w:ascii="Times New Roman" w:hAnsi="Times New Roman" w:eastAsia="宋体"/>
              </w:rPr>
            </w:pPr>
          </w:p>
        </w:tc>
      </w:tr>
      <w:tr w14:paraId="7E53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135" w:type="dxa"/>
            <w:vMerge w:val="continue"/>
            <w:noWrap/>
            <w:vAlign w:val="center"/>
          </w:tcPr>
          <w:p w14:paraId="7426256C">
            <w:pPr>
              <w:spacing w:line="312" w:lineRule="auto"/>
              <w:jc w:val="center"/>
              <w:rPr>
                <w:rFonts w:ascii="Times New Roman" w:hAnsi="Times New Roman" w:eastAsia="宋体"/>
              </w:rPr>
            </w:pPr>
          </w:p>
        </w:tc>
        <w:tc>
          <w:tcPr>
            <w:tcW w:w="1134" w:type="dxa"/>
            <w:noWrap/>
            <w:vAlign w:val="center"/>
          </w:tcPr>
          <w:p w14:paraId="2532D5EB">
            <w:pPr>
              <w:adjustRightInd w:val="0"/>
              <w:snapToGrid w:val="0"/>
              <w:jc w:val="center"/>
              <w:rPr>
                <w:rFonts w:ascii="Times New Roman" w:hAnsi="Times New Roman" w:eastAsia="宋体"/>
                <w:szCs w:val="21"/>
              </w:rPr>
            </w:pPr>
            <w:r>
              <w:rPr>
                <w:rFonts w:hint="eastAsia" w:ascii="Times New Roman" w:hAnsi="Times New Roman" w:eastAsia="宋体"/>
                <w:szCs w:val="21"/>
              </w:rPr>
              <w:t>质量保证措施和交货情况</w:t>
            </w:r>
          </w:p>
          <w:p w14:paraId="717340DA">
            <w:pPr>
              <w:adjustRightInd w:val="0"/>
              <w:snapToGrid w:val="0"/>
              <w:jc w:val="center"/>
              <w:rPr>
                <w:rFonts w:hint="eastAsia" w:ascii="Times New Roman" w:hAnsi="Calibri" w:eastAsia="宋体"/>
                <w:kern w:val="0"/>
              </w:rPr>
            </w:pPr>
            <w:r>
              <w:rPr>
                <w:rFonts w:hint="eastAsia" w:ascii="Times New Roman" w:hAnsi="Times New Roman" w:eastAsia="宋体"/>
                <w:szCs w:val="21"/>
              </w:rPr>
              <w:t>（</w:t>
            </w:r>
            <w:r>
              <w:rPr>
                <w:rFonts w:hint="eastAsia" w:ascii="Times New Roman" w:hAnsi="Times New Roman" w:eastAsia="宋体"/>
                <w:szCs w:val="21"/>
                <w:lang w:val="en-US" w:eastAsia="zh-CN"/>
              </w:rPr>
              <w:t>7</w:t>
            </w:r>
            <w:r>
              <w:rPr>
                <w:rFonts w:hint="eastAsia" w:ascii="Times New Roman" w:hAnsi="Times New Roman" w:eastAsia="宋体"/>
                <w:szCs w:val="21"/>
              </w:rPr>
              <w:t>分）</w:t>
            </w:r>
          </w:p>
        </w:tc>
        <w:tc>
          <w:tcPr>
            <w:tcW w:w="7394" w:type="dxa"/>
            <w:shd w:val="clear" w:color="auto" w:fill="FFFFFF"/>
            <w:noWrap/>
            <w:vAlign w:val="center"/>
          </w:tcPr>
          <w:p w14:paraId="742D0B6E">
            <w:pPr>
              <w:adjustRightInd w:val="0"/>
              <w:snapToGrid w:val="0"/>
              <w:rPr>
                <w:rFonts w:ascii="Times New Roman" w:hAnsi="Times New Roman" w:eastAsia="宋体"/>
                <w:szCs w:val="21"/>
              </w:rPr>
            </w:pPr>
            <w:r>
              <w:rPr>
                <w:rFonts w:hint="eastAsia" w:ascii="Times New Roman" w:hAnsi="Times New Roman" w:eastAsia="宋体"/>
                <w:szCs w:val="21"/>
              </w:rPr>
              <w:t>有明确的建设质量目标，按期完成设备供货、运行等措施：</w:t>
            </w:r>
          </w:p>
          <w:p w14:paraId="44E66EC3">
            <w:pPr>
              <w:adjustRightInd w:val="0"/>
              <w:snapToGrid w:val="0"/>
              <w:rPr>
                <w:rFonts w:ascii="Times New Roman" w:hAnsi="Times New Roman" w:eastAsia="宋体"/>
                <w:szCs w:val="21"/>
              </w:rPr>
            </w:pPr>
            <w:r>
              <w:rPr>
                <w:rFonts w:hint="eastAsia" w:ascii="Times New Roman" w:hAnsi="Times New Roman" w:eastAsia="宋体"/>
                <w:szCs w:val="21"/>
              </w:rPr>
              <w:t>实施内容完整全面的，得</w:t>
            </w:r>
            <w:r>
              <w:rPr>
                <w:rFonts w:hint="eastAsia" w:ascii="Times New Roman" w:hAnsi="Times New Roman" w:eastAsia="宋体"/>
                <w:szCs w:val="21"/>
                <w:lang w:val="en-US" w:eastAsia="zh-CN"/>
              </w:rPr>
              <w:t>7</w:t>
            </w:r>
            <w:r>
              <w:rPr>
                <w:rFonts w:hint="eastAsia" w:ascii="Times New Roman" w:hAnsi="Times New Roman" w:eastAsia="宋体"/>
                <w:szCs w:val="21"/>
              </w:rPr>
              <w:t>分；</w:t>
            </w:r>
          </w:p>
          <w:p w14:paraId="4A5CF4CD">
            <w:pPr>
              <w:adjustRightInd w:val="0"/>
              <w:snapToGrid w:val="0"/>
              <w:rPr>
                <w:rFonts w:ascii="Times New Roman" w:hAnsi="Times New Roman" w:eastAsia="宋体"/>
                <w:szCs w:val="21"/>
              </w:rPr>
            </w:pPr>
            <w:r>
              <w:rPr>
                <w:rFonts w:hint="eastAsia" w:ascii="Times New Roman" w:hAnsi="Times New Roman" w:eastAsia="宋体"/>
                <w:szCs w:val="21"/>
              </w:rPr>
              <w:t>实施内容较完整的，得</w:t>
            </w:r>
            <w:r>
              <w:rPr>
                <w:rFonts w:hint="eastAsia" w:ascii="Times New Roman" w:hAnsi="Times New Roman" w:eastAsia="宋体"/>
                <w:szCs w:val="21"/>
                <w:lang w:val="en-US" w:eastAsia="zh-CN"/>
              </w:rPr>
              <w:t>4</w:t>
            </w:r>
            <w:r>
              <w:rPr>
                <w:rFonts w:hint="eastAsia" w:ascii="Times New Roman" w:hAnsi="Times New Roman" w:eastAsia="宋体"/>
                <w:szCs w:val="21"/>
              </w:rPr>
              <w:t>分；</w:t>
            </w:r>
          </w:p>
          <w:p w14:paraId="66FE9C33">
            <w:pPr>
              <w:adjustRightInd w:val="0"/>
              <w:snapToGrid w:val="0"/>
              <w:rPr>
                <w:rFonts w:ascii="Times New Roman" w:hAnsi="Times New Roman" w:eastAsia="宋体"/>
                <w:szCs w:val="21"/>
              </w:rPr>
            </w:pPr>
            <w:r>
              <w:rPr>
                <w:rFonts w:hint="eastAsia" w:ascii="Times New Roman" w:hAnsi="Times New Roman" w:eastAsia="宋体"/>
                <w:szCs w:val="21"/>
              </w:rPr>
              <w:t>实施内容不够完整的，得2分；</w:t>
            </w:r>
          </w:p>
          <w:p w14:paraId="14B01FC5">
            <w:pPr>
              <w:adjustRightInd w:val="0"/>
              <w:snapToGrid w:val="0"/>
              <w:rPr>
                <w:rFonts w:hint="eastAsia" w:ascii="Times New Roman" w:hAnsi="Times New Roman" w:eastAsia="宋体"/>
                <w:szCs w:val="21"/>
              </w:rPr>
            </w:pPr>
            <w:r>
              <w:rPr>
                <w:rFonts w:hint="eastAsia" w:ascii="Times New Roman" w:hAnsi="Times New Roman" w:eastAsia="宋体"/>
                <w:szCs w:val="21"/>
              </w:rPr>
              <w:t>未响应或未提及不得分。</w:t>
            </w:r>
          </w:p>
        </w:tc>
        <w:tc>
          <w:tcPr>
            <w:tcW w:w="744" w:type="dxa"/>
            <w:noWrap/>
            <w:vAlign w:val="center"/>
          </w:tcPr>
          <w:p w14:paraId="7A62BC2C">
            <w:pPr>
              <w:ind w:firstLine="210" w:firstLineChars="100"/>
              <w:rPr>
                <w:rFonts w:ascii="Times New Roman" w:hAnsi="Times New Roman" w:eastAsia="宋体"/>
              </w:rPr>
            </w:pPr>
          </w:p>
        </w:tc>
      </w:tr>
      <w:tr w14:paraId="1C70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1135" w:type="dxa"/>
            <w:vMerge w:val="continue"/>
            <w:noWrap/>
            <w:vAlign w:val="center"/>
          </w:tcPr>
          <w:p w14:paraId="1F2E2971">
            <w:pPr>
              <w:spacing w:line="312" w:lineRule="auto"/>
              <w:jc w:val="center"/>
              <w:rPr>
                <w:rFonts w:ascii="Times New Roman" w:hAnsi="Times New Roman" w:eastAsia="宋体"/>
              </w:rPr>
            </w:pPr>
          </w:p>
        </w:tc>
        <w:tc>
          <w:tcPr>
            <w:tcW w:w="1134" w:type="dxa"/>
            <w:vMerge w:val="restart"/>
            <w:noWrap/>
            <w:vAlign w:val="center"/>
          </w:tcPr>
          <w:p w14:paraId="76769C3D">
            <w:pPr>
              <w:jc w:val="center"/>
              <w:rPr>
                <w:rFonts w:ascii="Times New Roman" w:hAnsi="Calibri" w:eastAsia="宋体"/>
                <w:kern w:val="0"/>
              </w:rPr>
            </w:pPr>
            <w:r>
              <w:rPr>
                <w:rFonts w:hint="eastAsia" w:ascii="Times New Roman" w:hAnsi="Calibri" w:eastAsia="宋体"/>
                <w:kern w:val="0"/>
              </w:rPr>
              <w:t>售后服务方案情况（</w:t>
            </w:r>
            <w:r>
              <w:rPr>
                <w:rFonts w:hint="eastAsia" w:ascii="Times New Roman" w:hAnsi="Calibri" w:eastAsia="宋体"/>
                <w:kern w:val="0"/>
                <w:lang w:val="en-US" w:eastAsia="zh-CN"/>
              </w:rPr>
              <w:t>7</w:t>
            </w:r>
            <w:r>
              <w:rPr>
                <w:rFonts w:hint="eastAsia" w:ascii="Times New Roman" w:hAnsi="Calibri" w:eastAsia="宋体"/>
                <w:kern w:val="0"/>
              </w:rPr>
              <w:t>分）</w:t>
            </w:r>
          </w:p>
        </w:tc>
        <w:tc>
          <w:tcPr>
            <w:tcW w:w="7394" w:type="dxa"/>
            <w:shd w:val="clear" w:color="auto" w:fill="FFFFFF"/>
            <w:noWrap/>
            <w:vAlign w:val="center"/>
          </w:tcPr>
          <w:p w14:paraId="3F54C1AD">
            <w:pPr>
              <w:adjustRightInd w:val="0"/>
              <w:snapToGrid w:val="0"/>
              <w:rPr>
                <w:rFonts w:ascii="Times New Roman" w:hAnsi="Times New Roman" w:eastAsia="宋体"/>
                <w:szCs w:val="21"/>
              </w:rPr>
            </w:pPr>
            <w:r>
              <w:rPr>
                <w:rFonts w:hint="eastAsia" w:ascii="Times New Roman" w:hAnsi="Times New Roman" w:eastAsia="宋体"/>
                <w:szCs w:val="21"/>
              </w:rPr>
              <w:t>投标人提供的售后服务内容承诺和保障措施、故障修复时间、优惠条件、质保期、服务网点等情况；对该项目提供全程的维修服务和系统保障。</w:t>
            </w:r>
          </w:p>
          <w:p w14:paraId="3196EAE2">
            <w:pPr>
              <w:adjustRightInd w:val="0"/>
              <w:snapToGrid w:val="0"/>
              <w:rPr>
                <w:rFonts w:ascii="Times New Roman" w:hAnsi="Times New Roman" w:eastAsia="宋体"/>
                <w:szCs w:val="21"/>
              </w:rPr>
            </w:pPr>
            <w:r>
              <w:rPr>
                <w:rFonts w:hint="eastAsia" w:ascii="Times New Roman" w:hAnsi="Times New Roman" w:eastAsia="宋体"/>
                <w:szCs w:val="21"/>
              </w:rPr>
              <w:t>售后服务承诺完整，保障措施全面的，得</w:t>
            </w:r>
            <w:r>
              <w:rPr>
                <w:rFonts w:hint="eastAsia" w:ascii="Times New Roman" w:hAnsi="Times New Roman" w:eastAsia="宋体"/>
                <w:szCs w:val="21"/>
                <w:lang w:val="en-US" w:eastAsia="zh-CN"/>
              </w:rPr>
              <w:t>3</w:t>
            </w:r>
            <w:r>
              <w:rPr>
                <w:rFonts w:hint="eastAsia" w:ascii="Times New Roman" w:hAnsi="Times New Roman" w:eastAsia="宋体"/>
                <w:szCs w:val="21"/>
              </w:rPr>
              <w:t>分；</w:t>
            </w:r>
          </w:p>
          <w:p w14:paraId="05BD9C33">
            <w:pPr>
              <w:adjustRightInd w:val="0"/>
              <w:snapToGrid w:val="0"/>
              <w:rPr>
                <w:rFonts w:ascii="Times New Roman" w:hAnsi="Times New Roman" w:eastAsia="宋体"/>
                <w:szCs w:val="21"/>
              </w:rPr>
            </w:pPr>
            <w:r>
              <w:rPr>
                <w:rFonts w:hint="eastAsia" w:ascii="Times New Roman" w:hAnsi="Times New Roman" w:eastAsia="宋体"/>
                <w:szCs w:val="21"/>
              </w:rPr>
              <w:t>售后服务承诺基本完整的，得</w:t>
            </w:r>
            <w:r>
              <w:rPr>
                <w:rFonts w:hint="eastAsia" w:ascii="Times New Roman" w:hAnsi="Times New Roman" w:eastAsia="宋体"/>
                <w:szCs w:val="21"/>
                <w:lang w:val="en-US" w:eastAsia="zh-CN"/>
              </w:rPr>
              <w:t>1</w:t>
            </w:r>
            <w:r>
              <w:rPr>
                <w:rFonts w:hint="eastAsia" w:ascii="Times New Roman" w:hAnsi="Times New Roman" w:eastAsia="宋体"/>
                <w:szCs w:val="21"/>
              </w:rPr>
              <w:t>分；</w:t>
            </w:r>
          </w:p>
          <w:p w14:paraId="561DF790">
            <w:pPr>
              <w:adjustRightInd w:val="0"/>
              <w:snapToGrid w:val="0"/>
              <w:rPr>
                <w:rFonts w:ascii="Times New Roman" w:hAnsi="Times New Roman" w:eastAsia="宋体"/>
                <w:szCs w:val="21"/>
              </w:rPr>
            </w:pPr>
            <w:r>
              <w:rPr>
                <w:rFonts w:hint="eastAsia" w:ascii="Times New Roman" w:hAnsi="Times New Roman" w:eastAsia="宋体"/>
                <w:szCs w:val="21"/>
              </w:rPr>
              <w:t>未响应或未提及不得分。</w:t>
            </w:r>
          </w:p>
        </w:tc>
        <w:tc>
          <w:tcPr>
            <w:tcW w:w="744" w:type="dxa"/>
            <w:noWrap/>
            <w:vAlign w:val="center"/>
          </w:tcPr>
          <w:p w14:paraId="56AF4181">
            <w:pPr>
              <w:ind w:firstLine="210" w:firstLineChars="100"/>
              <w:rPr>
                <w:rFonts w:ascii="Times New Roman" w:hAnsi="Times New Roman" w:eastAsia="宋体"/>
              </w:rPr>
            </w:pPr>
          </w:p>
        </w:tc>
      </w:tr>
      <w:tr w14:paraId="1CB2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1135" w:type="dxa"/>
            <w:vMerge w:val="continue"/>
            <w:noWrap/>
            <w:vAlign w:val="center"/>
          </w:tcPr>
          <w:p w14:paraId="2D3B15F6">
            <w:pPr>
              <w:spacing w:line="312" w:lineRule="auto"/>
              <w:jc w:val="center"/>
              <w:rPr>
                <w:rFonts w:ascii="Times New Roman" w:hAnsi="Times New Roman" w:eastAsia="宋体"/>
              </w:rPr>
            </w:pPr>
          </w:p>
        </w:tc>
        <w:tc>
          <w:tcPr>
            <w:tcW w:w="1134" w:type="dxa"/>
            <w:vMerge w:val="continue"/>
            <w:noWrap/>
            <w:vAlign w:val="center"/>
          </w:tcPr>
          <w:p w14:paraId="2231E0F0">
            <w:pPr>
              <w:jc w:val="center"/>
              <w:rPr>
                <w:rFonts w:ascii="Times New Roman" w:hAnsi="Calibri" w:eastAsia="宋体"/>
                <w:kern w:val="0"/>
              </w:rPr>
            </w:pPr>
          </w:p>
        </w:tc>
        <w:tc>
          <w:tcPr>
            <w:tcW w:w="7394" w:type="dxa"/>
            <w:shd w:val="clear" w:color="auto" w:fill="FFFFFF"/>
            <w:noWrap/>
            <w:vAlign w:val="center"/>
          </w:tcPr>
          <w:p w14:paraId="64E38245">
            <w:pPr>
              <w:pStyle w:val="22"/>
              <w:adjustRightInd w:val="0"/>
              <w:snapToGrid w:val="0"/>
              <w:rPr>
                <w:rFonts w:hint="eastAsia" w:eastAsia="宋体"/>
                <w:szCs w:val="21"/>
                <w:lang w:eastAsia="zh-CN"/>
              </w:rPr>
            </w:pPr>
            <w:r>
              <w:rPr>
                <w:rFonts w:hint="eastAsia" w:ascii="Times New Roman" w:hAnsi="Times New Roman" w:eastAsia="宋体" w:cs="Times New Roman"/>
                <w:lang w:val="en-US" w:eastAsia="zh-CN"/>
              </w:rPr>
              <w:t>质保期</w:t>
            </w:r>
            <w:r>
              <w:rPr>
                <w:rFonts w:hint="default" w:ascii="Times New Roman" w:hAnsi="Times New Roman" w:eastAsia="宋体" w:cs="Times New Roman"/>
              </w:rPr>
              <w:t>每增加1年加1分，本项最高得1分</w:t>
            </w:r>
            <w:r>
              <w:rPr>
                <w:rFonts w:hint="eastAsia" w:ascii="Times New Roman" w:hAnsi="Times New Roman" w:eastAsia="宋体" w:cs="Times New Roman"/>
                <w:lang w:eastAsia="zh-CN"/>
              </w:rPr>
              <w:t>。</w:t>
            </w:r>
          </w:p>
        </w:tc>
        <w:tc>
          <w:tcPr>
            <w:tcW w:w="744" w:type="dxa"/>
            <w:noWrap/>
            <w:vAlign w:val="center"/>
          </w:tcPr>
          <w:p w14:paraId="30732AB8">
            <w:pPr>
              <w:ind w:firstLine="210" w:firstLineChars="100"/>
              <w:rPr>
                <w:rFonts w:hint="eastAsia" w:ascii="Times New Roman" w:hAnsi="Times New Roman" w:eastAsia="宋体"/>
                <w:lang w:val="en-US" w:eastAsia="zh-CN"/>
              </w:rPr>
            </w:pPr>
          </w:p>
        </w:tc>
      </w:tr>
      <w:tr w14:paraId="2AF8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135" w:type="dxa"/>
            <w:vMerge w:val="continue"/>
            <w:noWrap/>
            <w:vAlign w:val="center"/>
          </w:tcPr>
          <w:p w14:paraId="6ECB8447">
            <w:pPr>
              <w:spacing w:line="312" w:lineRule="auto"/>
              <w:jc w:val="center"/>
              <w:rPr>
                <w:rFonts w:ascii="Times New Roman" w:hAnsi="Times New Roman" w:eastAsia="宋体"/>
              </w:rPr>
            </w:pPr>
          </w:p>
        </w:tc>
        <w:tc>
          <w:tcPr>
            <w:tcW w:w="1134" w:type="dxa"/>
            <w:vMerge w:val="continue"/>
            <w:noWrap/>
            <w:vAlign w:val="center"/>
          </w:tcPr>
          <w:p w14:paraId="4EC65343">
            <w:pPr>
              <w:jc w:val="center"/>
              <w:rPr>
                <w:rFonts w:ascii="Times New Roman" w:hAnsi="Calibri" w:eastAsia="宋体"/>
                <w:kern w:val="0"/>
              </w:rPr>
            </w:pPr>
          </w:p>
        </w:tc>
        <w:tc>
          <w:tcPr>
            <w:tcW w:w="7394" w:type="dxa"/>
            <w:shd w:val="clear" w:color="auto" w:fill="FFFFFF"/>
            <w:noWrap/>
            <w:vAlign w:val="center"/>
          </w:tcPr>
          <w:p w14:paraId="3D7021AF">
            <w:pPr>
              <w:snapToGrid w:val="0"/>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售后服务承诺1个小时内（含）到达现场的得3分；</w:t>
            </w:r>
          </w:p>
          <w:p w14:paraId="262A5C14">
            <w:pPr>
              <w:snapToGrid w:val="0"/>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2个小时内（含）到达现场的得1分，其它不得分。</w:t>
            </w:r>
          </w:p>
          <w:p w14:paraId="57F72F53">
            <w:pPr>
              <w:pStyle w:val="22"/>
              <w:adjustRightInd w:val="0"/>
              <w:snapToGrid w:val="0"/>
              <w:rPr>
                <w:b/>
                <w:bCs/>
                <w:szCs w:val="21"/>
              </w:rPr>
            </w:pPr>
            <w:r>
              <w:rPr>
                <w:rFonts w:hint="eastAsia" w:ascii="Times New Roman" w:hAnsi="Times New Roman" w:eastAsia="宋体" w:cs="Times New Roman"/>
                <w:b/>
                <w:bCs/>
                <w:szCs w:val="21"/>
              </w:rPr>
              <w:t>（须承诺或提供相关证明文件，无承诺或未提供相关证明文件都不得分，若先承诺，中标后</w:t>
            </w:r>
            <w:r>
              <w:rPr>
                <w:rFonts w:ascii="Times New Roman" w:hAnsi="Times New Roman" w:eastAsia="宋体" w:cs="Times New Roman"/>
                <w:b/>
                <w:bCs/>
                <w:szCs w:val="21"/>
              </w:rPr>
              <w:t>7个工作日内提供相关证明文件，无法提供作无效标处理，并承担相关责任。）</w:t>
            </w:r>
          </w:p>
        </w:tc>
        <w:tc>
          <w:tcPr>
            <w:tcW w:w="744" w:type="dxa"/>
            <w:noWrap/>
            <w:vAlign w:val="center"/>
          </w:tcPr>
          <w:p w14:paraId="0912A2B5">
            <w:pPr>
              <w:ind w:firstLine="210" w:firstLineChars="100"/>
              <w:rPr>
                <w:rFonts w:hint="default" w:ascii="Times New Roman" w:hAnsi="Times New Roman" w:eastAsia="宋体"/>
                <w:lang w:val="en-US" w:eastAsia="zh-CN"/>
              </w:rPr>
            </w:pPr>
          </w:p>
        </w:tc>
      </w:tr>
      <w:tr w14:paraId="6096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35" w:type="dxa"/>
            <w:vMerge w:val="continue"/>
            <w:noWrap/>
            <w:vAlign w:val="center"/>
          </w:tcPr>
          <w:p w14:paraId="5FD7E171">
            <w:pPr>
              <w:spacing w:line="312" w:lineRule="auto"/>
              <w:jc w:val="center"/>
              <w:rPr>
                <w:rFonts w:ascii="Times New Roman" w:hAnsi="Times New Roman" w:eastAsia="宋体"/>
              </w:rPr>
            </w:pPr>
          </w:p>
        </w:tc>
        <w:tc>
          <w:tcPr>
            <w:tcW w:w="1134" w:type="dxa"/>
            <w:noWrap/>
            <w:vAlign w:val="center"/>
          </w:tcPr>
          <w:p w14:paraId="77F0A1FC">
            <w:pPr>
              <w:jc w:val="center"/>
              <w:rPr>
                <w:rFonts w:ascii="Times New Roman" w:hAnsi="Times New Roman" w:eastAsia="宋体"/>
              </w:rPr>
            </w:pPr>
            <w:r>
              <w:rPr>
                <w:rFonts w:hint="eastAsia" w:ascii="Times New Roman" w:hAnsi="Times New Roman" w:eastAsia="宋体"/>
              </w:rPr>
              <w:t>培训方案（</w:t>
            </w:r>
            <w:r>
              <w:rPr>
                <w:rFonts w:hint="eastAsia" w:ascii="Times New Roman" w:hAnsi="Times New Roman" w:eastAsia="宋体"/>
                <w:lang w:val="en-US" w:eastAsia="zh-CN"/>
              </w:rPr>
              <w:t>5</w:t>
            </w:r>
            <w:r>
              <w:rPr>
                <w:rFonts w:hint="eastAsia" w:ascii="Times New Roman" w:hAnsi="Times New Roman" w:eastAsia="宋体"/>
              </w:rPr>
              <w:t>分）</w:t>
            </w:r>
          </w:p>
        </w:tc>
        <w:tc>
          <w:tcPr>
            <w:tcW w:w="7394" w:type="dxa"/>
            <w:noWrap/>
            <w:vAlign w:val="center"/>
          </w:tcPr>
          <w:p w14:paraId="65833D00">
            <w:pPr>
              <w:rPr>
                <w:rFonts w:hint="eastAsia" w:ascii="宋体" w:hAnsi="宋体" w:eastAsia="宋体"/>
                <w:szCs w:val="21"/>
              </w:rPr>
            </w:pPr>
            <w:r>
              <w:rPr>
                <w:rFonts w:hint="eastAsia" w:ascii="宋体" w:hAnsi="宋体" w:eastAsia="宋体"/>
                <w:szCs w:val="21"/>
              </w:rPr>
              <w:t>投标人提出的培训计划完整合理；</w:t>
            </w:r>
          </w:p>
          <w:p w14:paraId="76C81DF6">
            <w:pPr>
              <w:rPr>
                <w:rFonts w:hint="eastAsia" w:ascii="宋体" w:hAnsi="宋体" w:eastAsia="宋体"/>
                <w:szCs w:val="21"/>
              </w:rPr>
            </w:pPr>
            <w:r>
              <w:rPr>
                <w:rFonts w:hint="eastAsia" w:ascii="宋体" w:hAnsi="宋体" w:eastAsia="宋体"/>
                <w:szCs w:val="21"/>
              </w:rPr>
              <w:t>方案完整合理的，得</w:t>
            </w:r>
            <w:r>
              <w:rPr>
                <w:rFonts w:hint="eastAsia" w:ascii="宋体" w:hAnsi="宋体" w:eastAsia="宋体"/>
                <w:szCs w:val="21"/>
                <w:lang w:val="en-US" w:eastAsia="zh-CN"/>
              </w:rPr>
              <w:t>5</w:t>
            </w:r>
            <w:r>
              <w:rPr>
                <w:rFonts w:hint="eastAsia" w:ascii="宋体" w:hAnsi="宋体" w:eastAsia="宋体"/>
                <w:szCs w:val="21"/>
              </w:rPr>
              <w:t>分；</w:t>
            </w:r>
          </w:p>
          <w:p w14:paraId="03F23F1B">
            <w:pPr>
              <w:rPr>
                <w:rFonts w:hint="eastAsia" w:ascii="宋体" w:hAnsi="宋体" w:eastAsia="宋体"/>
                <w:szCs w:val="21"/>
              </w:rPr>
            </w:pPr>
            <w:r>
              <w:rPr>
                <w:rFonts w:hint="eastAsia" w:ascii="宋体" w:hAnsi="宋体" w:eastAsia="宋体"/>
                <w:szCs w:val="21"/>
              </w:rPr>
              <w:t>方案基本合理的，得</w:t>
            </w:r>
            <w:r>
              <w:rPr>
                <w:rFonts w:hint="eastAsia" w:ascii="宋体" w:hAnsi="宋体" w:eastAsia="宋体"/>
                <w:szCs w:val="21"/>
                <w:lang w:val="en-US" w:eastAsia="zh-CN"/>
              </w:rPr>
              <w:t>2</w:t>
            </w:r>
            <w:r>
              <w:rPr>
                <w:rFonts w:hint="eastAsia" w:ascii="宋体" w:hAnsi="宋体" w:eastAsia="宋体"/>
                <w:szCs w:val="21"/>
              </w:rPr>
              <w:t>分；</w:t>
            </w:r>
            <w:r>
              <w:rPr>
                <w:rFonts w:hint="eastAsia" w:ascii="Times New Roman" w:hAnsi="Times New Roman" w:eastAsia="宋体"/>
                <w:szCs w:val="21"/>
              </w:rPr>
              <w:t>未响应或未提及不得分。</w:t>
            </w:r>
          </w:p>
        </w:tc>
        <w:tc>
          <w:tcPr>
            <w:tcW w:w="744" w:type="dxa"/>
            <w:noWrap/>
            <w:vAlign w:val="center"/>
          </w:tcPr>
          <w:p w14:paraId="7F6BAB46">
            <w:pPr>
              <w:ind w:firstLine="210" w:firstLineChars="100"/>
              <w:rPr>
                <w:rFonts w:ascii="Times New Roman" w:hAnsi="Times New Roman" w:eastAsia="宋体"/>
              </w:rPr>
            </w:pPr>
          </w:p>
        </w:tc>
      </w:tr>
      <w:tr w14:paraId="4C19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35" w:type="dxa"/>
            <w:noWrap/>
            <w:vAlign w:val="center"/>
          </w:tcPr>
          <w:p w14:paraId="0A9F8039">
            <w:pPr>
              <w:widowControl/>
              <w:spacing w:line="312" w:lineRule="auto"/>
              <w:ind w:right="-341"/>
              <w:rPr>
                <w:rFonts w:ascii="Times New Roman" w:hAnsi="Times New Roman" w:eastAsia="宋体"/>
              </w:rPr>
            </w:pPr>
            <w:r>
              <w:rPr>
                <w:rFonts w:hint="eastAsia" w:ascii="Times New Roman" w:hAnsi="Times New Roman" w:eastAsia="宋体"/>
              </w:rPr>
              <w:t>价格得分</w:t>
            </w:r>
          </w:p>
          <w:p w14:paraId="2406C71A">
            <w:pPr>
              <w:widowControl/>
              <w:spacing w:line="312" w:lineRule="auto"/>
              <w:ind w:right="-341"/>
              <w:rPr>
                <w:rFonts w:ascii="Times New Roman" w:hAnsi="Times New Roman" w:eastAsia="宋体"/>
              </w:rPr>
            </w:pPr>
            <w:r>
              <w:rPr>
                <w:rFonts w:hint="eastAsia" w:ascii="Times New Roman" w:hAnsi="Times New Roman" w:eastAsia="宋体"/>
              </w:rPr>
              <w:t>（</w:t>
            </w:r>
            <w:r>
              <w:rPr>
                <w:rFonts w:ascii="Times New Roman" w:hAnsi="Times New Roman" w:eastAsia="宋体"/>
              </w:rPr>
              <w:t>30</w:t>
            </w:r>
            <w:r>
              <w:rPr>
                <w:rFonts w:hint="eastAsia" w:ascii="Times New Roman" w:hAnsi="Times New Roman" w:eastAsia="宋体"/>
              </w:rPr>
              <w:t>分）</w:t>
            </w:r>
          </w:p>
        </w:tc>
        <w:tc>
          <w:tcPr>
            <w:tcW w:w="8528" w:type="dxa"/>
            <w:gridSpan w:val="2"/>
            <w:noWrap/>
            <w:vAlign w:val="center"/>
          </w:tcPr>
          <w:p w14:paraId="3310F35B">
            <w:pPr>
              <w:spacing w:line="312" w:lineRule="auto"/>
              <w:ind w:right="-341"/>
              <w:rPr>
                <w:rFonts w:ascii="Times New Roman" w:hAnsi="Times New Roman" w:eastAsia="宋体"/>
              </w:rPr>
            </w:pPr>
            <w:r>
              <w:rPr>
                <w:rFonts w:hint="eastAsia" w:ascii="Times New Roman" w:hAnsi="Times New Roman" w:eastAsia="宋体"/>
              </w:rPr>
              <w:t>满足投标文件要求且投标报价最低的为评标基准价，其价格分为满分，其他投标人的价格分按下列公式计算：价格得分＝（评标基准价</w:t>
            </w:r>
            <w:r>
              <w:rPr>
                <w:rFonts w:ascii="Times New Roman" w:hAnsi="Times New Roman" w:eastAsia="宋体"/>
              </w:rPr>
              <w:t>/</w:t>
            </w:r>
            <w:r>
              <w:rPr>
                <w:rFonts w:hint="eastAsia" w:ascii="Times New Roman" w:hAnsi="Times New Roman" w:eastAsia="宋体"/>
              </w:rPr>
              <w:t>投标报价）</w:t>
            </w:r>
            <w:r>
              <w:rPr>
                <w:rFonts w:ascii="Times New Roman" w:hAnsi="Times New Roman" w:eastAsia="宋体"/>
              </w:rPr>
              <w:t>×</w:t>
            </w:r>
            <w:r>
              <w:rPr>
                <w:rFonts w:hint="eastAsia" w:ascii="Times New Roman" w:hAnsi="Times New Roman" w:eastAsia="宋体"/>
              </w:rPr>
              <w:t>价格权重</w:t>
            </w:r>
            <w:r>
              <w:rPr>
                <w:rFonts w:ascii="Times New Roman" w:hAnsi="Times New Roman" w:eastAsia="宋体"/>
              </w:rPr>
              <w:t>×100</w:t>
            </w:r>
            <w:r>
              <w:rPr>
                <w:rFonts w:hint="eastAsia" w:ascii="Times New Roman" w:hAnsi="Times New Roman" w:eastAsia="宋体"/>
              </w:rPr>
              <w:t>。</w:t>
            </w:r>
          </w:p>
        </w:tc>
        <w:tc>
          <w:tcPr>
            <w:tcW w:w="744" w:type="dxa"/>
            <w:noWrap/>
          </w:tcPr>
          <w:p w14:paraId="2C54CBC4">
            <w:pPr>
              <w:ind w:firstLine="210" w:firstLineChars="100"/>
              <w:rPr>
                <w:rFonts w:ascii="Times New Roman" w:hAnsi="Times New Roman" w:eastAsia="宋体"/>
              </w:rPr>
            </w:pPr>
          </w:p>
        </w:tc>
      </w:tr>
    </w:tbl>
    <w:p w14:paraId="1F8A5700">
      <w:pPr>
        <w:spacing w:line="440" w:lineRule="exact"/>
        <w:jc w:val="center"/>
        <w:rPr>
          <w:rFonts w:hint="eastAsia" w:ascii="Times New Roman" w:hAnsi="Times New Roman" w:eastAsia="黑体" w:cs="Times New Roman"/>
          <w:sz w:val="30"/>
        </w:rPr>
      </w:pPr>
    </w:p>
    <w:p w14:paraId="4E388001">
      <w:pPr>
        <w:spacing w:line="440" w:lineRule="exact"/>
        <w:jc w:val="center"/>
        <w:rPr>
          <w:rFonts w:hint="eastAsia"/>
        </w:rPr>
      </w:pPr>
      <w:r>
        <w:rPr>
          <w:rFonts w:hint="eastAsia" w:ascii="Times New Roman" w:hAnsi="Times New Roman" w:eastAsia="黑体" w:cs="Times New Roman"/>
          <w:sz w:val="30"/>
        </w:rPr>
        <w:t>第五章合同主要条款</w:t>
      </w:r>
      <w:bookmarkEnd w:id="0"/>
    </w:p>
    <w:p w14:paraId="0CC69C22">
      <w:pPr>
        <w:snapToGrid w:val="0"/>
        <w:jc w:val="center"/>
        <w:textAlignment w:val="baseline"/>
        <w:rPr>
          <w:rFonts w:hint="eastAsia"/>
          <w:b/>
          <w:sz w:val="28"/>
        </w:rPr>
      </w:pPr>
      <w:r>
        <w:rPr>
          <w:rFonts w:hint="eastAsia"/>
          <w:b/>
          <w:sz w:val="28"/>
        </w:rPr>
        <w:t>采购合同</w:t>
      </w:r>
      <w:r>
        <w:rPr>
          <w:b/>
          <w:sz w:val="28"/>
        </w:rPr>
        <w:t>(</w:t>
      </w:r>
      <w:r>
        <w:rPr>
          <w:rFonts w:hint="eastAsia"/>
          <w:b/>
          <w:sz w:val="28"/>
        </w:rPr>
        <w:t>仅供参考</w:t>
      </w:r>
      <w:r>
        <w:rPr>
          <w:b/>
          <w:sz w:val="28"/>
        </w:rPr>
        <w:t>)</w:t>
      </w:r>
    </w:p>
    <w:p w14:paraId="4826891C">
      <w:pPr>
        <w:spacing w:line="288" w:lineRule="auto"/>
        <w:rPr>
          <w:rFonts w:hint="eastAsia" w:ascii="宋体" w:hAnsi="宋体"/>
        </w:rPr>
      </w:pPr>
    </w:p>
    <w:p w14:paraId="527B8FE1">
      <w:pPr>
        <w:spacing w:line="288" w:lineRule="auto"/>
        <w:ind w:firstLine="1256" w:firstLineChars="596"/>
        <w:rPr>
          <w:rFonts w:hint="eastAsia" w:ascii="宋体" w:hAnsi="宋体" w:eastAsia="宋体" w:cs="Times New Roman"/>
          <w:b/>
          <w:kern w:val="0"/>
          <w:szCs w:val="21"/>
        </w:rPr>
      </w:pPr>
      <w:r>
        <w:rPr>
          <w:rFonts w:hint="eastAsia" w:ascii="宋体" w:hAnsi="宋体" w:eastAsia="宋体" w:cs="Times New Roman"/>
          <w:b/>
          <w:kern w:val="0"/>
          <w:szCs w:val="21"/>
        </w:rPr>
        <w:t>招标文件、中标人的投标文件及其澄清文件等，均为合同的组成部分。</w:t>
      </w:r>
    </w:p>
    <w:p w14:paraId="68CAAF29">
      <w:pPr>
        <w:spacing w:line="288" w:lineRule="auto"/>
        <w:ind w:firstLine="105" w:firstLineChars="50"/>
        <w:rPr>
          <w:rFonts w:hint="eastAsia" w:ascii="宋体" w:hAnsi="宋体" w:eastAsia="宋体" w:cs="Times New Roman"/>
        </w:rPr>
      </w:pPr>
      <w:r>
        <w:rPr>
          <w:rFonts w:hint="eastAsia" w:ascii="宋体" w:hAnsi="宋体" w:eastAsia="宋体" w:cs="Times New Roman"/>
        </w:rPr>
        <w:t>此合同由</w:t>
      </w:r>
      <w:r>
        <w:rPr>
          <w:rFonts w:hint="eastAsia" w:ascii="宋体" w:hAnsi="宋体" w:eastAsia="宋体" w:cs="Times New Roman"/>
          <w:b/>
        </w:rPr>
        <w:t>浙江省海洋水产研究所（</w:t>
      </w:r>
      <w:r>
        <w:rPr>
          <w:rFonts w:hint="eastAsia" w:ascii="宋体" w:hAnsi="宋体" w:eastAsia="宋体" w:cs="Times New Roman"/>
        </w:rPr>
        <w:t>甲方）和中标人（乙方）签订。</w:t>
      </w:r>
    </w:p>
    <w:p w14:paraId="42AE9F85">
      <w:pPr>
        <w:spacing w:line="288" w:lineRule="auto"/>
        <w:ind w:firstLine="211" w:firstLineChars="100"/>
        <w:rPr>
          <w:rFonts w:hint="eastAsia" w:ascii="宋体" w:hAnsi="宋体" w:eastAsia="宋体" w:cs="Times New Roman"/>
          <w:b/>
        </w:rPr>
      </w:pPr>
    </w:p>
    <w:p w14:paraId="402A932C">
      <w:pPr>
        <w:spacing w:line="288" w:lineRule="auto"/>
        <w:ind w:firstLine="1476" w:firstLineChars="700"/>
        <w:rPr>
          <w:rFonts w:hint="eastAsia" w:ascii="宋体" w:hAnsi="宋体" w:eastAsia="宋体" w:cs="Times New Roman"/>
          <w:b/>
        </w:rPr>
      </w:pPr>
      <w:r>
        <w:rPr>
          <w:rFonts w:hint="eastAsia" w:ascii="宋体" w:hAnsi="宋体" w:eastAsia="宋体" w:cs="Times New Roman"/>
          <w:b/>
          <w:lang w:eastAsia="zh-CN"/>
        </w:rPr>
        <w:t>浙北海洋生物种质资源库建设仪器设备采购项目</w:t>
      </w:r>
      <w:r>
        <w:rPr>
          <w:rFonts w:hint="eastAsia" w:ascii="宋体" w:hAnsi="宋体" w:eastAsia="宋体" w:cs="Times New Roman"/>
          <w:b/>
        </w:rPr>
        <w:t>合同（范本）</w:t>
      </w:r>
    </w:p>
    <w:p w14:paraId="3C5CE15E">
      <w:pPr>
        <w:spacing w:after="240" w:afterLines="100"/>
        <w:ind w:firstLine="402"/>
        <w:rPr>
          <w:rFonts w:hint="eastAsia" w:ascii="宋体" w:hAnsi="宋体" w:eastAsia="宋体" w:cs="Times New Roman"/>
          <w:kern w:val="0"/>
          <w:sz w:val="20"/>
          <w:szCs w:val="20"/>
        </w:rPr>
      </w:pPr>
      <w:r>
        <w:rPr>
          <w:rFonts w:hint="eastAsia" w:ascii="宋体" w:hAnsi="宋体" w:eastAsia="宋体" w:cs="Times New Roman"/>
          <w:kern w:val="0"/>
          <w:sz w:val="20"/>
          <w:szCs w:val="20"/>
        </w:rPr>
        <w:t>甲方：</w:t>
      </w:r>
    </w:p>
    <w:p w14:paraId="523E9995">
      <w:pPr>
        <w:spacing w:after="240" w:afterLines="100"/>
        <w:ind w:firstLine="422"/>
        <w:rPr>
          <w:rFonts w:hint="eastAsia" w:ascii="宋体" w:hAnsi="宋体" w:eastAsia="宋体" w:cs="Times New Roman"/>
        </w:rPr>
      </w:pPr>
      <w:r>
        <w:rPr>
          <w:rFonts w:hint="eastAsia" w:ascii="宋体" w:hAnsi="宋体" w:eastAsia="宋体" w:cs="Times New Roman"/>
        </w:rPr>
        <w:t>乙方：</w:t>
      </w:r>
    </w:p>
    <w:p w14:paraId="4696B914">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甲、乙双方根据《</w:t>
      </w:r>
      <w:r>
        <w:rPr>
          <w:rFonts w:hint="eastAsia" w:ascii="宋体" w:hAnsi="宋体" w:eastAsia="宋体" w:cs="Times New Roman"/>
          <w:lang w:eastAsia="zh-CN"/>
        </w:rPr>
        <w:t>浙北海洋生物种质资源库建设仪器设备采购项目</w:t>
      </w:r>
      <w:r>
        <w:rPr>
          <w:rFonts w:hint="eastAsia" w:ascii="宋体" w:hAnsi="宋体" w:eastAsia="宋体" w:cs="Times New Roman"/>
        </w:rPr>
        <w:t>》招标的结果（</w:t>
      </w:r>
      <w:r>
        <w:rPr>
          <w:rFonts w:hint="eastAsia" w:ascii="宋体" w:hAnsi="宋体" w:eastAsia="宋体" w:cs="Times New Roman"/>
          <w:lang w:val="en-US" w:eastAsia="zh-CN"/>
        </w:rPr>
        <w:t>项目</w:t>
      </w:r>
      <w:r>
        <w:rPr>
          <w:rFonts w:hint="eastAsia" w:ascii="宋体" w:hAnsi="宋体" w:eastAsia="宋体" w:cs="Times New Roman"/>
        </w:rPr>
        <w:t>编号：</w:t>
      </w:r>
      <w:r>
        <w:rPr>
          <w:rFonts w:hint="eastAsia" w:ascii="宋体" w:hAnsi="宋体" w:eastAsia="宋体" w:cs="Times New Roman"/>
          <w:lang w:eastAsia="zh-CN"/>
        </w:rPr>
        <w:t>SZGXZS2025160</w:t>
      </w:r>
      <w:r>
        <w:rPr>
          <w:rFonts w:hint="eastAsia" w:ascii="宋体" w:hAnsi="宋体" w:eastAsia="宋体" w:cs="Times New Roman"/>
        </w:rPr>
        <w:t>）和“招标文件”的要求，</w:t>
      </w:r>
      <w:r>
        <w:rPr>
          <w:rFonts w:hint="eastAsia" w:ascii="宋体" w:hAnsi="宋体" w:eastAsia="宋体" w:cs="Times New Roman"/>
          <w:bCs/>
        </w:rPr>
        <w:t>并依照《中华人民共和国民法典》有关法律、法规的规定，同时在平等、公平、诚实和信用的原则下，</w:t>
      </w:r>
      <w:r>
        <w:rPr>
          <w:rFonts w:hint="eastAsia" w:ascii="宋体" w:hAnsi="宋体" w:eastAsia="宋体" w:cs="Times New Roman"/>
        </w:rPr>
        <w:t>经双方协调一致，订立本合同：</w:t>
      </w:r>
    </w:p>
    <w:p w14:paraId="1F4706D7">
      <w:pPr>
        <w:spacing w:before="120" w:beforeLines="50" w:after="100" w:line="288" w:lineRule="auto"/>
        <w:ind w:firstLine="422"/>
        <w:rPr>
          <w:rFonts w:hint="eastAsia" w:ascii="宋体" w:hAnsi="宋体" w:eastAsia="宋体" w:cs="Times New Roman"/>
        </w:rPr>
      </w:pPr>
      <w:r>
        <w:rPr>
          <w:rFonts w:hint="eastAsia" w:ascii="宋体" w:hAnsi="宋体" w:eastAsia="宋体" w:cs="Times New Roman"/>
        </w:rPr>
        <w:t>一、产品及项目清单：</w:t>
      </w:r>
    </w:p>
    <w:tbl>
      <w:tblPr>
        <w:tblStyle w:val="61"/>
        <w:tblpPr w:leftFromText="180" w:rightFromText="180" w:vertAnchor="text" w:horzAnchor="page" w:tblpXSpec="center" w:tblpY="319"/>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14:paraId="1E7F6FAE">
        <w:tblPrEx>
          <w:tblCellMar>
            <w:top w:w="0" w:type="dxa"/>
            <w:left w:w="42" w:type="dxa"/>
            <w:bottom w:w="0" w:type="dxa"/>
            <w:right w:w="42" w:type="dxa"/>
          </w:tblCellMar>
        </w:tblPrEx>
        <w:trPr>
          <w:cantSplit/>
          <w:trHeight w:val="3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02DE2007">
            <w:pPr>
              <w:snapToGrid w:val="0"/>
              <w:jc w:val="center"/>
              <w:rPr>
                <w:rFonts w:hint="eastAsia" w:ascii="宋体" w:hAnsi="宋体" w:eastAsia="宋体" w:cs="Times New Roman"/>
              </w:rPr>
            </w:pPr>
            <w:r>
              <w:rPr>
                <w:rFonts w:hint="eastAsia" w:ascii="宋体" w:hAnsi="宋体" w:eastAsia="宋体" w:cs="Times New Roman"/>
              </w:rPr>
              <w:t>产品部分</w:t>
            </w:r>
          </w:p>
        </w:tc>
      </w:tr>
      <w:tr w14:paraId="0FA16ABD">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14:paraId="19EC3677">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15F22BF4">
            <w:pPr>
              <w:jc w:val="center"/>
              <w:rPr>
                <w:rFonts w:hint="eastAsia" w:ascii="宋体" w:hAnsi="宋体" w:eastAsia="宋体" w:cs="Times New Roman"/>
              </w:rPr>
            </w:pPr>
            <w:r>
              <w:rPr>
                <w:rFonts w:hint="eastAsia" w:ascii="宋体" w:hAnsi="宋体" w:eastAsia="宋体" w:cs="Times New Roman"/>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14:paraId="068CF660">
            <w:pPr>
              <w:jc w:val="center"/>
              <w:rPr>
                <w:rFonts w:hint="eastAsia" w:ascii="宋体" w:hAnsi="宋体" w:eastAsia="宋体" w:cs="Times New Roman"/>
              </w:rPr>
            </w:pPr>
            <w:r>
              <w:rPr>
                <w:rFonts w:hint="eastAsia" w:ascii="宋体" w:hAnsi="宋体" w:eastAsia="宋体" w:cs="Times New Roman"/>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14:paraId="68D48655">
            <w:pPr>
              <w:jc w:val="center"/>
              <w:rPr>
                <w:rFonts w:hint="eastAsia" w:ascii="宋体" w:hAnsi="宋体" w:eastAsia="宋体" w:cs="Times New Roman"/>
              </w:rPr>
            </w:pPr>
            <w:r>
              <w:rPr>
                <w:rFonts w:hint="eastAsia" w:ascii="宋体" w:hAnsi="宋体" w:eastAsia="宋体" w:cs="Times New Roman"/>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14:paraId="3C325354">
            <w:pPr>
              <w:jc w:val="center"/>
              <w:rPr>
                <w:rFonts w:hint="eastAsia" w:ascii="宋体" w:hAnsi="宋体" w:eastAsia="宋体" w:cs="Times New Roman"/>
              </w:rPr>
            </w:pPr>
            <w:r>
              <w:rPr>
                <w:rFonts w:hint="eastAsia" w:ascii="宋体" w:hAnsi="宋体" w:eastAsia="宋体" w:cs="Times New Roman"/>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1B39F4B">
            <w:pPr>
              <w:jc w:val="center"/>
              <w:rPr>
                <w:rFonts w:hint="eastAsia" w:ascii="宋体" w:hAnsi="宋体" w:eastAsia="宋体" w:cs="Times New Roman"/>
              </w:rPr>
            </w:pPr>
            <w:r>
              <w:rPr>
                <w:rFonts w:hint="eastAsia" w:ascii="宋体" w:hAnsi="宋体" w:eastAsia="宋体" w:cs="Times New Roman"/>
              </w:rPr>
              <w:t>单价</w:t>
            </w:r>
          </w:p>
        </w:tc>
        <w:tc>
          <w:tcPr>
            <w:tcW w:w="720" w:type="dxa"/>
            <w:tcBorders>
              <w:top w:val="single" w:color="auto" w:sz="6" w:space="0"/>
              <w:left w:val="single" w:color="auto" w:sz="4" w:space="0"/>
              <w:bottom w:val="single" w:color="auto" w:sz="6" w:space="0"/>
              <w:right w:val="single" w:color="auto" w:sz="6" w:space="0"/>
            </w:tcBorders>
            <w:vAlign w:val="center"/>
          </w:tcPr>
          <w:p w14:paraId="12F30206">
            <w:pPr>
              <w:jc w:val="center"/>
              <w:rPr>
                <w:rFonts w:hint="eastAsia" w:ascii="宋体" w:hAnsi="宋体" w:eastAsia="宋体" w:cs="Times New Roman"/>
              </w:rPr>
            </w:pPr>
            <w:r>
              <w:rPr>
                <w:rFonts w:hint="eastAsia" w:ascii="宋体" w:hAnsi="宋体" w:eastAsia="宋体" w:cs="Times New Roman"/>
              </w:rPr>
              <w:t>金额</w:t>
            </w:r>
          </w:p>
        </w:tc>
      </w:tr>
      <w:tr w14:paraId="2194AAC2">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E887DDF">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1551AA1B">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78F79C55">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4E355081">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6E5E46CB">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1CEC319">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641F588B">
            <w:pPr>
              <w:jc w:val="right"/>
              <w:rPr>
                <w:rFonts w:hint="eastAsia" w:ascii="宋体" w:hAnsi="宋体" w:eastAsia="宋体" w:cs="Times New Roman"/>
              </w:rPr>
            </w:pPr>
          </w:p>
        </w:tc>
      </w:tr>
      <w:tr w14:paraId="542EE695">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F679B48">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24BD0BF3">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0380273F">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666E57AD">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3226861A">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0AF36FC3">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381336ED">
            <w:pPr>
              <w:jc w:val="right"/>
              <w:rPr>
                <w:rFonts w:hint="eastAsia" w:ascii="宋体" w:hAnsi="宋体" w:eastAsia="宋体" w:cs="Times New Roman"/>
              </w:rPr>
            </w:pPr>
          </w:p>
        </w:tc>
      </w:tr>
      <w:tr w14:paraId="02FE6070">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2650BCB8">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0264A97A">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6AC65D7F">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56FDC979">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61270CEF">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32280ED5">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45CDCB55">
            <w:pPr>
              <w:jc w:val="right"/>
              <w:rPr>
                <w:rFonts w:hint="eastAsia" w:ascii="宋体" w:hAnsi="宋体" w:eastAsia="宋体" w:cs="Times New Roman"/>
              </w:rPr>
            </w:pPr>
          </w:p>
        </w:tc>
      </w:tr>
      <w:tr w14:paraId="227D4A63">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73C65305">
            <w:pP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1A6BD8B6">
            <w:pPr>
              <w:jc w:val="center"/>
              <w:rPr>
                <w:rFonts w:hint="eastAsia" w:ascii="宋体" w:hAnsi="宋体" w:eastAsia="宋体" w:cs="Times New Roman"/>
              </w:rPr>
            </w:pPr>
          </w:p>
        </w:tc>
        <w:tc>
          <w:tcPr>
            <w:tcW w:w="1800" w:type="dxa"/>
            <w:tcBorders>
              <w:top w:val="single" w:color="auto" w:sz="6" w:space="0"/>
              <w:left w:val="single" w:color="auto" w:sz="6" w:space="0"/>
              <w:bottom w:val="single" w:color="auto" w:sz="6" w:space="0"/>
              <w:right w:val="single" w:color="auto" w:sz="6" w:space="0"/>
            </w:tcBorders>
            <w:vAlign w:val="center"/>
          </w:tcPr>
          <w:p w14:paraId="36658C45">
            <w:pPr>
              <w:jc w:val="center"/>
              <w:rPr>
                <w:rFonts w:hint="eastAsia" w:ascii="宋体" w:hAnsi="宋体" w:eastAsia="宋体" w:cs="Times New Roman"/>
              </w:rPr>
            </w:pPr>
          </w:p>
        </w:tc>
        <w:tc>
          <w:tcPr>
            <w:tcW w:w="2340" w:type="dxa"/>
            <w:tcBorders>
              <w:top w:val="single" w:color="auto" w:sz="6" w:space="0"/>
              <w:left w:val="single" w:color="auto" w:sz="6" w:space="0"/>
              <w:bottom w:val="single" w:color="auto" w:sz="6" w:space="0"/>
              <w:right w:val="single" w:color="auto" w:sz="6" w:space="0"/>
            </w:tcBorders>
            <w:vAlign w:val="center"/>
          </w:tcPr>
          <w:p w14:paraId="70C2F7D9">
            <w:pPr>
              <w:jc w:val="right"/>
              <w:rPr>
                <w:rFonts w:hint="eastAsia" w:ascii="宋体" w:hAnsi="宋体" w:eastAsia="宋体" w:cs="Times New Roman"/>
              </w:rPr>
            </w:pPr>
          </w:p>
        </w:tc>
        <w:tc>
          <w:tcPr>
            <w:tcW w:w="720" w:type="dxa"/>
            <w:tcBorders>
              <w:top w:val="single" w:color="auto" w:sz="6" w:space="0"/>
              <w:left w:val="single" w:color="auto" w:sz="6" w:space="0"/>
              <w:bottom w:val="single" w:color="auto" w:sz="6" w:space="0"/>
              <w:right w:val="single" w:color="auto" w:sz="4" w:space="0"/>
            </w:tcBorders>
            <w:vAlign w:val="center"/>
          </w:tcPr>
          <w:p w14:paraId="02AB364C">
            <w:pPr>
              <w:jc w:val="right"/>
              <w:rPr>
                <w:rFonts w:hint="eastAsia" w:ascii="宋体" w:hAnsi="宋体" w:eastAsia="宋体" w:cs="Times New Roman"/>
              </w:rPr>
            </w:pPr>
          </w:p>
        </w:tc>
        <w:tc>
          <w:tcPr>
            <w:tcW w:w="720" w:type="dxa"/>
            <w:gridSpan w:val="2"/>
            <w:tcBorders>
              <w:top w:val="single" w:color="auto" w:sz="6" w:space="0"/>
              <w:left w:val="single" w:color="auto" w:sz="4" w:space="0"/>
              <w:bottom w:val="single" w:color="auto" w:sz="6" w:space="0"/>
              <w:right w:val="single" w:color="auto" w:sz="4" w:space="0"/>
            </w:tcBorders>
            <w:vAlign w:val="center"/>
          </w:tcPr>
          <w:p w14:paraId="7D4EBBD3">
            <w:pPr>
              <w:jc w:val="right"/>
              <w:rPr>
                <w:rFonts w:hint="eastAsia" w:ascii="宋体" w:hAnsi="宋体" w:eastAsia="宋体" w:cs="Times New Roman"/>
              </w:rPr>
            </w:pPr>
          </w:p>
        </w:tc>
        <w:tc>
          <w:tcPr>
            <w:tcW w:w="720" w:type="dxa"/>
            <w:tcBorders>
              <w:top w:val="single" w:color="auto" w:sz="6" w:space="0"/>
              <w:left w:val="single" w:color="auto" w:sz="4" w:space="0"/>
              <w:bottom w:val="single" w:color="auto" w:sz="6" w:space="0"/>
              <w:right w:val="single" w:color="auto" w:sz="6" w:space="0"/>
            </w:tcBorders>
            <w:vAlign w:val="center"/>
          </w:tcPr>
          <w:p w14:paraId="50889307">
            <w:pPr>
              <w:jc w:val="right"/>
              <w:rPr>
                <w:rFonts w:hint="eastAsia" w:ascii="宋体" w:hAnsi="宋体" w:eastAsia="宋体" w:cs="Times New Roman"/>
              </w:rPr>
            </w:pPr>
          </w:p>
        </w:tc>
      </w:tr>
      <w:tr w14:paraId="36E142F2">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B9B7F72">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57751D31">
            <w:pPr>
              <w:jc w:val="center"/>
              <w:rPr>
                <w:rFonts w:hint="eastAsia" w:ascii="宋体" w:hAnsi="宋体" w:eastAsia="宋体" w:cs="Times New Roman"/>
              </w:rPr>
            </w:pPr>
            <w:r>
              <w:rPr>
                <w:rFonts w:hint="eastAsia" w:ascii="宋体" w:hAnsi="宋体" w:eastAsia="宋体" w:cs="Times New Roman"/>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42EDC667">
            <w:pPr>
              <w:rPr>
                <w:rFonts w:hint="eastAsia" w:ascii="宋体" w:hAnsi="宋体" w:eastAsia="宋体" w:cs="Times New Roman"/>
              </w:rPr>
            </w:pPr>
            <w:r>
              <w:rPr>
                <w:rFonts w:hint="eastAsia" w:ascii="宋体" w:hAnsi="宋体" w:eastAsia="宋体" w:cs="Times New Roman"/>
              </w:rPr>
              <w:t>（大写）（小写）</w:t>
            </w:r>
          </w:p>
        </w:tc>
      </w:tr>
      <w:tr w14:paraId="699B30A3">
        <w:tblPrEx>
          <w:tblCellMar>
            <w:top w:w="0" w:type="dxa"/>
            <w:left w:w="42" w:type="dxa"/>
            <w:bottom w:w="0" w:type="dxa"/>
            <w:right w:w="42" w:type="dxa"/>
          </w:tblCellMar>
        </w:tblPrEx>
        <w:trPr>
          <w:cantSplit/>
          <w:trHeight w:val="221"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14:paraId="7AD21C78">
            <w:pPr>
              <w:snapToGrid w:val="0"/>
              <w:spacing w:before="120" w:beforeLines="50" w:after="120" w:afterLines="50"/>
              <w:jc w:val="center"/>
              <w:rPr>
                <w:rFonts w:hint="eastAsia" w:ascii="宋体" w:hAnsi="宋体" w:eastAsia="宋体" w:cs="Times New Roman"/>
              </w:rPr>
            </w:pPr>
            <w:r>
              <w:rPr>
                <w:rFonts w:hint="eastAsia" w:ascii="宋体" w:hAnsi="宋体" w:eastAsia="宋体" w:cs="Times New Roman"/>
              </w:rPr>
              <w:t>其它部分</w:t>
            </w:r>
          </w:p>
        </w:tc>
      </w:tr>
      <w:tr w14:paraId="535D177B">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14:paraId="01A5BF9A">
            <w:pPr>
              <w:jc w:val="center"/>
              <w:rPr>
                <w:rFonts w:hint="eastAsia" w:ascii="宋体" w:hAnsi="宋体" w:eastAsia="宋体" w:cs="Times New Roman"/>
              </w:rPr>
            </w:pPr>
            <w:r>
              <w:rPr>
                <w:rFonts w:hint="eastAsia" w:ascii="宋体" w:hAnsi="宋体" w:eastAsia="宋体" w:cs="Times New Roman"/>
              </w:rPr>
              <w:t>编号</w:t>
            </w:r>
          </w:p>
        </w:tc>
        <w:tc>
          <w:tcPr>
            <w:tcW w:w="1620" w:type="dxa"/>
            <w:tcBorders>
              <w:top w:val="single" w:color="auto" w:sz="6" w:space="0"/>
              <w:left w:val="single" w:color="auto" w:sz="6" w:space="0"/>
              <w:bottom w:val="single" w:color="auto" w:sz="6" w:space="0"/>
              <w:right w:val="single" w:color="auto" w:sz="6" w:space="0"/>
            </w:tcBorders>
            <w:vAlign w:val="center"/>
          </w:tcPr>
          <w:p w14:paraId="4EB41704">
            <w:pPr>
              <w:jc w:val="center"/>
              <w:rPr>
                <w:rFonts w:hint="eastAsia" w:ascii="宋体" w:hAnsi="宋体" w:eastAsia="宋体" w:cs="Times New Roman"/>
              </w:rPr>
            </w:pPr>
            <w:r>
              <w:rPr>
                <w:rFonts w:hint="eastAsia" w:ascii="宋体" w:hAnsi="宋体" w:eastAsia="宋体" w:cs="Times New Roman"/>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6DE3C466">
            <w:pPr>
              <w:jc w:val="center"/>
              <w:rPr>
                <w:rFonts w:hint="eastAsia" w:ascii="宋体" w:hAnsi="宋体" w:eastAsia="宋体" w:cs="Times New Roman"/>
              </w:rPr>
            </w:pPr>
            <w:r>
              <w:rPr>
                <w:rFonts w:hint="eastAsia" w:ascii="宋体" w:hAnsi="宋体" w:eastAsia="宋体" w:cs="Times New Roman"/>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55F28174">
            <w:pPr>
              <w:jc w:val="center"/>
              <w:rPr>
                <w:rFonts w:hint="eastAsia" w:ascii="宋体" w:hAnsi="宋体" w:eastAsia="宋体" w:cs="Times New Roman"/>
              </w:rPr>
            </w:pPr>
            <w:r>
              <w:rPr>
                <w:rFonts w:hint="eastAsia" w:ascii="宋体" w:hAnsi="宋体" w:eastAsia="宋体" w:cs="Times New Roman"/>
              </w:rPr>
              <w:t>金额</w:t>
            </w:r>
          </w:p>
        </w:tc>
      </w:tr>
      <w:tr w14:paraId="76812F3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355AA971">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72233322">
            <w:pPr>
              <w:jc w:val="center"/>
              <w:rPr>
                <w:rFonts w:hint="eastAsia" w:ascii="宋体" w:hAnsi="宋体" w:eastAsia="宋体" w:cs="Times New Roman"/>
              </w:rPr>
            </w:pPr>
            <w:r>
              <w:rPr>
                <w:rFonts w:hint="eastAsia" w:ascii="宋体" w:hAnsi="宋体" w:eastAsia="宋体" w:cs="Times New Roman"/>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4B6D8C7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44B1DD3C">
            <w:pPr>
              <w:jc w:val="center"/>
              <w:rPr>
                <w:rFonts w:hint="eastAsia" w:ascii="宋体" w:hAnsi="宋体" w:eastAsia="宋体" w:cs="Times New Roman"/>
              </w:rPr>
            </w:pPr>
          </w:p>
        </w:tc>
      </w:tr>
      <w:tr w14:paraId="21DA26DE">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14:paraId="54FE65AB">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6" w:space="0"/>
              <w:right w:val="single" w:color="auto" w:sz="6" w:space="0"/>
            </w:tcBorders>
            <w:vAlign w:val="center"/>
          </w:tcPr>
          <w:p w14:paraId="3E8F2C9C">
            <w:pPr>
              <w:jc w:val="center"/>
              <w:rPr>
                <w:rFonts w:hint="eastAsia" w:ascii="宋体" w:hAnsi="宋体" w:eastAsia="宋体" w:cs="Times New Roman"/>
              </w:rPr>
            </w:pPr>
            <w:r>
              <w:rPr>
                <w:rFonts w:hint="eastAsia" w:ascii="宋体" w:hAnsi="宋体" w:eastAsia="宋体" w:cs="Times New Roman"/>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14:paraId="15AF2E3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6" w:space="0"/>
              <w:right w:val="single" w:color="auto" w:sz="6" w:space="0"/>
            </w:tcBorders>
            <w:vAlign w:val="center"/>
          </w:tcPr>
          <w:p w14:paraId="7C8BFF9D">
            <w:pPr>
              <w:jc w:val="center"/>
              <w:rPr>
                <w:rFonts w:hint="eastAsia" w:ascii="宋体" w:hAnsi="宋体" w:eastAsia="宋体" w:cs="Times New Roman"/>
              </w:rPr>
            </w:pPr>
          </w:p>
        </w:tc>
      </w:tr>
      <w:tr w14:paraId="7117C76C">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14:paraId="4911DDCD">
            <w:pPr>
              <w:jc w:val="center"/>
              <w:rPr>
                <w:rFonts w:hint="eastAsia" w:ascii="宋体" w:hAnsi="宋体" w:eastAsia="宋体" w:cs="Times New Roman"/>
              </w:rPr>
            </w:pPr>
          </w:p>
        </w:tc>
        <w:tc>
          <w:tcPr>
            <w:tcW w:w="1620" w:type="dxa"/>
            <w:tcBorders>
              <w:top w:val="single" w:color="auto" w:sz="6" w:space="0"/>
              <w:left w:val="single" w:color="auto" w:sz="6" w:space="0"/>
              <w:bottom w:val="single" w:color="auto" w:sz="4" w:space="0"/>
              <w:right w:val="single" w:color="auto" w:sz="6" w:space="0"/>
            </w:tcBorders>
            <w:vAlign w:val="center"/>
          </w:tcPr>
          <w:p w14:paraId="4D76E26E">
            <w:pPr>
              <w:jc w:val="center"/>
              <w:rPr>
                <w:rFonts w:hint="eastAsia" w:ascii="宋体" w:hAnsi="宋体" w:eastAsia="宋体" w:cs="Times New Roman"/>
              </w:rPr>
            </w:pPr>
            <w:r>
              <w:rPr>
                <w:rFonts w:hint="eastAsia" w:ascii="宋体" w:hAnsi="宋体" w:eastAsia="宋体" w:cs="Times New Roman"/>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14:paraId="64D97172">
            <w:pPr>
              <w:jc w:val="center"/>
              <w:rPr>
                <w:rFonts w:hint="eastAsia" w:ascii="宋体" w:hAnsi="宋体" w:eastAsia="宋体" w:cs="Times New Roman"/>
              </w:rPr>
            </w:pPr>
          </w:p>
        </w:tc>
        <w:tc>
          <w:tcPr>
            <w:tcW w:w="1080" w:type="dxa"/>
            <w:gridSpan w:val="2"/>
            <w:tcBorders>
              <w:top w:val="single" w:color="auto" w:sz="6" w:space="0"/>
              <w:left w:val="single" w:color="auto" w:sz="4" w:space="0"/>
              <w:bottom w:val="single" w:color="auto" w:sz="4" w:space="0"/>
              <w:right w:val="single" w:color="auto" w:sz="6" w:space="0"/>
            </w:tcBorders>
            <w:vAlign w:val="center"/>
          </w:tcPr>
          <w:p w14:paraId="04E21A4E">
            <w:pPr>
              <w:jc w:val="center"/>
              <w:rPr>
                <w:rFonts w:hint="eastAsia" w:ascii="宋体" w:hAnsi="宋体" w:eastAsia="宋体" w:cs="Times New Roman"/>
              </w:rPr>
            </w:pPr>
          </w:p>
        </w:tc>
      </w:tr>
      <w:tr w14:paraId="11BBDA73">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14:paraId="384A7711">
            <w:pPr>
              <w:jc w:val="center"/>
              <w:rPr>
                <w:rFonts w:hint="eastAsia" w:ascii="宋体" w:hAnsi="宋体" w:eastAsia="宋体" w:cs="Times New Roman"/>
              </w:rPr>
            </w:pPr>
          </w:p>
        </w:tc>
        <w:tc>
          <w:tcPr>
            <w:tcW w:w="1620" w:type="dxa"/>
            <w:tcBorders>
              <w:top w:val="single" w:color="auto" w:sz="4" w:space="0"/>
              <w:left w:val="single" w:color="auto" w:sz="6" w:space="0"/>
              <w:bottom w:val="single" w:color="auto" w:sz="6" w:space="0"/>
              <w:right w:val="single" w:color="auto" w:sz="6" w:space="0"/>
            </w:tcBorders>
            <w:vAlign w:val="center"/>
          </w:tcPr>
          <w:p w14:paraId="1BC69255">
            <w:pPr>
              <w:jc w:val="center"/>
              <w:rPr>
                <w:rFonts w:hint="eastAsia" w:ascii="宋体" w:hAnsi="宋体" w:eastAsia="宋体" w:cs="Times New Roman"/>
              </w:rPr>
            </w:pPr>
            <w:r>
              <w:rPr>
                <w:rFonts w:hint="eastAsia" w:ascii="宋体" w:hAnsi="宋体" w:eastAsia="宋体" w:cs="Times New Roman"/>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14:paraId="2BE88179">
            <w:pPr>
              <w:rPr>
                <w:rFonts w:hint="eastAsia" w:ascii="宋体" w:hAnsi="宋体" w:eastAsia="宋体" w:cs="Times New Roman"/>
              </w:rPr>
            </w:pPr>
            <w:r>
              <w:rPr>
                <w:rFonts w:hint="eastAsia" w:ascii="宋体" w:hAnsi="宋体" w:eastAsia="宋体" w:cs="Times New Roman"/>
              </w:rPr>
              <w:t>（大写）（小写）</w:t>
            </w:r>
          </w:p>
        </w:tc>
      </w:tr>
      <w:tr w14:paraId="78EABC1E">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14:paraId="6EB818EF">
            <w:pPr>
              <w:jc w:val="center"/>
              <w:rPr>
                <w:rFonts w:hint="eastAsia" w:ascii="宋体" w:hAnsi="宋体" w:eastAsia="宋体" w:cs="Times New Roman"/>
              </w:rPr>
            </w:pPr>
            <w:r>
              <w:rPr>
                <w:rFonts w:hint="eastAsia" w:ascii="宋体" w:hAnsi="宋体" w:eastAsia="宋体" w:cs="Times New Roman"/>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14:paraId="27A17AA4">
            <w:pPr>
              <w:rPr>
                <w:rFonts w:hint="eastAsia" w:ascii="宋体" w:hAnsi="宋体" w:eastAsia="宋体" w:cs="Times New Roman"/>
              </w:rPr>
            </w:pPr>
            <w:r>
              <w:rPr>
                <w:rFonts w:hint="eastAsia" w:ascii="宋体" w:hAnsi="宋体" w:eastAsia="宋体" w:cs="Times New Roman"/>
              </w:rPr>
              <w:t>（大写）（小写）</w:t>
            </w:r>
          </w:p>
        </w:tc>
      </w:tr>
    </w:tbl>
    <w:p w14:paraId="603FC33B">
      <w:pPr>
        <w:spacing w:before="120" w:beforeLines="50" w:line="312" w:lineRule="auto"/>
        <w:rPr>
          <w:rFonts w:hint="eastAsia" w:ascii="宋体" w:hAnsi="宋体" w:eastAsia="宋体" w:cs="Times New Roman"/>
        </w:rPr>
      </w:pPr>
      <w:r>
        <w:rPr>
          <w:rFonts w:hint="eastAsia" w:ascii="宋体" w:hAnsi="宋体" w:eastAsia="宋体" w:cs="Times New Roman"/>
        </w:rPr>
        <w:t>二、设备的交货时间、地点和运费：</w:t>
      </w:r>
    </w:p>
    <w:p w14:paraId="0931A3DA">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合同签订之后   天内完成。</w:t>
      </w:r>
    </w:p>
    <w:p w14:paraId="50678782">
      <w:pPr>
        <w:spacing w:line="312" w:lineRule="auto"/>
        <w:ind w:firstLine="422"/>
        <w:rPr>
          <w:rFonts w:hint="eastAsia" w:ascii="宋体" w:hAnsi="宋体" w:eastAsia="宋体" w:cs="Times New Roman"/>
          <w:bCs/>
        </w:rPr>
      </w:pPr>
      <w:r>
        <w:rPr>
          <w:rFonts w:ascii="宋体" w:hAnsi="宋体" w:eastAsia="宋体" w:cs="Times New Roman"/>
          <w:bCs/>
        </w:rPr>
        <w:t>2.</w:t>
      </w:r>
      <w:r>
        <w:rPr>
          <w:rFonts w:hint="eastAsia" w:ascii="宋体" w:hAnsi="宋体" w:eastAsia="宋体" w:cs="Times New Roman"/>
          <w:bCs/>
        </w:rPr>
        <w:t>交货地点为：</w:t>
      </w:r>
    </w:p>
    <w:p w14:paraId="2EC6719A">
      <w:pPr>
        <w:spacing w:line="312" w:lineRule="auto"/>
        <w:ind w:firstLine="422"/>
        <w:rPr>
          <w:rFonts w:hint="eastAsia" w:ascii="宋体" w:hAnsi="宋体" w:eastAsia="宋体" w:cs="Times New Roman"/>
          <w:bCs/>
        </w:rPr>
      </w:pPr>
      <w:r>
        <w:rPr>
          <w:rFonts w:ascii="宋体" w:hAnsi="宋体" w:eastAsia="宋体" w:cs="Times New Roman"/>
          <w:bCs/>
        </w:rPr>
        <w:t>3.</w:t>
      </w:r>
      <w:r>
        <w:rPr>
          <w:rFonts w:hint="eastAsia" w:ascii="宋体" w:hAnsi="宋体" w:eastAsia="宋体" w:cs="Times New Roman"/>
          <w:bCs/>
        </w:rPr>
        <w:t>产品运送产生的费用由乙方负责。</w:t>
      </w:r>
    </w:p>
    <w:p w14:paraId="0E00DF97">
      <w:pPr>
        <w:spacing w:line="312" w:lineRule="auto"/>
        <w:rPr>
          <w:rFonts w:hint="eastAsia" w:ascii="宋体" w:hAnsi="宋体" w:eastAsia="宋体" w:cs="Times New Roman"/>
        </w:rPr>
      </w:pPr>
      <w:r>
        <w:rPr>
          <w:rFonts w:hint="eastAsia" w:ascii="宋体" w:hAnsi="宋体" w:eastAsia="宋体" w:cs="Times New Roman"/>
        </w:rPr>
        <w:t>三、产品质量要求：</w:t>
      </w:r>
    </w:p>
    <w:p w14:paraId="528E51A3">
      <w:pPr>
        <w:spacing w:line="312" w:lineRule="auto"/>
        <w:ind w:firstLine="420" w:firstLineChars="200"/>
        <w:rPr>
          <w:rFonts w:hint="eastAsia" w:ascii="宋体" w:hAnsi="宋体" w:eastAsia="宋体" w:cs="Times New Roman"/>
        </w:rPr>
      </w:pPr>
      <w:r>
        <w:rPr>
          <w:rFonts w:hint="eastAsia" w:ascii="宋体" w:hAnsi="宋体" w:eastAsia="宋体" w:cs="Times New Roman"/>
        </w:rPr>
        <w:t>乙方提供的产品必须是满足合同配置的全新产品。国产产品必须符合国家有关质量标准；进口产品必须符合产品的原厂标准及有关的国际标准。</w:t>
      </w:r>
    </w:p>
    <w:p w14:paraId="38DEB361">
      <w:pPr>
        <w:spacing w:line="312" w:lineRule="auto"/>
        <w:rPr>
          <w:rFonts w:hint="eastAsia" w:ascii="宋体" w:hAnsi="宋体" w:eastAsia="宋体" w:cs="Times New Roman"/>
        </w:rPr>
      </w:pPr>
      <w:r>
        <w:rPr>
          <w:rFonts w:hint="eastAsia" w:ascii="宋体" w:hAnsi="宋体" w:eastAsia="宋体" w:cs="Times New Roman"/>
        </w:rPr>
        <w:t>四、产品验收：</w:t>
      </w:r>
    </w:p>
    <w:p w14:paraId="52946FEC">
      <w:pPr>
        <w:spacing w:line="312" w:lineRule="auto"/>
        <w:ind w:firstLine="422"/>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乙方完成全部项目的安装调试并通过自验和试运行测试后，由甲方组织项目的验收。</w:t>
      </w:r>
    </w:p>
    <w:p w14:paraId="239688DA">
      <w:pPr>
        <w:spacing w:line="312" w:lineRule="auto"/>
        <w:ind w:firstLine="422"/>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乙方完成产品交付，在自验、试运行正常后，书面通知甲方；甲方在接到书面通知后，经三个月试运行，出具并签署验收报告。设备的验收标准参照设备的原厂标准。</w:t>
      </w:r>
    </w:p>
    <w:p w14:paraId="610CDE0C">
      <w:pPr>
        <w:spacing w:line="312" w:lineRule="auto"/>
        <w:ind w:firstLine="422"/>
        <w:rPr>
          <w:rFonts w:hint="eastAsia" w:ascii="宋体" w:hAnsi="宋体" w:eastAsia="宋体" w:cs="Times New Roman"/>
        </w:rPr>
      </w:pPr>
      <w:r>
        <w:rPr>
          <w:rFonts w:hint="eastAsia" w:ascii="宋体" w:hAnsi="宋体" w:eastAsia="宋体" w:cs="Times New Roman"/>
        </w:rPr>
        <w:t>合同约定的验收时间：</w:t>
      </w:r>
    </w:p>
    <w:p w14:paraId="45AF5DCE">
      <w:pPr>
        <w:tabs>
          <w:tab w:val="left" w:pos="900"/>
        </w:tabs>
        <w:adjustRightInd w:val="0"/>
        <w:spacing w:line="312" w:lineRule="auto"/>
        <w:rPr>
          <w:rFonts w:hint="eastAsia" w:ascii="宋体" w:hAnsi="宋体" w:eastAsia="宋体" w:cs="Times New Roman"/>
        </w:rPr>
      </w:pPr>
      <w:r>
        <w:rPr>
          <w:rFonts w:hint="eastAsia" w:ascii="宋体" w:hAnsi="宋体" w:eastAsia="宋体" w:cs="Times New Roman"/>
        </w:rPr>
        <w:t>五、付款方式：</w:t>
      </w:r>
    </w:p>
    <w:p w14:paraId="73AE93CE">
      <w:pPr>
        <w:spacing w:before="25" w:line="312" w:lineRule="auto"/>
        <w:ind w:left="464" w:leftChars="171" w:hanging="105" w:hangingChars="50"/>
        <w:rPr>
          <w:rFonts w:hint="eastAsia" w:ascii="宋体" w:hAnsi="宋体" w:eastAsia="宋体" w:cs="Times New Roman"/>
          <w:b/>
        </w:rPr>
      </w:pPr>
      <w:r>
        <w:rPr>
          <w:rFonts w:hint="eastAsia" w:ascii="宋体" w:hAnsi="宋体" w:eastAsia="宋体" w:cs="Times New Roman"/>
        </w:rPr>
        <w:t>（见招标文件）</w:t>
      </w:r>
    </w:p>
    <w:p w14:paraId="0B693C3A">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本合同以人民币进行结算。</w:t>
      </w:r>
    </w:p>
    <w:p w14:paraId="5F38303F">
      <w:pPr>
        <w:spacing w:before="25" w:line="312" w:lineRule="auto"/>
        <w:ind w:firstLine="420" w:firstLineChars="200"/>
        <w:rPr>
          <w:rFonts w:hint="eastAsia" w:ascii="宋体" w:hAnsi="宋体" w:eastAsia="宋体" w:cs="Times New Roman"/>
        </w:rPr>
      </w:pPr>
      <w:r>
        <w:rPr>
          <w:rFonts w:hint="eastAsia" w:ascii="宋体" w:hAnsi="宋体" w:eastAsia="宋体" w:cs="Times New Roman"/>
        </w:rPr>
        <w:t>由甲方决定是否需要提供预付款担保</w:t>
      </w:r>
      <w:r>
        <w:rPr>
          <w:rFonts w:ascii="宋体" w:hAnsi="宋体" w:eastAsia="宋体" w:cs="Times New Roman"/>
        </w:rPr>
        <w:t>(</w:t>
      </w:r>
      <w:r>
        <w:rPr>
          <w:rFonts w:hint="eastAsia" w:ascii="宋体" w:hAnsi="宋体" w:eastAsia="宋体" w:cs="Times New Roman"/>
        </w:rPr>
        <w:t>预付款担保形式可以是银行保函、担保公司担保等</w:t>
      </w:r>
      <w:r>
        <w:rPr>
          <w:rFonts w:ascii="宋体" w:hAnsi="宋体" w:eastAsia="宋体" w:cs="Times New Roman"/>
        </w:rPr>
        <w:t>)</w:t>
      </w:r>
      <w:r>
        <w:rPr>
          <w:rFonts w:hint="eastAsia" w:ascii="宋体" w:hAnsi="宋体" w:eastAsia="宋体" w:cs="Times New Roman"/>
        </w:rPr>
        <w:t>。</w:t>
      </w:r>
    </w:p>
    <w:p w14:paraId="099FBD0D">
      <w:pPr>
        <w:spacing w:line="312" w:lineRule="auto"/>
        <w:rPr>
          <w:rFonts w:hint="eastAsia" w:ascii="宋体" w:hAnsi="宋体" w:eastAsia="宋体" w:cs="Times New Roman"/>
        </w:rPr>
      </w:pPr>
      <w:r>
        <w:rPr>
          <w:rFonts w:hint="eastAsia" w:ascii="宋体" w:hAnsi="宋体" w:eastAsia="宋体" w:cs="Times New Roman"/>
        </w:rPr>
        <w:t>六、售后服务：</w:t>
      </w:r>
    </w:p>
    <w:p w14:paraId="50245F3B">
      <w:pPr>
        <w:spacing w:line="312" w:lineRule="auto"/>
        <w:ind w:firstLine="420" w:firstLineChars="200"/>
        <w:rPr>
          <w:rFonts w:hint="eastAsia" w:ascii="宋体" w:hAnsi="宋体" w:eastAsia="宋体" w:cs="Times New Roman"/>
        </w:rPr>
      </w:pPr>
      <w:r>
        <w:rPr>
          <w:rFonts w:hint="eastAsia" w:ascii="宋体" w:hAnsi="宋体" w:eastAsia="宋体" w:cs="Times New Roman"/>
        </w:rPr>
        <w:t>（见招标文件）</w:t>
      </w:r>
    </w:p>
    <w:p w14:paraId="1E664D87">
      <w:pPr>
        <w:spacing w:line="312" w:lineRule="auto"/>
        <w:rPr>
          <w:rFonts w:hint="eastAsia" w:ascii="宋体" w:hAnsi="宋体" w:eastAsia="宋体" w:cs="Times New Roman"/>
        </w:rPr>
      </w:pPr>
      <w:r>
        <w:rPr>
          <w:rFonts w:hint="eastAsia" w:ascii="宋体" w:hAnsi="宋体" w:eastAsia="宋体" w:cs="Times New Roman"/>
        </w:rPr>
        <w:t>七、违约责任：</w:t>
      </w:r>
    </w:p>
    <w:p w14:paraId="55B8E785">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乙方所交的产品品种、型号、规格、质量不符合同规定标准的，甲方有权拒绝收货。</w:t>
      </w:r>
    </w:p>
    <w:p w14:paraId="3196AAFD">
      <w:pPr>
        <w:spacing w:line="312" w:lineRule="auto"/>
        <w:ind w:left="630" w:hanging="630" w:hangingChars="300"/>
        <w:rPr>
          <w:rFonts w:hint="eastAsia" w:ascii="宋体" w:hAnsi="宋体" w:eastAsia="宋体" w:cs="Times New Roman"/>
        </w:rPr>
      </w:pPr>
      <w:r>
        <w:rPr>
          <w:rFonts w:ascii="宋体" w:hAnsi="宋体" w:eastAsia="宋体" w:cs="Times New Roman"/>
        </w:rPr>
        <w:t xml:space="preserve">    2.</w:t>
      </w:r>
      <w:r>
        <w:rPr>
          <w:rFonts w:hint="eastAsia" w:ascii="宋体" w:hAnsi="宋体" w:eastAsia="宋体" w:cs="Times New Roman"/>
        </w:rPr>
        <w:t>乙方若不能交付产品，甲方有权选择取消合同并向乙方索赔产品总值百分之十的违约金。</w:t>
      </w:r>
    </w:p>
    <w:p w14:paraId="7C2A854C">
      <w:pPr>
        <w:spacing w:line="312" w:lineRule="auto"/>
        <w:ind w:left="630" w:leftChars="200" w:hanging="210" w:hangingChars="100"/>
        <w:rPr>
          <w:rFonts w:hint="eastAsia" w:ascii="宋体" w:hAnsi="宋体" w:eastAsia="宋体" w:cs="Times New Roman"/>
        </w:rPr>
      </w:pPr>
      <w:r>
        <w:rPr>
          <w:rFonts w:ascii="宋体" w:hAnsi="宋体" w:eastAsia="宋体" w:cs="Times New Roman"/>
        </w:rPr>
        <w:t>3.</w:t>
      </w:r>
      <w:r>
        <w:rPr>
          <w:rFonts w:hint="eastAsia" w:ascii="宋体" w:hAnsi="宋体" w:eastAsia="宋体" w:cs="Times New Roman"/>
        </w:rPr>
        <w:t>乙方逾期交付产品，甲方有权向乙方索赔违约金，以每日支付未交产品款的千分之五计算。</w:t>
      </w:r>
    </w:p>
    <w:p w14:paraId="0648A934">
      <w:pPr>
        <w:spacing w:line="312" w:lineRule="auto"/>
        <w:rPr>
          <w:rFonts w:hint="eastAsia" w:ascii="宋体" w:hAnsi="宋体" w:eastAsia="宋体" w:cs="Times New Roman"/>
        </w:rPr>
      </w:pPr>
      <w:r>
        <w:rPr>
          <w:rFonts w:hint="eastAsia" w:ascii="宋体" w:hAnsi="宋体" w:eastAsia="宋体" w:cs="Times New Roman"/>
        </w:rPr>
        <w:t>八、合同争议的仲裁：</w:t>
      </w:r>
    </w:p>
    <w:p w14:paraId="2C8FD548">
      <w:pPr>
        <w:spacing w:line="312" w:lineRule="auto"/>
        <w:ind w:firstLine="420" w:firstLineChars="200"/>
        <w:rPr>
          <w:rFonts w:hint="eastAsia" w:ascii="宋体" w:hAnsi="宋体" w:eastAsia="宋体" w:cs="Times New Roman"/>
        </w:rPr>
      </w:pPr>
      <w:r>
        <w:rPr>
          <w:rFonts w:ascii="宋体" w:hAnsi="宋体" w:eastAsia="宋体" w:cs="Times New Roman"/>
        </w:rPr>
        <w:t>1.</w:t>
      </w:r>
      <w:r>
        <w:rPr>
          <w:rFonts w:hint="eastAsia" w:ascii="宋体" w:hAnsi="宋体" w:eastAsia="宋体" w:cs="Times New Roman"/>
        </w:rPr>
        <w:t>因设备质量问题发生争议，由国家和市政府指定的技术单位进行质量鉴定，该鉴定结论是终局的，供需双方应当接受。</w:t>
      </w:r>
    </w:p>
    <w:p w14:paraId="24F5F723">
      <w:pPr>
        <w:spacing w:line="312" w:lineRule="auto"/>
        <w:ind w:firstLine="420" w:firstLineChars="200"/>
        <w:rPr>
          <w:rFonts w:hint="eastAsia" w:ascii="宋体" w:hAnsi="宋体" w:eastAsia="宋体" w:cs="Times New Roman"/>
        </w:rPr>
      </w:pPr>
      <w:r>
        <w:rPr>
          <w:rFonts w:ascii="宋体" w:hAnsi="宋体" w:eastAsia="宋体" w:cs="Times New Roman"/>
        </w:rPr>
        <w:t>2.</w:t>
      </w:r>
      <w:r>
        <w:rPr>
          <w:rFonts w:hint="eastAsia" w:ascii="宋体" w:hAnsi="宋体" w:eastAsia="宋体" w:cs="Times New Roman"/>
        </w:rPr>
        <w:t>本合同争议产生的诉讼，由甲方所在地人民法院管辖。</w:t>
      </w:r>
    </w:p>
    <w:p w14:paraId="0B16B43D">
      <w:pPr>
        <w:spacing w:line="312" w:lineRule="auto"/>
        <w:rPr>
          <w:rFonts w:hint="eastAsia" w:ascii="宋体" w:hAnsi="宋体" w:eastAsia="宋体" w:cs="Times New Roman"/>
        </w:rPr>
      </w:pPr>
      <w:r>
        <w:rPr>
          <w:rFonts w:hint="eastAsia" w:ascii="宋体" w:hAnsi="宋体" w:eastAsia="宋体" w:cs="Times New Roman"/>
        </w:rPr>
        <w:t>九、本合同未尽事宜，由甲、乙双方协商解决。</w:t>
      </w:r>
    </w:p>
    <w:p w14:paraId="010D3652">
      <w:pPr>
        <w:spacing w:line="312" w:lineRule="auto"/>
        <w:ind w:left="420" w:hanging="420" w:hangingChars="200"/>
        <w:rPr>
          <w:rFonts w:hint="eastAsia" w:ascii="宋体" w:hAnsi="宋体" w:eastAsia="宋体" w:cs="Times New Roman"/>
        </w:rPr>
      </w:pPr>
      <w:r>
        <w:rPr>
          <w:rFonts w:hint="eastAsia" w:ascii="宋体" w:hAnsi="宋体" w:eastAsia="宋体" w:cs="Times New Roman"/>
        </w:rPr>
        <w:t>十、本合同壹式叁份，甲、乙双方及代理机构各执壹份，具有同等的法律效力。</w:t>
      </w:r>
    </w:p>
    <w:p w14:paraId="72E99711">
      <w:pPr>
        <w:spacing w:line="312" w:lineRule="auto"/>
        <w:rPr>
          <w:rFonts w:hint="eastAsia" w:ascii="宋体" w:hAnsi="宋体" w:eastAsia="宋体" w:cs="Times New Roman"/>
        </w:rPr>
      </w:pPr>
    </w:p>
    <w:p w14:paraId="0655589F">
      <w:pPr>
        <w:spacing w:line="312" w:lineRule="auto"/>
        <w:rPr>
          <w:rFonts w:hint="eastAsia" w:ascii="宋体" w:hAnsi="宋体" w:eastAsia="宋体" w:cs="Times New Roman"/>
        </w:rPr>
      </w:pPr>
      <w:r>
        <w:rPr>
          <w:rFonts w:hint="eastAsia" w:ascii="宋体" w:hAnsi="宋体" w:eastAsia="宋体" w:cs="Times New Roman"/>
        </w:rPr>
        <w:t>甲方：                           乙方：</w:t>
      </w:r>
    </w:p>
    <w:p w14:paraId="13358AEE">
      <w:pPr>
        <w:spacing w:line="312" w:lineRule="auto"/>
        <w:rPr>
          <w:rFonts w:hint="eastAsia" w:ascii="宋体" w:hAnsi="宋体" w:eastAsia="宋体" w:cs="Times New Roman"/>
        </w:rPr>
      </w:pPr>
      <w:r>
        <w:rPr>
          <w:rFonts w:hint="eastAsia" w:ascii="宋体" w:hAnsi="宋体" w:eastAsia="宋体" w:cs="Times New Roman"/>
        </w:rPr>
        <w:t>地址：                           地址：</w:t>
      </w:r>
    </w:p>
    <w:p w14:paraId="081F84A9">
      <w:pPr>
        <w:spacing w:line="312" w:lineRule="auto"/>
        <w:rPr>
          <w:rFonts w:hint="eastAsia" w:ascii="宋体" w:hAnsi="宋体" w:eastAsia="宋体" w:cs="Times New Roman"/>
        </w:rPr>
      </w:pPr>
      <w:r>
        <w:rPr>
          <w:rFonts w:hint="eastAsia" w:ascii="宋体" w:hAnsi="宋体" w:eastAsia="宋体" w:cs="Times New Roman"/>
        </w:rPr>
        <w:t>法人代表：                       法人代表：</w:t>
      </w:r>
    </w:p>
    <w:p w14:paraId="3C3103B6">
      <w:pPr>
        <w:spacing w:line="312" w:lineRule="auto"/>
        <w:rPr>
          <w:rFonts w:hint="eastAsia" w:ascii="宋体" w:hAnsi="宋体" w:eastAsia="宋体" w:cs="Times New Roman"/>
        </w:rPr>
      </w:pPr>
      <w:r>
        <w:rPr>
          <w:rFonts w:hint="eastAsia" w:ascii="宋体" w:hAnsi="宋体" w:eastAsia="宋体" w:cs="Times New Roman"/>
        </w:rPr>
        <w:t>电话：                           电话：</w:t>
      </w:r>
    </w:p>
    <w:p w14:paraId="3F683F6C">
      <w:pPr>
        <w:spacing w:line="312" w:lineRule="auto"/>
        <w:rPr>
          <w:rFonts w:hint="eastAsia" w:ascii="宋体" w:hAnsi="宋体" w:eastAsia="宋体" w:cs="Times New Roman"/>
        </w:rPr>
      </w:pPr>
      <w:r>
        <w:rPr>
          <w:rFonts w:hint="eastAsia" w:ascii="宋体" w:hAnsi="宋体" w:eastAsia="宋体" w:cs="Times New Roman"/>
        </w:rPr>
        <w:t>电传：                           电传：</w:t>
      </w:r>
    </w:p>
    <w:p w14:paraId="1D55F810">
      <w:pPr>
        <w:spacing w:line="312" w:lineRule="auto"/>
        <w:rPr>
          <w:rFonts w:hint="eastAsia" w:ascii="宋体" w:hAnsi="宋体" w:eastAsia="宋体" w:cs="Times New Roman"/>
        </w:rPr>
      </w:pPr>
      <w:r>
        <w:rPr>
          <w:rFonts w:hint="eastAsia" w:ascii="宋体" w:hAnsi="宋体" w:eastAsia="宋体" w:cs="Times New Roman"/>
        </w:rPr>
        <w:t>邮政编码：                       邮政编码：</w:t>
      </w:r>
    </w:p>
    <w:p w14:paraId="061A51E3">
      <w:pPr>
        <w:spacing w:line="312" w:lineRule="auto"/>
        <w:rPr>
          <w:rFonts w:hint="eastAsia" w:ascii="宋体" w:hAnsi="宋体" w:eastAsia="宋体" w:cs="Times New Roman"/>
        </w:rPr>
      </w:pPr>
      <w:r>
        <w:rPr>
          <w:rFonts w:hint="eastAsia" w:ascii="宋体" w:hAnsi="宋体" w:eastAsia="宋体" w:cs="Times New Roman"/>
        </w:rPr>
        <w:t>开户银行：                       开户银行：</w:t>
      </w:r>
    </w:p>
    <w:p w14:paraId="3AC41D4C">
      <w:pPr>
        <w:spacing w:line="312" w:lineRule="auto"/>
        <w:rPr>
          <w:rFonts w:hint="eastAsia" w:ascii="宋体" w:hAnsi="宋体" w:eastAsia="宋体" w:cs="Times New Roman"/>
        </w:rPr>
      </w:pPr>
      <w:r>
        <w:rPr>
          <w:rFonts w:hint="eastAsia" w:ascii="Times New Roman" w:hAnsi="Times New Roman" w:eastAsia="宋体" w:cs="Times New Roman"/>
        </w:rPr>
        <w:t>账号：                           账号：</w:t>
      </w:r>
    </w:p>
    <w:p w14:paraId="10A4D06B">
      <w:pPr>
        <w:spacing w:line="312" w:lineRule="auto"/>
        <w:rPr>
          <w:rFonts w:hint="eastAsia" w:ascii="宋体" w:hAnsi="宋体" w:eastAsia="宋体" w:cs="Times New Roman"/>
        </w:rPr>
      </w:pPr>
      <w:r>
        <w:rPr>
          <w:rFonts w:hint="eastAsia" w:ascii="宋体" w:hAnsi="宋体" w:eastAsia="宋体" w:cs="Times New Roman"/>
        </w:rPr>
        <w:t>日期：                           日期：</w:t>
      </w:r>
    </w:p>
    <w:p w14:paraId="0912B54F">
      <w:pPr>
        <w:snapToGrid w:val="0"/>
        <w:spacing w:line="460" w:lineRule="atLeast"/>
        <w:rPr>
          <w:rFonts w:hint="eastAsia" w:ascii="宋体" w:hAnsi="宋体" w:eastAsia="宋体" w:cs="Times New Roman"/>
          <w:szCs w:val="21"/>
        </w:rPr>
      </w:pPr>
    </w:p>
    <w:p w14:paraId="125DE8DE">
      <w:pPr>
        <w:snapToGrid w:val="0"/>
        <w:spacing w:line="260" w:lineRule="exact"/>
        <w:rPr>
          <w:rFonts w:ascii="宋体" w:hAnsi="宋体" w:eastAsia="宋体" w:cs="Times New Roman"/>
          <w:szCs w:val="21"/>
        </w:rPr>
      </w:pPr>
      <w:bookmarkStart w:id="19" w:name="_Hlk118299836"/>
    </w:p>
    <w:p w14:paraId="0AE0F0DD">
      <w:pPr>
        <w:snapToGrid w:val="0"/>
        <w:spacing w:line="260" w:lineRule="exact"/>
        <w:rPr>
          <w:rFonts w:ascii="宋体" w:hAnsi="宋体" w:eastAsia="宋体" w:cs="Times New Roman"/>
          <w:szCs w:val="21"/>
        </w:rPr>
      </w:pPr>
    </w:p>
    <w:p w14:paraId="4B5E9E97">
      <w:pPr>
        <w:snapToGrid w:val="0"/>
        <w:spacing w:line="260" w:lineRule="exact"/>
        <w:rPr>
          <w:rFonts w:ascii="宋体" w:hAnsi="宋体" w:eastAsia="宋体" w:cs="Times New Roman"/>
          <w:szCs w:val="21"/>
        </w:rPr>
      </w:pPr>
    </w:p>
    <w:p w14:paraId="6CC8F54C">
      <w:pPr>
        <w:snapToGrid w:val="0"/>
        <w:spacing w:line="260" w:lineRule="exact"/>
        <w:rPr>
          <w:rFonts w:ascii="宋体" w:hAnsi="宋体" w:eastAsia="宋体" w:cs="Times New Roman"/>
          <w:szCs w:val="21"/>
        </w:rPr>
      </w:pPr>
    </w:p>
    <w:p w14:paraId="4988A305">
      <w:pPr>
        <w:snapToGrid w:val="0"/>
        <w:spacing w:line="260" w:lineRule="exact"/>
        <w:rPr>
          <w:rFonts w:ascii="宋体" w:hAnsi="宋体" w:eastAsia="宋体" w:cs="Times New Roman"/>
          <w:szCs w:val="21"/>
        </w:rPr>
      </w:pPr>
    </w:p>
    <w:p w14:paraId="78B2DD4A">
      <w:pPr>
        <w:snapToGrid w:val="0"/>
        <w:spacing w:line="260" w:lineRule="exact"/>
        <w:rPr>
          <w:rFonts w:ascii="宋体" w:hAnsi="宋体" w:eastAsia="宋体" w:cs="Times New Roman"/>
          <w:szCs w:val="21"/>
        </w:rPr>
      </w:pPr>
    </w:p>
    <w:p w14:paraId="515C7CF5">
      <w:pPr>
        <w:pStyle w:val="2"/>
        <w:ind w:left="0" w:leftChars="0" w:firstLine="0" w:firstLineChars="0"/>
      </w:pPr>
    </w:p>
    <w:p w14:paraId="7C989DED">
      <w:pPr>
        <w:snapToGrid w:val="0"/>
        <w:spacing w:line="260" w:lineRule="exact"/>
        <w:rPr>
          <w:rFonts w:ascii="宋体" w:hAnsi="宋体" w:eastAsia="宋体" w:cs="Times New Roman"/>
          <w:szCs w:val="21"/>
        </w:rPr>
      </w:pPr>
    </w:p>
    <w:p w14:paraId="21DB2BFE">
      <w:pPr>
        <w:snapToGrid w:val="0"/>
        <w:spacing w:line="260" w:lineRule="exact"/>
        <w:rPr>
          <w:rFonts w:hint="eastAsia" w:ascii="宋体" w:hAnsi="宋体" w:eastAsia="宋体" w:cs="Times New Roman"/>
          <w:szCs w:val="21"/>
        </w:rPr>
      </w:pPr>
      <w:r>
        <w:rPr>
          <w:rFonts w:ascii="宋体" w:hAnsi="宋体" w:eastAsia="宋体" w:cs="Times New Roman"/>
          <w:szCs w:val="21"/>
        </w:rPr>
        <w:t>信贷政策</w:t>
      </w:r>
    </w:p>
    <w:p w14:paraId="36EDEA59">
      <w:pPr>
        <w:spacing w:line="260" w:lineRule="exact"/>
        <w:ind w:firstLine="420" w:firstLineChars="200"/>
        <w:rPr>
          <w:rFonts w:hint="eastAsia" w:ascii="宋体" w:hAnsi="宋体" w:eastAsia="宋体" w:cs="Times New Roman"/>
          <w:szCs w:val="21"/>
        </w:rPr>
      </w:pPr>
      <w:r>
        <w:rPr>
          <w:rFonts w:ascii="宋体" w:hAnsi="宋体" w:eastAsia="宋体" w:cs="Times New Roman"/>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p w14:paraId="3A0FAB94">
      <w:pPr>
        <w:spacing w:line="240" w:lineRule="exact"/>
        <w:contextualSpacing/>
        <w:rPr>
          <w:rFonts w:hint="eastAsia" w:ascii="宋体" w:hAnsi="宋体" w:eastAsia="宋体" w:cs="Times New Roman"/>
          <w:sz w:val="24"/>
          <w:szCs w:val="20"/>
        </w:rPr>
      </w:pPr>
    </w:p>
    <w:tbl>
      <w:tblPr>
        <w:tblStyle w:val="61"/>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975"/>
        <w:gridCol w:w="2220"/>
        <w:gridCol w:w="1908"/>
      </w:tblGrid>
      <w:tr w14:paraId="0D01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563" w:type="dxa"/>
            <w:gridSpan w:val="4"/>
            <w:vAlign w:val="center"/>
          </w:tcPr>
          <w:p w14:paraId="32CB53A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舟山市政府采购信用融资合作银行</w:t>
            </w:r>
          </w:p>
        </w:tc>
      </w:tr>
      <w:tr w14:paraId="26C7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60" w:type="dxa"/>
            <w:vAlign w:val="center"/>
          </w:tcPr>
          <w:p w14:paraId="6B86115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银行名称</w:t>
            </w:r>
          </w:p>
        </w:tc>
        <w:tc>
          <w:tcPr>
            <w:tcW w:w="3975" w:type="dxa"/>
            <w:vAlign w:val="center"/>
          </w:tcPr>
          <w:p w14:paraId="38CA0C6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各银行介绍的产品特点</w:t>
            </w:r>
          </w:p>
        </w:tc>
        <w:tc>
          <w:tcPr>
            <w:tcW w:w="2220" w:type="dxa"/>
            <w:vAlign w:val="center"/>
          </w:tcPr>
          <w:p w14:paraId="03275496">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经办人</w:t>
            </w:r>
          </w:p>
        </w:tc>
        <w:tc>
          <w:tcPr>
            <w:tcW w:w="1908" w:type="dxa"/>
            <w:vAlign w:val="center"/>
          </w:tcPr>
          <w:p w14:paraId="431109CE">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联系方式</w:t>
            </w:r>
          </w:p>
        </w:tc>
      </w:tr>
      <w:tr w14:paraId="0A94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460" w:type="dxa"/>
            <w:vAlign w:val="center"/>
          </w:tcPr>
          <w:p w14:paraId="2D64D8B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中国工商银行股份有限公司舟山分行</w:t>
            </w:r>
          </w:p>
        </w:tc>
        <w:tc>
          <w:tcPr>
            <w:tcW w:w="3975" w:type="dxa"/>
          </w:tcPr>
          <w:p w14:paraId="319BDB45">
            <w:pPr>
              <w:numPr>
                <w:ilvl w:val="0"/>
                <w:numId w:val="11"/>
              </w:numPr>
              <w:spacing w:line="240" w:lineRule="exact"/>
              <w:contextualSpacing/>
              <w:rPr>
                <w:rFonts w:hint="eastAsia" w:ascii="宋体" w:hAnsi="宋体" w:eastAsia="宋体" w:cs="仿宋_GB2312"/>
                <w:szCs w:val="21"/>
              </w:rPr>
            </w:pPr>
            <w:r>
              <w:rPr>
                <w:rFonts w:hint="eastAsia" w:ascii="宋体" w:hAnsi="宋体" w:eastAsia="宋体" w:cs="仿宋_GB2312"/>
                <w:szCs w:val="21"/>
              </w:rPr>
              <w:t>融资额度高，融资金额最高可至订单金额70%，线上申请，随借随还。2.融资利率低，最低可至当期LPR利率。</w:t>
            </w:r>
          </w:p>
          <w:p w14:paraId="6FFC310A">
            <w:pPr>
              <w:spacing w:line="240" w:lineRule="exact"/>
              <w:contextualSpacing/>
              <w:rPr>
                <w:rFonts w:hint="eastAsia" w:ascii="宋体" w:hAnsi="宋体" w:eastAsia="宋体" w:cs="Times New Roman"/>
                <w:szCs w:val="21"/>
              </w:rPr>
            </w:pPr>
            <w:r>
              <w:rPr>
                <w:rFonts w:hint="eastAsia" w:ascii="宋体" w:hAnsi="宋体" w:eastAsia="宋体" w:cs="仿宋_GB2312"/>
                <w:szCs w:val="21"/>
              </w:rPr>
              <w:t>3.担保方式灵活，以政府采购合同进行融资，无需另外抵押。</w:t>
            </w:r>
          </w:p>
        </w:tc>
        <w:tc>
          <w:tcPr>
            <w:tcW w:w="2220" w:type="dxa"/>
            <w:vAlign w:val="center"/>
          </w:tcPr>
          <w:p w14:paraId="479083A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柳超颖</w:t>
            </w:r>
          </w:p>
        </w:tc>
        <w:tc>
          <w:tcPr>
            <w:tcW w:w="1908" w:type="dxa"/>
            <w:vAlign w:val="center"/>
          </w:tcPr>
          <w:p w14:paraId="1AFD18D2">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0580-2166242, 15858076468</w:t>
            </w:r>
          </w:p>
        </w:tc>
      </w:tr>
      <w:tr w14:paraId="0148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6013EC9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中国建设银行股份有限公司舟山分行</w:t>
            </w:r>
          </w:p>
        </w:tc>
        <w:tc>
          <w:tcPr>
            <w:tcW w:w="3975" w:type="dxa"/>
          </w:tcPr>
          <w:p w14:paraId="225F60A2">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快速便捷：全流程线上操作，通过浙江省政府采购网数据审核信用额度，建行供应链平台快速放款。</w:t>
            </w:r>
          </w:p>
          <w:p w14:paraId="5E577F09">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申请额度高：单笔融资额度最高可达政府采购合同金额的90%，单户额度最高可达3000万。</w:t>
            </w:r>
          </w:p>
          <w:p w14:paraId="75FC915D">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无需额外抵押：以浙江省政府采购网备案公示的政府采购合同进行融资，无需额外抵押担保。</w:t>
            </w:r>
          </w:p>
          <w:p w14:paraId="251F6D06">
            <w:pPr>
              <w:numPr>
                <w:ilvl w:val="0"/>
                <w:numId w:val="12"/>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利率优惠：给予流动资金贷款最优惠利率。</w:t>
            </w:r>
          </w:p>
        </w:tc>
        <w:tc>
          <w:tcPr>
            <w:tcW w:w="2220" w:type="dxa"/>
            <w:vAlign w:val="center"/>
          </w:tcPr>
          <w:p w14:paraId="4D2DB88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普陀片区：蔡妮妮</w:t>
            </w:r>
          </w:p>
          <w:p w14:paraId="7596B87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定海片区：杨莹</w:t>
            </w:r>
          </w:p>
          <w:p w14:paraId="25E1F45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自贸区片区：方晓</w:t>
            </w:r>
          </w:p>
        </w:tc>
        <w:tc>
          <w:tcPr>
            <w:tcW w:w="1908" w:type="dxa"/>
            <w:vAlign w:val="center"/>
          </w:tcPr>
          <w:p w14:paraId="01816268">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普陀片区：13957201791</w:t>
            </w:r>
          </w:p>
          <w:p w14:paraId="53CC28A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定海片区：13655803997</w:t>
            </w:r>
          </w:p>
          <w:p w14:paraId="57CC6FF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自贸区片区：13587086324</w:t>
            </w:r>
          </w:p>
        </w:tc>
      </w:tr>
      <w:tr w14:paraId="68C1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1642C23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杭州银行股份有限公司舟山市分行</w:t>
            </w:r>
          </w:p>
        </w:tc>
        <w:tc>
          <w:tcPr>
            <w:tcW w:w="3975" w:type="dxa"/>
          </w:tcPr>
          <w:p w14:paraId="3D12FD6F">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14:paraId="28CD17CA">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方经理</w:t>
            </w:r>
          </w:p>
        </w:tc>
        <w:tc>
          <w:tcPr>
            <w:tcW w:w="1908" w:type="dxa"/>
            <w:vAlign w:val="center"/>
          </w:tcPr>
          <w:p w14:paraId="6C0FF0F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0580-2185201，18205800451</w:t>
            </w:r>
          </w:p>
        </w:tc>
      </w:tr>
      <w:tr w14:paraId="61FC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CB4FEE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招商银行股份有限公司浙江自贸试验区舟山分行</w:t>
            </w:r>
          </w:p>
        </w:tc>
        <w:tc>
          <w:tcPr>
            <w:tcW w:w="3975" w:type="dxa"/>
          </w:tcPr>
          <w:p w14:paraId="0178F62D">
            <w:pPr>
              <w:spacing w:line="240" w:lineRule="exact"/>
              <w:rPr>
                <w:rFonts w:hint="eastAsia" w:ascii="宋体" w:hAnsi="宋体" w:eastAsia="宋体" w:cs="Times New Roman"/>
                <w:szCs w:val="21"/>
              </w:rPr>
            </w:pPr>
            <w:r>
              <w:rPr>
                <w:rFonts w:hint="eastAsia" w:ascii="宋体" w:hAnsi="宋体" w:eastAsia="宋体" w:cs="仿宋_GB2312"/>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14:paraId="0B267E8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李玲</w:t>
            </w:r>
          </w:p>
        </w:tc>
        <w:tc>
          <w:tcPr>
            <w:tcW w:w="1908" w:type="dxa"/>
            <w:vAlign w:val="center"/>
          </w:tcPr>
          <w:p w14:paraId="29799A2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0580-2061710，13957227971</w:t>
            </w:r>
          </w:p>
        </w:tc>
      </w:tr>
      <w:tr w14:paraId="4EAA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460" w:type="dxa"/>
            <w:vAlign w:val="center"/>
          </w:tcPr>
          <w:p w14:paraId="5B5B428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温州银行股份有限公司舟山市分行</w:t>
            </w:r>
          </w:p>
        </w:tc>
        <w:tc>
          <w:tcPr>
            <w:tcW w:w="3975" w:type="dxa"/>
          </w:tcPr>
          <w:p w14:paraId="017DF25F">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单户授信敞口最高不超过1000万元，且最高额度核定一般不超过借款人（含实际控制人控制的其他经营实体）最近13个月合计有效中标合同金额的70%。</w:t>
            </w:r>
          </w:p>
          <w:p w14:paraId="6F9420E6">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单笔借款额度最高不超过1000万元，单笔业务授信额度不超过“政采云平台”提供的中标通知书承载的中标金额或本次申请授信提供的采购合同金额的80%，且用信金额不超过采购合同未付金额的80%。</w:t>
            </w:r>
          </w:p>
          <w:p w14:paraId="6524A4CB">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借款人中标采购人自行采购项目并向我行发起授信申请的，单笔业务授信敞口不超500万元，且不超过借款人中标通知书承载的中标金额或本次申请授信提供的采购合同的80%。</w:t>
            </w:r>
          </w:p>
          <w:p w14:paraId="5E62FC43">
            <w:pPr>
              <w:numPr>
                <w:ilvl w:val="0"/>
                <w:numId w:val="13"/>
              </w:num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符合我行采购人资质的，且负债率不超75%，配合应收账款质押登记确认的，并可出具确认函，单笔借款额度可按不超过采购合同的90%办理。</w:t>
            </w:r>
          </w:p>
        </w:tc>
        <w:tc>
          <w:tcPr>
            <w:tcW w:w="2220" w:type="dxa"/>
            <w:vAlign w:val="center"/>
          </w:tcPr>
          <w:p w14:paraId="433C3E81">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郑贤栋</w:t>
            </w:r>
          </w:p>
        </w:tc>
        <w:tc>
          <w:tcPr>
            <w:tcW w:w="1908" w:type="dxa"/>
            <w:vAlign w:val="center"/>
          </w:tcPr>
          <w:p w14:paraId="57615BA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058—8866086</w:t>
            </w:r>
          </w:p>
        </w:tc>
      </w:tr>
      <w:tr w14:paraId="6421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0F350E4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交通银行股份有限公司舟山分行</w:t>
            </w:r>
          </w:p>
        </w:tc>
        <w:tc>
          <w:tcPr>
            <w:tcW w:w="3975" w:type="dxa"/>
          </w:tcPr>
          <w:p w14:paraId="55B651BD">
            <w:pPr>
              <w:spacing w:line="240" w:lineRule="exact"/>
              <w:contextualSpacing/>
              <w:rPr>
                <w:rFonts w:hint="eastAsia" w:ascii="宋体" w:hAnsi="宋体" w:eastAsia="宋体" w:cs="Times New Roman"/>
                <w:szCs w:val="21"/>
              </w:rPr>
            </w:pPr>
            <w:r>
              <w:rPr>
                <w:rFonts w:hint="eastAsia" w:ascii="宋体" w:hAnsi="宋体" w:eastAsia="宋体" w:cs="仿宋_GB2312"/>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ascii="宋体" w:hAnsi="宋体" w:eastAsia="宋体" w:cs="Times New Roman"/>
                <w:szCs w:val="21"/>
              </w:rPr>
              <w:t>PR</w:t>
            </w:r>
            <w:r>
              <w:rPr>
                <w:rFonts w:ascii="宋体" w:hAnsi="宋体" w:eastAsia="宋体" w:cs="Times New Roman"/>
                <w:szCs w:val="21"/>
              </w:rPr>
              <w:t>。</w:t>
            </w:r>
          </w:p>
        </w:tc>
        <w:tc>
          <w:tcPr>
            <w:tcW w:w="2220" w:type="dxa"/>
            <w:vAlign w:val="center"/>
          </w:tcPr>
          <w:p w14:paraId="3ACE43E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赵争艳</w:t>
            </w:r>
          </w:p>
        </w:tc>
        <w:tc>
          <w:tcPr>
            <w:tcW w:w="1908" w:type="dxa"/>
            <w:vAlign w:val="center"/>
          </w:tcPr>
          <w:p w14:paraId="3F04A603">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0580-2260728</w:t>
            </w:r>
          </w:p>
          <w:p w14:paraId="46FBE84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13758007280</w:t>
            </w:r>
          </w:p>
        </w:tc>
      </w:tr>
      <w:tr w14:paraId="3E7C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EE4178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中信银行股份有限公司舟山分行</w:t>
            </w:r>
          </w:p>
        </w:tc>
        <w:tc>
          <w:tcPr>
            <w:tcW w:w="3975" w:type="dxa"/>
          </w:tcPr>
          <w:p w14:paraId="57DD9406">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14:paraId="458FFDC8">
            <w:pPr>
              <w:spacing w:line="240" w:lineRule="exact"/>
              <w:contextualSpacing/>
              <w:jc w:val="center"/>
              <w:rPr>
                <w:rFonts w:hint="eastAsia" w:ascii="宋体" w:hAnsi="宋体" w:eastAsia="宋体" w:cs="Times New Roman"/>
                <w:szCs w:val="21"/>
              </w:rPr>
            </w:pPr>
            <w:r>
              <w:rPr>
                <w:rFonts w:ascii="宋体" w:hAnsi="宋体" w:eastAsia="宋体" w:cs="Times New Roman"/>
                <w:szCs w:val="21"/>
              </w:rPr>
              <w:t>黄丽</w:t>
            </w:r>
          </w:p>
        </w:tc>
        <w:tc>
          <w:tcPr>
            <w:tcW w:w="1908" w:type="dxa"/>
            <w:vAlign w:val="center"/>
          </w:tcPr>
          <w:p w14:paraId="593E111C">
            <w:pPr>
              <w:spacing w:line="240" w:lineRule="exact"/>
              <w:contextualSpacing/>
              <w:rPr>
                <w:rFonts w:hint="eastAsia" w:ascii="宋体" w:hAnsi="宋体" w:eastAsia="宋体" w:cs="Times New Roman"/>
                <w:szCs w:val="21"/>
              </w:rPr>
            </w:pPr>
            <w:r>
              <w:rPr>
                <w:rFonts w:ascii="宋体" w:hAnsi="宋体" w:eastAsia="宋体" w:cs="Times New Roman"/>
                <w:szCs w:val="21"/>
              </w:rPr>
              <w:t>13905808032</w:t>
            </w:r>
          </w:p>
        </w:tc>
      </w:tr>
      <w:tr w14:paraId="29CD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4F58B571">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泰隆银行舟山市分行</w:t>
            </w:r>
          </w:p>
        </w:tc>
        <w:tc>
          <w:tcPr>
            <w:tcW w:w="3975" w:type="dxa"/>
          </w:tcPr>
          <w:p w14:paraId="4A38184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14:paraId="57CE6278">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胡亢宇</w:t>
            </w:r>
          </w:p>
        </w:tc>
        <w:tc>
          <w:tcPr>
            <w:tcW w:w="1908" w:type="dxa"/>
            <w:vAlign w:val="center"/>
          </w:tcPr>
          <w:p w14:paraId="7FE0139A">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17605868703</w:t>
            </w:r>
          </w:p>
        </w:tc>
      </w:tr>
      <w:tr w14:paraId="4865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C54F08B">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中国农业银行股份有限公司舟山分行</w:t>
            </w:r>
          </w:p>
        </w:tc>
        <w:tc>
          <w:tcPr>
            <w:tcW w:w="3975" w:type="dxa"/>
          </w:tcPr>
          <w:p w14:paraId="653D6030">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14:paraId="66E951C2">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苏华瞻</w:t>
            </w:r>
          </w:p>
        </w:tc>
        <w:tc>
          <w:tcPr>
            <w:tcW w:w="1908" w:type="dxa"/>
            <w:vAlign w:val="center"/>
          </w:tcPr>
          <w:p w14:paraId="270E054C">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13967228926</w:t>
            </w:r>
          </w:p>
        </w:tc>
      </w:tr>
      <w:tr w14:paraId="0A7C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584EB57">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中国邮政储蓄银行股份有限公司舟山市分行</w:t>
            </w:r>
          </w:p>
        </w:tc>
        <w:tc>
          <w:tcPr>
            <w:tcW w:w="3975" w:type="dxa"/>
          </w:tcPr>
          <w:p w14:paraId="59865A7C">
            <w:pPr>
              <w:tabs>
                <w:tab w:val="left" w:pos="0"/>
              </w:tabs>
              <w:spacing w:line="240" w:lineRule="exact"/>
              <w:rPr>
                <w:rFonts w:hint="eastAsia" w:ascii="宋体" w:hAnsi="宋体" w:eastAsia="宋体" w:cs="Times New Roman"/>
                <w:szCs w:val="21"/>
              </w:rPr>
            </w:pPr>
            <w:r>
              <w:rPr>
                <w:rFonts w:hint="eastAsia" w:ascii="宋体" w:hAnsi="宋体" w:eastAsia="宋体" w:cs="Times New Roman"/>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14:paraId="14EC9B0B">
            <w:pPr>
              <w:spacing w:line="240" w:lineRule="exact"/>
              <w:contextualSpacing/>
              <w:jc w:val="center"/>
              <w:rPr>
                <w:rFonts w:hint="eastAsia" w:ascii="宋体" w:hAnsi="宋体" w:eastAsia="宋体" w:cs="Times New Roman"/>
                <w:szCs w:val="21"/>
              </w:rPr>
            </w:pPr>
            <w:r>
              <w:rPr>
                <w:rFonts w:hint="eastAsia" w:ascii="宋体" w:hAnsi="宋体" w:eastAsia="宋体" w:cs="Times New Roman"/>
                <w:szCs w:val="21"/>
              </w:rPr>
              <w:t>蒋志燕</w:t>
            </w:r>
          </w:p>
        </w:tc>
        <w:tc>
          <w:tcPr>
            <w:tcW w:w="1908" w:type="dxa"/>
            <w:vAlign w:val="center"/>
          </w:tcPr>
          <w:p w14:paraId="08FB2C6C">
            <w:pPr>
              <w:spacing w:line="240" w:lineRule="exact"/>
              <w:contextualSpacing/>
              <w:rPr>
                <w:rFonts w:hint="eastAsia" w:ascii="宋体" w:hAnsi="宋体" w:eastAsia="宋体" w:cs="Times New Roman"/>
                <w:szCs w:val="21"/>
              </w:rPr>
            </w:pPr>
            <w:r>
              <w:rPr>
                <w:rFonts w:hint="eastAsia" w:ascii="宋体" w:hAnsi="宋体" w:eastAsia="宋体" w:cs="Times New Roman"/>
                <w:szCs w:val="21"/>
              </w:rPr>
              <w:t>13732527321</w:t>
            </w:r>
          </w:p>
        </w:tc>
      </w:tr>
      <w:bookmarkEnd w:id="19"/>
    </w:tbl>
    <w:p w14:paraId="436915DA">
      <w:pPr>
        <w:spacing w:line="260" w:lineRule="exact"/>
        <w:ind w:firstLine="555"/>
        <w:rPr>
          <w:rFonts w:hint="eastAsia" w:ascii="宋体" w:hAnsi="宋体" w:eastAsia="宋体" w:cs="Times New Roman"/>
          <w:szCs w:val="21"/>
        </w:rPr>
      </w:pPr>
      <w:r>
        <w:rPr>
          <w:rFonts w:ascii="宋体" w:hAnsi="宋体" w:eastAsia="宋体" w:cs="Times New Roman"/>
          <w:szCs w:val="21"/>
        </w:rPr>
        <w:t>2.一般步骤</w:t>
      </w:r>
    </w:p>
    <w:p w14:paraId="3C84195A">
      <w:pPr>
        <w:spacing w:line="260" w:lineRule="exact"/>
        <w:ind w:firstLine="555"/>
        <w:rPr>
          <w:rFonts w:hint="eastAsia" w:ascii="宋体" w:hAnsi="宋体" w:eastAsia="宋体" w:cs="Times New Roman"/>
          <w:szCs w:val="21"/>
        </w:rPr>
      </w:pPr>
      <w:r>
        <w:rPr>
          <w:rFonts w:ascii="宋体" w:hAnsi="宋体" w:eastAsia="宋体" w:cs="Times New Roman"/>
          <w:szCs w:val="21"/>
        </w:rPr>
        <w:t>（1）供应商先与银行对接，办理融资前期手续；</w:t>
      </w:r>
    </w:p>
    <w:p w14:paraId="388F3C31">
      <w:pPr>
        <w:spacing w:line="260" w:lineRule="exact"/>
        <w:ind w:firstLine="555"/>
        <w:rPr>
          <w:rFonts w:hint="eastAsia" w:ascii="宋体" w:hAnsi="宋体" w:eastAsia="宋体" w:cs="Times New Roman"/>
          <w:szCs w:val="21"/>
        </w:rPr>
      </w:pPr>
      <w:r>
        <w:rPr>
          <w:rFonts w:ascii="宋体" w:hAnsi="宋体" w:eastAsia="宋体" w:cs="Times New Roman"/>
          <w:szCs w:val="21"/>
        </w:rPr>
        <w:t>（2）供应商中标后，凭中标通知书等材料，向相关合作银行发出融资申请；</w:t>
      </w:r>
    </w:p>
    <w:p w14:paraId="4C47BBC7">
      <w:pPr>
        <w:spacing w:line="260" w:lineRule="exact"/>
        <w:ind w:firstLine="555"/>
        <w:rPr>
          <w:rFonts w:hint="eastAsia" w:ascii="宋体" w:hAnsi="宋体" w:eastAsia="宋体" w:cs="Times New Roman"/>
          <w:szCs w:val="21"/>
        </w:rPr>
      </w:pPr>
      <w:r>
        <w:rPr>
          <w:rFonts w:ascii="宋体" w:hAnsi="宋体" w:eastAsia="宋体" w:cs="Times New Roman"/>
          <w:szCs w:val="21"/>
        </w:rPr>
        <w:t>（3）银行、供应商线</w:t>
      </w:r>
      <w:r>
        <w:rPr>
          <w:rFonts w:hint="eastAsia" w:ascii="宋体" w:hAnsi="宋体" w:eastAsia="宋体" w:cs="Times New Roman"/>
          <w:szCs w:val="21"/>
        </w:rPr>
        <w:t>上</w:t>
      </w:r>
      <w:r>
        <w:rPr>
          <w:rFonts w:ascii="宋体" w:hAnsi="宋体" w:eastAsia="宋体" w:cs="Times New Roman"/>
          <w:szCs w:val="21"/>
        </w:rPr>
        <w:t>办理审批、放贷事宜。</w:t>
      </w:r>
    </w:p>
    <w:p w14:paraId="7259F256">
      <w:pPr>
        <w:spacing w:line="260" w:lineRule="exact"/>
        <w:ind w:firstLine="555"/>
        <w:rPr>
          <w:rFonts w:hint="eastAsia" w:ascii="宋体" w:hAnsi="宋体" w:eastAsia="宋体" w:cs="Times New Roman"/>
          <w:szCs w:val="21"/>
        </w:rPr>
      </w:pPr>
      <w:r>
        <w:rPr>
          <w:rFonts w:ascii="宋体" w:hAnsi="宋体" w:eastAsia="宋体" w:cs="Times New Roman"/>
          <w:szCs w:val="21"/>
        </w:rPr>
        <w:t>3.注意事项</w:t>
      </w:r>
    </w:p>
    <w:p w14:paraId="437B7770">
      <w:pPr>
        <w:spacing w:line="260" w:lineRule="exact"/>
        <w:ind w:firstLine="555"/>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中标人</w:t>
      </w:r>
      <w:r>
        <w:rPr>
          <w:rFonts w:ascii="宋体" w:hAnsi="宋体" w:eastAsia="宋体" w:cs="Times New Roman"/>
          <w:szCs w:val="21"/>
        </w:rPr>
        <w:t>需确保政府采购合同的收款账户与融资银行开户账户一致。</w:t>
      </w:r>
    </w:p>
    <w:p w14:paraId="1198DDEE">
      <w:pPr>
        <w:spacing w:line="260" w:lineRule="exact"/>
        <w:ind w:firstLine="555"/>
        <w:rPr>
          <w:rFonts w:hint="eastAsia" w:ascii="宋体" w:hAnsi="宋体" w:eastAsia="宋体" w:cs="Times New Roman"/>
          <w:szCs w:val="21"/>
        </w:rPr>
      </w:pPr>
      <w:r>
        <w:rPr>
          <w:rFonts w:ascii="宋体" w:hAnsi="宋体" w:eastAsia="宋体" w:cs="Times New Roman"/>
          <w:szCs w:val="21"/>
        </w:rPr>
        <w:t>（2）用于政府采购信用融资的政府采购合同，应当包含如下条款：“第条：政府采购合同贷款</w:t>
      </w:r>
    </w:p>
    <w:p w14:paraId="1CF00716">
      <w:pPr>
        <w:spacing w:line="260" w:lineRule="exact"/>
        <w:ind w:firstLine="555"/>
        <w:rPr>
          <w:rFonts w:hint="eastAsia" w:ascii="宋体" w:hAnsi="宋体" w:eastAsia="宋体" w:cs="Times New Roman"/>
          <w:szCs w:val="21"/>
        </w:rPr>
      </w:pPr>
      <w:r>
        <w:rPr>
          <w:rFonts w:ascii="宋体" w:hAnsi="宋体" w:eastAsia="宋体" w:cs="Times New Roman"/>
          <w:szCs w:val="21"/>
        </w:rPr>
        <w:t>本合同同时用于乙方向银行（金融机构）申请政府采购信用贷款。</w:t>
      </w:r>
    </w:p>
    <w:p w14:paraId="1AE3E11C">
      <w:pPr>
        <w:spacing w:line="260" w:lineRule="exact"/>
        <w:ind w:firstLine="555"/>
        <w:rPr>
          <w:rFonts w:hint="eastAsia" w:ascii="宋体" w:hAnsi="宋体" w:eastAsia="宋体" w:cs="Times New Roman"/>
          <w:szCs w:val="21"/>
        </w:rPr>
      </w:pPr>
      <w:r>
        <w:rPr>
          <w:rFonts w:ascii="宋体" w:hAnsi="宋体" w:eastAsia="宋体" w:cs="Times New Roman"/>
          <w:szCs w:val="21"/>
        </w:rPr>
        <w:t>本合同一经签订，原则上不得更改乙方收款账户信息。确须更改的，乙方应取得原合同收款账户开户银行书面同意，否则修改后的合同不予备案，采购资金不予支付。”</w:t>
      </w:r>
    </w:p>
    <w:p w14:paraId="5ACFA8CC">
      <w:pPr>
        <w:tabs>
          <w:tab w:val="left" w:pos="2472"/>
        </w:tabs>
        <w:snapToGrid w:val="0"/>
        <w:spacing w:before="120" w:line="312" w:lineRule="auto"/>
        <w:ind w:right="-87"/>
        <w:rPr>
          <w:rFonts w:ascii="Times New Roman" w:hAnsi="Times New Roman" w:eastAsia="黑体" w:cs="Times New Roman"/>
          <w:sz w:val="30"/>
        </w:rPr>
      </w:pPr>
    </w:p>
    <w:p w14:paraId="3EB4849A">
      <w:pPr>
        <w:tabs>
          <w:tab w:val="left" w:pos="2472"/>
        </w:tabs>
        <w:snapToGrid w:val="0"/>
        <w:spacing w:before="120" w:line="312" w:lineRule="auto"/>
        <w:ind w:right="-87"/>
        <w:jc w:val="center"/>
        <w:rPr>
          <w:rFonts w:ascii="Times New Roman" w:hAnsi="Times New Roman" w:eastAsia="黑体" w:cs="Times New Roman"/>
          <w:sz w:val="30"/>
        </w:rPr>
      </w:pPr>
    </w:p>
    <w:p w14:paraId="65E18045">
      <w:pPr>
        <w:tabs>
          <w:tab w:val="left" w:pos="2472"/>
        </w:tabs>
        <w:snapToGrid w:val="0"/>
        <w:spacing w:before="120" w:line="312" w:lineRule="auto"/>
        <w:ind w:right="-87"/>
        <w:jc w:val="center"/>
        <w:rPr>
          <w:rFonts w:hint="eastAsia" w:ascii="Times New Roman" w:hAnsi="Times New Roman" w:eastAsia="黑体" w:cs="Times New Roman"/>
          <w:sz w:val="30"/>
        </w:rPr>
      </w:pPr>
    </w:p>
    <w:p w14:paraId="6C99C707">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7020CB5">
      <w:pPr>
        <w:tabs>
          <w:tab w:val="left" w:pos="2472"/>
        </w:tabs>
        <w:snapToGrid w:val="0"/>
        <w:spacing w:before="120" w:line="312" w:lineRule="auto"/>
        <w:ind w:right="-87"/>
        <w:jc w:val="center"/>
        <w:rPr>
          <w:rFonts w:ascii="Times New Roman" w:hAnsi="Times New Roman" w:eastAsia="黑体" w:cs="Times New Roman"/>
          <w:sz w:val="30"/>
        </w:rPr>
      </w:pPr>
    </w:p>
    <w:p w14:paraId="2AB287D0">
      <w:pPr>
        <w:snapToGrid w:val="0"/>
        <w:spacing w:line="360" w:lineRule="auto"/>
        <w:ind w:right="-85"/>
        <w:rPr>
          <w:rFonts w:ascii="Times New Roman" w:hAnsi="Times New Roman" w:eastAsia="宋体" w:cs="Times New Roman"/>
          <w:sz w:val="24"/>
        </w:rPr>
      </w:pPr>
    </w:p>
    <w:p w14:paraId="2195CA5C">
      <w:pPr>
        <w:snapToGrid w:val="0"/>
        <w:spacing w:line="360" w:lineRule="auto"/>
        <w:ind w:right="-85"/>
        <w:rPr>
          <w:rFonts w:ascii="Times New Roman" w:hAnsi="Times New Roman" w:eastAsia="宋体" w:cs="Times New Roman"/>
          <w:sz w:val="24"/>
        </w:rPr>
      </w:pPr>
    </w:p>
    <w:p w14:paraId="72A52F26">
      <w:pPr>
        <w:snapToGrid w:val="0"/>
        <w:spacing w:line="360" w:lineRule="auto"/>
        <w:ind w:right="-85"/>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216B8E58">
      <w:pPr>
        <w:snapToGrid w:val="0"/>
        <w:spacing w:line="360" w:lineRule="auto"/>
        <w:ind w:right="-85"/>
        <w:jc w:val="center"/>
        <w:rPr>
          <w:rFonts w:ascii="Times New Roman" w:hAnsi="Times New Roman" w:eastAsia="宋体" w:cs="Times New Roman"/>
          <w:sz w:val="24"/>
        </w:rPr>
      </w:pPr>
    </w:p>
    <w:p w14:paraId="71FC2B75">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100C79D8">
      <w:pPr>
        <w:snapToGrid w:val="0"/>
        <w:spacing w:line="360" w:lineRule="auto"/>
        <w:ind w:right="-85"/>
        <w:rPr>
          <w:rFonts w:ascii="Times New Roman" w:hAnsi="Times New Roman" w:eastAsia="宋体" w:cs="Times New Roman"/>
          <w:sz w:val="24"/>
        </w:rPr>
      </w:pPr>
    </w:p>
    <w:p w14:paraId="6783D683">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5A28A1EC">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7199CCC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5FBAE99F">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5996CDF7">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36511812">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486F96BC">
      <w:pPr>
        <w:snapToGrid w:val="0"/>
        <w:spacing w:line="360" w:lineRule="auto"/>
        <w:ind w:right="-85" w:firstLine="4080" w:firstLineChars="1700"/>
        <w:rPr>
          <w:rFonts w:ascii="Times New Roman" w:hAnsi="Times New Roman" w:eastAsia="宋体" w:cs="Times New Roman"/>
          <w:sz w:val="24"/>
        </w:rPr>
      </w:pPr>
    </w:p>
    <w:p w14:paraId="5F5B3D74">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03EC8A4E">
      <w:pPr>
        <w:snapToGrid w:val="0"/>
        <w:spacing w:line="360" w:lineRule="auto"/>
        <w:ind w:right="-85"/>
        <w:outlineLvl w:val="1"/>
        <w:rPr>
          <w:rFonts w:ascii="Times New Roman" w:hAnsi="Times New Roman" w:eastAsia="宋体" w:cs="Times New Roman"/>
          <w:sz w:val="24"/>
          <w:u w:val="single"/>
        </w:rPr>
      </w:pPr>
    </w:p>
    <w:p w14:paraId="182022F9">
      <w:pPr>
        <w:snapToGrid w:val="0"/>
        <w:spacing w:before="120" w:beforeLines="50" w:line="312" w:lineRule="auto"/>
        <w:rPr>
          <w:rFonts w:ascii="Times New Roman" w:hAnsi="Times New Roman" w:eastAsia="宋体" w:cs="Times New Roman"/>
          <w:b/>
          <w:sz w:val="32"/>
        </w:rPr>
      </w:pPr>
    </w:p>
    <w:p w14:paraId="7F626F14">
      <w:pPr>
        <w:snapToGrid w:val="0"/>
        <w:spacing w:before="120" w:beforeLines="50" w:line="312" w:lineRule="auto"/>
        <w:rPr>
          <w:rFonts w:ascii="Times New Roman" w:hAnsi="Times New Roman" w:eastAsia="宋体" w:cs="Times New Roman"/>
          <w:b/>
          <w:sz w:val="32"/>
        </w:rPr>
      </w:pPr>
    </w:p>
    <w:p w14:paraId="6918EB2A">
      <w:pPr>
        <w:snapToGrid w:val="0"/>
        <w:spacing w:before="120" w:beforeLines="50" w:line="312" w:lineRule="auto"/>
        <w:rPr>
          <w:rFonts w:ascii="Times New Roman" w:hAnsi="Times New Roman" w:eastAsia="宋体" w:cs="Times New Roman"/>
          <w:b/>
          <w:sz w:val="32"/>
        </w:rPr>
      </w:pPr>
    </w:p>
    <w:p w14:paraId="469FDB08">
      <w:pPr>
        <w:snapToGrid w:val="0"/>
        <w:spacing w:before="120" w:beforeLines="50" w:line="312" w:lineRule="auto"/>
        <w:rPr>
          <w:rFonts w:ascii="Times New Roman" w:hAnsi="Times New Roman" w:eastAsia="宋体" w:cs="Times New Roman"/>
          <w:b/>
          <w:sz w:val="32"/>
        </w:rPr>
      </w:pPr>
    </w:p>
    <w:p w14:paraId="7F8DE924">
      <w:pPr>
        <w:snapToGrid w:val="0"/>
        <w:spacing w:before="120" w:beforeLines="50" w:line="312" w:lineRule="auto"/>
        <w:rPr>
          <w:rFonts w:ascii="Times New Roman" w:hAnsi="Times New Roman" w:eastAsia="宋体" w:cs="Times New Roman"/>
          <w:b/>
          <w:sz w:val="32"/>
        </w:rPr>
      </w:pPr>
    </w:p>
    <w:p w14:paraId="4C256CC5">
      <w:pPr>
        <w:snapToGrid w:val="0"/>
        <w:spacing w:before="120" w:beforeLines="50" w:line="312" w:lineRule="auto"/>
        <w:rPr>
          <w:rFonts w:ascii="Times New Roman" w:hAnsi="Times New Roman" w:eastAsia="宋体" w:cs="Times New Roman"/>
          <w:b/>
          <w:sz w:val="32"/>
        </w:rPr>
      </w:pPr>
    </w:p>
    <w:p w14:paraId="7E471959">
      <w:pPr>
        <w:snapToGrid w:val="0"/>
        <w:spacing w:before="120" w:beforeLines="50" w:line="312" w:lineRule="auto"/>
        <w:rPr>
          <w:rFonts w:ascii="Times New Roman" w:hAnsi="Times New Roman" w:eastAsia="宋体" w:cs="Times New Roman"/>
          <w:b/>
          <w:sz w:val="28"/>
          <w:szCs w:val="28"/>
        </w:rPr>
      </w:pPr>
    </w:p>
    <w:p w14:paraId="368F9805">
      <w:pPr>
        <w:snapToGrid w:val="0"/>
        <w:spacing w:before="120" w:beforeLines="50" w:line="312" w:lineRule="auto"/>
        <w:rPr>
          <w:rFonts w:ascii="Times New Roman" w:hAnsi="Times New Roman" w:eastAsia="宋体" w:cs="Times New Roman"/>
          <w:b/>
          <w:sz w:val="28"/>
          <w:szCs w:val="28"/>
        </w:rPr>
      </w:pPr>
    </w:p>
    <w:p w14:paraId="2A8146CB">
      <w:pPr>
        <w:pStyle w:val="26"/>
      </w:pPr>
    </w:p>
    <w:p w14:paraId="666FA5D4">
      <w:pPr>
        <w:pStyle w:val="27"/>
        <w:ind w:firstLine="210"/>
      </w:pPr>
    </w:p>
    <w:p w14:paraId="174AF3BB">
      <w:pPr>
        <w:snapToGrid w:val="0"/>
        <w:spacing w:before="120" w:beforeLines="50" w:line="312" w:lineRule="auto"/>
        <w:jc w:val="center"/>
        <w:rPr>
          <w:rFonts w:ascii="Times New Roman" w:hAnsi="Times New Roman" w:eastAsia="宋体" w:cs="Times New Roman"/>
          <w:b/>
          <w:sz w:val="32"/>
        </w:rPr>
      </w:pPr>
      <w:r>
        <w:rPr>
          <w:rFonts w:hint="eastAsia" w:ascii="Times New Roman" w:hAnsi="Times New Roman" w:eastAsia="宋体" w:cs="Times New Roman"/>
          <w:b/>
          <w:sz w:val="32"/>
          <w:szCs w:val="32"/>
        </w:rPr>
        <w:t>二、</w:t>
      </w:r>
      <w:r>
        <w:rPr>
          <w:rFonts w:hint="eastAsia" w:ascii="Times New Roman" w:hAnsi="Times New Roman" w:eastAsia="宋体" w:cs="Times New Roman"/>
          <w:b/>
          <w:sz w:val="32"/>
        </w:rPr>
        <w:t>开标一览表</w:t>
      </w:r>
    </w:p>
    <w:p w14:paraId="63B9C2DE">
      <w:pPr>
        <w:spacing w:line="360" w:lineRule="auto"/>
        <w:rPr>
          <w:rFonts w:ascii="Times New Roman" w:hAnsi="Times New Roman" w:eastAsia="宋体" w:cs="Times New Roman"/>
          <w:b/>
          <w:sz w:val="24"/>
          <w:szCs w:val="24"/>
        </w:rPr>
      </w:pPr>
    </w:p>
    <w:p w14:paraId="52C3127A">
      <w:pPr>
        <w:snapToGrid w:val="0"/>
        <w:spacing w:before="50" w:after="50"/>
        <w:rPr>
          <w:rFonts w:ascii="Times New Roman" w:hAnsi="Times New Roman" w:eastAsia="宋体" w:cs="Times New Roman"/>
        </w:rPr>
      </w:pPr>
      <w:r>
        <w:rPr>
          <w:rFonts w:hint="eastAsia" w:ascii="Times New Roman" w:hAnsi="Times New Roman" w:eastAsia="宋体" w:cs="Times New Roman"/>
        </w:rPr>
        <w:t>项目名称：</w:t>
      </w:r>
    </w:p>
    <w:p w14:paraId="5252F3EA">
      <w:pPr>
        <w:snapToGrid w:val="0"/>
        <w:spacing w:before="50" w:after="50"/>
        <w:rPr>
          <w:rFonts w:ascii="Times New Roman" w:hAnsi="Times New Roman" w:eastAsia="宋体" w:cs="Times New Roman"/>
        </w:rPr>
      </w:pPr>
      <w:r>
        <w:rPr>
          <w:rFonts w:hint="eastAsia" w:ascii="Times New Roman" w:hAnsi="Times New Roman" w:eastAsia="宋体" w:cs="Times New Roman"/>
        </w:rPr>
        <w:t>项目编号：</w:t>
      </w:r>
    </w:p>
    <w:p w14:paraId="4C52D541">
      <w:pPr>
        <w:spacing w:after="120"/>
        <w:ind w:firstLine="7350" w:firstLineChars="3500"/>
        <w:rPr>
          <w:rFonts w:ascii="Times New Roman" w:hAnsi="Calibri" w:eastAsia="宋体" w:cs="Times New Roman"/>
          <w:kern w:val="0"/>
        </w:rPr>
      </w:pPr>
      <w:r>
        <w:rPr>
          <w:rFonts w:hint="eastAsia" w:ascii="Times New Roman" w:hAnsi="Times New Roman" w:eastAsia="宋体" w:cs="Times New Roman"/>
          <w:kern w:val="0"/>
          <w:szCs w:val="21"/>
        </w:rPr>
        <w:t>单位：元</w:t>
      </w:r>
    </w:p>
    <w:tbl>
      <w:tblPr>
        <w:tblStyle w:val="6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4449"/>
        <w:gridCol w:w="3489"/>
        <w:gridCol w:w="709"/>
      </w:tblGrid>
      <w:tr w14:paraId="1B94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14:paraId="6611E9DD">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序号</w:t>
            </w:r>
          </w:p>
        </w:tc>
        <w:tc>
          <w:tcPr>
            <w:tcW w:w="4449" w:type="dxa"/>
            <w:tcBorders>
              <w:top w:val="single" w:color="000000" w:sz="4" w:space="0"/>
              <w:left w:val="single" w:color="000000" w:sz="4" w:space="0"/>
              <w:bottom w:val="single" w:color="000000" w:sz="4" w:space="0"/>
              <w:right w:val="single" w:color="000000" w:sz="4" w:space="0"/>
            </w:tcBorders>
            <w:vAlign w:val="center"/>
          </w:tcPr>
          <w:p w14:paraId="443279D9">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项目名称</w:t>
            </w:r>
          </w:p>
        </w:tc>
        <w:tc>
          <w:tcPr>
            <w:tcW w:w="3489" w:type="dxa"/>
            <w:tcBorders>
              <w:top w:val="single" w:color="000000" w:sz="4" w:space="0"/>
              <w:left w:val="single" w:color="000000" w:sz="4" w:space="0"/>
              <w:bottom w:val="single" w:color="000000" w:sz="4" w:space="0"/>
              <w:right w:val="single" w:color="000000" w:sz="4" w:space="0"/>
            </w:tcBorders>
            <w:vAlign w:val="center"/>
          </w:tcPr>
          <w:p w14:paraId="39239839">
            <w:pPr>
              <w:jc w:val="center"/>
              <w:rPr>
                <w:rFonts w:hint="eastAsia" w:ascii="宋体" w:hAnsi="宋体" w:eastAsia="宋体" w:cs="仿宋_GB2312"/>
                <w:b/>
                <w:bCs/>
                <w:szCs w:val="21"/>
              </w:rPr>
            </w:pPr>
            <w:r>
              <w:rPr>
                <w:rFonts w:hint="eastAsia" w:ascii="宋体" w:hAnsi="宋体" w:eastAsia="宋体" w:cs="仿宋_GB2312"/>
                <w:b/>
                <w:bCs/>
                <w:szCs w:val="21"/>
              </w:rPr>
              <w:t>投标报价</w:t>
            </w:r>
          </w:p>
        </w:tc>
        <w:tc>
          <w:tcPr>
            <w:tcW w:w="709" w:type="dxa"/>
            <w:tcBorders>
              <w:top w:val="single" w:color="000000" w:sz="4" w:space="0"/>
              <w:left w:val="single" w:color="000000" w:sz="4" w:space="0"/>
              <w:bottom w:val="single" w:color="000000" w:sz="4" w:space="0"/>
              <w:right w:val="single" w:color="000000" w:sz="4" w:space="0"/>
            </w:tcBorders>
            <w:vAlign w:val="center"/>
          </w:tcPr>
          <w:p w14:paraId="0F5F69CD">
            <w:pPr>
              <w:spacing w:line="360" w:lineRule="auto"/>
              <w:jc w:val="center"/>
              <w:rPr>
                <w:rFonts w:hint="eastAsia" w:ascii="宋体" w:hAnsi="宋体" w:eastAsia="宋体" w:cs="仿宋_GB2312"/>
                <w:b/>
                <w:bCs/>
                <w:szCs w:val="21"/>
              </w:rPr>
            </w:pPr>
            <w:r>
              <w:rPr>
                <w:rFonts w:hint="eastAsia" w:ascii="宋体" w:hAnsi="宋体" w:eastAsia="宋体" w:cs="仿宋_GB2312"/>
                <w:b/>
                <w:bCs/>
                <w:szCs w:val="21"/>
              </w:rPr>
              <w:t>备注</w:t>
            </w:r>
          </w:p>
        </w:tc>
      </w:tr>
      <w:tr w14:paraId="6D163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675" w:type="dxa"/>
            <w:tcBorders>
              <w:top w:val="single" w:color="000000" w:sz="4" w:space="0"/>
              <w:left w:val="single" w:color="000000" w:sz="4" w:space="0"/>
              <w:bottom w:val="single" w:color="000000" w:sz="4" w:space="0"/>
              <w:right w:val="single" w:color="000000" w:sz="4" w:space="0"/>
            </w:tcBorders>
            <w:vAlign w:val="center"/>
          </w:tcPr>
          <w:p w14:paraId="25E37C71">
            <w:pPr>
              <w:spacing w:line="360" w:lineRule="auto"/>
              <w:jc w:val="center"/>
              <w:rPr>
                <w:rFonts w:hint="eastAsia" w:ascii="宋体" w:hAnsi="宋体" w:eastAsia="宋体" w:cs="仿宋_GB2312"/>
                <w:szCs w:val="21"/>
              </w:rPr>
            </w:pPr>
          </w:p>
        </w:tc>
        <w:tc>
          <w:tcPr>
            <w:tcW w:w="4449" w:type="dxa"/>
            <w:tcBorders>
              <w:left w:val="single" w:color="000000" w:sz="4" w:space="0"/>
              <w:bottom w:val="single" w:color="000000" w:sz="4" w:space="0"/>
              <w:right w:val="single" w:color="000000" w:sz="4" w:space="0"/>
            </w:tcBorders>
            <w:vAlign w:val="center"/>
          </w:tcPr>
          <w:p w14:paraId="792A57FF">
            <w:pPr>
              <w:spacing w:line="360" w:lineRule="auto"/>
              <w:jc w:val="center"/>
              <w:rPr>
                <w:rFonts w:hint="eastAsia" w:ascii="宋体" w:hAnsi="宋体" w:eastAsia="宋体" w:cs="仿宋_GB2312"/>
                <w:bCs/>
                <w:szCs w:val="21"/>
              </w:rPr>
            </w:pPr>
          </w:p>
        </w:tc>
        <w:tc>
          <w:tcPr>
            <w:tcW w:w="3489" w:type="dxa"/>
            <w:tcBorders>
              <w:top w:val="single" w:color="000000" w:sz="4" w:space="0"/>
              <w:left w:val="single" w:color="000000" w:sz="4" w:space="0"/>
              <w:bottom w:val="single" w:color="000000" w:sz="4" w:space="0"/>
              <w:right w:val="single" w:color="000000" w:sz="4" w:space="0"/>
            </w:tcBorders>
            <w:vAlign w:val="center"/>
          </w:tcPr>
          <w:p w14:paraId="505CCBDE">
            <w:pPr>
              <w:spacing w:line="360" w:lineRule="auto"/>
              <w:jc w:val="center"/>
              <w:rPr>
                <w:rFonts w:hint="eastAsia" w:ascii="宋体" w:hAnsi="宋体" w:eastAsia="宋体" w:cs="仿宋_GB2312"/>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E567124">
            <w:pPr>
              <w:spacing w:line="360" w:lineRule="auto"/>
              <w:jc w:val="center"/>
              <w:rPr>
                <w:rFonts w:hint="eastAsia" w:ascii="宋体" w:hAnsi="宋体" w:eastAsia="宋体" w:cs="仿宋_GB2312"/>
                <w:szCs w:val="21"/>
              </w:rPr>
            </w:pPr>
          </w:p>
        </w:tc>
      </w:tr>
      <w:tr w14:paraId="65726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14:paraId="3BE1DA4E">
            <w:pPr>
              <w:spacing w:line="360" w:lineRule="auto"/>
              <w:jc w:val="center"/>
              <w:rPr>
                <w:rFonts w:hint="eastAsia" w:ascii="宋体" w:hAnsi="宋体" w:eastAsia="宋体" w:cs="仿宋_GB2312"/>
                <w:szCs w:val="21"/>
              </w:rPr>
            </w:pPr>
            <w:r>
              <w:rPr>
                <w:rFonts w:hint="eastAsia" w:ascii="宋体" w:hAnsi="宋体" w:eastAsia="宋体" w:cs="仿宋_GB2312"/>
                <w:szCs w:val="21"/>
              </w:rPr>
              <w:t>合计</w:t>
            </w:r>
          </w:p>
        </w:tc>
        <w:tc>
          <w:tcPr>
            <w:tcW w:w="8647" w:type="dxa"/>
            <w:gridSpan w:val="3"/>
            <w:tcBorders>
              <w:top w:val="single" w:color="000000" w:sz="4" w:space="0"/>
              <w:left w:val="single" w:color="000000" w:sz="4" w:space="0"/>
              <w:bottom w:val="single" w:color="000000" w:sz="4" w:space="0"/>
              <w:right w:val="single" w:color="000000" w:sz="4" w:space="0"/>
            </w:tcBorders>
          </w:tcPr>
          <w:p w14:paraId="23E41DEA">
            <w:pPr>
              <w:spacing w:line="360" w:lineRule="auto"/>
              <w:rPr>
                <w:rFonts w:hint="eastAsia" w:ascii="宋体" w:hAnsi="宋体" w:eastAsia="宋体" w:cs="仿宋_GB2312"/>
                <w:szCs w:val="21"/>
              </w:rPr>
            </w:pPr>
            <w:r>
              <w:rPr>
                <w:rFonts w:hint="eastAsia" w:ascii="宋体" w:hAnsi="宋体" w:eastAsia="宋体" w:cs="仿宋_GB2312"/>
                <w:szCs w:val="21"/>
              </w:rPr>
              <w:t>大写</w:t>
            </w:r>
          </w:p>
        </w:tc>
      </w:tr>
    </w:tbl>
    <w:p w14:paraId="46F67E79">
      <w:pPr>
        <w:snapToGrid w:val="0"/>
        <w:spacing w:line="360" w:lineRule="auto"/>
        <w:ind w:right="-340"/>
        <w:rPr>
          <w:rFonts w:ascii="Times New Roman" w:hAnsi="Times New Roman" w:eastAsia="宋体" w:cs="Times New Roman"/>
        </w:rPr>
      </w:pPr>
    </w:p>
    <w:p w14:paraId="75EDA27D">
      <w:pPr>
        <w:spacing w:line="440" w:lineRule="exact"/>
        <w:ind w:firstLine="102" w:firstLineChars="49"/>
        <w:rPr>
          <w:rFonts w:hint="eastAsia" w:ascii="宋体" w:hAnsi="宋体" w:eastAsia="宋体" w:cs="Times New Roman"/>
          <w:szCs w:val="21"/>
        </w:rPr>
      </w:pPr>
      <w:r>
        <w:rPr>
          <w:rFonts w:hint="eastAsia" w:ascii="宋体" w:hAnsi="宋体" w:eastAsia="宋体" w:cs="Times New Roman"/>
          <w:szCs w:val="21"/>
        </w:rPr>
        <w:t>说明：</w:t>
      </w:r>
    </w:p>
    <w:p w14:paraId="57234DD8">
      <w:pPr>
        <w:snapToGrid w:val="0"/>
        <w:spacing w:line="360" w:lineRule="auto"/>
        <w:ind w:right="-340" w:firstLine="420" w:firstLineChars="200"/>
        <w:rPr>
          <w:rFonts w:ascii="宋体" w:hAnsi="Times New Roman" w:eastAsia="宋体" w:cs="Times New Roman"/>
        </w:rPr>
      </w:pPr>
      <w:r>
        <w:rPr>
          <w:rFonts w:hint="eastAsia" w:ascii="宋体" w:hAnsi="宋体" w:eastAsia="宋体" w:cs="Times New Roman"/>
        </w:rPr>
        <w:t xml:space="preserve"> 项目费用包括项目实施所需的一切费用。</w:t>
      </w:r>
    </w:p>
    <w:p w14:paraId="65CE166C">
      <w:pPr>
        <w:snapToGrid w:val="0"/>
        <w:spacing w:line="360" w:lineRule="auto"/>
        <w:ind w:right="-340"/>
        <w:rPr>
          <w:rFonts w:ascii="Times New Roman" w:hAnsi="Times New Roman" w:eastAsia="宋体" w:cs="Times New Roman"/>
        </w:rPr>
      </w:pPr>
    </w:p>
    <w:p w14:paraId="3D76C21D">
      <w:pPr>
        <w:snapToGrid w:val="0"/>
        <w:spacing w:line="360" w:lineRule="auto"/>
        <w:ind w:right="-340"/>
        <w:rPr>
          <w:rFonts w:ascii="Times New Roman" w:hAnsi="Times New Roman" w:eastAsia="宋体" w:cs="Times New Roman"/>
        </w:rPr>
      </w:pPr>
      <w:r>
        <w:rPr>
          <w:rFonts w:hint="eastAsia" w:ascii="Times New Roman" w:hAnsi="Times New Roman" w:eastAsia="宋体" w:cs="Times New Roman"/>
        </w:rPr>
        <w:t>投标人名称（盖章）：日期：年月日</w:t>
      </w:r>
    </w:p>
    <w:p w14:paraId="3B6268E5">
      <w:pPr>
        <w:snapToGrid w:val="0"/>
        <w:spacing w:before="50" w:after="50"/>
        <w:rPr>
          <w:rFonts w:ascii="Times New Roman" w:hAnsi="Times New Roman" w:eastAsia="宋体" w:cs="Times New Roman"/>
          <w:spacing w:val="20"/>
          <w:u w:val="single"/>
        </w:rPr>
      </w:pPr>
    </w:p>
    <w:p w14:paraId="0255CDD9">
      <w:pPr>
        <w:spacing w:after="120"/>
        <w:rPr>
          <w:rFonts w:ascii="Times New Roman" w:hAnsi="Times New Roman" w:eastAsia="宋体" w:cs="Times New Roman"/>
        </w:rPr>
      </w:pPr>
    </w:p>
    <w:p w14:paraId="6A45E4F6">
      <w:pPr>
        <w:snapToGrid w:val="0"/>
        <w:spacing w:before="120" w:line="312" w:lineRule="auto"/>
        <w:ind w:right="-341"/>
        <w:jc w:val="center"/>
        <w:rPr>
          <w:rFonts w:ascii="Times New Roman" w:hAnsi="Times New Roman" w:eastAsia="宋体" w:cs="Times New Roman"/>
          <w:b/>
          <w:sz w:val="32"/>
        </w:rPr>
      </w:pPr>
    </w:p>
    <w:p w14:paraId="3B2E7719">
      <w:pPr>
        <w:snapToGrid w:val="0"/>
        <w:spacing w:before="120" w:line="312" w:lineRule="auto"/>
        <w:ind w:right="-341"/>
        <w:jc w:val="center"/>
        <w:rPr>
          <w:rFonts w:ascii="Times New Roman" w:hAnsi="Times New Roman" w:eastAsia="宋体" w:cs="Times New Roman"/>
          <w:b/>
          <w:sz w:val="32"/>
        </w:rPr>
      </w:pPr>
    </w:p>
    <w:p w14:paraId="4EA53E2A">
      <w:pPr>
        <w:snapToGrid w:val="0"/>
        <w:spacing w:before="120" w:line="312" w:lineRule="auto"/>
        <w:ind w:right="-341"/>
        <w:rPr>
          <w:rFonts w:ascii="Times New Roman" w:hAnsi="Times New Roman" w:eastAsia="宋体" w:cs="Times New Roman"/>
          <w:b/>
          <w:sz w:val="32"/>
        </w:rPr>
      </w:pPr>
    </w:p>
    <w:p w14:paraId="03893104">
      <w:pPr>
        <w:snapToGrid w:val="0"/>
        <w:spacing w:before="120" w:line="312" w:lineRule="auto"/>
        <w:ind w:right="-341"/>
        <w:jc w:val="center"/>
        <w:rPr>
          <w:rFonts w:ascii="Times New Roman" w:hAnsi="Times New Roman" w:eastAsia="宋体" w:cs="Times New Roman"/>
          <w:b/>
          <w:sz w:val="32"/>
        </w:rPr>
      </w:pPr>
    </w:p>
    <w:p w14:paraId="43A33431">
      <w:pPr>
        <w:snapToGrid w:val="0"/>
        <w:spacing w:before="120" w:line="312" w:lineRule="auto"/>
        <w:ind w:right="-341"/>
        <w:jc w:val="center"/>
        <w:rPr>
          <w:rFonts w:ascii="Times New Roman" w:hAnsi="Times New Roman" w:eastAsia="宋体" w:cs="Times New Roman"/>
          <w:b/>
          <w:sz w:val="32"/>
        </w:rPr>
      </w:pPr>
    </w:p>
    <w:p w14:paraId="34B1124A">
      <w:pPr>
        <w:snapToGrid w:val="0"/>
        <w:spacing w:before="120" w:line="312" w:lineRule="auto"/>
        <w:ind w:right="-341"/>
        <w:jc w:val="center"/>
        <w:rPr>
          <w:rFonts w:ascii="Times New Roman" w:hAnsi="Times New Roman" w:eastAsia="宋体" w:cs="Times New Roman"/>
          <w:b/>
          <w:sz w:val="32"/>
        </w:rPr>
      </w:pPr>
    </w:p>
    <w:p w14:paraId="6E2C5ECA">
      <w:pPr>
        <w:snapToGrid w:val="0"/>
        <w:spacing w:before="120" w:line="312" w:lineRule="auto"/>
        <w:ind w:right="-341"/>
        <w:jc w:val="center"/>
        <w:rPr>
          <w:rFonts w:ascii="Times New Roman" w:hAnsi="Times New Roman" w:eastAsia="宋体" w:cs="Times New Roman"/>
          <w:b/>
          <w:sz w:val="32"/>
        </w:rPr>
      </w:pPr>
    </w:p>
    <w:p w14:paraId="63A67C98">
      <w:pPr>
        <w:snapToGrid w:val="0"/>
        <w:spacing w:before="120" w:line="312" w:lineRule="auto"/>
        <w:ind w:right="-341"/>
        <w:jc w:val="center"/>
        <w:rPr>
          <w:rFonts w:ascii="Times New Roman" w:hAnsi="Times New Roman" w:eastAsia="宋体" w:cs="Times New Roman"/>
          <w:b/>
          <w:sz w:val="32"/>
        </w:rPr>
      </w:pPr>
    </w:p>
    <w:p w14:paraId="0F386779">
      <w:pPr>
        <w:pStyle w:val="82"/>
        <w:ind w:firstLine="0" w:firstLineChars="0"/>
        <w:rPr>
          <w:rFonts w:ascii="Times New Roman" w:hAnsi="Times New Roman" w:eastAsia="宋体" w:cs="Times New Roman"/>
          <w:b/>
          <w:sz w:val="32"/>
        </w:rPr>
      </w:pPr>
    </w:p>
    <w:p w14:paraId="4FE2B910">
      <w:pPr>
        <w:pStyle w:val="82"/>
        <w:ind w:firstLine="0" w:firstLineChars="0"/>
        <w:rPr>
          <w:rFonts w:ascii="Times New Roman" w:hAnsi="Times New Roman" w:eastAsia="宋体" w:cs="Times New Roman"/>
          <w:b/>
          <w:sz w:val="32"/>
        </w:rPr>
      </w:pPr>
    </w:p>
    <w:p w14:paraId="699E3B21">
      <w:pPr>
        <w:pStyle w:val="82"/>
        <w:ind w:firstLine="0" w:firstLineChars="0"/>
        <w:rPr>
          <w:rFonts w:ascii="Times New Roman" w:hAnsi="Times New Roman" w:eastAsia="宋体" w:cs="Times New Roman"/>
          <w:b/>
          <w:sz w:val="32"/>
        </w:rPr>
      </w:pPr>
    </w:p>
    <w:p w14:paraId="649F5B50">
      <w:pPr>
        <w:pStyle w:val="3"/>
      </w:pPr>
    </w:p>
    <w:p w14:paraId="654C9ADF">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三、投标报价明细表</w:t>
      </w:r>
    </w:p>
    <w:p w14:paraId="24DFD02A">
      <w:pPr>
        <w:snapToGrid w:val="0"/>
        <w:rPr>
          <w:rFonts w:ascii="Times New Roman" w:hAnsi="Times New Roman" w:eastAsia="宋体" w:cs="Times New Roman"/>
          <w:b/>
          <w:sz w:val="28"/>
        </w:rPr>
      </w:pPr>
    </w:p>
    <w:p w14:paraId="2C3BEE35">
      <w:pPr>
        <w:snapToGrid w:val="0"/>
        <w:rPr>
          <w:rFonts w:ascii="Times New Roman" w:hAnsi="Times New Roman" w:eastAsia="宋体" w:cs="Times New Roman"/>
          <w:szCs w:val="21"/>
        </w:rPr>
      </w:pPr>
      <w:r>
        <w:rPr>
          <w:rFonts w:hint="eastAsia" w:ascii="Times New Roman" w:hAnsi="Times New Roman" w:eastAsia="宋体" w:cs="Times New Roman"/>
          <w:szCs w:val="21"/>
        </w:rPr>
        <w:t>项目名称：                                           金额单位：人民币（元）</w:t>
      </w:r>
    </w:p>
    <w:p w14:paraId="3396CDC3">
      <w:pPr>
        <w:snapToGrid w:val="0"/>
        <w:spacing w:before="120" w:beforeLines="50" w:after="120"/>
        <w:rPr>
          <w:rFonts w:ascii="Times New Roman" w:hAnsi="Times New Roman" w:eastAsia="宋体" w:cs="Times New Roman"/>
          <w:szCs w:val="21"/>
        </w:rPr>
      </w:pPr>
      <w:r>
        <w:rPr>
          <w:rFonts w:hint="eastAsia" w:ascii="Times New Roman" w:hAnsi="Times New Roman" w:eastAsia="宋体" w:cs="Times New Roman"/>
          <w:szCs w:val="21"/>
        </w:rPr>
        <w:t>项目编号：</w:t>
      </w:r>
    </w:p>
    <w:tbl>
      <w:tblPr>
        <w:tblStyle w:val="61"/>
        <w:tblW w:w="954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2832"/>
        <w:gridCol w:w="889"/>
        <w:gridCol w:w="1290"/>
        <w:gridCol w:w="920"/>
        <w:gridCol w:w="920"/>
        <w:gridCol w:w="925"/>
        <w:gridCol w:w="1092"/>
      </w:tblGrid>
      <w:tr w14:paraId="32D43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672" w:type="dxa"/>
            <w:tcBorders>
              <w:top w:val="single" w:color="auto" w:sz="4" w:space="0"/>
              <w:left w:val="single" w:color="auto" w:sz="4" w:space="0"/>
              <w:bottom w:val="single" w:color="auto" w:sz="4" w:space="0"/>
              <w:right w:val="single" w:color="auto" w:sz="4" w:space="0"/>
            </w:tcBorders>
            <w:vAlign w:val="center"/>
          </w:tcPr>
          <w:p w14:paraId="71FC2F86">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序号</w:t>
            </w:r>
          </w:p>
        </w:tc>
        <w:tc>
          <w:tcPr>
            <w:tcW w:w="2832" w:type="dxa"/>
            <w:tcBorders>
              <w:top w:val="single" w:color="auto" w:sz="4" w:space="0"/>
              <w:left w:val="single" w:color="auto" w:sz="4" w:space="0"/>
              <w:bottom w:val="single" w:color="auto" w:sz="4" w:space="0"/>
              <w:right w:val="single" w:color="auto" w:sz="4" w:space="0"/>
            </w:tcBorders>
            <w:vAlign w:val="center"/>
          </w:tcPr>
          <w:p w14:paraId="1B8C1F51">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名称</w:t>
            </w:r>
          </w:p>
        </w:tc>
        <w:tc>
          <w:tcPr>
            <w:tcW w:w="889" w:type="dxa"/>
            <w:tcBorders>
              <w:top w:val="single" w:color="auto" w:sz="4" w:space="0"/>
              <w:left w:val="single" w:color="auto" w:sz="4" w:space="0"/>
              <w:bottom w:val="single" w:color="auto" w:sz="4" w:space="0"/>
              <w:right w:val="single" w:color="auto" w:sz="4" w:space="0"/>
            </w:tcBorders>
            <w:vAlign w:val="center"/>
          </w:tcPr>
          <w:p w14:paraId="7EE14E97">
            <w:pPr>
              <w:tabs>
                <w:tab w:val="left" w:pos="1418"/>
              </w:tabs>
              <w:snapToGrid w:val="0"/>
              <w:spacing w:before="50" w:after="50"/>
              <w:jc w:val="center"/>
              <w:rPr>
                <w:rFonts w:hint="eastAsia" w:ascii="宋体" w:hAnsi="宋体" w:eastAsia="宋体" w:cs="宋体"/>
                <w:spacing w:val="-20"/>
                <w:kern w:val="0"/>
              </w:rPr>
            </w:pPr>
            <w:r>
              <w:rPr>
                <w:rFonts w:hint="eastAsia" w:ascii="宋体" w:hAnsi="宋体" w:eastAsia="宋体" w:cs="宋体"/>
                <w:kern w:val="0"/>
              </w:rPr>
              <w:t>品牌</w:t>
            </w:r>
          </w:p>
        </w:tc>
        <w:tc>
          <w:tcPr>
            <w:tcW w:w="1290" w:type="dxa"/>
            <w:tcBorders>
              <w:top w:val="single" w:color="auto" w:sz="4" w:space="0"/>
              <w:left w:val="single" w:color="auto" w:sz="4" w:space="0"/>
              <w:bottom w:val="single" w:color="auto" w:sz="4" w:space="0"/>
              <w:right w:val="single" w:color="auto" w:sz="4" w:space="0"/>
            </w:tcBorders>
            <w:vAlign w:val="center"/>
          </w:tcPr>
          <w:p w14:paraId="63E092CA">
            <w:pPr>
              <w:tabs>
                <w:tab w:val="left" w:pos="1418"/>
              </w:tabs>
              <w:snapToGrid w:val="0"/>
              <w:spacing w:before="50" w:after="50"/>
              <w:jc w:val="center"/>
              <w:rPr>
                <w:rFonts w:hint="eastAsia" w:ascii="宋体" w:hAnsi="宋体" w:eastAsia="宋体" w:cs="宋体"/>
                <w:spacing w:val="20"/>
              </w:rPr>
            </w:pPr>
            <w:r>
              <w:rPr>
                <w:rFonts w:hint="eastAsia" w:ascii="宋体" w:hAnsi="宋体" w:eastAsia="宋体" w:cs="宋体"/>
                <w:spacing w:val="20"/>
              </w:rPr>
              <w:t>规格型号</w:t>
            </w:r>
          </w:p>
        </w:tc>
        <w:tc>
          <w:tcPr>
            <w:tcW w:w="920" w:type="dxa"/>
            <w:tcBorders>
              <w:top w:val="single" w:color="auto" w:sz="4" w:space="0"/>
              <w:left w:val="single" w:color="auto" w:sz="4" w:space="0"/>
              <w:bottom w:val="single" w:color="auto" w:sz="4" w:space="0"/>
              <w:right w:val="single" w:color="auto" w:sz="4" w:space="0"/>
            </w:tcBorders>
            <w:vAlign w:val="center"/>
          </w:tcPr>
          <w:p w14:paraId="629FE3F3">
            <w:pPr>
              <w:tabs>
                <w:tab w:val="left" w:pos="1418"/>
              </w:tabs>
              <w:snapToGrid w:val="0"/>
              <w:spacing w:before="50" w:after="50"/>
              <w:jc w:val="center"/>
              <w:rPr>
                <w:rFonts w:hint="eastAsia" w:ascii="宋体" w:hAnsi="宋体" w:eastAsia="宋体" w:cs="宋体"/>
                <w:spacing w:val="20"/>
              </w:rPr>
            </w:pPr>
            <w:r>
              <w:rPr>
                <w:rFonts w:hint="eastAsia" w:ascii="宋体" w:hAnsi="宋体" w:eastAsia="宋体" w:cs="宋体"/>
                <w:spacing w:val="20"/>
              </w:rPr>
              <w:t>产地</w:t>
            </w:r>
          </w:p>
        </w:tc>
        <w:tc>
          <w:tcPr>
            <w:tcW w:w="920" w:type="dxa"/>
            <w:tcBorders>
              <w:top w:val="single" w:color="auto" w:sz="4" w:space="0"/>
              <w:left w:val="single" w:color="auto" w:sz="4" w:space="0"/>
              <w:bottom w:val="single" w:color="auto" w:sz="4" w:space="0"/>
              <w:right w:val="single" w:color="auto" w:sz="4" w:space="0"/>
            </w:tcBorders>
            <w:vAlign w:val="center"/>
          </w:tcPr>
          <w:p w14:paraId="6BCA136E">
            <w:pPr>
              <w:tabs>
                <w:tab w:val="left" w:pos="1418"/>
              </w:tabs>
              <w:snapToGrid w:val="0"/>
              <w:spacing w:before="50" w:after="50"/>
              <w:jc w:val="center"/>
              <w:rPr>
                <w:rFonts w:hint="eastAsia" w:ascii="Times New Roman" w:hAnsi="Times New Roman" w:eastAsia="宋体" w:cs="Times New Roman"/>
                <w:spacing w:val="20"/>
                <w:lang w:val="en-US" w:eastAsia="zh-CN"/>
              </w:rPr>
            </w:pPr>
            <w:r>
              <w:rPr>
                <w:rFonts w:hint="eastAsia" w:ascii="Times New Roman" w:hAnsi="Times New Roman" w:eastAsia="宋体" w:cs="Times New Roman"/>
              </w:rPr>
              <w:t>单价</w:t>
            </w:r>
            <w:r>
              <w:rPr>
                <w:rFonts w:hint="eastAsia" w:ascii="Times New Roman" w:hAnsi="Times New Roman" w:eastAsia="宋体" w:cs="Times New Roman"/>
                <w:lang w:val="en-US" w:eastAsia="zh-CN"/>
              </w:rPr>
              <w:t xml:space="preserve"> </w:t>
            </w:r>
          </w:p>
        </w:tc>
        <w:tc>
          <w:tcPr>
            <w:tcW w:w="925" w:type="dxa"/>
            <w:tcBorders>
              <w:top w:val="single" w:color="auto" w:sz="4" w:space="0"/>
              <w:left w:val="single" w:color="auto" w:sz="4" w:space="0"/>
              <w:bottom w:val="single" w:color="auto" w:sz="4" w:space="0"/>
              <w:right w:val="single" w:color="auto" w:sz="4" w:space="0"/>
            </w:tcBorders>
            <w:vAlign w:val="center"/>
          </w:tcPr>
          <w:p w14:paraId="4A438108">
            <w:pPr>
              <w:tabs>
                <w:tab w:val="left" w:pos="1418"/>
              </w:tabs>
              <w:snapToGrid w:val="0"/>
              <w:spacing w:before="50" w:after="5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数量</w:t>
            </w:r>
          </w:p>
        </w:tc>
        <w:tc>
          <w:tcPr>
            <w:tcW w:w="1092" w:type="dxa"/>
            <w:tcBorders>
              <w:top w:val="single" w:color="auto" w:sz="4" w:space="0"/>
              <w:left w:val="single" w:color="auto" w:sz="4" w:space="0"/>
              <w:bottom w:val="single" w:color="auto" w:sz="4" w:space="0"/>
              <w:right w:val="single" w:color="auto" w:sz="4" w:space="0"/>
            </w:tcBorders>
            <w:vAlign w:val="center"/>
          </w:tcPr>
          <w:p w14:paraId="1B540450">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rPr>
              <w:t>合价</w:t>
            </w:r>
          </w:p>
        </w:tc>
      </w:tr>
      <w:tr w14:paraId="327E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71738B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18DD44F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319CF832">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6931E2A">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52403A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4675A71">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E64541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5102F59">
            <w:pPr>
              <w:tabs>
                <w:tab w:val="left" w:pos="1418"/>
              </w:tabs>
              <w:snapToGrid w:val="0"/>
              <w:spacing w:before="50" w:after="50"/>
              <w:jc w:val="center"/>
              <w:rPr>
                <w:rFonts w:ascii="Times New Roman" w:hAnsi="Times New Roman" w:eastAsia="宋体" w:cs="Times New Roman"/>
                <w:spacing w:val="20"/>
              </w:rPr>
            </w:pPr>
          </w:p>
        </w:tc>
      </w:tr>
      <w:tr w14:paraId="1EB38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502DD4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128AE2B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7F1A40F0">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261E6A20">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A3DFA8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44FFF7B">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13E7F41">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41B3034">
            <w:pPr>
              <w:tabs>
                <w:tab w:val="left" w:pos="1418"/>
              </w:tabs>
              <w:snapToGrid w:val="0"/>
              <w:spacing w:before="50" w:after="50"/>
              <w:jc w:val="center"/>
              <w:rPr>
                <w:rFonts w:ascii="Times New Roman" w:hAnsi="Times New Roman" w:eastAsia="宋体" w:cs="Times New Roman"/>
                <w:spacing w:val="20"/>
              </w:rPr>
            </w:pPr>
          </w:p>
        </w:tc>
      </w:tr>
      <w:tr w14:paraId="75219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6C50C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2FFE52D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527A7CAA">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5E78CC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B5DFFC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B42B309">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180629EC">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8559DF1">
            <w:pPr>
              <w:tabs>
                <w:tab w:val="left" w:pos="1418"/>
              </w:tabs>
              <w:snapToGrid w:val="0"/>
              <w:spacing w:before="50" w:after="50"/>
              <w:jc w:val="center"/>
              <w:rPr>
                <w:rFonts w:ascii="Times New Roman" w:hAnsi="Times New Roman" w:eastAsia="宋体" w:cs="Times New Roman"/>
                <w:spacing w:val="20"/>
              </w:rPr>
            </w:pPr>
          </w:p>
        </w:tc>
      </w:tr>
      <w:tr w14:paraId="3FA60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09D3A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4A1442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647768F9">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33E54E4">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F7829B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DA0446E">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5C9530E2">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5E13443">
            <w:pPr>
              <w:tabs>
                <w:tab w:val="left" w:pos="1418"/>
              </w:tabs>
              <w:snapToGrid w:val="0"/>
              <w:spacing w:before="50" w:after="50"/>
              <w:jc w:val="center"/>
              <w:rPr>
                <w:rFonts w:ascii="Times New Roman" w:hAnsi="Times New Roman" w:eastAsia="宋体" w:cs="Times New Roman"/>
                <w:spacing w:val="20"/>
              </w:rPr>
            </w:pPr>
          </w:p>
        </w:tc>
      </w:tr>
      <w:tr w14:paraId="5D1D0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4DF7EDF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EE902F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1FF7C0EC">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1D337C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D93417D">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263960">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459DF7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0EC25E4">
            <w:pPr>
              <w:tabs>
                <w:tab w:val="left" w:pos="1418"/>
              </w:tabs>
              <w:snapToGrid w:val="0"/>
              <w:spacing w:before="50" w:after="50"/>
              <w:jc w:val="center"/>
              <w:rPr>
                <w:rFonts w:ascii="Times New Roman" w:hAnsi="Times New Roman" w:eastAsia="宋体" w:cs="Times New Roman"/>
                <w:spacing w:val="20"/>
              </w:rPr>
            </w:pPr>
          </w:p>
        </w:tc>
      </w:tr>
      <w:tr w14:paraId="03D4B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2BE79C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7700E13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3897CE20">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8459C6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DE4165F">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FCF1F4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27F22B0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2B835A5">
            <w:pPr>
              <w:tabs>
                <w:tab w:val="left" w:pos="1418"/>
              </w:tabs>
              <w:snapToGrid w:val="0"/>
              <w:spacing w:before="50" w:after="50"/>
              <w:jc w:val="center"/>
              <w:rPr>
                <w:rFonts w:ascii="Times New Roman" w:hAnsi="Times New Roman" w:eastAsia="宋体" w:cs="Times New Roman"/>
                <w:spacing w:val="20"/>
              </w:rPr>
            </w:pPr>
          </w:p>
        </w:tc>
      </w:tr>
      <w:tr w14:paraId="2E86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01E902A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0C4642E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534C3C94">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758537DC">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1D30F1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9FD4FD2">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82CCCC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69B36711">
            <w:pPr>
              <w:tabs>
                <w:tab w:val="left" w:pos="1418"/>
              </w:tabs>
              <w:snapToGrid w:val="0"/>
              <w:spacing w:before="50" w:after="50"/>
              <w:jc w:val="center"/>
              <w:rPr>
                <w:rFonts w:ascii="Times New Roman" w:hAnsi="Times New Roman" w:eastAsia="宋体" w:cs="Times New Roman"/>
                <w:spacing w:val="20"/>
              </w:rPr>
            </w:pPr>
          </w:p>
        </w:tc>
      </w:tr>
      <w:tr w14:paraId="4A614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7971B8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959B97B">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64B1071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19CFD8A">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7236908">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8BAE493">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7981B1FE">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1932AF2">
            <w:pPr>
              <w:tabs>
                <w:tab w:val="left" w:pos="1418"/>
              </w:tabs>
              <w:snapToGrid w:val="0"/>
              <w:spacing w:before="50" w:after="50"/>
              <w:jc w:val="center"/>
              <w:rPr>
                <w:rFonts w:ascii="Times New Roman" w:hAnsi="Times New Roman" w:eastAsia="宋体" w:cs="Times New Roman"/>
                <w:spacing w:val="20"/>
              </w:rPr>
            </w:pPr>
          </w:p>
        </w:tc>
      </w:tr>
      <w:tr w14:paraId="1D639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512750A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E8E9A3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2D893F31">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56EAF04">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67E82ED">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E7CE999">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089CC7B">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5046CA9">
            <w:pPr>
              <w:tabs>
                <w:tab w:val="left" w:pos="1418"/>
              </w:tabs>
              <w:snapToGrid w:val="0"/>
              <w:spacing w:before="50" w:after="50"/>
              <w:jc w:val="center"/>
              <w:rPr>
                <w:rFonts w:ascii="Times New Roman" w:hAnsi="Times New Roman" w:eastAsia="宋体" w:cs="Times New Roman"/>
                <w:spacing w:val="20"/>
              </w:rPr>
            </w:pPr>
          </w:p>
        </w:tc>
      </w:tr>
      <w:tr w14:paraId="31B690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6D132A8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0F4353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2E1B0C48">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551EC14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7A11311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4CD36CAE">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57EC5A89">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509FAB2">
            <w:pPr>
              <w:tabs>
                <w:tab w:val="left" w:pos="1418"/>
              </w:tabs>
              <w:snapToGrid w:val="0"/>
              <w:spacing w:before="50" w:after="50"/>
              <w:jc w:val="center"/>
              <w:rPr>
                <w:rFonts w:ascii="Times New Roman" w:hAnsi="Times New Roman" w:eastAsia="宋体" w:cs="Times New Roman"/>
                <w:spacing w:val="20"/>
              </w:rPr>
            </w:pPr>
          </w:p>
        </w:tc>
      </w:tr>
      <w:tr w14:paraId="4CA51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2C3FD1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0C7F0F1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7B53DC34">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837430B">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A093AD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75BAB3A">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5714CA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33C8C155">
            <w:pPr>
              <w:tabs>
                <w:tab w:val="left" w:pos="1418"/>
              </w:tabs>
              <w:snapToGrid w:val="0"/>
              <w:spacing w:before="50" w:after="50"/>
              <w:jc w:val="center"/>
              <w:rPr>
                <w:rFonts w:ascii="Times New Roman" w:hAnsi="Times New Roman" w:eastAsia="宋体" w:cs="Times New Roman"/>
                <w:spacing w:val="20"/>
              </w:rPr>
            </w:pPr>
          </w:p>
        </w:tc>
      </w:tr>
      <w:tr w14:paraId="1FE27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256DF22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FF0000"/>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3AA11FC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color w:val="FF0000"/>
                <w:spacing w:val="20"/>
              </w:rPr>
            </w:pPr>
          </w:p>
        </w:tc>
        <w:tc>
          <w:tcPr>
            <w:tcW w:w="889" w:type="dxa"/>
            <w:tcBorders>
              <w:top w:val="single" w:color="auto" w:sz="4" w:space="0"/>
              <w:left w:val="single" w:color="auto" w:sz="4" w:space="0"/>
              <w:bottom w:val="single" w:color="auto" w:sz="4" w:space="0"/>
              <w:right w:val="single" w:color="auto" w:sz="4" w:space="0"/>
            </w:tcBorders>
          </w:tcPr>
          <w:p w14:paraId="7E0E69E7">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2F9C768C">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06E998B2">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8BBBEF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28BFE343">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659D674">
            <w:pPr>
              <w:tabs>
                <w:tab w:val="left" w:pos="1418"/>
              </w:tabs>
              <w:snapToGrid w:val="0"/>
              <w:spacing w:before="50" w:after="50"/>
              <w:jc w:val="center"/>
              <w:rPr>
                <w:rFonts w:ascii="Times New Roman" w:hAnsi="Times New Roman" w:eastAsia="宋体" w:cs="Times New Roman"/>
                <w:spacing w:val="20"/>
              </w:rPr>
            </w:pPr>
          </w:p>
        </w:tc>
      </w:tr>
      <w:tr w14:paraId="4B939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37FAF3F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51D7A71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889" w:type="dxa"/>
            <w:tcBorders>
              <w:top w:val="single" w:color="auto" w:sz="4" w:space="0"/>
              <w:left w:val="single" w:color="auto" w:sz="4" w:space="0"/>
              <w:bottom w:val="single" w:color="auto" w:sz="4" w:space="0"/>
              <w:right w:val="single" w:color="auto" w:sz="4" w:space="0"/>
            </w:tcBorders>
          </w:tcPr>
          <w:p w14:paraId="33A5EC0F">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0BB8A076">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66CBEFB">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0B74D4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3D6FABD0">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1CB06038">
            <w:pPr>
              <w:tabs>
                <w:tab w:val="left" w:pos="1418"/>
              </w:tabs>
              <w:snapToGrid w:val="0"/>
              <w:spacing w:before="50" w:after="50"/>
              <w:jc w:val="center"/>
              <w:rPr>
                <w:rFonts w:ascii="Times New Roman" w:hAnsi="Times New Roman" w:eastAsia="宋体" w:cs="Times New Roman"/>
                <w:spacing w:val="20"/>
              </w:rPr>
            </w:pPr>
          </w:p>
        </w:tc>
      </w:tr>
      <w:tr w14:paraId="21FFB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1C77D0F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pacing w:val="20"/>
              </w:rPr>
            </w:pPr>
          </w:p>
        </w:tc>
        <w:tc>
          <w:tcPr>
            <w:tcW w:w="2832" w:type="dxa"/>
            <w:tcBorders>
              <w:top w:val="single" w:color="auto" w:sz="4" w:space="0"/>
              <w:left w:val="single" w:color="auto" w:sz="4" w:space="0"/>
              <w:bottom w:val="single" w:color="auto" w:sz="4" w:space="0"/>
              <w:right w:val="single" w:color="auto" w:sz="4" w:space="0"/>
            </w:tcBorders>
            <w:vAlign w:val="center"/>
          </w:tcPr>
          <w:p w14:paraId="4CF9D98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889" w:type="dxa"/>
            <w:tcBorders>
              <w:top w:val="single" w:color="auto" w:sz="4" w:space="0"/>
              <w:left w:val="single" w:color="auto" w:sz="4" w:space="0"/>
              <w:bottom w:val="single" w:color="auto" w:sz="4" w:space="0"/>
              <w:right w:val="single" w:color="auto" w:sz="4" w:space="0"/>
            </w:tcBorders>
          </w:tcPr>
          <w:p w14:paraId="5399AE0E">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321C0739">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0560D0FE">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10D1AE4C">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67245D84">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738A5B20">
            <w:pPr>
              <w:tabs>
                <w:tab w:val="left" w:pos="1418"/>
              </w:tabs>
              <w:snapToGrid w:val="0"/>
              <w:spacing w:before="50" w:after="50"/>
              <w:jc w:val="center"/>
              <w:rPr>
                <w:rFonts w:ascii="Times New Roman" w:hAnsi="Times New Roman" w:eastAsia="宋体" w:cs="Times New Roman"/>
                <w:spacing w:val="20"/>
              </w:rPr>
            </w:pPr>
          </w:p>
        </w:tc>
      </w:tr>
      <w:tr w14:paraId="08144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vAlign w:val="center"/>
          </w:tcPr>
          <w:p w14:paraId="40B6D37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pacing w:val="20"/>
                <w:lang w:val="en-US"/>
              </w:rPr>
            </w:pPr>
          </w:p>
        </w:tc>
        <w:tc>
          <w:tcPr>
            <w:tcW w:w="2832" w:type="dxa"/>
            <w:tcBorders>
              <w:top w:val="single" w:color="auto" w:sz="4" w:space="0"/>
              <w:left w:val="single" w:color="auto" w:sz="4" w:space="0"/>
              <w:bottom w:val="single" w:color="auto" w:sz="4" w:space="0"/>
              <w:right w:val="single" w:color="auto" w:sz="4" w:space="0"/>
            </w:tcBorders>
            <w:vAlign w:val="center"/>
          </w:tcPr>
          <w:p w14:paraId="1D21E33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spacing w:val="20"/>
              </w:rPr>
            </w:pPr>
          </w:p>
        </w:tc>
        <w:tc>
          <w:tcPr>
            <w:tcW w:w="889" w:type="dxa"/>
            <w:tcBorders>
              <w:top w:val="single" w:color="auto" w:sz="4" w:space="0"/>
              <w:left w:val="single" w:color="auto" w:sz="4" w:space="0"/>
              <w:bottom w:val="single" w:color="auto" w:sz="4" w:space="0"/>
              <w:right w:val="single" w:color="auto" w:sz="4" w:space="0"/>
            </w:tcBorders>
          </w:tcPr>
          <w:p w14:paraId="4D157C25">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1BF3080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7854B45">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566445DB">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vAlign w:val="center"/>
          </w:tcPr>
          <w:p w14:paraId="433A4EAD">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58DC2109">
            <w:pPr>
              <w:tabs>
                <w:tab w:val="left" w:pos="1418"/>
              </w:tabs>
              <w:snapToGrid w:val="0"/>
              <w:spacing w:before="50" w:after="50"/>
              <w:jc w:val="center"/>
              <w:rPr>
                <w:rFonts w:ascii="Times New Roman" w:hAnsi="Times New Roman" w:eastAsia="宋体" w:cs="Times New Roman"/>
                <w:spacing w:val="20"/>
              </w:rPr>
            </w:pPr>
          </w:p>
        </w:tc>
      </w:tr>
      <w:tr w14:paraId="13032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672" w:type="dxa"/>
            <w:tcBorders>
              <w:top w:val="single" w:color="auto" w:sz="4" w:space="0"/>
              <w:left w:val="single" w:color="auto" w:sz="4" w:space="0"/>
              <w:bottom w:val="single" w:color="auto" w:sz="4" w:space="0"/>
              <w:right w:val="single" w:color="auto" w:sz="4" w:space="0"/>
            </w:tcBorders>
          </w:tcPr>
          <w:p w14:paraId="1F6DC5EE">
            <w:pPr>
              <w:tabs>
                <w:tab w:val="left" w:pos="1418"/>
              </w:tabs>
              <w:snapToGrid w:val="0"/>
              <w:spacing w:before="50" w:after="50"/>
              <w:jc w:val="center"/>
              <w:rPr>
                <w:rFonts w:ascii="Times New Roman" w:hAnsi="Times New Roman" w:eastAsia="宋体" w:cs="Times New Roman"/>
                <w:spacing w:val="20"/>
              </w:rPr>
            </w:pPr>
          </w:p>
        </w:tc>
        <w:tc>
          <w:tcPr>
            <w:tcW w:w="2832" w:type="dxa"/>
            <w:tcBorders>
              <w:top w:val="single" w:color="auto" w:sz="4" w:space="0"/>
              <w:left w:val="single" w:color="auto" w:sz="4" w:space="0"/>
              <w:bottom w:val="single" w:color="auto" w:sz="4" w:space="0"/>
              <w:right w:val="single" w:color="auto" w:sz="4" w:space="0"/>
            </w:tcBorders>
          </w:tcPr>
          <w:p w14:paraId="5D45ED3E">
            <w:pPr>
              <w:tabs>
                <w:tab w:val="left" w:pos="1418"/>
              </w:tabs>
              <w:snapToGrid w:val="0"/>
              <w:spacing w:before="50" w:after="50"/>
              <w:jc w:val="center"/>
              <w:rPr>
                <w:rFonts w:ascii="Times New Roman" w:hAnsi="Times New Roman" w:eastAsia="宋体" w:cs="Times New Roman"/>
                <w:spacing w:val="20"/>
              </w:rPr>
            </w:pPr>
            <w:r>
              <w:rPr>
                <w:rFonts w:ascii="Times New Roman" w:hAnsi="Times New Roman" w:eastAsia="宋体" w:cs="Times New Roman"/>
                <w:spacing w:val="20"/>
              </w:rPr>
              <w:t>……</w:t>
            </w:r>
          </w:p>
        </w:tc>
        <w:tc>
          <w:tcPr>
            <w:tcW w:w="889" w:type="dxa"/>
            <w:tcBorders>
              <w:top w:val="single" w:color="auto" w:sz="4" w:space="0"/>
              <w:left w:val="single" w:color="auto" w:sz="4" w:space="0"/>
              <w:bottom w:val="single" w:color="auto" w:sz="4" w:space="0"/>
              <w:right w:val="single" w:color="auto" w:sz="4" w:space="0"/>
            </w:tcBorders>
          </w:tcPr>
          <w:p w14:paraId="3ABE3FDA">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6FD3A833">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995D911">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6EC5DF08">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tcPr>
          <w:p w14:paraId="58A48A5D">
            <w:pPr>
              <w:tabs>
                <w:tab w:val="left" w:pos="1418"/>
              </w:tabs>
              <w:snapToGrid w:val="0"/>
              <w:spacing w:before="50" w:after="50"/>
              <w:jc w:val="center"/>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07D5CD13">
            <w:pPr>
              <w:tabs>
                <w:tab w:val="left" w:pos="1418"/>
              </w:tabs>
              <w:snapToGrid w:val="0"/>
              <w:spacing w:before="50" w:after="50"/>
              <w:jc w:val="center"/>
              <w:rPr>
                <w:rFonts w:ascii="Times New Roman" w:hAnsi="Times New Roman" w:eastAsia="宋体" w:cs="Times New Roman"/>
                <w:spacing w:val="20"/>
              </w:rPr>
            </w:pPr>
          </w:p>
        </w:tc>
      </w:tr>
      <w:tr w14:paraId="341E4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504" w:type="dxa"/>
            <w:gridSpan w:val="2"/>
            <w:tcBorders>
              <w:top w:val="single" w:color="auto" w:sz="4" w:space="0"/>
              <w:left w:val="single" w:color="auto" w:sz="4" w:space="0"/>
              <w:bottom w:val="single" w:color="auto" w:sz="4" w:space="0"/>
              <w:right w:val="single" w:color="auto" w:sz="4" w:space="0"/>
            </w:tcBorders>
          </w:tcPr>
          <w:p w14:paraId="395F5E0A">
            <w:pPr>
              <w:tabs>
                <w:tab w:val="left" w:pos="1418"/>
              </w:tabs>
              <w:snapToGrid w:val="0"/>
              <w:spacing w:before="50" w:after="50"/>
              <w:jc w:val="center"/>
              <w:rPr>
                <w:rFonts w:ascii="Times New Roman" w:hAnsi="Times New Roman" w:eastAsia="宋体" w:cs="Times New Roman"/>
                <w:spacing w:val="20"/>
              </w:rPr>
            </w:pPr>
            <w:r>
              <w:rPr>
                <w:rFonts w:hint="eastAsia" w:ascii="Times New Roman" w:hAnsi="Times New Roman" w:eastAsia="宋体" w:cs="Times New Roman"/>
                <w:spacing w:val="20"/>
                <w:lang w:val="en-US" w:eastAsia="zh-CN"/>
              </w:rPr>
              <w:t>合计</w:t>
            </w:r>
          </w:p>
        </w:tc>
        <w:tc>
          <w:tcPr>
            <w:tcW w:w="889" w:type="dxa"/>
            <w:tcBorders>
              <w:top w:val="single" w:color="auto" w:sz="4" w:space="0"/>
              <w:left w:val="single" w:color="auto" w:sz="4" w:space="0"/>
              <w:bottom w:val="single" w:color="auto" w:sz="4" w:space="0"/>
              <w:right w:val="single" w:color="auto" w:sz="4" w:space="0"/>
            </w:tcBorders>
          </w:tcPr>
          <w:p w14:paraId="58B98101">
            <w:pPr>
              <w:tabs>
                <w:tab w:val="left" w:pos="1418"/>
              </w:tabs>
              <w:snapToGrid w:val="0"/>
              <w:spacing w:before="50" w:after="50"/>
              <w:jc w:val="center"/>
              <w:rPr>
                <w:rFonts w:ascii="Times New Roman" w:hAnsi="Times New Roman" w:eastAsia="宋体" w:cs="Times New Roman"/>
                <w:spacing w:val="20"/>
              </w:rPr>
            </w:pPr>
          </w:p>
        </w:tc>
        <w:tc>
          <w:tcPr>
            <w:tcW w:w="1290" w:type="dxa"/>
            <w:tcBorders>
              <w:top w:val="single" w:color="auto" w:sz="4" w:space="0"/>
              <w:left w:val="single" w:color="auto" w:sz="4" w:space="0"/>
              <w:bottom w:val="single" w:color="auto" w:sz="4" w:space="0"/>
              <w:right w:val="single" w:color="auto" w:sz="4" w:space="0"/>
            </w:tcBorders>
          </w:tcPr>
          <w:p w14:paraId="0E2FA8C7">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2F36FB70">
            <w:pPr>
              <w:tabs>
                <w:tab w:val="left" w:pos="1418"/>
              </w:tabs>
              <w:snapToGrid w:val="0"/>
              <w:spacing w:before="50" w:after="50"/>
              <w:jc w:val="center"/>
              <w:rPr>
                <w:rFonts w:ascii="Times New Roman" w:hAnsi="Times New Roman" w:eastAsia="宋体" w:cs="Times New Roman"/>
                <w:spacing w:val="20"/>
              </w:rPr>
            </w:pPr>
          </w:p>
        </w:tc>
        <w:tc>
          <w:tcPr>
            <w:tcW w:w="920" w:type="dxa"/>
            <w:tcBorders>
              <w:top w:val="single" w:color="auto" w:sz="4" w:space="0"/>
              <w:left w:val="single" w:color="auto" w:sz="4" w:space="0"/>
              <w:bottom w:val="single" w:color="auto" w:sz="4" w:space="0"/>
              <w:right w:val="single" w:color="auto" w:sz="4" w:space="0"/>
            </w:tcBorders>
          </w:tcPr>
          <w:p w14:paraId="30D6BB22">
            <w:pPr>
              <w:tabs>
                <w:tab w:val="left" w:pos="1418"/>
              </w:tabs>
              <w:snapToGrid w:val="0"/>
              <w:spacing w:before="50" w:after="50"/>
              <w:jc w:val="center"/>
              <w:rPr>
                <w:rFonts w:ascii="Times New Roman" w:hAnsi="Times New Roman" w:eastAsia="宋体" w:cs="Times New Roman"/>
                <w:spacing w:val="20"/>
              </w:rPr>
            </w:pPr>
          </w:p>
        </w:tc>
        <w:tc>
          <w:tcPr>
            <w:tcW w:w="925" w:type="dxa"/>
            <w:tcBorders>
              <w:top w:val="single" w:color="auto" w:sz="4" w:space="0"/>
              <w:left w:val="single" w:color="auto" w:sz="4" w:space="0"/>
              <w:bottom w:val="single" w:color="auto" w:sz="4" w:space="0"/>
              <w:right w:val="single" w:color="auto" w:sz="4" w:space="0"/>
            </w:tcBorders>
          </w:tcPr>
          <w:p w14:paraId="14D0D60F">
            <w:pPr>
              <w:tabs>
                <w:tab w:val="left" w:pos="1418"/>
              </w:tabs>
              <w:snapToGrid w:val="0"/>
              <w:spacing w:before="50" w:after="50"/>
              <w:jc w:val="center"/>
              <w:rPr>
                <w:rFonts w:ascii="Times New Roman" w:hAnsi="Times New Roman" w:eastAsia="宋体" w:cs="Times New Roman"/>
                <w:spacing w:val="20"/>
              </w:rPr>
            </w:pPr>
          </w:p>
        </w:tc>
        <w:tc>
          <w:tcPr>
            <w:tcW w:w="1092" w:type="dxa"/>
            <w:tcBorders>
              <w:top w:val="single" w:color="auto" w:sz="4" w:space="0"/>
              <w:left w:val="single" w:color="auto" w:sz="4" w:space="0"/>
              <w:bottom w:val="single" w:color="auto" w:sz="4" w:space="0"/>
              <w:right w:val="single" w:color="auto" w:sz="4" w:space="0"/>
            </w:tcBorders>
          </w:tcPr>
          <w:p w14:paraId="2C891FEC">
            <w:pPr>
              <w:tabs>
                <w:tab w:val="left" w:pos="1418"/>
              </w:tabs>
              <w:snapToGrid w:val="0"/>
              <w:spacing w:before="50" w:after="50"/>
              <w:jc w:val="center"/>
              <w:rPr>
                <w:rFonts w:ascii="Times New Roman" w:hAnsi="Times New Roman" w:eastAsia="宋体" w:cs="Times New Roman"/>
                <w:spacing w:val="20"/>
              </w:rPr>
            </w:pPr>
          </w:p>
        </w:tc>
      </w:tr>
      <w:tr w14:paraId="4E7F1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40" w:type="dxa"/>
            <w:gridSpan w:val="8"/>
            <w:tcBorders>
              <w:top w:val="single" w:color="auto" w:sz="4" w:space="0"/>
              <w:left w:val="single" w:color="auto" w:sz="4" w:space="0"/>
              <w:bottom w:val="single" w:color="auto" w:sz="4" w:space="0"/>
              <w:right w:val="single" w:color="auto" w:sz="4" w:space="0"/>
            </w:tcBorders>
          </w:tcPr>
          <w:p w14:paraId="4C69B00A">
            <w:pPr>
              <w:tabs>
                <w:tab w:val="left" w:pos="1418"/>
              </w:tabs>
              <w:snapToGrid w:val="0"/>
              <w:spacing w:before="50" w:after="50"/>
              <w:rPr>
                <w:rFonts w:ascii="Times New Roman" w:hAnsi="Times New Roman" w:eastAsia="宋体" w:cs="Times New Roman"/>
                <w:spacing w:val="20"/>
              </w:rPr>
            </w:pPr>
            <w:r>
              <w:rPr>
                <w:rFonts w:hint="eastAsia" w:ascii="Times New Roman" w:hAnsi="Times New Roman" w:eastAsia="宋体" w:cs="Times New Roman"/>
                <w:spacing w:val="20"/>
              </w:rPr>
              <w:t>合计（大写）</w:t>
            </w:r>
          </w:p>
        </w:tc>
      </w:tr>
    </w:tbl>
    <w:p w14:paraId="763DC9BF">
      <w:pPr>
        <w:snapToGrid w:val="0"/>
        <w:rPr>
          <w:rFonts w:ascii="Times New Roman" w:hAnsi="Times New Roman" w:eastAsia="宋体" w:cs="Times New Roman"/>
        </w:rPr>
      </w:pPr>
    </w:p>
    <w:p w14:paraId="39B9A0EF">
      <w:pPr>
        <w:snapToGrid w:val="0"/>
        <w:spacing w:before="50" w:after="50"/>
        <w:rPr>
          <w:rFonts w:hint="eastAsia" w:ascii="Times New Roman" w:hAnsi="Times New Roman" w:eastAsia="宋体" w:cs="Times New Roman"/>
          <w:lang w:val="en-US" w:eastAsia="zh-C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按采购清单报价</w:t>
      </w:r>
    </w:p>
    <w:p w14:paraId="238E310E">
      <w:pPr>
        <w:snapToGrid w:val="0"/>
        <w:spacing w:before="50" w:after="50"/>
        <w:rPr>
          <w:rFonts w:ascii="Times New Roman" w:hAnsi="Times New Roman" w:eastAsia="宋体" w:cs="Times New Roman"/>
        </w:rPr>
      </w:pPr>
      <w:r>
        <w:rPr>
          <w:rFonts w:hint="eastAsia" w:ascii="Times New Roman" w:hAnsi="Times New Roman" w:eastAsia="宋体" w:cs="Times New Roman"/>
        </w:rPr>
        <w:t>费用包括项目实施所需的一切费用。</w:t>
      </w:r>
    </w:p>
    <w:p w14:paraId="62C0ED83">
      <w:pPr>
        <w:snapToGrid w:val="0"/>
        <w:spacing w:before="50" w:after="50"/>
        <w:rPr>
          <w:rFonts w:ascii="Times New Roman" w:hAnsi="Times New Roman" w:eastAsia="宋体" w:cs="Times New Roman"/>
        </w:rPr>
      </w:pPr>
    </w:p>
    <w:p w14:paraId="26895550">
      <w:pPr>
        <w:snapToGrid w:val="0"/>
        <w:spacing w:before="50" w:after="50"/>
        <w:rPr>
          <w:rFonts w:ascii="Times New Roman" w:hAnsi="Times New Roman" w:eastAsia="宋体" w:cs="Times New Roman"/>
        </w:rPr>
      </w:pPr>
      <w:r>
        <w:rPr>
          <w:rFonts w:hint="eastAsia" w:ascii="Times New Roman" w:hAnsi="Times New Roman" w:eastAsia="宋体" w:cs="Times New Roman"/>
        </w:rPr>
        <w:t>投标人名称（盖章）：</w:t>
      </w:r>
    </w:p>
    <w:p w14:paraId="3BE60BFF">
      <w:pPr>
        <w:snapToGrid w:val="0"/>
        <w:spacing w:before="50" w:after="50"/>
        <w:rPr>
          <w:rFonts w:ascii="Times New Roman" w:hAnsi="Times New Roman" w:eastAsia="宋体" w:cs="Times New Roman"/>
        </w:rPr>
      </w:pPr>
    </w:p>
    <w:p w14:paraId="6F53ED19">
      <w:pPr>
        <w:snapToGrid w:val="0"/>
        <w:spacing w:before="50" w:after="50"/>
        <w:ind w:firstLine="5000" w:firstLineChars="2000"/>
        <w:rPr>
          <w:rFonts w:ascii="Times New Roman" w:hAnsi="Times New Roman" w:eastAsia="宋体" w:cs="Times New Roman"/>
          <w:b/>
          <w:sz w:val="32"/>
        </w:rPr>
      </w:pPr>
      <w:r>
        <w:rPr>
          <w:rFonts w:hint="eastAsia" w:ascii="Times New Roman" w:hAnsi="Times New Roman" w:eastAsia="宋体" w:cs="Times New Roman"/>
          <w:spacing w:val="20"/>
        </w:rPr>
        <w:t>日期：</w:t>
      </w:r>
    </w:p>
    <w:p w14:paraId="744134A9">
      <w:pPr>
        <w:snapToGrid w:val="0"/>
        <w:spacing w:before="120" w:line="312" w:lineRule="auto"/>
        <w:ind w:right="-341"/>
        <w:jc w:val="center"/>
        <w:rPr>
          <w:rFonts w:hint="eastAsia" w:ascii="Times New Roman" w:hAnsi="Times New Roman" w:eastAsia="宋体" w:cs="Times New Roman"/>
          <w:b/>
          <w:sz w:val="28"/>
          <w:szCs w:val="28"/>
        </w:rPr>
      </w:pPr>
    </w:p>
    <w:p w14:paraId="7917227F">
      <w:pPr>
        <w:snapToGrid w:val="0"/>
        <w:spacing w:before="120" w:line="312" w:lineRule="auto"/>
        <w:ind w:right="-341"/>
        <w:jc w:val="center"/>
        <w:rPr>
          <w:rFonts w:hint="eastAsia" w:ascii="Times New Roman" w:hAnsi="Times New Roman" w:eastAsia="宋体" w:cs="Times New Roman"/>
          <w:b/>
          <w:sz w:val="28"/>
          <w:szCs w:val="28"/>
        </w:rPr>
      </w:pPr>
    </w:p>
    <w:p w14:paraId="2430AB10">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5E59FE76">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18CB19E7">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3443E6B3">
      <w:pPr>
        <w:snapToGrid w:val="0"/>
        <w:spacing w:before="120" w:line="312" w:lineRule="auto"/>
        <w:ind w:right="-341"/>
        <w:jc w:val="center"/>
        <w:rPr>
          <w:rFonts w:hint="eastAsia" w:ascii="Times New Roman" w:hAnsi="Times New Roman" w:eastAsia="宋体" w:cs="Times New Roman"/>
          <w:b/>
          <w:sz w:val="28"/>
          <w:szCs w:val="28"/>
          <w:lang w:val="en-US" w:eastAsia="zh-CN"/>
        </w:rPr>
      </w:pPr>
    </w:p>
    <w:p w14:paraId="02E64F9B">
      <w:pPr>
        <w:snapToGrid w:val="0"/>
        <w:spacing w:before="120" w:line="312" w:lineRule="auto"/>
        <w:ind w:right="-341"/>
        <w:jc w:val="center"/>
        <w:rPr>
          <w:rFonts w:hint="eastAsia" w:ascii="宋体" w:hAnsi="宋体" w:eastAsia="宋体" w:cs="宋体"/>
          <w:b/>
          <w:kern w:val="0"/>
          <w:sz w:val="28"/>
          <w:szCs w:val="28"/>
        </w:rPr>
      </w:pPr>
      <w:r>
        <w:rPr>
          <w:rFonts w:hint="eastAsia" w:ascii="Times New Roman" w:hAnsi="Times New Roman" w:eastAsia="宋体" w:cs="Times New Roman"/>
          <w:b/>
          <w:sz w:val="28"/>
          <w:szCs w:val="28"/>
          <w:lang w:val="en-US" w:eastAsia="zh-CN"/>
        </w:rPr>
        <w:t>四</w:t>
      </w:r>
      <w:r>
        <w:rPr>
          <w:rFonts w:hint="eastAsia" w:ascii="Times New Roman" w:hAnsi="Times New Roman" w:eastAsia="宋体" w:cs="Times New Roman"/>
          <w:b/>
          <w:sz w:val="28"/>
          <w:szCs w:val="28"/>
        </w:rPr>
        <w:t>、中小企业声明函（货物）</w:t>
      </w:r>
    </w:p>
    <w:p w14:paraId="1EF75969">
      <w:pPr>
        <w:ind w:firstLine="420" w:firstLineChars="200"/>
        <w:rPr>
          <w:rFonts w:ascii="Times New Roman" w:hAnsi="Times New Roman" w:eastAsia="宋体" w:cs="Times New Roman"/>
        </w:rPr>
      </w:pPr>
    </w:p>
    <w:p w14:paraId="6EA403FD">
      <w:pPr>
        <w:spacing w:line="360" w:lineRule="auto"/>
        <w:ind w:firstLine="420" w:firstLineChars="200"/>
        <w:rPr>
          <w:rFonts w:ascii="宋体" w:hAnsi="Times New Roman" w:eastAsia="宋体" w:cs="Times New Roman"/>
          <w:szCs w:val="21"/>
        </w:rPr>
      </w:pPr>
    </w:p>
    <w:p w14:paraId="25272C7D">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本公司郑重声明，根据《政府采购促进中小企业发展管理办法》（财库﹝</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 xml:space="preserve">46 </w:t>
      </w:r>
      <w:r>
        <w:rPr>
          <w:rFonts w:hint="eastAsia" w:ascii="宋体" w:hAnsi="宋体" w:eastAsia="宋体" w:cs="Times New Roman"/>
          <w:szCs w:val="21"/>
        </w:rPr>
        <w:t>号）的规定，本公司参加</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（单位名称）的</w:t>
      </w:r>
      <w:r>
        <w:rPr>
          <w:rFonts w:hint="eastAsia" w:ascii="宋体" w:hAnsi="宋体" w:eastAsia="宋体" w:cs="Times New Roman"/>
          <w:szCs w:val="21"/>
          <w:u w:val="single"/>
          <w:lang w:val="en-US" w:eastAsia="zh-CN"/>
        </w:rPr>
        <w:t xml:space="preserve">       </w:t>
      </w:r>
      <w:r>
        <w:rPr>
          <w:rFonts w:hint="eastAsia" w:ascii="宋体" w:hAnsi="宋体" w:eastAsia="宋体" w:cs="Times New Roman"/>
          <w:szCs w:val="21"/>
        </w:rPr>
        <w:t>（项目名称）采购活动，提供的货物全部由符合政策要求的中小企业制造。相关企业（含联合体中的中小企业、签订分包意向协议的中小企业）的具体情况如下：</w:t>
      </w:r>
    </w:p>
    <w:p w14:paraId="5E79811A">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1.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57B45346">
      <w:pPr>
        <w:spacing w:line="360" w:lineRule="auto"/>
        <w:ind w:firstLine="420" w:firstLineChars="200"/>
        <w:rPr>
          <w:rFonts w:ascii="宋体" w:hAnsi="Times New Roman" w:eastAsia="宋体" w:cs="Times New Roman"/>
          <w:szCs w:val="21"/>
        </w:rPr>
      </w:pPr>
      <w:r>
        <w:rPr>
          <w:rFonts w:ascii="宋体" w:hAnsi="宋体" w:eastAsia="宋体" w:cs="Times New Roman"/>
          <w:szCs w:val="21"/>
        </w:rPr>
        <w:t xml:space="preserve">2. </w:t>
      </w:r>
      <w:r>
        <w:rPr>
          <w:rFonts w:hint="eastAsia" w:ascii="宋体" w:hAnsi="宋体" w:eastAsia="宋体" w:cs="Times New Roman"/>
          <w:szCs w:val="21"/>
        </w:rPr>
        <w:t>（标的名称），属于（采购文件中明确的所属行业）行业；制造商为（企业名称），从业人员人，营业收入为万元，资产总额为万元，属于（中型企业、小型企业、微型企业）；</w:t>
      </w:r>
    </w:p>
    <w:p w14:paraId="3325E18C">
      <w:pPr>
        <w:spacing w:line="360" w:lineRule="auto"/>
        <w:rPr>
          <w:rFonts w:ascii="宋体" w:hAnsi="Times New Roman" w:eastAsia="宋体" w:cs="Times New Roman"/>
          <w:szCs w:val="21"/>
        </w:rPr>
      </w:pPr>
      <w:r>
        <w:rPr>
          <w:rFonts w:hint="eastAsia" w:ascii="宋体" w:hAnsi="宋体" w:eastAsia="宋体" w:cs="Times New Roman"/>
          <w:szCs w:val="21"/>
        </w:rPr>
        <w:t>……</w:t>
      </w:r>
    </w:p>
    <w:p w14:paraId="6C78677B">
      <w:pPr>
        <w:spacing w:line="360" w:lineRule="auto"/>
        <w:ind w:firstLine="735" w:firstLineChars="350"/>
        <w:rPr>
          <w:rFonts w:ascii="宋体" w:hAnsi="Times New Roman" w:eastAsia="宋体" w:cs="Times New Roman"/>
          <w:szCs w:val="21"/>
        </w:rPr>
      </w:pPr>
      <w:r>
        <w:rPr>
          <w:rFonts w:hint="eastAsia" w:ascii="宋体" w:hAnsi="宋体" w:eastAsia="宋体" w:cs="Times New Roman"/>
          <w:szCs w:val="21"/>
        </w:rPr>
        <w:t>以上企业，不属于大企业的分支机构，不存在控股股东为大企业的情形，也不存在与大企业的负责人为同一人的情形。</w:t>
      </w:r>
    </w:p>
    <w:p w14:paraId="124DB646">
      <w:pPr>
        <w:spacing w:line="360" w:lineRule="auto"/>
        <w:ind w:firstLine="420" w:firstLineChars="200"/>
        <w:rPr>
          <w:rFonts w:ascii="宋体" w:hAnsi="Times New Roman" w:eastAsia="宋体" w:cs="Times New Roman"/>
          <w:szCs w:val="21"/>
        </w:rPr>
      </w:pPr>
      <w:r>
        <w:rPr>
          <w:rFonts w:hint="eastAsia" w:ascii="宋体" w:hAnsi="宋体" w:eastAsia="宋体" w:cs="Times New Roman"/>
          <w:szCs w:val="21"/>
        </w:rPr>
        <w:t>本企业对上述声明内容的真实性负责。如有虚假，将依法承担相应责任。</w:t>
      </w:r>
    </w:p>
    <w:p w14:paraId="1FA5C556">
      <w:pPr>
        <w:spacing w:line="360" w:lineRule="auto"/>
        <w:rPr>
          <w:rFonts w:ascii="宋体" w:hAnsi="Times New Roman" w:eastAsia="宋体" w:cs="Times New Roman"/>
          <w:szCs w:val="21"/>
        </w:rPr>
      </w:pPr>
    </w:p>
    <w:p w14:paraId="0D2E6D74">
      <w:pPr>
        <w:spacing w:line="360" w:lineRule="auto"/>
        <w:rPr>
          <w:rFonts w:ascii="宋体" w:hAnsi="Times New Roman" w:eastAsia="宋体" w:cs="Times New Roman"/>
          <w:szCs w:val="21"/>
        </w:rPr>
      </w:pPr>
    </w:p>
    <w:p w14:paraId="1443B615">
      <w:pPr>
        <w:spacing w:line="360" w:lineRule="auto"/>
        <w:ind w:firstLine="630" w:firstLineChars="300"/>
        <w:rPr>
          <w:rFonts w:ascii="宋体" w:hAnsi="Times New Roman" w:eastAsia="宋体" w:cs="Times New Roman"/>
          <w:szCs w:val="21"/>
        </w:rPr>
      </w:pPr>
      <w:r>
        <w:rPr>
          <w:rFonts w:hint="eastAsia" w:ascii="宋体" w:hAnsi="宋体" w:eastAsia="宋体" w:cs="Times New Roman"/>
          <w:szCs w:val="21"/>
        </w:rPr>
        <w:t>企业名称（盖章）：</w:t>
      </w:r>
    </w:p>
    <w:p w14:paraId="74EB0703">
      <w:pPr>
        <w:spacing w:line="360" w:lineRule="auto"/>
        <w:ind w:firstLine="630" w:firstLineChars="300"/>
        <w:rPr>
          <w:rFonts w:hint="eastAsia" w:ascii="宋体" w:hAnsi="宋体" w:eastAsia="宋体"/>
        </w:rPr>
        <w:sectPr>
          <w:pgSz w:w="11906" w:h="16838"/>
          <w:pgMar w:top="1304" w:right="1531" w:bottom="1304" w:left="1531" w:header="567" w:footer="1304" w:gutter="0"/>
          <w:cols w:space="720" w:num="1"/>
          <w:docGrid w:linePitch="286" w:charSpace="0"/>
        </w:sectPr>
      </w:pPr>
      <w:r>
        <w:rPr>
          <w:rFonts w:hint="eastAsia" w:ascii="宋体" w:hAnsi="宋体" w:eastAsia="宋体" w:cs="Times New Roman"/>
          <w:szCs w:val="21"/>
        </w:rPr>
        <w:t>日期：</w:t>
      </w:r>
    </w:p>
    <w:p w14:paraId="06890FE1">
      <w:pPr>
        <w:snapToGrid w:val="0"/>
        <w:spacing w:line="360" w:lineRule="auto"/>
        <w:ind w:right="-341"/>
        <w:rPr>
          <w:rFonts w:ascii="Times New Roman" w:hAnsi="Times New Roman" w:eastAsia="宋体" w:cs="Times New Roman"/>
        </w:rPr>
      </w:pPr>
    </w:p>
    <w:p w14:paraId="6BF459C3">
      <w:pPr>
        <w:spacing w:after="120"/>
        <w:rPr>
          <w:rFonts w:ascii="Times New Roman" w:hAnsi="Times New Roman" w:eastAsia="宋体" w:cs="Times New Roman"/>
        </w:rPr>
      </w:pPr>
    </w:p>
    <w:p w14:paraId="2DD27EBC">
      <w:pPr>
        <w:spacing w:line="360" w:lineRule="auto"/>
        <w:ind w:firstLine="3132" w:firstLineChars="1300"/>
        <w:rPr>
          <w:rFonts w:ascii="Times New Roman" w:hAnsi="Times New Roman" w:eastAsia="宋体" w:cs="Times New Roman"/>
          <w:b/>
          <w:sz w:val="24"/>
          <w:szCs w:val="24"/>
        </w:rPr>
      </w:pPr>
      <w:r>
        <w:rPr>
          <w:rFonts w:hint="eastAsia" w:ascii="Times New Roman" w:hAnsi="Times New Roman" w:eastAsia="宋体" w:cs="Times New Roman"/>
          <w:b/>
          <w:sz w:val="24"/>
          <w:szCs w:val="24"/>
        </w:rPr>
        <w:t>监狱企业声明函</w:t>
      </w:r>
    </w:p>
    <w:p w14:paraId="723C6878">
      <w:pPr>
        <w:spacing w:line="360" w:lineRule="auto"/>
        <w:ind w:firstLine="2640" w:firstLineChars="1100"/>
        <w:rPr>
          <w:rFonts w:ascii="Times New Roman" w:hAnsi="Times New Roman" w:eastAsia="宋体" w:cs="Times New Roman"/>
          <w:sz w:val="24"/>
          <w:szCs w:val="24"/>
        </w:rPr>
      </w:pPr>
      <w:r>
        <w:rPr>
          <w:rFonts w:hint="eastAsia" w:ascii="Times New Roman" w:hAnsi="Times New Roman" w:eastAsia="宋体" w:cs="Times New Roman"/>
          <w:sz w:val="24"/>
          <w:szCs w:val="24"/>
        </w:rPr>
        <w:t>【非监狱企业不用提供】</w:t>
      </w:r>
    </w:p>
    <w:p w14:paraId="56A85042">
      <w:pPr>
        <w:spacing w:line="360" w:lineRule="auto"/>
        <w:ind w:firstLine="480"/>
        <w:rPr>
          <w:rFonts w:ascii="Times New Roman" w:hAnsi="Times New Roman" w:eastAsia="宋体" w:cs="Times New Roman"/>
          <w:szCs w:val="21"/>
        </w:rPr>
      </w:pPr>
    </w:p>
    <w:p w14:paraId="4F9A3ABD">
      <w:pPr>
        <w:spacing w:line="360" w:lineRule="auto"/>
        <w:ind w:firstLine="525" w:firstLineChars="250"/>
        <w:rPr>
          <w:rFonts w:ascii="Times New Roman" w:hAnsi="Times New Roman" w:eastAsia="宋体" w:cs="Times New Roman"/>
          <w:szCs w:val="21"/>
        </w:rPr>
      </w:pPr>
      <w:r>
        <w:rPr>
          <w:rFonts w:hint="eastAsia" w:ascii="Times New Roman" w:hAnsi="Times New Roman" w:eastAsia="宋体" w:cs="Times New Roman"/>
          <w:szCs w:val="21"/>
        </w:rPr>
        <w:t>监狱企业参加政府采购活动时，应当提供由省级以上监狱管理本企业郑重声明，根据《关于政府采购支持监狱企业发展有关问题的通知》（财库</w:t>
      </w:r>
      <w:r>
        <w:rPr>
          <w:rFonts w:ascii="Times New Roman" w:hAnsi="Times New Roman" w:eastAsia="宋体" w:cs="Times New Roman"/>
          <w:szCs w:val="21"/>
        </w:rPr>
        <w:t>[2014]68</w:t>
      </w:r>
      <w:r>
        <w:rPr>
          <w:rFonts w:hint="eastAsia" w:ascii="Times New Roman" w:hAnsi="Times New Roman" w:eastAsia="宋体" w:cs="Times New Roman"/>
          <w:szCs w:val="21"/>
        </w:rPr>
        <w:t>号）的规定，本企业为监狱企业。</w:t>
      </w:r>
    </w:p>
    <w:p w14:paraId="7FD25855">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根据上述标准，我企业属于监狱企业的理由为：。</w:t>
      </w:r>
    </w:p>
    <w:p w14:paraId="7E5C31F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本企业为参加（项目名称：）（项目编号：）采购活动提供本企业的产品。</w:t>
      </w:r>
    </w:p>
    <w:p w14:paraId="105F458B">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本企业对上述声明的真实性负责。如有虚假，将依法承担相应责任。</w:t>
      </w:r>
    </w:p>
    <w:p w14:paraId="093DABFB">
      <w:pPr>
        <w:spacing w:line="360" w:lineRule="auto"/>
        <w:ind w:firstLine="480"/>
        <w:rPr>
          <w:rFonts w:ascii="Times New Roman" w:hAnsi="Times New Roman" w:eastAsia="宋体" w:cs="Times New Roman"/>
          <w:szCs w:val="21"/>
        </w:rPr>
      </w:pPr>
    </w:p>
    <w:p w14:paraId="12AE2240">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061A052D">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3D12DA1">
      <w:pPr>
        <w:spacing w:line="360" w:lineRule="auto"/>
        <w:ind w:firstLine="480"/>
        <w:rPr>
          <w:rFonts w:ascii="Times New Roman" w:hAnsi="Times New Roman" w:eastAsia="宋体" w:cs="Times New Roman"/>
          <w:szCs w:val="21"/>
        </w:rPr>
      </w:pPr>
    </w:p>
    <w:p w14:paraId="23A3C975">
      <w:pPr>
        <w:spacing w:line="360" w:lineRule="auto"/>
        <w:ind w:firstLine="480"/>
        <w:rPr>
          <w:rFonts w:ascii="Times New Roman" w:hAnsi="Times New Roman" w:eastAsia="宋体" w:cs="Times New Roman"/>
          <w:szCs w:val="21"/>
        </w:rPr>
      </w:pPr>
    </w:p>
    <w:p w14:paraId="787B7066">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投标人为监狱企业的提供此函。</w:t>
      </w:r>
    </w:p>
    <w:p w14:paraId="0D2034EA">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局、戒毒管理局（含新疆生产建设兵团）出具的属于监狱企业的证明文件。</w:t>
      </w:r>
    </w:p>
    <w:p w14:paraId="5A5E7493">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0213FF">
      <w:pPr>
        <w:spacing w:line="360" w:lineRule="auto"/>
        <w:ind w:firstLine="480"/>
        <w:rPr>
          <w:rFonts w:ascii="Times New Roman" w:hAnsi="Times New Roman" w:eastAsia="宋体" w:cs="Times New Roman"/>
          <w:szCs w:val="21"/>
        </w:rPr>
      </w:pPr>
    </w:p>
    <w:p w14:paraId="2D84971E">
      <w:pPr>
        <w:spacing w:line="360" w:lineRule="auto"/>
        <w:ind w:firstLine="480"/>
        <w:rPr>
          <w:rFonts w:ascii="Times New Roman" w:hAnsi="Times New Roman" w:eastAsia="宋体" w:cs="Times New Roman"/>
          <w:szCs w:val="21"/>
        </w:rPr>
      </w:pPr>
    </w:p>
    <w:p w14:paraId="539C69E1">
      <w:pPr>
        <w:spacing w:line="360" w:lineRule="auto"/>
        <w:ind w:firstLine="480"/>
        <w:rPr>
          <w:rFonts w:ascii="Times New Roman" w:hAnsi="Times New Roman" w:eastAsia="宋体" w:cs="Times New Roman"/>
          <w:szCs w:val="21"/>
        </w:rPr>
      </w:pPr>
    </w:p>
    <w:p w14:paraId="53546CF8">
      <w:pPr>
        <w:spacing w:line="360" w:lineRule="auto"/>
        <w:ind w:firstLine="480"/>
        <w:rPr>
          <w:rFonts w:ascii="Times New Roman" w:hAnsi="Times New Roman" w:eastAsia="宋体" w:cs="Times New Roman"/>
          <w:szCs w:val="21"/>
        </w:rPr>
      </w:pPr>
    </w:p>
    <w:p w14:paraId="78B9F5B0">
      <w:pPr>
        <w:spacing w:line="360" w:lineRule="auto"/>
        <w:ind w:firstLine="480"/>
        <w:rPr>
          <w:rFonts w:ascii="Times New Roman" w:hAnsi="Times New Roman" w:eastAsia="宋体" w:cs="Times New Roman"/>
          <w:szCs w:val="21"/>
        </w:rPr>
      </w:pPr>
    </w:p>
    <w:p w14:paraId="0486EFCC">
      <w:pPr>
        <w:spacing w:line="360" w:lineRule="auto"/>
        <w:ind w:firstLine="480"/>
        <w:rPr>
          <w:rFonts w:ascii="Times New Roman" w:hAnsi="Times New Roman" w:eastAsia="宋体" w:cs="Times New Roman"/>
          <w:szCs w:val="21"/>
        </w:rPr>
      </w:pPr>
    </w:p>
    <w:p w14:paraId="35CE3046">
      <w:pPr>
        <w:spacing w:line="360" w:lineRule="auto"/>
        <w:ind w:firstLine="480"/>
        <w:rPr>
          <w:rFonts w:ascii="Times New Roman" w:hAnsi="Times New Roman" w:eastAsia="宋体" w:cs="Times New Roman"/>
          <w:szCs w:val="21"/>
        </w:rPr>
      </w:pPr>
    </w:p>
    <w:p w14:paraId="424EB617">
      <w:pPr>
        <w:spacing w:line="360" w:lineRule="auto"/>
        <w:ind w:firstLine="480"/>
        <w:rPr>
          <w:rFonts w:ascii="Times New Roman" w:hAnsi="Times New Roman" w:eastAsia="宋体" w:cs="Times New Roman"/>
          <w:szCs w:val="21"/>
        </w:rPr>
      </w:pPr>
    </w:p>
    <w:p w14:paraId="346A86FF">
      <w:pPr>
        <w:spacing w:line="360" w:lineRule="auto"/>
        <w:ind w:firstLine="480"/>
        <w:rPr>
          <w:rFonts w:ascii="Times New Roman" w:hAnsi="Times New Roman" w:eastAsia="宋体" w:cs="Times New Roman"/>
          <w:szCs w:val="21"/>
        </w:rPr>
      </w:pPr>
    </w:p>
    <w:p w14:paraId="3ADE3448">
      <w:pPr>
        <w:spacing w:line="360" w:lineRule="auto"/>
        <w:ind w:firstLine="480"/>
        <w:rPr>
          <w:rFonts w:ascii="Times New Roman" w:hAnsi="Times New Roman" w:eastAsia="宋体" w:cs="Times New Roman"/>
          <w:szCs w:val="21"/>
        </w:rPr>
      </w:pPr>
    </w:p>
    <w:p w14:paraId="029337A7">
      <w:pPr>
        <w:spacing w:line="360" w:lineRule="auto"/>
        <w:ind w:firstLine="480"/>
        <w:rPr>
          <w:rFonts w:ascii="Times New Roman" w:hAnsi="Times New Roman" w:eastAsia="宋体" w:cs="Times New Roman"/>
          <w:szCs w:val="21"/>
        </w:rPr>
      </w:pPr>
    </w:p>
    <w:p w14:paraId="39A65878">
      <w:pPr>
        <w:spacing w:line="360" w:lineRule="auto"/>
        <w:ind w:firstLine="480"/>
        <w:rPr>
          <w:rFonts w:ascii="Times New Roman" w:hAnsi="Times New Roman" w:eastAsia="宋体" w:cs="Times New Roman"/>
          <w:szCs w:val="21"/>
        </w:rPr>
      </w:pPr>
    </w:p>
    <w:p w14:paraId="1ABD4360">
      <w:pPr>
        <w:spacing w:line="360" w:lineRule="auto"/>
        <w:ind w:firstLine="480"/>
        <w:rPr>
          <w:rFonts w:ascii="Times New Roman" w:hAnsi="Times New Roman" w:eastAsia="宋体" w:cs="Times New Roman"/>
          <w:szCs w:val="21"/>
        </w:rPr>
      </w:pPr>
    </w:p>
    <w:p w14:paraId="4C5E1016">
      <w:pPr>
        <w:spacing w:line="360" w:lineRule="auto"/>
        <w:rPr>
          <w:rFonts w:ascii="Times New Roman" w:hAnsi="Times New Roman" w:eastAsia="宋体" w:cs="Times New Roman"/>
          <w:b/>
          <w:sz w:val="24"/>
          <w:szCs w:val="24"/>
        </w:rPr>
      </w:pPr>
    </w:p>
    <w:p w14:paraId="2576065A">
      <w:pPr>
        <w:spacing w:line="360" w:lineRule="auto"/>
        <w:jc w:val="center"/>
        <w:rPr>
          <w:rFonts w:ascii="Times New Roman" w:hAnsi="Times New Roman" w:eastAsia="宋体" w:cs="Times New Roman"/>
          <w:b/>
          <w:sz w:val="24"/>
          <w:szCs w:val="24"/>
        </w:rPr>
      </w:pPr>
    </w:p>
    <w:p w14:paraId="2F21E9E6">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残疾人福利性单位声明函</w:t>
      </w:r>
    </w:p>
    <w:p w14:paraId="1F36C49E">
      <w:pPr>
        <w:spacing w:line="360" w:lineRule="auto"/>
        <w:ind w:firstLine="2835" w:firstLineChars="1350"/>
        <w:rPr>
          <w:rFonts w:ascii="Times New Roman" w:hAnsi="Times New Roman" w:eastAsia="宋体" w:cs="Times New Roman"/>
          <w:szCs w:val="21"/>
        </w:rPr>
      </w:pPr>
      <w:r>
        <w:rPr>
          <w:rFonts w:hint="eastAsia" w:ascii="Times New Roman" w:hAnsi="Times New Roman" w:eastAsia="宋体" w:cs="Times New Roman"/>
          <w:szCs w:val="21"/>
        </w:rPr>
        <w:t>【非残疾人福利性单位不用提供】</w:t>
      </w:r>
    </w:p>
    <w:p w14:paraId="0096EF1D">
      <w:pPr>
        <w:spacing w:line="360" w:lineRule="auto"/>
        <w:rPr>
          <w:rFonts w:ascii="Times New Roman" w:hAnsi="Times New Roman" w:eastAsia="宋体" w:cs="Times New Roman"/>
          <w:szCs w:val="21"/>
        </w:rPr>
      </w:pPr>
    </w:p>
    <w:p w14:paraId="1A3E4B40">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本单位郑重声明，根据《财政部民政部中国残疾人联合会关于促进残疾人就业政府采购政策的通知》（财库〔</w:t>
      </w:r>
      <w:r>
        <w:rPr>
          <w:rFonts w:ascii="Times New Roman" w:hAnsi="Times New Roman" w:eastAsia="宋体" w:cs="Times New Roman"/>
          <w:szCs w:val="21"/>
        </w:rPr>
        <w:t>2017</w:t>
      </w:r>
      <w:r>
        <w:rPr>
          <w:rFonts w:hint="eastAsia" w:ascii="Times New Roman" w:hAnsi="Times New Roman" w:eastAsia="宋体" w:cs="Times New Roman"/>
          <w:szCs w:val="21"/>
        </w:rPr>
        <w:t>〕</w:t>
      </w:r>
      <w:r>
        <w:rPr>
          <w:rFonts w:ascii="Times New Roman" w:hAnsi="Times New Roman" w:eastAsia="宋体" w:cs="Times New Roman"/>
          <w:szCs w:val="21"/>
        </w:rPr>
        <w:t>141</w:t>
      </w:r>
      <w:r>
        <w:rPr>
          <w:rFonts w:hint="eastAsia" w:ascii="Times New Roman" w:hAnsi="Times New Roman" w:eastAsia="宋体" w:cs="Times New Roman"/>
          <w:szCs w:val="21"/>
        </w:rPr>
        <w:t>号）的规定，本单位为符合条件的残疾人福利性单位，且本单位参加（采购人名称）单位的（项目名称）项目采购活动提供本单位制造的货物（由本单位承担工程</w:t>
      </w:r>
      <w:r>
        <w:rPr>
          <w:rFonts w:ascii="Times New Roman" w:hAnsi="Times New Roman" w:eastAsia="宋体" w:cs="Times New Roman"/>
          <w:szCs w:val="21"/>
        </w:rPr>
        <w:t>/</w:t>
      </w:r>
      <w:r>
        <w:rPr>
          <w:rFonts w:hint="eastAsia" w:ascii="Times New Roman" w:hAnsi="Times New Roman" w:eastAsia="宋体" w:cs="Times New Roman"/>
          <w:szCs w:val="21"/>
        </w:rPr>
        <w:t>提供服务），或者提供其他残疾人福利性单位制造的货物（不包括使用非残疾人福利性单位注册商标的货物）。</w:t>
      </w:r>
    </w:p>
    <w:p w14:paraId="040B99A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本单位对上述声明的真实性负责。如有虚假，将依法承担相应责任。</w:t>
      </w:r>
    </w:p>
    <w:p w14:paraId="54DFB79A">
      <w:pPr>
        <w:spacing w:line="360" w:lineRule="auto"/>
        <w:rPr>
          <w:rFonts w:ascii="Times New Roman" w:hAnsi="Times New Roman" w:eastAsia="宋体" w:cs="Times New Roman"/>
          <w:szCs w:val="21"/>
        </w:rPr>
      </w:pPr>
    </w:p>
    <w:p w14:paraId="3F3E1C52">
      <w:pPr>
        <w:spacing w:line="360" w:lineRule="auto"/>
        <w:rPr>
          <w:rFonts w:ascii="Times New Roman" w:hAnsi="Times New Roman" w:eastAsia="宋体" w:cs="Times New Roman"/>
          <w:szCs w:val="21"/>
        </w:rPr>
      </w:pPr>
    </w:p>
    <w:p w14:paraId="432D33F0">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投标人名称（盖章）：</w:t>
      </w:r>
    </w:p>
    <w:p w14:paraId="00F5DB9A">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日期：年月日</w:t>
      </w:r>
    </w:p>
    <w:p w14:paraId="01E4BC7F">
      <w:pPr>
        <w:spacing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说明：投标人为残疾人福利性单位的提供此函。</w:t>
      </w:r>
    </w:p>
    <w:p w14:paraId="1478D081">
      <w:pPr>
        <w:snapToGrid w:val="0"/>
        <w:spacing w:line="360" w:lineRule="auto"/>
        <w:ind w:right="-341"/>
        <w:rPr>
          <w:rFonts w:ascii="Times New Roman" w:hAnsi="Times New Roman" w:eastAsia="宋体" w:cs="Times New Roman"/>
        </w:rPr>
      </w:pPr>
    </w:p>
    <w:p w14:paraId="7B627120">
      <w:pPr>
        <w:snapToGrid w:val="0"/>
        <w:spacing w:before="120" w:line="312" w:lineRule="auto"/>
        <w:ind w:right="-341"/>
        <w:jc w:val="center"/>
        <w:rPr>
          <w:rFonts w:hint="eastAsia" w:ascii="Times New Roman" w:hAnsi="Times New Roman" w:eastAsia="宋体" w:cs="Times New Roman"/>
          <w:b/>
          <w:sz w:val="32"/>
        </w:rPr>
      </w:pPr>
    </w:p>
    <w:p w14:paraId="755FEC2F">
      <w:pPr>
        <w:snapToGrid w:val="0"/>
        <w:spacing w:before="120" w:line="312" w:lineRule="auto"/>
        <w:ind w:right="-341"/>
        <w:jc w:val="center"/>
        <w:rPr>
          <w:rFonts w:hint="eastAsia" w:ascii="Times New Roman" w:hAnsi="Times New Roman" w:eastAsia="宋体" w:cs="Times New Roman"/>
          <w:b/>
          <w:sz w:val="32"/>
        </w:rPr>
      </w:pPr>
    </w:p>
    <w:p w14:paraId="43A41BBB">
      <w:pPr>
        <w:snapToGrid w:val="0"/>
        <w:spacing w:before="120" w:line="312" w:lineRule="auto"/>
        <w:ind w:right="-341"/>
        <w:jc w:val="center"/>
        <w:rPr>
          <w:rFonts w:hint="eastAsia" w:ascii="Times New Roman" w:hAnsi="Times New Roman" w:eastAsia="宋体" w:cs="Times New Roman"/>
          <w:b/>
          <w:sz w:val="32"/>
        </w:rPr>
      </w:pPr>
    </w:p>
    <w:p w14:paraId="3ACFF2A0">
      <w:pPr>
        <w:snapToGrid w:val="0"/>
        <w:spacing w:before="120" w:line="312" w:lineRule="auto"/>
        <w:ind w:right="-341"/>
        <w:jc w:val="center"/>
        <w:rPr>
          <w:rFonts w:hint="eastAsia" w:ascii="Times New Roman" w:hAnsi="Times New Roman" w:eastAsia="宋体" w:cs="Times New Roman"/>
          <w:b/>
          <w:sz w:val="32"/>
        </w:rPr>
      </w:pPr>
    </w:p>
    <w:p w14:paraId="426677DD">
      <w:pPr>
        <w:snapToGrid w:val="0"/>
        <w:spacing w:before="120" w:line="312" w:lineRule="auto"/>
        <w:ind w:right="-341"/>
        <w:jc w:val="center"/>
        <w:rPr>
          <w:rFonts w:hint="eastAsia" w:ascii="Times New Roman" w:hAnsi="Times New Roman" w:eastAsia="宋体" w:cs="Times New Roman"/>
          <w:b/>
          <w:sz w:val="32"/>
        </w:rPr>
      </w:pPr>
    </w:p>
    <w:p w14:paraId="0D990051">
      <w:pPr>
        <w:snapToGrid w:val="0"/>
        <w:spacing w:before="120" w:line="312" w:lineRule="auto"/>
        <w:ind w:right="-341"/>
        <w:jc w:val="center"/>
        <w:rPr>
          <w:rFonts w:hint="eastAsia" w:ascii="Times New Roman" w:hAnsi="Times New Roman" w:eastAsia="宋体" w:cs="Times New Roman"/>
          <w:b/>
          <w:sz w:val="32"/>
        </w:rPr>
      </w:pPr>
    </w:p>
    <w:p w14:paraId="350E7BBE">
      <w:pPr>
        <w:snapToGrid w:val="0"/>
        <w:spacing w:before="120" w:line="312" w:lineRule="auto"/>
        <w:ind w:right="-341"/>
        <w:jc w:val="center"/>
        <w:rPr>
          <w:rFonts w:hint="eastAsia" w:ascii="Times New Roman" w:hAnsi="Times New Roman" w:eastAsia="宋体" w:cs="Times New Roman"/>
          <w:b/>
          <w:sz w:val="32"/>
        </w:rPr>
      </w:pPr>
    </w:p>
    <w:p w14:paraId="7FBFDD21">
      <w:pPr>
        <w:snapToGrid w:val="0"/>
        <w:spacing w:before="120" w:line="312" w:lineRule="auto"/>
        <w:ind w:right="-341"/>
        <w:jc w:val="center"/>
        <w:rPr>
          <w:rFonts w:hint="eastAsia" w:ascii="Times New Roman" w:hAnsi="Times New Roman" w:eastAsia="宋体" w:cs="Times New Roman"/>
          <w:b/>
          <w:sz w:val="32"/>
        </w:rPr>
      </w:pPr>
    </w:p>
    <w:p w14:paraId="421525F1">
      <w:pPr>
        <w:snapToGrid w:val="0"/>
        <w:spacing w:before="120" w:line="312" w:lineRule="auto"/>
        <w:ind w:right="-341"/>
        <w:jc w:val="center"/>
        <w:rPr>
          <w:rFonts w:hint="eastAsia" w:ascii="Times New Roman" w:hAnsi="Times New Roman" w:eastAsia="宋体" w:cs="Times New Roman"/>
          <w:b/>
          <w:sz w:val="32"/>
        </w:rPr>
      </w:pPr>
    </w:p>
    <w:p w14:paraId="345D4747">
      <w:pPr>
        <w:snapToGrid w:val="0"/>
        <w:spacing w:before="120" w:line="312" w:lineRule="auto"/>
        <w:ind w:right="-341"/>
        <w:jc w:val="center"/>
        <w:rPr>
          <w:rFonts w:hint="eastAsia" w:ascii="Times New Roman" w:hAnsi="Times New Roman" w:eastAsia="宋体" w:cs="Times New Roman"/>
          <w:b/>
          <w:sz w:val="32"/>
        </w:rPr>
      </w:pPr>
    </w:p>
    <w:p w14:paraId="24AF62FC">
      <w:pPr>
        <w:snapToGrid w:val="0"/>
        <w:spacing w:before="120" w:line="312" w:lineRule="auto"/>
        <w:ind w:right="-341"/>
        <w:jc w:val="center"/>
        <w:rPr>
          <w:rFonts w:hint="eastAsia" w:ascii="Times New Roman" w:hAnsi="Times New Roman" w:eastAsia="宋体" w:cs="Times New Roman"/>
          <w:b/>
          <w:sz w:val="32"/>
        </w:rPr>
      </w:pPr>
    </w:p>
    <w:p w14:paraId="602A8868">
      <w:pPr>
        <w:snapToGrid w:val="0"/>
        <w:spacing w:before="120" w:line="312" w:lineRule="auto"/>
        <w:ind w:right="-341"/>
        <w:jc w:val="center"/>
        <w:rPr>
          <w:rFonts w:hint="eastAsia" w:ascii="Times New Roman" w:hAnsi="Times New Roman" w:eastAsia="宋体" w:cs="Times New Roman"/>
          <w:b/>
          <w:sz w:val="32"/>
        </w:rPr>
      </w:pPr>
    </w:p>
    <w:p w14:paraId="52A5C007">
      <w:pPr>
        <w:snapToGrid w:val="0"/>
        <w:spacing w:before="120" w:line="312" w:lineRule="auto"/>
        <w:ind w:right="-341"/>
        <w:jc w:val="center"/>
        <w:rPr>
          <w:rFonts w:hint="eastAsia" w:ascii="Times New Roman" w:hAnsi="Times New Roman" w:eastAsia="宋体" w:cs="Times New Roman"/>
          <w:b/>
          <w:sz w:val="32"/>
        </w:rPr>
      </w:pPr>
    </w:p>
    <w:p w14:paraId="63DF1A92">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lang w:eastAsia="zh-CN"/>
        </w:rPr>
        <w:t>五</w:t>
      </w:r>
      <w:r>
        <w:rPr>
          <w:rFonts w:hint="eastAsia" w:ascii="Times New Roman" w:hAnsi="Times New Roman" w:eastAsia="宋体" w:cs="Times New Roman"/>
          <w:b/>
          <w:sz w:val="32"/>
        </w:rPr>
        <w:t>、投标函</w:t>
      </w:r>
    </w:p>
    <w:p w14:paraId="1EE7D573">
      <w:pPr>
        <w:snapToGrid w:val="0"/>
        <w:spacing w:line="312" w:lineRule="auto"/>
        <w:ind w:right="-341"/>
        <w:rPr>
          <w:rFonts w:ascii="Times New Roman" w:hAnsi="Times New Roman" w:eastAsia="宋体" w:cs="Times New Roman"/>
        </w:rPr>
      </w:pPr>
    </w:p>
    <w:p w14:paraId="1284A39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rPr>
        <w:t>：</w:t>
      </w:r>
    </w:p>
    <w:p w14:paraId="5E549DD0">
      <w:pPr>
        <w:snapToGrid w:val="0"/>
        <w:spacing w:line="312" w:lineRule="auto"/>
        <w:ind w:right="-341" w:firstLine="480"/>
        <w:rPr>
          <w:rFonts w:ascii="Times New Roman" w:hAnsi="Times New Roman" w:eastAsia="宋体" w:cs="Times New Roman"/>
          <w:szCs w:val="21"/>
        </w:rPr>
      </w:pPr>
      <w:r>
        <w:rPr>
          <w:rFonts w:hint="eastAsia" w:ascii="Times New Roman" w:hAnsi="Times New Roman" w:eastAsia="宋体" w:cs="Times New Roman"/>
        </w:rPr>
        <w:t>根据贵方为</w:t>
      </w:r>
      <w:r>
        <w:rPr>
          <w:rFonts w:hint="eastAsia" w:ascii="Times New Roman" w:hAnsi="Times New Roman" w:eastAsia="宋体" w:cs="Times New Roman"/>
          <w:u w:val="single"/>
        </w:rPr>
        <w:t xml:space="preserve">               </w:t>
      </w:r>
      <w:r>
        <w:rPr>
          <w:rFonts w:hint="eastAsia" w:ascii="Times New Roman" w:hAnsi="Times New Roman" w:eastAsia="宋体" w:cs="Times New Roman"/>
        </w:rPr>
        <w:t>项目的招标公告（项目编号：</w:t>
      </w:r>
      <w:r>
        <w:rPr>
          <w:rFonts w:ascii="Times New Roman" w:hAnsi="Times New Roman" w:eastAsia="宋体" w:cs="Times New Roman"/>
        </w:rPr>
        <w:t>____</w:t>
      </w:r>
      <w:r>
        <w:rPr>
          <w:rFonts w:ascii="Times New Roman" w:hAnsi="Times New Roman" w:eastAsia="宋体" w:cs="Times New Roman"/>
          <w:u w:val="single"/>
        </w:rPr>
        <w:t>__</w:t>
      </w:r>
      <w:r>
        <w:rPr>
          <w:rFonts w:ascii="Times New Roman" w:hAnsi="Times New Roman" w:eastAsia="宋体" w:cs="Times New Roman"/>
        </w:rPr>
        <w:t>_</w:t>
      </w:r>
      <w:r>
        <w:rPr>
          <w:rFonts w:hint="eastAsia" w:ascii="Times New Roman" w:hAnsi="Times New Roman" w:eastAsia="宋体" w:cs="Times New Roman"/>
        </w:rPr>
        <w:t>），</w:t>
      </w:r>
      <w:r>
        <w:rPr>
          <w:rFonts w:hint="eastAsia" w:ascii="Times New Roman" w:hAnsi="Times New Roman" w:eastAsia="宋体" w:cs="Times New Roman"/>
          <w:spacing w:val="-4"/>
          <w:kern w:val="0"/>
          <w:szCs w:val="21"/>
        </w:rPr>
        <w:t>同意如下：</w:t>
      </w:r>
    </w:p>
    <w:p w14:paraId="62B48097">
      <w:pPr>
        <w:widowControl/>
        <w:spacing w:line="360" w:lineRule="auto"/>
        <w:ind w:right="-341" w:firstLine="387" w:firstLineChars="192"/>
        <w:rPr>
          <w:rFonts w:ascii="Times New Roman" w:hAnsi="Times New Roman" w:eastAsia="宋体" w:cs="Times New Roman"/>
          <w:spacing w:val="-4"/>
          <w:kern w:val="0"/>
          <w:szCs w:val="21"/>
        </w:rPr>
      </w:pPr>
      <w:r>
        <w:rPr>
          <w:rFonts w:ascii="Times New Roman" w:hAnsi="Times New Roman" w:eastAsia="宋体" w:cs="Times New Roman"/>
          <w:spacing w:val="-4"/>
          <w:kern w:val="0"/>
          <w:szCs w:val="21"/>
        </w:rPr>
        <w:t>1.</w:t>
      </w:r>
      <w:r>
        <w:rPr>
          <w:rFonts w:hint="eastAsia" w:ascii="Times New Roman" w:hAnsi="Times New Roman" w:eastAsia="宋体" w:cs="Times New Roman"/>
          <w:spacing w:val="-4"/>
          <w:kern w:val="0"/>
          <w:szCs w:val="21"/>
        </w:rPr>
        <w:t>我方已详细审查了采购文件的全部内容及其相关补充文件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，并完全清晰理解全部内容及相关的补充文件</w:t>
      </w:r>
      <w:r>
        <w:rPr>
          <w:rFonts w:hint="eastAsia" w:ascii="Times New Roman" w:hAnsi="Times New Roman" w:eastAsia="宋体" w:cs="Times New Roman"/>
          <w:b/>
          <w:spacing w:val="-4"/>
          <w:kern w:val="0"/>
          <w:szCs w:val="21"/>
        </w:rPr>
        <w:t>（如有）</w:t>
      </w:r>
      <w:r>
        <w:rPr>
          <w:rFonts w:hint="eastAsia" w:ascii="Times New Roman" w:hAnsi="Times New Roman" w:eastAsia="宋体" w:cs="Times New Roman"/>
          <w:spacing w:val="-4"/>
          <w:kern w:val="0"/>
          <w:szCs w:val="21"/>
        </w:rPr>
        <w:t>，不存在任何误解之处，同意放弃提出异议和质疑的权利。</w:t>
      </w:r>
    </w:p>
    <w:p w14:paraId="30F50DDD">
      <w:pPr>
        <w:snapToGrid w:val="0"/>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2.</w:t>
      </w:r>
      <w:r>
        <w:rPr>
          <w:rFonts w:hint="eastAsia" w:ascii="Times New Roman" w:hAnsi="Times New Roman" w:eastAsia="宋体" w:cs="Times New Roman"/>
          <w:spacing w:val="-4"/>
          <w:szCs w:val="21"/>
        </w:rPr>
        <w:t>我方遵守《中华人民共和国政府采购法》及相关法律法规的规定。同意采购文件中所提到的无效标条款，并服从有关开标会议纪律。否则，同意被废除投标资格。</w:t>
      </w:r>
    </w:p>
    <w:p w14:paraId="5514FB16">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3.</w:t>
      </w:r>
      <w:r>
        <w:rPr>
          <w:rFonts w:hint="eastAsia" w:ascii="Times New Roman" w:hAnsi="Times New Roman" w:eastAsia="宋体" w:cs="Times New Roman"/>
          <w:spacing w:val="-4"/>
          <w:szCs w:val="21"/>
        </w:rPr>
        <w:t>我方所提供的一次性投标产品报价均具充分的合理性和准确性，保证不存在低于成本的恶意报价行为，同时清楚理解到报价最低并非意味着必定获得合同授予资格。</w:t>
      </w:r>
    </w:p>
    <w:p w14:paraId="40D8057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4.</w:t>
      </w:r>
      <w:r>
        <w:rPr>
          <w:rFonts w:hint="eastAsia" w:ascii="Times New Roman" w:hAnsi="Times New Roman" w:eastAsia="宋体" w:cs="Times New Roman"/>
          <w:spacing w:val="-4"/>
          <w:szCs w:val="21"/>
        </w:rPr>
        <w:t>投标有效期为自开标之日起</w:t>
      </w:r>
      <w:r>
        <w:rPr>
          <w:rFonts w:ascii="Times New Roman" w:hAnsi="Times New Roman" w:eastAsia="宋体" w:cs="Times New Roman"/>
          <w:spacing w:val="-4"/>
          <w:szCs w:val="21"/>
        </w:rPr>
        <w:t>9</w:t>
      </w:r>
      <w:r>
        <w:rPr>
          <w:rFonts w:ascii="Times New Roman" w:hAnsi="Times New Roman" w:eastAsia="宋体" w:cs="Times New Roman"/>
          <w:spacing w:val="-4"/>
          <w:szCs w:val="21"/>
          <w:u w:val="single"/>
        </w:rPr>
        <w:t>0</w:t>
      </w:r>
      <w:r>
        <w:rPr>
          <w:rFonts w:hint="eastAsia" w:ascii="Times New Roman" w:hAnsi="Times New Roman" w:eastAsia="宋体" w:cs="Times New Roman"/>
          <w:spacing w:val="-4"/>
          <w:szCs w:val="21"/>
        </w:rPr>
        <w:t>天内，如在投标有效期内撤回投标，我方同意被废除投标资格。</w:t>
      </w:r>
    </w:p>
    <w:p w14:paraId="3E193188">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5.</w:t>
      </w:r>
      <w:r>
        <w:rPr>
          <w:rFonts w:hint="eastAsia" w:ascii="Times New Roman" w:hAnsi="Times New Roman" w:eastAsia="宋体" w:cs="Times New Roman"/>
          <w:spacing w:val="-4"/>
          <w:szCs w:val="21"/>
        </w:rPr>
        <w:t>我方承诺</w:t>
      </w:r>
      <w:r>
        <w:rPr>
          <w:rFonts w:hint="eastAsia" w:ascii="Times New Roman" w:hAnsi="Times New Roman" w:eastAsia="宋体" w:cs="Times New Roman"/>
          <w:szCs w:val="21"/>
        </w:rPr>
        <w:t>参加政府采购活动前</w:t>
      </w:r>
      <w:r>
        <w:rPr>
          <w:rFonts w:ascii="Times New Roman" w:hAnsi="Times New Roman" w:eastAsia="宋体" w:cs="Times New Roman"/>
          <w:szCs w:val="21"/>
        </w:rPr>
        <w:t>3</w:t>
      </w:r>
      <w:r>
        <w:rPr>
          <w:rFonts w:hint="eastAsia" w:ascii="Times New Roman" w:hAnsi="Times New Roman" w:eastAsia="宋体" w:cs="Times New Roman"/>
          <w:szCs w:val="21"/>
        </w:rPr>
        <w:t>年内在经营活动中没有重大违法记录和依法缴纳了税收</w:t>
      </w:r>
      <w:r>
        <w:rPr>
          <w:rFonts w:hint="eastAsia" w:ascii="Times New Roman" w:hAnsi="Times New Roman" w:eastAsia="宋体" w:cs="Times New Roman"/>
          <w:spacing w:val="-4"/>
          <w:szCs w:val="21"/>
        </w:rPr>
        <w:t>（投标截止时间进行计算）。</w:t>
      </w:r>
    </w:p>
    <w:p w14:paraId="7820EF5C">
      <w:pPr>
        <w:spacing w:line="360" w:lineRule="auto"/>
        <w:ind w:right="-341" w:firstLine="404" w:firstLineChars="200"/>
        <w:rPr>
          <w:rFonts w:ascii="Times New Roman" w:hAnsi="Times New Roman" w:eastAsia="宋体" w:cs="Times New Roman"/>
          <w:szCs w:val="21"/>
        </w:rPr>
      </w:pPr>
      <w:r>
        <w:rPr>
          <w:rFonts w:ascii="Times New Roman" w:hAnsi="Times New Roman" w:eastAsia="宋体" w:cs="Times New Roman"/>
          <w:spacing w:val="-4"/>
          <w:szCs w:val="21"/>
        </w:rPr>
        <w:t>6.</w:t>
      </w:r>
      <w:r>
        <w:rPr>
          <w:rFonts w:hint="eastAsia" w:ascii="Times New Roman" w:hAnsi="Times New Roman" w:eastAsia="宋体" w:cs="Times New Roman"/>
          <w:spacing w:val="-4"/>
          <w:szCs w:val="21"/>
        </w:rPr>
        <w:t>我方承诺具备本项目</w:t>
      </w:r>
      <w:r>
        <w:rPr>
          <w:rFonts w:hint="eastAsia" w:ascii="Times New Roman" w:hAnsi="Times New Roman" w:eastAsia="宋体" w:cs="Times New Roman"/>
          <w:szCs w:val="21"/>
        </w:rPr>
        <w:t>履行合同所必需的设备和专业技术能力</w:t>
      </w:r>
    </w:p>
    <w:p w14:paraId="0E1EB96C">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7.</w:t>
      </w:r>
      <w:r>
        <w:rPr>
          <w:rFonts w:hint="eastAsia" w:ascii="Times New Roman" w:hAnsi="Times New Roman" w:eastAsia="宋体" w:cs="Times New Roman"/>
          <w:spacing w:val="-4"/>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238889D4">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8.</w:t>
      </w:r>
      <w:r>
        <w:rPr>
          <w:rFonts w:hint="eastAsia" w:ascii="Times New Roman" w:hAnsi="Times New Roman" w:eastAsia="宋体" w:cs="Times New Roman"/>
          <w:spacing w:val="-4"/>
          <w:szCs w:val="21"/>
        </w:rPr>
        <w:t>我方承诺至开标之日止，未被</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信用中国</w:t>
      </w:r>
      <w:r>
        <w:rPr>
          <w:rFonts w:ascii="Times New Roman" w:hAnsi="Times New Roman" w:eastAsia="宋体" w:cs="Times New Roman"/>
          <w:spacing w:val="-4"/>
          <w:szCs w:val="21"/>
        </w:rPr>
        <w:t>”</w:t>
      </w:r>
      <w:r>
        <w:rPr>
          <w:rFonts w:hint="eastAsia" w:ascii="Times New Roman" w:hAnsi="Times New Roman" w:eastAsia="宋体" w:cs="Times New Roman"/>
          <w:spacing w:val="-4"/>
          <w:szCs w:val="21"/>
        </w:rPr>
        <w:t>（</w:t>
      </w:r>
      <w:r>
        <w:rPr>
          <w:rFonts w:ascii="Times New Roman" w:hAnsi="Times New Roman" w:eastAsia="宋体" w:cs="Times New Roman"/>
          <w:spacing w:val="-4"/>
          <w:szCs w:val="21"/>
        </w:rPr>
        <w:t>www.creditchina.gov.cn</w:t>
      </w:r>
      <w:r>
        <w:rPr>
          <w:rFonts w:hint="eastAsia" w:ascii="Times New Roman" w:hAnsi="Times New Roman" w:eastAsia="宋体" w:cs="Times New Roman"/>
          <w:spacing w:val="-4"/>
          <w:szCs w:val="21"/>
        </w:rPr>
        <w:t>）、中国政府采购网（</w:t>
      </w:r>
      <w:r>
        <w:rPr>
          <w:rFonts w:ascii="Times New Roman" w:hAnsi="Times New Roman" w:eastAsia="宋体" w:cs="Times New Roman"/>
          <w:spacing w:val="-4"/>
          <w:szCs w:val="21"/>
        </w:rPr>
        <w:t>www.ccgp.gov.cn</w:t>
      </w:r>
      <w:r>
        <w:rPr>
          <w:rFonts w:hint="eastAsia" w:ascii="Times New Roman" w:hAnsi="Times New Roman" w:eastAsia="宋体" w:cs="Times New Roman"/>
          <w:spacing w:val="-4"/>
          <w:szCs w:val="21"/>
        </w:rPr>
        <w:t>）列入失信被执行人、重大税收违法案件当事人名单、政府采购严重违法失信行为记录名单。</w:t>
      </w:r>
    </w:p>
    <w:p w14:paraId="52672A58">
      <w:pPr>
        <w:snapToGrid w:val="0"/>
        <w:spacing w:line="360" w:lineRule="auto"/>
        <w:ind w:right="-341" w:firstLine="420" w:firstLineChars="200"/>
        <w:rPr>
          <w:rFonts w:ascii="Times New Roman" w:hAnsi="Times New Roman" w:eastAsia="宋体" w:cs="Times New Roman"/>
        </w:rPr>
      </w:pPr>
      <w:r>
        <w:rPr>
          <w:rFonts w:ascii="Times New Roman" w:hAnsi="Times New Roman" w:eastAsia="宋体" w:cs="Times New Roman"/>
        </w:rPr>
        <w:t>9.</w:t>
      </w:r>
      <w:r>
        <w:rPr>
          <w:rFonts w:hint="eastAsia" w:ascii="Times New Roman" w:hAnsi="Times New Roman" w:eastAsia="宋体" w:cs="Times New Roman"/>
        </w:rPr>
        <w:t>与本投标有关的一切正式往来信函请寄：</w:t>
      </w:r>
    </w:p>
    <w:p w14:paraId="3A0DBAB2">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地址：</w:t>
      </w:r>
      <w:r>
        <w:rPr>
          <w:rFonts w:ascii="Times New Roman" w:hAnsi="Times New Roman" w:eastAsia="宋体" w:cs="Times New Roman"/>
        </w:rPr>
        <w:t>__________</w:t>
      </w:r>
      <w:r>
        <w:rPr>
          <w:rFonts w:ascii="Times New Roman" w:hAnsi="Times New Roman" w:eastAsia="宋体" w:cs="Times New Roman"/>
          <w:u w:val="single"/>
        </w:rPr>
        <w:t>_</w:t>
      </w:r>
      <w:r>
        <w:rPr>
          <w:rFonts w:ascii="Times New Roman" w:hAnsi="Times New Roman" w:eastAsia="宋体" w:cs="Times New Roman"/>
        </w:rPr>
        <w:t>____</w:t>
      </w:r>
      <w:r>
        <w:rPr>
          <w:rFonts w:hint="eastAsia" w:ascii="Times New Roman" w:hAnsi="Times New Roman" w:eastAsia="宋体" w:cs="Times New Roman"/>
        </w:rPr>
        <w:t>邮编：</w:t>
      </w:r>
      <w:r>
        <w:rPr>
          <w:rFonts w:ascii="Times New Roman" w:hAnsi="Times New Roman" w:eastAsia="宋体" w:cs="Times New Roman"/>
        </w:rPr>
        <w:t>__________</w:t>
      </w:r>
      <w:r>
        <w:rPr>
          <w:rFonts w:hint="eastAsia" w:ascii="Times New Roman" w:hAnsi="Times New Roman" w:eastAsia="宋体" w:cs="Times New Roman"/>
        </w:rPr>
        <w:t>电话：</w:t>
      </w:r>
      <w:r>
        <w:rPr>
          <w:rFonts w:ascii="Times New Roman" w:hAnsi="Times New Roman" w:eastAsia="宋体" w:cs="Times New Roman"/>
        </w:rPr>
        <w:t>______________</w:t>
      </w:r>
    </w:p>
    <w:p w14:paraId="7334B071">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传真：</w:t>
      </w:r>
      <w:r>
        <w:rPr>
          <w:rFonts w:ascii="Times New Roman" w:hAnsi="Times New Roman" w:eastAsia="宋体" w:cs="Times New Roman"/>
        </w:rPr>
        <w:t>______________</w:t>
      </w:r>
      <w:r>
        <w:rPr>
          <w:rFonts w:hint="eastAsia" w:ascii="Times New Roman" w:hAnsi="Times New Roman" w:eastAsia="宋体" w:cs="Times New Roman"/>
        </w:rPr>
        <w:t>投标人代表姓名</w:t>
      </w:r>
      <w:r>
        <w:rPr>
          <w:rFonts w:ascii="Times New Roman" w:hAnsi="Times New Roman" w:eastAsia="宋体" w:cs="Times New Roman"/>
        </w:rPr>
        <w:t>___________</w:t>
      </w:r>
      <w:r>
        <w:rPr>
          <w:rFonts w:hint="eastAsia" w:ascii="Times New Roman" w:hAnsi="Times New Roman" w:eastAsia="宋体" w:cs="Times New Roman"/>
        </w:rPr>
        <w:t>职务：</w:t>
      </w:r>
      <w:r>
        <w:rPr>
          <w:rFonts w:ascii="Times New Roman" w:hAnsi="Times New Roman" w:eastAsia="宋体" w:cs="Times New Roman"/>
        </w:rPr>
        <w:t>_____________</w:t>
      </w:r>
    </w:p>
    <w:p w14:paraId="4E869637">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投标人名称</w:t>
      </w:r>
      <w:r>
        <w:rPr>
          <w:rFonts w:ascii="Times New Roman" w:hAnsi="Times New Roman" w:eastAsia="宋体" w:cs="Times New Roman"/>
        </w:rPr>
        <w:t>(</w:t>
      </w:r>
      <w:r>
        <w:rPr>
          <w:rFonts w:hint="eastAsia" w:ascii="Times New Roman" w:hAnsi="Times New Roman" w:eastAsia="宋体" w:cs="Times New Roman"/>
        </w:rPr>
        <w:t>公章</w:t>
      </w:r>
      <w:r>
        <w:rPr>
          <w:rFonts w:ascii="Times New Roman" w:hAnsi="Times New Roman" w:eastAsia="宋体" w:cs="Times New Roman"/>
        </w:rPr>
        <w:t>):___________________</w:t>
      </w:r>
    </w:p>
    <w:p w14:paraId="7ED5B193">
      <w:pPr>
        <w:snapToGrid w:val="0"/>
        <w:spacing w:line="312" w:lineRule="auto"/>
        <w:ind w:right="-341"/>
        <w:rPr>
          <w:rFonts w:ascii="Times New Roman" w:hAnsi="Times New Roman" w:eastAsia="宋体" w:cs="Times New Roman"/>
        </w:rPr>
      </w:pPr>
      <w:r>
        <w:rPr>
          <w:rFonts w:hint="eastAsia" w:ascii="Times New Roman" w:hAnsi="Times New Roman" w:eastAsia="宋体" w:cs="Times New Roman"/>
        </w:rPr>
        <w:t>开户银行：银行账号：</w:t>
      </w:r>
    </w:p>
    <w:p w14:paraId="2D7FA399">
      <w:pPr>
        <w:snapToGrid w:val="0"/>
        <w:ind w:right="-341"/>
        <w:rPr>
          <w:rFonts w:ascii="Times New Roman" w:hAnsi="Times New Roman" w:eastAsia="宋体" w:cs="Times New Roman"/>
        </w:rPr>
      </w:pPr>
    </w:p>
    <w:p w14:paraId="72DA270B">
      <w:pPr>
        <w:snapToGrid w:val="0"/>
        <w:spacing w:before="120" w:line="312" w:lineRule="auto"/>
        <w:ind w:right="-341" w:firstLine="2940" w:firstLineChars="1400"/>
        <w:rPr>
          <w:rFonts w:ascii="Times New Roman" w:hAnsi="Times New Roman" w:eastAsia="宋体" w:cs="Times New Roman"/>
        </w:rPr>
      </w:pPr>
      <w:r>
        <w:rPr>
          <w:rFonts w:hint="eastAsia" w:ascii="Times New Roman" w:hAnsi="Times New Roman" w:eastAsia="宋体" w:cs="Times New Roman"/>
        </w:rPr>
        <w:t>日期</w:t>
      </w:r>
      <w:r>
        <w:rPr>
          <w:rFonts w:ascii="Times New Roman" w:hAnsi="Times New Roman" w:eastAsia="宋体" w:cs="Times New Roman"/>
        </w:rPr>
        <w:t>:_____</w:t>
      </w:r>
      <w:r>
        <w:rPr>
          <w:rFonts w:hint="eastAsia" w:ascii="Times New Roman" w:hAnsi="Times New Roman" w:eastAsia="宋体" w:cs="Times New Roman"/>
        </w:rPr>
        <w:t>年</w:t>
      </w:r>
      <w:r>
        <w:rPr>
          <w:rFonts w:ascii="Times New Roman" w:hAnsi="Times New Roman" w:eastAsia="宋体" w:cs="Times New Roman"/>
        </w:rPr>
        <w:t>___</w:t>
      </w:r>
      <w:r>
        <w:rPr>
          <w:rFonts w:hint="eastAsia" w:ascii="Times New Roman" w:hAnsi="Times New Roman" w:eastAsia="宋体" w:cs="Times New Roman"/>
        </w:rPr>
        <w:t>月</w:t>
      </w:r>
      <w:r>
        <w:rPr>
          <w:rFonts w:ascii="Times New Roman" w:hAnsi="Times New Roman" w:eastAsia="宋体" w:cs="Times New Roman"/>
        </w:rPr>
        <w:t>___</w:t>
      </w:r>
      <w:r>
        <w:rPr>
          <w:rFonts w:hint="eastAsia" w:ascii="Times New Roman" w:hAnsi="Times New Roman" w:eastAsia="宋体" w:cs="Times New Roman"/>
        </w:rPr>
        <w:t>日</w:t>
      </w:r>
    </w:p>
    <w:p w14:paraId="6CA26124">
      <w:pPr>
        <w:snapToGrid w:val="0"/>
        <w:spacing w:line="312" w:lineRule="auto"/>
        <w:ind w:right="-341"/>
        <w:jc w:val="left"/>
        <w:rPr>
          <w:rFonts w:ascii="Times New Roman" w:hAnsi="Times New Roman" w:eastAsia="宋体" w:cs="Times New Roman"/>
          <w:b/>
          <w:sz w:val="24"/>
        </w:rPr>
      </w:pPr>
      <w:r>
        <w:rPr>
          <w:rFonts w:ascii="Times New Roman" w:hAnsi="Times New Roman" w:eastAsia="宋体" w:cs="Times New Roman"/>
          <w:kern w:val="0"/>
        </w:rPr>
        <w:br w:type="page"/>
      </w:r>
    </w:p>
    <w:p w14:paraId="337A949B">
      <w:pPr>
        <w:snapToGrid w:val="0"/>
        <w:spacing w:before="120" w:line="312" w:lineRule="auto"/>
        <w:ind w:right="-341"/>
        <w:jc w:val="center"/>
        <w:rPr>
          <w:rFonts w:ascii="Times New Roman" w:hAnsi="Times New Roman" w:eastAsia="宋体" w:cs="Times New Roman"/>
          <w:b/>
          <w:sz w:val="32"/>
        </w:rPr>
      </w:pPr>
    </w:p>
    <w:p w14:paraId="24F24988">
      <w:pPr>
        <w:snapToGrid w:val="0"/>
        <w:spacing w:before="120" w:beforeLines="50" w:after="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lang w:val="en-US" w:eastAsia="zh-CN"/>
        </w:rPr>
        <w:t>六</w:t>
      </w:r>
      <w:r>
        <w:rPr>
          <w:rFonts w:hint="eastAsia" w:ascii="Times New Roman" w:hAnsi="Times New Roman" w:eastAsia="宋体" w:cs="Times New Roman"/>
          <w:b/>
          <w:sz w:val="32"/>
          <w:szCs w:val="32"/>
        </w:rPr>
        <w:t>、声明函</w:t>
      </w:r>
    </w:p>
    <w:p w14:paraId="0B6CDE15">
      <w:pPr>
        <w:snapToGrid w:val="0"/>
        <w:spacing w:before="120" w:beforeLines="50" w:after="50" w:line="360" w:lineRule="auto"/>
        <w:rPr>
          <w:rFonts w:ascii="Times New Roman" w:hAnsi="Times New Roman" w:eastAsia="宋体" w:cs="Times New Roman"/>
          <w:szCs w:val="21"/>
        </w:rPr>
      </w:pPr>
    </w:p>
    <w:p w14:paraId="354E0324">
      <w:pPr>
        <w:snapToGrid w:val="0"/>
        <w:spacing w:before="120" w:beforeLines="50" w:after="50" w:line="360" w:lineRule="auto"/>
        <w:rPr>
          <w:rFonts w:ascii="Times New Roman" w:hAnsi="Times New Roman" w:eastAsia="宋体" w:cs="Times New Roman"/>
          <w:szCs w:val="21"/>
        </w:rPr>
      </w:pPr>
      <w:r>
        <w:rPr>
          <w:rFonts w:hint="eastAsia" w:ascii="Times New Roman" w:hAnsi="Times New Roman" w:eastAsia="宋体" w:cs="Times New Roman"/>
          <w:szCs w:val="21"/>
        </w:rPr>
        <w:t>致：</w:t>
      </w:r>
      <w:r>
        <w:rPr>
          <w:rFonts w:hint="eastAsia" w:ascii="Times New Roman" w:hAnsi="Times New Roman" w:eastAsia="宋体" w:cs="Times New Roman"/>
          <w:u w:val="single"/>
        </w:rPr>
        <w:t>深圳市国信招标有限公司</w:t>
      </w:r>
      <w:r>
        <w:rPr>
          <w:rFonts w:hint="eastAsia" w:ascii="Times New Roman" w:hAnsi="Times New Roman" w:eastAsia="宋体" w:cs="Times New Roman"/>
          <w:szCs w:val="21"/>
        </w:rPr>
        <w:t>：</w:t>
      </w:r>
    </w:p>
    <w:p w14:paraId="14629835">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imes New Roman" w:hAnsi="Times New Roman" w:eastAsia="宋体" w:cs="Times New Roman"/>
          <w:szCs w:val="21"/>
        </w:rPr>
        <w:t>/</w:t>
      </w:r>
      <w:r>
        <w:rPr>
          <w:rFonts w:hint="eastAsia" w:ascii="Times New Roman" w:hAnsi="Times New Roman" w:eastAsia="宋体" w:cs="Times New Roman"/>
          <w:szCs w:val="21"/>
        </w:rPr>
        <w:t>中标</w:t>
      </w:r>
      <w:r>
        <w:rPr>
          <w:rFonts w:ascii="Times New Roman" w:hAnsi="Times New Roman" w:eastAsia="宋体" w:cs="Times New Roman"/>
          <w:szCs w:val="21"/>
        </w:rPr>
        <w:t>/</w:t>
      </w:r>
      <w:r>
        <w:rPr>
          <w:rFonts w:hint="eastAsia" w:ascii="Times New Roman" w:hAnsi="Times New Roman" w:eastAsia="宋体" w:cs="Times New Roman"/>
          <w:szCs w:val="21"/>
        </w:rPr>
        <w:t>签订合同），我方对此无任何异议。</w:t>
      </w:r>
    </w:p>
    <w:p w14:paraId="690C1670">
      <w:pPr>
        <w:spacing w:after="120" w:line="360" w:lineRule="auto"/>
        <w:ind w:firstLine="480"/>
        <w:rPr>
          <w:rFonts w:ascii="Times New Roman" w:hAnsi="Times New Roman" w:eastAsia="宋体" w:cs="Times New Roman"/>
          <w:szCs w:val="21"/>
        </w:rPr>
      </w:pPr>
      <w:r>
        <w:rPr>
          <w:rFonts w:hint="eastAsia" w:ascii="Times New Roman" w:hAnsi="Times New Roman" w:eastAsia="宋体" w:cs="Times New Roman"/>
          <w:szCs w:val="21"/>
        </w:rPr>
        <w:t>特此声明！</w:t>
      </w:r>
    </w:p>
    <w:p w14:paraId="5E4E52A8">
      <w:pPr>
        <w:spacing w:after="120"/>
        <w:ind w:firstLine="480"/>
        <w:rPr>
          <w:rFonts w:ascii="Times New Roman" w:hAnsi="Times New Roman" w:eastAsia="宋体" w:cs="Times New Roman"/>
        </w:rPr>
      </w:pPr>
    </w:p>
    <w:p w14:paraId="13FC6307">
      <w:pPr>
        <w:snapToGrid w:val="0"/>
        <w:spacing w:before="120" w:beforeLines="50"/>
        <w:ind w:firstLine="200"/>
        <w:rPr>
          <w:rFonts w:ascii="Times New Roman" w:hAnsi="Times New Roman" w:eastAsia="宋体" w:cs="Times New Roman"/>
        </w:rPr>
      </w:pPr>
    </w:p>
    <w:p w14:paraId="7C2313F1">
      <w:pPr>
        <w:snapToGrid w:val="0"/>
        <w:spacing w:before="50" w:after="50"/>
        <w:rPr>
          <w:rFonts w:ascii="Times New Roman" w:hAnsi="Times New Roman" w:eastAsia="宋体" w:cs="Times New Roman"/>
        </w:rPr>
      </w:pPr>
    </w:p>
    <w:p w14:paraId="67E00E90">
      <w:pPr>
        <w:snapToGrid w:val="0"/>
        <w:ind w:left="2" w:right="-817" w:rightChars="-389"/>
        <w:rPr>
          <w:rFonts w:ascii="Times New Roman" w:hAnsi="Times New Roman" w:eastAsia="宋体" w:cs="Times New Roman"/>
        </w:rPr>
      </w:pPr>
    </w:p>
    <w:p w14:paraId="00892940">
      <w:pPr>
        <w:snapToGrid w:val="0"/>
        <w:spacing w:before="50" w:line="312" w:lineRule="auto"/>
        <w:jc w:val="left"/>
        <w:rPr>
          <w:rFonts w:ascii="Times New Roman" w:hAnsi="Times New Roman" w:eastAsia="宋体" w:cs="Times New Roman"/>
          <w:b/>
          <w:spacing w:val="20"/>
          <w:sz w:val="28"/>
        </w:rPr>
      </w:pPr>
      <w:r>
        <w:rPr>
          <w:rFonts w:hint="eastAsia" w:ascii="Times New Roman" w:hAnsi="Times New Roman" w:eastAsia="宋体" w:cs="Times New Roman"/>
        </w:rPr>
        <w:t>投标人名称（盖章）：日期：</w:t>
      </w:r>
    </w:p>
    <w:p w14:paraId="5BD1EE9E">
      <w:pPr>
        <w:snapToGrid w:val="0"/>
        <w:spacing w:before="120" w:beforeLines="50"/>
        <w:ind w:firstLine="200"/>
        <w:jc w:val="right"/>
        <w:rPr>
          <w:rFonts w:ascii="Times New Roman" w:hAnsi="Times New Roman" w:eastAsia="宋体" w:cs="Times New Roman"/>
          <w:szCs w:val="24"/>
        </w:rPr>
      </w:pPr>
    </w:p>
    <w:p w14:paraId="480E69BB">
      <w:pPr>
        <w:snapToGrid w:val="0"/>
        <w:spacing w:before="120" w:beforeLines="50" w:after="50"/>
        <w:ind w:firstLine="482" w:firstLineChars="200"/>
        <w:jc w:val="left"/>
        <w:rPr>
          <w:rFonts w:ascii="Times New Roman" w:hAnsi="Times New Roman" w:eastAsia="宋体" w:cs="Times New Roman"/>
          <w:b/>
          <w:bCs/>
          <w:sz w:val="24"/>
        </w:rPr>
      </w:pPr>
    </w:p>
    <w:p w14:paraId="50EC58B8">
      <w:pPr>
        <w:snapToGrid w:val="0"/>
        <w:spacing w:before="120" w:beforeLines="50"/>
        <w:ind w:left="5250" w:firstLine="200"/>
        <w:jc w:val="right"/>
        <w:rPr>
          <w:rFonts w:ascii="Times New Roman" w:hAnsi="Times New Roman" w:eastAsia="宋体" w:cs="Times New Roman"/>
          <w:szCs w:val="24"/>
        </w:rPr>
      </w:pPr>
    </w:p>
    <w:p w14:paraId="7D855147">
      <w:pPr>
        <w:snapToGrid w:val="0"/>
        <w:spacing w:before="120" w:line="312" w:lineRule="auto"/>
        <w:ind w:right="-341"/>
        <w:jc w:val="center"/>
        <w:rPr>
          <w:rFonts w:ascii="Times New Roman" w:hAnsi="Times New Roman" w:eastAsia="宋体" w:cs="Times New Roman"/>
          <w:b/>
          <w:sz w:val="32"/>
        </w:rPr>
      </w:pPr>
    </w:p>
    <w:p w14:paraId="1E4DF01B">
      <w:pPr>
        <w:snapToGrid w:val="0"/>
        <w:spacing w:before="120" w:line="312" w:lineRule="auto"/>
        <w:ind w:right="-341"/>
        <w:jc w:val="center"/>
        <w:rPr>
          <w:rFonts w:ascii="Times New Roman" w:hAnsi="Times New Roman" w:eastAsia="宋体" w:cs="Times New Roman"/>
          <w:b/>
          <w:sz w:val="32"/>
        </w:rPr>
      </w:pPr>
    </w:p>
    <w:p w14:paraId="1A65BD11">
      <w:pPr>
        <w:snapToGrid w:val="0"/>
        <w:spacing w:before="120" w:line="312" w:lineRule="auto"/>
        <w:ind w:right="-341"/>
        <w:jc w:val="center"/>
        <w:rPr>
          <w:rFonts w:ascii="Times New Roman" w:hAnsi="Times New Roman" w:eastAsia="宋体" w:cs="Times New Roman"/>
          <w:b/>
          <w:sz w:val="32"/>
        </w:rPr>
      </w:pPr>
    </w:p>
    <w:p w14:paraId="0D83CD22">
      <w:pPr>
        <w:snapToGrid w:val="0"/>
        <w:spacing w:before="120" w:line="312" w:lineRule="auto"/>
        <w:ind w:right="-341"/>
        <w:jc w:val="center"/>
        <w:rPr>
          <w:rFonts w:ascii="Times New Roman" w:hAnsi="Times New Roman" w:eastAsia="宋体" w:cs="Times New Roman"/>
          <w:b/>
          <w:sz w:val="32"/>
        </w:rPr>
      </w:pPr>
    </w:p>
    <w:p w14:paraId="4985387D">
      <w:pPr>
        <w:snapToGrid w:val="0"/>
        <w:spacing w:line="312" w:lineRule="auto"/>
        <w:jc w:val="left"/>
        <w:rPr>
          <w:rFonts w:ascii="Times New Roman" w:hAnsi="Times New Roman" w:eastAsia="宋体" w:cs="Times New Roman"/>
          <w:b/>
          <w:sz w:val="32"/>
        </w:rPr>
      </w:pPr>
    </w:p>
    <w:p w14:paraId="69456BDF">
      <w:pPr>
        <w:snapToGrid w:val="0"/>
        <w:spacing w:line="312" w:lineRule="auto"/>
        <w:jc w:val="left"/>
        <w:rPr>
          <w:rFonts w:ascii="Times New Roman" w:hAnsi="Times New Roman" w:eastAsia="宋体" w:cs="Times New Roman"/>
          <w:b/>
          <w:sz w:val="32"/>
        </w:rPr>
      </w:pPr>
    </w:p>
    <w:p w14:paraId="3D36445B">
      <w:pPr>
        <w:snapToGrid w:val="0"/>
        <w:spacing w:line="312" w:lineRule="auto"/>
        <w:jc w:val="left"/>
        <w:rPr>
          <w:rFonts w:ascii="Times New Roman" w:hAnsi="Times New Roman" w:eastAsia="宋体" w:cs="Times New Roman"/>
          <w:b/>
          <w:sz w:val="32"/>
        </w:rPr>
      </w:pPr>
    </w:p>
    <w:p w14:paraId="006CF22C">
      <w:pPr>
        <w:snapToGrid w:val="0"/>
        <w:spacing w:line="312" w:lineRule="auto"/>
        <w:jc w:val="left"/>
        <w:rPr>
          <w:rFonts w:ascii="Times New Roman" w:hAnsi="Times New Roman" w:eastAsia="宋体" w:cs="Times New Roman"/>
          <w:b/>
          <w:sz w:val="32"/>
        </w:rPr>
      </w:pPr>
    </w:p>
    <w:p w14:paraId="3B0A16EE">
      <w:pPr>
        <w:snapToGrid w:val="0"/>
        <w:spacing w:line="312" w:lineRule="auto"/>
        <w:jc w:val="left"/>
        <w:rPr>
          <w:rFonts w:ascii="Times New Roman" w:hAnsi="Times New Roman" w:eastAsia="宋体" w:cs="Times New Roman"/>
          <w:b/>
          <w:sz w:val="32"/>
        </w:rPr>
      </w:pPr>
    </w:p>
    <w:p w14:paraId="57A9D4E3">
      <w:pPr>
        <w:snapToGrid w:val="0"/>
        <w:spacing w:line="312" w:lineRule="auto"/>
        <w:jc w:val="left"/>
        <w:rPr>
          <w:rFonts w:ascii="Times New Roman" w:hAnsi="Times New Roman" w:eastAsia="宋体" w:cs="Times New Roman"/>
          <w:b/>
          <w:sz w:val="32"/>
        </w:rPr>
      </w:pPr>
    </w:p>
    <w:p w14:paraId="07CBF3EC">
      <w:pPr>
        <w:snapToGrid w:val="0"/>
        <w:spacing w:line="312" w:lineRule="auto"/>
        <w:jc w:val="left"/>
        <w:rPr>
          <w:rFonts w:ascii="Times New Roman" w:hAnsi="Times New Roman" w:eastAsia="宋体" w:cs="Times New Roman"/>
          <w:b/>
          <w:sz w:val="24"/>
        </w:rPr>
      </w:pPr>
    </w:p>
    <w:p w14:paraId="1BB5E1E5">
      <w:pPr>
        <w:snapToGrid w:val="0"/>
        <w:spacing w:line="312" w:lineRule="auto"/>
        <w:jc w:val="left"/>
        <w:rPr>
          <w:rFonts w:ascii="Times New Roman" w:hAnsi="Times New Roman" w:eastAsia="宋体" w:cs="Times New Roman"/>
          <w:b/>
          <w:sz w:val="24"/>
        </w:rPr>
      </w:pPr>
    </w:p>
    <w:p w14:paraId="19440902">
      <w:pPr>
        <w:jc w:val="center"/>
        <w:rPr>
          <w:rFonts w:ascii="Times New Roman" w:hAnsi="Times New Roman" w:eastAsia="宋体" w:cs="Times New Roman"/>
          <w:b/>
          <w:spacing w:val="20"/>
          <w:sz w:val="28"/>
        </w:rPr>
      </w:pPr>
    </w:p>
    <w:p w14:paraId="46ED2907">
      <w:pPr>
        <w:jc w:val="center"/>
        <w:rPr>
          <w:rFonts w:ascii="Times New Roman" w:hAnsi="Times New Roman" w:eastAsia="宋体" w:cs="Times New Roman"/>
          <w:sz w:val="30"/>
          <w:szCs w:val="30"/>
        </w:rPr>
      </w:pPr>
      <w:r>
        <w:rPr>
          <w:rFonts w:hint="eastAsia" w:ascii="Times New Roman" w:hAnsi="Times New Roman" w:eastAsia="宋体" w:cs="Times New Roman"/>
          <w:b/>
          <w:spacing w:val="20"/>
          <w:sz w:val="28"/>
          <w:lang w:val="en-US" w:eastAsia="zh-CN"/>
        </w:rPr>
        <w:t>七</w:t>
      </w:r>
      <w:r>
        <w:rPr>
          <w:rFonts w:hint="eastAsia" w:ascii="Times New Roman" w:hAnsi="Times New Roman" w:eastAsia="宋体" w:cs="Times New Roman"/>
          <w:b/>
          <w:spacing w:val="20"/>
          <w:sz w:val="28"/>
        </w:rPr>
        <w:t>、</w:t>
      </w:r>
      <w:r>
        <w:rPr>
          <w:rFonts w:hint="eastAsia" w:ascii="Times New Roman" w:hAnsi="Times New Roman" w:eastAsia="宋体" w:cs="Times New Roman"/>
          <w:b/>
          <w:bCs/>
          <w:sz w:val="30"/>
          <w:szCs w:val="30"/>
        </w:rPr>
        <w:t>廉政承诺书</w:t>
      </w:r>
    </w:p>
    <w:p w14:paraId="70547B83">
      <w:pPr>
        <w:rPr>
          <w:rFonts w:ascii="Times New Roman" w:hAnsi="Times New Roman" w:eastAsia="宋体" w:cs="Times New Roman"/>
          <w:b/>
          <w:bCs/>
          <w:sz w:val="28"/>
          <w:szCs w:val="28"/>
        </w:rPr>
      </w:pPr>
    </w:p>
    <w:p w14:paraId="18693789">
      <w:pPr>
        <w:rPr>
          <w:rFonts w:ascii="Times New Roman" w:hAnsi="Times New Roman" w:eastAsia="宋体" w:cs="Times New Roman"/>
          <w:b/>
          <w:bCs/>
          <w:szCs w:val="21"/>
        </w:rPr>
      </w:pPr>
      <w:r>
        <w:rPr>
          <w:rFonts w:hint="eastAsia" w:ascii="Times New Roman" w:hAnsi="Times New Roman" w:eastAsia="宋体" w:cs="Times New Roman"/>
          <w:b/>
          <w:bCs/>
          <w:szCs w:val="21"/>
        </w:rPr>
        <w:t>致：</w:t>
      </w:r>
      <w:r>
        <w:rPr>
          <w:rFonts w:hint="eastAsia" w:ascii="Times New Roman" w:hAnsi="Times New Roman" w:eastAsia="宋体" w:cs="Times New Roman"/>
          <w:b/>
          <w:bCs/>
          <w:szCs w:val="21"/>
          <w:u w:val="single"/>
        </w:rPr>
        <w:t>深圳市国信招标有限公司</w:t>
      </w:r>
      <w:r>
        <w:rPr>
          <w:rFonts w:hint="eastAsia" w:ascii="Times New Roman" w:hAnsi="Times New Roman" w:eastAsia="宋体" w:cs="Times New Roman"/>
          <w:b/>
          <w:bCs/>
          <w:szCs w:val="21"/>
        </w:rPr>
        <w:t>：</w:t>
      </w:r>
    </w:p>
    <w:p w14:paraId="01630BEA">
      <w:pPr>
        <w:spacing w:line="360" w:lineRule="auto"/>
        <w:ind w:firstLine="420" w:firstLineChars="200"/>
        <w:rPr>
          <w:rFonts w:ascii="Times New Roman" w:hAnsi="Times New Roman" w:eastAsia="宋体" w:cs="Times New Roman"/>
          <w:szCs w:val="21"/>
        </w:rPr>
      </w:pPr>
    </w:p>
    <w:p w14:paraId="1AAF6443">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我单位响应你单位</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项目招标要求参加投标，在这次投标过程中和中标后，我们将严格遵守国家法律法规要求，并郑重承诺</w:t>
      </w:r>
      <w:r>
        <w:rPr>
          <w:rFonts w:ascii="Times New Roman" w:hAnsi="Times New Roman" w:eastAsia="宋体" w:cs="Times New Roman"/>
          <w:szCs w:val="21"/>
        </w:rPr>
        <w:t>:</w:t>
      </w:r>
    </w:p>
    <w:p w14:paraId="071BCE2A">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一、不向项目有关人员及部门赠送礼金礼物、有价证券、回扣以及中介费、介绍费、咨询费等好处费。</w:t>
      </w:r>
    </w:p>
    <w:p w14:paraId="60587A3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二、不为项目有关人员及部门报销应由你方单位或个人支付的费用</w:t>
      </w:r>
      <w:r>
        <w:rPr>
          <w:rFonts w:ascii="Times New Roman" w:hAnsi="Times New Roman" w:eastAsia="宋体" w:cs="Times New Roman"/>
          <w:szCs w:val="21"/>
        </w:rPr>
        <w:t>;</w:t>
      </w:r>
    </w:p>
    <w:p w14:paraId="02E08EE8">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三、不向项目有关人员及部门提供有可能影响公正的宴请和健身娱乐等活动</w:t>
      </w:r>
      <w:r>
        <w:rPr>
          <w:rFonts w:ascii="Times New Roman" w:hAnsi="Times New Roman" w:eastAsia="宋体" w:cs="Times New Roman"/>
          <w:szCs w:val="21"/>
        </w:rPr>
        <w:t>;</w:t>
      </w:r>
    </w:p>
    <w:p w14:paraId="324D9709">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四、不为项目有关人员及部门出国</w:t>
      </w:r>
      <w:r>
        <w:rPr>
          <w:rFonts w:ascii="Times New Roman" w:hAnsi="Times New Roman" w:eastAsia="宋体" w:cs="Times New Roman"/>
          <w:szCs w:val="21"/>
        </w:rPr>
        <w:t>(</w:t>
      </w:r>
      <w:r>
        <w:rPr>
          <w:rFonts w:hint="eastAsia" w:ascii="Times New Roman" w:hAnsi="Times New Roman" w:eastAsia="宋体" w:cs="Times New Roman"/>
          <w:szCs w:val="21"/>
        </w:rPr>
        <w:t>境</w:t>
      </w:r>
      <w:r>
        <w:rPr>
          <w:rFonts w:ascii="Times New Roman" w:hAnsi="Times New Roman" w:eastAsia="宋体" w:cs="Times New Roman"/>
          <w:szCs w:val="21"/>
        </w:rPr>
        <w:t>)</w:t>
      </w:r>
      <w:r>
        <w:rPr>
          <w:rFonts w:hint="eastAsia" w:ascii="Times New Roman" w:hAnsi="Times New Roman" w:eastAsia="宋体" w:cs="Times New Roman"/>
          <w:szCs w:val="21"/>
        </w:rPr>
        <w:t>、旅游等提供方便；</w:t>
      </w:r>
    </w:p>
    <w:p w14:paraId="24832E7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五、不为项目有关人员个人装修住房、婚丧嫁娶、配偶子女工作安排等提供好处</w:t>
      </w:r>
      <w:r>
        <w:rPr>
          <w:rFonts w:ascii="Times New Roman" w:hAnsi="Times New Roman" w:eastAsia="宋体" w:cs="Times New Roman"/>
          <w:szCs w:val="21"/>
        </w:rPr>
        <w:t>;</w:t>
      </w:r>
    </w:p>
    <w:p w14:paraId="6B581A1F">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六、严格遵守政府采购法、民法典等法律，诚实守信，合法经营，坚决抵制各种违法违纪行为。</w:t>
      </w:r>
    </w:p>
    <w:p w14:paraId="4F83033B">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14:paraId="4D9B1D17">
      <w:pPr>
        <w:rPr>
          <w:rFonts w:ascii="Times New Roman" w:hAnsi="Times New Roman" w:eastAsia="宋体" w:cs="Times New Roman"/>
          <w:szCs w:val="21"/>
        </w:rPr>
      </w:pPr>
    </w:p>
    <w:p w14:paraId="3453E81A">
      <w:pPr>
        <w:rPr>
          <w:rFonts w:ascii="Times New Roman" w:hAnsi="Times New Roman" w:eastAsia="宋体" w:cs="Times New Roman"/>
          <w:szCs w:val="21"/>
        </w:rPr>
      </w:pPr>
    </w:p>
    <w:p w14:paraId="02F42063">
      <w:pPr>
        <w:rPr>
          <w:rFonts w:ascii="Times New Roman" w:hAnsi="Times New Roman" w:eastAsia="宋体" w:cs="Times New Roman"/>
          <w:szCs w:val="21"/>
        </w:rPr>
      </w:pPr>
      <w:r>
        <w:rPr>
          <w:rFonts w:hint="eastAsia" w:ascii="Times New Roman" w:hAnsi="Times New Roman" w:eastAsia="宋体" w:cs="Times New Roman"/>
          <w:szCs w:val="21"/>
        </w:rPr>
        <w:t>投标人</w:t>
      </w:r>
      <w:r>
        <w:rPr>
          <w:rFonts w:ascii="Times New Roman" w:hAnsi="Times New Roman" w:eastAsia="宋体" w:cs="Times New Roman"/>
          <w:szCs w:val="21"/>
        </w:rPr>
        <w:t>:(</w:t>
      </w:r>
      <w:r>
        <w:rPr>
          <w:rFonts w:hint="eastAsia" w:ascii="Times New Roman" w:hAnsi="Times New Roman" w:eastAsia="宋体" w:cs="Times New Roman"/>
          <w:szCs w:val="21"/>
        </w:rPr>
        <w:t>盖章</w:t>
      </w:r>
      <w:r>
        <w:rPr>
          <w:rFonts w:ascii="Times New Roman" w:hAnsi="Times New Roman" w:eastAsia="宋体" w:cs="Times New Roman"/>
          <w:szCs w:val="21"/>
        </w:rPr>
        <w:t>)</w:t>
      </w:r>
    </w:p>
    <w:p w14:paraId="399C0442">
      <w:pPr>
        <w:rPr>
          <w:rFonts w:ascii="Times New Roman" w:hAnsi="Times New Roman" w:eastAsia="宋体" w:cs="Times New Roman"/>
          <w:szCs w:val="21"/>
        </w:rPr>
      </w:pPr>
    </w:p>
    <w:p w14:paraId="1CCD5F65">
      <w:pPr>
        <w:rPr>
          <w:rFonts w:ascii="Times New Roman" w:hAnsi="Times New Roman" w:eastAsia="宋体" w:cs="Times New Roman"/>
          <w:szCs w:val="21"/>
        </w:rPr>
      </w:pPr>
    </w:p>
    <w:p w14:paraId="0A97EC5E">
      <w:pPr>
        <w:rPr>
          <w:rFonts w:ascii="Times New Roman" w:hAnsi="Times New Roman" w:eastAsia="宋体" w:cs="Times New Roman"/>
          <w:szCs w:val="21"/>
        </w:rPr>
      </w:pPr>
    </w:p>
    <w:p w14:paraId="1B94C75C">
      <w:pPr>
        <w:rPr>
          <w:rFonts w:ascii="Times New Roman" w:hAnsi="Times New Roman" w:eastAsia="宋体" w:cs="Times New Roman"/>
          <w:szCs w:val="21"/>
        </w:rPr>
      </w:pPr>
    </w:p>
    <w:p w14:paraId="354D5329">
      <w:pPr>
        <w:rPr>
          <w:rFonts w:ascii="Times New Roman" w:hAnsi="Times New Roman" w:eastAsia="宋体" w:cs="Times New Roman"/>
          <w:szCs w:val="21"/>
        </w:rPr>
      </w:pPr>
    </w:p>
    <w:p w14:paraId="53D01D27">
      <w:pPr>
        <w:rPr>
          <w:rFonts w:ascii="Times New Roman" w:hAnsi="Times New Roman" w:eastAsia="宋体" w:cs="Times New Roman"/>
          <w:szCs w:val="21"/>
        </w:rPr>
      </w:pPr>
      <w:r>
        <w:rPr>
          <w:rFonts w:hint="eastAsia" w:ascii="Times New Roman" w:hAnsi="Times New Roman" w:eastAsia="宋体" w:cs="Times New Roman"/>
          <w:szCs w:val="21"/>
        </w:rPr>
        <w:t>日期</w:t>
      </w:r>
      <w:r>
        <w:rPr>
          <w:rFonts w:ascii="Times New Roman" w:hAnsi="Times New Roman" w:eastAsia="宋体" w:cs="Times New Roman"/>
          <w:szCs w:val="21"/>
        </w:rPr>
        <w:t>:</w:t>
      </w:r>
      <w:r>
        <w:rPr>
          <w:rFonts w:hint="eastAsia" w:ascii="Times New Roman" w:hAnsi="Times New Roman" w:eastAsia="宋体" w:cs="Times New Roman"/>
          <w:szCs w:val="21"/>
        </w:rPr>
        <w:t>年月日</w:t>
      </w:r>
    </w:p>
    <w:p w14:paraId="0E6D5FE3">
      <w:pPr>
        <w:snapToGrid w:val="0"/>
        <w:spacing w:before="50" w:line="312" w:lineRule="auto"/>
        <w:jc w:val="left"/>
        <w:rPr>
          <w:rFonts w:ascii="Times New Roman" w:hAnsi="Times New Roman" w:eastAsia="宋体" w:cs="Times New Roman"/>
          <w:b/>
          <w:spacing w:val="20"/>
          <w:sz w:val="28"/>
        </w:rPr>
      </w:pPr>
    </w:p>
    <w:p w14:paraId="72BCA3D8">
      <w:pPr>
        <w:snapToGrid w:val="0"/>
        <w:spacing w:before="120" w:line="312" w:lineRule="auto"/>
        <w:ind w:right="-341"/>
        <w:rPr>
          <w:rFonts w:ascii="Times New Roman" w:hAnsi="Times New Roman" w:eastAsia="宋体" w:cs="Times New Roman"/>
          <w:b/>
          <w:sz w:val="28"/>
          <w:szCs w:val="28"/>
        </w:rPr>
      </w:pPr>
    </w:p>
    <w:p w14:paraId="4687D07E">
      <w:pPr>
        <w:snapToGrid w:val="0"/>
        <w:spacing w:before="120" w:line="312" w:lineRule="auto"/>
        <w:ind w:right="-341"/>
        <w:rPr>
          <w:rFonts w:ascii="Times New Roman" w:hAnsi="Times New Roman" w:eastAsia="宋体" w:cs="Times New Roman"/>
          <w:b/>
          <w:sz w:val="28"/>
          <w:szCs w:val="28"/>
        </w:rPr>
      </w:pPr>
    </w:p>
    <w:p w14:paraId="2DB93365">
      <w:pPr>
        <w:snapToGrid w:val="0"/>
        <w:spacing w:before="120" w:line="312" w:lineRule="auto"/>
        <w:ind w:right="-341"/>
        <w:rPr>
          <w:rFonts w:ascii="Times New Roman" w:hAnsi="Times New Roman" w:eastAsia="宋体" w:cs="Times New Roman"/>
          <w:b/>
          <w:sz w:val="28"/>
          <w:szCs w:val="28"/>
        </w:rPr>
      </w:pPr>
    </w:p>
    <w:p w14:paraId="61BE57BC">
      <w:pPr>
        <w:snapToGrid w:val="0"/>
        <w:spacing w:before="120" w:line="312" w:lineRule="auto"/>
        <w:ind w:right="-341"/>
        <w:rPr>
          <w:rFonts w:ascii="Times New Roman" w:hAnsi="Times New Roman" w:eastAsia="宋体" w:cs="Times New Roman"/>
          <w:b/>
          <w:sz w:val="28"/>
          <w:szCs w:val="28"/>
        </w:rPr>
      </w:pPr>
    </w:p>
    <w:p w14:paraId="4F290C83">
      <w:pPr>
        <w:snapToGrid w:val="0"/>
        <w:spacing w:before="120" w:line="312" w:lineRule="auto"/>
        <w:ind w:right="-341"/>
        <w:rPr>
          <w:rFonts w:ascii="Times New Roman" w:hAnsi="Times New Roman" w:eastAsia="宋体" w:cs="Times New Roman"/>
          <w:b/>
          <w:sz w:val="28"/>
          <w:szCs w:val="28"/>
        </w:rPr>
      </w:pPr>
    </w:p>
    <w:p w14:paraId="7A9F5E45">
      <w:pPr>
        <w:snapToGrid w:val="0"/>
        <w:spacing w:before="120" w:line="312" w:lineRule="auto"/>
        <w:ind w:right="-341"/>
        <w:rPr>
          <w:rFonts w:ascii="Times New Roman" w:hAnsi="Times New Roman" w:eastAsia="宋体" w:cs="Times New Roman"/>
          <w:b/>
          <w:sz w:val="28"/>
          <w:szCs w:val="28"/>
        </w:rPr>
      </w:pPr>
    </w:p>
    <w:p w14:paraId="20968B21">
      <w:pPr>
        <w:snapToGrid w:val="0"/>
        <w:spacing w:before="50" w:line="312" w:lineRule="auto"/>
        <w:rPr>
          <w:rFonts w:ascii="Times New Roman" w:hAnsi="Times New Roman" w:eastAsia="宋体" w:cs="Times New Roman"/>
          <w:b/>
          <w:sz w:val="24"/>
        </w:rPr>
      </w:pPr>
    </w:p>
    <w:p w14:paraId="0CBF7A6D">
      <w:pPr>
        <w:snapToGrid w:val="0"/>
        <w:spacing w:before="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八、商务响应表：</w:t>
      </w:r>
    </w:p>
    <w:p w14:paraId="40D0D0F1">
      <w:pPr>
        <w:snapToGrid w:val="0"/>
        <w:spacing w:before="50" w:line="312" w:lineRule="auto"/>
        <w:jc w:val="center"/>
        <w:rPr>
          <w:rFonts w:ascii="Times New Roman" w:hAnsi="Times New Roman" w:eastAsia="宋体" w:cs="Times New Roman"/>
          <w:b/>
          <w:sz w:val="24"/>
        </w:rPr>
      </w:pPr>
    </w:p>
    <w:p w14:paraId="158DC0E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229905F6">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0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1"/>
        <w:gridCol w:w="2947"/>
        <w:gridCol w:w="1448"/>
        <w:gridCol w:w="2832"/>
      </w:tblGrid>
      <w:tr w14:paraId="2C09C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841" w:type="dxa"/>
            <w:tcBorders>
              <w:top w:val="single" w:color="auto" w:sz="4" w:space="0"/>
              <w:left w:val="single" w:color="auto" w:sz="4" w:space="0"/>
              <w:bottom w:val="single" w:color="auto" w:sz="4" w:space="0"/>
              <w:right w:val="single" w:color="auto" w:sz="4" w:space="0"/>
            </w:tcBorders>
            <w:vAlign w:val="center"/>
          </w:tcPr>
          <w:p w14:paraId="4032ED95">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项目</w:t>
            </w:r>
          </w:p>
        </w:tc>
        <w:tc>
          <w:tcPr>
            <w:tcW w:w="2947" w:type="dxa"/>
            <w:tcBorders>
              <w:top w:val="single" w:color="auto" w:sz="4" w:space="0"/>
              <w:left w:val="single" w:color="auto" w:sz="4" w:space="0"/>
              <w:bottom w:val="single" w:color="auto" w:sz="4" w:space="0"/>
              <w:right w:val="single" w:color="auto" w:sz="4" w:space="0"/>
            </w:tcBorders>
            <w:vAlign w:val="center"/>
          </w:tcPr>
          <w:p w14:paraId="23944D12">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招标文件要求</w:t>
            </w:r>
          </w:p>
        </w:tc>
        <w:tc>
          <w:tcPr>
            <w:tcW w:w="1448" w:type="dxa"/>
            <w:tcBorders>
              <w:top w:val="single" w:color="auto" w:sz="4" w:space="0"/>
              <w:left w:val="single" w:color="auto" w:sz="4" w:space="0"/>
              <w:bottom w:val="single" w:color="auto" w:sz="4" w:space="0"/>
              <w:right w:val="single" w:color="auto" w:sz="4" w:space="0"/>
            </w:tcBorders>
            <w:vAlign w:val="center"/>
          </w:tcPr>
          <w:p w14:paraId="58B204BD">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是否响应</w:t>
            </w:r>
          </w:p>
        </w:tc>
        <w:tc>
          <w:tcPr>
            <w:tcW w:w="2832" w:type="dxa"/>
            <w:tcBorders>
              <w:top w:val="single" w:color="auto" w:sz="4" w:space="0"/>
              <w:left w:val="single" w:color="auto" w:sz="4" w:space="0"/>
              <w:bottom w:val="single" w:color="auto" w:sz="4" w:space="0"/>
              <w:right w:val="single" w:color="auto" w:sz="4" w:space="0"/>
            </w:tcBorders>
            <w:vAlign w:val="center"/>
          </w:tcPr>
          <w:p w14:paraId="1836B121">
            <w:pPr>
              <w:snapToGrid w:val="0"/>
              <w:spacing w:before="120" w:beforeLines="50" w:line="312" w:lineRule="auto"/>
              <w:jc w:val="center"/>
              <w:rPr>
                <w:rFonts w:ascii="Times New Roman" w:hAnsi="Times New Roman" w:eastAsia="宋体" w:cs="Times New Roman"/>
                <w:b/>
              </w:rPr>
            </w:pPr>
            <w:r>
              <w:rPr>
                <w:rFonts w:hint="eastAsia" w:ascii="Times New Roman" w:hAnsi="Times New Roman" w:eastAsia="宋体" w:cs="Times New Roman"/>
                <w:b/>
              </w:rPr>
              <w:t>投标人的承诺或说明</w:t>
            </w:r>
          </w:p>
        </w:tc>
      </w:tr>
      <w:tr w14:paraId="3C156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41" w:type="dxa"/>
            <w:tcBorders>
              <w:top w:val="single" w:color="auto" w:sz="4" w:space="0"/>
              <w:left w:val="single" w:color="auto" w:sz="4" w:space="0"/>
              <w:bottom w:val="single" w:color="auto" w:sz="4" w:space="0"/>
              <w:right w:val="single" w:color="auto" w:sz="4" w:space="0"/>
            </w:tcBorders>
          </w:tcPr>
          <w:p w14:paraId="6FC9B78B">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54917F6A">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3D026231">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3C430C3F">
            <w:pPr>
              <w:snapToGrid w:val="0"/>
              <w:spacing w:before="120" w:beforeLines="50" w:after="360" w:line="312" w:lineRule="auto"/>
              <w:rPr>
                <w:rFonts w:ascii="Times New Roman" w:hAnsi="Times New Roman" w:eastAsia="宋体" w:cs="Times New Roman"/>
                <w:b/>
                <w:bCs/>
                <w:kern w:val="44"/>
                <w:sz w:val="24"/>
                <w:szCs w:val="20"/>
              </w:rPr>
            </w:pPr>
          </w:p>
        </w:tc>
      </w:tr>
      <w:tr w14:paraId="1ED93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41" w:type="dxa"/>
            <w:tcBorders>
              <w:top w:val="single" w:color="auto" w:sz="4" w:space="0"/>
              <w:left w:val="single" w:color="auto" w:sz="4" w:space="0"/>
              <w:bottom w:val="single" w:color="auto" w:sz="4" w:space="0"/>
              <w:right w:val="single" w:color="auto" w:sz="4" w:space="0"/>
            </w:tcBorders>
            <w:vAlign w:val="center"/>
          </w:tcPr>
          <w:p w14:paraId="1935CB9D">
            <w:pPr>
              <w:widowControl/>
              <w:tabs>
                <w:tab w:val="left" w:pos="420"/>
                <w:tab w:val="left" w:pos="1418"/>
              </w:tabs>
              <w:overflowPunct w:val="0"/>
              <w:autoSpaceDE w:val="0"/>
              <w:autoSpaceDN w:val="0"/>
              <w:adjustRightInd w:val="0"/>
              <w:snapToGrid w:val="0"/>
              <w:spacing w:line="312" w:lineRule="auto"/>
              <w:jc w:val="center"/>
              <w:textAlignment w:val="baseline"/>
              <w:rPr>
                <w:rFonts w:ascii="Times New Roman" w:hAnsi="Times New Roman" w:eastAsia="宋体" w:cs="Times New Roman"/>
                <w:kern w:val="0"/>
                <w:sz w:val="24"/>
              </w:rPr>
            </w:pPr>
          </w:p>
        </w:tc>
        <w:tc>
          <w:tcPr>
            <w:tcW w:w="2947" w:type="dxa"/>
            <w:tcBorders>
              <w:top w:val="single" w:color="auto" w:sz="4" w:space="0"/>
              <w:left w:val="single" w:color="auto" w:sz="4" w:space="0"/>
              <w:bottom w:val="single" w:color="auto" w:sz="4" w:space="0"/>
              <w:right w:val="single" w:color="auto" w:sz="4" w:space="0"/>
            </w:tcBorders>
          </w:tcPr>
          <w:p w14:paraId="762F6B86">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3C38FBBF">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2F89CD1C">
            <w:pPr>
              <w:snapToGrid w:val="0"/>
              <w:spacing w:before="120" w:beforeLines="50" w:after="360" w:line="312" w:lineRule="auto"/>
              <w:rPr>
                <w:rFonts w:ascii="Times New Roman" w:hAnsi="Times New Roman" w:eastAsia="宋体" w:cs="Times New Roman"/>
                <w:b/>
                <w:bCs/>
                <w:kern w:val="44"/>
                <w:sz w:val="24"/>
                <w:szCs w:val="20"/>
              </w:rPr>
            </w:pPr>
          </w:p>
        </w:tc>
      </w:tr>
      <w:tr w14:paraId="0703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1841" w:type="dxa"/>
            <w:tcBorders>
              <w:top w:val="single" w:color="auto" w:sz="4" w:space="0"/>
              <w:left w:val="single" w:color="auto" w:sz="4" w:space="0"/>
              <w:bottom w:val="single" w:color="auto" w:sz="4" w:space="0"/>
              <w:right w:val="single" w:color="auto" w:sz="4" w:space="0"/>
            </w:tcBorders>
            <w:vAlign w:val="center"/>
          </w:tcPr>
          <w:p w14:paraId="340979BB">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1E98613C">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557CB644">
            <w:pPr>
              <w:snapToGrid w:val="0"/>
              <w:spacing w:before="120" w:beforeLines="50" w:after="360" w:line="312" w:lineRule="auto"/>
              <w:ind w:left="43"/>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50311505">
            <w:pPr>
              <w:snapToGrid w:val="0"/>
              <w:spacing w:before="120" w:beforeLines="50" w:after="360" w:line="312" w:lineRule="auto"/>
              <w:ind w:left="43"/>
              <w:rPr>
                <w:rFonts w:ascii="Times New Roman" w:hAnsi="Times New Roman" w:eastAsia="宋体" w:cs="Times New Roman"/>
                <w:b/>
                <w:bCs/>
                <w:kern w:val="44"/>
                <w:sz w:val="24"/>
                <w:szCs w:val="20"/>
              </w:rPr>
            </w:pPr>
          </w:p>
        </w:tc>
      </w:tr>
      <w:tr w14:paraId="4A1D6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841" w:type="dxa"/>
            <w:tcBorders>
              <w:top w:val="single" w:color="auto" w:sz="4" w:space="0"/>
              <w:left w:val="single" w:color="auto" w:sz="4" w:space="0"/>
              <w:bottom w:val="single" w:color="auto" w:sz="4" w:space="0"/>
              <w:right w:val="single" w:color="auto" w:sz="4" w:space="0"/>
            </w:tcBorders>
            <w:vAlign w:val="center"/>
          </w:tcPr>
          <w:p w14:paraId="0817523E">
            <w:pPr>
              <w:snapToGrid w:val="0"/>
              <w:spacing w:line="312" w:lineRule="auto"/>
              <w:jc w:val="center"/>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5D0575E9">
            <w:pPr>
              <w:snapToGrid w:val="0"/>
              <w:spacing w:before="120" w:beforeLines="50" w:line="312" w:lineRule="auto"/>
              <w:rPr>
                <w:rFonts w:ascii="Times New Roman" w:hAnsi="Times New Roman" w:eastAsia="宋体" w:cs="Times New Roman"/>
                <w:sz w:val="24"/>
              </w:rPr>
            </w:pPr>
          </w:p>
        </w:tc>
        <w:tc>
          <w:tcPr>
            <w:tcW w:w="1448" w:type="dxa"/>
            <w:tcBorders>
              <w:top w:val="single" w:color="auto" w:sz="4" w:space="0"/>
              <w:left w:val="single" w:color="auto" w:sz="4" w:space="0"/>
              <w:bottom w:val="single" w:color="auto" w:sz="4" w:space="0"/>
              <w:right w:val="single" w:color="auto" w:sz="4" w:space="0"/>
            </w:tcBorders>
          </w:tcPr>
          <w:p w14:paraId="24E21BDE">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433EDE16">
            <w:pPr>
              <w:snapToGrid w:val="0"/>
              <w:spacing w:before="120" w:beforeLines="50" w:after="360" w:line="312" w:lineRule="auto"/>
              <w:rPr>
                <w:rFonts w:ascii="Times New Roman" w:hAnsi="Times New Roman" w:eastAsia="宋体" w:cs="Times New Roman"/>
                <w:b/>
                <w:bCs/>
                <w:kern w:val="44"/>
                <w:sz w:val="24"/>
                <w:szCs w:val="20"/>
              </w:rPr>
            </w:pPr>
          </w:p>
        </w:tc>
      </w:tr>
      <w:tr w14:paraId="1DEF8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5F5D14DF">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4EAFAEA9">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6812B554">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2EE15630">
            <w:pPr>
              <w:snapToGrid w:val="0"/>
              <w:spacing w:before="120" w:beforeLines="50" w:after="360" w:line="312" w:lineRule="auto"/>
              <w:rPr>
                <w:rFonts w:ascii="Times New Roman" w:hAnsi="Times New Roman" w:eastAsia="宋体" w:cs="Times New Roman"/>
                <w:b/>
                <w:bCs/>
                <w:kern w:val="44"/>
                <w:sz w:val="24"/>
                <w:szCs w:val="20"/>
              </w:rPr>
            </w:pPr>
          </w:p>
        </w:tc>
      </w:tr>
      <w:tr w14:paraId="5CF53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41" w:type="dxa"/>
            <w:tcBorders>
              <w:top w:val="single" w:color="auto" w:sz="4" w:space="0"/>
              <w:left w:val="single" w:color="auto" w:sz="4" w:space="0"/>
              <w:bottom w:val="single" w:color="auto" w:sz="4" w:space="0"/>
              <w:right w:val="single" w:color="auto" w:sz="4" w:space="0"/>
            </w:tcBorders>
          </w:tcPr>
          <w:p w14:paraId="54081AEA">
            <w:pPr>
              <w:snapToGrid w:val="0"/>
              <w:spacing w:before="120" w:beforeLines="50" w:line="312" w:lineRule="auto"/>
              <w:rPr>
                <w:rFonts w:ascii="Times New Roman" w:hAnsi="Times New Roman" w:eastAsia="宋体" w:cs="Times New Roman"/>
                <w:sz w:val="24"/>
              </w:rPr>
            </w:pPr>
          </w:p>
        </w:tc>
        <w:tc>
          <w:tcPr>
            <w:tcW w:w="2947" w:type="dxa"/>
            <w:tcBorders>
              <w:top w:val="single" w:color="auto" w:sz="4" w:space="0"/>
              <w:left w:val="single" w:color="auto" w:sz="4" w:space="0"/>
              <w:bottom w:val="single" w:color="auto" w:sz="4" w:space="0"/>
              <w:right w:val="single" w:color="auto" w:sz="4" w:space="0"/>
            </w:tcBorders>
          </w:tcPr>
          <w:p w14:paraId="3D90C61E">
            <w:pPr>
              <w:snapToGrid w:val="0"/>
              <w:spacing w:before="120" w:beforeLines="50" w:after="360" w:line="312" w:lineRule="auto"/>
              <w:rPr>
                <w:rFonts w:ascii="Times New Roman" w:hAnsi="Times New Roman" w:eastAsia="宋体" w:cs="Times New Roman"/>
                <w:b/>
                <w:bCs/>
                <w:kern w:val="44"/>
                <w:sz w:val="24"/>
                <w:szCs w:val="20"/>
              </w:rPr>
            </w:pPr>
          </w:p>
        </w:tc>
        <w:tc>
          <w:tcPr>
            <w:tcW w:w="1448" w:type="dxa"/>
            <w:tcBorders>
              <w:top w:val="single" w:color="auto" w:sz="4" w:space="0"/>
              <w:left w:val="single" w:color="auto" w:sz="4" w:space="0"/>
              <w:bottom w:val="single" w:color="auto" w:sz="4" w:space="0"/>
              <w:right w:val="single" w:color="auto" w:sz="4" w:space="0"/>
            </w:tcBorders>
          </w:tcPr>
          <w:p w14:paraId="7504B67C">
            <w:pPr>
              <w:snapToGrid w:val="0"/>
              <w:spacing w:before="120" w:beforeLines="50" w:after="360" w:line="312" w:lineRule="auto"/>
              <w:rPr>
                <w:rFonts w:ascii="Times New Roman" w:hAnsi="Times New Roman" w:eastAsia="宋体" w:cs="Times New Roman"/>
                <w:b/>
                <w:bCs/>
                <w:kern w:val="44"/>
                <w:sz w:val="24"/>
                <w:szCs w:val="20"/>
              </w:rPr>
            </w:pPr>
          </w:p>
        </w:tc>
        <w:tc>
          <w:tcPr>
            <w:tcW w:w="2832" w:type="dxa"/>
            <w:tcBorders>
              <w:top w:val="single" w:color="auto" w:sz="4" w:space="0"/>
              <w:left w:val="single" w:color="auto" w:sz="4" w:space="0"/>
              <w:bottom w:val="single" w:color="auto" w:sz="4" w:space="0"/>
              <w:right w:val="single" w:color="auto" w:sz="4" w:space="0"/>
            </w:tcBorders>
          </w:tcPr>
          <w:p w14:paraId="57B973B2">
            <w:pPr>
              <w:snapToGrid w:val="0"/>
              <w:spacing w:before="120" w:beforeLines="50" w:after="360" w:line="312" w:lineRule="auto"/>
              <w:rPr>
                <w:rFonts w:ascii="Times New Roman" w:hAnsi="Times New Roman" w:eastAsia="宋体" w:cs="Times New Roman"/>
                <w:b/>
                <w:bCs/>
                <w:kern w:val="44"/>
                <w:sz w:val="24"/>
                <w:szCs w:val="20"/>
              </w:rPr>
            </w:pPr>
          </w:p>
        </w:tc>
      </w:tr>
    </w:tbl>
    <w:p w14:paraId="3314FB5D">
      <w:pPr>
        <w:snapToGrid w:val="0"/>
        <w:spacing w:line="312" w:lineRule="auto"/>
        <w:ind w:left="642" w:hanging="642"/>
        <w:rPr>
          <w:rFonts w:ascii="Times New Roman" w:hAnsi="Times New Roman" w:eastAsia="宋体" w:cs="Times New Roman"/>
          <w:b/>
          <w:spacing w:val="20"/>
          <w:kern w:val="0"/>
          <w:sz w:val="28"/>
          <w:szCs w:val="20"/>
        </w:rPr>
      </w:pPr>
    </w:p>
    <w:p w14:paraId="08972162">
      <w:pPr>
        <w:widowControl/>
        <w:spacing w:line="312" w:lineRule="auto"/>
        <w:jc w:val="left"/>
        <w:rPr>
          <w:rFonts w:ascii="Times New Roman" w:hAnsi="Times New Roman" w:eastAsia="宋体" w:cs="Times New Roman"/>
          <w:kern w:val="0"/>
          <w:sz w:val="24"/>
        </w:rPr>
        <w:sectPr>
          <w:pgSz w:w="11906" w:h="16838"/>
          <w:pgMar w:top="1304" w:right="1531" w:bottom="1304" w:left="1531" w:header="1304" w:footer="1304" w:gutter="0"/>
          <w:cols w:space="720" w:num="1"/>
        </w:sectPr>
      </w:pPr>
    </w:p>
    <w:p w14:paraId="20740D4F">
      <w:pPr>
        <w:snapToGrid w:val="0"/>
        <w:spacing w:before="50" w:after="120" w:afterLines="50" w:line="312" w:lineRule="auto"/>
        <w:jc w:val="left"/>
        <w:rPr>
          <w:rFonts w:ascii="Times New Roman" w:hAnsi="Times New Roman" w:eastAsia="宋体" w:cs="Times New Roman"/>
          <w:sz w:val="24"/>
        </w:rPr>
      </w:pPr>
      <w:r>
        <w:rPr>
          <w:rFonts w:hint="eastAsia" w:ascii="Times New Roman" w:hAnsi="Times New Roman" w:eastAsia="宋体" w:cs="Times New Roman"/>
          <w:b/>
          <w:sz w:val="24"/>
        </w:rPr>
        <w:t>九、投标人的类似案例的业绩证明文件：</w:t>
      </w:r>
    </w:p>
    <w:p w14:paraId="1B910F5D">
      <w:pPr>
        <w:snapToGrid w:val="0"/>
        <w:spacing w:line="312" w:lineRule="auto"/>
        <w:ind w:left="420" w:hanging="420" w:hangingChars="200"/>
        <w:rPr>
          <w:rFonts w:ascii="Times New Roman" w:hAnsi="Times New Roman" w:eastAsia="宋体" w:cs="Times New Roman"/>
          <w:sz w:val="24"/>
        </w:rPr>
      </w:pPr>
      <w:r>
        <w:rPr>
          <w:rFonts w:hint="eastAsia" w:ascii="Times New Roman" w:hAnsi="Times New Roman" w:eastAsia="宋体" w:cs="Times New Roman"/>
        </w:rPr>
        <w:t>投标人同类项目实施情况一览表格式：（投标人同类项目合同复印件格式自拟）</w:t>
      </w:r>
    </w:p>
    <w:tbl>
      <w:tblPr>
        <w:tblStyle w:val="61"/>
        <w:tblW w:w="14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2"/>
        <w:gridCol w:w="5152"/>
        <w:gridCol w:w="4285"/>
      </w:tblGrid>
      <w:tr w14:paraId="3073E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622" w:type="dxa"/>
            <w:vMerge w:val="restart"/>
            <w:tcBorders>
              <w:top w:val="single" w:color="auto" w:sz="4" w:space="0"/>
              <w:left w:val="single" w:color="auto" w:sz="4" w:space="0"/>
              <w:bottom w:val="single" w:color="auto" w:sz="4" w:space="0"/>
              <w:right w:val="single" w:color="auto" w:sz="4" w:space="0"/>
            </w:tcBorders>
            <w:vAlign w:val="center"/>
          </w:tcPr>
          <w:p w14:paraId="3F5B4C3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采购单位名称</w:t>
            </w:r>
          </w:p>
        </w:tc>
        <w:tc>
          <w:tcPr>
            <w:tcW w:w="5152" w:type="dxa"/>
            <w:vMerge w:val="restart"/>
            <w:tcBorders>
              <w:top w:val="single" w:color="auto" w:sz="4" w:space="0"/>
              <w:left w:val="single" w:color="auto" w:sz="4" w:space="0"/>
              <w:bottom w:val="single" w:color="auto" w:sz="4" w:space="0"/>
              <w:right w:val="single" w:color="auto" w:sz="4" w:space="0"/>
            </w:tcBorders>
            <w:vAlign w:val="center"/>
          </w:tcPr>
          <w:p w14:paraId="12EF0D2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项目名称</w:t>
            </w:r>
          </w:p>
        </w:tc>
        <w:tc>
          <w:tcPr>
            <w:tcW w:w="4285" w:type="dxa"/>
            <w:vMerge w:val="restart"/>
            <w:tcBorders>
              <w:top w:val="single" w:color="auto" w:sz="4" w:space="0"/>
              <w:left w:val="single" w:color="auto" w:sz="4" w:space="0"/>
              <w:bottom w:val="single" w:color="auto" w:sz="4" w:space="0"/>
              <w:right w:val="single" w:color="auto" w:sz="4" w:space="0"/>
            </w:tcBorders>
            <w:vAlign w:val="center"/>
          </w:tcPr>
          <w:p w14:paraId="4985CA0F">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合同金额</w:t>
            </w:r>
          </w:p>
          <w:p w14:paraId="146E7338">
            <w:pPr>
              <w:snapToGrid w:val="0"/>
              <w:spacing w:line="312" w:lineRule="auto"/>
              <w:jc w:val="center"/>
              <w:rPr>
                <w:rFonts w:ascii="Times New Roman" w:hAnsi="Times New Roman" w:eastAsia="宋体" w:cs="Times New Roman"/>
                <w:szCs w:val="21"/>
              </w:rPr>
            </w:pPr>
            <w:r>
              <w:rPr>
                <w:rFonts w:hint="eastAsia" w:ascii="Times New Roman" w:hAnsi="Times New Roman" w:eastAsia="宋体" w:cs="Times New Roman"/>
                <w:szCs w:val="21"/>
              </w:rPr>
              <w:t>（万元）</w:t>
            </w:r>
          </w:p>
        </w:tc>
      </w:tr>
      <w:tr w14:paraId="4B7E1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622" w:type="dxa"/>
            <w:vMerge w:val="continue"/>
            <w:tcBorders>
              <w:top w:val="single" w:color="auto" w:sz="4" w:space="0"/>
              <w:left w:val="single" w:color="auto" w:sz="4" w:space="0"/>
              <w:bottom w:val="single" w:color="auto" w:sz="4" w:space="0"/>
              <w:right w:val="single" w:color="auto" w:sz="4" w:space="0"/>
            </w:tcBorders>
            <w:vAlign w:val="center"/>
          </w:tcPr>
          <w:p w14:paraId="268A71BF">
            <w:pPr>
              <w:widowControl/>
              <w:jc w:val="left"/>
              <w:rPr>
                <w:rFonts w:ascii="Times New Roman" w:hAnsi="Times New Roman" w:eastAsia="宋体" w:cs="Times New Roman"/>
                <w:szCs w:val="21"/>
              </w:rPr>
            </w:pPr>
          </w:p>
        </w:tc>
        <w:tc>
          <w:tcPr>
            <w:tcW w:w="5152" w:type="dxa"/>
            <w:vMerge w:val="continue"/>
            <w:tcBorders>
              <w:top w:val="single" w:color="auto" w:sz="4" w:space="0"/>
              <w:left w:val="single" w:color="auto" w:sz="4" w:space="0"/>
              <w:bottom w:val="single" w:color="auto" w:sz="4" w:space="0"/>
              <w:right w:val="single" w:color="auto" w:sz="4" w:space="0"/>
            </w:tcBorders>
            <w:vAlign w:val="center"/>
          </w:tcPr>
          <w:p w14:paraId="07AF5B41">
            <w:pPr>
              <w:widowControl/>
              <w:jc w:val="left"/>
              <w:rPr>
                <w:rFonts w:ascii="Times New Roman" w:hAnsi="Times New Roman" w:eastAsia="宋体" w:cs="Times New Roman"/>
                <w:szCs w:val="21"/>
              </w:rPr>
            </w:pPr>
          </w:p>
        </w:tc>
        <w:tc>
          <w:tcPr>
            <w:tcW w:w="4285" w:type="dxa"/>
            <w:vMerge w:val="continue"/>
            <w:tcBorders>
              <w:top w:val="single" w:color="auto" w:sz="4" w:space="0"/>
              <w:left w:val="single" w:color="auto" w:sz="4" w:space="0"/>
              <w:bottom w:val="single" w:color="auto" w:sz="4" w:space="0"/>
              <w:right w:val="single" w:color="auto" w:sz="4" w:space="0"/>
            </w:tcBorders>
            <w:vAlign w:val="center"/>
          </w:tcPr>
          <w:p w14:paraId="2683F064">
            <w:pPr>
              <w:widowControl/>
              <w:jc w:val="left"/>
              <w:rPr>
                <w:rFonts w:ascii="Times New Roman" w:hAnsi="Times New Roman" w:eastAsia="宋体" w:cs="Times New Roman"/>
                <w:szCs w:val="21"/>
              </w:rPr>
            </w:pPr>
          </w:p>
        </w:tc>
      </w:tr>
      <w:tr w14:paraId="6C86F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622" w:type="dxa"/>
            <w:tcBorders>
              <w:top w:val="single" w:color="auto" w:sz="4" w:space="0"/>
              <w:left w:val="single" w:color="auto" w:sz="4" w:space="0"/>
              <w:bottom w:val="single" w:color="auto" w:sz="4" w:space="0"/>
              <w:right w:val="single" w:color="auto" w:sz="4" w:space="0"/>
            </w:tcBorders>
          </w:tcPr>
          <w:p w14:paraId="2D6DE908">
            <w:pPr>
              <w:snapToGrid w:val="0"/>
              <w:spacing w:line="312" w:lineRule="auto"/>
              <w:jc w:val="left"/>
              <w:rPr>
                <w:rFonts w:ascii="Times New Roman" w:hAnsi="Times New Roman" w:eastAsia="宋体" w:cs="Times New Roman"/>
                <w:szCs w:val="21"/>
              </w:rPr>
            </w:pPr>
          </w:p>
        </w:tc>
        <w:tc>
          <w:tcPr>
            <w:tcW w:w="5152" w:type="dxa"/>
            <w:tcBorders>
              <w:top w:val="single" w:color="auto" w:sz="4" w:space="0"/>
              <w:left w:val="single" w:color="auto" w:sz="4" w:space="0"/>
              <w:bottom w:val="single" w:color="auto" w:sz="4" w:space="0"/>
              <w:right w:val="single" w:color="auto" w:sz="4" w:space="0"/>
            </w:tcBorders>
          </w:tcPr>
          <w:p w14:paraId="0ADFB2D3">
            <w:pPr>
              <w:snapToGrid w:val="0"/>
              <w:spacing w:line="312" w:lineRule="auto"/>
              <w:jc w:val="left"/>
              <w:rPr>
                <w:rFonts w:ascii="Times New Roman" w:hAnsi="Times New Roman" w:eastAsia="宋体" w:cs="Times New Roman"/>
                <w:szCs w:val="21"/>
              </w:rPr>
            </w:pPr>
          </w:p>
        </w:tc>
        <w:tc>
          <w:tcPr>
            <w:tcW w:w="4285" w:type="dxa"/>
            <w:tcBorders>
              <w:top w:val="single" w:color="auto" w:sz="4" w:space="0"/>
              <w:left w:val="single" w:color="auto" w:sz="4" w:space="0"/>
              <w:bottom w:val="single" w:color="auto" w:sz="4" w:space="0"/>
              <w:right w:val="single" w:color="auto" w:sz="4" w:space="0"/>
            </w:tcBorders>
          </w:tcPr>
          <w:p w14:paraId="0A080766">
            <w:pPr>
              <w:snapToGrid w:val="0"/>
              <w:spacing w:line="312" w:lineRule="auto"/>
              <w:jc w:val="left"/>
              <w:rPr>
                <w:rFonts w:ascii="Times New Roman" w:hAnsi="Times New Roman" w:eastAsia="宋体" w:cs="Times New Roman"/>
                <w:szCs w:val="21"/>
              </w:rPr>
            </w:pPr>
          </w:p>
        </w:tc>
      </w:tr>
      <w:tr w14:paraId="27D36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1893F0C8">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433A7449">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1CC7EEF7">
            <w:pPr>
              <w:snapToGrid w:val="0"/>
              <w:spacing w:before="600" w:after="120" w:afterLines="50" w:line="312" w:lineRule="auto"/>
              <w:jc w:val="left"/>
              <w:rPr>
                <w:rFonts w:ascii="Times New Roman" w:hAnsi="Times New Roman" w:eastAsia="宋体" w:cs="Times New Roman"/>
                <w:b/>
                <w:bCs/>
                <w:kern w:val="44"/>
                <w:sz w:val="24"/>
                <w:szCs w:val="20"/>
              </w:rPr>
            </w:pPr>
          </w:p>
        </w:tc>
      </w:tr>
      <w:tr w14:paraId="149B5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622" w:type="dxa"/>
            <w:tcBorders>
              <w:top w:val="single" w:color="auto" w:sz="4" w:space="0"/>
              <w:left w:val="single" w:color="auto" w:sz="4" w:space="0"/>
              <w:bottom w:val="single" w:color="auto" w:sz="4" w:space="0"/>
              <w:right w:val="single" w:color="auto" w:sz="4" w:space="0"/>
            </w:tcBorders>
          </w:tcPr>
          <w:p w14:paraId="573D7B90">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53D28F89">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341581EF">
            <w:pPr>
              <w:snapToGrid w:val="0"/>
              <w:spacing w:before="600" w:after="120" w:afterLines="50" w:line="312" w:lineRule="auto"/>
              <w:jc w:val="left"/>
              <w:rPr>
                <w:rFonts w:ascii="Times New Roman" w:hAnsi="Times New Roman" w:eastAsia="宋体" w:cs="Times New Roman"/>
                <w:b/>
                <w:bCs/>
                <w:kern w:val="44"/>
                <w:sz w:val="24"/>
                <w:szCs w:val="20"/>
              </w:rPr>
            </w:pPr>
          </w:p>
        </w:tc>
      </w:tr>
      <w:tr w14:paraId="7C5E2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0B7FCD37">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29FDEA98">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4BE13E1D">
            <w:pPr>
              <w:snapToGrid w:val="0"/>
              <w:spacing w:before="600" w:after="120" w:afterLines="50" w:line="312" w:lineRule="auto"/>
              <w:jc w:val="left"/>
              <w:rPr>
                <w:rFonts w:ascii="Times New Roman" w:hAnsi="Times New Roman" w:eastAsia="宋体" w:cs="Times New Roman"/>
                <w:b/>
                <w:bCs/>
                <w:kern w:val="44"/>
                <w:sz w:val="24"/>
                <w:szCs w:val="20"/>
              </w:rPr>
            </w:pPr>
          </w:p>
        </w:tc>
      </w:tr>
      <w:tr w14:paraId="6B56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22" w:type="dxa"/>
            <w:tcBorders>
              <w:top w:val="single" w:color="auto" w:sz="4" w:space="0"/>
              <w:left w:val="single" w:color="auto" w:sz="4" w:space="0"/>
              <w:bottom w:val="single" w:color="auto" w:sz="4" w:space="0"/>
              <w:right w:val="single" w:color="auto" w:sz="4" w:space="0"/>
            </w:tcBorders>
          </w:tcPr>
          <w:p w14:paraId="4CB4FCB5">
            <w:pPr>
              <w:snapToGrid w:val="0"/>
              <w:spacing w:before="50" w:after="120" w:afterLines="50" w:line="312" w:lineRule="auto"/>
              <w:jc w:val="left"/>
              <w:rPr>
                <w:rFonts w:ascii="Times New Roman" w:hAnsi="Times New Roman" w:eastAsia="宋体" w:cs="Times New Roman"/>
                <w:sz w:val="24"/>
              </w:rPr>
            </w:pPr>
          </w:p>
        </w:tc>
        <w:tc>
          <w:tcPr>
            <w:tcW w:w="5152" w:type="dxa"/>
            <w:tcBorders>
              <w:top w:val="single" w:color="auto" w:sz="4" w:space="0"/>
              <w:left w:val="single" w:color="auto" w:sz="4" w:space="0"/>
              <w:bottom w:val="single" w:color="auto" w:sz="4" w:space="0"/>
              <w:right w:val="single" w:color="auto" w:sz="4" w:space="0"/>
            </w:tcBorders>
          </w:tcPr>
          <w:p w14:paraId="7BF1F2A4">
            <w:pPr>
              <w:snapToGrid w:val="0"/>
              <w:spacing w:before="600" w:after="120" w:afterLines="50" w:line="312" w:lineRule="auto"/>
              <w:jc w:val="left"/>
              <w:rPr>
                <w:rFonts w:ascii="Times New Roman" w:hAnsi="Times New Roman" w:eastAsia="宋体" w:cs="Times New Roman"/>
                <w:b/>
                <w:bCs/>
                <w:kern w:val="44"/>
                <w:sz w:val="24"/>
                <w:szCs w:val="20"/>
              </w:rPr>
            </w:pPr>
          </w:p>
        </w:tc>
        <w:tc>
          <w:tcPr>
            <w:tcW w:w="4285" w:type="dxa"/>
            <w:tcBorders>
              <w:top w:val="single" w:color="auto" w:sz="4" w:space="0"/>
              <w:left w:val="single" w:color="auto" w:sz="4" w:space="0"/>
              <w:bottom w:val="single" w:color="auto" w:sz="4" w:space="0"/>
              <w:right w:val="single" w:color="auto" w:sz="4" w:space="0"/>
            </w:tcBorders>
          </w:tcPr>
          <w:p w14:paraId="2497D595">
            <w:pPr>
              <w:snapToGrid w:val="0"/>
              <w:spacing w:before="600" w:after="120" w:afterLines="50" w:line="312" w:lineRule="auto"/>
              <w:jc w:val="left"/>
              <w:rPr>
                <w:rFonts w:ascii="Times New Roman" w:hAnsi="Times New Roman" w:eastAsia="宋体" w:cs="Times New Roman"/>
                <w:b/>
                <w:bCs/>
                <w:kern w:val="44"/>
                <w:sz w:val="24"/>
                <w:szCs w:val="20"/>
              </w:rPr>
            </w:pPr>
          </w:p>
        </w:tc>
      </w:tr>
    </w:tbl>
    <w:p w14:paraId="3C0675C9">
      <w:pPr>
        <w:snapToGrid w:val="0"/>
        <w:spacing w:before="152" w:after="160" w:line="312" w:lineRule="auto"/>
        <w:rPr>
          <w:rFonts w:ascii="Times New Roman" w:hAnsi="Times New Roman" w:eastAsia="宋体" w:cs="Times New Roman"/>
          <w:kern w:val="0"/>
          <w:sz w:val="20"/>
          <w:szCs w:val="20"/>
        </w:rPr>
      </w:pPr>
    </w:p>
    <w:p w14:paraId="4142A999">
      <w:pPr>
        <w:snapToGrid w:val="0"/>
        <w:spacing w:before="50" w:after="50"/>
        <w:rPr>
          <w:rFonts w:ascii="Times New Roman" w:hAnsi="Times New Roman" w:eastAsia="宋体" w:cs="Times New Roman"/>
        </w:rPr>
      </w:pPr>
    </w:p>
    <w:p w14:paraId="023D3AC8">
      <w:pPr>
        <w:snapToGrid w:val="0"/>
        <w:ind w:left="2" w:right="-817" w:rightChars="-389"/>
        <w:rPr>
          <w:rFonts w:ascii="Times New Roman" w:hAnsi="Times New Roman" w:eastAsia="宋体" w:cs="Times New Roman"/>
        </w:rPr>
      </w:pPr>
    </w:p>
    <w:p w14:paraId="21184331">
      <w:pPr>
        <w:snapToGrid w:val="0"/>
        <w:spacing w:before="50" w:line="312" w:lineRule="auto"/>
        <w:jc w:val="left"/>
        <w:rPr>
          <w:rFonts w:ascii="Times New Roman" w:hAnsi="Times New Roman" w:eastAsia="宋体" w:cs="Times New Roman"/>
          <w:kern w:val="0"/>
          <w:sz w:val="30"/>
        </w:rPr>
        <w:sectPr>
          <w:pgSz w:w="16838" w:h="11906" w:orient="landscape"/>
          <w:pgMar w:top="1418" w:right="1361" w:bottom="924" w:left="1134" w:header="851" w:footer="992" w:gutter="0"/>
          <w:cols w:space="720" w:num="1"/>
        </w:sectPr>
      </w:pPr>
      <w:r>
        <w:rPr>
          <w:rFonts w:hint="eastAsia" w:ascii="Times New Roman" w:hAnsi="Times New Roman" w:eastAsia="宋体" w:cs="Times New Roman"/>
        </w:rPr>
        <w:t>投标人名称（盖章）：年月日</w:t>
      </w:r>
    </w:p>
    <w:p w14:paraId="668F520F">
      <w:pPr>
        <w:snapToGrid w:val="0"/>
        <w:spacing w:before="156" w:beforeLines="50" w:after="50" w:line="312" w:lineRule="auto"/>
        <w:jc w:val="center"/>
        <w:rPr>
          <w:rFonts w:ascii="Times New Roman" w:hAnsi="Times New Roman" w:eastAsia="宋体" w:cs="Times New Roman"/>
          <w:b/>
          <w:sz w:val="24"/>
        </w:rPr>
      </w:pPr>
      <w:r>
        <w:rPr>
          <w:rFonts w:hint="eastAsia" w:ascii="Times New Roman" w:hAnsi="Times New Roman" w:eastAsia="宋体" w:cs="Times New Roman"/>
          <w:b/>
          <w:sz w:val="24"/>
        </w:rPr>
        <w:t>十、项目实施人员（主要从业人员及其技术资格）一览表</w:t>
      </w:r>
    </w:p>
    <w:p w14:paraId="02397585">
      <w:pPr>
        <w:snapToGrid w:val="0"/>
        <w:spacing w:before="156" w:beforeLines="50" w:after="50" w:line="312" w:lineRule="auto"/>
        <w:rPr>
          <w:rFonts w:ascii="Times New Roman" w:hAnsi="Times New Roman" w:eastAsia="宋体" w:cs="Times New Roman"/>
        </w:rPr>
      </w:pPr>
    </w:p>
    <w:p w14:paraId="5E18C32B">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项目名称：</w:t>
      </w:r>
    </w:p>
    <w:p w14:paraId="06CE147C">
      <w:pPr>
        <w:snapToGrid w:val="0"/>
        <w:spacing w:line="312" w:lineRule="auto"/>
        <w:rPr>
          <w:rFonts w:ascii="Times New Roman" w:hAnsi="Times New Roman" w:eastAsia="宋体" w:cs="Times New Roman"/>
        </w:rPr>
      </w:pPr>
      <w:r>
        <w:rPr>
          <w:rFonts w:hint="eastAsia" w:ascii="Times New Roman" w:hAnsi="Times New Roman" w:eastAsia="宋体" w:cs="Times New Roman"/>
        </w:rPr>
        <w:t>项目编号：</w:t>
      </w:r>
    </w:p>
    <w:tbl>
      <w:tblPr>
        <w:tblStyle w:val="61"/>
        <w:tblW w:w="924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2"/>
        <w:gridCol w:w="1260"/>
        <w:gridCol w:w="1619"/>
        <w:gridCol w:w="2699"/>
      </w:tblGrid>
      <w:tr w14:paraId="1C75E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vAlign w:val="bottom"/>
          </w:tcPr>
          <w:p w14:paraId="24A3CBA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680B9701">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职务</w:t>
            </w:r>
          </w:p>
        </w:tc>
        <w:tc>
          <w:tcPr>
            <w:tcW w:w="1662" w:type="dxa"/>
            <w:tcBorders>
              <w:top w:val="single" w:color="auto" w:sz="4" w:space="0"/>
              <w:left w:val="single" w:color="auto" w:sz="4" w:space="0"/>
              <w:bottom w:val="single" w:color="auto" w:sz="4" w:space="0"/>
              <w:right w:val="single" w:color="auto" w:sz="4" w:space="0"/>
            </w:tcBorders>
            <w:vAlign w:val="bottom"/>
          </w:tcPr>
          <w:p w14:paraId="62DA35AA">
            <w:pPr>
              <w:snapToGrid w:val="0"/>
              <w:spacing w:before="156" w:beforeLines="50" w:after="50" w:line="312" w:lineRule="auto"/>
              <w:jc w:val="center"/>
              <w:rPr>
                <w:rFonts w:ascii="Times New Roman" w:hAnsi="Times New Roman" w:eastAsia="宋体" w:cs="Times New Roman"/>
              </w:rPr>
            </w:pPr>
            <w:r>
              <w:rPr>
                <w:rFonts w:hint="eastAsia" w:ascii="Times New Roman" w:hAnsi="Times New Roman" w:eastAsia="宋体" w:cs="Times New Roman"/>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43782C9">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证书编号</w:t>
            </w:r>
          </w:p>
        </w:tc>
        <w:tc>
          <w:tcPr>
            <w:tcW w:w="1619" w:type="dxa"/>
            <w:tcBorders>
              <w:top w:val="single" w:color="auto" w:sz="4" w:space="0"/>
              <w:left w:val="single" w:color="auto" w:sz="4" w:space="0"/>
              <w:bottom w:val="single" w:color="auto" w:sz="4" w:space="0"/>
              <w:right w:val="single" w:color="auto" w:sz="4" w:space="0"/>
            </w:tcBorders>
            <w:vAlign w:val="bottom"/>
          </w:tcPr>
          <w:p w14:paraId="1B99ADB8">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参加本单位工作时间</w:t>
            </w:r>
          </w:p>
        </w:tc>
        <w:tc>
          <w:tcPr>
            <w:tcW w:w="2699" w:type="dxa"/>
            <w:tcBorders>
              <w:top w:val="single" w:color="auto" w:sz="4" w:space="0"/>
              <w:left w:val="single" w:color="auto" w:sz="4" w:space="0"/>
              <w:bottom w:val="single" w:color="auto" w:sz="4" w:space="0"/>
              <w:right w:val="single" w:color="auto" w:sz="4" w:space="0"/>
            </w:tcBorders>
            <w:vAlign w:val="bottom"/>
          </w:tcPr>
          <w:p w14:paraId="700FAF70">
            <w:pPr>
              <w:snapToGrid w:val="0"/>
              <w:spacing w:before="156" w:beforeLines="50" w:after="50" w:line="312" w:lineRule="auto"/>
              <w:rPr>
                <w:rFonts w:ascii="Times New Roman" w:hAnsi="Times New Roman" w:eastAsia="宋体" w:cs="Times New Roman"/>
              </w:rPr>
            </w:pPr>
            <w:r>
              <w:rPr>
                <w:rFonts w:hint="eastAsia" w:ascii="Times New Roman" w:hAnsi="Times New Roman" w:eastAsia="宋体" w:cs="Times New Roman"/>
              </w:rPr>
              <w:t>劳动合同编号</w:t>
            </w:r>
          </w:p>
        </w:tc>
      </w:tr>
      <w:tr w14:paraId="15AFC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3BEAAB4">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1F1E997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F984303">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3C77B3E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7C8737FC">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0E00061">
            <w:pPr>
              <w:snapToGrid w:val="0"/>
              <w:spacing w:before="156" w:beforeLines="50" w:after="120" w:line="312" w:lineRule="auto"/>
              <w:rPr>
                <w:rFonts w:ascii="Times New Roman" w:hAnsi="Times New Roman" w:eastAsia="宋体" w:cs="Times New Roman"/>
                <w:b/>
                <w:bCs/>
                <w:sz w:val="24"/>
                <w:szCs w:val="36"/>
              </w:rPr>
            </w:pPr>
          </w:p>
        </w:tc>
      </w:tr>
      <w:tr w14:paraId="726CA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5F13F8">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A9F6E4E">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5BE587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5EF62489">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E7A39AF">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18FF872">
            <w:pPr>
              <w:snapToGrid w:val="0"/>
              <w:spacing w:before="156" w:beforeLines="50" w:after="120" w:line="312" w:lineRule="auto"/>
              <w:rPr>
                <w:rFonts w:ascii="Times New Roman" w:hAnsi="Times New Roman" w:eastAsia="宋体" w:cs="Times New Roman"/>
                <w:b/>
                <w:bCs/>
                <w:sz w:val="24"/>
                <w:szCs w:val="36"/>
              </w:rPr>
            </w:pPr>
          </w:p>
        </w:tc>
      </w:tr>
      <w:tr w14:paraId="5FA54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A8AE09B">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3F59034">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524013F9">
            <w:pPr>
              <w:snapToGrid w:val="0"/>
              <w:spacing w:before="156" w:beforeLines="50" w:after="120" w:line="312" w:lineRule="auto"/>
              <w:ind w:left="5250" w:leftChars="2500"/>
              <w:rPr>
                <w:rFonts w:ascii="Times New Roman" w:hAnsi="Times New Roman" w:eastAsia="宋体" w:cs="Times New Roman"/>
                <w:b/>
                <w:bCs/>
                <w:kern w:val="0"/>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A2B301B">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51AC817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375A4D46">
            <w:pPr>
              <w:snapToGrid w:val="0"/>
              <w:spacing w:before="156" w:beforeLines="50" w:after="120" w:line="312" w:lineRule="auto"/>
              <w:rPr>
                <w:rFonts w:ascii="Times New Roman" w:hAnsi="Times New Roman" w:eastAsia="宋体" w:cs="Times New Roman"/>
                <w:b/>
                <w:bCs/>
                <w:sz w:val="24"/>
                <w:szCs w:val="36"/>
              </w:rPr>
            </w:pPr>
          </w:p>
        </w:tc>
      </w:tr>
      <w:tr w14:paraId="7E37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FC1C203">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447CA59">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5C8D84">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4CB5BCA4">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96BD598">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62968EF">
            <w:pPr>
              <w:snapToGrid w:val="0"/>
              <w:spacing w:before="156" w:beforeLines="50" w:after="120" w:line="312" w:lineRule="auto"/>
              <w:rPr>
                <w:rFonts w:ascii="Times New Roman" w:hAnsi="Times New Roman" w:eastAsia="宋体" w:cs="Times New Roman"/>
                <w:b/>
                <w:bCs/>
                <w:sz w:val="24"/>
                <w:szCs w:val="36"/>
              </w:rPr>
            </w:pPr>
          </w:p>
        </w:tc>
      </w:tr>
      <w:tr w14:paraId="0C6C6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BCA4700">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3C1B252A">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CBA782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692B2CB6">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31B6E2AB">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E8B4599">
            <w:pPr>
              <w:snapToGrid w:val="0"/>
              <w:spacing w:before="156" w:beforeLines="50" w:after="120" w:line="312" w:lineRule="auto"/>
              <w:rPr>
                <w:rFonts w:ascii="Times New Roman" w:hAnsi="Times New Roman" w:eastAsia="宋体" w:cs="Times New Roman"/>
                <w:b/>
                <w:bCs/>
                <w:sz w:val="24"/>
                <w:szCs w:val="36"/>
              </w:rPr>
            </w:pPr>
          </w:p>
        </w:tc>
      </w:tr>
      <w:tr w14:paraId="6533E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82B0D2">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412A89D3">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412BBD7A">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269FA322">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29FCAF75">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6427C57B">
            <w:pPr>
              <w:snapToGrid w:val="0"/>
              <w:spacing w:before="156" w:beforeLines="50" w:after="120" w:line="312" w:lineRule="auto"/>
              <w:rPr>
                <w:rFonts w:ascii="Times New Roman" w:hAnsi="Times New Roman" w:eastAsia="宋体" w:cs="Times New Roman"/>
                <w:b/>
                <w:bCs/>
                <w:sz w:val="24"/>
                <w:szCs w:val="36"/>
              </w:rPr>
            </w:pPr>
          </w:p>
        </w:tc>
      </w:tr>
      <w:tr w14:paraId="23E2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38513C5">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748C6781">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64084880">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75D868EC">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476E4A0">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00125D2B">
            <w:pPr>
              <w:snapToGrid w:val="0"/>
              <w:spacing w:before="156" w:beforeLines="50" w:after="120" w:line="312" w:lineRule="auto"/>
              <w:rPr>
                <w:rFonts w:ascii="Times New Roman" w:hAnsi="Times New Roman" w:eastAsia="宋体" w:cs="Times New Roman"/>
                <w:b/>
                <w:bCs/>
                <w:sz w:val="24"/>
                <w:szCs w:val="36"/>
              </w:rPr>
            </w:pPr>
          </w:p>
        </w:tc>
      </w:tr>
      <w:tr w14:paraId="01DC2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213317">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68427978">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2AFACAED">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1143257D">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7B6B52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B8CFF25">
            <w:pPr>
              <w:snapToGrid w:val="0"/>
              <w:spacing w:before="156" w:beforeLines="50" w:after="120" w:line="312" w:lineRule="auto"/>
              <w:rPr>
                <w:rFonts w:ascii="Times New Roman" w:hAnsi="Times New Roman" w:eastAsia="宋体" w:cs="Times New Roman"/>
                <w:b/>
                <w:bCs/>
                <w:sz w:val="24"/>
                <w:szCs w:val="36"/>
              </w:rPr>
            </w:pPr>
          </w:p>
        </w:tc>
      </w:tr>
      <w:tr w14:paraId="43E8F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6C94CF">
            <w:pPr>
              <w:snapToGrid w:val="0"/>
              <w:spacing w:before="156" w:beforeLines="50" w:after="50" w:line="312" w:lineRule="auto"/>
              <w:rPr>
                <w:rFonts w:ascii="Times New Roman" w:hAnsi="Times New Roman" w:eastAsia="宋体" w:cs="Times New Roman"/>
                <w:sz w:val="24"/>
              </w:rPr>
            </w:pPr>
          </w:p>
        </w:tc>
        <w:tc>
          <w:tcPr>
            <w:tcW w:w="1004" w:type="dxa"/>
            <w:tcBorders>
              <w:top w:val="single" w:color="auto" w:sz="4" w:space="0"/>
              <w:left w:val="single" w:color="auto" w:sz="4" w:space="0"/>
              <w:bottom w:val="single" w:color="auto" w:sz="4" w:space="0"/>
              <w:right w:val="single" w:color="auto" w:sz="4" w:space="0"/>
            </w:tcBorders>
          </w:tcPr>
          <w:p w14:paraId="0F0F7CBB">
            <w:pPr>
              <w:snapToGrid w:val="0"/>
              <w:spacing w:before="156" w:beforeLines="50" w:after="120" w:line="312" w:lineRule="auto"/>
              <w:rPr>
                <w:rFonts w:ascii="Times New Roman" w:hAnsi="Times New Roman" w:eastAsia="宋体" w:cs="Times New Roman"/>
                <w:b/>
                <w:bCs/>
                <w:sz w:val="24"/>
                <w:szCs w:val="36"/>
              </w:rPr>
            </w:pPr>
          </w:p>
        </w:tc>
        <w:tc>
          <w:tcPr>
            <w:tcW w:w="1662" w:type="dxa"/>
            <w:tcBorders>
              <w:top w:val="single" w:color="auto" w:sz="4" w:space="0"/>
              <w:left w:val="single" w:color="auto" w:sz="4" w:space="0"/>
              <w:bottom w:val="single" w:color="auto" w:sz="4" w:space="0"/>
              <w:right w:val="single" w:color="auto" w:sz="4" w:space="0"/>
            </w:tcBorders>
          </w:tcPr>
          <w:p w14:paraId="795B312C">
            <w:pPr>
              <w:snapToGrid w:val="0"/>
              <w:spacing w:before="156" w:beforeLines="50" w:after="120" w:line="312" w:lineRule="auto"/>
              <w:rPr>
                <w:rFonts w:ascii="Times New Roman" w:hAnsi="Times New Roman" w:eastAsia="宋体" w:cs="Times New Roman"/>
                <w:b/>
                <w:bCs/>
                <w:sz w:val="24"/>
                <w:szCs w:val="36"/>
              </w:rPr>
            </w:pPr>
          </w:p>
        </w:tc>
        <w:tc>
          <w:tcPr>
            <w:tcW w:w="1260" w:type="dxa"/>
            <w:tcBorders>
              <w:top w:val="single" w:color="auto" w:sz="4" w:space="0"/>
              <w:left w:val="single" w:color="auto" w:sz="4" w:space="0"/>
              <w:bottom w:val="single" w:color="auto" w:sz="4" w:space="0"/>
              <w:right w:val="single" w:color="auto" w:sz="4" w:space="0"/>
            </w:tcBorders>
          </w:tcPr>
          <w:p w14:paraId="056E3663">
            <w:pPr>
              <w:snapToGrid w:val="0"/>
              <w:spacing w:before="156" w:beforeLines="50" w:after="120" w:line="312" w:lineRule="auto"/>
              <w:rPr>
                <w:rFonts w:ascii="Times New Roman" w:hAnsi="Times New Roman" w:eastAsia="宋体" w:cs="Times New Roman"/>
                <w:b/>
                <w:bCs/>
                <w:sz w:val="24"/>
                <w:szCs w:val="36"/>
              </w:rPr>
            </w:pPr>
          </w:p>
        </w:tc>
        <w:tc>
          <w:tcPr>
            <w:tcW w:w="1619" w:type="dxa"/>
            <w:tcBorders>
              <w:top w:val="single" w:color="auto" w:sz="4" w:space="0"/>
              <w:left w:val="single" w:color="auto" w:sz="4" w:space="0"/>
              <w:bottom w:val="single" w:color="auto" w:sz="4" w:space="0"/>
              <w:right w:val="single" w:color="auto" w:sz="4" w:space="0"/>
            </w:tcBorders>
          </w:tcPr>
          <w:p w14:paraId="4EB81906">
            <w:pPr>
              <w:snapToGrid w:val="0"/>
              <w:spacing w:before="156" w:beforeLines="50" w:after="120" w:line="312" w:lineRule="auto"/>
              <w:rPr>
                <w:rFonts w:ascii="Times New Roman" w:hAnsi="Times New Roman" w:eastAsia="宋体" w:cs="Times New Roman"/>
                <w:b/>
                <w:bCs/>
                <w:sz w:val="24"/>
                <w:szCs w:val="36"/>
              </w:rPr>
            </w:pPr>
          </w:p>
        </w:tc>
        <w:tc>
          <w:tcPr>
            <w:tcW w:w="2699" w:type="dxa"/>
            <w:tcBorders>
              <w:top w:val="single" w:color="auto" w:sz="4" w:space="0"/>
              <w:left w:val="single" w:color="auto" w:sz="4" w:space="0"/>
              <w:bottom w:val="single" w:color="auto" w:sz="4" w:space="0"/>
              <w:right w:val="single" w:color="auto" w:sz="4" w:space="0"/>
            </w:tcBorders>
          </w:tcPr>
          <w:p w14:paraId="15940745">
            <w:pPr>
              <w:snapToGrid w:val="0"/>
              <w:spacing w:before="156" w:beforeLines="50" w:after="120" w:line="312" w:lineRule="auto"/>
              <w:rPr>
                <w:rFonts w:ascii="Times New Roman" w:hAnsi="Times New Roman" w:eastAsia="宋体" w:cs="Times New Roman"/>
                <w:b/>
                <w:bCs/>
                <w:sz w:val="24"/>
                <w:szCs w:val="36"/>
              </w:rPr>
            </w:pPr>
          </w:p>
        </w:tc>
      </w:tr>
    </w:tbl>
    <w:p w14:paraId="204CFCC1">
      <w:pPr>
        <w:snapToGrid w:val="0"/>
        <w:spacing w:before="50" w:after="156" w:afterLines="50" w:line="312" w:lineRule="auto"/>
        <w:jc w:val="left"/>
        <w:rPr>
          <w:rFonts w:ascii="Times New Roman" w:hAnsi="Times New Roman" w:eastAsia="宋体" w:cs="Times New Roman"/>
        </w:rPr>
      </w:pPr>
      <w:r>
        <w:rPr>
          <w:rFonts w:hint="eastAsia" w:ascii="Times New Roman" w:hAnsi="Times New Roman" w:eastAsia="宋体" w:cs="Times New Roman"/>
        </w:rPr>
        <w:t>注：在填写时，如本表格不适合投标单位的实际情况，可根据本表格式自行划表填写。</w:t>
      </w:r>
    </w:p>
    <w:p w14:paraId="0021CCDC">
      <w:pPr>
        <w:snapToGrid w:val="0"/>
        <w:spacing w:before="50" w:after="50" w:line="312" w:lineRule="auto"/>
        <w:rPr>
          <w:rFonts w:ascii="Times New Roman" w:hAnsi="Times New Roman" w:eastAsia="宋体" w:cs="Times New Roman"/>
          <w:spacing w:val="20"/>
          <w:sz w:val="24"/>
        </w:rPr>
      </w:pPr>
    </w:p>
    <w:p w14:paraId="0EF7EC66">
      <w:pPr>
        <w:snapToGrid w:val="0"/>
        <w:spacing w:before="50" w:after="50" w:line="312" w:lineRule="auto"/>
        <w:rPr>
          <w:rFonts w:ascii="Times New Roman" w:hAnsi="Times New Roman" w:eastAsia="宋体" w:cs="Times New Roman"/>
          <w:spacing w:val="20"/>
          <w:sz w:val="24"/>
        </w:rPr>
      </w:pPr>
    </w:p>
    <w:p w14:paraId="4F0274AA">
      <w:pPr>
        <w:snapToGrid w:val="0"/>
        <w:ind w:left="2" w:right="-817" w:rightChars="-389"/>
        <w:rPr>
          <w:rFonts w:ascii="Times New Roman" w:hAnsi="Times New Roman" w:eastAsia="宋体" w:cs="Times New Roman"/>
        </w:rPr>
      </w:pPr>
    </w:p>
    <w:p w14:paraId="3548FD21">
      <w:pPr>
        <w:snapToGrid w:val="0"/>
        <w:spacing w:before="50" w:after="156" w:afterLines="50" w:line="312" w:lineRule="auto"/>
        <w:jc w:val="left"/>
        <w:rPr>
          <w:rFonts w:hint="eastAsia" w:ascii="Times New Roman" w:hAnsi="Times New Roman" w:eastAsia="宋体" w:cs="Times New Roman"/>
        </w:rPr>
      </w:pPr>
      <w:r>
        <w:rPr>
          <w:rFonts w:hint="eastAsia" w:ascii="Times New Roman" w:hAnsi="Times New Roman" w:eastAsia="宋体" w:cs="Times New Roman"/>
        </w:rPr>
        <w:t>投标人名称（盖章）：日期：</w:t>
      </w:r>
    </w:p>
    <w:p w14:paraId="4DCB49BA">
      <w:pPr>
        <w:snapToGrid w:val="0"/>
        <w:spacing w:before="50" w:after="156" w:afterLines="50" w:line="312" w:lineRule="auto"/>
        <w:jc w:val="left"/>
        <w:rPr>
          <w:rFonts w:ascii="Times New Roman" w:hAnsi="Times New Roman" w:eastAsia="宋体" w:cs="Times New Roman"/>
          <w:sz w:val="24"/>
        </w:rPr>
      </w:pPr>
    </w:p>
    <w:p w14:paraId="57B4BB44">
      <w:pPr>
        <w:snapToGrid w:val="0"/>
        <w:spacing w:before="50" w:after="156" w:afterLines="50" w:line="312" w:lineRule="auto"/>
        <w:jc w:val="left"/>
        <w:rPr>
          <w:rFonts w:ascii="Times New Roman" w:hAnsi="Times New Roman" w:eastAsia="宋体" w:cs="Times New Roman"/>
          <w:sz w:val="24"/>
        </w:rPr>
      </w:pPr>
    </w:p>
    <w:p w14:paraId="4AB12E33">
      <w:pPr>
        <w:snapToGrid w:val="0"/>
        <w:spacing w:before="50" w:after="156" w:afterLines="50" w:line="312" w:lineRule="auto"/>
        <w:jc w:val="left"/>
        <w:rPr>
          <w:rFonts w:ascii="Times New Roman" w:hAnsi="Times New Roman" w:eastAsia="宋体" w:cs="Times New Roman"/>
          <w:sz w:val="24"/>
        </w:rPr>
      </w:pPr>
    </w:p>
    <w:p w14:paraId="7E95C3BA">
      <w:pPr>
        <w:snapToGrid w:val="0"/>
        <w:spacing w:before="50" w:after="156" w:afterLines="50"/>
        <w:jc w:val="left"/>
        <w:rPr>
          <w:rFonts w:ascii="Times New Roman" w:hAnsi="Times New Roman" w:eastAsia="宋体" w:cs="Times New Roman"/>
          <w:b/>
          <w:sz w:val="24"/>
        </w:rPr>
      </w:pPr>
    </w:p>
    <w:p w14:paraId="1AE085BD">
      <w:pPr>
        <w:pStyle w:val="18"/>
      </w:pPr>
    </w:p>
    <w:p w14:paraId="34A9D4E6">
      <w:pPr>
        <w:snapToGrid w:val="0"/>
        <w:spacing w:before="50" w:after="156" w:afterLines="50"/>
        <w:jc w:val="left"/>
        <w:rPr>
          <w:rFonts w:ascii="Times New Roman" w:hAnsi="Times New Roman" w:eastAsia="宋体" w:cs="Times New Roman"/>
          <w:b/>
          <w:sz w:val="24"/>
        </w:rPr>
      </w:pPr>
    </w:p>
    <w:p w14:paraId="68960AAF">
      <w:pPr>
        <w:spacing w:line="360" w:lineRule="auto"/>
        <w:jc w:val="center"/>
        <w:rPr>
          <w:rFonts w:hint="eastAsia" w:ascii="宋体" w:hAnsi="宋体" w:eastAsia="宋体" w:cs="仿宋_GB2312"/>
          <w:b/>
          <w:bCs/>
          <w:sz w:val="28"/>
          <w:szCs w:val="28"/>
        </w:rPr>
      </w:pPr>
      <w:r>
        <w:rPr>
          <w:rFonts w:hint="eastAsia" w:ascii="宋体" w:hAnsi="宋体" w:eastAsia="宋体" w:cs="仿宋_GB2312"/>
          <w:b/>
          <w:bCs/>
          <w:sz w:val="28"/>
          <w:szCs w:val="28"/>
        </w:rPr>
        <w:t>十一、设备配置清单</w:t>
      </w:r>
    </w:p>
    <w:p w14:paraId="4F5BF4FB">
      <w:pPr>
        <w:spacing w:line="360" w:lineRule="auto"/>
        <w:rPr>
          <w:rFonts w:hint="eastAsia" w:ascii="宋体" w:hAnsi="宋体" w:eastAsia="宋体" w:cs="仿宋_GB2312"/>
          <w:szCs w:val="21"/>
        </w:rPr>
      </w:pPr>
    </w:p>
    <w:p w14:paraId="46197E97">
      <w:pPr>
        <w:spacing w:line="360" w:lineRule="auto"/>
        <w:rPr>
          <w:rFonts w:hint="eastAsia" w:ascii="宋体" w:hAnsi="宋体" w:eastAsia="宋体" w:cs="仿宋_GB2312"/>
          <w:szCs w:val="21"/>
        </w:rPr>
      </w:pPr>
      <w:r>
        <w:rPr>
          <w:rFonts w:hint="eastAsia" w:ascii="宋体" w:hAnsi="宋体" w:eastAsia="宋体" w:cs="仿宋_GB2312"/>
          <w:szCs w:val="21"/>
        </w:rPr>
        <w:t xml:space="preserve">项目名称：               </w:t>
      </w:r>
    </w:p>
    <w:p w14:paraId="3AAD9796">
      <w:pPr>
        <w:spacing w:line="360" w:lineRule="auto"/>
        <w:rPr>
          <w:rFonts w:hint="eastAsia" w:ascii="宋体" w:hAnsi="宋体" w:eastAsia="宋体" w:cs="仿宋_GB2312"/>
          <w:szCs w:val="21"/>
        </w:rPr>
      </w:pPr>
      <w:r>
        <w:rPr>
          <w:rFonts w:hint="eastAsia" w:ascii="宋体" w:hAnsi="宋体" w:eastAsia="宋体" w:cs="仿宋_GB2312"/>
          <w:szCs w:val="21"/>
        </w:rPr>
        <w:t>项目编号：</w:t>
      </w:r>
    </w:p>
    <w:tbl>
      <w:tblPr>
        <w:tblStyle w:val="61"/>
        <w:tblW w:w="90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573"/>
        <w:gridCol w:w="1359"/>
        <w:gridCol w:w="1599"/>
        <w:gridCol w:w="1148"/>
        <w:gridCol w:w="1148"/>
        <w:gridCol w:w="1348"/>
      </w:tblGrid>
      <w:tr w14:paraId="206BA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C070B62">
            <w:pPr>
              <w:snapToGrid w:val="0"/>
              <w:jc w:val="center"/>
              <w:rPr>
                <w:rFonts w:hint="eastAsia" w:ascii="宋体" w:hAnsi="宋体" w:eastAsia="宋体" w:cs="Times New Roman"/>
                <w:szCs w:val="21"/>
              </w:rPr>
            </w:pPr>
            <w:r>
              <w:rPr>
                <w:rFonts w:hint="eastAsia" w:ascii="宋体" w:hAnsi="宋体" w:eastAsia="宋体" w:cs="仿宋_GB2312"/>
                <w:szCs w:val="21"/>
              </w:rPr>
              <w:t>序号</w:t>
            </w:r>
          </w:p>
        </w:tc>
        <w:tc>
          <w:tcPr>
            <w:tcW w:w="1574" w:type="dxa"/>
            <w:tcBorders>
              <w:top w:val="single" w:color="auto" w:sz="4" w:space="0"/>
              <w:left w:val="single" w:color="auto" w:sz="4" w:space="0"/>
              <w:bottom w:val="single" w:color="auto" w:sz="4" w:space="0"/>
              <w:right w:val="single" w:color="auto" w:sz="4" w:space="0"/>
            </w:tcBorders>
            <w:vAlign w:val="center"/>
          </w:tcPr>
          <w:p w14:paraId="2F0292E1">
            <w:pPr>
              <w:snapToGrid w:val="0"/>
              <w:jc w:val="center"/>
              <w:rPr>
                <w:rFonts w:hint="eastAsia" w:ascii="宋体" w:hAnsi="宋体" w:eastAsia="宋体" w:cs="Times New Roman"/>
                <w:szCs w:val="21"/>
              </w:rPr>
            </w:pPr>
            <w:r>
              <w:rPr>
                <w:rFonts w:hint="eastAsia" w:ascii="宋体" w:hAnsi="宋体" w:eastAsia="宋体" w:cs="仿宋_GB2312"/>
                <w:szCs w:val="21"/>
              </w:rPr>
              <w:t>设备名称</w:t>
            </w:r>
          </w:p>
        </w:tc>
        <w:tc>
          <w:tcPr>
            <w:tcW w:w="1360" w:type="dxa"/>
            <w:tcBorders>
              <w:top w:val="single" w:color="auto" w:sz="4" w:space="0"/>
              <w:left w:val="single" w:color="auto" w:sz="4" w:space="0"/>
              <w:bottom w:val="single" w:color="auto" w:sz="4" w:space="0"/>
              <w:right w:val="single" w:color="auto" w:sz="4" w:space="0"/>
            </w:tcBorders>
            <w:vAlign w:val="center"/>
          </w:tcPr>
          <w:p w14:paraId="631FCA86">
            <w:pPr>
              <w:snapToGrid w:val="0"/>
              <w:jc w:val="center"/>
              <w:rPr>
                <w:rFonts w:hint="eastAsia" w:ascii="宋体" w:hAnsi="宋体" w:eastAsia="宋体" w:cs="Times New Roman"/>
                <w:szCs w:val="21"/>
              </w:rPr>
            </w:pPr>
            <w:r>
              <w:rPr>
                <w:rFonts w:hint="eastAsia" w:ascii="宋体" w:hAnsi="宋体" w:eastAsia="宋体" w:cs="仿宋_GB2312"/>
                <w:szCs w:val="21"/>
              </w:rPr>
              <w:t>品牌</w:t>
            </w:r>
          </w:p>
        </w:tc>
        <w:tc>
          <w:tcPr>
            <w:tcW w:w="1600" w:type="dxa"/>
            <w:tcBorders>
              <w:top w:val="single" w:color="auto" w:sz="4" w:space="0"/>
              <w:left w:val="single" w:color="auto" w:sz="4" w:space="0"/>
              <w:bottom w:val="single" w:color="auto" w:sz="4" w:space="0"/>
              <w:right w:val="single" w:color="auto" w:sz="4" w:space="0"/>
            </w:tcBorders>
            <w:vAlign w:val="center"/>
          </w:tcPr>
          <w:p w14:paraId="6E16912E">
            <w:pPr>
              <w:snapToGrid w:val="0"/>
              <w:jc w:val="center"/>
              <w:rPr>
                <w:rFonts w:hint="eastAsia" w:ascii="宋体" w:hAnsi="宋体" w:eastAsia="宋体" w:cs="Times New Roman"/>
                <w:szCs w:val="21"/>
              </w:rPr>
            </w:pPr>
            <w:r>
              <w:rPr>
                <w:rFonts w:hint="eastAsia" w:ascii="宋体" w:hAnsi="宋体" w:eastAsia="宋体" w:cs="仿宋_GB2312"/>
                <w:szCs w:val="21"/>
              </w:rPr>
              <w:t>规格型号</w:t>
            </w:r>
          </w:p>
        </w:tc>
        <w:tc>
          <w:tcPr>
            <w:tcW w:w="1149" w:type="dxa"/>
            <w:tcBorders>
              <w:top w:val="single" w:color="auto" w:sz="4" w:space="0"/>
              <w:left w:val="single" w:color="auto" w:sz="4" w:space="0"/>
              <w:bottom w:val="single" w:color="auto" w:sz="4" w:space="0"/>
              <w:right w:val="single" w:color="auto" w:sz="4" w:space="0"/>
            </w:tcBorders>
            <w:vAlign w:val="center"/>
          </w:tcPr>
          <w:p w14:paraId="0544D2D2">
            <w:pPr>
              <w:snapToGrid w:val="0"/>
              <w:jc w:val="center"/>
              <w:rPr>
                <w:rFonts w:hint="eastAsia" w:ascii="宋体" w:hAnsi="宋体" w:eastAsia="宋体" w:cs="Times New Roman"/>
                <w:szCs w:val="21"/>
              </w:rPr>
            </w:pPr>
            <w:r>
              <w:rPr>
                <w:rFonts w:hint="eastAsia" w:ascii="宋体" w:hAnsi="宋体" w:eastAsia="宋体" w:cs="仿宋_GB2312"/>
                <w:szCs w:val="21"/>
              </w:rPr>
              <w:t>产地</w:t>
            </w:r>
          </w:p>
        </w:tc>
        <w:tc>
          <w:tcPr>
            <w:tcW w:w="1149" w:type="dxa"/>
            <w:tcBorders>
              <w:top w:val="single" w:color="auto" w:sz="4" w:space="0"/>
              <w:left w:val="single" w:color="auto" w:sz="4" w:space="0"/>
              <w:bottom w:val="single" w:color="auto" w:sz="4" w:space="0"/>
              <w:right w:val="single" w:color="auto" w:sz="4" w:space="0"/>
            </w:tcBorders>
            <w:vAlign w:val="center"/>
          </w:tcPr>
          <w:p w14:paraId="48629A64">
            <w:pPr>
              <w:snapToGrid w:val="0"/>
              <w:jc w:val="center"/>
              <w:rPr>
                <w:rFonts w:hint="eastAsia" w:ascii="宋体" w:hAnsi="宋体" w:eastAsia="宋体" w:cs="Times New Roman"/>
                <w:szCs w:val="21"/>
              </w:rPr>
            </w:pPr>
            <w:r>
              <w:rPr>
                <w:rFonts w:hint="eastAsia" w:ascii="宋体" w:hAnsi="宋体" w:eastAsia="宋体" w:cs="仿宋_GB2312"/>
                <w:szCs w:val="21"/>
              </w:rPr>
              <w:t>数量</w:t>
            </w:r>
          </w:p>
        </w:tc>
        <w:tc>
          <w:tcPr>
            <w:tcW w:w="1349" w:type="dxa"/>
            <w:tcBorders>
              <w:top w:val="single" w:color="auto" w:sz="4" w:space="0"/>
              <w:left w:val="single" w:color="auto" w:sz="4" w:space="0"/>
              <w:bottom w:val="single" w:color="auto" w:sz="4" w:space="0"/>
              <w:right w:val="single" w:color="auto" w:sz="4" w:space="0"/>
            </w:tcBorders>
            <w:vAlign w:val="center"/>
          </w:tcPr>
          <w:p w14:paraId="5E101046">
            <w:pPr>
              <w:snapToGrid w:val="0"/>
              <w:jc w:val="center"/>
              <w:rPr>
                <w:rFonts w:hint="eastAsia" w:ascii="宋体" w:hAnsi="宋体" w:eastAsia="宋体" w:cs="Times New Roman"/>
                <w:szCs w:val="21"/>
              </w:rPr>
            </w:pPr>
            <w:r>
              <w:rPr>
                <w:rFonts w:hint="eastAsia" w:ascii="宋体" w:hAnsi="宋体" w:eastAsia="宋体" w:cs="仿宋_GB2312"/>
                <w:szCs w:val="21"/>
              </w:rPr>
              <w:t>备注</w:t>
            </w:r>
          </w:p>
        </w:tc>
      </w:tr>
      <w:tr w14:paraId="38296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47C3E89">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53D89908">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09BFDA7E">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510874AF">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82F98E1">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00E0DC3C">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single" w:color="auto" w:sz="4" w:space="0"/>
              <w:right w:val="single" w:color="auto" w:sz="4" w:space="0"/>
            </w:tcBorders>
            <w:vAlign w:val="center"/>
          </w:tcPr>
          <w:p w14:paraId="1E41F900">
            <w:pPr>
              <w:snapToGrid w:val="0"/>
              <w:jc w:val="center"/>
              <w:rPr>
                <w:rFonts w:hint="eastAsia" w:ascii="宋体" w:hAnsi="宋体" w:eastAsia="宋体" w:cs="Times New Roman"/>
                <w:szCs w:val="21"/>
              </w:rPr>
            </w:pPr>
          </w:p>
        </w:tc>
      </w:tr>
      <w:tr w14:paraId="145C9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599A9CC">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4F7A681">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46596F95">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36E0EA7B">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C0CB959">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7CFD258">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66B201F9">
            <w:pPr>
              <w:snapToGrid w:val="0"/>
              <w:jc w:val="center"/>
              <w:rPr>
                <w:rFonts w:hint="eastAsia" w:ascii="宋体" w:hAnsi="宋体" w:eastAsia="宋体" w:cs="Times New Roman"/>
                <w:szCs w:val="21"/>
              </w:rPr>
            </w:pPr>
          </w:p>
        </w:tc>
      </w:tr>
      <w:tr w14:paraId="14DB2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64B149ED">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245DA53C">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3E340796">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7D393886">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3EC101E8">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FD9CC35">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7B1A19B9">
            <w:pPr>
              <w:snapToGrid w:val="0"/>
              <w:jc w:val="center"/>
              <w:rPr>
                <w:rFonts w:hint="eastAsia" w:ascii="宋体" w:hAnsi="宋体" w:eastAsia="宋体" w:cs="Times New Roman"/>
                <w:szCs w:val="21"/>
              </w:rPr>
            </w:pPr>
          </w:p>
        </w:tc>
      </w:tr>
      <w:tr w14:paraId="47D48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024A559B">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15A8EC6D">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818C692">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2E2D6043">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7A2CE418">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5E3F5ADA">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5076E15C">
            <w:pPr>
              <w:snapToGrid w:val="0"/>
              <w:jc w:val="center"/>
              <w:rPr>
                <w:rFonts w:hint="eastAsia" w:ascii="宋体" w:hAnsi="宋体" w:eastAsia="宋体" w:cs="Times New Roman"/>
                <w:szCs w:val="21"/>
              </w:rPr>
            </w:pPr>
          </w:p>
        </w:tc>
      </w:tr>
      <w:tr w14:paraId="0B419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419C23A6">
            <w:pPr>
              <w:snapToGrid w:val="0"/>
              <w:jc w:val="center"/>
              <w:rPr>
                <w:rFonts w:hint="eastAsia" w:ascii="宋体" w:hAnsi="宋体" w:eastAsia="宋体" w:cs="Times New Roman"/>
                <w:szCs w:val="21"/>
              </w:rPr>
            </w:pPr>
          </w:p>
        </w:tc>
        <w:tc>
          <w:tcPr>
            <w:tcW w:w="1574" w:type="dxa"/>
            <w:tcBorders>
              <w:top w:val="single" w:color="auto" w:sz="4" w:space="0"/>
              <w:left w:val="single" w:color="auto" w:sz="4" w:space="0"/>
              <w:bottom w:val="single" w:color="auto" w:sz="4" w:space="0"/>
              <w:right w:val="single" w:color="auto" w:sz="4" w:space="0"/>
            </w:tcBorders>
            <w:vAlign w:val="center"/>
          </w:tcPr>
          <w:p w14:paraId="3E4DF20E">
            <w:pPr>
              <w:snapToGrid w:val="0"/>
              <w:jc w:val="center"/>
              <w:rPr>
                <w:rFonts w:hint="eastAsia" w:ascii="宋体" w:hAnsi="宋体" w:eastAsia="宋体" w:cs="Times New Roman"/>
                <w:szCs w:val="21"/>
              </w:rPr>
            </w:pPr>
          </w:p>
        </w:tc>
        <w:tc>
          <w:tcPr>
            <w:tcW w:w="1360" w:type="dxa"/>
            <w:tcBorders>
              <w:top w:val="single" w:color="auto" w:sz="4" w:space="0"/>
              <w:left w:val="single" w:color="auto" w:sz="4" w:space="0"/>
              <w:bottom w:val="single" w:color="auto" w:sz="4" w:space="0"/>
              <w:right w:val="single" w:color="auto" w:sz="4" w:space="0"/>
            </w:tcBorders>
            <w:vAlign w:val="center"/>
          </w:tcPr>
          <w:p w14:paraId="66B34667">
            <w:pPr>
              <w:snapToGrid w:val="0"/>
              <w:jc w:val="center"/>
              <w:rPr>
                <w:rFonts w:hint="eastAsia" w:ascii="宋体" w:hAnsi="宋体" w:eastAsia="宋体" w:cs="Times New Roman"/>
                <w:szCs w:val="21"/>
              </w:rPr>
            </w:pPr>
          </w:p>
        </w:tc>
        <w:tc>
          <w:tcPr>
            <w:tcW w:w="1600" w:type="dxa"/>
            <w:tcBorders>
              <w:top w:val="single" w:color="auto" w:sz="4" w:space="0"/>
              <w:left w:val="single" w:color="auto" w:sz="4" w:space="0"/>
              <w:bottom w:val="single" w:color="auto" w:sz="4" w:space="0"/>
              <w:right w:val="single" w:color="auto" w:sz="4" w:space="0"/>
            </w:tcBorders>
            <w:vAlign w:val="center"/>
          </w:tcPr>
          <w:p w14:paraId="1729C1C6">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6EE5020D">
            <w:pPr>
              <w:snapToGrid w:val="0"/>
              <w:jc w:val="center"/>
              <w:rPr>
                <w:rFonts w:hint="eastAsia" w:ascii="宋体" w:hAnsi="宋体" w:eastAsia="宋体" w:cs="Times New Roman"/>
                <w:szCs w:val="21"/>
              </w:rPr>
            </w:pPr>
          </w:p>
        </w:tc>
        <w:tc>
          <w:tcPr>
            <w:tcW w:w="1149" w:type="dxa"/>
            <w:tcBorders>
              <w:top w:val="single" w:color="auto" w:sz="4" w:space="0"/>
              <w:left w:val="single" w:color="auto" w:sz="4" w:space="0"/>
              <w:bottom w:val="single" w:color="auto" w:sz="4" w:space="0"/>
              <w:right w:val="single" w:color="auto" w:sz="4" w:space="0"/>
            </w:tcBorders>
            <w:vAlign w:val="center"/>
          </w:tcPr>
          <w:p w14:paraId="4A70FE8F">
            <w:pPr>
              <w:snapToGrid w:val="0"/>
              <w:jc w:val="center"/>
              <w:rPr>
                <w:rFonts w:hint="eastAsia" w:ascii="宋体" w:hAnsi="宋体" w:eastAsia="宋体" w:cs="Times New Roman"/>
                <w:szCs w:val="21"/>
              </w:rPr>
            </w:pPr>
          </w:p>
        </w:tc>
        <w:tc>
          <w:tcPr>
            <w:tcW w:w="1349" w:type="dxa"/>
            <w:tcBorders>
              <w:top w:val="single" w:color="auto" w:sz="4" w:space="0"/>
              <w:left w:val="single" w:color="auto" w:sz="4" w:space="0"/>
              <w:bottom w:val="nil"/>
              <w:right w:val="single" w:color="auto" w:sz="4" w:space="0"/>
            </w:tcBorders>
            <w:vAlign w:val="center"/>
          </w:tcPr>
          <w:p w14:paraId="0BC7C4DD">
            <w:pPr>
              <w:snapToGrid w:val="0"/>
              <w:jc w:val="center"/>
              <w:rPr>
                <w:rFonts w:hint="eastAsia" w:ascii="宋体" w:hAnsi="宋体" w:eastAsia="宋体" w:cs="Times New Roman"/>
                <w:szCs w:val="21"/>
              </w:rPr>
            </w:pPr>
          </w:p>
        </w:tc>
      </w:tr>
      <w:tr w14:paraId="4874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14:paraId="76845305">
            <w:pPr>
              <w:snapToGrid w:val="0"/>
              <w:jc w:val="center"/>
              <w:rPr>
                <w:rFonts w:hint="eastAsia" w:ascii="宋体" w:hAnsi="宋体" w:eastAsia="宋体" w:cs="Times New Roman"/>
                <w:szCs w:val="21"/>
              </w:rPr>
            </w:pPr>
            <w:r>
              <w:rPr>
                <w:rFonts w:hint="eastAsia" w:ascii="宋体" w:hAnsi="宋体" w:eastAsia="宋体" w:cs="仿宋_GB2312"/>
                <w:szCs w:val="21"/>
              </w:rPr>
              <w:t>…</w:t>
            </w:r>
          </w:p>
        </w:tc>
        <w:tc>
          <w:tcPr>
            <w:tcW w:w="1574" w:type="dxa"/>
            <w:tcBorders>
              <w:top w:val="single" w:color="auto" w:sz="4" w:space="0"/>
              <w:left w:val="single" w:color="auto" w:sz="4" w:space="0"/>
              <w:bottom w:val="single" w:color="auto" w:sz="4" w:space="0"/>
              <w:right w:val="single" w:color="auto" w:sz="4" w:space="0"/>
            </w:tcBorders>
            <w:vAlign w:val="center"/>
          </w:tcPr>
          <w:p w14:paraId="064B5854">
            <w:pPr>
              <w:jc w:val="center"/>
              <w:rPr>
                <w:rFonts w:hint="eastAsia" w:ascii="宋体" w:hAnsi="宋体" w:eastAsia="宋体" w:cs="Times New Roman"/>
                <w:szCs w:val="21"/>
              </w:rPr>
            </w:pPr>
            <w:r>
              <w:rPr>
                <w:rFonts w:hint="eastAsia" w:ascii="宋体" w:hAnsi="宋体" w:eastAsia="宋体" w:cs="仿宋_GB2312"/>
                <w:szCs w:val="21"/>
              </w:rPr>
              <w:t>…</w:t>
            </w:r>
          </w:p>
        </w:tc>
        <w:tc>
          <w:tcPr>
            <w:tcW w:w="1360" w:type="dxa"/>
            <w:tcBorders>
              <w:top w:val="single" w:color="auto" w:sz="4" w:space="0"/>
              <w:left w:val="single" w:color="auto" w:sz="4" w:space="0"/>
              <w:bottom w:val="single" w:color="auto" w:sz="4" w:space="0"/>
              <w:right w:val="single" w:color="auto" w:sz="4" w:space="0"/>
            </w:tcBorders>
            <w:vAlign w:val="center"/>
          </w:tcPr>
          <w:p w14:paraId="6BCA23B1">
            <w:pPr>
              <w:jc w:val="center"/>
              <w:rPr>
                <w:rFonts w:hint="eastAsia" w:ascii="宋体" w:hAnsi="宋体" w:eastAsia="宋体" w:cs="Times New Roman"/>
                <w:szCs w:val="21"/>
              </w:rPr>
            </w:pPr>
            <w:r>
              <w:rPr>
                <w:rFonts w:hint="eastAsia" w:ascii="宋体" w:hAnsi="宋体" w:eastAsia="宋体" w:cs="仿宋_GB2312"/>
                <w:szCs w:val="21"/>
              </w:rPr>
              <w:t>…</w:t>
            </w:r>
          </w:p>
        </w:tc>
        <w:tc>
          <w:tcPr>
            <w:tcW w:w="1600" w:type="dxa"/>
            <w:tcBorders>
              <w:top w:val="single" w:color="auto" w:sz="4" w:space="0"/>
              <w:left w:val="single" w:color="auto" w:sz="4" w:space="0"/>
              <w:bottom w:val="single" w:color="auto" w:sz="4" w:space="0"/>
              <w:right w:val="single" w:color="auto" w:sz="4" w:space="0"/>
            </w:tcBorders>
            <w:vAlign w:val="center"/>
          </w:tcPr>
          <w:p w14:paraId="0751F15A">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25F9E1E5">
            <w:pPr>
              <w:jc w:val="center"/>
              <w:rPr>
                <w:rFonts w:hint="eastAsia" w:ascii="宋体" w:hAnsi="宋体" w:eastAsia="宋体" w:cs="Times New Roman"/>
                <w:szCs w:val="21"/>
              </w:rPr>
            </w:pPr>
            <w:r>
              <w:rPr>
                <w:rFonts w:hint="eastAsia" w:ascii="宋体" w:hAnsi="宋体" w:eastAsia="宋体" w:cs="仿宋_GB2312"/>
                <w:szCs w:val="21"/>
              </w:rPr>
              <w:t>…</w:t>
            </w:r>
          </w:p>
        </w:tc>
        <w:tc>
          <w:tcPr>
            <w:tcW w:w="1149" w:type="dxa"/>
            <w:tcBorders>
              <w:top w:val="single" w:color="auto" w:sz="4" w:space="0"/>
              <w:left w:val="single" w:color="auto" w:sz="4" w:space="0"/>
              <w:bottom w:val="single" w:color="auto" w:sz="4" w:space="0"/>
              <w:right w:val="single" w:color="auto" w:sz="4" w:space="0"/>
            </w:tcBorders>
            <w:vAlign w:val="center"/>
          </w:tcPr>
          <w:p w14:paraId="5AACB9E6">
            <w:pPr>
              <w:jc w:val="center"/>
              <w:rPr>
                <w:rFonts w:hint="eastAsia" w:ascii="宋体" w:hAnsi="宋体" w:eastAsia="宋体" w:cs="Times New Roman"/>
                <w:szCs w:val="21"/>
              </w:rPr>
            </w:pPr>
            <w:r>
              <w:rPr>
                <w:rFonts w:hint="eastAsia" w:ascii="宋体" w:hAnsi="宋体" w:eastAsia="宋体" w:cs="仿宋_GB2312"/>
                <w:szCs w:val="21"/>
              </w:rPr>
              <w:t>…</w:t>
            </w:r>
          </w:p>
        </w:tc>
        <w:tc>
          <w:tcPr>
            <w:tcW w:w="1349" w:type="dxa"/>
            <w:tcBorders>
              <w:top w:val="single" w:color="auto" w:sz="4" w:space="0"/>
              <w:left w:val="single" w:color="auto" w:sz="4" w:space="0"/>
              <w:bottom w:val="single" w:color="auto" w:sz="4" w:space="0"/>
              <w:right w:val="single" w:color="auto" w:sz="4" w:space="0"/>
            </w:tcBorders>
            <w:vAlign w:val="center"/>
          </w:tcPr>
          <w:p w14:paraId="52315AA3">
            <w:pPr>
              <w:jc w:val="center"/>
              <w:rPr>
                <w:rFonts w:hint="eastAsia" w:ascii="宋体" w:hAnsi="宋体" w:eastAsia="宋体" w:cs="Times New Roman"/>
                <w:szCs w:val="21"/>
              </w:rPr>
            </w:pPr>
            <w:r>
              <w:rPr>
                <w:rFonts w:hint="eastAsia" w:ascii="宋体" w:hAnsi="宋体" w:eastAsia="宋体" w:cs="仿宋_GB2312"/>
                <w:szCs w:val="21"/>
              </w:rPr>
              <w:t>…</w:t>
            </w:r>
          </w:p>
        </w:tc>
      </w:tr>
    </w:tbl>
    <w:p w14:paraId="63AC3090">
      <w:pPr>
        <w:rPr>
          <w:rFonts w:hint="eastAsia" w:ascii="宋体" w:hAnsi="宋体" w:eastAsia="宋体" w:cs="仿宋_GB2312"/>
          <w:szCs w:val="21"/>
        </w:rPr>
      </w:pPr>
      <w:r>
        <w:rPr>
          <w:rFonts w:hint="eastAsia" w:ascii="宋体" w:hAnsi="宋体" w:eastAsia="宋体" w:cs="仿宋_GB2312"/>
          <w:szCs w:val="21"/>
        </w:rPr>
        <w:t>注：1.本表格不得体现报价。</w:t>
      </w:r>
    </w:p>
    <w:p w14:paraId="677CC5AA">
      <w:pPr>
        <w:rPr>
          <w:rFonts w:hint="eastAsia" w:ascii="宋体" w:hAnsi="宋体" w:eastAsia="宋体" w:cs="仿宋_GB2312"/>
          <w:szCs w:val="21"/>
        </w:rPr>
      </w:pPr>
    </w:p>
    <w:p w14:paraId="11D1D4BE">
      <w:pPr>
        <w:rPr>
          <w:rFonts w:hint="eastAsia" w:ascii="宋体" w:hAnsi="宋体" w:eastAsia="宋体" w:cs="Times New Roman"/>
          <w:szCs w:val="21"/>
        </w:rPr>
      </w:pPr>
    </w:p>
    <w:p w14:paraId="3184921B">
      <w:pPr>
        <w:rPr>
          <w:rFonts w:hint="eastAsia" w:ascii="宋体" w:hAnsi="宋体" w:eastAsia="宋体" w:cs="Times New Roman"/>
          <w:szCs w:val="21"/>
        </w:rPr>
      </w:pPr>
    </w:p>
    <w:p w14:paraId="75E03134">
      <w:pPr>
        <w:rPr>
          <w:rFonts w:hint="eastAsia" w:ascii="宋体" w:hAnsi="宋体" w:eastAsia="宋体" w:cs="Times New Roman"/>
          <w:szCs w:val="21"/>
        </w:rPr>
      </w:pPr>
      <w:r>
        <w:rPr>
          <w:rFonts w:hint="eastAsia" w:ascii="宋体" w:hAnsi="宋体" w:eastAsia="宋体" w:cs="Times New Roman"/>
          <w:szCs w:val="21"/>
        </w:rPr>
        <w:t>投标人名称（盖章）：日期：</w:t>
      </w:r>
    </w:p>
    <w:p w14:paraId="5F7CF42A">
      <w:pPr>
        <w:snapToGrid w:val="0"/>
        <w:spacing w:before="50" w:after="156" w:afterLines="50"/>
        <w:jc w:val="left"/>
        <w:rPr>
          <w:rFonts w:hint="eastAsia" w:ascii="宋体" w:hAnsi="宋体" w:eastAsia="宋体" w:cs="Times New Roman"/>
          <w:b/>
          <w:sz w:val="24"/>
        </w:rPr>
      </w:pPr>
    </w:p>
    <w:p w14:paraId="336A965F">
      <w:pPr>
        <w:snapToGrid w:val="0"/>
        <w:spacing w:before="50" w:after="156" w:afterLines="50"/>
        <w:jc w:val="left"/>
        <w:rPr>
          <w:rFonts w:hint="eastAsia" w:ascii="宋体" w:hAnsi="宋体" w:eastAsia="宋体" w:cs="Times New Roman"/>
          <w:b/>
          <w:sz w:val="24"/>
        </w:rPr>
      </w:pPr>
    </w:p>
    <w:p w14:paraId="06DD6BAE">
      <w:pPr>
        <w:snapToGrid w:val="0"/>
        <w:spacing w:before="50" w:after="156" w:afterLines="50"/>
        <w:jc w:val="left"/>
        <w:rPr>
          <w:rFonts w:hint="eastAsia" w:ascii="宋体" w:hAnsi="宋体" w:eastAsia="宋体" w:cs="Times New Roman"/>
          <w:b/>
          <w:sz w:val="24"/>
        </w:rPr>
      </w:pPr>
    </w:p>
    <w:p w14:paraId="1B04212A">
      <w:pPr>
        <w:snapToGrid w:val="0"/>
        <w:spacing w:before="50" w:after="156" w:afterLines="50"/>
        <w:jc w:val="left"/>
        <w:rPr>
          <w:rFonts w:hint="eastAsia" w:ascii="宋体" w:hAnsi="宋体" w:eastAsia="宋体" w:cs="Times New Roman"/>
          <w:b/>
          <w:sz w:val="24"/>
        </w:rPr>
      </w:pPr>
    </w:p>
    <w:p w14:paraId="14B4A602">
      <w:pPr>
        <w:snapToGrid w:val="0"/>
        <w:spacing w:before="50" w:after="156" w:afterLines="50"/>
        <w:jc w:val="left"/>
        <w:rPr>
          <w:rFonts w:hint="eastAsia" w:ascii="宋体" w:hAnsi="宋体" w:eastAsia="宋体" w:cs="Times New Roman"/>
          <w:b/>
          <w:sz w:val="24"/>
        </w:rPr>
      </w:pPr>
    </w:p>
    <w:p w14:paraId="6C0DEDB6">
      <w:pPr>
        <w:snapToGrid w:val="0"/>
        <w:spacing w:before="50" w:after="156" w:afterLines="50"/>
        <w:jc w:val="left"/>
        <w:rPr>
          <w:rFonts w:hint="eastAsia" w:ascii="宋体" w:hAnsi="宋体" w:eastAsia="宋体" w:cs="Times New Roman"/>
          <w:b/>
          <w:sz w:val="24"/>
        </w:rPr>
      </w:pPr>
    </w:p>
    <w:p w14:paraId="71FB2254">
      <w:pPr>
        <w:snapToGrid w:val="0"/>
        <w:spacing w:before="50" w:after="156" w:afterLines="50"/>
        <w:jc w:val="left"/>
        <w:rPr>
          <w:rFonts w:hint="eastAsia" w:ascii="宋体" w:hAnsi="宋体" w:eastAsia="宋体" w:cs="Times New Roman"/>
          <w:b/>
          <w:sz w:val="24"/>
        </w:rPr>
      </w:pPr>
    </w:p>
    <w:p w14:paraId="1831D091">
      <w:pPr>
        <w:snapToGrid w:val="0"/>
        <w:spacing w:before="50" w:after="156" w:afterLines="50"/>
        <w:jc w:val="left"/>
        <w:rPr>
          <w:rFonts w:hint="eastAsia" w:ascii="宋体" w:hAnsi="宋体" w:eastAsia="宋体" w:cs="Times New Roman"/>
          <w:b/>
          <w:sz w:val="24"/>
        </w:rPr>
      </w:pPr>
    </w:p>
    <w:p w14:paraId="0857AAD2">
      <w:pPr>
        <w:snapToGrid w:val="0"/>
        <w:spacing w:before="50" w:after="156" w:afterLines="50"/>
        <w:jc w:val="left"/>
        <w:rPr>
          <w:rFonts w:hint="eastAsia" w:ascii="宋体" w:hAnsi="宋体" w:eastAsia="宋体" w:cs="Times New Roman"/>
          <w:b/>
          <w:sz w:val="24"/>
        </w:rPr>
      </w:pPr>
    </w:p>
    <w:p w14:paraId="03F07AEA">
      <w:pPr>
        <w:snapToGrid w:val="0"/>
        <w:spacing w:before="50" w:after="156" w:afterLines="50"/>
        <w:jc w:val="left"/>
        <w:rPr>
          <w:rFonts w:hint="eastAsia" w:ascii="宋体" w:hAnsi="宋体" w:eastAsia="宋体" w:cs="Times New Roman"/>
          <w:b/>
          <w:sz w:val="24"/>
        </w:rPr>
      </w:pPr>
    </w:p>
    <w:p w14:paraId="2CAFEA34">
      <w:pPr>
        <w:snapToGrid w:val="0"/>
        <w:spacing w:before="50" w:after="156" w:afterLines="50"/>
        <w:jc w:val="left"/>
        <w:rPr>
          <w:rFonts w:hint="eastAsia" w:ascii="宋体" w:hAnsi="宋体" w:eastAsia="宋体" w:cs="Times New Roman"/>
          <w:b/>
          <w:sz w:val="24"/>
        </w:rPr>
      </w:pPr>
    </w:p>
    <w:p w14:paraId="64432FA5">
      <w:pPr>
        <w:snapToGrid w:val="0"/>
        <w:spacing w:before="50" w:after="156" w:afterLines="50"/>
        <w:jc w:val="left"/>
        <w:rPr>
          <w:rFonts w:hint="eastAsia" w:ascii="宋体" w:hAnsi="宋体" w:eastAsia="宋体" w:cs="Times New Roman"/>
          <w:b/>
          <w:sz w:val="24"/>
        </w:rPr>
      </w:pPr>
    </w:p>
    <w:p w14:paraId="77EC71A0">
      <w:pPr>
        <w:pStyle w:val="18"/>
        <w:rPr>
          <w:rFonts w:hint="eastAsia"/>
        </w:rPr>
      </w:pPr>
    </w:p>
    <w:p w14:paraId="79771457">
      <w:pPr>
        <w:snapToGrid w:val="0"/>
        <w:spacing w:before="50" w:after="156" w:afterLines="50"/>
        <w:jc w:val="left"/>
        <w:rPr>
          <w:rFonts w:hint="eastAsia" w:ascii="宋体" w:hAnsi="宋体" w:eastAsia="宋体" w:cs="Times New Roman"/>
          <w:b/>
          <w:sz w:val="24"/>
        </w:rPr>
      </w:pPr>
    </w:p>
    <w:p w14:paraId="2F5B214F">
      <w:pPr>
        <w:snapToGrid w:val="0"/>
        <w:spacing w:before="50" w:after="156" w:afterLines="50"/>
        <w:jc w:val="center"/>
        <w:rPr>
          <w:rFonts w:hint="eastAsia" w:ascii="宋体" w:hAnsi="宋体" w:eastAsia="宋体" w:cs="Times New Roman"/>
          <w:b/>
          <w:sz w:val="30"/>
          <w:szCs w:val="30"/>
        </w:rPr>
      </w:pPr>
      <w:r>
        <w:rPr>
          <w:rFonts w:hint="eastAsia" w:ascii="宋体" w:hAnsi="宋体" w:eastAsia="宋体" w:cs="Times New Roman"/>
          <w:b/>
          <w:sz w:val="30"/>
          <w:szCs w:val="30"/>
        </w:rPr>
        <w:t>十二、技术响应表格式</w:t>
      </w:r>
    </w:p>
    <w:p w14:paraId="49B7541F">
      <w:pPr>
        <w:rPr>
          <w:rFonts w:hint="eastAsia" w:ascii="宋体" w:hAnsi="宋体" w:eastAsia="宋体" w:cs="Times New Roman"/>
        </w:rPr>
      </w:pPr>
      <w:r>
        <w:rPr>
          <w:rFonts w:hint="eastAsia" w:ascii="宋体" w:hAnsi="宋体" w:eastAsia="宋体" w:cs="Times New Roman"/>
        </w:rPr>
        <w:t>项目名称：</w:t>
      </w:r>
    </w:p>
    <w:p w14:paraId="02A6490E">
      <w:pPr>
        <w:snapToGrid w:val="0"/>
        <w:spacing w:line="360" w:lineRule="auto"/>
        <w:rPr>
          <w:rFonts w:ascii="宋体" w:hAnsi="Times New Roman" w:eastAsia="宋体" w:cs="Times New Roman"/>
        </w:rPr>
      </w:pPr>
      <w:r>
        <w:rPr>
          <w:rFonts w:hint="eastAsia" w:ascii="宋体" w:hAnsi="宋体" w:eastAsia="宋体" w:cs="Times New Roman"/>
        </w:rPr>
        <w:t>项目编号：</w:t>
      </w:r>
    </w:p>
    <w:tbl>
      <w:tblPr>
        <w:tblStyle w:val="61"/>
        <w:tblW w:w="90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2280"/>
        <w:gridCol w:w="2040"/>
        <w:gridCol w:w="1604"/>
        <w:gridCol w:w="1423"/>
      </w:tblGrid>
      <w:tr w14:paraId="45415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948" w:type="dxa"/>
            <w:gridSpan w:val="2"/>
            <w:tcBorders>
              <w:top w:val="single" w:color="auto" w:sz="4" w:space="0"/>
              <w:left w:val="single" w:color="auto" w:sz="4" w:space="0"/>
              <w:bottom w:val="single" w:color="auto" w:sz="4" w:space="0"/>
              <w:right w:val="single" w:color="auto" w:sz="4" w:space="0"/>
            </w:tcBorders>
            <w:vAlign w:val="center"/>
          </w:tcPr>
          <w:p w14:paraId="24105A3C">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招标文件要求</w:t>
            </w:r>
          </w:p>
        </w:tc>
        <w:tc>
          <w:tcPr>
            <w:tcW w:w="3644" w:type="dxa"/>
            <w:gridSpan w:val="2"/>
            <w:tcBorders>
              <w:top w:val="single" w:color="auto" w:sz="4" w:space="0"/>
              <w:left w:val="single" w:color="auto" w:sz="4" w:space="0"/>
              <w:bottom w:val="single" w:color="auto" w:sz="4" w:space="0"/>
              <w:right w:val="single" w:color="auto" w:sz="4" w:space="0"/>
            </w:tcBorders>
            <w:vAlign w:val="center"/>
          </w:tcPr>
          <w:p w14:paraId="61EB1EF3">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投标文件响应</w:t>
            </w:r>
          </w:p>
        </w:tc>
        <w:tc>
          <w:tcPr>
            <w:tcW w:w="1423" w:type="dxa"/>
            <w:vMerge w:val="restart"/>
            <w:tcBorders>
              <w:top w:val="single" w:color="auto" w:sz="4" w:space="0"/>
              <w:left w:val="single" w:color="auto" w:sz="4" w:space="0"/>
              <w:bottom w:val="single" w:color="auto" w:sz="4" w:space="0"/>
              <w:right w:val="single" w:color="auto" w:sz="4" w:space="0"/>
            </w:tcBorders>
            <w:vAlign w:val="center"/>
          </w:tcPr>
          <w:p w14:paraId="3106C67C">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偏离情况</w:t>
            </w:r>
          </w:p>
        </w:tc>
      </w:tr>
      <w:tr w14:paraId="22CDD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668" w:type="dxa"/>
            <w:tcBorders>
              <w:top w:val="single" w:color="auto" w:sz="4" w:space="0"/>
              <w:left w:val="single" w:color="auto" w:sz="4" w:space="0"/>
              <w:bottom w:val="single" w:color="auto" w:sz="4" w:space="0"/>
              <w:right w:val="single" w:color="auto" w:sz="4" w:space="0"/>
            </w:tcBorders>
            <w:vAlign w:val="center"/>
          </w:tcPr>
          <w:p w14:paraId="132C53CD">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2280" w:type="dxa"/>
            <w:tcBorders>
              <w:top w:val="single" w:color="auto" w:sz="4" w:space="0"/>
              <w:left w:val="single" w:color="auto" w:sz="4" w:space="0"/>
              <w:bottom w:val="single" w:color="auto" w:sz="4" w:space="0"/>
              <w:right w:val="single" w:color="auto" w:sz="4" w:space="0"/>
            </w:tcBorders>
            <w:vAlign w:val="center"/>
          </w:tcPr>
          <w:p w14:paraId="43BB1143">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2040" w:type="dxa"/>
            <w:tcBorders>
              <w:top w:val="single" w:color="auto" w:sz="4" w:space="0"/>
              <w:left w:val="single" w:color="auto" w:sz="4" w:space="0"/>
              <w:bottom w:val="single" w:color="auto" w:sz="4" w:space="0"/>
              <w:right w:val="single" w:color="auto" w:sz="4" w:space="0"/>
            </w:tcBorders>
            <w:vAlign w:val="center"/>
          </w:tcPr>
          <w:p w14:paraId="049948A7">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项目</w:t>
            </w:r>
          </w:p>
        </w:tc>
        <w:tc>
          <w:tcPr>
            <w:tcW w:w="1604" w:type="dxa"/>
            <w:tcBorders>
              <w:top w:val="single" w:color="auto" w:sz="4" w:space="0"/>
              <w:left w:val="single" w:color="auto" w:sz="4" w:space="0"/>
              <w:bottom w:val="single" w:color="auto" w:sz="4" w:space="0"/>
              <w:right w:val="single" w:color="auto" w:sz="4" w:space="0"/>
            </w:tcBorders>
            <w:vAlign w:val="center"/>
          </w:tcPr>
          <w:p w14:paraId="1185BC36">
            <w:pPr>
              <w:snapToGrid w:val="0"/>
              <w:spacing w:after="295"/>
              <w:jc w:val="center"/>
              <w:outlineLvl w:val="0"/>
              <w:rPr>
                <w:rFonts w:hint="eastAsia" w:ascii="宋体" w:hAnsi="宋体" w:eastAsia="宋体" w:cs="Times New Roman"/>
                <w:sz w:val="24"/>
              </w:rPr>
            </w:pPr>
            <w:r>
              <w:rPr>
                <w:rFonts w:hint="eastAsia" w:ascii="宋体" w:hAnsi="宋体" w:eastAsia="宋体" w:cs="Times New Roman"/>
                <w:sz w:val="24"/>
              </w:rPr>
              <w:t>要求</w:t>
            </w:r>
          </w:p>
        </w:tc>
        <w:tc>
          <w:tcPr>
            <w:tcW w:w="1423" w:type="dxa"/>
            <w:vMerge w:val="continue"/>
            <w:tcBorders>
              <w:top w:val="single" w:color="auto" w:sz="4" w:space="0"/>
              <w:left w:val="single" w:color="auto" w:sz="4" w:space="0"/>
              <w:bottom w:val="single" w:color="auto" w:sz="4" w:space="0"/>
              <w:right w:val="single" w:color="auto" w:sz="4" w:space="0"/>
            </w:tcBorders>
            <w:vAlign w:val="center"/>
          </w:tcPr>
          <w:p w14:paraId="06CE7AA5">
            <w:pPr>
              <w:widowControl/>
              <w:jc w:val="left"/>
              <w:rPr>
                <w:rFonts w:hint="eastAsia" w:ascii="宋体" w:hAnsi="宋体" w:eastAsia="宋体" w:cs="Times New Roman"/>
                <w:sz w:val="24"/>
              </w:rPr>
            </w:pPr>
          </w:p>
        </w:tc>
      </w:tr>
      <w:tr w14:paraId="610495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668" w:type="dxa"/>
            <w:tcBorders>
              <w:top w:val="single" w:color="auto" w:sz="4" w:space="0"/>
              <w:left w:val="single" w:color="auto" w:sz="4" w:space="0"/>
              <w:bottom w:val="single" w:color="auto" w:sz="4" w:space="0"/>
              <w:right w:val="single" w:color="auto" w:sz="4" w:space="0"/>
            </w:tcBorders>
            <w:vAlign w:val="center"/>
          </w:tcPr>
          <w:p w14:paraId="7192F21F">
            <w:pPr>
              <w:snapToGrid w:val="0"/>
              <w:spacing w:after="295"/>
              <w:jc w:val="center"/>
              <w:outlineLvl w:val="0"/>
              <w:rPr>
                <w:rFonts w:hint="eastAsia" w:ascii="宋体" w:hAnsi="宋体" w:eastAsia="宋体" w:cs="Times New Roman"/>
                <w:sz w:val="24"/>
              </w:rPr>
            </w:pPr>
          </w:p>
        </w:tc>
        <w:tc>
          <w:tcPr>
            <w:tcW w:w="2280" w:type="dxa"/>
            <w:tcBorders>
              <w:top w:val="single" w:color="auto" w:sz="4" w:space="0"/>
              <w:left w:val="single" w:color="auto" w:sz="4" w:space="0"/>
              <w:bottom w:val="single" w:color="auto" w:sz="4" w:space="0"/>
              <w:right w:val="single" w:color="auto" w:sz="4" w:space="0"/>
            </w:tcBorders>
            <w:vAlign w:val="center"/>
          </w:tcPr>
          <w:p w14:paraId="4F590FCF">
            <w:pPr>
              <w:snapToGrid w:val="0"/>
              <w:spacing w:after="295" w:line="120" w:lineRule="exact"/>
              <w:jc w:val="center"/>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1E8DC1D">
            <w:pPr>
              <w:snapToGrid w:val="0"/>
              <w:spacing w:after="295" w:line="120" w:lineRule="exact"/>
              <w:jc w:val="center"/>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vAlign w:val="center"/>
          </w:tcPr>
          <w:p w14:paraId="152FB048">
            <w:pPr>
              <w:snapToGrid w:val="0"/>
              <w:spacing w:after="295" w:line="120" w:lineRule="exact"/>
              <w:jc w:val="center"/>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vAlign w:val="center"/>
          </w:tcPr>
          <w:p w14:paraId="1F0E7576">
            <w:pPr>
              <w:snapToGrid w:val="0"/>
              <w:spacing w:after="295" w:line="120" w:lineRule="exact"/>
              <w:jc w:val="center"/>
              <w:outlineLvl w:val="0"/>
              <w:rPr>
                <w:rFonts w:hint="eastAsia" w:ascii="宋体" w:hAnsi="宋体" w:eastAsia="宋体" w:cs="Times New Roman"/>
                <w:sz w:val="24"/>
              </w:rPr>
            </w:pPr>
          </w:p>
        </w:tc>
      </w:tr>
      <w:tr w14:paraId="16AA7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14:paraId="40B8656B">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549CA57">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CEE03D9">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293BC1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8FFE540">
            <w:pPr>
              <w:snapToGrid w:val="0"/>
              <w:spacing w:after="295" w:line="120" w:lineRule="exact"/>
              <w:outlineLvl w:val="0"/>
              <w:rPr>
                <w:rFonts w:hint="eastAsia" w:ascii="宋体" w:hAnsi="宋体" w:eastAsia="宋体" w:cs="Times New Roman"/>
                <w:sz w:val="24"/>
              </w:rPr>
            </w:pPr>
          </w:p>
        </w:tc>
      </w:tr>
      <w:tr w14:paraId="531AE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1668" w:type="dxa"/>
            <w:tcBorders>
              <w:top w:val="single" w:color="auto" w:sz="4" w:space="0"/>
              <w:left w:val="single" w:color="auto" w:sz="4" w:space="0"/>
              <w:bottom w:val="single" w:color="auto" w:sz="4" w:space="0"/>
              <w:right w:val="single" w:color="auto" w:sz="4" w:space="0"/>
            </w:tcBorders>
            <w:vAlign w:val="center"/>
          </w:tcPr>
          <w:p w14:paraId="259D3B31">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0FF6C6F">
            <w:pPr>
              <w:snapToGrid w:val="0"/>
              <w:spacing w:after="295" w:line="120" w:lineRule="exact"/>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6C2D99B">
            <w:pPr>
              <w:snapToGrid w:val="0"/>
              <w:spacing w:after="295" w:line="120" w:lineRule="exact"/>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9FFAA2F">
            <w:pPr>
              <w:snapToGrid w:val="0"/>
              <w:spacing w:after="295" w:line="120" w:lineRule="exact"/>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458E7EC">
            <w:pPr>
              <w:snapToGrid w:val="0"/>
              <w:spacing w:after="295" w:line="120" w:lineRule="exact"/>
              <w:rPr>
                <w:rFonts w:hint="eastAsia" w:ascii="宋体" w:hAnsi="宋体" w:eastAsia="宋体" w:cs="Times New Roman"/>
                <w:sz w:val="24"/>
              </w:rPr>
            </w:pPr>
          </w:p>
        </w:tc>
      </w:tr>
      <w:tr w14:paraId="615E1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64E939E3">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E5C29A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68649EDB">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551D26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C43B965">
            <w:pPr>
              <w:snapToGrid w:val="0"/>
              <w:spacing w:after="295" w:line="120" w:lineRule="exact"/>
              <w:outlineLvl w:val="0"/>
              <w:rPr>
                <w:rFonts w:hint="eastAsia" w:ascii="宋体" w:hAnsi="宋体" w:eastAsia="宋体" w:cs="Times New Roman"/>
                <w:sz w:val="24"/>
              </w:rPr>
            </w:pPr>
          </w:p>
        </w:tc>
      </w:tr>
      <w:tr w14:paraId="59353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20D90FE2">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2CA844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23E134E0">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E01FDC9">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2913F0E6">
            <w:pPr>
              <w:snapToGrid w:val="0"/>
              <w:spacing w:after="295" w:line="120" w:lineRule="exact"/>
              <w:outlineLvl w:val="0"/>
              <w:rPr>
                <w:rFonts w:hint="eastAsia" w:ascii="宋体" w:hAnsi="宋体" w:eastAsia="宋体" w:cs="Times New Roman"/>
                <w:sz w:val="24"/>
              </w:rPr>
            </w:pPr>
          </w:p>
        </w:tc>
      </w:tr>
      <w:tr w14:paraId="4DDF3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32A50F4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0778A80E">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5EC5139">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6E5D2951">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0DD6B51">
            <w:pPr>
              <w:snapToGrid w:val="0"/>
              <w:spacing w:after="295" w:line="120" w:lineRule="exact"/>
              <w:outlineLvl w:val="0"/>
              <w:rPr>
                <w:rFonts w:hint="eastAsia" w:ascii="宋体" w:hAnsi="宋体" w:eastAsia="宋体" w:cs="Times New Roman"/>
                <w:sz w:val="24"/>
              </w:rPr>
            </w:pPr>
          </w:p>
        </w:tc>
      </w:tr>
      <w:tr w14:paraId="32EB8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9375D3F">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637520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56267725">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4B0C0174">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45931879">
            <w:pPr>
              <w:snapToGrid w:val="0"/>
              <w:spacing w:after="295" w:line="120" w:lineRule="exact"/>
              <w:outlineLvl w:val="0"/>
              <w:rPr>
                <w:rFonts w:hint="eastAsia" w:ascii="宋体" w:hAnsi="宋体" w:eastAsia="宋体" w:cs="Times New Roman"/>
                <w:sz w:val="24"/>
              </w:rPr>
            </w:pPr>
          </w:p>
        </w:tc>
      </w:tr>
      <w:tr w14:paraId="555B1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55BC1AD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59C6A329">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3B27169D">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E302FBD">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4DF53C7">
            <w:pPr>
              <w:snapToGrid w:val="0"/>
              <w:spacing w:after="295" w:line="120" w:lineRule="exact"/>
              <w:outlineLvl w:val="0"/>
              <w:rPr>
                <w:rFonts w:hint="eastAsia" w:ascii="宋体" w:hAnsi="宋体" w:eastAsia="宋体" w:cs="Times New Roman"/>
                <w:sz w:val="24"/>
              </w:rPr>
            </w:pPr>
          </w:p>
        </w:tc>
      </w:tr>
      <w:tr w14:paraId="6FA50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176623E8">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018D0B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17E79E86">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99F915A">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3592B1A8">
            <w:pPr>
              <w:snapToGrid w:val="0"/>
              <w:spacing w:after="295" w:line="120" w:lineRule="exact"/>
              <w:outlineLvl w:val="0"/>
              <w:rPr>
                <w:rFonts w:hint="eastAsia" w:ascii="宋体" w:hAnsi="宋体" w:eastAsia="宋体" w:cs="Times New Roman"/>
                <w:sz w:val="24"/>
              </w:rPr>
            </w:pPr>
          </w:p>
        </w:tc>
      </w:tr>
      <w:tr w14:paraId="0CE78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02AB5365">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60D02A82">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7EA4D3F7">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2C18C3F0">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536E8EEB">
            <w:pPr>
              <w:snapToGrid w:val="0"/>
              <w:spacing w:after="295" w:line="120" w:lineRule="exact"/>
              <w:outlineLvl w:val="0"/>
              <w:rPr>
                <w:rFonts w:hint="eastAsia" w:ascii="宋体" w:hAnsi="宋体" w:eastAsia="宋体" w:cs="Times New Roman"/>
                <w:sz w:val="24"/>
              </w:rPr>
            </w:pPr>
          </w:p>
        </w:tc>
      </w:tr>
      <w:tr w14:paraId="320B2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68" w:type="dxa"/>
            <w:tcBorders>
              <w:top w:val="single" w:color="auto" w:sz="4" w:space="0"/>
              <w:left w:val="single" w:color="auto" w:sz="4" w:space="0"/>
              <w:bottom w:val="single" w:color="auto" w:sz="4" w:space="0"/>
              <w:right w:val="single" w:color="auto" w:sz="4" w:space="0"/>
            </w:tcBorders>
            <w:vAlign w:val="center"/>
          </w:tcPr>
          <w:p w14:paraId="4FD4B223">
            <w:pPr>
              <w:rPr>
                <w:rFonts w:hint="eastAsia" w:ascii="宋体" w:hAnsi="宋体" w:eastAsia="宋体" w:cs="Times New Roman"/>
              </w:rPr>
            </w:pPr>
          </w:p>
        </w:tc>
        <w:tc>
          <w:tcPr>
            <w:tcW w:w="2280" w:type="dxa"/>
            <w:tcBorders>
              <w:top w:val="single" w:color="auto" w:sz="4" w:space="0"/>
              <w:left w:val="single" w:color="auto" w:sz="4" w:space="0"/>
              <w:bottom w:val="single" w:color="auto" w:sz="4" w:space="0"/>
              <w:right w:val="single" w:color="auto" w:sz="4" w:space="0"/>
            </w:tcBorders>
            <w:vAlign w:val="center"/>
          </w:tcPr>
          <w:p w14:paraId="2AC21B3D">
            <w:pPr>
              <w:snapToGrid w:val="0"/>
              <w:spacing w:after="295" w:line="120" w:lineRule="exact"/>
              <w:outlineLvl w:val="0"/>
              <w:rPr>
                <w:rFonts w:hint="eastAsia" w:ascii="宋体" w:hAnsi="宋体" w:eastAsia="宋体" w:cs="Times New Roman"/>
                <w:sz w:val="24"/>
              </w:rPr>
            </w:pPr>
          </w:p>
        </w:tc>
        <w:tc>
          <w:tcPr>
            <w:tcW w:w="2040" w:type="dxa"/>
            <w:tcBorders>
              <w:top w:val="single" w:color="auto" w:sz="4" w:space="0"/>
              <w:left w:val="single" w:color="auto" w:sz="4" w:space="0"/>
              <w:bottom w:val="single" w:color="auto" w:sz="4" w:space="0"/>
              <w:right w:val="single" w:color="auto" w:sz="4" w:space="0"/>
            </w:tcBorders>
          </w:tcPr>
          <w:p w14:paraId="07FBEB3A">
            <w:pPr>
              <w:snapToGrid w:val="0"/>
              <w:spacing w:after="295" w:line="120" w:lineRule="exact"/>
              <w:outlineLvl w:val="0"/>
              <w:rPr>
                <w:rFonts w:hint="eastAsia" w:ascii="宋体" w:hAnsi="宋体" w:eastAsia="宋体" w:cs="Times New Roman"/>
                <w:sz w:val="24"/>
              </w:rPr>
            </w:pPr>
          </w:p>
        </w:tc>
        <w:tc>
          <w:tcPr>
            <w:tcW w:w="1604" w:type="dxa"/>
            <w:tcBorders>
              <w:top w:val="single" w:color="auto" w:sz="4" w:space="0"/>
              <w:left w:val="single" w:color="auto" w:sz="4" w:space="0"/>
              <w:bottom w:val="single" w:color="auto" w:sz="4" w:space="0"/>
              <w:right w:val="single" w:color="auto" w:sz="4" w:space="0"/>
            </w:tcBorders>
          </w:tcPr>
          <w:p w14:paraId="08F0B602">
            <w:pPr>
              <w:snapToGrid w:val="0"/>
              <w:spacing w:after="295" w:line="120" w:lineRule="exact"/>
              <w:outlineLvl w:val="0"/>
              <w:rPr>
                <w:rFonts w:hint="eastAsia" w:ascii="宋体" w:hAnsi="宋体" w:eastAsia="宋体" w:cs="Times New Roman"/>
                <w:sz w:val="24"/>
              </w:rPr>
            </w:pPr>
          </w:p>
        </w:tc>
        <w:tc>
          <w:tcPr>
            <w:tcW w:w="1423" w:type="dxa"/>
            <w:tcBorders>
              <w:top w:val="single" w:color="auto" w:sz="4" w:space="0"/>
              <w:left w:val="single" w:color="auto" w:sz="4" w:space="0"/>
              <w:bottom w:val="single" w:color="auto" w:sz="4" w:space="0"/>
              <w:right w:val="single" w:color="auto" w:sz="4" w:space="0"/>
            </w:tcBorders>
          </w:tcPr>
          <w:p w14:paraId="05C213CC">
            <w:pPr>
              <w:snapToGrid w:val="0"/>
              <w:spacing w:after="295" w:line="120" w:lineRule="exact"/>
              <w:outlineLvl w:val="0"/>
              <w:rPr>
                <w:rFonts w:hint="eastAsia" w:ascii="宋体" w:hAnsi="宋体" w:eastAsia="宋体" w:cs="Times New Roman"/>
                <w:sz w:val="24"/>
              </w:rPr>
            </w:pPr>
          </w:p>
        </w:tc>
      </w:tr>
    </w:tbl>
    <w:p w14:paraId="37CD4CE4">
      <w:pPr>
        <w:snapToGrid w:val="0"/>
        <w:spacing w:before="50" w:after="50"/>
        <w:rPr>
          <w:rFonts w:hint="eastAsia" w:ascii="宋体" w:hAnsi="宋体" w:eastAsia="宋体" w:cs="Times New Roman"/>
          <w:b/>
        </w:rPr>
      </w:pPr>
    </w:p>
    <w:p w14:paraId="7BECFA74">
      <w:pPr>
        <w:snapToGrid w:val="0"/>
        <w:spacing w:before="50" w:after="50"/>
        <w:rPr>
          <w:rFonts w:hint="eastAsia" w:ascii="宋体" w:hAnsi="宋体" w:eastAsia="宋体" w:cs="Times New Roman"/>
          <w:b/>
          <w:spacing w:val="20"/>
          <w:sz w:val="24"/>
        </w:rPr>
      </w:pPr>
    </w:p>
    <w:p w14:paraId="64D7C258">
      <w:pPr>
        <w:snapToGrid w:val="0"/>
        <w:spacing w:before="50" w:after="50"/>
        <w:rPr>
          <w:rFonts w:hint="eastAsia" w:ascii="宋体" w:hAnsi="宋体" w:eastAsia="宋体" w:cs="Times New Roman"/>
        </w:rPr>
      </w:pPr>
    </w:p>
    <w:p w14:paraId="15C50B94">
      <w:pPr>
        <w:snapToGrid w:val="0"/>
        <w:ind w:left="2" w:right="-817" w:rightChars="-389"/>
        <w:rPr>
          <w:rFonts w:hint="eastAsia" w:ascii="宋体" w:hAnsi="宋体" w:eastAsia="宋体" w:cs="Times New Roman"/>
        </w:rPr>
      </w:pPr>
    </w:p>
    <w:p w14:paraId="21A03916">
      <w:pPr>
        <w:snapToGrid w:val="0"/>
        <w:spacing w:before="50" w:after="50"/>
        <w:rPr>
          <w:rFonts w:hint="eastAsia" w:ascii="宋体" w:hAnsi="宋体" w:eastAsia="宋体" w:cs="Times New Roman"/>
          <w:sz w:val="24"/>
        </w:rPr>
      </w:pPr>
      <w:r>
        <w:rPr>
          <w:rFonts w:hint="eastAsia" w:ascii="宋体" w:hAnsi="宋体" w:eastAsia="宋体" w:cs="Times New Roman"/>
        </w:rPr>
        <w:t>投标人名称（盖章）：</w:t>
      </w:r>
      <w:r>
        <w:rPr>
          <w:rFonts w:hint="eastAsia" w:ascii="宋体" w:hAnsi="宋体" w:eastAsia="宋体" w:cs="Times New Roman"/>
          <w:spacing w:val="20"/>
        </w:rPr>
        <w:t>日期：</w:t>
      </w:r>
    </w:p>
    <w:p w14:paraId="33E29369">
      <w:pPr>
        <w:snapToGrid w:val="0"/>
        <w:spacing w:before="50" w:after="156" w:afterLines="50"/>
        <w:jc w:val="left"/>
        <w:rPr>
          <w:rFonts w:hint="eastAsia" w:ascii="宋体" w:hAnsi="宋体" w:eastAsia="宋体" w:cs="Times New Roman"/>
          <w:b/>
          <w:sz w:val="24"/>
        </w:rPr>
      </w:pPr>
    </w:p>
    <w:p w14:paraId="47E7832E">
      <w:pPr>
        <w:snapToGrid w:val="0"/>
        <w:spacing w:before="50" w:after="156" w:afterLines="50"/>
        <w:jc w:val="left"/>
        <w:rPr>
          <w:rFonts w:hint="eastAsia" w:ascii="宋体" w:hAnsi="宋体" w:eastAsia="宋体" w:cs="Times New Roman"/>
          <w:b/>
          <w:sz w:val="24"/>
        </w:rPr>
      </w:pPr>
    </w:p>
    <w:p w14:paraId="75EDC0FA">
      <w:pPr>
        <w:rPr>
          <w:rFonts w:ascii="Calibri" w:hAnsi="Calibri" w:eastAsia="宋体" w:cs="Times New Roman"/>
        </w:rPr>
      </w:pPr>
    </w:p>
    <w:p w14:paraId="7233459E">
      <w:pPr>
        <w:pStyle w:val="27"/>
        <w:ind w:firstLine="0" w:firstLineChars="0"/>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hiller">
    <w:panose1 w:val="04020404031007020602"/>
    <w:charset w:val="00"/>
    <w:family w:val="decorative"/>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方正大黑简体">
    <w:altName w:val="黑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Microsoft JhengHei"/>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963315"/>
    </w:sdtPr>
    <w:sdtContent>
      <w:p w14:paraId="35DC8613">
        <w:pPr>
          <w:pStyle w:val="45"/>
          <w:ind w:left="5250"/>
          <w:jc w:val="right"/>
          <w:rPr>
            <w:rFonts w:hint="eastAsia"/>
          </w:rPr>
        </w:pPr>
        <w:r>
          <w:fldChar w:fldCharType="begin"/>
        </w:r>
        <w:r>
          <w:instrText xml:space="preserve">PAGE   \* MERGEFORMAT</w:instrText>
        </w:r>
        <w:r>
          <w:fldChar w:fldCharType="separate"/>
        </w:r>
        <w:r>
          <w:rPr>
            <w:lang w:val="zh-CN"/>
          </w:rPr>
          <w:t>21</w:t>
        </w:r>
        <w:r>
          <w:fldChar w:fldCharType="end"/>
        </w:r>
      </w:p>
    </w:sdtContent>
  </w:sdt>
  <w:p w14:paraId="5EB85510">
    <w:pPr>
      <w:pStyle w:val="4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D174">
    <w:pPr>
      <w:pStyle w:val="46"/>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28"/>
      <w:lvlText w:val="%1."/>
      <w:lvlJc w:val="left"/>
      <w:pPr>
        <w:tabs>
          <w:tab w:val="left" w:pos="360"/>
        </w:tabs>
        <w:ind w:left="360" w:hanging="360"/>
      </w:pPr>
      <w:rPr>
        <w:rFonts w:cs="Times New Roman"/>
      </w:rPr>
    </w:lvl>
  </w:abstractNum>
  <w:abstractNum w:abstractNumId="1">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2">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9"/>
    <w:multiLevelType w:val="multilevel"/>
    <w:tmpl w:val="00000009"/>
    <w:lvl w:ilvl="0" w:tentative="0">
      <w:start w:val="1"/>
      <w:numFmt w:val="japaneseCounting"/>
      <w:pStyle w:val="404"/>
      <w:suff w:val="nothing"/>
      <w:lvlText w:val="%1、"/>
      <w:lvlJc w:val="left"/>
      <w:pPr>
        <w:ind w:left="0" w:firstLine="0"/>
      </w:pPr>
      <w:rPr>
        <w:rFonts w:hint="eastAsia" w:ascii="宋体" w:eastAsia="宋体"/>
        <w:b/>
        <w:i w:val="0"/>
        <w:sz w:val="28"/>
      </w:rPr>
    </w:lvl>
    <w:lvl w:ilvl="1" w:tentative="0">
      <w:start w:val="1"/>
      <w:numFmt w:val="japaneseCounting"/>
      <w:pStyle w:val="402"/>
      <w:suff w:val="nothing"/>
      <w:lvlText w:val="（%2）"/>
      <w:lvlJc w:val="left"/>
      <w:pPr>
        <w:ind w:left="0" w:firstLine="0"/>
      </w:pPr>
      <w:rPr>
        <w:rFonts w:hint="eastAsia" w:ascii="宋体" w:eastAsia="宋体"/>
        <w:b/>
        <w:i w:val="0"/>
        <w:sz w:val="24"/>
      </w:rPr>
    </w:lvl>
    <w:lvl w:ilvl="2" w:tentative="0">
      <w:start w:val="1"/>
      <w:numFmt w:val="decimal"/>
      <w:pStyle w:val="400"/>
      <w:lvlText w:val="%1.%2.%3"/>
      <w:lvlJc w:val="left"/>
      <w:pPr>
        <w:ind w:left="0" w:firstLine="0"/>
      </w:pPr>
      <w:rPr>
        <w:rFonts w:hint="eastAsia" w:ascii="宋体" w:eastAsia="宋体"/>
        <w:b/>
        <w:i w:val="0"/>
        <w:sz w:val="24"/>
      </w:rPr>
    </w:lvl>
    <w:lvl w:ilvl="3" w:tentative="0">
      <w:start w:val="1"/>
      <w:numFmt w:val="decimal"/>
      <w:pStyle w:val="399"/>
      <w:lvlText w:val="%1.%2.%3.%4"/>
      <w:lvlJc w:val="left"/>
      <w:pPr>
        <w:ind w:left="0" w:firstLine="0"/>
      </w:pPr>
      <w:rPr>
        <w:rFonts w:hint="eastAsia" w:ascii="宋体" w:eastAsia="宋体"/>
        <w:b/>
        <w:i w:val="0"/>
        <w:sz w:val="21"/>
      </w:rPr>
    </w:lvl>
    <w:lvl w:ilvl="4" w:tentative="0">
      <w:start w:val="1"/>
      <w:numFmt w:val="lowerLetter"/>
      <w:pStyle w:val="708"/>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0000000A"/>
    <w:multiLevelType w:val="multilevel"/>
    <w:tmpl w:val="0000000A"/>
    <w:lvl w:ilvl="0" w:tentative="0">
      <w:start w:val="1"/>
      <w:numFmt w:val="decimal"/>
      <w:pStyle w:val="376"/>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2"/>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6">
    <w:nsid w:val="0AADC6A9"/>
    <w:multiLevelType w:val="singleLevel"/>
    <w:tmpl w:val="0AADC6A9"/>
    <w:lvl w:ilvl="0" w:tentative="0">
      <w:start w:val="2"/>
      <w:numFmt w:val="chineseCounting"/>
      <w:suff w:val="space"/>
      <w:lvlText w:val="第%1章"/>
      <w:lvlJc w:val="left"/>
      <w:rPr>
        <w:rFonts w:hint="eastAsia"/>
      </w:rPr>
    </w:lvl>
  </w:abstractNum>
  <w:abstractNum w:abstractNumId="7">
    <w:nsid w:val="0C34DE15"/>
    <w:multiLevelType w:val="singleLevel"/>
    <w:tmpl w:val="0C34DE15"/>
    <w:lvl w:ilvl="0" w:tentative="0">
      <w:start w:val="1"/>
      <w:numFmt w:val="decimal"/>
      <w:lvlText w:val="%1."/>
      <w:lvlJc w:val="left"/>
      <w:pPr>
        <w:tabs>
          <w:tab w:val="left" w:pos="312"/>
        </w:tabs>
      </w:pPr>
    </w:lvl>
  </w:abstractNum>
  <w:abstractNum w:abstractNumId="8">
    <w:nsid w:val="225A8346"/>
    <w:multiLevelType w:val="singleLevel"/>
    <w:tmpl w:val="225A8346"/>
    <w:lvl w:ilvl="0" w:tentative="0">
      <w:start w:val="1"/>
      <w:numFmt w:val="decimal"/>
      <w:lvlText w:val="%1."/>
      <w:lvlJc w:val="left"/>
      <w:pPr>
        <w:tabs>
          <w:tab w:val="left" w:pos="312"/>
        </w:tabs>
      </w:pPr>
    </w:lvl>
  </w:abstractNum>
  <w:abstractNum w:abstractNumId="9">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0">
    <w:nsid w:val="4DD4552D"/>
    <w:multiLevelType w:val="singleLevel"/>
    <w:tmpl w:val="4DD4552D"/>
    <w:lvl w:ilvl="0" w:tentative="0">
      <w:start w:val="1"/>
      <w:numFmt w:val="decimal"/>
      <w:lvlText w:val="%1."/>
      <w:lvlJc w:val="left"/>
      <w:pPr>
        <w:tabs>
          <w:tab w:val="left" w:pos="312"/>
        </w:tabs>
      </w:pPr>
    </w:lvl>
  </w:abstractNum>
  <w:abstractNum w:abstractNumId="11">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lvlOverride w:ilvl="0">
      <w:startOverride w:val="1"/>
    </w:lvlOverride>
  </w:num>
  <w:num w:numId="7">
    <w:abstractNumId w:val="5"/>
  </w:num>
  <w:num w:numId="8">
    <w:abstractNumId w:val="6"/>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NiNjc4N2Y5YzJiNWY0NjQxMTBmZmRlYWU5ZTMifQ=="/>
  </w:docVars>
  <w:rsids>
    <w:rsidRoot w:val="00276BF3"/>
    <w:rsid w:val="00001909"/>
    <w:rsid w:val="00032364"/>
    <w:rsid w:val="00036C78"/>
    <w:rsid w:val="000529E9"/>
    <w:rsid w:val="00062C66"/>
    <w:rsid w:val="00070AE1"/>
    <w:rsid w:val="00072BCE"/>
    <w:rsid w:val="00074FF2"/>
    <w:rsid w:val="00080F3A"/>
    <w:rsid w:val="00081417"/>
    <w:rsid w:val="00090483"/>
    <w:rsid w:val="000932ED"/>
    <w:rsid w:val="000A212A"/>
    <w:rsid w:val="000A4BD6"/>
    <w:rsid w:val="000C2AB4"/>
    <w:rsid w:val="000D0D45"/>
    <w:rsid w:val="000D13DC"/>
    <w:rsid w:val="000D3992"/>
    <w:rsid w:val="000D6C5E"/>
    <w:rsid w:val="000F4AC0"/>
    <w:rsid w:val="000F6008"/>
    <w:rsid w:val="001049C5"/>
    <w:rsid w:val="001118FC"/>
    <w:rsid w:val="001256CF"/>
    <w:rsid w:val="00136EF5"/>
    <w:rsid w:val="001611C0"/>
    <w:rsid w:val="00164141"/>
    <w:rsid w:val="00187B27"/>
    <w:rsid w:val="001924FD"/>
    <w:rsid w:val="001B758D"/>
    <w:rsid w:val="001C1C1B"/>
    <w:rsid w:val="001C5A49"/>
    <w:rsid w:val="001D504C"/>
    <w:rsid w:val="001E0541"/>
    <w:rsid w:val="001E347B"/>
    <w:rsid w:val="001E5A25"/>
    <w:rsid w:val="001E6360"/>
    <w:rsid w:val="001F13CF"/>
    <w:rsid w:val="002001DC"/>
    <w:rsid w:val="00202AE3"/>
    <w:rsid w:val="0020585E"/>
    <w:rsid w:val="00213004"/>
    <w:rsid w:val="002139E0"/>
    <w:rsid w:val="00231C23"/>
    <w:rsid w:val="00252080"/>
    <w:rsid w:val="002663D6"/>
    <w:rsid w:val="0027055C"/>
    <w:rsid w:val="00271F21"/>
    <w:rsid w:val="00276BF3"/>
    <w:rsid w:val="00282749"/>
    <w:rsid w:val="00283C8D"/>
    <w:rsid w:val="00285F07"/>
    <w:rsid w:val="00295BED"/>
    <w:rsid w:val="002A1EF7"/>
    <w:rsid w:val="002B1B72"/>
    <w:rsid w:val="002B3838"/>
    <w:rsid w:val="002C5E9E"/>
    <w:rsid w:val="002C6E39"/>
    <w:rsid w:val="002D1713"/>
    <w:rsid w:val="002F4CED"/>
    <w:rsid w:val="003031F5"/>
    <w:rsid w:val="00307828"/>
    <w:rsid w:val="003126CE"/>
    <w:rsid w:val="003158F6"/>
    <w:rsid w:val="003165C7"/>
    <w:rsid w:val="00322E77"/>
    <w:rsid w:val="00331809"/>
    <w:rsid w:val="003364EC"/>
    <w:rsid w:val="00337041"/>
    <w:rsid w:val="0033784E"/>
    <w:rsid w:val="00345217"/>
    <w:rsid w:val="00352B55"/>
    <w:rsid w:val="00361E3A"/>
    <w:rsid w:val="003765FB"/>
    <w:rsid w:val="00376C0E"/>
    <w:rsid w:val="00386D4F"/>
    <w:rsid w:val="00390064"/>
    <w:rsid w:val="0039566A"/>
    <w:rsid w:val="003A2212"/>
    <w:rsid w:val="003B5516"/>
    <w:rsid w:val="003C0562"/>
    <w:rsid w:val="003E1D5A"/>
    <w:rsid w:val="004002AD"/>
    <w:rsid w:val="004064C3"/>
    <w:rsid w:val="00412526"/>
    <w:rsid w:val="00413687"/>
    <w:rsid w:val="00413712"/>
    <w:rsid w:val="004152E2"/>
    <w:rsid w:val="00424B7D"/>
    <w:rsid w:val="00430EF1"/>
    <w:rsid w:val="00431B8D"/>
    <w:rsid w:val="004478F1"/>
    <w:rsid w:val="0045589F"/>
    <w:rsid w:val="00462E61"/>
    <w:rsid w:val="00475182"/>
    <w:rsid w:val="00481FEA"/>
    <w:rsid w:val="0048220C"/>
    <w:rsid w:val="004876FB"/>
    <w:rsid w:val="0049430C"/>
    <w:rsid w:val="004958C9"/>
    <w:rsid w:val="004B2574"/>
    <w:rsid w:val="004B4C8D"/>
    <w:rsid w:val="004C12A7"/>
    <w:rsid w:val="004C43DD"/>
    <w:rsid w:val="004D43E6"/>
    <w:rsid w:val="004E11DB"/>
    <w:rsid w:val="004E4682"/>
    <w:rsid w:val="004E7BBE"/>
    <w:rsid w:val="004F0332"/>
    <w:rsid w:val="00502E3E"/>
    <w:rsid w:val="00506D06"/>
    <w:rsid w:val="00560881"/>
    <w:rsid w:val="00563594"/>
    <w:rsid w:val="00564A49"/>
    <w:rsid w:val="00566397"/>
    <w:rsid w:val="00567B86"/>
    <w:rsid w:val="005763CC"/>
    <w:rsid w:val="00595BFB"/>
    <w:rsid w:val="005A2D64"/>
    <w:rsid w:val="005A3595"/>
    <w:rsid w:val="005C01D6"/>
    <w:rsid w:val="005C5CC5"/>
    <w:rsid w:val="005D0B62"/>
    <w:rsid w:val="00601584"/>
    <w:rsid w:val="00603EDC"/>
    <w:rsid w:val="006137EA"/>
    <w:rsid w:val="00614177"/>
    <w:rsid w:val="006166A7"/>
    <w:rsid w:val="00625C32"/>
    <w:rsid w:val="00631D21"/>
    <w:rsid w:val="00633123"/>
    <w:rsid w:val="00635592"/>
    <w:rsid w:val="00653F94"/>
    <w:rsid w:val="006600D5"/>
    <w:rsid w:val="0067053B"/>
    <w:rsid w:val="00672702"/>
    <w:rsid w:val="0067722F"/>
    <w:rsid w:val="006811B5"/>
    <w:rsid w:val="00681D10"/>
    <w:rsid w:val="0068484F"/>
    <w:rsid w:val="00687974"/>
    <w:rsid w:val="006A1774"/>
    <w:rsid w:val="006B121B"/>
    <w:rsid w:val="006B126A"/>
    <w:rsid w:val="006B42AB"/>
    <w:rsid w:val="006C347E"/>
    <w:rsid w:val="006C4648"/>
    <w:rsid w:val="006C4EA3"/>
    <w:rsid w:val="006D3277"/>
    <w:rsid w:val="006D66D9"/>
    <w:rsid w:val="006E607B"/>
    <w:rsid w:val="00701385"/>
    <w:rsid w:val="0070256B"/>
    <w:rsid w:val="00702AD0"/>
    <w:rsid w:val="00707E15"/>
    <w:rsid w:val="0071386E"/>
    <w:rsid w:val="00716BC3"/>
    <w:rsid w:val="00731B9E"/>
    <w:rsid w:val="00733E90"/>
    <w:rsid w:val="00741ABF"/>
    <w:rsid w:val="00747C1E"/>
    <w:rsid w:val="007552C9"/>
    <w:rsid w:val="0078219F"/>
    <w:rsid w:val="00786562"/>
    <w:rsid w:val="00790F6E"/>
    <w:rsid w:val="00792BD8"/>
    <w:rsid w:val="007A1BB5"/>
    <w:rsid w:val="007E3A5A"/>
    <w:rsid w:val="007E6A58"/>
    <w:rsid w:val="007F0C69"/>
    <w:rsid w:val="007F144B"/>
    <w:rsid w:val="007F1B57"/>
    <w:rsid w:val="00804D7C"/>
    <w:rsid w:val="00805857"/>
    <w:rsid w:val="00811004"/>
    <w:rsid w:val="00812823"/>
    <w:rsid w:val="00812E74"/>
    <w:rsid w:val="0084208B"/>
    <w:rsid w:val="00861344"/>
    <w:rsid w:val="00861346"/>
    <w:rsid w:val="00865670"/>
    <w:rsid w:val="008703AE"/>
    <w:rsid w:val="008711BB"/>
    <w:rsid w:val="008809D0"/>
    <w:rsid w:val="008837B8"/>
    <w:rsid w:val="008A69E6"/>
    <w:rsid w:val="008B0394"/>
    <w:rsid w:val="008B3A5F"/>
    <w:rsid w:val="008C45F1"/>
    <w:rsid w:val="008C4BF6"/>
    <w:rsid w:val="008D1D00"/>
    <w:rsid w:val="009019A4"/>
    <w:rsid w:val="00901E15"/>
    <w:rsid w:val="00906370"/>
    <w:rsid w:val="00936276"/>
    <w:rsid w:val="0093668A"/>
    <w:rsid w:val="00944CE9"/>
    <w:rsid w:val="009546C0"/>
    <w:rsid w:val="00954BC0"/>
    <w:rsid w:val="009614D5"/>
    <w:rsid w:val="00962B06"/>
    <w:rsid w:val="0096550A"/>
    <w:rsid w:val="009A0329"/>
    <w:rsid w:val="009A4E2E"/>
    <w:rsid w:val="009B75A4"/>
    <w:rsid w:val="009B7F29"/>
    <w:rsid w:val="009C0F94"/>
    <w:rsid w:val="009C7E5F"/>
    <w:rsid w:val="009D3A4F"/>
    <w:rsid w:val="009D3D14"/>
    <w:rsid w:val="009F0B92"/>
    <w:rsid w:val="009F5C56"/>
    <w:rsid w:val="00A06BF5"/>
    <w:rsid w:val="00A2421E"/>
    <w:rsid w:val="00A26F03"/>
    <w:rsid w:val="00A3295D"/>
    <w:rsid w:val="00A501E4"/>
    <w:rsid w:val="00A546BF"/>
    <w:rsid w:val="00A65269"/>
    <w:rsid w:val="00A67D80"/>
    <w:rsid w:val="00A71309"/>
    <w:rsid w:val="00A8194D"/>
    <w:rsid w:val="00A86676"/>
    <w:rsid w:val="00A87727"/>
    <w:rsid w:val="00A920C1"/>
    <w:rsid w:val="00AA0F81"/>
    <w:rsid w:val="00AA48E6"/>
    <w:rsid w:val="00AB116F"/>
    <w:rsid w:val="00AB5127"/>
    <w:rsid w:val="00AD0B77"/>
    <w:rsid w:val="00AD39C8"/>
    <w:rsid w:val="00AD4BCF"/>
    <w:rsid w:val="00AF087D"/>
    <w:rsid w:val="00AF7C4A"/>
    <w:rsid w:val="00B11081"/>
    <w:rsid w:val="00B2287F"/>
    <w:rsid w:val="00B27627"/>
    <w:rsid w:val="00B30641"/>
    <w:rsid w:val="00B44D6F"/>
    <w:rsid w:val="00B46719"/>
    <w:rsid w:val="00B56AD7"/>
    <w:rsid w:val="00B61DA0"/>
    <w:rsid w:val="00B64070"/>
    <w:rsid w:val="00B654B5"/>
    <w:rsid w:val="00B84C52"/>
    <w:rsid w:val="00B86CE6"/>
    <w:rsid w:val="00B92BE4"/>
    <w:rsid w:val="00BB5AA3"/>
    <w:rsid w:val="00BC1791"/>
    <w:rsid w:val="00BC1B8D"/>
    <w:rsid w:val="00BD620F"/>
    <w:rsid w:val="00BD6F4E"/>
    <w:rsid w:val="00BD757C"/>
    <w:rsid w:val="00BE3625"/>
    <w:rsid w:val="00BE46DE"/>
    <w:rsid w:val="00C21FA1"/>
    <w:rsid w:val="00C4349A"/>
    <w:rsid w:val="00C436DC"/>
    <w:rsid w:val="00C43B4B"/>
    <w:rsid w:val="00C44963"/>
    <w:rsid w:val="00C46335"/>
    <w:rsid w:val="00C464D3"/>
    <w:rsid w:val="00C551D4"/>
    <w:rsid w:val="00C57DC5"/>
    <w:rsid w:val="00C65E41"/>
    <w:rsid w:val="00C9238B"/>
    <w:rsid w:val="00CA0C60"/>
    <w:rsid w:val="00CA1E96"/>
    <w:rsid w:val="00CA2086"/>
    <w:rsid w:val="00CA2862"/>
    <w:rsid w:val="00CB31AB"/>
    <w:rsid w:val="00CB4A67"/>
    <w:rsid w:val="00CB4C78"/>
    <w:rsid w:val="00CC61CE"/>
    <w:rsid w:val="00CD3DC6"/>
    <w:rsid w:val="00CD4CD6"/>
    <w:rsid w:val="00CD706D"/>
    <w:rsid w:val="00CE29B2"/>
    <w:rsid w:val="00CF309C"/>
    <w:rsid w:val="00CF333A"/>
    <w:rsid w:val="00D02DD5"/>
    <w:rsid w:val="00D0670A"/>
    <w:rsid w:val="00D073C3"/>
    <w:rsid w:val="00D10085"/>
    <w:rsid w:val="00D10233"/>
    <w:rsid w:val="00D11A56"/>
    <w:rsid w:val="00D1414B"/>
    <w:rsid w:val="00D2471A"/>
    <w:rsid w:val="00D26FCE"/>
    <w:rsid w:val="00D32021"/>
    <w:rsid w:val="00D47C09"/>
    <w:rsid w:val="00D51998"/>
    <w:rsid w:val="00D54112"/>
    <w:rsid w:val="00D5545A"/>
    <w:rsid w:val="00D600FE"/>
    <w:rsid w:val="00D60AB8"/>
    <w:rsid w:val="00D61335"/>
    <w:rsid w:val="00D84EE4"/>
    <w:rsid w:val="00D85B60"/>
    <w:rsid w:val="00D87611"/>
    <w:rsid w:val="00D922A9"/>
    <w:rsid w:val="00DA1284"/>
    <w:rsid w:val="00DB79D0"/>
    <w:rsid w:val="00DC231E"/>
    <w:rsid w:val="00DD0465"/>
    <w:rsid w:val="00DD092D"/>
    <w:rsid w:val="00DD214F"/>
    <w:rsid w:val="00DD587D"/>
    <w:rsid w:val="00DE5950"/>
    <w:rsid w:val="00DF445B"/>
    <w:rsid w:val="00E10ABF"/>
    <w:rsid w:val="00E11F7D"/>
    <w:rsid w:val="00E124AF"/>
    <w:rsid w:val="00E12EE4"/>
    <w:rsid w:val="00E2090D"/>
    <w:rsid w:val="00E233F3"/>
    <w:rsid w:val="00E25A73"/>
    <w:rsid w:val="00E263D2"/>
    <w:rsid w:val="00E32638"/>
    <w:rsid w:val="00E33FFC"/>
    <w:rsid w:val="00E37716"/>
    <w:rsid w:val="00E43838"/>
    <w:rsid w:val="00E541E4"/>
    <w:rsid w:val="00E55B03"/>
    <w:rsid w:val="00E62F9D"/>
    <w:rsid w:val="00E6546F"/>
    <w:rsid w:val="00E70344"/>
    <w:rsid w:val="00E71808"/>
    <w:rsid w:val="00E7780B"/>
    <w:rsid w:val="00E77C5D"/>
    <w:rsid w:val="00E87A74"/>
    <w:rsid w:val="00E94FD5"/>
    <w:rsid w:val="00EA058C"/>
    <w:rsid w:val="00EA701B"/>
    <w:rsid w:val="00EB29EF"/>
    <w:rsid w:val="00EB7776"/>
    <w:rsid w:val="00EC22AC"/>
    <w:rsid w:val="00ED20C5"/>
    <w:rsid w:val="00ED7AAE"/>
    <w:rsid w:val="00EF3B2E"/>
    <w:rsid w:val="00F03D3D"/>
    <w:rsid w:val="00F20265"/>
    <w:rsid w:val="00F20BDF"/>
    <w:rsid w:val="00F41F22"/>
    <w:rsid w:val="00F4303E"/>
    <w:rsid w:val="00F54514"/>
    <w:rsid w:val="00F54C1E"/>
    <w:rsid w:val="00F5504C"/>
    <w:rsid w:val="00F9522A"/>
    <w:rsid w:val="00FA5506"/>
    <w:rsid w:val="00FB4A01"/>
    <w:rsid w:val="00FC3563"/>
    <w:rsid w:val="00FD338B"/>
    <w:rsid w:val="00FD5384"/>
    <w:rsid w:val="00FD61F2"/>
    <w:rsid w:val="00FE1781"/>
    <w:rsid w:val="00FE6E5C"/>
    <w:rsid w:val="00FF5CDD"/>
    <w:rsid w:val="011E0236"/>
    <w:rsid w:val="01310211"/>
    <w:rsid w:val="013B41BA"/>
    <w:rsid w:val="0159126E"/>
    <w:rsid w:val="01693D70"/>
    <w:rsid w:val="01762172"/>
    <w:rsid w:val="018067FB"/>
    <w:rsid w:val="0194674A"/>
    <w:rsid w:val="01973B44"/>
    <w:rsid w:val="01AE5122"/>
    <w:rsid w:val="01C71CB0"/>
    <w:rsid w:val="01D230FE"/>
    <w:rsid w:val="01EE0B37"/>
    <w:rsid w:val="01F122AD"/>
    <w:rsid w:val="01F62035"/>
    <w:rsid w:val="01FB43DB"/>
    <w:rsid w:val="0213141D"/>
    <w:rsid w:val="02174ECC"/>
    <w:rsid w:val="021F6ED0"/>
    <w:rsid w:val="022F73A2"/>
    <w:rsid w:val="02467A44"/>
    <w:rsid w:val="026223A4"/>
    <w:rsid w:val="026C46FD"/>
    <w:rsid w:val="029A6482"/>
    <w:rsid w:val="02C552B4"/>
    <w:rsid w:val="030D0562"/>
    <w:rsid w:val="0314794B"/>
    <w:rsid w:val="032327D8"/>
    <w:rsid w:val="03404FEF"/>
    <w:rsid w:val="03602F97"/>
    <w:rsid w:val="03653EFA"/>
    <w:rsid w:val="03B44E81"/>
    <w:rsid w:val="03B62950"/>
    <w:rsid w:val="03F4380B"/>
    <w:rsid w:val="03FC218E"/>
    <w:rsid w:val="042B2A2D"/>
    <w:rsid w:val="04475814"/>
    <w:rsid w:val="04503CBB"/>
    <w:rsid w:val="04525DA3"/>
    <w:rsid w:val="045C354F"/>
    <w:rsid w:val="04784101"/>
    <w:rsid w:val="047A5FBD"/>
    <w:rsid w:val="04A66578"/>
    <w:rsid w:val="04A86F85"/>
    <w:rsid w:val="04AF38FD"/>
    <w:rsid w:val="04B213C1"/>
    <w:rsid w:val="04BC5D9C"/>
    <w:rsid w:val="04BD3208"/>
    <w:rsid w:val="04CB41E8"/>
    <w:rsid w:val="04D338F3"/>
    <w:rsid w:val="04D806FC"/>
    <w:rsid w:val="04F217BD"/>
    <w:rsid w:val="050B6D23"/>
    <w:rsid w:val="052E181F"/>
    <w:rsid w:val="053E0EA6"/>
    <w:rsid w:val="053E392E"/>
    <w:rsid w:val="0544022B"/>
    <w:rsid w:val="054D194C"/>
    <w:rsid w:val="055D5D03"/>
    <w:rsid w:val="05826CF8"/>
    <w:rsid w:val="058A40EC"/>
    <w:rsid w:val="05921FB2"/>
    <w:rsid w:val="05B00BEE"/>
    <w:rsid w:val="05E41A4E"/>
    <w:rsid w:val="05FC39A4"/>
    <w:rsid w:val="060C2D53"/>
    <w:rsid w:val="06366B6E"/>
    <w:rsid w:val="064E5119"/>
    <w:rsid w:val="06573F78"/>
    <w:rsid w:val="065C5B82"/>
    <w:rsid w:val="06654F20"/>
    <w:rsid w:val="06840B3B"/>
    <w:rsid w:val="06930D7E"/>
    <w:rsid w:val="06BF7DC5"/>
    <w:rsid w:val="06C453DB"/>
    <w:rsid w:val="06CE1903"/>
    <w:rsid w:val="06F048FE"/>
    <w:rsid w:val="06F35CC1"/>
    <w:rsid w:val="06F8001C"/>
    <w:rsid w:val="06FB3B03"/>
    <w:rsid w:val="07124399"/>
    <w:rsid w:val="073D0C76"/>
    <w:rsid w:val="07487EF1"/>
    <w:rsid w:val="07702E6D"/>
    <w:rsid w:val="077A4BE5"/>
    <w:rsid w:val="07A1410D"/>
    <w:rsid w:val="07A5520D"/>
    <w:rsid w:val="07A64C4C"/>
    <w:rsid w:val="07C02047"/>
    <w:rsid w:val="07E06245"/>
    <w:rsid w:val="07E12AFC"/>
    <w:rsid w:val="07F4255A"/>
    <w:rsid w:val="07F910B5"/>
    <w:rsid w:val="07FA3C26"/>
    <w:rsid w:val="08161C67"/>
    <w:rsid w:val="0831084F"/>
    <w:rsid w:val="084A36DA"/>
    <w:rsid w:val="084E78AD"/>
    <w:rsid w:val="0854278F"/>
    <w:rsid w:val="086329D2"/>
    <w:rsid w:val="087B7D1C"/>
    <w:rsid w:val="088F199B"/>
    <w:rsid w:val="089B216C"/>
    <w:rsid w:val="08BA7132"/>
    <w:rsid w:val="08E25FED"/>
    <w:rsid w:val="08E77E2A"/>
    <w:rsid w:val="08F02CB9"/>
    <w:rsid w:val="08FA34C7"/>
    <w:rsid w:val="08FD4BD5"/>
    <w:rsid w:val="09216B15"/>
    <w:rsid w:val="093D3223"/>
    <w:rsid w:val="095600DF"/>
    <w:rsid w:val="095813E4"/>
    <w:rsid w:val="09615163"/>
    <w:rsid w:val="09722ECD"/>
    <w:rsid w:val="097A6225"/>
    <w:rsid w:val="097A7FD3"/>
    <w:rsid w:val="097E5D15"/>
    <w:rsid w:val="09A11A04"/>
    <w:rsid w:val="09A82D92"/>
    <w:rsid w:val="09AD29BF"/>
    <w:rsid w:val="09BF0765"/>
    <w:rsid w:val="09CF4CEB"/>
    <w:rsid w:val="09EC5894"/>
    <w:rsid w:val="09ED69F7"/>
    <w:rsid w:val="0A036B3E"/>
    <w:rsid w:val="0A0976D6"/>
    <w:rsid w:val="0A0A5BB3"/>
    <w:rsid w:val="0A1026E6"/>
    <w:rsid w:val="0A222B45"/>
    <w:rsid w:val="0A2A5722"/>
    <w:rsid w:val="0A5B41C5"/>
    <w:rsid w:val="0A8B7B1C"/>
    <w:rsid w:val="0A98523E"/>
    <w:rsid w:val="0AB679E1"/>
    <w:rsid w:val="0ACA6D38"/>
    <w:rsid w:val="0AD52A48"/>
    <w:rsid w:val="0AD552DB"/>
    <w:rsid w:val="0AF142C5"/>
    <w:rsid w:val="0B073AE9"/>
    <w:rsid w:val="0B242FCE"/>
    <w:rsid w:val="0B303ABE"/>
    <w:rsid w:val="0B3B3792"/>
    <w:rsid w:val="0BA34770"/>
    <w:rsid w:val="0BD7795F"/>
    <w:rsid w:val="0BE36304"/>
    <w:rsid w:val="0C0A0C3E"/>
    <w:rsid w:val="0C1661EF"/>
    <w:rsid w:val="0C5A2267"/>
    <w:rsid w:val="0C6A07D3"/>
    <w:rsid w:val="0C774C9E"/>
    <w:rsid w:val="0C7C4062"/>
    <w:rsid w:val="0CB101B0"/>
    <w:rsid w:val="0CD76A7B"/>
    <w:rsid w:val="0CE638C1"/>
    <w:rsid w:val="0CED18DE"/>
    <w:rsid w:val="0CFD51A3"/>
    <w:rsid w:val="0D026C5D"/>
    <w:rsid w:val="0D1B1ACD"/>
    <w:rsid w:val="0D1E7807"/>
    <w:rsid w:val="0D31555C"/>
    <w:rsid w:val="0D511F1F"/>
    <w:rsid w:val="0D682F64"/>
    <w:rsid w:val="0D904269"/>
    <w:rsid w:val="0D997825"/>
    <w:rsid w:val="0DAB2E51"/>
    <w:rsid w:val="0DBC757D"/>
    <w:rsid w:val="0DBE38E6"/>
    <w:rsid w:val="0DC45CC1"/>
    <w:rsid w:val="0DC611E4"/>
    <w:rsid w:val="0DC679A9"/>
    <w:rsid w:val="0DC67C8B"/>
    <w:rsid w:val="0DE545B5"/>
    <w:rsid w:val="0DFF25E8"/>
    <w:rsid w:val="0E020FD2"/>
    <w:rsid w:val="0E286250"/>
    <w:rsid w:val="0E462B7A"/>
    <w:rsid w:val="0E4F5ED2"/>
    <w:rsid w:val="0E5928AD"/>
    <w:rsid w:val="0E7E7F4C"/>
    <w:rsid w:val="0ED827CF"/>
    <w:rsid w:val="0EDC1828"/>
    <w:rsid w:val="0F072534"/>
    <w:rsid w:val="0F114F36"/>
    <w:rsid w:val="0F1F459D"/>
    <w:rsid w:val="0F225F2D"/>
    <w:rsid w:val="0F2A401B"/>
    <w:rsid w:val="0F2D7092"/>
    <w:rsid w:val="0F5F0686"/>
    <w:rsid w:val="0F803E6A"/>
    <w:rsid w:val="0FBA10DE"/>
    <w:rsid w:val="0FBA2626"/>
    <w:rsid w:val="0FC4644C"/>
    <w:rsid w:val="0FDF4796"/>
    <w:rsid w:val="10190546"/>
    <w:rsid w:val="10280789"/>
    <w:rsid w:val="10294501"/>
    <w:rsid w:val="10501A8E"/>
    <w:rsid w:val="10A32505"/>
    <w:rsid w:val="10C203FB"/>
    <w:rsid w:val="10D75D0B"/>
    <w:rsid w:val="10D91A83"/>
    <w:rsid w:val="10EA565C"/>
    <w:rsid w:val="10ED3781"/>
    <w:rsid w:val="10F83057"/>
    <w:rsid w:val="112D1F2A"/>
    <w:rsid w:val="116C0B49"/>
    <w:rsid w:val="1199094B"/>
    <w:rsid w:val="11CE7896"/>
    <w:rsid w:val="11DD1A47"/>
    <w:rsid w:val="12015736"/>
    <w:rsid w:val="120B6C2D"/>
    <w:rsid w:val="12303925"/>
    <w:rsid w:val="12505D75"/>
    <w:rsid w:val="12527D3F"/>
    <w:rsid w:val="125E4936"/>
    <w:rsid w:val="12642623"/>
    <w:rsid w:val="12730A42"/>
    <w:rsid w:val="12876FEE"/>
    <w:rsid w:val="12AD31C8"/>
    <w:rsid w:val="12C47F68"/>
    <w:rsid w:val="12D00D14"/>
    <w:rsid w:val="12D22EA9"/>
    <w:rsid w:val="12E56E05"/>
    <w:rsid w:val="12EF726C"/>
    <w:rsid w:val="13025F11"/>
    <w:rsid w:val="1324792E"/>
    <w:rsid w:val="133B4C77"/>
    <w:rsid w:val="1359489A"/>
    <w:rsid w:val="137D0DEC"/>
    <w:rsid w:val="13BE9BB9"/>
    <w:rsid w:val="141D612B"/>
    <w:rsid w:val="14AB7BDB"/>
    <w:rsid w:val="14BF5434"/>
    <w:rsid w:val="14C75E31"/>
    <w:rsid w:val="14CC7B6B"/>
    <w:rsid w:val="14E34A09"/>
    <w:rsid w:val="14FD54CA"/>
    <w:rsid w:val="151B6B0E"/>
    <w:rsid w:val="152534E9"/>
    <w:rsid w:val="153820C3"/>
    <w:rsid w:val="15406575"/>
    <w:rsid w:val="154871D8"/>
    <w:rsid w:val="155344FA"/>
    <w:rsid w:val="1555138F"/>
    <w:rsid w:val="1565124C"/>
    <w:rsid w:val="156E30E2"/>
    <w:rsid w:val="15842235"/>
    <w:rsid w:val="15981F0D"/>
    <w:rsid w:val="159927CF"/>
    <w:rsid w:val="159A2DD3"/>
    <w:rsid w:val="159A3523"/>
    <w:rsid w:val="15A72575"/>
    <w:rsid w:val="15B52E81"/>
    <w:rsid w:val="15C01464"/>
    <w:rsid w:val="15CE3B81"/>
    <w:rsid w:val="15E55EA6"/>
    <w:rsid w:val="15ED3F4E"/>
    <w:rsid w:val="16032ECF"/>
    <w:rsid w:val="16196B4E"/>
    <w:rsid w:val="16654D46"/>
    <w:rsid w:val="166A6559"/>
    <w:rsid w:val="169D510B"/>
    <w:rsid w:val="16B57320"/>
    <w:rsid w:val="16DA0ED7"/>
    <w:rsid w:val="16DA4A0E"/>
    <w:rsid w:val="16EC2F91"/>
    <w:rsid w:val="17742506"/>
    <w:rsid w:val="179A5A29"/>
    <w:rsid w:val="17AC6144"/>
    <w:rsid w:val="17AF353E"/>
    <w:rsid w:val="17C46B8A"/>
    <w:rsid w:val="17F3167D"/>
    <w:rsid w:val="17FDC41B"/>
    <w:rsid w:val="1813218C"/>
    <w:rsid w:val="1830625E"/>
    <w:rsid w:val="18313DE5"/>
    <w:rsid w:val="183A7DBC"/>
    <w:rsid w:val="185B5C9A"/>
    <w:rsid w:val="18787DD4"/>
    <w:rsid w:val="187C5B16"/>
    <w:rsid w:val="187D363C"/>
    <w:rsid w:val="18952734"/>
    <w:rsid w:val="19121FD6"/>
    <w:rsid w:val="191C3F72"/>
    <w:rsid w:val="191D13C0"/>
    <w:rsid w:val="193B4F6B"/>
    <w:rsid w:val="193E0CBA"/>
    <w:rsid w:val="19472589"/>
    <w:rsid w:val="194C6A11"/>
    <w:rsid w:val="198B3B37"/>
    <w:rsid w:val="19A35324"/>
    <w:rsid w:val="19B92F81"/>
    <w:rsid w:val="19E07E8B"/>
    <w:rsid w:val="19E62068"/>
    <w:rsid w:val="19F4792E"/>
    <w:rsid w:val="1A0C4B7C"/>
    <w:rsid w:val="1A2B194E"/>
    <w:rsid w:val="1A3D3083"/>
    <w:rsid w:val="1A3F6023"/>
    <w:rsid w:val="1A49126F"/>
    <w:rsid w:val="1A495ECC"/>
    <w:rsid w:val="1A587EBD"/>
    <w:rsid w:val="1A666B6F"/>
    <w:rsid w:val="1A7E1D67"/>
    <w:rsid w:val="1AA43102"/>
    <w:rsid w:val="1AB33345"/>
    <w:rsid w:val="1AC437A4"/>
    <w:rsid w:val="1AC563C7"/>
    <w:rsid w:val="1AC87DF6"/>
    <w:rsid w:val="1AE532AF"/>
    <w:rsid w:val="1AE856E5"/>
    <w:rsid w:val="1AFB72AE"/>
    <w:rsid w:val="1B030C66"/>
    <w:rsid w:val="1B0818E3"/>
    <w:rsid w:val="1B1C538E"/>
    <w:rsid w:val="1B2129A5"/>
    <w:rsid w:val="1B244243"/>
    <w:rsid w:val="1B4B7383"/>
    <w:rsid w:val="1B677690"/>
    <w:rsid w:val="1B6D744D"/>
    <w:rsid w:val="1B81532C"/>
    <w:rsid w:val="1B842515"/>
    <w:rsid w:val="1BB06BA6"/>
    <w:rsid w:val="1BC534F8"/>
    <w:rsid w:val="1BC81E14"/>
    <w:rsid w:val="1BE85FD5"/>
    <w:rsid w:val="1C1918CE"/>
    <w:rsid w:val="1C1D13BE"/>
    <w:rsid w:val="1C4B6E6A"/>
    <w:rsid w:val="1C4F3541"/>
    <w:rsid w:val="1C5648D0"/>
    <w:rsid w:val="1C6F4349"/>
    <w:rsid w:val="1C7C20CC"/>
    <w:rsid w:val="1C862449"/>
    <w:rsid w:val="1C8832E6"/>
    <w:rsid w:val="1C8E5E18"/>
    <w:rsid w:val="1C8F3637"/>
    <w:rsid w:val="1C9553F8"/>
    <w:rsid w:val="1CB11B06"/>
    <w:rsid w:val="1CB3587E"/>
    <w:rsid w:val="1CBA23B3"/>
    <w:rsid w:val="1CC16350"/>
    <w:rsid w:val="1D0D65B3"/>
    <w:rsid w:val="1D0E6B73"/>
    <w:rsid w:val="1D13631D"/>
    <w:rsid w:val="1D15F42A"/>
    <w:rsid w:val="1D2E13A9"/>
    <w:rsid w:val="1D3151EA"/>
    <w:rsid w:val="1D3F66C7"/>
    <w:rsid w:val="1D4E2356"/>
    <w:rsid w:val="1D5C7CC4"/>
    <w:rsid w:val="1D5D789B"/>
    <w:rsid w:val="1D862F93"/>
    <w:rsid w:val="1D9B4C90"/>
    <w:rsid w:val="1DD41F50"/>
    <w:rsid w:val="1DFF3B12"/>
    <w:rsid w:val="1DFF59CE"/>
    <w:rsid w:val="1E0C0094"/>
    <w:rsid w:val="1E403142"/>
    <w:rsid w:val="1E4F2254"/>
    <w:rsid w:val="1E5D1F46"/>
    <w:rsid w:val="1EA25BAA"/>
    <w:rsid w:val="1EC52D7D"/>
    <w:rsid w:val="1ECC2C27"/>
    <w:rsid w:val="1EE77A61"/>
    <w:rsid w:val="1EEC32CA"/>
    <w:rsid w:val="1EFB52BB"/>
    <w:rsid w:val="1EFD4A5B"/>
    <w:rsid w:val="1F136AA8"/>
    <w:rsid w:val="1F15637C"/>
    <w:rsid w:val="1F330EF8"/>
    <w:rsid w:val="1F43738D"/>
    <w:rsid w:val="1F597889"/>
    <w:rsid w:val="1F791946"/>
    <w:rsid w:val="1F8020FC"/>
    <w:rsid w:val="1F9FA9C4"/>
    <w:rsid w:val="1FB43DE7"/>
    <w:rsid w:val="1FBF453A"/>
    <w:rsid w:val="1FD331F5"/>
    <w:rsid w:val="1FD652E4"/>
    <w:rsid w:val="1FDD090B"/>
    <w:rsid w:val="1FE43FA1"/>
    <w:rsid w:val="1FFF2F2C"/>
    <w:rsid w:val="20010FF3"/>
    <w:rsid w:val="203767C6"/>
    <w:rsid w:val="204819C3"/>
    <w:rsid w:val="207D4006"/>
    <w:rsid w:val="207F5A82"/>
    <w:rsid w:val="20831A80"/>
    <w:rsid w:val="20C75D9C"/>
    <w:rsid w:val="20C85AF0"/>
    <w:rsid w:val="20DB53A4"/>
    <w:rsid w:val="20F63F8C"/>
    <w:rsid w:val="210E7527"/>
    <w:rsid w:val="2120725A"/>
    <w:rsid w:val="215869F4"/>
    <w:rsid w:val="216D06F2"/>
    <w:rsid w:val="217E28FF"/>
    <w:rsid w:val="217E6023"/>
    <w:rsid w:val="218E0668"/>
    <w:rsid w:val="219A0DBB"/>
    <w:rsid w:val="21A954A2"/>
    <w:rsid w:val="21D02A2F"/>
    <w:rsid w:val="21DA0CCF"/>
    <w:rsid w:val="21E7182E"/>
    <w:rsid w:val="22140B6D"/>
    <w:rsid w:val="223D47BB"/>
    <w:rsid w:val="226013CC"/>
    <w:rsid w:val="226A2E83"/>
    <w:rsid w:val="2280410B"/>
    <w:rsid w:val="22AA7723"/>
    <w:rsid w:val="22D34080"/>
    <w:rsid w:val="22E22D4A"/>
    <w:rsid w:val="22F56BF1"/>
    <w:rsid w:val="22F73BE9"/>
    <w:rsid w:val="23151418"/>
    <w:rsid w:val="23337719"/>
    <w:rsid w:val="233B65CE"/>
    <w:rsid w:val="2366364A"/>
    <w:rsid w:val="23757D3B"/>
    <w:rsid w:val="23955235"/>
    <w:rsid w:val="23F30C56"/>
    <w:rsid w:val="240412CD"/>
    <w:rsid w:val="240B134B"/>
    <w:rsid w:val="241A4435"/>
    <w:rsid w:val="246833F2"/>
    <w:rsid w:val="24700765"/>
    <w:rsid w:val="24853FA4"/>
    <w:rsid w:val="24C7636B"/>
    <w:rsid w:val="24EA3E07"/>
    <w:rsid w:val="24FC3081"/>
    <w:rsid w:val="2519649B"/>
    <w:rsid w:val="25357D1C"/>
    <w:rsid w:val="255928EB"/>
    <w:rsid w:val="25900988"/>
    <w:rsid w:val="25BF34E6"/>
    <w:rsid w:val="25C1725E"/>
    <w:rsid w:val="25C74149"/>
    <w:rsid w:val="25CA011E"/>
    <w:rsid w:val="25DD4AFD"/>
    <w:rsid w:val="25E60A73"/>
    <w:rsid w:val="25E82A3D"/>
    <w:rsid w:val="25F96224"/>
    <w:rsid w:val="261D52FE"/>
    <w:rsid w:val="26296BB1"/>
    <w:rsid w:val="26356F09"/>
    <w:rsid w:val="26435EC5"/>
    <w:rsid w:val="266A3452"/>
    <w:rsid w:val="267918E7"/>
    <w:rsid w:val="26BB3CAD"/>
    <w:rsid w:val="26D75237"/>
    <w:rsid w:val="26F121F0"/>
    <w:rsid w:val="26F83ECA"/>
    <w:rsid w:val="270D292B"/>
    <w:rsid w:val="27221CB1"/>
    <w:rsid w:val="27332D60"/>
    <w:rsid w:val="273477E1"/>
    <w:rsid w:val="274243CE"/>
    <w:rsid w:val="276E6F72"/>
    <w:rsid w:val="27A33318"/>
    <w:rsid w:val="27BF157B"/>
    <w:rsid w:val="27E47234"/>
    <w:rsid w:val="27ED000E"/>
    <w:rsid w:val="27FF74D2"/>
    <w:rsid w:val="280C74C5"/>
    <w:rsid w:val="280D0AF9"/>
    <w:rsid w:val="28804665"/>
    <w:rsid w:val="28846321"/>
    <w:rsid w:val="28A03AF9"/>
    <w:rsid w:val="28A6098D"/>
    <w:rsid w:val="28B60BD0"/>
    <w:rsid w:val="28F01E2E"/>
    <w:rsid w:val="28F43F3F"/>
    <w:rsid w:val="29084248"/>
    <w:rsid w:val="292673D8"/>
    <w:rsid w:val="29373393"/>
    <w:rsid w:val="29614C3E"/>
    <w:rsid w:val="29A7676B"/>
    <w:rsid w:val="29A9603F"/>
    <w:rsid w:val="29B82726"/>
    <w:rsid w:val="29DB4666"/>
    <w:rsid w:val="29DF0E57"/>
    <w:rsid w:val="2A0D39B0"/>
    <w:rsid w:val="2A103412"/>
    <w:rsid w:val="2A475AEA"/>
    <w:rsid w:val="2A5559CD"/>
    <w:rsid w:val="2A72028B"/>
    <w:rsid w:val="2A9C442F"/>
    <w:rsid w:val="2AA44A58"/>
    <w:rsid w:val="2AA9206F"/>
    <w:rsid w:val="2AB32EED"/>
    <w:rsid w:val="2AD90BA6"/>
    <w:rsid w:val="2B136138"/>
    <w:rsid w:val="2B1A58CC"/>
    <w:rsid w:val="2B1C0A93"/>
    <w:rsid w:val="2B2C682F"/>
    <w:rsid w:val="2B2F386A"/>
    <w:rsid w:val="2B2F79BD"/>
    <w:rsid w:val="2B460FF0"/>
    <w:rsid w:val="2B604E23"/>
    <w:rsid w:val="2B7E34FB"/>
    <w:rsid w:val="2B9176D3"/>
    <w:rsid w:val="2BA02E46"/>
    <w:rsid w:val="2BA47770"/>
    <w:rsid w:val="2BBF1BD7"/>
    <w:rsid w:val="2BDB094E"/>
    <w:rsid w:val="2C1017DB"/>
    <w:rsid w:val="2C11436F"/>
    <w:rsid w:val="2C2B3683"/>
    <w:rsid w:val="2C344011"/>
    <w:rsid w:val="2C567FD4"/>
    <w:rsid w:val="2C723060"/>
    <w:rsid w:val="2C9023AB"/>
    <w:rsid w:val="2C907843"/>
    <w:rsid w:val="2C9A111C"/>
    <w:rsid w:val="2CA3146B"/>
    <w:rsid w:val="2CAC2C30"/>
    <w:rsid w:val="2CB62F03"/>
    <w:rsid w:val="2CD0422B"/>
    <w:rsid w:val="2D043B9C"/>
    <w:rsid w:val="2D2D12F6"/>
    <w:rsid w:val="2D7810DC"/>
    <w:rsid w:val="2DA51213"/>
    <w:rsid w:val="2DE7EB9F"/>
    <w:rsid w:val="2DE955A4"/>
    <w:rsid w:val="2DEA7714"/>
    <w:rsid w:val="2DF6F328"/>
    <w:rsid w:val="2E0D4DCE"/>
    <w:rsid w:val="2E2270BF"/>
    <w:rsid w:val="2E3507E9"/>
    <w:rsid w:val="2E463EE6"/>
    <w:rsid w:val="2E951288"/>
    <w:rsid w:val="2EC660EE"/>
    <w:rsid w:val="2ED15F5E"/>
    <w:rsid w:val="2ED56B63"/>
    <w:rsid w:val="2ED81174"/>
    <w:rsid w:val="2EDF2CF6"/>
    <w:rsid w:val="2EE30245"/>
    <w:rsid w:val="2EF1314F"/>
    <w:rsid w:val="2F2919D0"/>
    <w:rsid w:val="2F2A5E74"/>
    <w:rsid w:val="2F3B32FA"/>
    <w:rsid w:val="2F662C47"/>
    <w:rsid w:val="2F745341"/>
    <w:rsid w:val="2F763477"/>
    <w:rsid w:val="2F833124"/>
    <w:rsid w:val="2F954092"/>
    <w:rsid w:val="2F9E23BE"/>
    <w:rsid w:val="2FA379D4"/>
    <w:rsid w:val="2FB4573E"/>
    <w:rsid w:val="2FBD0FF1"/>
    <w:rsid w:val="2FD8767E"/>
    <w:rsid w:val="2FD9156D"/>
    <w:rsid w:val="2FE75B13"/>
    <w:rsid w:val="2FF40230"/>
    <w:rsid w:val="2FF76CD5"/>
    <w:rsid w:val="2FFBF0BC"/>
    <w:rsid w:val="301279E9"/>
    <w:rsid w:val="30197C97"/>
    <w:rsid w:val="301D7787"/>
    <w:rsid w:val="30216B85"/>
    <w:rsid w:val="302A3C52"/>
    <w:rsid w:val="304E16EE"/>
    <w:rsid w:val="30823A8E"/>
    <w:rsid w:val="309C68FD"/>
    <w:rsid w:val="30BD4AC6"/>
    <w:rsid w:val="30CF7E4F"/>
    <w:rsid w:val="30DF4595"/>
    <w:rsid w:val="30EE2ED1"/>
    <w:rsid w:val="30F5600E"/>
    <w:rsid w:val="30F760F8"/>
    <w:rsid w:val="30FF0C3A"/>
    <w:rsid w:val="30FF3436"/>
    <w:rsid w:val="31025E73"/>
    <w:rsid w:val="313C1E8F"/>
    <w:rsid w:val="313C59EB"/>
    <w:rsid w:val="315471D8"/>
    <w:rsid w:val="315C42DF"/>
    <w:rsid w:val="316B62D0"/>
    <w:rsid w:val="31DB3455"/>
    <w:rsid w:val="31DC0F7C"/>
    <w:rsid w:val="32195012"/>
    <w:rsid w:val="32285C55"/>
    <w:rsid w:val="322A6968"/>
    <w:rsid w:val="32384404"/>
    <w:rsid w:val="325D76F9"/>
    <w:rsid w:val="326A47D9"/>
    <w:rsid w:val="32785148"/>
    <w:rsid w:val="32933D30"/>
    <w:rsid w:val="3297F56D"/>
    <w:rsid w:val="329D324D"/>
    <w:rsid w:val="32B36A56"/>
    <w:rsid w:val="32B37F2E"/>
    <w:rsid w:val="32C37159"/>
    <w:rsid w:val="32CD4B05"/>
    <w:rsid w:val="32DA5865"/>
    <w:rsid w:val="32F6606D"/>
    <w:rsid w:val="33300D42"/>
    <w:rsid w:val="3337290D"/>
    <w:rsid w:val="336C0197"/>
    <w:rsid w:val="337A6C9E"/>
    <w:rsid w:val="339543D2"/>
    <w:rsid w:val="339616AF"/>
    <w:rsid w:val="339733AC"/>
    <w:rsid w:val="33CA3782"/>
    <w:rsid w:val="33CD13CF"/>
    <w:rsid w:val="33D32127"/>
    <w:rsid w:val="33E10ACB"/>
    <w:rsid w:val="33E41628"/>
    <w:rsid w:val="33F407FF"/>
    <w:rsid w:val="33F76C88"/>
    <w:rsid w:val="34290A9A"/>
    <w:rsid w:val="3430563F"/>
    <w:rsid w:val="34373437"/>
    <w:rsid w:val="34384B8F"/>
    <w:rsid w:val="343C0E65"/>
    <w:rsid w:val="345B7989"/>
    <w:rsid w:val="345C0152"/>
    <w:rsid w:val="346911EC"/>
    <w:rsid w:val="34727975"/>
    <w:rsid w:val="349124F1"/>
    <w:rsid w:val="34C06933"/>
    <w:rsid w:val="34C21D26"/>
    <w:rsid w:val="34DD74E5"/>
    <w:rsid w:val="34FA6E73"/>
    <w:rsid w:val="34FB796B"/>
    <w:rsid w:val="352944D8"/>
    <w:rsid w:val="35325A82"/>
    <w:rsid w:val="35351F36"/>
    <w:rsid w:val="353A0493"/>
    <w:rsid w:val="35431A3E"/>
    <w:rsid w:val="354B444E"/>
    <w:rsid w:val="355317BE"/>
    <w:rsid w:val="355754E9"/>
    <w:rsid w:val="35622C71"/>
    <w:rsid w:val="35675000"/>
    <w:rsid w:val="35C661CB"/>
    <w:rsid w:val="35CB1A33"/>
    <w:rsid w:val="35CC29F6"/>
    <w:rsid w:val="35D35274"/>
    <w:rsid w:val="35D5415D"/>
    <w:rsid w:val="35D6DB18"/>
    <w:rsid w:val="36251011"/>
    <w:rsid w:val="3663FB4D"/>
    <w:rsid w:val="368F480F"/>
    <w:rsid w:val="36AA1648"/>
    <w:rsid w:val="36B137E8"/>
    <w:rsid w:val="36D1697E"/>
    <w:rsid w:val="36D641EB"/>
    <w:rsid w:val="36DA49BF"/>
    <w:rsid w:val="36DF5796"/>
    <w:rsid w:val="37044CAB"/>
    <w:rsid w:val="372E04CB"/>
    <w:rsid w:val="372F1B4E"/>
    <w:rsid w:val="374675C3"/>
    <w:rsid w:val="378821CC"/>
    <w:rsid w:val="378B3228"/>
    <w:rsid w:val="37920A5A"/>
    <w:rsid w:val="37946454"/>
    <w:rsid w:val="37B79D2B"/>
    <w:rsid w:val="37BF1D24"/>
    <w:rsid w:val="37C300DE"/>
    <w:rsid w:val="37C71800"/>
    <w:rsid w:val="37D72911"/>
    <w:rsid w:val="37E666B0"/>
    <w:rsid w:val="37FB617A"/>
    <w:rsid w:val="38233460"/>
    <w:rsid w:val="383D3652"/>
    <w:rsid w:val="384855BD"/>
    <w:rsid w:val="384B1DA2"/>
    <w:rsid w:val="386A0E52"/>
    <w:rsid w:val="3885411B"/>
    <w:rsid w:val="38AE740E"/>
    <w:rsid w:val="38B962A4"/>
    <w:rsid w:val="38E01E64"/>
    <w:rsid w:val="38EB5FBA"/>
    <w:rsid w:val="39094D4C"/>
    <w:rsid w:val="391060DB"/>
    <w:rsid w:val="393618B9"/>
    <w:rsid w:val="393A0F20"/>
    <w:rsid w:val="395A1104"/>
    <w:rsid w:val="39737529"/>
    <w:rsid w:val="397FA007"/>
    <w:rsid w:val="39822409"/>
    <w:rsid w:val="39AE31FE"/>
    <w:rsid w:val="39EA57E5"/>
    <w:rsid w:val="39F63CEA"/>
    <w:rsid w:val="39FB78A4"/>
    <w:rsid w:val="3A0948D8"/>
    <w:rsid w:val="3A3E1F9C"/>
    <w:rsid w:val="3A48156B"/>
    <w:rsid w:val="3A540249"/>
    <w:rsid w:val="3A715EEC"/>
    <w:rsid w:val="3A781526"/>
    <w:rsid w:val="3A7B3A28"/>
    <w:rsid w:val="3A962E57"/>
    <w:rsid w:val="3AD14283"/>
    <w:rsid w:val="3ADD00EB"/>
    <w:rsid w:val="3ADD023E"/>
    <w:rsid w:val="3AEA78AE"/>
    <w:rsid w:val="3AF9494C"/>
    <w:rsid w:val="3AFDDD8F"/>
    <w:rsid w:val="3B00217F"/>
    <w:rsid w:val="3B125436"/>
    <w:rsid w:val="3B2E2848"/>
    <w:rsid w:val="3B35724B"/>
    <w:rsid w:val="3B364AD1"/>
    <w:rsid w:val="3B457B92"/>
    <w:rsid w:val="3B653AFE"/>
    <w:rsid w:val="3BA05780"/>
    <w:rsid w:val="3BD17677"/>
    <w:rsid w:val="3BD85BD5"/>
    <w:rsid w:val="3BDD426E"/>
    <w:rsid w:val="3BE112D5"/>
    <w:rsid w:val="3BEFD333"/>
    <w:rsid w:val="3BF05D4F"/>
    <w:rsid w:val="3BF21AC7"/>
    <w:rsid w:val="3BFA1DF4"/>
    <w:rsid w:val="3C1A2DCC"/>
    <w:rsid w:val="3C2B2403"/>
    <w:rsid w:val="3C3976F6"/>
    <w:rsid w:val="3C6D114E"/>
    <w:rsid w:val="3C7721BF"/>
    <w:rsid w:val="3C7F3A79"/>
    <w:rsid w:val="3C7F89F3"/>
    <w:rsid w:val="3C8B5A78"/>
    <w:rsid w:val="3CB90837"/>
    <w:rsid w:val="3CC821AD"/>
    <w:rsid w:val="3CCD1DA9"/>
    <w:rsid w:val="3CCF1E09"/>
    <w:rsid w:val="3CD218F9"/>
    <w:rsid w:val="3CDE455B"/>
    <w:rsid w:val="3CE138EA"/>
    <w:rsid w:val="3CE16532"/>
    <w:rsid w:val="3CF12FA6"/>
    <w:rsid w:val="3CF7252C"/>
    <w:rsid w:val="3D0A1093"/>
    <w:rsid w:val="3D147027"/>
    <w:rsid w:val="3D224DE9"/>
    <w:rsid w:val="3D307460"/>
    <w:rsid w:val="3D3F4E19"/>
    <w:rsid w:val="3D4C16AB"/>
    <w:rsid w:val="3D581DFE"/>
    <w:rsid w:val="3D5B4EAA"/>
    <w:rsid w:val="3D7338D9"/>
    <w:rsid w:val="3D733D0E"/>
    <w:rsid w:val="3D8175A7"/>
    <w:rsid w:val="3D8F067A"/>
    <w:rsid w:val="3DA24BB0"/>
    <w:rsid w:val="3DA908AC"/>
    <w:rsid w:val="3DAB794E"/>
    <w:rsid w:val="3DB80AEF"/>
    <w:rsid w:val="3DCFD675"/>
    <w:rsid w:val="3DDF1F81"/>
    <w:rsid w:val="3E0C4997"/>
    <w:rsid w:val="3E1C6396"/>
    <w:rsid w:val="3E2E70EF"/>
    <w:rsid w:val="3E324F97"/>
    <w:rsid w:val="3E3E1A84"/>
    <w:rsid w:val="3E43485C"/>
    <w:rsid w:val="3E4D234E"/>
    <w:rsid w:val="3E5E7173"/>
    <w:rsid w:val="3E726EF0"/>
    <w:rsid w:val="3E7B0388"/>
    <w:rsid w:val="3E864749"/>
    <w:rsid w:val="3E8648AE"/>
    <w:rsid w:val="3E8E0DB8"/>
    <w:rsid w:val="3E90314D"/>
    <w:rsid w:val="3EA03A5D"/>
    <w:rsid w:val="3EA80B63"/>
    <w:rsid w:val="3EBE0F77"/>
    <w:rsid w:val="3EBFB587"/>
    <w:rsid w:val="3EC722BE"/>
    <w:rsid w:val="3ED454B4"/>
    <w:rsid w:val="3EDC25BB"/>
    <w:rsid w:val="3EF1250A"/>
    <w:rsid w:val="3EFED8A8"/>
    <w:rsid w:val="3F033FEC"/>
    <w:rsid w:val="3F29645E"/>
    <w:rsid w:val="3F314E39"/>
    <w:rsid w:val="3F4259EF"/>
    <w:rsid w:val="3F43263A"/>
    <w:rsid w:val="3F514D57"/>
    <w:rsid w:val="3F5D116F"/>
    <w:rsid w:val="3F6FC61D"/>
    <w:rsid w:val="3F72A782"/>
    <w:rsid w:val="3F7A3E2D"/>
    <w:rsid w:val="3F98009B"/>
    <w:rsid w:val="3F9E5AC2"/>
    <w:rsid w:val="3FAF04C4"/>
    <w:rsid w:val="3FBD1EC0"/>
    <w:rsid w:val="3FBE5436"/>
    <w:rsid w:val="3FC419CD"/>
    <w:rsid w:val="3FF3CAEC"/>
    <w:rsid w:val="3FF70FD6"/>
    <w:rsid w:val="3FFD0A3B"/>
    <w:rsid w:val="3FFE72B8"/>
    <w:rsid w:val="3FFFF19F"/>
    <w:rsid w:val="403066E3"/>
    <w:rsid w:val="404605CF"/>
    <w:rsid w:val="404C3770"/>
    <w:rsid w:val="405C7E57"/>
    <w:rsid w:val="408E08DA"/>
    <w:rsid w:val="408F1FDB"/>
    <w:rsid w:val="409C0254"/>
    <w:rsid w:val="40A1586A"/>
    <w:rsid w:val="40D774DE"/>
    <w:rsid w:val="40F938F8"/>
    <w:rsid w:val="410C6521"/>
    <w:rsid w:val="412D35A2"/>
    <w:rsid w:val="41417FB7"/>
    <w:rsid w:val="41676AB4"/>
    <w:rsid w:val="41934623"/>
    <w:rsid w:val="4197331F"/>
    <w:rsid w:val="41AF1136"/>
    <w:rsid w:val="41CA1EAB"/>
    <w:rsid w:val="41DB1250"/>
    <w:rsid w:val="41EC520B"/>
    <w:rsid w:val="41F4274F"/>
    <w:rsid w:val="420339DD"/>
    <w:rsid w:val="420A5691"/>
    <w:rsid w:val="420D21C8"/>
    <w:rsid w:val="423050F8"/>
    <w:rsid w:val="4246491B"/>
    <w:rsid w:val="425F0874"/>
    <w:rsid w:val="427801DC"/>
    <w:rsid w:val="428B45AA"/>
    <w:rsid w:val="42A87384"/>
    <w:rsid w:val="42AB79EA"/>
    <w:rsid w:val="42AD499A"/>
    <w:rsid w:val="42B37AD7"/>
    <w:rsid w:val="42E3660E"/>
    <w:rsid w:val="42EE22C5"/>
    <w:rsid w:val="433C187A"/>
    <w:rsid w:val="4349650B"/>
    <w:rsid w:val="43670FED"/>
    <w:rsid w:val="43686B13"/>
    <w:rsid w:val="436D7AB7"/>
    <w:rsid w:val="437454B8"/>
    <w:rsid w:val="43903BBF"/>
    <w:rsid w:val="43923B90"/>
    <w:rsid w:val="4395089F"/>
    <w:rsid w:val="43963680"/>
    <w:rsid w:val="43A8628C"/>
    <w:rsid w:val="43DE2931"/>
    <w:rsid w:val="43F62371"/>
    <w:rsid w:val="44044A8E"/>
    <w:rsid w:val="442A42CA"/>
    <w:rsid w:val="44462C14"/>
    <w:rsid w:val="444E3F5B"/>
    <w:rsid w:val="4467501D"/>
    <w:rsid w:val="447826DD"/>
    <w:rsid w:val="44A71168"/>
    <w:rsid w:val="44AB6CB7"/>
    <w:rsid w:val="44BA4882"/>
    <w:rsid w:val="44BF218D"/>
    <w:rsid w:val="44C2210F"/>
    <w:rsid w:val="44C67F95"/>
    <w:rsid w:val="44E4666D"/>
    <w:rsid w:val="44ED72D0"/>
    <w:rsid w:val="44F821EC"/>
    <w:rsid w:val="44FF34A7"/>
    <w:rsid w:val="45011D41"/>
    <w:rsid w:val="452E1696"/>
    <w:rsid w:val="454702B7"/>
    <w:rsid w:val="455F50A9"/>
    <w:rsid w:val="456819E4"/>
    <w:rsid w:val="45770A41"/>
    <w:rsid w:val="458C0991"/>
    <w:rsid w:val="458D1D35"/>
    <w:rsid w:val="459133D2"/>
    <w:rsid w:val="45AC0F39"/>
    <w:rsid w:val="45D4623F"/>
    <w:rsid w:val="45E316F9"/>
    <w:rsid w:val="45E9646F"/>
    <w:rsid w:val="46054EFF"/>
    <w:rsid w:val="460A3EB2"/>
    <w:rsid w:val="460B79E3"/>
    <w:rsid w:val="460B7B64"/>
    <w:rsid w:val="46113492"/>
    <w:rsid w:val="461D1E37"/>
    <w:rsid w:val="462A4554"/>
    <w:rsid w:val="462A6302"/>
    <w:rsid w:val="463158E2"/>
    <w:rsid w:val="463333B8"/>
    <w:rsid w:val="463A6393"/>
    <w:rsid w:val="46651743"/>
    <w:rsid w:val="46731A57"/>
    <w:rsid w:val="467632F5"/>
    <w:rsid w:val="4677165D"/>
    <w:rsid w:val="467C7CF4"/>
    <w:rsid w:val="46971BE9"/>
    <w:rsid w:val="46A247DC"/>
    <w:rsid w:val="46BF4C9C"/>
    <w:rsid w:val="46C329DE"/>
    <w:rsid w:val="46F1479A"/>
    <w:rsid w:val="46FD6304"/>
    <w:rsid w:val="4714670E"/>
    <w:rsid w:val="47240FA3"/>
    <w:rsid w:val="472674C8"/>
    <w:rsid w:val="472F2356"/>
    <w:rsid w:val="473513C9"/>
    <w:rsid w:val="473C009B"/>
    <w:rsid w:val="4743112D"/>
    <w:rsid w:val="474E4E09"/>
    <w:rsid w:val="47665118"/>
    <w:rsid w:val="47835CCA"/>
    <w:rsid w:val="47A10846"/>
    <w:rsid w:val="47A8312D"/>
    <w:rsid w:val="47B607B1"/>
    <w:rsid w:val="47EB2161"/>
    <w:rsid w:val="48033D20"/>
    <w:rsid w:val="48244458"/>
    <w:rsid w:val="482E032B"/>
    <w:rsid w:val="48305E1A"/>
    <w:rsid w:val="489F2FD7"/>
    <w:rsid w:val="48A65332"/>
    <w:rsid w:val="48A94C25"/>
    <w:rsid w:val="48B102D4"/>
    <w:rsid w:val="48E85B1A"/>
    <w:rsid w:val="490E52B5"/>
    <w:rsid w:val="49234E8C"/>
    <w:rsid w:val="492B03C7"/>
    <w:rsid w:val="493801AD"/>
    <w:rsid w:val="49546932"/>
    <w:rsid w:val="49614097"/>
    <w:rsid w:val="49646232"/>
    <w:rsid w:val="497E15BE"/>
    <w:rsid w:val="49896CB2"/>
    <w:rsid w:val="498B1A71"/>
    <w:rsid w:val="49A21DA1"/>
    <w:rsid w:val="49A5461D"/>
    <w:rsid w:val="49AD4B47"/>
    <w:rsid w:val="49C91C9A"/>
    <w:rsid w:val="49CC4853"/>
    <w:rsid w:val="49DF0C57"/>
    <w:rsid w:val="49EA0282"/>
    <w:rsid w:val="4A08695A"/>
    <w:rsid w:val="4A11273F"/>
    <w:rsid w:val="4A3414FD"/>
    <w:rsid w:val="4A361967"/>
    <w:rsid w:val="4A372D9B"/>
    <w:rsid w:val="4A4E6A63"/>
    <w:rsid w:val="4A525E27"/>
    <w:rsid w:val="4A534079"/>
    <w:rsid w:val="4A6130DB"/>
    <w:rsid w:val="4A62606A"/>
    <w:rsid w:val="4A631398"/>
    <w:rsid w:val="4A916E62"/>
    <w:rsid w:val="4AA01CFD"/>
    <w:rsid w:val="4AA20B5D"/>
    <w:rsid w:val="4AA743C5"/>
    <w:rsid w:val="4ACC3E2B"/>
    <w:rsid w:val="4AE051E1"/>
    <w:rsid w:val="4AFC2436"/>
    <w:rsid w:val="4B226DD3"/>
    <w:rsid w:val="4B3A0D95"/>
    <w:rsid w:val="4B4A7B6F"/>
    <w:rsid w:val="4B4B4D50"/>
    <w:rsid w:val="4B685902"/>
    <w:rsid w:val="4B6E1FC8"/>
    <w:rsid w:val="4B9761E7"/>
    <w:rsid w:val="4BA853BD"/>
    <w:rsid w:val="4BAB1C93"/>
    <w:rsid w:val="4BAF12B3"/>
    <w:rsid w:val="4BD5286C"/>
    <w:rsid w:val="4BDE1A40"/>
    <w:rsid w:val="4BFA22D2"/>
    <w:rsid w:val="4BFA71B5"/>
    <w:rsid w:val="4C436F62"/>
    <w:rsid w:val="4C5B267A"/>
    <w:rsid w:val="4C60274C"/>
    <w:rsid w:val="4C7F5B38"/>
    <w:rsid w:val="4C8248BD"/>
    <w:rsid w:val="4C927F2F"/>
    <w:rsid w:val="4CA50490"/>
    <w:rsid w:val="4CB16E35"/>
    <w:rsid w:val="4CB80446"/>
    <w:rsid w:val="4CC36B68"/>
    <w:rsid w:val="4CD86AB8"/>
    <w:rsid w:val="4CDE6D29"/>
    <w:rsid w:val="4CE03BBE"/>
    <w:rsid w:val="4CF907DC"/>
    <w:rsid w:val="4CFD1CB9"/>
    <w:rsid w:val="4CFE7C69"/>
    <w:rsid w:val="4CFF5214"/>
    <w:rsid w:val="4D183358"/>
    <w:rsid w:val="4D3B2BA3"/>
    <w:rsid w:val="4D4B54DB"/>
    <w:rsid w:val="4D4D597D"/>
    <w:rsid w:val="4D7F0EE4"/>
    <w:rsid w:val="4D8409ED"/>
    <w:rsid w:val="4DB12E65"/>
    <w:rsid w:val="4DBE3EFF"/>
    <w:rsid w:val="4DC62630"/>
    <w:rsid w:val="4DCA3B12"/>
    <w:rsid w:val="4DDA060D"/>
    <w:rsid w:val="4DDFDB34"/>
    <w:rsid w:val="4DF711BF"/>
    <w:rsid w:val="4DFC667B"/>
    <w:rsid w:val="4DFE42FC"/>
    <w:rsid w:val="4E124C33"/>
    <w:rsid w:val="4E257040"/>
    <w:rsid w:val="4E370DDA"/>
    <w:rsid w:val="4E656129"/>
    <w:rsid w:val="4E726A98"/>
    <w:rsid w:val="4EA355F9"/>
    <w:rsid w:val="4EAA4484"/>
    <w:rsid w:val="4EBA6128"/>
    <w:rsid w:val="4EC70B92"/>
    <w:rsid w:val="4EDC51C3"/>
    <w:rsid w:val="4EEA6215"/>
    <w:rsid w:val="4EF7438C"/>
    <w:rsid w:val="4EFD498B"/>
    <w:rsid w:val="4F19549B"/>
    <w:rsid w:val="4F443F90"/>
    <w:rsid w:val="4F45079D"/>
    <w:rsid w:val="4F451D9C"/>
    <w:rsid w:val="4F493920"/>
    <w:rsid w:val="4F524F63"/>
    <w:rsid w:val="4F5D4A66"/>
    <w:rsid w:val="4F905657"/>
    <w:rsid w:val="4FB271AA"/>
    <w:rsid w:val="4FBF2665"/>
    <w:rsid w:val="4FC7336D"/>
    <w:rsid w:val="4FCB2904"/>
    <w:rsid w:val="4FE13ED5"/>
    <w:rsid w:val="4FEE65F2"/>
    <w:rsid w:val="4FEED003"/>
    <w:rsid w:val="50097A56"/>
    <w:rsid w:val="50113E8E"/>
    <w:rsid w:val="50231A83"/>
    <w:rsid w:val="503009B9"/>
    <w:rsid w:val="503C330A"/>
    <w:rsid w:val="50415F13"/>
    <w:rsid w:val="504B75A0"/>
    <w:rsid w:val="50552EE4"/>
    <w:rsid w:val="505A56D9"/>
    <w:rsid w:val="50680152"/>
    <w:rsid w:val="508126D0"/>
    <w:rsid w:val="50836D3A"/>
    <w:rsid w:val="50946075"/>
    <w:rsid w:val="50A53BED"/>
    <w:rsid w:val="50D06F2B"/>
    <w:rsid w:val="50D47596"/>
    <w:rsid w:val="50E74085"/>
    <w:rsid w:val="510F05CE"/>
    <w:rsid w:val="51206DA9"/>
    <w:rsid w:val="51383FC9"/>
    <w:rsid w:val="516D2658"/>
    <w:rsid w:val="516F72BF"/>
    <w:rsid w:val="51750D79"/>
    <w:rsid w:val="5176064D"/>
    <w:rsid w:val="51844B18"/>
    <w:rsid w:val="518B5CBD"/>
    <w:rsid w:val="518D60D8"/>
    <w:rsid w:val="519531C9"/>
    <w:rsid w:val="51962A9D"/>
    <w:rsid w:val="52096D27"/>
    <w:rsid w:val="522401F4"/>
    <w:rsid w:val="52241A25"/>
    <w:rsid w:val="523D0C8A"/>
    <w:rsid w:val="52412A09"/>
    <w:rsid w:val="52416EAD"/>
    <w:rsid w:val="52543474"/>
    <w:rsid w:val="52650568"/>
    <w:rsid w:val="5281560B"/>
    <w:rsid w:val="5295167A"/>
    <w:rsid w:val="53313A9A"/>
    <w:rsid w:val="535B4456"/>
    <w:rsid w:val="539B439B"/>
    <w:rsid w:val="539F032F"/>
    <w:rsid w:val="53A53847"/>
    <w:rsid w:val="53CC6EFE"/>
    <w:rsid w:val="53D02297"/>
    <w:rsid w:val="53DCDC81"/>
    <w:rsid w:val="53EA6D1A"/>
    <w:rsid w:val="54216F96"/>
    <w:rsid w:val="54321702"/>
    <w:rsid w:val="545220E4"/>
    <w:rsid w:val="545B2A65"/>
    <w:rsid w:val="545B5860"/>
    <w:rsid w:val="54796854"/>
    <w:rsid w:val="547F7206"/>
    <w:rsid w:val="548A223D"/>
    <w:rsid w:val="54901A26"/>
    <w:rsid w:val="549A28A4"/>
    <w:rsid w:val="54AB12DF"/>
    <w:rsid w:val="54B51E36"/>
    <w:rsid w:val="54BA0063"/>
    <w:rsid w:val="54F63F7F"/>
    <w:rsid w:val="55054CC7"/>
    <w:rsid w:val="55214FBB"/>
    <w:rsid w:val="55236D3E"/>
    <w:rsid w:val="553F7611"/>
    <w:rsid w:val="55A0213D"/>
    <w:rsid w:val="55B13E0D"/>
    <w:rsid w:val="55B1434A"/>
    <w:rsid w:val="55C23E61"/>
    <w:rsid w:val="55C678D1"/>
    <w:rsid w:val="55E2480B"/>
    <w:rsid w:val="55F96288"/>
    <w:rsid w:val="56156687"/>
    <w:rsid w:val="56177F93"/>
    <w:rsid w:val="563C1E65"/>
    <w:rsid w:val="565D3B8A"/>
    <w:rsid w:val="565E0EBF"/>
    <w:rsid w:val="56680EAC"/>
    <w:rsid w:val="566E223B"/>
    <w:rsid w:val="56A94E45"/>
    <w:rsid w:val="56DC0F52"/>
    <w:rsid w:val="56E4691C"/>
    <w:rsid w:val="56E878F7"/>
    <w:rsid w:val="56F3629C"/>
    <w:rsid w:val="570D55B0"/>
    <w:rsid w:val="570F696E"/>
    <w:rsid w:val="57250B4B"/>
    <w:rsid w:val="573E39BB"/>
    <w:rsid w:val="573E7C81"/>
    <w:rsid w:val="574216FD"/>
    <w:rsid w:val="57454D4A"/>
    <w:rsid w:val="57464C52"/>
    <w:rsid w:val="57483C27"/>
    <w:rsid w:val="574A1DC1"/>
    <w:rsid w:val="577F481A"/>
    <w:rsid w:val="579739BE"/>
    <w:rsid w:val="579F2B50"/>
    <w:rsid w:val="57BECB18"/>
    <w:rsid w:val="57BF35F0"/>
    <w:rsid w:val="57CB6B60"/>
    <w:rsid w:val="57DBE81D"/>
    <w:rsid w:val="57EB6181"/>
    <w:rsid w:val="57EF3FFD"/>
    <w:rsid w:val="57F81DBC"/>
    <w:rsid w:val="57F82957"/>
    <w:rsid w:val="5809221B"/>
    <w:rsid w:val="58101263"/>
    <w:rsid w:val="58355EB2"/>
    <w:rsid w:val="583D3C73"/>
    <w:rsid w:val="583E16A2"/>
    <w:rsid w:val="5851771E"/>
    <w:rsid w:val="58602DEB"/>
    <w:rsid w:val="587F58A7"/>
    <w:rsid w:val="58967865"/>
    <w:rsid w:val="58B33F35"/>
    <w:rsid w:val="58CC00AC"/>
    <w:rsid w:val="59086A46"/>
    <w:rsid w:val="59254E33"/>
    <w:rsid w:val="594A2AEB"/>
    <w:rsid w:val="595930FB"/>
    <w:rsid w:val="595F7C29"/>
    <w:rsid w:val="597701F1"/>
    <w:rsid w:val="597C1F02"/>
    <w:rsid w:val="59875AED"/>
    <w:rsid w:val="599D34E8"/>
    <w:rsid w:val="59AA606D"/>
    <w:rsid w:val="59C271C9"/>
    <w:rsid w:val="59D01975"/>
    <w:rsid w:val="59F023FC"/>
    <w:rsid w:val="59F2173A"/>
    <w:rsid w:val="5A1153B7"/>
    <w:rsid w:val="5A146C55"/>
    <w:rsid w:val="5A1A070F"/>
    <w:rsid w:val="5A240519"/>
    <w:rsid w:val="5A3A60B7"/>
    <w:rsid w:val="5A3D1234"/>
    <w:rsid w:val="5A421A14"/>
    <w:rsid w:val="5A5F26D4"/>
    <w:rsid w:val="5A6B3AB0"/>
    <w:rsid w:val="5A767910"/>
    <w:rsid w:val="5AA06E1B"/>
    <w:rsid w:val="5AA81633"/>
    <w:rsid w:val="5AC73CC7"/>
    <w:rsid w:val="5AD7215D"/>
    <w:rsid w:val="5AD9338A"/>
    <w:rsid w:val="5AE33153"/>
    <w:rsid w:val="5B184523"/>
    <w:rsid w:val="5B247787"/>
    <w:rsid w:val="5B372BFB"/>
    <w:rsid w:val="5B435774"/>
    <w:rsid w:val="5B5E4889"/>
    <w:rsid w:val="5B7E2B2B"/>
    <w:rsid w:val="5B7F55D4"/>
    <w:rsid w:val="5B8816A9"/>
    <w:rsid w:val="5BA069F2"/>
    <w:rsid w:val="5BAF7E67"/>
    <w:rsid w:val="5BB3DA1A"/>
    <w:rsid w:val="5BBB3BA8"/>
    <w:rsid w:val="5BCC689E"/>
    <w:rsid w:val="5BCF12C3"/>
    <w:rsid w:val="5BDD7A02"/>
    <w:rsid w:val="5BF44F90"/>
    <w:rsid w:val="5BFA484F"/>
    <w:rsid w:val="5BFF442E"/>
    <w:rsid w:val="5C080FA9"/>
    <w:rsid w:val="5C352CCC"/>
    <w:rsid w:val="5C4662D1"/>
    <w:rsid w:val="5C5504D2"/>
    <w:rsid w:val="5C882ACB"/>
    <w:rsid w:val="5CA22C3E"/>
    <w:rsid w:val="5CB5471F"/>
    <w:rsid w:val="5CC130C4"/>
    <w:rsid w:val="5CD34356"/>
    <w:rsid w:val="5CD54DC2"/>
    <w:rsid w:val="5CE24DE9"/>
    <w:rsid w:val="5CEB0141"/>
    <w:rsid w:val="5D1256CE"/>
    <w:rsid w:val="5D4538A3"/>
    <w:rsid w:val="5D485594"/>
    <w:rsid w:val="5D557A09"/>
    <w:rsid w:val="5D696CE4"/>
    <w:rsid w:val="5D9562FF"/>
    <w:rsid w:val="5D972077"/>
    <w:rsid w:val="5DA36667"/>
    <w:rsid w:val="5DAF453C"/>
    <w:rsid w:val="5DB76275"/>
    <w:rsid w:val="5DC07E1D"/>
    <w:rsid w:val="5DCE7F62"/>
    <w:rsid w:val="5DDE928F"/>
    <w:rsid w:val="5DE45C74"/>
    <w:rsid w:val="5DE7DCF0"/>
    <w:rsid w:val="5DE9235D"/>
    <w:rsid w:val="5DEE50E7"/>
    <w:rsid w:val="5DF6A660"/>
    <w:rsid w:val="5DFF070B"/>
    <w:rsid w:val="5E177445"/>
    <w:rsid w:val="5E343D6A"/>
    <w:rsid w:val="5E3653EC"/>
    <w:rsid w:val="5E3BF01E"/>
    <w:rsid w:val="5E3FEA2B"/>
    <w:rsid w:val="5E5B2FBB"/>
    <w:rsid w:val="5E5E4943"/>
    <w:rsid w:val="5E964F94"/>
    <w:rsid w:val="5E980438"/>
    <w:rsid w:val="5EAA5DDA"/>
    <w:rsid w:val="5EAC2CE3"/>
    <w:rsid w:val="5EC94A7D"/>
    <w:rsid w:val="5ECE7F4F"/>
    <w:rsid w:val="5ED512C6"/>
    <w:rsid w:val="5EE78E25"/>
    <w:rsid w:val="5EEFBD2C"/>
    <w:rsid w:val="5EEFCF83"/>
    <w:rsid w:val="5EFF0CFA"/>
    <w:rsid w:val="5F105C3D"/>
    <w:rsid w:val="5F117361"/>
    <w:rsid w:val="5F5226F9"/>
    <w:rsid w:val="5F57826F"/>
    <w:rsid w:val="5F6B63A8"/>
    <w:rsid w:val="5F7F2DC3"/>
    <w:rsid w:val="5F816B3B"/>
    <w:rsid w:val="5F877CC0"/>
    <w:rsid w:val="5F88611B"/>
    <w:rsid w:val="5F891462"/>
    <w:rsid w:val="5FA32F55"/>
    <w:rsid w:val="5FA8056B"/>
    <w:rsid w:val="5FC10D9A"/>
    <w:rsid w:val="5FDF1DE0"/>
    <w:rsid w:val="5FDFC487"/>
    <w:rsid w:val="5FE13491"/>
    <w:rsid w:val="5FE1750C"/>
    <w:rsid w:val="5FF11F12"/>
    <w:rsid w:val="5FF373C6"/>
    <w:rsid w:val="5FF7A830"/>
    <w:rsid w:val="5FFB7DA1"/>
    <w:rsid w:val="5FFD7E57"/>
    <w:rsid w:val="60025ECE"/>
    <w:rsid w:val="60285208"/>
    <w:rsid w:val="602D281F"/>
    <w:rsid w:val="603D6DB4"/>
    <w:rsid w:val="60530390"/>
    <w:rsid w:val="60687261"/>
    <w:rsid w:val="60757548"/>
    <w:rsid w:val="608947DC"/>
    <w:rsid w:val="608C7D6B"/>
    <w:rsid w:val="609603C4"/>
    <w:rsid w:val="60C5514D"/>
    <w:rsid w:val="60CE0AA2"/>
    <w:rsid w:val="60DD09F9"/>
    <w:rsid w:val="60EB48A3"/>
    <w:rsid w:val="612260FC"/>
    <w:rsid w:val="61327D6B"/>
    <w:rsid w:val="613876CD"/>
    <w:rsid w:val="6146003C"/>
    <w:rsid w:val="615279A7"/>
    <w:rsid w:val="616747DD"/>
    <w:rsid w:val="617526CF"/>
    <w:rsid w:val="61790877"/>
    <w:rsid w:val="617A1B7C"/>
    <w:rsid w:val="61A15272"/>
    <w:rsid w:val="61AB60F1"/>
    <w:rsid w:val="61B009D1"/>
    <w:rsid w:val="61C15914"/>
    <w:rsid w:val="61CA759D"/>
    <w:rsid w:val="61D52193"/>
    <w:rsid w:val="61FB0E26"/>
    <w:rsid w:val="621041A6"/>
    <w:rsid w:val="621A4158"/>
    <w:rsid w:val="62373108"/>
    <w:rsid w:val="623B56C7"/>
    <w:rsid w:val="623B7475"/>
    <w:rsid w:val="62487C4B"/>
    <w:rsid w:val="62506A02"/>
    <w:rsid w:val="62546789"/>
    <w:rsid w:val="62555998"/>
    <w:rsid w:val="625E3163"/>
    <w:rsid w:val="628E2B9F"/>
    <w:rsid w:val="62B9483E"/>
    <w:rsid w:val="62C67241"/>
    <w:rsid w:val="6306019D"/>
    <w:rsid w:val="63065E39"/>
    <w:rsid w:val="633A772C"/>
    <w:rsid w:val="634265E1"/>
    <w:rsid w:val="63462575"/>
    <w:rsid w:val="635C5BCB"/>
    <w:rsid w:val="635F7984"/>
    <w:rsid w:val="6377272F"/>
    <w:rsid w:val="637812DE"/>
    <w:rsid w:val="638D1F52"/>
    <w:rsid w:val="63AA629D"/>
    <w:rsid w:val="63D47B81"/>
    <w:rsid w:val="63E777BB"/>
    <w:rsid w:val="640A7A9E"/>
    <w:rsid w:val="644C3BBB"/>
    <w:rsid w:val="644F7208"/>
    <w:rsid w:val="64526CF8"/>
    <w:rsid w:val="6477675E"/>
    <w:rsid w:val="64785203"/>
    <w:rsid w:val="648D7D30"/>
    <w:rsid w:val="64923598"/>
    <w:rsid w:val="64992B79"/>
    <w:rsid w:val="64A82DBC"/>
    <w:rsid w:val="64AA08E2"/>
    <w:rsid w:val="64AB51A4"/>
    <w:rsid w:val="64AC465A"/>
    <w:rsid w:val="64AE5DCB"/>
    <w:rsid w:val="64B67287"/>
    <w:rsid w:val="64D0100A"/>
    <w:rsid w:val="64DD15DF"/>
    <w:rsid w:val="64E43618"/>
    <w:rsid w:val="64F16511"/>
    <w:rsid w:val="650669B1"/>
    <w:rsid w:val="651D10B4"/>
    <w:rsid w:val="65515201"/>
    <w:rsid w:val="655D260C"/>
    <w:rsid w:val="656B62C3"/>
    <w:rsid w:val="65772501"/>
    <w:rsid w:val="657C4CC0"/>
    <w:rsid w:val="658962FF"/>
    <w:rsid w:val="659B3A50"/>
    <w:rsid w:val="65AD24DB"/>
    <w:rsid w:val="65B5753E"/>
    <w:rsid w:val="65C37EAD"/>
    <w:rsid w:val="65CD2ADA"/>
    <w:rsid w:val="65D5369F"/>
    <w:rsid w:val="65DC302A"/>
    <w:rsid w:val="65DC45DF"/>
    <w:rsid w:val="66570776"/>
    <w:rsid w:val="6660394E"/>
    <w:rsid w:val="6680501B"/>
    <w:rsid w:val="66976C44"/>
    <w:rsid w:val="66A94465"/>
    <w:rsid w:val="66B15F58"/>
    <w:rsid w:val="66E225B5"/>
    <w:rsid w:val="66F347C2"/>
    <w:rsid w:val="66F43E73"/>
    <w:rsid w:val="66F66060"/>
    <w:rsid w:val="670F0ED0"/>
    <w:rsid w:val="67210E21"/>
    <w:rsid w:val="672A3F5C"/>
    <w:rsid w:val="673D196D"/>
    <w:rsid w:val="676705B3"/>
    <w:rsid w:val="67B2BDE3"/>
    <w:rsid w:val="67DF2A36"/>
    <w:rsid w:val="67DF4363"/>
    <w:rsid w:val="67E747FB"/>
    <w:rsid w:val="67F02AB0"/>
    <w:rsid w:val="67F0485E"/>
    <w:rsid w:val="680447AD"/>
    <w:rsid w:val="68127CAC"/>
    <w:rsid w:val="681744E0"/>
    <w:rsid w:val="681A7B2C"/>
    <w:rsid w:val="68294213"/>
    <w:rsid w:val="68444BA9"/>
    <w:rsid w:val="68567BF8"/>
    <w:rsid w:val="685A68BE"/>
    <w:rsid w:val="68784853"/>
    <w:rsid w:val="6897172A"/>
    <w:rsid w:val="68993147"/>
    <w:rsid w:val="68A35D74"/>
    <w:rsid w:val="68B166E3"/>
    <w:rsid w:val="68DE1099"/>
    <w:rsid w:val="68DF1251"/>
    <w:rsid w:val="68E634E8"/>
    <w:rsid w:val="68E85E7D"/>
    <w:rsid w:val="68E9DB2B"/>
    <w:rsid w:val="692C7B17"/>
    <w:rsid w:val="694330B3"/>
    <w:rsid w:val="694A2693"/>
    <w:rsid w:val="695D5F23"/>
    <w:rsid w:val="69676DA1"/>
    <w:rsid w:val="698A6F34"/>
    <w:rsid w:val="69A00505"/>
    <w:rsid w:val="69A320DB"/>
    <w:rsid w:val="69C51D1A"/>
    <w:rsid w:val="69DA29CD"/>
    <w:rsid w:val="69DC1BD1"/>
    <w:rsid w:val="69E178BF"/>
    <w:rsid w:val="69EC15D6"/>
    <w:rsid w:val="69EE74C3"/>
    <w:rsid w:val="6A3053E5"/>
    <w:rsid w:val="6A425119"/>
    <w:rsid w:val="6A5C144D"/>
    <w:rsid w:val="6A5D0610"/>
    <w:rsid w:val="6A5E1D79"/>
    <w:rsid w:val="6AA933EA"/>
    <w:rsid w:val="6AAE3476"/>
    <w:rsid w:val="6ABF6769"/>
    <w:rsid w:val="6AC77F7F"/>
    <w:rsid w:val="6AED1528"/>
    <w:rsid w:val="6B2C2051"/>
    <w:rsid w:val="6B2C59DC"/>
    <w:rsid w:val="6B4B1E3D"/>
    <w:rsid w:val="6B827EC3"/>
    <w:rsid w:val="6B94384F"/>
    <w:rsid w:val="6BA954BC"/>
    <w:rsid w:val="6BAC44A5"/>
    <w:rsid w:val="6BB362CE"/>
    <w:rsid w:val="6BC404DB"/>
    <w:rsid w:val="6BE309E6"/>
    <w:rsid w:val="6BED6C25"/>
    <w:rsid w:val="6BF123BD"/>
    <w:rsid w:val="6BF8482C"/>
    <w:rsid w:val="6BFB133A"/>
    <w:rsid w:val="6C0841E4"/>
    <w:rsid w:val="6C094140"/>
    <w:rsid w:val="6C423AF6"/>
    <w:rsid w:val="6C454C4B"/>
    <w:rsid w:val="6C4DFAA5"/>
    <w:rsid w:val="6C554EC8"/>
    <w:rsid w:val="6C584936"/>
    <w:rsid w:val="6C5D448C"/>
    <w:rsid w:val="6C77554D"/>
    <w:rsid w:val="6C9A748E"/>
    <w:rsid w:val="6CB202B7"/>
    <w:rsid w:val="6CB65BFE"/>
    <w:rsid w:val="6CEDC09F"/>
    <w:rsid w:val="6CF592B2"/>
    <w:rsid w:val="6D5FE277"/>
    <w:rsid w:val="6D6655C2"/>
    <w:rsid w:val="6D68758C"/>
    <w:rsid w:val="6D6D6950"/>
    <w:rsid w:val="6D785A21"/>
    <w:rsid w:val="6D7B72BF"/>
    <w:rsid w:val="6D8433BC"/>
    <w:rsid w:val="6DA2484C"/>
    <w:rsid w:val="6DDA2238"/>
    <w:rsid w:val="6DEF55B7"/>
    <w:rsid w:val="6DF727CA"/>
    <w:rsid w:val="6DFB3F5C"/>
    <w:rsid w:val="6E2EECA6"/>
    <w:rsid w:val="6E480F08"/>
    <w:rsid w:val="6E4E22DE"/>
    <w:rsid w:val="6E6B164E"/>
    <w:rsid w:val="6E6B2034"/>
    <w:rsid w:val="6E8474D1"/>
    <w:rsid w:val="6E855B98"/>
    <w:rsid w:val="6E9C129B"/>
    <w:rsid w:val="6E9F7E94"/>
    <w:rsid w:val="6EA75E92"/>
    <w:rsid w:val="6EB1286D"/>
    <w:rsid w:val="6EB20ABF"/>
    <w:rsid w:val="6ECF5BB8"/>
    <w:rsid w:val="6ED70525"/>
    <w:rsid w:val="6EDD503B"/>
    <w:rsid w:val="6EE36ECA"/>
    <w:rsid w:val="6F046D30"/>
    <w:rsid w:val="6F241291"/>
    <w:rsid w:val="6F4D6A39"/>
    <w:rsid w:val="6F4F0A46"/>
    <w:rsid w:val="6F4F7C8F"/>
    <w:rsid w:val="6F9F478A"/>
    <w:rsid w:val="6FA50623"/>
    <w:rsid w:val="6FB645D5"/>
    <w:rsid w:val="6FBE565B"/>
    <w:rsid w:val="6FE72280"/>
    <w:rsid w:val="6FE7D5F6"/>
    <w:rsid w:val="6FEE29CF"/>
    <w:rsid w:val="6FEEC5A6"/>
    <w:rsid w:val="6FF6876A"/>
    <w:rsid w:val="6FF77322"/>
    <w:rsid w:val="6FF77F61"/>
    <w:rsid w:val="70043BDB"/>
    <w:rsid w:val="700679D6"/>
    <w:rsid w:val="7053007F"/>
    <w:rsid w:val="70531ED5"/>
    <w:rsid w:val="7073586F"/>
    <w:rsid w:val="709269AE"/>
    <w:rsid w:val="70C9376D"/>
    <w:rsid w:val="7104203A"/>
    <w:rsid w:val="71104F85"/>
    <w:rsid w:val="712A1F38"/>
    <w:rsid w:val="712B617B"/>
    <w:rsid w:val="713E488C"/>
    <w:rsid w:val="71593474"/>
    <w:rsid w:val="71773D35"/>
    <w:rsid w:val="71802052"/>
    <w:rsid w:val="71844269"/>
    <w:rsid w:val="718C1A9B"/>
    <w:rsid w:val="71A36DE5"/>
    <w:rsid w:val="71A566B9"/>
    <w:rsid w:val="71CD20B4"/>
    <w:rsid w:val="71DC40A5"/>
    <w:rsid w:val="71DD22F7"/>
    <w:rsid w:val="71E60A7F"/>
    <w:rsid w:val="7234177C"/>
    <w:rsid w:val="72457EDA"/>
    <w:rsid w:val="72473609"/>
    <w:rsid w:val="72606A84"/>
    <w:rsid w:val="72614C18"/>
    <w:rsid w:val="7270316B"/>
    <w:rsid w:val="7272748D"/>
    <w:rsid w:val="72732630"/>
    <w:rsid w:val="729D3834"/>
    <w:rsid w:val="72B113CE"/>
    <w:rsid w:val="72BA1E81"/>
    <w:rsid w:val="72BC574B"/>
    <w:rsid w:val="7312139A"/>
    <w:rsid w:val="731970B0"/>
    <w:rsid w:val="731B5C98"/>
    <w:rsid w:val="73337CF4"/>
    <w:rsid w:val="735026D3"/>
    <w:rsid w:val="73554814"/>
    <w:rsid w:val="7367CFC6"/>
    <w:rsid w:val="73691968"/>
    <w:rsid w:val="73781E2A"/>
    <w:rsid w:val="737C169B"/>
    <w:rsid w:val="738D5656"/>
    <w:rsid w:val="73974C13"/>
    <w:rsid w:val="73A9A0FE"/>
    <w:rsid w:val="73B50B9D"/>
    <w:rsid w:val="73B8399E"/>
    <w:rsid w:val="73BB2FE2"/>
    <w:rsid w:val="73C51294"/>
    <w:rsid w:val="73D47729"/>
    <w:rsid w:val="73DA06FA"/>
    <w:rsid w:val="73DFF914"/>
    <w:rsid w:val="73ED07EB"/>
    <w:rsid w:val="73FB6A64"/>
    <w:rsid w:val="73FBD96C"/>
    <w:rsid w:val="73FF8890"/>
    <w:rsid w:val="741B0EB4"/>
    <w:rsid w:val="7420296E"/>
    <w:rsid w:val="743313D8"/>
    <w:rsid w:val="74380B51"/>
    <w:rsid w:val="744A3547"/>
    <w:rsid w:val="744E128A"/>
    <w:rsid w:val="74512B28"/>
    <w:rsid w:val="74652E24"/>
    <w:rsid w:val="747B5DF7"/>
    <w:rsid w:val="74842EFD"/>
    <w:rsid w:val="748F004B"/>
    <w:rsid w:val="74A643ED"/>
    <w:rsid w:val="74AC1BA1"/>
    <w:rsid w:val="74D472B5"/>
    <w:rsid w:val="74FB2A94"/>
    <w:rsid w:val="753A35BC"/>
    <w:rsid w:val="75410DEE"/>
    <w:rsid w:val="7544443B"/>
    <w:rsid w:val="754461E9"/>
    <w:rsid w:val="754C66FC"/>
    <w:rsid w:val="754E52B9"/>
    <w:rsid w:val="7552606E"/>
    <w:rsid w:val="75575362"/>
    <w:rsid w:val="755F349B"/>
    <w:rsid w:val="75DFD238"/>
    <w:rsid w:val="75FD3C8F"/>
    <w:rsid w:val="75FF86F4"/>
    <w:rsid w:val="7614205F"/>
    <w:rsid w:val="762D3121"/>
    <w:rsid w:val="763A3DB1"/>
    <w:rsid w:val="763B50C6"/>
    <w:rsid w:val="76472434"/>
    <w:rsid w:val="76483BFC"/>
    <w:rsid w:val="7663715E"/>
    <w:rsid w:val="766905FD"/>
    <w:rsid w:val="766E0586"/>
    <w:rsid w:val="767D5E56"/>
    <w:rsid w:val="769304E7"/>
    <w:rsid w:val="76933762"/>
    <w:rsid w:val="769F582D"/>
    <w:rsid w:val="76A07D97"/>
    <w:rsid w:val="76A50F09"/>
    <w:rsid w:val="76C1171E"/>
    <w:rsid w:val="76D11BF8"/>
    <w:rsid w:val="76D164BA"/>
    <w:rsid w:val="76DF7600"/>
    <w:rsid w:val="771542E1"/>
    <w:rsid w:val="7715608F"/>
    <w:rsid w:val="772E53A2"/>
    <w:rsid w:val="773724A9"/>
    <w:rsid w:val="773F22A7"/>
    <w:rsid w:val="77466345"/>
    <w:rsid w:val="774E15A1"/>
    <w:rsid w:val="775D9B88"/>
    <w:rsid w:val="77674BFC"/>
    <w:rsid w:val="7769462C"/>
    <w:rsid w:val="779FA59F"/>
    <w:rsid w:val="77B62F3E"/>
    <w:rsid w:val="77C41863"/>
    <w:rsid w:val="77CBE3E9"/>
    <w:rsid w:val="77D47E28"/>
    <w:rsid w:val="77D55160"/>
    <w:rsid w:val="77DB72D8"/>
    <w:rsid w:val="77DF12D9"/>
    <w:rsid w:val="77E23F4F"/>
    <w:rsid w:val="77EB01FC"/>
    <w:rsid w:val="77FF7F81"/>
    <w:rsid w:val="780E41D1"/>
    <w:rsid w:val="781400F4"/>
    <w:rsid w:val="78174088"/>
    <w:rsid w:val="781E2C43"/>
    <w:rsid w:val="7831514A"/>
    <w:rsid w:val="783E33C3"/>
    <w:rsid w:val="786A0F79"/>
    <w:rsid w:val="787212BF"/>
    <w:rsid w:val="78CE0BEB"/>
    <w:rsid w:val="78D635FC"/>
    <w:rsid w:val="78E21FA1"/>
    <w:rsid w:val="78E26444"/>
    <w:rsid w:val="78FF1193"/>
    <w:rsid w:val="79077C59"/>
    <w:rsid w:val="79164340"/>
    <w:rsid w:val="792702FB"/>
    <w:rsid w:val="793B7903"/>
    <w:rsid w:val="794762A8"/>
    <w:rsid w:val="79570BE0"/>
    <w:rsid w:val="795760CA"/>
    <w:rsid w:val="79733540"/>
    <w:rsid w:val="797C08AB"/>
    <w:rsid w:val="799D05BD"/>
    <w:rsid w:val="79A26DCA"/>
    <w:rsid w:val="79AE4579"/>
    <w:rsid w:val="79AE6327"/>
    <w:rsid w:val="79BF0851"/>
    <w:rsid w:val="79E955B1"/>
    <w:rsid w:val="79EA52F5"/>
    <w:rsid w:val="79F6541D"/>
    <w:rsid w:val="7A007F9E"/>
    <w:rsid w:val="7A106FE1"/>
    <w:rsid w:val="7A1F0FD2"/>
    <w:rsid w:val="7A2D36EF"/>
    <w:rsid w:val="7A392094"/>
    <w:rsid w:val="7A4153ED"/>
    <w:rsid w:val="7A4E3666"/>
    <w:rsid w:val="7A8A6D94"/>
    <w:rsid w:val="7A8D2CAF"/>
    <w:rsid w:val="7AA716F4"/>
    <w:rsid w:val="7AA80FC8"/>
    <w:rsid w:val="7AC6289B"/>
    <w:rsid w:val="7AEB92DC"/>
    <w:rsid w:val="7AEC7106"/>
    <w:rsid w:val="7AEE7323"/>
    <w:rsid w:val="7B0979D0"/>
    <w:rsid w:val="7B2791C4"/>
    <w:rsid w:val="7B295ECE"/>
    <w:rsid w:val="7B2A5E81"/>
    <w:rsid w:val="7B6B0973"/>
    <w:rsid w:val="7B811F45"/>
    <w:rsid w:val="7B8D7658"/>
    <w:rsid w:val="7B9D48A5"/>
    <w:rsid w:val="7B9FB2DE"/>
    <w:rsid w:val="7BBA7205"/>
    <w:rsid w:val="7BBBC392"/>
    <w:rsid w:val="7BBC2F7D"/>
    <w:rsid w:val="7BBFBC51"/>
    <w:rsid w:val="7BC10593"/>
    <w:rsid w:val="7BCB31C0"/>
    <w:rsid w:val="7BDD797B"/>
    <w:rsid w:val="7BEC3136"/>
    <w:rsid w:val="7BEF912F"/>
    <w:rsid w:val="7BFB6BC2"/>
    <w:rsid w:val="7BFD3595"/>
    <w:rsid w:val="7C067CC4"/>
    <w:rsid w:val="7C3051CE"/>
    <w:rsid w:val="7C550050"/>
    <w:rsid w:val="7C7F5DFF"/>
    <w:rsid w:val="7CC8489E"/>
    <w:rsid w:val="7CCBDF36"/>
    <w:rsid w:val="7CCD2078"/>
    <w:rsid w:val="7CE93013"/>
    <w:rsid w:val="7CEF376C"/>
    <w:rsid w:val="7CF71F3E"/>
    <w:rsid w:val="7CFE6DF0"/>
    <w:rsid w:val="7CFF2C14"/>
    <w:rsid w:val="7D00333D"/>
    <w:rsid w:val="7D25556D"/>
    <w:rsid w:val="7D3DE5ED"/>
    <w:rsid w:val="7D3F62B0"/>
    <w:rsid w:val="7D456FA2"/>
    <w:rsid w:val="7D4BD6E4"/>
    <w:rsid w:val="7D5E7E3F"/>
    <w:rsid w:val="7D6C909B"/>
    <w:rsid w:val="7D7C1468"/>
    <w:rsid w:val="7D7D2BE0"/>
    <w:rsid w:val="7D7F44B9"/>
    <w:rsid w:val="7D7FCE3D"/>
    <w:rsid w:val="7D85447B"/>
    <w:rsid w:val="7D883202"/>
    <w:rsid w:val="7D91845B"/>
    <w:rsid w:val="7DA7DCAE"/>
    <w:rsid w:val="7DC425BD"/>
    <w:rsid w:val="7DCA3EE2"/>
    <w:rsid w:val="7DD16CC1"/>
    <w:rsid w:val="7DD7FA30"/>
    <w:rsid w:val="7DDAA6C9"/>
    <w:rsid w:val="7DDF4034"/>
    <w:rsid w:val="7DE53FC7"/>
    <w:rsid w:val="7DFE1547"/>
    <w:rsid w:val="7E1105A1"/>
    <w:rsid w:val="7E2E3B63"/>
    <w:rsid w:val="7E586F16"/>
    <w:rsid w:val="7E6478FC"/>
    <w:rsid w:val="7E6D27C6"/>
    <w:rsid w:val="7E7A0ECD"/>
    <w:rsid w:val="7E8104AE"/>
    <w:rsid w:val="7E8B4E88"/>
    <w:rsid w:val="7EB20667"/>
    <w:rsid w:val="7EB70647"/>
    <w:rsid w:val="7EBA1AA5"/>
    <w:rsid w:val="7EBF7457"/>
    <w:rsid w:val="7EBF9016"/>
    <w:rsid w:val="7EBFE7D3"/>
    <w:rsid w:val="7EC375C3"/>
    <w:rsid w:val="7EE10F4C"/>
    <w:rsid w:val="7EE3FC10"/>
    <w:rsid w:val="7EEF40D6"/>
    <w:rsid w:val="7EFB7712"/>
    <w:rsid w:val="7EFC5B0D"/>
    <w:rsid w:val="7F1809C7"/>
    <w:rsid w:val="7F2C666B"/>
    <w:rsid w:val="7F2F7F0A"/>
    <w:rsid w:val="7F4852D5"/>
    <w:rsid w:val="7F5524F8"/>
    <w:rsid w:val="7F588807"/>
    <w:rsid w:val="7F67FA15"/>
    <w:rsid w:val="7F6C2F0C"/>
    <w:rsid w:val="7F704811"/>
    <w:rsid w:val="7F722BA9"/>
    <w:rsid w:val="7F73320A"/>
    <w:rsid w:val="7F743B6E"/>
    <w:rsid w:val="7F7922D8"/>
    <w:rsid w:val="7F7E58BB"/>
    <w:rsid w:val="7F7FED93"/>
    <w:rsid w:val="7F932247"/>
    <w:rsid w:val="7F9E374B"/>
    <w:rsid w:val="7FA773E3"/>
    <w:rsid w:val="7FA7BE4A"/>
    <w:rsid w:val="7FBB019E"/>
    <w:rsid w:val="7FBF4902"/>
    <w:rsid w:val="7FBF617A"/>
    <w:rsid w:val="7FC152E3"/>
    <w:rsid w:val="7FD7066C"/>
    <w:rsid w:val="7FD8234F"/>
    <w:rsid w:val="7FDA1162"/>
    <w:rsid w:val="7FDE9C03"/>
    <w:rsid w:val="7FE34250"/>
    <w:rsid w:val="7FE358CA"/>
    <w:rsid w:val="7FE7A405"/>
    <w:rsid w:val="7FEF396C"/>
    <w:rsid w:val="7FEF6D24"/>
    <w:rsid w:val="7FEF9669"/>
    <w:rsid w:val="7FF5364D"/>
    <w:rsid w:val="7FFAE1C3"/>
    <w:rsid w:val="7FFB0500"/>
    <w:rsid w:val="7FFD94B9"/>
    <w:rsid w:val="7FFE511B"/>
    <w:rsid w:val="7FFF3B42"/>
    <w:rsid w:val="7FFF78DC"/>
    <w:rsid w:val="7FFF8D0F"/>
    <w:rsid w:val="7FFFE92E"/>
    <w:rsid w:val="8BEE3622"/>
    <w:rsid w:val="917B3387"/>
    <w:rsid w:val="9829167C"/>
    <w:rsid w:val="9ADFF016"/>
    <w:rsid w:val="9AEEE8C8"/>
    <w:rsid w:val="9D9B5B06"/>
    <w:rsid w:val="9DF3045E"/>
    <w:rsid w:val="9EC9B592"/>
    <w:rsid w:val="9F5F6A5D"/>
    <w:rsid w:val="9FFB93B8"/>
    <w:rsid w:val="A3F5DE37"/>
    <w:rsid w:val="ABBEC6B5"/>
    <w:rsid w:val="AE6F0C61"/>
    <w:rsid w:val="AFCB8E45"/>
    <w:rsid w:val="B3EF55F7"/>
    <w:rsid w:val="B5DF0AF1"/>
    <w:rsid w:val="B6CE0DE7"/>
    <w:rsid w:val="B7D5B379"/>
    <w:rsid w:val="B7FD8847"/>
    <w:rsid w:val="BB3F096F"/>
    <w:rsid w:val="BBDFF8AF"/>
    <w:rsid w:val="BCF30FD1"/>
    <w:rsid w:val="BD7F5DBE"/>
    <w:rsid w:val="BEBFB198"/>
    <w:rsid w:val="BEFD19CA"/>
    <w:rsid w:val="BEFF68D3"/>
    <w:rsid w:val="BF3B4C67"/>
    <w:rsid w:val="BF5FF552"/>
    <w:rsid w:val="BF7BC2EB"/>
    <w:rsid w:val="BF8E080A"/>
    <w:rsid w:val="BFA10BFD"/>
    <w:rsid w:val="BFBB4D78"/>
    <w:rsid w:val="BFD8346C"/>
    <w:rsid w:val="BFDE1856"/>
    <w:rsid w:val="BFDFAC6E"/>
    <w:rsid w:val="BFEDCF27"/>
    <w:rsid w:val="BFF35850"/>
    <w:rsid w:val="BFF7EF90"/>
    <w:rsid w:val="BFFF8FCE"/>
    <w:rsid w:val="C5F12182"/>
    <w:rsid w:val="C9FB5B43"/>
    <w:rsid w:val="CB9B7207"/>
    <w:rsid w:val="CBFEFED3"/>
    <w:rsid w:val="CDBDD0C7"/>
    <w:rsid w:val="CEFC0293"/>
    <w:rsid w:val="CFA2E80B"/>
    <w:rsid w:val="D5FF23A4"/>
    <w:rsid w:val="D7FCFD7F"/>
    <w:rsid w:val="D9FEB3CD"/>
    <w:rsid w:val="DA5D732A"/>
    <w:rsid w:val="DA691CB6"/>
    <w:rsid w:val="DBFFBD2F"/>
    <w:rsid w:val="DBFFECC9"/>
    <w:rsid w:val="DDF35867"/>
    <w:rsid w:val="DDFE9F32"/>
    <w:rsid w:val="DE7A48A7"/>
    <w:rsid w:val="DEDB6CCB"/>
    <w:rsid w:val="DEDD962F"/>
    <w:rsid w:val="DEDFA509"/>
    <w:rsid w:val="DEF619AC"/>
    <w:rsid w:val="DEFED6B0"/>
    <w:rsid w:val="DF0177DC"/>
    <w:rsid w:val="DF1B20D9"/>
    <w:rsid w:val="DF5FB82A"/>
    <w:rsid w:val="DF5FB8CC"/>
    <w:rsid w:val="DF7B4DA5"/>
    <w:rsid w:val="DFB35592"/>
    <w:rsid w:val="DFBBBCB3"/>
    <w:rsid w:val="DFBFEB53"/>
    <w:rsid w:val="DFBFECCB"/>
    <w:rsid w:val="DFCB9A43"/>
    <w:rsid w:val="DFDEF157"/>
    <w:rsid w:val="DFDF6E3F"/>
    <w:rsid w:val="DFDFA35E"/>
    <w:rsid w:val="DFFA5BD1"/>
    <w:rsid w:val="DFFF3D96"/>
    <w:rsid w:val="E2DC142D"/>
    <w:rsid w:val="E2FE688C"/>
    <w:rsid w:val="E37FDA42"/>
    <w:rsid w:val="E77E58DD"/>
    <w:rsid w:val="E782F5B0"/>
    <w:rsid w:val="E7EF32D6"/>
    <w:rsid w:val="E91E0725"/>
    <w:rsid w:val="E9BD7041"/>
    <w:rsid w:val="EA0313C4"/>
    <w:rsid w:val="EAEF0C70"/>
    <w:rsid w:val="EAF1972D"/>
    <w:rsid w:val="EBA3C8BB"/>
    <w:rsid w:val="EBBFC291"/>
    <w:rsid w:val="EBF3A733"/>
    <w:rsid w:val="ECA5DD41"/>
    <w:rsid w:val="ECFF4F06"/>
    <w:rsid w:val="ED5FF602"/>
    <w:rsid w:val="ED9BFFDC"/>
    <w:rsid w:val="EDB7EACC"/>
    <w:rsid w:val="EEAB8848"/>
    <w:rsid w:val="EEDEE166"/>
    <w:rsid w:val="EF4F775A"/>
    <w:rsid w:val="EF6F0995"/>
    <w:rsid w:val="EF7EFC2F"/>
    <w:rsid w:val="EF93740C"/>
    <w:rsid w:val="EFBB40A0"/>
    <w:rsid w:val="EFBB8067"/>
    <w:rsid w:val="EFF77833"/>
    <w:rsid w:val="EFFD524A"/>
    <w:rsid w:val="EFFD8DDA"/>
    <w:rsid w:val="EFFDDFAF"/>
    <w:rsid w:val="F0F1F1B5"/>
    <w:rsid w:val="F1FBA1A7"/>
    <w:rsid w:val="F25F716F"/>
    <w:rsid w:val="F2FF2B03"/>
    <w:rsid w:val="F336F28E"/>
    <w:rsid w:val="F3FDF00B"/>
    <w:rsid w:val="F5EFC62C"/>
    <w:rsid w:val="F65FC9C6"/>
    <w:rsid w:val="F67388BE"/>
    <w:rsid w:val="F6F7C9A2"/>
    <w:rsid w:val="F6FA7CDA"/>
    <w:rsid w:val="F6FF4ABE"/>
    <w:rsid w:val="F755390B"/>
    <w:rsid w:val="F7BF7139"/>
    <w:rsid w:val="F7DBDB6C"/>
    <w:rsid w:val="F7E5021E"/>
    <w:rsid w:val="F7F33145"/>
    <w:rsid w:val="F7FEB153"/>
    <w:rsid w:val="F87F0A99"/>
    <w:rsid w:val="F9DFF5A2"/>
    <w:rsid w:val="F9EFF912"/>
    <w:rsid w:val="F9F7C95A"/>
    <w:rsid w:val="F9FB3F6F"/>
    <w:rsid w:val="F9FF817F"/>
    <w:rsid w:val="FB76E4E6"/>
    <w:rsid w:val="FB770C02"/>
    <w:rsid w:val="FB7BCBE6"/>
    <w:rsid w:val="FB9BAC33"/>
    <w:rsid w:val="FBBE905F"/>
    <w:rsid w:val="FBBEC1B1"/>
    <w:rsid w:val="FBD7E706"/>
    <w:rsid w:val="FBDA54A7"/>
    <w:rsid w:val="FBDF2B0A"/>
    <w:rsid w:val="FBE79824"/>
    <w:rsid w:val="FBEB3858"/>
    <w:rsid w:val="FBF7462A"/>
    <w:rsid w:val="FBFB0417"/>
    <w:rsid w:val="FBFBC3D8"/>
    <w:rsid w:val="FBFBE903"/>
    <w:rsid w:val="FBFFCD4F"/>
    <w:rsid w:val="FD366E64"/>
    <w:rsid w:val="FD7E5D1A"/>
    <w:rsid w:val="FDBBC9F7"/>
    <w:rsid w:val="FDBFC378"/>
    <w:rsid w:val="FDBFF5BD"/>
    <w:rsid w:val="FDDF43B3"/>
    <w:rsid w:val="FDEF9216"/>
    <w:rsid w:val="FDFA0A89"/>
    <w:rsid w:val="FDFAE289"/>
    <w:rsid w:val="FDFB4567"/>
    <w:rsid w:val="FDFF1180"/>
    <w:rsid w:val="FDFF412E"/>
    <w:rsid w:val="FDFFCBF3"/>
    <w:rsid w:val="FDFFDB59"/>
    <w:rsid w:val="FE4EB3BB"/>
    <w:rsid w:val="FE518181"/>
    <w:rsid w:val="FE6E02E1"/>
    <w:rsid w:val="FEC69DBD"/>
    <w:rsid w:val="FED7C593"/>
    <w:rsid w:val="FED97083"/>
    <w:rsid w:val="FEE5027E"/>
    <w:rsid w:val="FEEF20AB"/>
    <w:rsid w:val="FEFB19F1"/>
    <w:rsid w:val="FEFB2FE3"/>
    <w:rsid w:val="FF1FA66A"/>
    <w:rsid w:val="FF3D745F"/>
    <w:rsid w:val="FF634A9F"/>
    <w:rsid w:val="FF6BE4A0"/>
    <w:rsid w:val="FF6D2383"/>
    <w:rsid w:val="FF772517"/>
    <w:rsid w:val="FF77A306"/>
    <w:rsid w:val="FF7E01E9"/>
    <w:rsid w:val="FF7E8E41"/>
    <w:rsid w:val="FF968253"/>
    <w:rsid w:val="FFBB8F79"/>
    <w:rsid w:val="FFC91B7B"/>
    <w:rsid w:val="FFD75704"/>
    <w:rsid w:val="FFDF011A"/>
    <w:rsid w:val="FFE40C20"/>
    <w:rsid w:val="FFE46C5F"/>
    <w:rsid w:val="FFEF0EA9"/>
    <w:rsid w:val="FFEF4645"/>
    <w:rsid w:val="FFEF8B54"/>
    <w:rsid w:val="FFFD4756"/>
    <w:rsid w:val="FFFDF600"/>
    <w:rsid w:val="FFFE6DE3"/>
    <w:rsid w:val="FFFEC16D"/>
    <w:rsid w:val="FFFF3B17"/>
    <w:rsid w:val="FFFFA57F"/>
    <w:rsid w:val="FFFFAE4E"/>
    <w:rsid w:val="FFFFD8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5">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6">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7">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8">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9">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10">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11">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2">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70">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paragraph" w:styleId="3">
    <w:name w:val="Body Text Indent"/>
    <w:basedOn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13">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4">
    <w:name w:val="toc 7"/>
    <w:basedOn w:val="1"/>
    <w:next w:val="1"/>
    <w:qFormat/>
    <w:uiPriority w:val="39"/>
    <w:pPr>
      <w:ind w:left="1260"/>
      <w:jc w:val="left"/>
    </w:pPr>
    <w:rPr>
      <w:rFonts w:ascii="Calibri" w:hAnsi="Calibri" w:eastAsia="宋体" w:cs="Calibri"/>
      <w:sz w:val="18"/>
      <w:szCs w:val="18"/>
    </w:rPr>
  </w:style>
  <w:style w:type="paragraph" w:styleId="15">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6">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7">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8">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9">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20">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21">
    <w:name w:val="Document Map"/>
    <w:basedOn w:val="1"/>
    <w:link w:val="95"/>
    <w:unhideWhenUsed/>
    <w:qFormat/>
    <w:uiPriority w:val="0"/>
    <w:pPr>
      <w:shd w:val="clear" w:color="auto" w:fill="000080"/>
    </w:pPr>
    <w:rPr>
      <w:rFonts w:ascii="Times New Roman" w:hAnsi="Times New Roman" w:eastAsia="宋体" w:cs="宋体"/>
    </w:rPr>
  </w:style>
  <w:style w:type="paragraph" w:styleId="22">
    <w:name w:val="annotation text"/>
    <w:basedOn w:val="1"/>
    <w:link w:val="96"/>
    <w:unhideWhenUsed/>
    <w:qFormat/>
    <w:uiPriority w:val="0"/>
    <w:pPr>
      <w:jc w:val="left"/>
    </w:pPr>
    <w:rPr>
      <w:rFonts w:ascii="Times New Roman" w:hAnsi="Times New Roman" w:eastAsia="宋体" w:cs="Times New Roman"/>
    </w:rPr>
  </w:style>
  <w:style w:type="paragraph" w:styleId="23">
    <w:name w:val="Salutation"/>
    <w:basedOn w:val="1"/>
    <w:next w:val="1"/>
    <w:link w:val="362"/>
    <w:qFormat/>
    <w:uiPriority w:val="0"/>
    <w:pPr>
      <w:widowControl/>
      <w:jc w:val="left"/>
    </w:pPr>
    <w:rPr>
      <w:rFonts w:ascii="Times New Roman" w:hAnsi="Times New Roman" w:eastAsia="宋体" w:cs="Times New Roman"/>
      <w:kern w:val="0"/>
      <w:sz w:val="20"/>
      <w:szCs w:val="24"/>
    </w:rPr>
  </w:style>
  <w:style w:type="paragraph" w:styleId="24">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5">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6">
    <w:name w:val="Body Text"/>
    <w:basedOn w:val="1"/>
    <w:next w:val="27"/>
    <w:link w:val="98"/>
    <w:unhideWhenUsed/>
    <w:qFormat/>
    <w:uiPriority w:val="1"/>
    <w:pPr>
      <w:spacing w:after="120"/>
    </w:pPr>
    <w:rPr>
      <w:rFonts w:ascii="Times New Roman" w:hAnsi="Times New Roman" w:eastAsia="宋体" w:cs="Times New Roman"/>
    </w:rPr>
  </w:style>
  <w:style w:type="paragraph" w:styleId="27">
    <w:name w:val="Body Text First Indent"/>
    <w:basedOn w:val="26"/>
    <w:next w:val="1"/>
    <w:link w:val="99"/>
    <w:unhideWhenUsed/>
    <w:qFormat/>
    <w:uiPriority w:val="0"/>
    <w:pPr>
      <w:ind w:firstLine="420" w:firstLineChars="100"/>
    </w:pPr>
    <w:rPr>
      <w:rFonts w:hAnsi="Calibri"/>
      <w:kern w:val="0"/>
    </w:rPr>
  </w:style>
  <w:style w:type="paragraph" w:styleId="28">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9">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30">
    <w:name w:val="Block Text"/>
    <w:basedOn w:val="1"/>
    <w:next w:val="3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1">
    <w:name w:val="index heading"/>
    <w:basedOn w:val="1"/>
    <w:next w:val="32"/>
    <w:unhideWhenUsed/>
    <w:qFormat/>
    <w:uiPriority w:val="99"/>
    <w:rPr>
      <w:rFonts w:ascii="等线 Light" w:hAnsi="等线 Light" w:eastAsia="等线 Light" w:cs="Times New Roman"/>
      <w:b/>
      <w:bCs/>
    </w:rPr>
  </w:style>
  <w:style w:type="paragraph" w:styleId="32">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33">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4">
    <w:name w:val="toc 5"/>
    <w:basedOn w:val="1"/>
    <w:next w:val="1"/>
    <w:qFormat/>
    <w:uiPriority w:val="39"/>
    <w:pPr>
      <w:ind w:left="840"/>
      <w:jc w:val="left"/>
    </w:pPr>
    <w:rPr>
      <w:rFonts w:ascii="Calibri" w:hAnsi="Calibri" w:eastAsia="宋体" w:cs="Calibri"/>
      <w:sz w:val="18"/>
      <w:szCs w:val="18"/>
    </w:rPr>
  </w:style>
  <w:style w:type="paragraph" w:styleId="35">
    <w:name w:val="toc 3"/>
    <w:basedOn w:val="1"/>
    <w:next w:val="1"/>
    <w:qFormat/>
    <w:uiPriority w:val="39"/>
    <w:pPr>
      <w:ind w:left="420"/>
      <w:jc w:val="left"/>
    </w:pPr>
    <w:rPr>
      <w:rFonts w:ascii="Calibri" w:hAnsi="Calibri" w:eastAsia="宋体" w:cs="Calibri"/>
      <w:i/>
      <w:iCs/>
      <w:sz w:val="20"/>
      <w:szCs w:val="20"/>
    </w:rPr>
  </w:style>
  <w:style w:type="paragraph" w:styleId="36">
    <w:name w:val="Plain Text"/>
    <w:basedOn w:val="1"/>
    <w:link w:val="113"/>
    <w:unhideWhenUsed/>
    <w:qFormat/>
    <w:uiPriority w:val="0"/>
    <w:pPr>
      <w:spacing w:beforeLines="50" w:line="400" w:lineRule="exact"/>
    </w:pPr>
    <w:rPr>
      <w:rFonts w:ascii="宋体" w:hAnsi="Courier New" w:eastAsia="宋体" w:cs="Times New Roman"/>
      <w:sz w:val="24"/>
    </w:rPr>
  </w:style>
  <w:style w:type="paragraph" w:styleId="37">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8">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9">
    <w:name w:val="toc 8"/>
    <w:basedOn w:val="1"/>
    <w:next w:val="1"/>
    <w:qFormat/>
    <w:uiPriority w:val="39"/>
    <w:pPr>
      <w:ind w:left="1470"/>
      <w:jc w:val="left"/>
    </w:pPr>
    <w:rPr>
      <w:rFonts w:ascii="Calibri" w:hAnsi="Calibri" w:eastAsia="宋体" w:cs="Calibri"/>
      <w:sz w:val="18"/>
      <w:szCs w:val="18"/>
    </w:rPr>
  </w:style>
  <w:style w:type="paragraph" w:styleId="40">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41">
    <w:name w:val="Body Text Indent 2"/>
    <w:basedOn w:val="1"/>
    <w:next w:val="42"/>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42">
    <w:name w:val="toc 1"/>
    <w:basedOn w:val="1"/>
    <w:next w:val="1"/>
    <w:link w:val="370"/>
    <w:unhideWhenUsed/>
    <w:qFormat/>
    <w:uiPriority w:val="39"/>
    <w:rPr>
      <w:rFonts w:ascii="Times New Roman" w:hAnsi="Times New Roman" w:eastAsia="宋体" w:cs="Times New Roman"/>
    </w:rPr>
  </w:style>
  <w:style w:type="paragraph" w:styleId="43">
    <w:name w:val="endnote text"/>
    <w:basedOn w:val="1"/>
    <w:link w:val="363"/>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4">
    <w:name w:val="Balloon Text"/>
    <w:basedOn w:val="1"/>
    <w:link w:val="104"/>
    <w:unhideWhenUsed/>
    <w:qFormat/>
    <w:uiPriority w:val="0"/>
    <w:rPr>
      <w:rFonts w:ascii="Calibri" w:hAnsi="Calibri" w:eastAsia="宋体" w:cs="Times New Roman"/>
      <w:sz w:val="18"/>
      <w:szCs w:val="18"/>
    </w:rPr>
  </w:style>
  <w:style w:type="paragraph" w:styleId="45">
    <w:name w:val="footer"/>
    <w:basedOn w:val="1"/>
    <w:link w:val="85"/>
    <w:unhideWhenUsed/>
    <w:qFormat/>
    <w:uiPriority w:val="99"/>
    <w:pPr>
      <w:tabs>
        <w:tab w:val="center" w:pos="4153"/>
        <w:tab w:val="right" w:pos="8306"/>
      </w:tabs>
      <w:snapToGrid w:val="0"/>
      <w:jc w:val="left"/>
    </w:pPr>
    <w:rPr>
      <w:sz w:val="18"/>
      <w:szCs w:val="18"/>
    </w:rPr>
  </w:style>
  <w:style w:type="paragraph" w:styleId="46">
    <w:name w:val="header"/>
    <w:basedOn w:val="1"/>
    <w:next w:val="4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7">
    <w:name w:val="toc 4"/>
    <w:basedOn w:val="1"/>
    <w:next w:val="1"/>
    <w:qFormat/>
    <w:uiPriority w:val="39"/>
    <w:pPr>
      <w:ind w:left="630"/>
      <w:jc w:val="left"/>
    </w:pPr>
    <w:rPr>
      <w:rFonts w:ascii="Calibri" w:hAnsi="Calibri" w:eastAsia="宋体" w:cs="Calibri"/>
      <w:sz w:val="18"/>
      <w:szCs w:val="18"/>
    </w:rPr>
  </w:style>
  <w:style w:type="paragraph" w:styleId="48">
    <w:name w:val="Subtitle"/>
    <w:basedOn w:val="1"/>
    <w:next w:val="1"/>
    <w:link w:val="364"/>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9">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50">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51">
    <w:name w:val="footnote text"/>
    <w:basedOn w:val="1"/>
    <w:link w:val="365"/>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52">
    <w:name w:val="toc 6"/>
    <w:basedOn w:val="1"/>
    <w:next w:val="1"/>
    <w:qFormat/>
    <w:uiPriority w:val="39"/>
    <w:pPr>
      <w:ind w:left="1050"/>
      <w:jc w:val="left"/>
    </w:pPr>
    <w:rPr>
      <w:rFonts w:ascii="Calibri" w:hAnsi="Calibri" w:eastAsia="宋体" w:cs="Calibri"/>
      <w:sz w:val="18"/>
      <w:szCs w:val="18"/>
    </w:rPr>
  </w:style>
  <w:style w:type="paragraph" w:styleId="53">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4">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5">
    <w:name w:val="toc 9"/>
    <w:basedOn w:val="1"/>
    <w:next w:val="1"/>
    <w:qFormat/>
    <w:uiPriority w:val="39"/>
    <w:pPr>
      <w:ind w:left="1680"/>
      <w:jc w:val="left"/>
    </w:pPr>
    <w:rPr>
      <w:rFonts w:ascii="Calibri" w:hAnsi="Calibri" w:eastAsia="宋体" w:cs="Calibri"/>
      <w:sz w:val="18"/>
      <w:szCs w:val="18"/>
    </w:rPr>
  </w:style>
  <w:style w:type="paragraph" w:styleId="56">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7">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8">
    <w:name w:val="Normal (Web)"/>
    <w:basedOn w:val="1"/>
    <w:link w:val="723"/>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9">
    <w:name w:val="Title"/>
    <w:basedOn w:val="1"/>
    <w:next w:val="1"/>
    <w:link w:val="366"/>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60">
    <w:name w:val="annotation subject"/>
    <w:basedOn w:val="22"/>
    <w:next w:val="22"/>
    <w:link w:val="108"/>
    <w:unhideWhenUsed/>
    <w:qFormat/>
    <w:uiPriority w:val="0"/>
    <w:rPr>
      <w:rFonts w:cs="宋体"/>
      <w:b/>
      <w:bCs/>
    </w:rPr>
  </w:style>
  <w:style w:type="table" w:styleId="62">
    <w:name w:val="Table Grid"/>
    <w:basedOn w:val="6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3">
    <w:name w:val="Table Theme"/>
    <w:basedOn w:val="6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1"/>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5">
    <w:name w:val="Medium Shading 2 Accent 2"/>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3"/>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4"/>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5"/>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9">
    <w:name w:val="Medium Shading 2 Accent 6"/>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1">
    <w:name w:val="Strong"/>
    <w:basedOn w:val="70"/>
    <w:qFormat/>
    <w:uiPriority w:val="0"/>
    <w:rPr>
      <w:rFonts w:hint="default" w:ascii="Times New Roman" w:hAnsi="Times New Roman" w:cs="Times New Roman"/>
      <w:b/>
    </w:rPr>
  </w:style>
  <w:style w:type="character" w:styleId="72">
    <w:name w:val="page number"/>
    <w:basedOn w:val="70"/>
    <w:unhideWhenUsed/>
    <w:qFormat/>
    <w:uiPriority w:val="0"/>
    <w:rPr>
      <w:rFonts w:hint="default" w:ascii="Times New Roman" w:hAnsi="Times New Roman" w:cs="Times New Roman"/>
    </w:rPr>
  </w:style>
  <w:style w:type="character" w:styleId="73">
    <w:name w:val="FollowedHyperlink"/>
    <w:basedOn w:val="70"/>
    <w:unhideWhenUsed/>
    <w:qFormat/>
    <w:uiPriority w:val="0"/>
    <w:rPr>
      <w:rFonts w:hint="default" w:ascii="Times New Roman" w:hAnsi="Times New Roman" w:cs="Times New Roman"/>
      <w:color w:val="800080"/>
      <w:u w:val="single"/>
    </w:rPr>
  </w:style>
  <w:style w:type="character" w:styleId="74">
    <w:name w:val="Emphasis"/>
    <w:qFormat/>
    <w:uiPriority w:val="0"/>
    <w:rPr>
      <w:rFonts w:ascii="Calibri" w:hAnsi="Calibri" w:eastAsia="宋体" w:cs="Times New Roman"/>
    </w:rPr>
  </w:style>
  <w:style w:type="character" w:styleId="75">
    <w:name w:val="HTML Definition"/>
    <w:basedOn w:val="70"/>
    <w:semiHidden/>
    <w:unhideWhenUsed/>
    <w:qFormat/>
    <w:uiPriority w:val="0"/>
    <w:rPr>
      <w:rFonts w:hint="default" w:ascii="Times New Roman" w:hAnsi="Times New Roman" w:cs="Times New Roman"/>
      <w:i/>
    </w:rPr>
  </w:style>
  <w:style w:type="character" w:styleId="76">
    <w:name w:val="Hyperlink"/>
    <w:basedOn w:val="70"/>
    <w:unhideWhenUsed/>
    <w:qFormat/>
    <w:uiPriority w:val="99"/>
    <w:rPr>
      <w:rFonts w:hint="default" w:ascii="Times New Roman" w:hAnsi="Times New Roman" w:cs="Times New Roman"/>
      <w:color w:val="0000FF"/>
      <w:u w:val="single"/>
    </w:rPr>
  </w:style>
  <w:style w:type="character" w:styleId="77">
    <w:name w:val="HTML Code"/>
    <w:basedOn w:val="70"/>
    <w:semiHidden/>
    <w:unhideWhenUsed/>
    <w:qFormat/>
    <w:uiPriority w:val="0"/>
    <w:rPr>
      <w:rFonts w:hint="default" w:ascii="Marlett" w:hAnsi="Marlett" w:eastAsia="Times New Roman" w:cs="Times New Roman"/>
      <w:sz w:val="21"/>
      <w:szCs w:val="24"/>
    </w:rPr>
  </w:style>
  <w:style w:type="character" w:styleId="78">
    <w:name w:val="annotation reference"/>
    <w:basedOn w:val="70"/>
    <w:unhideWhenUsed/>
    <w:qFormat/>
    <w:uiPriority w:val="0"/>
    <w:rPr>
      <w:rFonts w:hint="default" w:ascii="Times New Roman" w:hAnsi="Times New Roman" w:cs="Times New Roman"/>
      <w:sz w:val="21"/>
    </w:rPr>
  </w:style>
  <w:style w:type="character" w:styleId="79">
    <w:name w:val="footnote reference"/>
    <w:basedOn w:val="70"/>
    <w:qFormat/>
    <w:uiPriority w:val="0"/>
    <w:rPr>
      <w:vertAlign w:val="superscript"/>
    </w:rPr>
  </w:style>
  <w:style w:type="character" w:styleId="80">
    <w:name w:val="HTML Keyboard"/>
    <w:basedOn w:val="70"/>
    <w:semiHidden/>
    <w:unhideWhenUsed/>
    <w:qFormat/>
    <w:uiPriority w:val="0"/>
    <w:rPr>
      <w:rFonts w:hint="default" w:ascii="Marlett" w:hAnsi="Marlett" w:eastAsia="Times New Roman" w:cs="Times New Roman"/>
      <w:sz w:val="21"/>
      <w:szCs w:val="24"/>
    </w:rPr>
  </w:style>
  <w:style w:type="character" w:styleId="81">
    <w:name w:val="HTML Sample"/>
    <w:basedOn w:val="70"/>
    <w:semiHidden/>
    <w:unhideWhenUsed/>
    <w:qFormat/>
    <w:uiPriority w:val="0"/>
    <w:rPr>
      <w:rFonts w:hint="default" w:ascii="Marlett" w:hAnsi="Marlett" w:eastAsia="Times New Roman" w:cs="Times New Roman"/>
      <w:sz w:val="21"/>
    </w:rPr>
  </w:style>
  <w:style w:type="paragraph" w:customStyle="1" w:styleId="82">
    <w:name w:val="首行缩进"/>
    <w:basedOn w:val="1"/>
    <w:qFormat/>
    <w:uiPriority w:val="0"/>
    <w:pPr>
      <w:spacing w:line="360" w:lineRule="auto"/>
      <w:ind w:firstLine="480" w:firstLineChars="200"/>
      <w:jc w:val="left"/>
    </w:pPr>
    <w:rPr>
      <w:rFonts w:ascii="宋体" w:hAnsi="宋体"/>
      <w:sz w:val="24"/>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70"/>
    <w:link w:val="46"/>
    <w:qFormat/>
    <w:uiPriority w:val="99"/>
    <w:rPr>
      <w:sz w:val="18"/>
      <w:szCs w:val="18"/>
    </w:rPr>
  </w:style>
  <w:style w:type="character" w:customStyle="1" w:styleId="85">
    <w:name w:val="页脚 字符"/>
    <w:basedOn w:val="70"/>
    <w:link w:val="45"/>
    <w:qFormat/>
    <w:uiPriority w:val="99"/>
    <w:rPr>
      <w:sz w:val="18"/>
      <w:szCs w:val="18"/>
    </w:rPr>
  </w:style>
  <w:style w:type="character" w:customStyle="1" w:styleId="86">
    <w:name w:val="标题 1 字符"/>
    <w:basedOn w:val="70"/>
    <w:link w:val="4"/>
    <w:qFormat/>
    <w:uiPriority w:val="0"/>
    <w:rPr>
      <w:rFonts w:ascii="Times New Roman" w:hAnsi="Times New Roman" w:eastAsia="黑体" w:cs="Times New Roman"/>
      <w:b/>
      <w:bCs/>
      <w:kern w:val="44"/>
      <w:sz w:val="52"/>
      <w:szCs w:val="20"/>
    </w:rPr>
  </w:style>
  <w:style w:type="character" w:customStyle="1" w:styleId="87">
    <w:name w:val="标题 2 字符"/>
    <w:basedOn w:val="70"/>
    <w:link w:val="5"/>
    <w:qFormat/>
    <w:uiPriority w:val="9"/>
    <w:rPr>
      <w:rFonts w:ascii="Arial" w:hAnsi="Arial" w:eastAsia="黑体" w:cs="Times New Roman"/>
      <w:b/>
      <w:kern w:val="0"/>
      <w:sz w:val="32"/>
      <w:szCs w:val="20"/>
    </w:rPr>
  </w:style>
  <w:style w:type="character" w:customStyle="1" w:styleId="88">
    <w:name w:val="标题 3 字符"/>
    <w:basedOn w:val="70"/>
    <w:link w:val="6"/>
    <w:qFormat/>
    <w:uiPriority w:val="0"/>
    <w:rPr>
      <w:rFonts w:ascii="Times New Roman" w:hAnsi="Times New Roman" w:eastAsia="黑体" w:cs="Times New Roman"/>
      <w:b/>
      <w:bCs/>
      <w:sz w:val="36"/>
      <w:szCs w:val="36"/>
    </w:rPr>
  </w:style>
  <w:style w:type="character" w:customStyle="1" w:styleId="89">
    <w:name w:val="标题 4 字符"/>
    <w:basedOn w:val="70"/>
    <w:link w:val="7"/>
    <w:qFormat/>
    <w:uiPriority w:val="0"/>
    <w:rPr>
      <w:rFonts w:ascii="Arial" w:hAnsi="Arial" w:eastAsia="黑体" w:cs="Times New Roman"/>
      <w:b/>
      <w:bCs/>
      <w:sz w:val="30"/>
      <w:szCs w:val="28"/>
    </w:rPr>
  </w:style>
  <w:style w:type="character" w:customStyle="1" w:styleId="90">
    <w:name w:val="标题 5 字符"/>
    <w:basedOn w:val="70"/>
    <w:link w:val="8"/>
    <w:qFormat/>
    <w:uiPriority w:val="0"/>
    <w:rPr>
      <w:rFonts w:ascii="Times New Roman" w:hAnsi="Times New Roman" w:eastAsia="宋体" w:cs="Times New Roman"/>
      <w:b/>
      <w:bCs/>
      <w:sz w:val="28"/>
      <w:szCs w:val="28"/>
    </w:rPr>
  </w:style>
  <w:style w:type="character" w:customStyle="1" w:styleId="91">
    <w:name w:val="标题 6 字符"/>
    <w:basedOn w:val="70"/>
    <w:link w:val="9"/>
    <w:qFormat/>
    <w:uiPriority w:val="9"/>
    <w:rPr>
      <w:rFonts w:ascii="Arial" w:hAnsi="Arial" w:eastAsia="黑体" w:cs="Times New Roman"/>
      <w:b/>
      <w:sz w:val="24"/>
      <w:szCs w:val="24"/>
    </w:rPr>
  </w:style>
  <w:style w:type="character" w:customStyle="1" w:styleId="92">
    <w:name w:val="标题 7 字符"/>
    <w:basedOn w:val="70"/>
    <w:link w:val="10"/>
    <w:qFormat/>
    <w:uiPriority w:val="9"/>
    <w:rPr>
      <w:rFonts w:ascii="Times New Roman" w:hAnsi="Times New Roman" w:eastAsia="黑体"/>
      <w:sz w:val="24"/>
      <w:szCs w:val="21"/>
    </w:rPr>
  </w:style>
  <w:style w:type="character" w:customStyle="1" w:styleId="93">
    <w:name w:val="标题 8 字符"/>
    <w:basedOn w:val="70"/>
    <w:link w:val="11"/>
    <w:qFormat/>
    <w:uiPriority w:val="9"/>
    <w:rPr>
      <w:rFonts w:ascii="Times New Roman" w:hAnsi="Times New Roman" w:eastAsia="黑体" w:cs="Times New Roman"/>
      <w:bCs/>
      <w:sz w:val="24"/>
      <w:szCs w:val="32"/>
    </w:rPr>
  </w:style>
  <w:style w:type="character" w:customStyle="1" w:styleId="94">
    <w:name w:val="标题 9 字符"/>
    <w:basedOn w:val="70"/>
    <w:link w:val="12"/>
    <w:qFormat/>
    <w:uiPriority w:val="9"/>
    <w:rPr>
      <w:rFonts w:ascii="Times New Roman" w:hAnsi="Times New Roman" w:eastAsia="黑体"/>
      <w:sz w:val="24"/>
      <w:szCs w:val="21"/>
    </w:rPr>
  </w:style>
  <w:style w:type="character" w:customStyle="1" w:styleId="95">
    <w:name w:val="文档结构图 字符"/>
    <w:basedOn w:val="70"/>
    <w:link w:val="21"/>
    <w:qFormat/>
    <w:uiPriority w:val="0"/>
    <w:rPr>
      <w:rFonts w:ascii="Times New Roman" w:hAnsi="Times New Roman" w:eastAsia="宋体" w:cs="宋体"/>
      <w:shd w:val="clear" w:color="auto" w:fill="000080"/>
    </w:rPr>
  </w:style>
  <w:style w:type="character" w:customStyle="1" w:styleId="96">
    <w:name w:val="批注文字 字符"/>
    <w:basedOn w:val="70"/>
    <w:link w:val="22"/>
    <w:qFormat/>
    <w:uiPriority w:val="0"/>
    <w:rPr>
      <w:rFonts w:ascii="Times New Roman" w:hAnsi="Times New Roman" w:eastAsia="宋体" w:cs="Times New Roman"/>
    </w:rPr>
  </w:style>
  <w:style w:type="character" w:customStyle="1" w:styleId="97">
    <w:name w:val="正文文本 3 字符"/>
    <w:basedOn w:val="70"/>
    <w:link w:val="24"/>
    <w:qFormat/>
    <w:uiPriority w:val="0"/>
    <w:rPr>
      <w:rFonts w:ascii="Times New Roman" w:hAnsi="宋体" w:eastAsia="Times New Roman" w:cs="Times New Roman"/>
      <w:b/>
      <w:sz w:val="24"/>
    </w:rPr>
  </w:style>
  <w:style w:type="character" w:customStyle="1" w:styleId="98">
    <w:name w:val="正文文本 字符"/>
    <w:basedOn w:val="70"/>
    <w:link w:val="26"/>
    <w:qFormat/>
    <w:uiPriority w:val="1"/>
    <w:rPr>
      <w:rFonts w:ascii="Times New Roman" w:hAnsi="Times New Roman" w:eastAsia="宋体" w:cs="Times New Roman"/>
    </w:rPr>
  </w:style>
  <w:style w:type="character" w:customStyle="1" w:styleId="99">
    <w:name w:val="正文文本首行缩进 字符"/>
    <w:basedOn w:val="98"/>
    <w:link w:val="27"/>
    <w:qFormat/>
    <w:uiPriority w:val="0"/>
    <w:rPr>
      <w:rFonts w:ascii="Times New Roman" w:hAnsi="Calibri" w:eastAsia="宋体" w:cs="Times New Roman"/>
      <w:kern w:val="0"/>
    </w:rPr>
  </w:style>
  <w:style w:type="character" w:customStyle="1" w:styleId="100">
    <w:name w:val="正文文本缩进 字符"/>
    <w:basedOn w:val="70"/>
    <w:qFormat/>
    <w:uiPriority w:val="99"/>
  </w:style>
  <w:style w:type="character" w:customStyle="1" w:styleId="101">
    <w:name w:val="纯文本 字符"/>
    <w:basedOn w:val="70"/>
    <w:qFormat/>
    <w:uiPriority w:val="0"/>
    <w:rPr>
      <w:rFonts w:hAnsi="Courier New" w:cs="Courier New" w:asciiTheme="minorEastAsia"/>
    </w:rPr>
  </w:style>
  <w:style w:type="character" w:customStyle="1" w:styleId="102">
    <w:name w:val="日期 字符"/>
    <w:basedOn w:val="70"/>
    <w:link w:val="40"/>
    <w:qFormat/>
    <w:uiPriority w:val="99"/>
    <w:rPr>
      <w:rFonts w:ascii="Calibri" w:hAnsi="Calibri" w:eastAsia="楷体_GB2312" w:cs="Times New Roman"/>
      <w:kern w:val="0"/>
      <w:sz w:val="32"/>
    </w:rPr>
  </w:style>
  <w:style w:type="character" w:customStyle="1" w:styleId="103">
    <w:name w:val="正文文本缩进 2 字符"/>
    <w:basedOn w:val="70"/>
    <w:link w:val="41"/>
    <w:qFormat/>
    <w:uiPriority w:val="0"/>
    <w:rPr>
      <w:rFonts w:ascii="仿宋_GB2312" w:hAnsi="宋体" w:eastAsia="宋体" w:cs="Times New Roman"/>
      <w:b/>
      <w:color w:val="000000"/>
      <w:kern w:val="0"/>
      <w:sz w:val="24"/>
    </w:rPr>
  </w:style>
  <w:style w:type="character" w:customStyle="1" w:styleId="104">
    <w:name w:val="批注框文本 字符"/>
    <w:basedOn w:val="70"/>
    <w:link w:val="44"/>
    <w:qFormat/>
    <w:uiPriority w:val="0"/>
    <w:rPr>
      <w:rFonts w:ascii="Calibri" w:hAnsi="Calibri" w:eastAsia="宋体" w:cs="Times New Roman"/>
      <w:sz w:val="18"/>
      <w:szCs w:val="18"/>
    </w:rPr>
  </w:style>
  <w:style w:type="character" w:customStyle="1" w:styleId="105">
    <w:name w:val="正文文本缩进 3 字符"/>
    <w:basedOn w:val="70"/>
    <w:link w:val="53"/>
    <w:qFormat/>
    <w:uiPriority w:val="0"/>
    <w:rPr>
      <w:rFonts w:ascii="仿宋_GB2312" w:hAnsi="宋体" w:eastAsia="Times New Roman" w:cs="Times New Roman"/>
      <w:color w:val="000000"/>
      <w:kern w:val="0"/>
      <w:sz w:val="24"/>
    </w:rPr>
  </w:style>
  <w:style w:type="character" w:customStyle="1" w:styleId="106">
    <w:name w:val="正文文本 2 字符"/>
    <w:basedOn w:val="70"/>
    <w:link w:val="56"/>
    <w:qFormat/>
    <w:uiPriority w:val="0"/>
    <w:rPr>
      <w:rFonts w:ascii="宋体" w:hAnsi="宋体" w:eastAsia="宋体" w:cs="宋体"/>
      <w:bCs/>
    </w:rPr>
  </w:style>
  <w:style w:type="character" w:customStyle="1" w:styleId="107">
    <w:name w:val="HTML 预设格式 字符"/>
    <w:basedOn w:val="70"/>
    <w:link w:val="57"/>
    <w:qFormat/>
    <w:uiPriority w:val="0"/>
    <w:rPr>
      <w:rFonts w:ascii="Courier New" w:hAnsi="Courier New" w:eastAsia="宋体" w:cs="Times New Roman"/>
      <w:kern w:val="0"/>
      <w:sz w:val="20"/>
      <w:szCs w:val="20"/>
    </w:rPr>
  </w:style>
  <w:style w:type="character" w:customStyle="1" w:styleId="108">
    <w:name w:val="批注主题 字符"/>
    <w:basedOn w:val="96"/>
    <w:link w:val="60"/>
    <w:qFormat/>
    <w:uiPriority w:val="0"/>
    <w:rPr>
      <w:rFonts w:ascii="Times New Roman" w:hAnsi="Times New Roman" w:eastAsia="宋体" w:cs="宋体"/>
      <w:b/>
      <w:bCs/>
    </w:rPr>
  </w:style>
  <w:style w:type="character" w:customStyle="1" w:styleId="109">
    <w:name w:val="正文文本首行缩进 2 字符"/>
    <w:basedOn w:val="100"/>
    <w:link w:val="2"/>
    <w:qFormat/>
    <w:uiPriority w:val="99"/>
    <w:rPr>
      <w:rFonts w:ascii="Calibri" w:hAnsi="Calibri" w:eastAsia="宋体" w:cs="Times New Roman"/>
      <w:szCs w:val="24"/>
    </w:rPr>
  </w:style>
  <w:style w:type="character" w:customStyle="1" w:styleId="110">
    <w:name w:val="正文缩进 字符"/>
    <w:link w:val="18"/>
    <w:qFormat/>
    <w:locked/>
    <w:uiPriority w:val="0"/>
    <w:rPr>
      <w:rFonts w:ascii="Times New Roman" w:hAnsi="Times New Roman" w:eastAsia="宋体" w:cs="Times New Roman"/>
      <w:kern w:val="0"/>
      <w:sz w:val="20"/>
      <w:szCs w:val="20"/>
    </w:rPr>
  </w:style>
  <w:style w:type="character" w:customStyle="1" w:styleId="111">
    <w:name w:val="题注 字符"/>
    <w:link w:val="19"/>
    <w:semiHidden/>
    <w:qFormat/>
    <w:locked/>
    <w:uiPriority w:val="0"/>
    <w:rPr>
      <w:rFonts w:ascii="Arial" w:hAnsi="Arial" w:eastAsia="黑体" w:cs="Times New Roman"/>
      <w:kern w:val="0"/>
      <w:sz w:val="20"/>
      <w:szCs w:val="20"/>
    </w:rPr>
  </w:style>
  <w:style w:type="character" w:customStyle="1" w:styleId="112">
    <w:name w:val="正文文本缩进 字符2"/>
    <w:basedOn w:val="70"/>
    <w:link w:val="3"/>
    <w:semiHidden/>
    <w:qFormat/>
    <w:uiPriority w:val="99"/>
    <w:rPr>
      <w:rFonts w:ascii="宋体" w:hAnsi="Courier New" w:eastAsia="宋体" w:cs="Times New Roman"/>
      <w:spacing w:val="-4"/>
      <w:kern w:val="0"/>
      <w:sz w:val="18"/>
    </w:rPr>
  </w:style>
  <w:style w:type="character" w:customStyle="1" w:styleId="113">
    <w:name w:val="纯文本 字符1"/>
    <w:basedOn w:val="70"/>
    <w:link w:val="36"/>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6"/>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8"/>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6"/>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152"/>
    <w:qFormat/>
    <w:locked/>
    <w:uiPriority w:val="0"/>
    <w:rPr>
      <w:rFonts w:ascii="Times New Roman" w:hAnsi="Times New Roman" w:eastAsia="宋体" w:cs="Times New Roman"/>
      <w:kern w:val="0"/>
      <w:sz w:val="24"/>
      <w:szCs w:val="20"/>
    </w:rPr>
  </w:style>
  <w:style w:type="paragraph" w:customStyle="1" w:styleId="152">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153">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4">
    <w:name w:val="表格内容 字符"/>
    <w:link w:val="155"/>
    <w:qFormat/>
    <w:locked/>
    <w:uiPriority w:val="0"/>
    <w:rPr>
      <w:rFonts w:ascii="仿宋" w:hAnsi="仿宋" w:eastAsia="仿宋" w:cs="Times New Roman"/>
      <w:kern w:val="0"/>
      <w:sz w:val="24"/>
    </w:rPr>
  </w:style>
  <w:style w:type="paragraph" w:customStyle="1" w:styleId="155">
    <w:name w:val="表格内容"/>
    <w:next w:val="152"/>
    <w:link w:val="154"/>
    <w:qFormat/>
    <w:uiPriority w:val="0"/>
    <w:pPr>
      <w:jc w:val="center"/>
    </w:pPr>
    <w:rPr>
      <w:rFonts w:ascii="仿宋" w:hAnsi="仿宋" w:eastAsia="仿宋" w:cs="Times New Roman"/>
      <w:sz w:val="24"/>
      <w:szCs w:val="22"/>
      <w:lang w:val="en-US" w:eastAsia="zh-CN" w:bidi="ar-SA"/>
    </w:rPr>
  </w:style>
  <w:style w:type="paragraph" w:customStyle="1" w:styleId="156">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7">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8">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9">
    <w:name w:val="文档正文"/>
    <w:basedOn w:val="1"/>
    <w:qFormat/>
    <w:uiPriority w:val="0"/>
    <w:rPr>
      <w:rFonts w:ascii="宋体" w:hAnsi="宋体" w:eastAsia="宋体" w:cs="Arial"/>
      <w:bCs/>
      <w:szCs w:val="21"/>
    </w:rPr>
  </w:style>
  <w:style w:type="paragraph" w:customStyle="1" w:styleId="160">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1">
    <w:name w:val="无间隔 Char"/>
    <w:link w:val="162"/>
    <w:qFormat/>
    <w:locked/>
    <w:uiPriority w:val="0"/>
    <w:rPr>
      <w:rFonts w:ascii="Calibri" w:hAnsi="Calibri" w:eastAsia="宋体" w:cs="Times New Roman"/>
      <w:kern w:val="0"/>
      <w:sz w:val="22"/>
    </w:rPr>
  </w:style>
  <w:style w:type="paragraph" w:customStyle="1" w:styleId="162">
    <w:name w:val="无间隔1"/>
    <w:link w:val="161"/>
    <w:qFormat/>
    <w:uiPriority w:val="0"/>
    <w:rPr>
      <w:rFonts w:ascii="Calibri" w:hAnsi="Calibri" w:eastAsia="宋体" w:cs="Times New Roman"/>
      <w:sz w:val="22"/>
      <w:szCs w:val="22"/>
      <w:lang w:val="en-US" w:eastAsia="zh-CN" w:bidi="ar-SA"/>
    </w:rPr>
  </w:style>
  <w:style w:type="paragraph" w:customStyle="1" w:styleId="163">
    <w:name w:val="纯文本1"/>
    <w:basedOn w:val="1"/>
    <w:link w:val="379"/>
    <w:qFormat/>
    <w:uiPriority w:val="0"/>
    <w:pPr>
      <w:spacing w:beforeLines="50" w:line="400" w:lineRule="exact"/>
    </w:pPr>
    <w:rPr>
      <w:rFonts w:ascii="宋体" w:hAnsi="Courier New" w:eastAsia="Times New Roman" w:cs="Times New Roman"/>
      <w:sz w:val="30"/>
      <w:szCs w:val="24"/>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正文1"/>
    <w:link w:val="518"/>
    <w:qFormat/>
    <w:uiPriority w:val="0"/>
    <w:pPr>
      <w:widowControl w:val="0"/>
      <w:jc w:val="both"/>
    </w:pPr>
    <w:rPr>
      <w:rFonts w:ascii="Calibri" w:hAnsi="Calibri" w:eastAsia="宋体" w:cs="Calibri"/>
      <w:kern w:val="2"/>
      <w:sz w:val="21"/>
      <w:szCs w:val="21"/>
      <w:lang w:val="en-US" w:eastAsia="zh-CN" w:bidi="ar-SA"/>
    </w:rPr>
  </w:style>
  <w:style w:type="paragraph" w:customStyle="1" w:styleId="172">
    <w:name w:val="WPSOffice手动目录 1"/>
    <w:qFormat/>
    <w:uiPriority w:val="0"/>
    <w:rPr>
      <w:rFonts w:ascii="Times New Roman" w:hAnsi="Times New Roman" w:eastAsia="宋体" w:cs="Times New Roman"/>
      <w:lang w:val="en-US" w:eastAsia="zh-CN" w:bidi="ar-SA"/>
    </w:rPr>
  </w:style>
  <w:style w:type="paragraph" w:customStyle="1" w:styleId="173">
    <w:name w:val="正文2"/>
    <w:basedOn w:val="1"/>
    <w:link w:val="41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4">
    <w:name w:val="正文 首行缩进:  2 字符 Char Char Char"/>
    <w:link w:val="175"/>
    <w:qFormat/>
    <w:locked/>
    <w:uiPriority w:val="0"/>
    <w:rPr>
      <w:sz w:val="24"/>
    </w:rPr>
  </w:style>
  <w:style w:type="paragraph" w:customStyle="1" w:styleId="175">
    <w:name w:val="正文 首行缩进:  2 字符 Char"/>
    <w:basedOn w:val="1"/>
    <w:link w:val="174"/>
    <w:qFormat/>
    <w:uiPriority w:val="0"/>
    <w:pPr>
      <w:spacing w:line="360" w:lineRule="auto"/>
      <w:ind w:firstLine="480"/>
    </w:pPr>
    <w:rPr>
      <w:sz w:val="24"/>
    </w:rPr>
  </w:style>
  <w:style w:type="character" w:customStyle="1" w:styleId="176">
    <w:name w:val="样式 首行缩进:  0 字符 Char"/>
    <w:link w:val="177"/>
    <w:qFormat/>
    <w:locked/>
    <w:uiPriority w:val="0"/>
    <w:rPr>
      <w:rFonts w:ascii="Arial" w:hAnsi="Arial" w:eastAsia="宋体" w:cs="Times New Roman"/>
      <w:kern w:val="0"/>
      <w:sz w:val="20"/>
      <w:szCs w:val="20"/>
    </w:rPr>
  </w:style>
  <w:style w:type="paragraph" w:customStyle="1" w:styleId="177">
    <w:name w:val="样式 首行缩进:  0 字符"/>
    <w:basedOn w:val="1"/>
    <w:link w:val="176"/>
    <w:qFormat/>
    <w:uiPriority w:val="0"/>
    <w:pPr>
      <w:spacing w:line="360" w:lineRule="auto"/>
      <w:ind w:firstLine="200" w:firstLineChars="200"/>
    </w:pPr>
    <w:rPr>
      <w:rFonts w:ascii="Arial" w:hAnsi="Arial" w:eastAsia="宋体" w:cs="Times New Roman"/>
      <w:kern w:val="0"/>
      <w:sz w:val="20"/>
      <w:szCs w:val="20"/>
    </w:rPr>
  </w:style>
  <w:style w:type="paragraph" w:customStyle="1" w:styleId="178">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9">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80">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1">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2">
    <w:name w:val="标题 10"/>
    <w:basedOn w:val="5"/>
    <w:qFormat/>
    <w:uiPriority w:val="99"/>
    <w:pPr>
      <w:spacing w:before="0" w:after="0" w:line="360" w:lineRule="auto"/>
      <w:jc w:val="center"/>
    </w:pPr>
    <w:rPr>
      <w:rFonts w:ascii="Cambria" w:hAnsi="Cambria" w:eastAsia="宋体"/>
      <w:bCs/>
      <w:sz w:val="21"/>
      <w:szCs w:val="32"/>
    </w:rPr>
  </w:style>
  <w:style w:type="paragraph" w:customStyle="1" w:styleId="18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4">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6">
    <w:name w:val="Char Char Char Char1"/>
    <w:basedOn w:val="1"/>
    <w:qFormat/>
    <w:uiPriority w:val="99"/>
    <w:rPr>
      <w:rFonts w:ascii="Tahoma" w:hAnsi="Tahoma" w:eastAsia="宋体" w:cs="Times New Roman"/>
      <w:sz w:val="24"/>
      <w:szCs w:val="20"/>
    </w:rPr>
  </w:style>
  <w:style w:type="paragraph" w:customStyle="1" w:styleId="187">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8">
    <w:name w:val="z-窗体顶端 Char"/>
    <w:link w:val="189"/>
    <w:qFormat/>
    <w:locked/>
    <w:uiPriority w:val="0"/>
    <w:rPr>
      <w:rFonts w:ascii="Arial" w:hAnsi="Arial" w:eastAsia="宋体" w:cs="Times New Roman"/>
      <w:vanish/>
      <w:kern w:val="0"/>
      <w:sz w:val="20"/>
      <w:szCs w:val="20"/>
    </w:rPr>
  </w:style>
  <w:style w:type="paragraph" w:customStyle="1" w:styleId="189">
    <w:name w:val="_Style 46"/>
    <w:basedOn w:val="1"/>
    <w:next w:val="1"/>
    <w:link w:val="188"/>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90">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1">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2">
    <w:name w:val="彩色列表 - 强调文字颜色 11"/>
    <w:basedOn w:val="1"/>
    <w:link w:val="529"/>
    <w:qFormat/>
    <w:uiPriority w:val="0"/>
    <w:pPr>
      <w:ind w:firstLine="420" w:firstLineChars="200"/>
    </w:pPr>
    <w:rPr>
      <w:rFonts w:ascii="Calibri" w:hAnsi="Calibri" w:eastAsia="宋体" w:cs="Times New Roman"/>
    </w:rPr>
  </w:style>
  <w:style w:type="paragraph" w:customStyle="1" w:styleId="193">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4">
    <w:name w:val="z-窗体底端 Char"/>
    <w:link w:val="195"/>
    <w:qFormat/>
    <w:locked/>
    <w:uiPriority w:val="0"/>
    <w:rPr>
      <w:rFonts w:ascii="Arial" w:hAnsi="Arial" w:eastAsia="宋体" w:cs="Times New Roman"/>
      <w:vanish/>
      <w:kern w:val="0"/>
      <w:sz w:val="20"/>
      <w:szCs w:val="20"/>
    </w:rPr>
  </w:style>
  <w:style w:type="paragraph" w:customStyle="1" w:styleId="195">
    <w:name w:val="_Style 54"/>
    <w:basedOn w:val="1"/>
    <w:next w:val="1"/>
    <w:link w:val="194"/>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6">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7">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8">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9">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0">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1">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3">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5">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7">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8">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9">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1">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3">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4">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5">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8">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9">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0">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1">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2">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3">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4">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5">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6">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8">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9">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1">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4">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5">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6">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7">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8">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9">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0">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2">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3">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4">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6">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8">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9">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50">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1">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2">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5">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6">
    <w:name w:val="列表段落 字符"/>
    <w:link w:val="257"/>
    <w:qFormat/>
    <w:locked/>
    <w:uiPriority w:val="34"/>
    <w:rPr>
      <w:rFonts w:ascii="宋体" w:hAnsi="宋体" w:eastAsia="宋体" w:cs="宋体"/>
      <w:kern w:val="0"/>
      <w:sz w:val="24"/>
      <w:szCs w:val="24"/>
    </w:rPr>
  </w:style>
  <w:style w:type="paragraph" w:customStyle="1" w:styleId="257">
    <w:name w:val="列表段落1"/>
    <w:basedOn w:val="1"/>
    <w:next w:val="114"/>
    <w:link w:val="256"/>
    <w:qFormat/>
    <w:uiPriority w:val="34"/>
    <w:pPr>
      <w:widowControl/>
      <w:ind w:firstLine="420" w:firstLineChars="200"/>
      <w:jc w:val="left"/>
    </w:pPr>
    <w:rPr>
      <w:rFonts w:ascii="宋体" w:hAnsi="宋体" w:eastAsia="宋体" w:cs="宋体"/>
      <w:kern w:val="0"/>
      <w:sz w:val="24"/>
      <w:szCs w:val="24"/>
    </w:rPr>
  </w:style>
  <w:style w:type="paragraph" w:customStyle="1" w:styleId="258">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9">
    <w:name w:val="图片居中"/>
    <w:basedOn w:val="1"/>
    <w:qFormat/>
    <w:uiPriority w:val="99"/>
    <w:pPr>
      <w:keepNext/>
      <w:jc w:val="center"/>
    </w:pPr>
    <w:rPr>
      <w:rFonts w:ascii="Times New Roman" w:hAnsi="Times New Roman" w:eastAsia="宋体" w:cs="Times New Roman"/>
    </w:rPr>
  </w:style>
  <w:style w:type="paragraph" w:customStyle="1" w:styleId="260">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1">
    <w:name w:val="图片题注"/>
    <w:basedOn w:val="19"/>
    <w:qFormat/>
    <w:uiPriority w:val="99"/>
  </w:style>
  <w:style w:type="paragraph" w:customStyle="1" w:styleId="262">
    <w:name w:val="表格正文"/>
    <w:basedOn w:val="1"/>
    <w:qFormat/>
    <w:uiPriority w:val="99"/>
    <w:pPr>
      <w:widowControl/>
      <w:jc w:val="left"/>
    </w:pPr>
    <w:rPr>
      <w:rFonts w:ascii="宋体" w:hAnsi="宋体" w:eastAsia="宋体" w:cs="宋体"/>
      <w:szCs w:val="28"/>
    </w:rPr>
  </w:style>
  <w:style w:type="paragraph" w:customStyle="1" w:styleId="263">
    <w:name w:val="修订1"/>
    <w:qFormat/>
    <w:uiPriority w:val="99"/>
    <w:rPr>
      <w:rFonts w:ascii="Times New Roman" w:hAnsi="Times New Roman" w:eastAsia="宋体" w:cs="Times New Roman"/>
      <w:kern w:val="2"/>
      <w:sz w:val="21"/>
      <w:szCs w:val="22"/>
      <w:lang w:val="en-US" w:eastAsia="zh-CN" w:bidi="ar-SA"/>
    </w:rPr>
  </w:style>
  <w:style w:type="paragraph" w:customStyle="1" w:styleId="264">
    <w:name w:val="修订2"/>
    <w:qFormat/>
    <w:uiPriority w:val="99"/>
    <w:rPr>
      <w:rFonts w:ascii="Times New Roman" w:hAnsi="Times New Roman" w:eastAsia="宋体" w:cs="Times New Roman"/>
      <w:kern w:val="2"/>
      <w:sz w:val="21"/>
      <w:szCs w:val="22"/>
      <w:lang w:val="en-US" w:eastAsia="zh-CN" w:bidi="ar-SA"/>
    </w:rPr>
  </w:style>
  <w:style w:type="paragraph" w:customStyle="1" w:styleId="265">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6">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7">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8">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5">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5">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7">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8">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9">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9">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2">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5">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7">
    <w:name w:val="修订4"/>
    <w:qFormat/>
    <w:uiPriority w:val="99"/>
    <w:rPr>
      <w:rFonts w:ascii="Times New Roman" w:hAnsi="Times New Roman" w:eastAsia="宋体" w:cs="Times New Roman"/>
      <w:kern w:val="2"/>
      <w:sz w:val="21"/>
      <w:szCs w:val="22"/>
      <w:lang w:val="en-US" w:eastAsia="zh-CN" w:bidi="ar-SA"/>
    </w:rPr>
  </w:style>
  <w:style w:type="character" w:customStyle="1" w:styleId="308">
    <w:name w:val="font21"/>
    <w:basedOn w:val="70"/>
    <w:qFormat/>
    <w:uiPriority w:val="0"/>
    <w:rPr>
      <w:rFonts w:hint="eastAsia" w:ascii="等线" w:hAnsi="等线" w:eastAsia="等线" w:cs="等线"/>
      <w:color w:val="000000"/>
      <w:sz w:val="22"/>
      <w:szCs w:val="22"/>
      <w:u w:val="none"/>
    </w:rPr>
  </w:style>
  <w:style w:type="character" w:customStyle="1" w:styleId="309">
    <w:name w:val="apple-converted-space"/>
    <w:qFormat/>
    <w:uiPriority w:val="0"/>
    <w:rPr>
      <w:rFonts w:hint="default" w:ascii="Times New Roman" w:hAnsi="Times New Roman" w:cs="Times New Roman"/>
    </w:rPr>
  </w:style>
  <w:style w:type="character" w:customStyle="1" w:styleId="310">
    <w:name w:val="正文文本缩进 3 Char1"/>
    <w:basedOn w:val="70"/>
    <w:qFormat/>
    <w:uiPriority w:val="0"/>
    <w:rPr>
      <w:rFonts w:hint="default" w:ascii="Times New Roman" w:hAnsi="Times New Roman" w:eastAsia="宋体" w:cs="Times New Roman"/>
      <w:sz w:val="16"/>
      <w:szCs w:val="16"/>
    </w:rPr>
  </w:style>
  <w:style w:type="character" w:customStyle="1" w:styleId="311">
    <w:name w:val="批注文字 Char1"/>
    <w:basedOn w:val="70"/>
    <w:qFormat/>
    <w:uiPriority w:val="0"/>
    <w:rPr>
      <w:rFonts w:hint="default" w:ascii="Times New Roman" w:hAnsi="Times New Roman" w:eastAsia="宋体" w:cs="Times New Roman"/>
    </w:rPr>
  </w:style>
  <w:style w:type="character" w:customStyle="1" w:styleId="312">
    <w:name w:val="apple-tab-span"/>
    <w:qFormat/>
    <w:uiPriority w:val="0"/>
    <w:rPr>
      <w:rFonts w:hint="default" w:ascii="Times New Roman" w:hAnsi="Times New Roman" w:cs="Times New Roman"/>
    </w:rPr>
  </w:style>
  <w:style w:type="character" w:customStyle="1" w:styleId="313">
    <w:name w:val="font11"/>
    <w:basedOn w:val="70"/>
    <w:qFormat/>
    <w:uiPriority w:val="0"/>
    <w:rPr>
      <w:rFonts w:hint="default" w:ascii="Times New Roman" w:hAnsi="Times New Roman" w:cs="Times New Roman"/>
      <w:color w:val="000000"/>
      <w:sz w:val="20"/>
      <w:szCs w:val="20"/>
      <w:u w:val="none"/>
    </w:rPr>
  </w:style>
  <w:style w:type="character" w:customStyle="1" w:styleId="314">
    <w:name w:val="font31"/>
    <w:basedOn w:val="70"/>
    <w:qFormat/>
    <w:uiPriority w:val="0"/>
    <w:rPr>
      <w:rFonts w:hint="eastAsia" w:ascii="等线" w:hAnsi="等线" w:eastAsia="等线" w:cs="等线"/>
      <w:color w:val="000000"/>
      <w:sz w:val="22"/>
      <w:szCs w:val="22"/>
      <w:u w:val="none"/>
    </w:rPr>
  </w:style>
  <w:style w:type="character" w:customStyle="1" w:styleId="315">
    <w:name w:val="正文文本缩进 Char1"/>
    <w:basedOn w:val="70"/>
    <w:qFormat/>
    <w:uiPriority w:val="0"/>
    <w:rPr>
      <w:rFonts w:hint="default" w:ascii="Times New Roman" w:hAnsi="Times New Roman" w:eastAsia="宋体" w:cs="Times New Roman"/>
    </w:rPr>
  </w:style>
  <w:style w:type="character" w:customStyle="1" w:styleId="316">
    <w:name w:val="正文文本 3 Char1"/>
    <w:basedOn w:val="70"/>
    <w:qFormat/>
    <w:uiPriority w:val="0"/>
    <w:rPr>
      <w:rFonts w:hint="default" w:ascii="Times New Roman" w:hAnsi="Times New Roman" w:eastAsia="宋体" w:cs="Times New Roman"/>
      <w:sz w:val="16"/>
      <w:szCs w:val="16"/>
    </w:rPr>
  </w:style>
  <w:style w:type="character" w:customStyle="1" w:styleId="317">
    <w:name w:val="正文文本 Char1"/>
    <w:basedOn w:val="70"/>
    <w:qFormat/>
    <w:uiPriority w:val="0"/>
    <w:rPr>
      <w:rFonts w:hint="default" w:ascii="Times New Roman" w:hAnsi="Times New Roman" w:eastAsia="宋体" w:cs="Times New Roman"/>
    </w:rPr>
  </w:style>
  <w:style w:type="character" w:customStyle="1" w:styleId="318">
    <w:name w:val="font01"/>
    <w:basedOn w:val="70"/>
    <w:qFormat/>
    <w:uiPriority w:val="0"/>
    <w:rPr>
      <w:rFonts w:hint="eastAsia" w:ascii="宋体" w:hAnsi="宋体" w:eastAsia="宋体" w:cs="宋体"/>
      <w:color w:val="000000"/>
      <w:sz w:val="20"/>
      <w:szCs w:val="20"/>
      <w:u w:val="none"/>
    </w:rPr>
  </w:style>
  <w:style w:type="character" w:customStyle="1" w:styleId="319">
    <w:name w:val="纯文本 Char2"/>
    <w:basedOn w:val="70"/>
    <w:qFormat/>
    <w:uiPriority w:val="0"/>
    <w:rPr>
      <w:rFonts w:hint="eastAsia" w:ascii="宋体" w:hAnsi="Courier New" w:eastAsia="宋体" w:cs="Courier New"/>
      <w:sz w:val="21"/>
      <w:szCs w:val="21"/>
    </w:rPr>
  </w:style>
  <w:style w:type="character" w:customStyle="1" w:styleId="320">
    <w:name w:val="文档结构图 Char1"/>
    <w:basedOn w:val="70"/>
    <w:qFormat/>
    <w:uiPriority w:val="0"/>
    <w:rPr>
      <w:rFonts w:hint="eastAsia" w:ascii="宋体" w:hAnsi="Times New Roman" w:eastAsia="宋体" w:cs="Times New Roman"/>
      <w:sz w:val="18"/>
      <w:szCs w:val="18"/>
    </w:rPr>
  </w:style>
  <w:style w:type="character" w:customStyle="1" w:styleId="321">
    <w:name w:val="纯文本 Char1"/>
    <w:qFormat/>
    <w:uiPriority w:val="0"/>
    <w:rPr>
      <w:rFonts w:hint="eastAsia" w:ascii="宋体" w:hAnsi="Courier New" w:eastAsia="宋体"/>
      <w:sz w:val="21"/>
    </w:rPr>
  </w:style>
  <w:style w:type="character" w:customStyle="1" w:styleId="322">
    <w:name w:val="日期 Char1"/>
    <w:basedOn w:val="70"/>
    <w:qFormat/>
    <w:uiPriority w:val="0"/>
    <w:rPr>
      <w:rFonts w:hint="default" w:ascii="Times New Roman" w:hAnsi="Times New Roman" w:eastAsia="宋体" w:cs="Times New Roman"/>
    </w:rPr>
  </w:style>
  <w:style w:type="character" w:customStyle="1" w:styleId="323">
    <w:name w:val="正文文本缩进 2 Char1"/>
    <w:basedOn w:val="70"/>
    <w:qFormat/>
    <w:uiPriority w:val="0"/>
    <w:rPr>
      <w:rFonts w:hint="default" w:ascii="Times New Roman" w:hAnsi="Times New Roman" w:eastAsia="宋体" w:cs="Times New Roman"/>
    </w:rPr>
  </w:style>
  <w:style w:type="character" w:customStyle="1" w:styleId="324">
    <w:name w:val="批注框文本 Char1"/>
    <w:basedOn w:val="70"/>
    <w:qFormat/>
    <w:uiPriority w:val="0"/>
    <w:rPr>
      <w:rFonts w:hint="default" w:ascii="Times New Roman" w:hAnsi="Times New Roman" w:eastAsia="宋体" w:cs="Times New Roman"/>
      <w:sz w:val="18"/>
      <w:szCs w:val="18"/>
    </w:rPr>
  </w:style>
  <w:style w:type="character" w:customStyle="1" w:styleId="325">
    <w:name w:val="正文文本 2 Char1"/>
    <w:basedOn w:val="70"/>
    <w:qFormat/>
    <w:uiPriority w:val="0"/>
    <w:rPr>
      <w:rFonts w:hint="default" w:ascii="Times New Roman" w:hAnsi="Times New Roman" w:eastAsia="宋体" w:cs="Times New Roman"/>
    </w:rPr>
  </w:style>
  <w:style w:type="character" w:customStyle="1" w:styleId="326">
    <w:name w:val="大黑10.5px"/>
    <w:qFormat/>
    <w:uiPriority w:val="0"/>
    <w:rPr>
      <w:rFonts w:hint="eastAsia" w:ascii="方正大黑简体" w:eastAsia="方正大黑简体"/>
      <w:sz w:val="21"/>
    </w:rPr>
  </w:style>
  <w:style w:type="character" w:customStyle="1" w:styleId="327">
    <w:name w:val="黑简10.5px"/>
    <w:qFormat/>
    <w:uiPriority w:val="0"/>
    <w:rPr>
      <w:rFonts w:hint="eastAsia" w:ascii="方正黑体简体" w:hAnsi="方正黑体简体" w:eastAsia="方正黑体简体"/>
      <w:sz w:val="21"/>
    </w:rPr>
  </w:style>
  <w:style w:type="character" w:customStyle="1" w:styleId="328">
    <w:name w:val="jbox-icon-warning"/>
    <w:basedOn w:val="70"/>
    <w:qFormat/>
    <w:uiPriority w:val="0"/>
    <w:rPr>
      <w:rFonts w:hint="default" w:ascii="Times New Roman" w:hAnsi="Times New Roman" w:cs="Times New Roman"/>
    </w:rPr>
  </w:style>
  <w:style w:type="character" w:customStyle="1" w:styleId="329">
    <w:name w:val="hover9"/>
    <w:qFormat/>
    <w:uiPriority w:val="0"/>
    <w:rPr>
      <w:shd w:val="clear" w:color="auto" w:fill="EEEEEE"/>
    </w:rPr>
  </w:style>
  <w:style w:type="character" w:customStyle="1" w:styleId="330">
    <w:name w:val="hour_pm"/>
    <w:basedOn w:val="70"/>
    <w:qFormat/>
    <w:uiPriority w:val="0"/>
    <w:rPr>
      <w:rFonts w:hint="default" w:ascii="Times New Roman" w:hAnsi="Times New Roman" w:cs="Times New Roman"/>
    </w:rPr>
  </w:style>
  <w:style w:type="character" w:customStyle="1" w:styleId="331">
    <w:name w:val="jbox-icon-info"/>
    <w:basedOn w:val="70"/>
    <w:qFormat/>
    <w:uiPriority w:val="0"/>
    <w:rPr>
      <w:rFonts w:hint="default" w:ascii="Times New Roman" w:hAnsi="Times New Roman" w:cs="Times New Roman"/>
    </w:rPr>
  </w:style>
  <w:style w:type="character" w:customStyle="1" w:styleId="332">
    <w:name w:val="black601"/>
    <w:qFormat/>
    <w:uiPriority w:val="0"/>
    <w:rPr>
      <w:color w:val="666666"/>
    </w:rPr>
  </w:style>
  <w:style w:type="character" w:customStyle="1" w:styleId="333">
    <w:name w:val="hour_am"/>
    <w:basedOn w:val="70"/>
    <w:qFormat/>
    <w:uiPriority w:val="0"/>
    <w:rPr>
      <w:rFonts w:hint="default" w:ascii="Times New Roman" w:hAnsi="Times New Roman" w:cs="Times New Roman"/>
    </w:rPr>
  </w:style>
  <w:style w:type="character" w:customStyle="1" w:styleId="334">
    <w:name w:val="jbox-icon-error"/>
    <w:basedOn w:val="70"/>
    <w:qFormat/>
    <w:uiPriority w:val="0"/>
    <w:rPr>
      <w:rFonts w:hint="default" w:ascii="Times New Roman" w:hAnsi="Times New Roman" w:cs="Times New Roman"/>
    </w:rPr>
  </w:style>
  <w:style w:type="character" w:customStyle="1" w:styleId="335">
    <w:name w:val="jbox-icon-success"/>
    <w:basedOn w:val="70"/>
    <w:qFormat/>
    <w:uiPriority w:val="0"/>
    <w:rPr>
      <w:rFonts w:hint="default" w:ascii="Times New Roman" w:hAnsi="Times New Roman" w:cs="Times New Roman"/>
    </w:rPr>
  </w:style>
  <w:style w:type="character" w:customStyle="1" w:styleId="336">
    <w:name w:val="maywed421"/>
    <w:qFormat/>
    <w:uiPriority w:val="0"/>
    <w:rPr>
      <w:color w:val="366FB6"/>
      <w:u w:val="none"/>
    </w:rPr>
  </w:style>
  <w:style w:type="character" w:customStyle="1" w:styleId="337">
    <w:name w:val="正文文本缩进 字符1"/>
    <w:qFormat/>
    <w:uiPriority w:val="0"/>
    <w:rPr>
      <w:rFonts w:hint="eastAsia" w:ascii="宋体" w:hAnsi="Courier New" w:eastAsia="宋体"/>
      <w:spacing w:val="-4"/>
      <w:kern w:val="2"/>
      <w:sz w:val="18"/>
    </w:rPr>
  </w:style>
  <w:style w:type="character" w:customStyle="1" w:styleId="338">
    <w:name w:val="jbox-icon-question"/>
    <w:basedOn w:val="70"/>
    <w:qFormat/>
    <w:uiPriority w:val="0"/>
    <w:rPr>
      <w:rFonts w:hint="default" w:ascii="Times New Roman" w:hAnsi="Times New Roman" w:cs="Times New Roman"/>
    </w:rPr>
  </w:style>
  <w:style w:type="character" w:customStyle="1" w:styleId="339">
    <w:name w:val="jbox-icon-loading"/>
    <w:basedOn w:val="70"/>
    <w:qFormat/>
    <w:uiPriority w:val="0"/>
    <w:rPr>
      <w:rFonts w:hint="default" w:ascii="Times New Roman" w:hAnsi="Times New Roman" w:cs="Times New Roman"/>
    </w:rPr>
  </w:style>
  <w:style w:type="character" w:customStyle="1" w:styleId="340">
    <w:name w:val="标题 1 Char Char"/>
    <w:qFormat/>
    <w:uiPriority w:val="0"/>
    <w:rPr>
      <w:rFonts w:hint="eastAsia" w:ascii="宋体" w:hAnsi="宋体" w:eastAsia="宋体"/>
      <w:b/>
      <w:spacing w:val="-2"/>
      <w:sz w:val="24"/>
      <w:lang w:val="en-US" w:eastAsia="zh-CN"/>
    </w:rPr>
  </w:style>
  <w:style w:type="character" w:customStyle="1" w:styleId="341">
    <w:name w:val="jbox-icon-none"/>
    <w:qFormat/>
    <w:uiPriority w:val="0"/>
    <w:rPr>
      <w:vanish/>
    </w:rPr>
  </w:style>
  <w:style w:type="character" w:customStyle="1" w:styleId="342">
    <w:name w:val="sub_title s0"/>
    <w:basedOn w:val="70"/>
    <w:qFormat/>
    <w:uiPriority w:val="0"/>
    <w:rPr>
      <w:rFonts w:hint="default" w:ascii="Times New Roman" w:hAnsi="Times New Roman" w:cs="Times New Roman"/>
    </w:rPr>
  </w:style>
  <w:style w:type="character" w:customStyle="1" w:styleId="343">
    <w:name w:val="纯文本 字符2"/>
    <w:qFormat/>
    <w:uiPriority w:val="0"/>
    <w:rPr>
      <w:rFonts w:hint="eastAsia" w:ascii="宋体" w:hAnsi="Courier New" w:eastAsia="宋体"/>
      <w:kern w:val="2"/>
      <w:sz w:val="24"/>
    </w:rPr>
  </w:style>
  <w:style w:type="character" w:customStyle="1" w:styleId="344">
    <w:name w:val="jbox-icon"/>
    <w:basedOn w:val="70"/>
    <w:qFormat/>
    <w:uiPriority w:val="0"/>
    <w:rPr>
      <w:rFonts w:hint="default" w:ascii="Times New Roman" w:hAnsi="Times New Roman" w:cs="Times New Roman"/>
    </w:rPr>
  </w:style>
  <w:style w:type="character" w:customStyle="1" w:styleId="345">
    <w:name w:val="old"/>
    <w:qFormat/>
    <w:uiPriority w:val="0"/>
    <w:rPr>
      <w:color w:val="999999"/>
    </w:rPr>
  </w:style>
  <w:style w:type="character" w:customStyle="1" w:styleId="346">
    <w:name w:val="font41"/>
    <w:basedOn w:val="70"/>
    <w:qFormat/>
    <w:uiPriority w:val="0"/>
    <w:rPr>
      <w:rFonts w:hint="eastAsia" w:ascii="宋体" w:hAnsi="宋体" w:eastAsia="宋体" w:cs="宋体"/>
      <w:b/>
      <w:bCs/>
      <w:color w:val="000000"/>
      <w:sz w:val="24"/>
      <w:szCs w:val="24"/>
      <w:u w:val="none"/>
    </w:rPr>
  </w:style>
  <w:style w:type="character" w:customStyle="1" w:styleId="347">
    <w:name w:val="font12"/>
    <w:basedOn w:val="70"/>
    <w:qFormat/>
    <w:uiPriority w:val="0"/>
    <w:rPr>
      <w:rFonts w:hint="default" w:ascii="Times New Roman" w:hAnsi="Times New Roman" w:cs="Times New Roman"/>
      <w:color w:val="000000"/>
      <w:sz w:val="24"/>
      <w:szCs w:val="24"/>
      <w:u w:val="none"/>
    </w:rPr>
  </w:style>
  <w:style w:type="character" w:customStyle="1" w:styleId="348">
    <w:name w:val="font111"/>
    <w:basedOn w:val="70"/>
    <w:qFormat/>
    <w:uiPriority w:val="0"/>
    <w:rPr>
      <w:rFonts w:hint="eastAsia" w:ascii="宋体" w:hAnsi="宋体" w:eastAsia="宋体" w:cs="宋体"/>
      <w:color w:val="000000"/>
      <w:sz w:val="22"/>
      <w:szCs w:val="22"/>
      <w:u w:val="none"/>
    </w:rPr>
  </w:style>
  <w:style w:type="character" w:customStyle="1" w:styleId="349">
    <w:name w:val="标题 7 字符1"/>
    <w:basedOn w:val="70"/>
    <w:semiHidden/>
    <w:qFormat/>
    <w:uiPriority w:val="9"/>
    <w:rPr>
      <w:b/>
      <w:bCs/>
      <w:sz w:val="24"/>
      <w:szCs w:val="24"/>
    </w:rPr>
  </w:style>
  <w:style w:type="character" w:customStyle="1" w:styleId="350">
    <w:name w:val="标题 8 字符1"/>
    <w:basedOn w:val="70"/>
    <w:semiHidden/>
    <w:qFormat/>
    <w:uiPriority w:val="9"/>
    <w:rPr>
      <w:rFonts w:hint="default" w:ascii="Cambria" w:hAnsi="Cambria" w:eastAsia="宋体" w:cs="Times New Roman"/>
      <w:sz w:val="24"/>
      <w:szCs w:val="24"/>
    </w:rPr>
  </w:style>
  <w:style w:type="character" w:customStyle="1" w:styleId="351">
    <w:name w:val="标题 9 字符1"/>
    <w:basedOn w:val="70"/>
    <w:semiHidden/>
    <w:qFormat/>
    <w:uiPriority w:val="9"/>
    <w:rPr>
      <w:rFonts w:hint="default" w:ascii="Cambria" w:hAnsi="Cambria" w:eastAsia="宋体" w:cs="Times New Roman"/>
      <w:szCs w:val="21"/>
    </w:rPr>
  </w:style>
  <w:style w:type="table" w:customStyle="1" w:styleId="352">
    <w:name w:val="Table Normal"/>
    <w:qFormat/>
    <w:uiPriority w:val="59"/>
    <w:tblPr>
      <w:tblCellMar>
        <w:top w:w="0" w:type="dxa"/>
        <w:left w:w="108" w:type="dxa"/>
        <w:bottom w:w="0" w:type="dxa"/>
        <w:right w:w="108" w:type="dxa"/>
      </w:tblCellMar>
    </w:tblPr>
  </w:style>
  <w:style w:type="table" w:customStyle="1" w:styleId="353">
    <w:name w:val="华信表格(五号)"/>
    <w:basedOn w:val="63"/>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4">
    <w:name w:val="批注主题 Char1"/>
    <w:basedOn w:val="311"/>
    <w:qFormat/>
    <w:uiPriority w:val="0"/>
    <w:rPr>
      <w:rFonts w:hint="default" w:ascii="Times New Roman" w:hAnsi="Times New Roman" w:eastAsia="宋体" w:cs="Times New Roman"/>
      <w:b/>
      <w:bCs/>
    </w:rPr>
  </w:style>
  <w:style w:type="paragraph" w:customStyle="1" w:styleId="355">
    <w:name w:val="Body text|1"/>
    <w:basedOn w:val="1"/>
    <w:qFormat/>
    <w:uiPriority w:val="0"/>
    <w:rPr>
      <w:sz w:val="10"/>
      <w:szCs w:val="10"/>
    </w:rPr>
  </w:style>
  <w:style w:type="paragraph" w:customStyle="1" w:styleId="356">
    <w:name w:val="Picture caption|2"/>
    <w:basedOn w:val="1"/>
    <w:qFormat/>
    <w:uiPriority w:val="0"/>
    <w:rPr>
      <w:sz w:val="10"/>
      <w:szCs w:val="10"/>
      <w:lang w:val="zh-TW" w:eastAsia="zh-TW" w:bidi="zh-TW"/>
    </w:rPr>
  </w:style>
  <w:style w:type="paragraph" w:customStyle="1" w:styleId="357">
    <w:name w:val="Picture caption|1"/>
    <w:basedOn w:val="1"/>
    <w:qFormat/>
    <w:uiPriority w:val="0"/>
    <w:rPr>
      <w:rFonts w:ascii="宋体" w:hAnsi="宋体" w:eastAsia="宋体" w:cs="宋体"/>
      <w:sz w:val="9"/>
      <w:szCs w:val="9"/>
    </w:rPr>
  </w:style>
  <w:style w:type="paragraph" w:customStyle="1" w:styleId="358">
    <w:name w:val="Other|2"/>
    <w:basedOn w:val="1"/>
    <w:qFormat/>
    <w:uiPriority w:val="0"/>
    <w:rPr>
      <w:rFonts w:ascii="宋体" w:hAnsi="宋体" w:eastAsia="宋体" w:cs="宋体"/>
      <w:sz w:val="11"/>
      <w:szCs w:val="11"/>
      <w:lang w:val="zh-TW" w:eastAsia="zh-TW" w:bidi="zh-TW"/>
    </w:rPr>
  </w:style>
  <w:style w:type="paragraph" w:customStyle="1" w:styleId="359">
    <w:name w:val="Other|1"/>
    <w:basedOn w:val="1"/>
    <w:qFormat/>
    <w:uiPriority w:val="0"/>
    <w:rPr>
      <w:b/>
      <w:bCs/>
      <w:sz w:val="9"/>
      <w:szCs w:val="9"/>
      <w:lang w:val="zh-TW" w:eastAsia="zh-TW" w:bidi="zh-TW"/>
    </w:rPr>
  </w:style>
  <w:style w:type="character" w:customStyle="1" w:styleId="360">
    <w:name w:val="font51"/>
    <w:basedOn w:val="70"/>
    <w:qFormat/>
    <w:uiPriority w:val="0"/>
    <w:rPr>
      <w:rFonts w:hint="eastAsia" w:ascii="宋体" w:hAnsi="宋体" w:eastAsia="宋体" w:cs="宋体"/>
      <w:color w:val="000000"/>
      <w:sz w:val="20"/>
      <w:szCs w:val="20"/>
      <w:u w:val="none"/>
      <w:vertAlign w:val="superscript"/>
    </w:rPr>
  </w:style>
  <w:style w:type="paragraph" w:customStyle="1" w:styleId="361">
    <w:name w:val="cover"/>
    <w:link w:val="368"/>
    <w:qFormat/>
    <w:uiPriority w:val="0"/>
    <w:rPr>
      <w:rFonts w:ascii="宋体" w:hAnsi="Cambria" w:eastAsia="宋体" w:cs="宋体"/>
      <w:b/>
      <w:kern w:val="2"/>
      <w:sz w:val="52"/>
      <w:szCs w:val="22"/>
      <w:lang w:val="en-US" w:eastAsia="zh-CN" w:bidi="ar-SA"/>
    </w:rPr>
  </w:style>
  <w:style w:type="character" w:customStyle="1" w:styleId="362">
    <w:name w:val="称呼 字符"/>
    <w:basedOn w:val="70"/>
    <w:link w:val="23"/>
    <w:qFormat/>
    <w:uiPriority w:val="0"/>
    <w:rPr>
      <w:szCs w:val="24"/>
    </w:rPr>
  </w:style>
  <w:style w:type="character" w:customStyle="1" w:styleId="363">
    <w:name w:val="尾注文本 字符"/>
    <w:basedOn w:val="70"/>
    <w:link w:val="43"/>
    <w:qFormat/>
    <w:uiPriority w:val="0"/>
    <w:rPr>
      <w:sz w:val="24"/>
    </w:rPr>
  </w:style>
  <w:style w:type="character" w:customStyle="1" w:styleId="364">
    <w:name w:val="副标题 字符"/>
    <w:basedOn w:val="70"/>
    <w:link w:val="48"/>
    <w:qFormat/>
    <w:uiPriority w:val="0"/>
    <w:rPr>
      <w:rFonts w:ascii="Calibri" w:hAnsi="Calibri" w:cs="宋体"/>
      <w:b/>
      <w:bCs/>
      <w:kern w:val="28"/>
      <w:sz w:val="32"/>
      <w:szCs w:val="32"/>
    </w:rPr>
  </w:style>
  <w:style w:type="character" w:customStyle="1" w:styleId="365">
    <w:name w:val="脚注文本 字符"/>
    <w:basedOn w:val="70"/>
    <w:link w:val="51"/>
    <w:qFormat/>
    <w:uiPriority w:val="0"/>
    <w:rPr>
      <w:rFonts w:ascii="宋体" w:hAnsi="Calibri" w:cs="宋体"/>
      <w:kern w:val="2"/>
      <w:sz w:val="18"/>
      <w:szCs w:val="18"/>
    </w:rPr>
  </w:style>
  <w:style w:type="character" w:customStyle="1" w:styleId="366">
    <w:name w:val="标题 字符"/>
    <w:basedOn w:val="70"/>
    <w:link w:val="59"/>
    <w:qFormat/>
    <w:uiPriority w:val="0"/>
    <w:rPr>
      <w:rFonts w:ascii="Cambria" w:hAnsi="Cambria" w:cs="宋体"/>
      <w:b/>
      <w:bCs/>
      <w:kern w:val="2"/>
      <w:sz w:val="32"/>
      <w:szCs w:val="32"/>
    </w:rPr>
  </w:style>
  <w:style w:type="paragraph" w:customStyle="1" w:styleId="367">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8">
    <w:name w:val="cover 字符"/>
    <w:basedOn w:val="70"/>
    <w:link w:val="361"/>
    <w:qFormat/>
    <w:uiPriority w:val="0"/>
    <w:rPr>
      <w:rFonts w:ascii="宋体" w:hAnsi="Cambria" w:cs="宋体"/>
      <w:b/>
      <w:kern w:val="2"/>
      <w:sz w:val="52"/>
      <w:szCs w:val="22"/>
    </w:rPr>
  </w:style>
  <w:style w:type="paragraph" w:customStyle="1" w:styleId="369">
    <w:name w:val="index"/>
    <w:basedOn w:val="42"/>
    <w:link w:val="371"/>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70">
    <w:name w:val="TOC 1 字符"/>
    <w:basedOn w:val="70"/>
    <w:link w:val="42"/>
    <w:qFormat/>
    <w:uiPriority w:val="39"/>
    <w:rPr>
      <w:kern w:val="2"/>
      <w:sz w:val="21"/>
      <w:szCs w:val="22"/>
    </w:rPr>
  </w:style>
  <w:style w:type="character" w:customStyle="1" w:styleId="371">
    <w:name w:val="index 字符"/>
    <w:basedOn w:val="370"/>
    <w:link w:val="369"/>
    <w:qFormat/>
    <w:uiPriority w:val="0"/>
    <w:rPr>
      <w:rFonts w:hAnsi="Calibri" w:cs="宋体"/>
      <w:kern w:val="2"/>
      <w:sz w:val="21"/>
      <w:szCs w:val="32"/>
    </w:rPr>
  </w:style>
  <w:style w:type="paragraph" w:customStyle="1" w:styleId="372">
    <w:name w:val="form"/>
    <w:basedOn w:val="1"/>
    <w:link w:val="373"/>
    <w:qFormat/>
    <w:uiPriority w:val="0"/>
    <w:pPr>
      <w:wordWrap w:val="0"/>
      <w:snapToGrid w:val="0"/>
      <w:jc w:val="center"/>
    </w:pPr>
    <w:rPr>
      <w:rFonts w:ascii="宋体" w:hAnsi="Calibri" w:eastAsia="宋体" w:cs="宋体"/>
      <w:szCs w:val="21"/>
    </w:rPr>
  </w:style>
  <w:style w:type="character" w:customStyle="1" w:styleId="373">
    <w:name w:val="form 字符"/>
    <w:basedOn w:val="70"/>
    <w:link w:val="372"/>
    <w:qFormat/>
    <w:uiPriority w:val="0"/>
    <w:rPr>
      <w:rFonts w:ascii="宋体" w:hAnsi="Calibri" w:cs="宋体"/>
      <w:kern w:val="2"/>
      <w:sz w:val="21"/>
      <w:szCs w:val="21"/>
    </w:rPr>
  </w:style>
  <w:style w:type="paragraph" w:customStyle="1" w:styleId="374">
    <w:name w:val="序号列"/>
    <w:basedOn w:val="114"/>
    <w:link w:val="375"/>
    <w:qFormat/>
    <w:uiPriority w:val="0"/>
    <w:pPr>
      <w:wordWrap w:val="0"/>
      <w:spacing w:line="360" w:lineRule="auto"/>
      <w:ind w:firstLine="0" w:firstLineChars="0"/>
    </w:pPr>
    <w:rPr>
      <w:rFonts w:ascii="宋体" w:hAnsi="Calibri" w:eastAsia="宋体" w:cs="宋体"/>
    </w:rPr>
  </w:style>
  <w:style w:type="character" w:customStyle="1" w:styleId="375">
    <w:name w:val="序号列 字符"/>
    <w:basedOn w:val="256"/>
    <w:link w:val="374"/>
    <w:qFormat/>
    <w:uiPriority w:val="0"/>
    <w:rPr>
      <w:rFonts w:ascii="宋体" w:hAnsi="Calibri" w:eastAsia="宋体" w:cs="宋体"/>
      <w:kern w:val="2"/>
      <w:sz w:val="21"/>
      <w:szCs w:val="22"/>
    </w:rPr>
  </w:style>
  <w:style w:type="paragraph" w:customStyle="1" w:styleId="376">
    <w:name w:val="加粗子列表"/>
    <w:basedOn w:val="114"/>
    <w:link w:val="378"/>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7">
    <w:name w:val="子列2"/>
    <w:basedOn w:val="376"/>
    <w:link w:val="380"/>
    <w:qFormat/>
    <w:uiPriority w:val="0"/>
    <w:pPr>
      <w:numPr>
        <w:ilvl w:val="1"/>
        <w:numId w:val="0"/>
      </w:numPr>
    </w:pPr>
    <w:rPr>
      <w:b w:val="0"/>
      <w:bCs w:val="0"/>
    </w:rPr>
  </w:style>
  <w:style w:type="character" w:customStyle="1" w:styleId="378">
    <w:name w:val="加粗子列表 字符"/>
    <w:basedOn w:val="256"/>
    <w:link w:val="376"/>
    <w:qFormat/>
    <w:uiPriority w:val="0"/>
    <w:rPr>
      <w:rFonts w:ascii="宋体" w:hAnsi="Calibri" w:eastAsia="宋体" w:cs="宋体"/>
      <w:b/>
      <w:bCs/>
      <w:kern w:val="2"/>
      <w:sz w:val="21"/>
      <w:szCs w:val="22"/>
    </w:rPr>
  </w:style>
  <w:style w:type="character" w:customStyle="1" w:styleId="379">
    <w:name w:val="纯文本 Char"/>
    <w:link w:val="163"/>
    <w:qFormat/>
    <w:uiPriority w:val="0"/>
    <w:rPr>
      <w:rFonts w:ascii="宋体" w:hAnsi="Courier New" w:eastAsia="Times New Roman"/>
      <w:kern w:val="2"/>
      <w:sz w:val="30"/>
      <w:szCs w:val="24"/>
    </w:rPr>
  </w:style>
  <w:style w:type="character" w:customStyle="1" w:styleId="380">
    <w:name w:val="子列2 字符"/>
    <w:basedOn w:val="378"/>
    <w:link w:val="377"/>
    <w:qFormat/>
    <w:uiPriority w:val="0"/>
    <w:rPr>
      <w:rFonts w:ascii="宋体" w:hAnsi="Calibri" w:eastAsia="宋体" w:cs="宋体"/>
      <w:b w:val="0"/>
      <w:bCs w:val="0"/>
      <w:kern w:val="2"/>
      <w:sz w:val="21"/>
      <w:szCs w:val="22"/>
    </w:rPr>
  </w:style>
  <w:style w:type="paragraph" w:customStyle="1" w:styleId="381">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2">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3">
    <w:name w:val="纯文本2"/>
    <w:basedOn w:val="1"/>
    <w:qFormat/>
    <w:uiPriority w:val="0"/>
    <w:rPr>
      <w:rFonts w:ascii="宋体" w:hAnsi="Courier New" w:eastAsia="仿宋_GB2312" w:cs="Times New Roman"/>
      <w:sz w:val="30"/>
      <w:szCs w:val="24"/>
    </w:rPr>
  </w:style>
  <w:style w:type="paragraph" w:customStyle="1" w:styleId="384">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5">
    <w:name w:val="批注框文本 Char"/>
    <w:basedOn w:val="70"/>
    <w:link w:val="386"/>
    <w:qFormat/>
    <w:uiPriority w:val="0"/>
    <w:rPr>
      <w:rFonts w:ascii="Calibri" w:hAnsi="Calibri"/>
      <w:sz w:val="18"/>
      <w:szCs w:val="18"/>
    </w:rPr>
  </w:style>
  <w:style w:type="paragraph" w:customStyle="1" w:styleId="386">
    <w:name w:val="批注框文本1"/>
    <w:basedOn w:val="1"/>
    <w:link w:val="385"/>
    <w:qFormat/>
    <w:uiPriority w:val="0"/>
    <w:rPr>
      <w:rFonts w:ascii="Calibri" w:hAnsi="Calibri" w:eastAsia="宋体" w:cs="Times New Roman"/>
      <w:kern w:val="0"/>
      <w:sz w:val="18"/>
      <w:szCs w:val="18"/>
    </w:rPr>
  </w:style>
  <w:style w:type="paragraph" w:customStyle="1" w:styleId="387">
    <w:name w:val="纯文本5"/>
    <w:basedOn w:val="1"/>
    <w:qFormat/>
    <w:uiPriority w:val="0"/>
    <w:rPr>
      <w:rFonts w:ascii="宋体" w:hAnsi="Courier New" w:eastAsia="仿宋_GB2312" w:cs="Times New Roman"/>
      <w:sz w:val="30"/>
      <w:szCs w:val="24"/>
    </w:rPr>
  </w:style>
  <w:style w:type="paragraph" w:customStyle="1" w:styleId="388">
    <w:name w:val="附件格式"/>
    <w:basedOn w:val="1"/>
    <w:link w:val="389"/>
    <w:qFormat/>
    <w:uiPriority w:val="0"/>
    <w:pPr>
      <w:wordWrap w:val="0"/>
      <w:spacing w:line="360" w:lineRule="auto"/>
      <w:ind w:firstLine="200" w:firstLineChars="200"/>
    </w:pPr>
    <w:rPr>
      <w:rFonts w:ascii="宋体" w:hAnsi="Calibri" w:eastAsia="宋体" w:cs="宋体"/>
      <w:sz w:val="28"/>
    </w:rPr>
  </w:style>
  <w:style w:type="character" w:customStyle="1" w:styleId="389">
    <w:name w:val="附件格式 字符"/>
    <w:basedOn w:val="70"/>
    <w:link w:val="388"/>
    <w:qFormat/>
    <w:uiPriority w:val="0"/>
    <w:rPr>
      <w:rFonts w:ascii="宋体" w:hAnsi="Calibri" w:cs="宋体"/>
      <w:kern w:val="2"/>
      <w:sz w:val="28"/>
      <w:szCs w:val="22"/>
    </w:rPr>
  </w:style>
  <w:style w:type="paragraph" w:customStyle="1" w:styleId="390">
    <w:name w:val="大纲"/>
    <w:next w:val="1"/>
    <w:link w:val="391"/>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1">
    <w:name w:val="大纲 字符"/>
    <w:basedOn w:val="70"/>
    <w:link w:val="390"/>
    <w:qFormat/>
    <w:uiPriority w:val="0"/>
    <w:rPr>
      <w:rFonts w:ascii="宋体" w:hAnsi="Calibri" w:cs="宋体"/>
      <w:b/>
      <w:bCs/>
      <w:kern w:val="2"/>
      <w:sz w:val="24"/>
      <w:szCs w:val="22"/>
    </w:rPr>
  </w:style>
  <w:style w:type="character" w:customStyle="1" w:styleId="392">
    <w:name w:val="fontstyle01"/>
    <w:qFormat/>
    <w:uiPriority w:val="0"/>
    <w:rPr>
      <w:rFonts w:hint="eastAsia" w:ascii="宋体" w:hAnsi="宋体" w:eastAsia="宋体"/>
      <w:color w:val="000000"/>
      <w:sz w:val="44"/>
      <w:szCs w:val="44"/>
    </w:rPr>
  </w:style>
  <w:style w:type="character" w:customStyle="1" w:styleId="393">
    <w:name w:val="bookmark-item"/>
    <w:basedOn w:val="70"/>
    <w:qFormat/>
    <w:uiPriority w:val="0"/>
  </w:style>
  <w:style w:type="character" w:customStyle="1" w:styleId="394">
    <w:name w:val="Body Text Indent Char Char"/>
    <w:basedOn w:val="70"/>
    <w:link w:val="395"/>
    <w:qFormat/>
    <w:uiPriority w:val="0"/>
  </w:style>
  <w:style w:type="paragraph" w:customStyle="1" w:styleId="395">
    <w:name w:val="正文文本缩进1"/>
    <w:basedOn w:val="1"/>
    <w:link w:val="394"/>
    <w:qFormat/>
    <w:uiPriority w:val="0"/>
    <w:pPr>
      <w:spacing w:line="200" w:lineRule="exact"/>
      <w:ind w:firstLine="301"/>
    </w:pPr>
    <w:rPr>
      <w:rFonts w:ascii="Times New Roman" w:hAnsi="Times New Roman" w:eastAsia="宋体" w:cs="Times New Roman"/>
      <w:kern w:val="0"/>
      <w:sz w:val="20"/>
      <w:szCs w:val="20"/>
    </w:rPr>
  </w:style>
  <w:style w:type="paragraph" w:customStyle="1" w:styleId="396">
    <w:name w:val="段"/>
    <w:link w:val="4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7">
    <w:name w:val="Placeholder Text"/>
    <w:basedOn w:val="70"/>
    <w:qFormat/>
    <w:uiPriority w:val="99"/>
    <w:rPr>
      <w:color w:val="808080"/>
    </w:rPr>
  </w:style>
  <w:style w:type="paragraph" w:customStyle="1" w:styleId="398">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9">
    <w:name w:val="4需求"/>
    <w:next w:val="1"/>
    <w:link w:val="401"/>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400">
    <w:name w:val="3需求"/>
    <w:next w:val="399"/>
    <w:link w:val="403"/>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1">
    <w:name w:val="4需求 字符"/>
    <w:basedOn w:val="70"/>
    <w:link w:val="399"/>
    <w:qFormat/>
    <w:uiPriority w:val="0"/>
    <w:rPr>
      <w:rFonts w:ascii="宋体" w:hAnsi="Calibri" w:cs="宋体"/>
      <w:b/>
      <w:bCs/>
      <w:kern w:val="2"/>
      <w:sz w:val="21"/>
      <w:szCs w:val="22"/>
    </w:rPr>
  </w:style>
  <w:style w:type="paragraph" w:customStyle="1" w:styleId="402">
    <w:name w:val="2需求"/>
    <w:next w:val="1"/>
    <w:link w:val="405"/>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3">
    <w:name w:val="3需求 字符"/>
    <w:basedOn w:val="70"/>
    <w:link w:val="400"/>
    <w:qFormat/>
    <w:uiPriority w:val="0"/>
    <w:rPr>
      <w:rFonts w:ascii="宋体" w:hAnsi="Calibri" w:cs="宋体"/>
      <w:b/>
      <w:bCs/>
      <w:kern w:val="2"/>
      <w:sz w:val="24"/>
      <w:szCs w:val="22"/>
    </w:rPr>
  </w:style>
  <w:style w:type="paragraph" w:customStyle="1" w:styleId="404">
    <w:name w:val="1需求"/>
    <w:next w:val="1"/>
    <w:link w:val="406"/>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5">
    <w:name w:val="2需求 字符"/>
    <w:basedOn w:val="70"/>
    <w:link w:val="402"/>
    <w:qFormat/>
    <w:uiPriority w:val="0"/>
    <w:rPr>
      <w:rFonts w:ascii="宋体" w:hAnsi="Calibri" w:cs="宋体"/>
      <w:b/>
      <w:bCs/>
      <w:kern w:val="2"/>
      <w:sz w:val="24"/>
      <w:szCs w:val="22"/>
    </w:rPr>
  </w:style>
  <w:style w:type="character" w:customStyle="1" w:styleId="406">
    <w:name w:val="1需求 字符"/>
    <w:basedOn w:val="70"/>
    <w:link w:val="404"/>
    <w:qFormat/>
    <w:uiPriority w:val="0"/>
    <w:rPr>
      <w:rFonts w:ascii="宋体" w:hAnsi="Calibri" w:cs="宋体"/>
      <w:b/>
      <w:bCs/>
      <w:kern w:val="2"/>
      <w:sz w:val="28"/>
      <w:szCs w:val="22"/>
    </w:rPr>
  </w:style>
  <w:style w:type="paragraph" w:customStyle="1" w:styleId="407">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8">
    <w:name w:val="批注框文本 字符1"/>
    <w:qFormat/>
    <w:uiPriority w:val="0"/>
    <w:rPr>
      <w:rFonts w:ascii="Times New Roman" w:hAnsi="Times New Roman" w:eastAsia="宋体" w:cs="Times New Roman"/>
      <w:sz w:val="18"/>
      <w:szCs w:val="18"/>
    </w:rPr>
  </w:style>
  <w:style w:type="character" w:customStyle="1" w:styleId="409">
    <w:name w:val="页眉 字符1"/>
    <w:qFormat/>
    <w:uiPriority w:val="99"/>
    <w:rPr>
      <w:rFonts w:ascii="Times New Roman" w:hAnsi="Times New Roman" w:eastAsia="宋体" w:cs="Times New Roman"/>
      <w:sz w:val="18"/>
      <w:szCs w:val="18"/>
    </w:rPr>
  </w:style>
  <w:style w:type="character" w:customStyle="1" w:styleId="410">
    <w:name w:val="v0066991"/>
    <w:qFormat/>
    <w:uiPriority w:val="0"/>
    <w:rPr>
      <w:rFonts w:ascii="Arial" w:hAnsi="Arial" w:eastAsia="宋体" w:cs="Times New Roman"/>
      <w:color w:val="000000"/>
      <w:sz w:val="26"/>
      <w:u w:val="none"/>
    </w:rPr>
  </w:style>
  <w:style w:type="character" w:customStyle="1" w:styleId="411">
    <w:name w:val="正文2 Char"/>
    <w:link w:val="173"/>
    <w:qFormat/>
    <w:uiPriority w:val="0"/>
    <w:rPr>
      <w:kern w:val="2"/>
      <w:sz w:val="24"/>
    </w:rPr>
  </w:style>
  <w:style w:type="character" w:customStyle="1" w:styleId="412">
    <w:name w:val="Char Char7"/>
    <w:qFormat/>
    <w:uiPriority w:val="0"/>
    <w:rPr>
      <w:rFonts w:ascii="Cambria" w:hAnsi="Cambria" w:eastAsia="仿宋_GB2312" w:cs="Times New Roman"/>
      <w:b/>
      <w:kern w:val="2"/>
      <w:sz w:val="28"/>
    </w:rPr>
  </w:style>
  <w:style w:type="character" w:customStyle="1" w:styleId="413">
    <w:name w:val="Subtle Reference1"/>
    <w:qFormat/>
    <w:uiPriority w:val="0"/>
    <w:rPr>
      <w:rFonts w:ascii="Calibri" w:hAnsi="Calibri" w:eastAsia="宋体" w:cs="Times New Roman"/>
      <w:smallCaps/>
      <w:color w:val="C0504D"/>
      <w:u w:val="single"/>
    </w:rPr>
  </w:style>
  <w:style w:type="character" w:customStyle="1" w:styleId="414">
    <w:name w:val="正文首行缩进 Char"/>
    <w:qFormat/>
    <w:uiPriority w:val="0"/>
    <w:rPr>
      <w:rFonts w:ascii="Times New Roman" w:hAnsi="Times New Roman" w:eastAsia="仿宋_GB2312" w:cs="Times New Roman"/>
      <w:kern w:val="2"/>
      <w:sz w:val="21"/>
      <w:szCs w:val="24"/>
    </w:rPr>
  </w:style>
  <w:style w:type="character" w:customStyle="1" w:styleId="415">
    <w:name w:val="段 Char"/>
    <w:link w:val="396"/>
    <w:qFormat/>
    <w:uiPriority w:val="0"/>
    <w:rPr>
      <w:rFonts w:ascii="宋体"/>
      <w:sz w:val="21"/>
    </w:rPr>
  </w:style>
  <w:style w:type="character" w:customStyle="1" w:styleId="416">
    <w:name w:val="样式1 Char Char"/>
    <w:link w:val="149"/>
    <w:qFormat/>
    <w:uiPriority w:val="0"/>
    <w:rPr>
      <w:rFonts w:ascii="Calibri" w:hAnsi="Calibri"/>
      <w:b/>
      <w:i/>
      <w:sz w:val="24"/>
      <w:szCs w:val="21"/>
      <w:u w:val="thick"/>
    </w:rPr>
  </w:style>
  <w:style w:type="character" w:customStyle="1" w:styleId="417">
    <w:name w:val="17"/>
    <w:qFormat/>
    <w:uiPriority w:val="0"/>
    <w:rPr>
      <w:rFonts w:hint="default" w:ascii="Calibri" w:hAnsi="Calibri" w:eastAsia="宋体" w:cs="Times New Roman"/>
      <w:sz w:val="21"/>
      <w:szCs w:val="21"/>
    </w:rPr>
  </w:style>
  <w:style w:type="character" w:customStyle="1" w:styleId="418">
    <w:name w:val="标题 6 Char1"/>
    <w:qFormat/>
    <w:uiPriority w:val="0"/>
    <w:rPr>
      <w:rFonts w:ascii="Arial" w:hAnsi="Arial" w:eastAsia="黑体" w:cs="Times New Roman"/>
      <w:b/>
      <w:kern w:val="2"/>
      <w:sz w:val="24"/>
    </w:rPr>
  </w:style>
  <w:style w:type="character" w:customStyle="1" w:styleId="419">
    <w:name w:val="自定义正文 Char Char"/>
    <w:qFormat/>
    <w:uiPriority w:val="0"/>
    <w:rPr>
      <w:rFonts w:ascii="Calibri" w:hAnsi="Calibri" w:eastAsia="宋体" w:cs="Times New Roman"/>
      <w:sz w:val="24"/>
    </w:rPr>
  </w:style>
  <w:style w:type="character" w:customStyle="1" w:styleId="420">
    <w:name w:val="正文文本 Char3"/>
    <w:qFormat/>
    <w:uiPriority w:val="0"/>
    <w:rPr>
      <w:rFonts w:ascii="Times New Roman" w:hAnsi="Times New Roman" w:eastAsia="宋体" w:cs="Times New Roman"/>
      <w:sz w:val="20"/>
      <w:szCs w:val="20"/>
    </w:rPr>
  </w:style>
  <w:style w:type="character" w:customStyle="1" w:styleId="421">
    <w:name w:val="标题 2 Char1"/>
    <w:qFormat/>
    <w:uiPriority w:val="0"/>
    <w:rPr>
      <w:rFonts w:ascii="仿宋_GB2312" w:hAnsi="Calibri" w:eastAsia="仿宋_GB2312" w:cs="Times New Roman"/>
      <w:sz w:val="28"/>
    </w:rPr>
  </w:style>
  <w:style w:type="character" w:customStyle="1" w:styleId="422">
    <w:name w:val="批注引用111"/>
    <w:qFormat/>
    <w:uiPriority w:val="0"/>
    <w:rPr>
      <w:rFonts w:ascii="Calibri" w:hAnsi="Calibri" w:eastAsia="宋体" w:cs="Times New Roman"/>
      <w:sz w:val="21"/>
      <w:szCs w:val="21"/>
    </w:rPr>
  </w:style>
  <w:style w:type="character" w:customStyle="1" w:styleId="423">
    <w:name w:val="blue"/>
    <w:qFormat/>
    <w:uiPriority w:val="0"/>
    <w:rPr>
      <w:rFonts w:ascii="Calibri" w:hAnsi="Calibri" w:eastAsia="宋体" w:cs="Times New Roman"/>
    </w:rPr>
  </w:style>
  <w:style w:type="character" w:customStyle="1" w:styleId="424">
    <w:name w:val="段 Char Char"/>
    <w:qFormat/>
    <w:uiPriority w:val="0"/>
    <w:rPr>
      <w:rFonts w:ascii="宋体" w:hAnsi="Calibri" w:eastAsia="宋体" w:cs="Times New Roman"/>
      <w:lang w:val="en-US" w:eastAsia="zh-CN"/>
    </w:rPr>
  </w:style>
  <w:style w:type="character" w:customStyle="1" w:styleId="425">
    <w:name w:val="标题3 Char"/>
    <w:link w:val="426"/>
    <w:qFormat/>
    <w:uiPriority w:val="0"/>
    <w:rPr>
      <w:rFonts w:ascii="宋体" w:hAnsi="宋体" w:eastAsia="华文中宋" w:cs="Arial"/>
      <w:b/>
      <w:sz w:val="24"/>
      <w:szCs w:val="24"/>
    </w:rPr>
  </w:style>
  <w:style w:type="paragraph" w:customStyle="1" w:styleId="426">
    <w:name w:val="标题3"/>
    <w:basedOn w:val="1"/>
    <w:next w:val="1"/>
    <w:link w:val="425"/>
    <w:qFormat/>
    <w:uiPriority w:val="0"/>
    <w:pPr>
      <w:widowControl/>
      <w:jc w:val="left"/>
    </w:pPr>
    <w:rPr>
      <w:rFonts w:ascii="宋体" w:hAnsi="宋体" w:eastAsia="华文中宋" w:cs="Arial"/>
      <w:b/>
      <w:kern w:val="0"/>
      <w:sz w:val="24"/>
      <w:szCs w:val="24"/>
    </w:rPr>
  </w:style>
  <w:style w:type="character" w:customStyle="1" w:styleId="427">
    <w:name w:val="style17"/>
    <w:qFormat/>
    <w:uiPriority w:val="0"/>
    <w:rPr>
      <w:rFonts w:ascii="Calibri" w:hAnsi="Calibri" w:eastAsia="宋体" w:cs="Times New Roman"/>
    </w:rPr>
  </w:style>
  <w:style w:type="character" w:customStyle="1" w:styleId="428">
    <w:name w:val="g1"/>
    <w:qFormat/>
    <w:uiPriority w:val="0"/>
    <w:rPr>
      <w:rFonts w:ascii="Calibri" w:hAnsi="Calibri" w:eastAsia="宋体" w:cs="Times New Roman"/>
      <w:color w:val="008000"/>
    </w:rPr>
  </w:style>
  <w:style w:type="character" w:customStyle="1" w:styleId="429">
    <w:name w:val="Char Char9"/>
    <w:qFormat/>
    <w:uiPriority w:val="0"/>
    <w:rPr>
      <w:rFonts w:ascii="Calibri" w:hAnsi="Calibri" w:eastAsia="宋体" w:cs="Times New Roman"/>
      <w:b/>
      <w:kern w:val="44"/>
      <w:sz w:val="44"/>
    </w:rPr>
  </w:style>
  <w:style w:type="character" w:customStyle="1" w:styleId="430">
    <w:name w:val="页脚 Char3"/>
    <w:qFormat/>
    <w:uiPriority w:val="0"/>
    <w:rPr>
      <w:rFonts w:ascii="Times New Roman" w:hAnsi="Times New Roman" w:eastAsia="宋体" w:cs="Times New Roman"/>
      <w:sz w:val="20"/>
      <w:szCs w:val="20"/>
    </w:rPr>
  </w:style>
  <w:style w:type="character" w:customStyle="1" w:styleId="431">
    <w:name w:val="称呼 Char"/>
    <w:qFormat/>
    <w:uiPriority w:val="0"/>
    <w:rPr>
      <w:rFonts w:ascii="Times New Roman" w:hAnsi="Times New Roman" w:eastAsia="宋体" w:cs="Times New Roman"/>
      <w:kern w:val="2"/>
      <w:sz w:val="21"/>
      <w:szCs w:val="24"/>
    </w:rPr>
  </w:style>
  <w:style w:type="character" w:customStyle="1" w:styleId="432">
    <w:name w:val="●一级符号home Char Char1"/>
    <w:link w:val="433"/>
    <w:qFormat/>
    <w:uiPriority w:val="0"/>
    <w:rPr>
      <w:rFonts w:ascii="Verdana" w:hAnsi="Verdana"/>
      <w:sz w:val="21"/>
      <w:lang w:val="zh-CN"/>
    </w:rPr>
  </w:style>
  <w:style w:type="paragraph" w:customStyle="1" w:styleId="433">
    <w:name w:val="●一级符号home"/>
    <w:basedOn w:val="1"/>
    <w:link w:val="432"/>
    <w:qFormat/>
    <w:uiPriority w:val="0"/>
    <w:pPr>
      <w:tabs>
        <w:tab w:val="left" w:pos="901"/>
      </w:tabs>
      <w:spacing w:line="360" w:lineRule="auto"/>
    </w:pPr>
    <w:rPr>
      <w:rFonts w:ascii="Verdana" w:hAnsi="Verdana" w:eastAsia="宋体" w:cs="Times New Roman"/>
      <w:kern w:val="0"/>
      <w:szCs w:val="20"/>
      <w:lang w:val="zh-CN"/>
    </w:rPr>
  </w:style>
  <w:style w:type="character" w:customStyle="1" w:styleId="434">
    <w:name w:val="15"/>
    <w:qFormat/>
    <w:uiPriority w:val="0"/>
    <w:rPr>
      <w:rFonts w:hint="default" w:ascii="Calibri" w:hAnsi="Calibri" w:eastAsia="宋体" w:cs="Times New Roman"/>
      <w:sz w:val="18"/>
      <w:szCs w:val="18"/>
    </w:rPr>
  </w:style>
  <w:style w:type="character" w:customStyle="1" w:styleId="435">
    <w:name w:val="font81"/>
    <w:qFormat/>
    <w:uiPriority w:val="0"/>
    <w:rPr>
      <w:rFonts w:hint="default" w:ascii="Times New Roman" w:hAnsi="Times New Roman" w:eastAsia="宋体" w:cs="Times New Roman"/>
      <w:color w:val="000000"/>
      <w:sz w:val="18"/>
      <w:szCs w:val="18"/>
      <w:u w:val="none"/>
    </w:rPr>
  </w:style>
  <w:style w:type="character" w:customStyle="1" w:styleId="436">
    <w:name w:val="16"/>
    <w:qFormat/>
    <w:uiPriority w:val="0"/>
    <w:rPr>
      <w:rFonts w:hint="default" w:ascii="Calibri" w:hAnsi="Calibri" w:eastAsia="宋体" w:cs="Times New Roman"/>
      <w:sz w:val="21"/>
      <w:szCs w:val="21"/>
    </w:rPr>
  </w:style>
  <w:style w:type="character" w:customStyle="1" w:styleId="437">
    <w:name w:val="lf3"/>
    <w:qFormat/>
    <w:uiPriority w:val="0"/>
    <w:rPr>
      <w:rFonts w:ascii="Calibri" w:hAnsi="Calibri" w:eastAsia="宋体" w:cs="Times New Roman"/>
    </w:rPr>
  </w:style>
  <w:style w:type="character" w:customStyle="1" w:styleId="438">
    <w:name w:val="正文文本缩进 Char2"/>
    <w:qFormat/>
    <w:uiPriority w:val="0"/>
    <w:rPr>
      <w:rFonts w:ascii="Calibri" w:hAnsi="Calibri" w:eastAsia="宋体" w:cs="Times New Roman"/>
      <w:kern w:val="2"/>
      <w:sz w:val="21"/>
    </w:rPr>
  </w:style>
  <w:style w:type="character" w:customStyle="1" w:styleId="439">
    <w:name w:val="自定义正文 Char"/>
    <w:link w:val="440"/>
    <w:qFormat/>
    <w:uiPriority w:val="0"/>
    <w:rPr>
      <w:kern w:val="2"/>
      <w:sz w:val="24"/>
    </w:rPr>
  </w:style>
  <w:style w:type="paragraph" w:customStyle="1" w:styleId="440">
    <w:name w:val="自定义正文"/>
    <w:basedOn w:val="1"/>
    <w:link w:val="439"/>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1">
    <w:name w:val="样式 黑体 二号"/>
    <w:qFormat/>
    <w:uiPriority w:val="0"/>
    <w:rPr>
      <w:rFonts w:ascii="Arial" w:hAnsi="Arial" w:eastAsia="黑体" w:cs="Times New Roman"/>
      <w:sz w:val="44"/>
    </w:rPr>
  </w:style>
  <w:style w:type="character" w:customStyle="1" w:styleId="442">
    <w:name w:val="标题 Char1"/>
    <w:qFormat/>
    <w:uiPriority w:val="0"/>
    <w:rPr>
      <w:rFonts w:ascii="Calibri" w:hAnsi="Calibri" w:eastAsia="黑体" w:cs="Times New Roman"/>
      <w:b/>
      <w:sz w:val="28"/>
    </w:rPr>
  </w:style>
  <w:style w:type="character" w:customStyle="1" w:styleId="443">
    <w:name w:val="textfont"/>
    <w:qFormat/>
    <w:uiPriority w:val="0"/>
    <w:rPr>
      <w:rFonts w:ascii="Calibri" w:hAnsi="Calibri" w:eastAsia="宋体" w:cs="Times New Roman"/>
    </w:rPr>
  </w:style>
  <w:style w:type="character" w:customStyle="1" w:styleId="444">
    <w:name w:val="r13"/>
    <w:qFormat/>
    <w:uiPriority w:val="0"/>
    <w:rPr>
      <w:rFonts w:ascii="Calibri" w:hAnsi="Calibri" w:eastAsia="宋体" w:cs="Times New Roman"/>
    </w:rPr>
  </w:style>
  <w:style w:type="character" w:customStyle="1" w:styleId="445">
    <w:name w:val="副标题 Char"/>
    <w:qFormat/>
    <w:uiPriority w:val="0"/>
    <w:rPr>
      <w:rFonts w:ascii="Cambria" w:hAnsi="Cambria" w:eastAsia="宋体" w:cs="Times New Roman"/>
      <w:b/>
      <w:bCs/>
      <w:kern w:val="28"/>
      <w:sz w:val="32"/>
      <w:szCs w:val="32"/>
    </w:rPr>
  </w:style>
  <w:style w:type="character" w:customStyle="1" w:styleId="446">
    <w:name w:val="style15"/>
    <w:qFormat/>
    <w:uiPriority w:val="0"/>
    <w:rPr>
      <w:rFonts w:ascii="Calibri" w:hAnsi="Calibri" w:eastAsia="宋体" w:cs="Times New Roman"/>
    </w:rPr>
  </w:style>
  <w:style w:type="character" w:customStyle="1" w:styleId="447">
    <w:name w:val="页眉 Char2"/>
    <w:qFormat/>
    <w:uiPriority w:val="0"/>
    <w:rPr>
      <w:rFonts w:ascii="Calibri" w:hAnsi="Calibri" w:eastAsia="宋体" w:cs="Times New Roman"/>
      <w:kern w:val="2"/>
      <w:sz w:val="18"/>
    </w:rPr>
  </w:style>
  <w:style w:type="character" w:customStyle="1" w:styleId="448">
    <w:name w:val="headline-content2"/>
    <w:qFormat/>
    <w:uiPriority w:val="0"/>
    <w:rPr>
      <w:rFonts w:ascii="Calibri" w:hAnsi="Calibri" w:eastAsia="宋体" w:cs="Times New Roman"/>
    </w:rPr>
  </w:style>
  <w:style w:type="character" w:customStyle="1" w:styleId="449">
    <w:name w:val="paramname"/>
    <w:qFormat/>
    <w:uiPriority w:val="0"/>
    <w:rPr>
      <w:rFonts w:ascii="Calibri" w:hAnsi="Calibri" w:eastAsia="宋体" w:cs="Times New Roman"/>
    </w:rPr>
  </w:style>
  <w:style w:type="character" w:customStyle="1" w:styleId="450">
    <w:name w:val="页眉 Char Char"/>
    <w:qFormat/>
    <w:uiPriority w:val="0"/>
    <w:rPr>
      <w:rFonts w:ascii="Calibri" w:hAnsi="Calibri" w:eastAsia="宋体" w:cs="Times New Roman"/>
      <w:kern w:val="2"/>
      <w:sz w:val="18"/>
      <w:lang w:val="en-US" w:eastAsia="zh-CN"/>
    </w:rPr>
  </w:style>
  <w:style w:type="character" w:customStyle="1" w:styleId="451">
    <w:name w:val="正文2 Char Char"/>
    <w:qFormat/>
    <w:uiPriority w:val="0"/>
    <w:rPr>
      <w:rFonts w:ascii="Calibri" w:hAnsi="Calibri" w:eastAsia="宋体" w:cs="Times New Roman"/>
      <w:sz w:val="24"/>
    </w:rPr>
  </w:style>
  <w:style w:type="character" w:customStyle="1" w:styleId="452">
    <w:name w:val="正文首行缩进 Char2"/>
    <w:qFormat/>
    <w:uiPriority w:val="0"/>
    <w:rPr>
      <w:rFonts w:ascii="Calibri" w:hAnsi="Calibri" w:eastAsia="宋体" w:cs="Times New Roman"/>
    </w:rPr>
  </w:style>
  <w:style w:type="paragraph" w:customStyle="1" w:styleId="453">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4">
    <w:name w:val="批注引用10"/>
    <w:qFormat/>
    <w:uiPriority w:val="0"/>
    <w:rPr>
      <w:rFonts w:ascii="Calibri" w:hAnsi="Calibri" w:eastAsia="宋体" w:cs="Times New Roman"/>
      <w:sz w:val="21"/>
    </w:rPr>
  </w:style>
  <w:style w:type="character" w:customStyle="1" w:styleId="455">
    <w:name w:val="EmailStyle30"/>
    <w:qFormat/>
    <w:uiPriority w:val="0"/>
    <w:rPr>
      <w:rFonts w:ascii="Calibri" w:hAnsi="Calibri" w:eastAsia="宋体" w:cs="Times New Roman"/>
      <w:color w:val="000000"/>
    </w:rPr>
  </w:style>
  <w:style w:type="character" w:customStyle="1" w:styleId="456">
    <w:name w:val="批注引用5"/>
    <w:qFormat/>
    <w:uiPriority w:val="0"/>
    <w:rPr>
      <w:rFonts w:ascii="Calibri" w:hAnsi="Calibri" w:eastAsia="宋体" w:cs="Times New Roman"/>
      <w:sz w:val="21"/>
    </w:rPr>
  </w:style>
  <w:style w:type="character" w:customStyle="1" w:styleId="457">
    <w:name w:val="apple-style-span"/>
    <w:qFormat/>
    <w:uiPriority w:val="0"/>
    <w:rPr>
      <w:rFonts w:ascii="Calibri" w:hAnsi="Calibri" w:eastAsia="宋体" w:cs="Times New Roman"/>
    </w:rPr>
  </w:style>
  <w:style w:type="character" w:customStyle="1" w:styleId="458">
    <w:name w:val="无 A"/>
    <w:qFormat/>
    <w:uiPriority w:val="0"/>
    <w:rPr>
      <w:rFonts w:ascii="Calibri" w:hAnsi="Calibri" w:eastAsia="宋体" w:cs="Times New Roman"/>
      <w:lang w:val="en-US"/>
    </w:rPr>
  </w:style>
  <w:style w:type="character" w:customStyle="1" w:styleId="459">
    <w:name w:val="custbt1"/>
    <w:qFormat/>
    <w:uiPriority w:val="0"/>
    <w:rPr>
      <w:rFonts w:ascii="Calibri" w:hAnsi="Calibri" w:eastAsia="宋体" w:cs="Times New Roman"/>
      <w:color w:val="0066CC"/>
      <w:sz w:val="20"/>
    </w:rPr>
  </w:style>
  <w:style w:type="character" w:customStyle="1" w:styleId="460">
    <w:name w:val="日期 Char2"/>
    <w:qFormat/>
    <w:uiPriority w:val="0"/>
    <w:rPr>
      <w:rFonts w:ascii="Calibri" w:hAnsi="Calibri" w:eastAsia="宋体" w:cs="Times New Roman"/>
      <w:kern w:val="2"/>
      <w:sz w:val="21"/>
    </w:rPr>
  </w:style>
  <w:style w:type="character" w:customStyle="1" w:styleId="461">
    <w:name w:val="批注引用6"/>
    <w:qFormat/>
    <w:uiPriority w:val="0"/>
    <w:rPr>
      <w:rFonts w:ascii="Calibri" w:hAnsi="Calibri" w:eastAsia="宋体" w:cs="Times New Roman"/>
      <w:sz w:val="21"/>
    </w:rPr>
  </w:style>
  <w:style w:type="character" w:customStyle="1" w:styleId="462">
    <w:name w:val="font71"/>
    <w:qFormat/>
    <w:uiPriority w:val="0"/>
    <w:rPr>
      <w:rFonts w:hint="default" w:ascii="Times New Roman" w:hAnsi="Times New Roman" w:eastAsia="楷体_GB2312" w:cs="Times New Roman"/>
      <w:sz w:val="28"/>
      <w:szCs w:val="24"/>
    </w:rPr>
  </w:style>
  <w:style w:type="character" w:customStyle="1" w:styleId="463">
    <w:name w:val="正文首缩两字 Char1"/>
    <w:link w:val="464"/>
    <w:qFormat/>
    <w:uiPriority w:val="0"/>
    <w:rPr>
      <w:rFonts w:ascii="Verdana" w:hAnsi="Verdana"/>
      <w:sz w:val="24"/>
    </w:rPr>
  </w:style>
  <w:style w:type="paragraph" w:customStyle="1" w:styleId="464">
    <w:name w:val="正文首缩两字"/>
    <w:basedOn w:val="1"/>
    <w:link w:val="463"/>
    <w:qFormat/>
    <w:uiPriority w:val="0"/>
    <w:pPr>
      <w:spacing w:line="360" w:lineRule="auto"/>
      <w:ind w:firstLine="200" w:firstLineChars="200"/>
    </w:pPr>
    <w:rPr>
      <w:rFonts w:ascii="Verdana" w:hAnsi="Verdana" w:eastAsia="宋体" w:cs="Times New Roman"/>
      <w:kern w:val="0"/>
      <w:sz w:val="24"/>
      <w:szCs w:val="20"/>
    </w:rPr>
  </w:style>
  <w:style w:type="character" w:customStyle="1" w:styleId="465">
    <w:name w:val="ss"/>
    <w:qFormat/>
    <w:uiPriority w:val="0"/>
    <w:rPr>
      <w:rFonts w:ascii="Calibri" w:hAnsi="Calibri" w:eastAsia="宋体" w:cs="Times New Roman"/>
    </w:rPr>
  </w:style>
  <w:style w:type="character" w:customStyle="1" w:styleId="466">
    <w:name w:val="Char Char6"/>
    <w:qFormat/>
    <w:uiPriority w:val="0"/>
    <w:rPr>
      <w:rFonts w:ascii="Calibri" w:hAnsi="Calibri" w:eastAsia="宋体" w:cs="Times New Roman"/>
      <w:sz w:val="24"/>
    </w:rPr>
  </w:style>
  <w:style w:type="character" w:customStyle="1" w:styleId="467">
    <w:name w:val="批注文字 Char2"/>
    <w:qFormat/>
    <w:uiPriority w:val="0"/>
    <w:rPr>
      <w:rFonts w:ascii="Calibri" w:hAnsi="Calibri" w:eastAsia="宋体" w:cs="Times New Roman"/>
      <w:kern w:val="2"/>
      <w:sz w:val="21"/>
    </w:rPr>
  </w:style>
  <w:style w:type="character" w:customStyle="1" w:styleId="468">
    <w:name w:val="font_8"/>
    <w:qFormat/>
    <w:uiPriority w:val="0"/>
    <w:rPr>
      <w:rFonts w:ascii="Calibri" w:hAnsi="Calibri" w:eastAsia="宋体" w:cs="Times New Roman"/>
    </w:rPr>
  </w:style>
  <w:style w:type="character" w:customStyle="1" w:styleId="469">
    <w:name w:val="批注主题 Char2"/>
    <w:qFormat/>
    <w:uiPriority w:val="0"/>
    <w:rPr>
      <w:rFonts w:ascii="Calibri" w:hAnsi="Calibri" w:eastAsia="宋体" w:cs="Times New Roman"/>
      <w:b/>
      <w:kern w:val="2"/>
      <w:sz w:val="21"/>
    </w:rPr>
  </w:style>
  <w:style w:type="character" w:customStyle="1" w:styleId="470">
    <w:name w:val="Char Char Char Char Char"/>
    <w:qFormat/>
    <w:uiPriority w:val="0"/>
    <w:rPr>
      <w:rFonts w:ascii="宋体" w:hAnsi="Courier New" w:cs="Times New Roman"/>
    </w:rPr>
  </w:style>
  <w:style w:type="character" w:customStyle="1" w:styleId="471">
    <w:name w:val="一级条标题 Char"/>
    <w:link w:val="472"/>
    <w:qFormat/>
    <w:uiPriority w:val="0"/>
    <w:rPr>
      <w:rFonts w:ascii="黑体" w:eastAsia="黑体"/>
      <w:sz w:val="21"/>
    </w:rPr>
  </w:style>
  <w:style w:type="paragraph" w:customStyle="1" w:styleId="472">
    <w:name w:val="一级条标题"/>
    <w:basedOn w:val="1"/>
    <w:next w:val="396"/>
    <w:link w:val="471"/>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3">
    <w:name w:val="标题 Char3"/>
    <w:qFormat/>
    <w:uiPriority w:val="0"/>
    <w:rPr>
      <w:rFonts w:ascii="Cambria" w:hAnsi="Cambria" w:eastAsia="宋体" w:cs="黑体"/>
      <w:b/>
      <w:bCs/>
      <w:sz w:val="32"/>
      <w:szCs w:val="32"/>
    </w:rPr>
  </w:style>
  <w:style w:type="character" w:customStyle="1" w:styleId="474">
    <w:name w:val="List Paragraph Char Char"/>
    <w:qFormat/>
    <w:locked/>
    <w:uiPriority w:val="0"/>
    <w:rPr>
      <w:rFonts w:ascii="宋体" w:hAnsi="宋体" w:cs="Times New Roman"/>
      <w:kern w:val="2"/>
      <w:sz w:val="21"/>
      <w:szCs w:val="24"/>
    </w:rPr>
  </w:style>
  <w:style w:type="character" w:customStyle="1" w:styleId="475">
    <w:name w:val="wz1"/>
    <w:qFormat/>
    <w:uiPriority w:val="0"/>
    <w:rPr>
      <w:rFonts w:ascii="Calibri" w:hAnsi="Calibri" w:eastAsia="宋体" w:cs="Times New Roman"/>
      <w:color w:val="5A5A5A"/>
      <w:sz w:val="18"/>
      <w:u w:val="none"/>
    </w:rPr>
  </w:style>
  <w:style w:type="character" w:customStyle="1" w:styleId="476">
    <w:name w:val="aa1"/>
    <w:qFormat/>
    <w:uiPriority w:val="0"/>
    <w:rPr>
      <w:rFonts w:ascii="Calibri" w:hAnsi="Calibri" w:eastAsia="宋体" w:cs="Times New Roman"/>
      <w:sz w:val="20"/>
      <w:u w:val="none"/>
    </w:rPr>
  </w:style>
  <w:style w:type="character" w:customStyle="1" w:styleId="477">
    <w:name w:val="style14"/>
    <w:qFormat/>
    <w:uiPriority w:val="0"/>
    <w:rPr>
      <w:rFonts w:ascii="Calibri" w:hAnsi="Calibri" w:eastAsia="宋体" w:cs="Times New Roman"/>
    </w:rPr>
  </w:style>
  <w:style w:type="character" w:customStyle="1" w:styleId="478">
    <w:name w:val="正文首行缩进 Char1"/>
    <w:qFormat/>
    <w:uiPriority w:val="0"/>
    <w:rPr>
      <w:rFonts w:ascii="Calibri" w:hAnsi="Calibri" w:eastAsia="宋体" w:cs="Times New Roman"/>
      <w:kern w:val="2"/>
      <w:sz w:val="22"/>
      <w:lang w:val="en-US" w:eastAsia="zh-CN"/>
    </w:rPr>
  </w:style>
  <w:style w:type="character" w:customStyle="1" w:styleId="479">
    <w:name w:val="正文文本 2 Char2"/>
    <w:qFormat/>
    <w:uiPriority w:val="0"/>
    <w:rPr>
      <w:rFonts w:ascii="Calibri" w:hAnsi="Calibri" w:eastAsia="宋体" w:cs="Times New Roman"/>
      <w:kern w:val="2"/>
      <w:sz w:val="21"/>
    </w:rPr>
  </w:style>
  <w:style w:type="paragraph" w:customStyle="1" w:styleId="480">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1">
    <w:name w:val="Char Char5"/>
    <w:qFormat/>
    <w:uiPriority w:val="0"/>
    <w:rPr>
      <w:rFonts w:ascii="Calibri" w:hAnsi="Calibri" w:eastAsia="宋体" w:cs="Times New Roman"/>
      <w:sz w:val="18"/>
    </w:rPr>
  </w:style>
  <w:style w:type="character" w:customStyle="1" w:styleId="482">
    <w:name w:val="正文2 Char Char Char"/>
    <w:qFormat/>
    <w:uiPriority w:val="0"/>
    <w:rPr>
      <w:rFonts w:ascii="Calibri" w:hAnsi="Calibri" w:eastAsia="宋体" w:cs="Times New Roman"/>
      <w:kern w:val="2"/>
      <w:sz w:val="24"/>
      <w:lang w:val="en-US" w:eastAsia="zh-CN"/>
    </w:rPr>
  </w:style>
  <w:style w:type="character" w:customStyle="1" w:styleId="483">
    <w:name w:val="标题 1 Char1"/>
    <w:qFormat/>
    <w:uiPriority w:val="0"/>
    <w:rPr>
      <w:rFonts w:ascii="仿宋_GB2312" w:hAnsi="Calibri" w:eastAsia="仿宋_GB2312" w:cs="Times New Roman"/>
      <w:b/>
      <w:color w:val="000000"/>
      <w:kern w:val="2"/>
      <w:sz w:val="36"/>
    </w:rPr>
  </w:style>
  <w:style w:type="character" w:customStyle="1" w:styleId="484">
    <w:name w:val="批注引用4"/>
    <w:qFormat/>
    <w:uiPriority w:val="0"/>
    <w:rPr>
      <w:rFonts w:ascii="Calibri" w:hAnsi="Calibri" w:eastAsia="宋体" w:cs="Times New Roman"/>
      <w:sz w:val="21"/>
    </w:rPr>
  </w:style>
  <w:style w:type="character" w:customStyle="1" w:styleId="485">
    <w:name w:val="style141"/>
    <w:qFormat/>
    <w:uiPriority w:val="0"/>
    <w:rPr>
      <w:rFonts w:ascii="Calibri" w:hAnsi="Calibri" w:eastAsia="宋体" w:cs="Times New Roman"/>
    </w:rPr>
  </w:style>
  <w:style w:type="character" w:customStyle="1" w:styleId="486">
    <w:name w:val="文档结构图 Char2"/>
    <w:qFormat/>
    <w:uiPriority w:val="0"/>
    <w:rPr>
      <w:rFonts w:ascii="宋体" w:hAnsi="Calibri" w:eastAsia="宋体" w:cs="Times New Roman"/>
      <w:kern w:val="2"/>
      <w:sz w:val="18"/>
    </w:rPr>
  </w:style>
  <w:style w:type="character" w:customStyle="1" w:styleId="487">
    <w:name w:val="批注框文本 Char2"/>
    <w:qFormat/>
    <w:uiPriority w:val="0"/>
    <w:rPr>
      <w:rFonts w:ascii="Calibri" w:hAnsi="Calibri" w:eastAsia="宋体" w:cs="Times New Roman"/>
      <w:kern w:val="2"/>
      <w:sz w:val="18"/>
    </w:rPr>
  </w:style>
  <w:style w:type="character" w:customStyle="1" w:styleId="488">
    <w:name w:val="font61"/>
    <w:basedOn w:val="70"/>
    <w:qFormat/>
    <w:uiPriority w:val="0"/>
    <w:rPr>
      <w:rFonts w:ascii="Arial" w:hAnsi="Arial" w:eastAsia="宋体" w:cs="Arial"/>
      <w:color w:val="000000"/>
      <w:sz w:val="20"/>
      <w:szCs w:val="20"/>
      <w:u w:val="none"/>
    </w:rPr>
  </w:style>
  <w:style w:type="character" w:customStyle="1" w:styleId="489">
    <w:name w:val="fontblank12"/>
    <w:qFormat/>
    <w:uiPriority w:val="0"/>
    <w:rPr>
      <w:rFonts w:ascii="Calibri" w:hAnsi="Calibri" w:eastAsia="宋体" w:cs="Times New Roman"/>
    </w:rPr>
  </w:style>
  <w:style w:type="character" w:customStyle="1" w:styleId="490">
    <w:name w:val="标题 9 Char1"/>
    <w:qFormat/>
    <w:uiPriority w:val="0"/>
    <w:rPr>
      <w:rFonts w:ascii="Arial" w:hAnsi="Arial" w:eastAsia="黑体" w:cs="Times New Roman"/>
      <w:kern w:val="2"/>
      <w:sz w:val="21"/>
    </w:rPr>
  </w:style>
  <w:style w:type="character" w:customStyle="1" w:styleId="491">
    <w:name w:val="high-light-bg4"/>
    <w:qFormat/>
    <w:uiPriority w:val="0"/>
    <w:rPr>
      <w:rFonts w:ascii="Calibri" w:hAnsi="Calibri" w:eastAsia="宋体" w:cs="Times New Roman"/>
    </w:rPr>
  </w:style>
  <w:style w:type="character" w:customStyle="1" w:styleId="492">
    <w:name w:val="正文文本 3 Char2"/>
    <w:qFormat/>
    <w:uiPriority w:val="0"/>
    <w:rPr>
      <w:rFonts w:ascii="Calibri" w:hAnsi="Calibri" w:eastAsia="宋体" w:cs="Times New Roman"/>
      <w:kern w:val="2"/>
      <w:sz w:val="16"/>
    </w:rPr>
  </w:style>
  <w:style w:type="character" w:customStyle="1" w:styleId="493">
    <w:name w:val="正文缩进 Char1"/>
    <w:qFormat/>
    <w:uiPriority w:val="0"/>
    <w:rPr>
      <w:rFonts w:ascii="Calibri" w:hAnsi="Calibri" w:eastAsia="宋体" w:cs="Times New Roman"/>
      <w:kern w:val="2"/>
      <w:sz w:val="21"/>
    </w:rPr>
  </w:style>
  <w:style w:type="character" w:customStyle="1" w:styleId="494">
    <w:name w:val="批注引用1"/>
    <w:qFormat/>
    <w:uiPriority w:val="0"/>
    <w:rPr>
      <w:rFonts w:ascii="Calibri" w:hAnsi="Calibri" w:eastAsia="宋体" w:cs="Times New Roman"/>
      <w:sz w:val="21"/>
      <w:szCs w:val="21"/>
    </w:rPr>
  </w:style>
  <w:style w:type="character" w:customStyle="1" w:styleId="495">
    <w:name w:val="正文文本 2 Char"/>
    <w:qFormat/>
    <w:uiPriority w:val="0"/>
    <w:rPr>
      <w:rFonts w:ascii="Times New Roman" w:hAnsi="Times New Roman" w:eastAsia="宋体" w:cs="Times New Roman"/>
      <w:kern w:val="2"/>
      <w:sz w:val="21"/>
      <w:szCs w:val="24"/>
    </w:rPr>
  </w:style>
  <w:style w:type="character" w:customStyle="1" w:styleId="496">
    <w:name w:val="Table Text Char Char"/>
    <w:link w:val="497"/>
    <w:qFormat/>
    <w:uiPriority w:val="0"/>
    <w:rPr>
      <w:rFonts w:ascii="Arial" w:hAnsi="Arial"/>
      <w:sz w:val="18"/>
    </w:rPr>
  </w:style>
  <w:style w:type="paragraph" w:customStyle="1" w:styleId="497">
    <w:name w:val="Table Text"/>
    <w:link w:val="496"/>
    <w:qFormat/>
    <w:uiPriority w:val="0"/>
    <w:pPr>
      <w:snapToGrid w:val="0"/>
      <w:spacing w:before="80" w:after="80"/>
    </w:pPr>
    <w:rPr>
      <w:rFonts w:ascii="Arial" w:hAnsi="Arial" w:eastAsia="宋体" w:cs="Times New Roman"/>
      <w:sz w:val="18"/>
      <w:lang w:val="en-US" w:eastAsia="zh-CN" w:bidi="ar-SA"/>
    </w:rPr>
  </w:style>
  <w:style w:type="character" w:customStyle="1" w:styleId="498">
    <w:name w:val="批注文字 Char3"/>
    <w:qFormat/>
    <w:uiPriority w:val="0"/>
    <w:rPr>
      <w:rFonts w:ascii="Times New Roman" w:hAnsi="Times New Roman" w:eastAsia="宋体" w:cs="Times New Roman"/>
      <w:sz w:val="20"/>
      <w:szCs w:val="20"/>
    </w:rPr>
  </w:style>
  <w:style w:type="character" w:customStyle="1" w:styleId="499">
    <w:name w:val="普通文字 Char2"/>
    <w:qFormat/>
    <w:uiPriority w:val="0"/>
    <w:rPr>
      <w:rFonts w:ascii="宋体" w:hAnsi="Courier New" w:eastAsia="宋体" w:cs="Times New Roman"/>
      <w:kern w:val="2"/>
      <w:sz w:val="21"/>
      <w:lang w:val="en-US" w:eastAsia="zh-CN"/>
    </w:rPr>
  </w:style>
  <w:style w:type="character" w:customStyle="1" w:styleId="500">
    <w:name w:val="正文文本 3 Char"/>
    <w:qFormat/>
    <w:uiPriority w:val="0"/>
    <w:rPr>
      <w:rFonts w:ascii="Times New Roman" w:hAnsi="Times New Roman" w:eastAsia="宋体" w:cs="Times New Roman"/>
      <w:kern w:val="2"/>
      <w:sz w:val="16"/>
      <w:szCs w:val="16"/>
    </w:rPr>
  </w:style>
  <w:style w:type="character" w:customStyle="1" w:styleId="501">
    <w:name w:val="HTML 预设格式 Char"/>
    <w:qFormat/>
    <w:uiPriority w:val="0"/>
    <w:rPr>
      <w:rFonts w:ascii="Courier New" w:hAnsi="Courier New" w:eastAsia="宋体" w:cs="Courier New"/>
      <w:kern w:val="2"/>
    </w:rPr>
  </w:style>
  <w:style w:type="character" w:customStyle="1" w:styleId="502">
    <w:name w:val="页眉 Char1"/>
    <w:qFormat/>
    <w:uiPriority w:val="0"/>
    <w:rPr>
      <w:rFonts w:ascii="Calibri" w:hAnsi="Calibri" w:eastAsia="宋体" w:cs="Times New Roman"/>
      <w:kern w:val="2"/>
      <w:sz w:val="18"/>
    </w:rPr>
  </w:style>
  <w:style w:type="character" w:customStyle="1" w:styleId="503">
    <w:name w:val="标题 8 Char1"/>
    <w:qFormat/>
    <w:uiPriority w:val="0"/>
    <w:rPr>
      <w:rFonts w:ascii="Arial" w:hAnsi="Arial" w:eastAsia="黑体" w:cs="Times New Roman"/>
      <w:kern w:val="2"/>
      <w:sz w:val="24"/>
    </w:rPr>
  </w:style>
  <w:style w:type="character" w:customStyle="1" w:styleId="504">
    <w:name w:val="Char Char8"/>
    <w:qFormat/>
    <w:uiPriority w:val="0"/>
    <w:rPr>
      <w:rFonts w:ascii="Calibri" w:hAnsi="Calibri" w:eastAsia="仿宋_GB2312" w:cs="Times New Roman"/>
      <w:b/>
      <w:kern w:val="2"/>
      <w:sz w:val="32"/>
    </w:rPr>
  </w:style>
  <w:style w:type="character" w:customStyle="1" w:styleId="505">
    <w:name w:val="正文文本缩进 3 Char2"/>
    <w:qFormat/>
    <w:uiPriority w:val="0"/>
    <w:rPr>
      <w:rFonts w:ascii="Calibri" w:hAnsi="Calibri" w:eastAsia="宋体" w:cs="Times New Roman"/>
      <w:kern w:val="2"/>
      <w:sz w:val="16"/>
    </w:rPr>
  </w:style>
  <w:style w:type="character" w:customStyle="1" w:styleId="506">
    <w:name w:val="◆ 二级符号end Char Char"/>
    <w:link w:val="507"/>
    <w:qFormat/>
    <w:uiPriority w:val="0"/>
    <w:rPr>
      <w:rFonts w:ascii="Verdana" w:hAnsi="Verdana"/>
      <w:sz w:val="24"/>
    </w:rPr>
  </w:style>
  <w:style w:type="paragraph" w:customStyle="1" w:styleId="507">
    <w:name w:val="◆ 二级符号end"/>
    <w:basedOn w:val="1"/>
    <w:link w:val="506"/>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8">
    <w:name w:val="正文文本 Char2"/>
    <w:qFormat/>
    <w:uiPriority w:val="0"/>
    <w:rPr>
      <w:rFonts w:ascii="Calibri" w:hAnsi="Calibri" w:eastAsia="宋体" w:cs="Times New Roman"/>
      <w:kern w:val="2"/>
      <w:sz w:val="21"/>
    </w:rPr>
  </w:style>
  <w:style w:type="character" w:customStyle="1" w:styleId="509">
    <w:name w:val="批注引用11"/>
    <w:qFormat/>
    <w:uiPriority w:val="0"/>
    <w:rPr>
      <w:rFonts w:ascii="Calibri" w:hAnsi="Calibri" w:eastAsia="宋体" w:cs="Times New Roman"/>
      <w:sz w:val="21"/>
    </w:rPr>
  </w:style>
  <w:style w:type="character" w:customStyle="1" w:styleId="510">
    <w:name w:val="标题 5 Char1"/>
    <w:qFormat/>
    <w:uiPriority w:val="0"/>
    <w:rPr>
      <w:rFonts w:ascii="Calibri" w:hAnsi="Calibri" w:eastAsia="宋体" w:cs="Times New Roman"/>
      <w:b/>
      <w:kern w:val="2"/>
      <w:sz w:val="28"/>
    </w:rPr>
  </w:style>
  <w:style w:type="character" w:customStyle="1" w:styleId="511">
    <w:name w:val="批注引用9"/>
    <w:qFormat/>
    <w:uiPriority w:val="0"/>
    <w:rPr>
      <w:rFonts w:ascii="Calibri" w:hAnsi="Calibri" w:eastAsia="宋体" w:cs="Times New Roman"/>
      <w:sz w:val="21"/>
    </w:rPr>
  </w:style>
  <w:style w:type="character" w:customStyle="1" w:styleId="512">
    <w:name w:val="标题 7 Char1"/>
    <w:qFormat/>
    <w:uiPriority w:val="0"/>
    <w:rPr>
      <w:rFonts w:ascii="Calibri" w:hAnsi="Calibri" w:eastAsia="宋体" w:cs="Times New Roman"/>
      <w:b/>
      <w:kern w:val="2"/>
      <w:sz w:val="24"/>
    </w:rPr>
  </w:style>
  <w:style w:type="character" w:customStyle="1" w:styleId="513">
    <w:name w:val="SANGFOR_6_正文 Char"/>
    <w:link w:val="514"/>
    <w:qFormat/>
    <w:uiPriority w:val="0"/>
    <w:rPr>
      <w:rFonts w:ascii="宋体" w:hAnsi="宋体"/>
      <w:sz w:val="28"/>
      <w:szCs w:val="28"/>
    </w:rPr>
  </w:style>
  <w:style w:type="paragraph" w:customStyle="1" w:styleId="514">
    <w:name w:val="SANGFOR_6_正文"/>
    <w:basedOn w:val="1"/>
    <w:link w:val="513"/>
    <w:qFormat/>
    <w:uiPriority w:val="0"/>
    <w:pPr>
      <w:spacing w:line="360" w:lineRule="auto"/>
      <w:ind w:left="420"/>
      <w:jc w:val="left"/>
    </w:pPr>
    <w:rPr>
      <w:rFonts w:ascii="宋体" w:hAnsi="宋体" w:eastAsia="宋体" w:cs="Times New Roman"/>
      <w:kern w:val="0"/>
      <w:sz w:val="28"/>
      <w:szCs w:val="28"/>
    </w:rPr>
  </w:style>
  <w:style w:type="character" w:customStyle="1" w:styleId="515">
    <w:name w:val="标题 3 Char1"/>
    <w:qFormat/>
    <w:uiPriority w:val="0"/>
    <w:rPr>
      <w:rFonts w:ascii="Calibri" w:hAnsi="Calibri" w:eastAsia="宋体" w:cs="Times New Roman"/>
      <w:b/>
      <w:kern w:val="2"/>
      <w:sz w:val="32"/>
    </w:rPr>
  </w:style>
  <w:style w:type="character" w:customStyle="1" w:styleId="516">
    <w:name w:val="页脚 Char1"/>
    <w:qFormat/>
    <w:uiPriority w:val="0"/>
    <w:rPr>
      <w:rFonts w:ascii="Calibri" w:hAnsi="Calibri" w:eastAsia="宋体" w:cs="Times New Roman"/>
      <w:kern w:val="2"/>
      <w:sz w:val="18"/>
    </w:rPr>
  </w:style>
  <w:style w:type="character" w:customStyle="1" w:styleId="517">
    <w:name w:val="页脚 Char2"/>
    <w:qFormat/>
    <w:uiPriority w:val="0"/>
    <w:rPr>
      <w:rFonts w:ascii="Calibri" w:hAnsi="Calibri" w:eastAsia="宋体" w:cs="Times New Roman"/>
      <w:kern w:val="2"/>
      <w:sz w:val="18"/>
    </w:rPr>
  </w:style>
  <w:style w:type="character" w:customStyle="1" w:styleId="518">
    <w:name w:val="正文1 Char"/>
    <w:link w:val="171"/>
    <w:qFormat/>
    <w:uiPriority w:val="0"/>
    <w:rPr>
      <w:rFonts w:ascii="Calibri" w:hAnsi="Calibri" w:cs="Calibri"/>
      <w:kern w:val="2"/>
      <w:sz w:val="21"/>
      <w:szCs w:val="21"/>
    </w:rPr>
  </w:style>
  <w:style w:type="character" w:customStyle="1" w:styleId="519">
    <w:name w:val="批注引用2"/>
    <w:qFormat/>
    <w:uiPriority w:val="0"/>
    <w:rPr>
      <w:rFonts w:ascii="Calibri" w:hAnsi="Calibri" w:eastAsia="宋体" w:cs="Times New Roman"/>
      <w:sz w:val="21"/>
    </w:rPr>
  </w:style>
  <w:style w:type="character" w:customStyle="1" w:styleId="520">
    <w:name w:val="标题 Char2"/>
    <w:qFormat/>
    <w:uiPriority w:val="0"/>
    <w:rPr>
      <w:rFonts w:ascii="Cambria" w:hAnsi="Cambria" w:eastAsia="宋体" w:cs="Times New Roman"/>
      <w:b/>
      <w:kern w:val="2"/>
      <w:sz w:val="32"/>
    </w:rPr>
  </w:style>
  <w:style w:type="character" w:customStyle="1" w:styleId="521">
    <w:name w:val="c1"/>
    <w:qFormat/>
    <w:uiPriority w:val="0"/>
    <w:rPr>
      <w:rFonts w:ascii="Calibri" w:hAnsi="Calibri" w:eastAsia="宋体" w:cs="Times New Roman"/>
      <w:sz w:val="24"/>
    </w:rPr>
  </w:style>
  <w:style w:type="character" w:customStyle="1" w:styleId="522">
    <w:name w:val="font121"/>
    <w:qFormat/>
    <w:uiPriority w:val="0"/>
    <w:rPr>
      <w:rFonts w:hint="default" w:ascii="???" w:hAnsi="???" w:eastAsia="宋体" w:cs="Times New Roman"/>
      <w:color w:val="333333"/>
      <w:sz w:val="18"/>
      <w:szCs w:val="18"/>
      <w:u w:val="none"/>
    </w:rPr>
  </w:style>
  <w:style w:type="character" w:customStyle="1" w:styleId="523">
    <w:name w:val="标准文本 Char Char"/>
    <w:link w:val="524"/>
    <w:qFormat/>
    <w:uiPriority w:val="0"/>
  </w:style>
  <w:style w:type="paragraph" w:customStyle="1" w:styleId="524">
    <w:name w:val="标准文本"/>
    <w:basedOn w:val="1"/>
    <w:link w:val="523"/>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5">
    <w:name w:val="尾注文本 Char"/>
    <w:qFormat/>
    <w:uiPriority w:val="0"/>
    <w:rPr>
      <w:rFonts w:ascii="Times New Roman" w:hAnsi="Times New Roman" w:eastAsia="宋体" w:cs="Times New Roman"/>
      <w:kern w:val="2"/>
      <w:sz w:val="21"/>
      <w:szCs w:val="24"/>
    </w:rPr>
  </w:style>
  <w:style w:type="character" w:customStyle="1" w:styleId="526">
    <w:name w:val="标题 4 Char1"/>
    <w:qFormat/>
    <w:uiPriority w:val="0"/>
    <w:rPr>
      <w:rFonts w:ascii="Arial" w:hAnsi="Arial" w:eastAsia="黑体" w:cs="Times New Roman"/>
      <w:b/>
      <w:kern w:val="2"/>
      <w:sz w:val="28"/>
    </w:rPr>
  </w:style>
  <w:style w:type="character" w:customStyle="1" w:styleId="527">
    <w:name w:val="批注文字 Char4"/>
    <w:qFormat/>
    <w:uiPriority w:val="0"/>
    <w:rPr>
      <w:rFonts w:ascii="Times New Roman" w:hAnsi="Times New Roman" w:eastAsia="宋体" w:cs="Times New Roman"/>
      <w:szCs w:val="20"/>
    </w:rPr>
  </w:style>
  <w:style w:type="character" w:customStyle="1" w:styleId="528">
    <w:name w:val="批注引用8"/>
    <w:qFormat/>
    <w:uiPriority w:val="0"/>
    <w:rPr>
      <w:rFonts w:ascii="Calibri" w:hAnsi="Calibri" w:eastAsia="宋体" w:cs="Times New Roman"/>
      <w:sz w:val="21"/>
    </w:rPr>
  </w:style>
  <w:style w:type="character" w:customStyle="1" w:styleId="529">
    <w:name w:val="彩色列表 - 强调文字颜色 1 Char"/>
    <w:link w:val="192"/>
    <w:qFormat/>
    <w:uiPriority w:val="0"/>
    <w:rPr>
      <w:rFonts w:ascii="Calibri" w:hAnsi="Calibri"/>
      <w:kern w:val="2"/>
      <w:sz w:val="21"/>
      <w:szCs w:val="22"/>
    </w:rPr>
  </w:style>
  <w:style w:type="character" w:customStyle="1" w:styleId="530">
    <w:name w:val="DH 正文 Char"/>
    <w:link w:val="531"/>
    <w:qFormat/>
    <w:uiPriority w:val="0"/>
    <w:rPr>
      <w:rFonts w:ascii="宋体"/>
      <w:kern w:val="2"/>
      <w:sz w:val="24"/>
      <w:szCs w:val="24"/>
    </w:rPr>
  </w:style>
  <w:style w:type="paragraph" w:customStyle="1" w:styleId="531">
    <w:name w:val="DH 正文"/>
    <w:basedOn w:val="1"/>
    <w:link w:val="530"/>
    <w:qFormat/>
    <w:uiPriority w:val="0"/>
    <w:pPr>
      <w:spacing w:line="360" w:lineRule="auto"/>
      <w:ind w:firstLine="200" w:firstLineChars="200"/>
    </w:pPr>
    <w:rPr>
      <w:rFonts w:ascii="宋体" w:hAnsi="Times New Roman" w:eastAsia="宋体" w:cs="Times New Roman"/>
      <w:sz w:val="24"/>
      <w:szCs w:val="24"/>
    </w:rPr>
  </w:style>
  <w:style w:type="character" w:customStyle="1" w:styleId="532">
    <w:name w:val="unnamed21"/>
    <w:qFormat/>
    <w:uiPriority w:val="0"/>
    <w:rPr>
      <w:rFonts w:ascii="Calibri" w:hAnsi="Calibri" w:eastAsia="宋体" w:cs="Times New Roman"/>
      <w:color w:val="000000"/>
      <w:sz w:val="20"/>
    </w:rPr>
  </w:style>
  <w:style w:type="character" w:customStyle="1" w:styleId="533">
    <w:name w:val="news1"/>
    <w:qFormat/>
    <w:uiPriority w:val="0"/>
    <w:rPr>
      <w:rFonts w:ascii="Calibri" w:hAnsi="Calibri" w:eastAsia="宋体" w:cs="Times New Roman"/>
      <w:color w:val="4D4D4D"/>
      <w:sz w:val="18"/>
    </w:rPr>
  </w:style>
  <w:style w:type="character" w:customStyle="1" w:styleId="534">
    <w:name w:val="批注引用7"/>
    <w:qFormat/>
    <w:uiPriority w:val="0"/>
    <w:rPr>
      <w:rFonts w:ascii="Calibri" w:hAnsi="Calibri" w:eastAsia="宋体" w:cs="Times New Roman"/>
      <w:sz w:val="21"/>
    </w:rPr>
  </w:style>
  <w:style w:type="character" w:customStyle="1" w:styleId="535">
    <w:name w:val="line1"/>
    <w:qFormat/>
    <w:uiPriority w:val="0"/>
    <w:rPr>
      <w:rFonts w:ascii="Calibri" w:hAnsi="Calibri" w:eastAsia="宋体" w:cs="Times New Roman"/>
    </w:rPr>
  </w:style>
  <w:style w:type="character" w:customStyle="1" w:styleId="536">
    <w:name w:val="Char Char4"/>
    <w:qFormat/>
    <w:uiPriority w:val="0"/>
    <w:rPr>
      <w:rFonts w:ascii="Calibri" w:hAnsi="Calibri" w:eastAsia="宋体" w:cs="Times New Roman"/>
      <w:sz w:val="18"/>
    </w:rPr>
  </w:style>
  <w:style w:type="character" w:customStyle="1" w:styleId="537">
    <w:name w:val="批注引用3"/>
    <w:qFormat/>
    <w:uiPriority w:val="0"/>
    <w:rPr>
      <w:rFonts w:ascii="Calibri" w:hAnsi="Calibri" w:eastAsia="宋体" w:cs="Times New Roman"/>
      <w:sz w:val="21"/>
      <w:szCs w:val="21"/>
    </w:rPr>
  </w:style>
  <w:style w:type="character" w:customStyle="1" w:styleId="538">
    <w:name w:val="样式 8 磅"/>
    <w:qFormat/>
    <w:uiPriority w:val="0"/>
    <w:rPr>
      <w:rFonts w:ascii="Calibri" w:hAnsi="Calibri" w:eastAsia="宋体" w:cs="Times New Roman"/>
      <w:sz w:val="18"/>
    </w:rPr>
  </w:style>
  <w:style w:type="paragraph" w:customStyle="1" w:styleId="539">
    <w:name w:val="Char Char1 Char Char Char Char Char Char Char"/>
    <w:basedOn w:val="1"/>
    <w:qFormat/>
    <w:uiPriority w:val="0"/>
    <w:rPr>
      <w:rFonts w:ascii="Calibri" w:hAnsi="Calibri" w:eastAsia="宋体" w:cs="Times New Roman"/>
      <w:szCs w:val="24"/>
    </w:rPr>
  </w:style>
  <w:style w:type="paragraph" w:customStyle="1" w:styleId="540">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1">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2">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4">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5">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6">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7">
    <w:name w:val="列出段落3"/>
    <w:basedOn w:val="1"/>
    <w:qFormat/>
    <w:uiPriority w:val="0"/>
    <w:pPr>
      <w:ind w:firstLine="420" w:firstLineChars="200"/>
    </w:pPr>
    <w:rPr>
      <w:rFonts w:ascii="Cambria" w:hAnsi="Cambria" w:eastAsia="宋体" w:cs="Times New Roman"/>
      <w:sz w:val="24"/>
      <w:szCs w:val="24"/>
    </w:rPr>
  </w:style>
  <w:style w:type="paragraph" w:customStyle="1" w:styleId="548">
    <w:name w:val="Char1"/>
    <w:basedOn w:val="1"/>
    <w:qFormat/>
    <w:uiPriority w:val="0"/>
    <w:pPr>
      <w:widowControl/>
      <w:jc w:val="left"/>
    </w:pPr>
    <w:rPr>
      <w:rFonts w:ascii="仿宋_GB2312" w:hAnsi="Calibri" w:eastAsia="仿宋_GB2312" w:cs="Times New Roman"/>
      <w:b/>
      <w:sz w:val="32"/>
      <w:szCs w:val="20"/>
    </w:rPr>
  </w:style>
  <w:style w:type="paragraph" w:customStyle="1" w:styleId="549">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50">
    <w:name w:val="p1"/>
    <w:basedOn w:val="1"/>
    <w:qFormat/>
    <w:uiPriority w:val="0"/>
    <w:pPr>
      <w:widowControl/>
      <w:jc w:val="left"/>
    </w:pPr>
    <w:rPr>
      <w:rFonts w:ascii="Helvetica" w:hAnsi="Helvetica" w:eastAsia="等线" w:cs="Times New Roman"/>
      <w:kern w:val="0"/>
      <w:sz w:val="16"/>
      <w:szCs w:val="16"/>
    </w:rPr>
  </w:style>
  <w:style w:type="paragraph" w:customStyle="1" w:styleId="551">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3">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6">
    <w:name w:val="TOC 标题1"/>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557">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8">
    <w:name w:val="正文缩进1"/>
    <w:basedOn w:val="1"/>
    <w:next w:val="3"/>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9">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60">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1">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2">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3">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4">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5">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6">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7">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8">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9">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70">
    <w:name w:val="p16"/>
    <w:basedOn w:val="1"/>
    <w:qFormat/>
    <w:uiPriority w:val="0"/>
    <w:pPr>
      <w:widowControl/>
      <w:spacing w:before="80" w:after="80"/>
      <w:jc w:val="left"/>
    </w:pPr>
    <w:rPr>
      <w:rFonts w:ascii="Arial" w:hAnsi="Arial" w:eastAsia="宋体" w:cs="Arial"/>
      <w:kern w:val="0"/>
      <w:sz w:val="18"/>
      <w:szCs w:val="18"/>
    </w:rPr>
  </w:style>
  <w:style w:type="paragraph" w:customStyle="1" w:styleId="57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2">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3">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4">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5">
    <w:name w:val="Char Char Char Char Char Char Char Char Char Char"/>
    <w:basedOn w:val="21"/>
    <w:qFormat/>
    <w:uiPriority w:val="0"/>
    <w:rPr>
      <w:rFonts w:ascii="Tahoma" w:hAnsi="Tahoma" w:cs="Times New Roman"/>
      <w:kern w:val="0"/>
      <w:sz w:val="24"/>
      <w:szCs w:val="24"/>
    </w:rPr>
  </w:style>
  <w:style w:type="paragraph" w:customStyle="1" w:styleId="576">
    <w:name w:val="4"/>
    <w:basedOn w:val="1"/>
    <w:next w:val="58"/>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7">
    <w:name w:val="项目"/>
    <w:basedOn w:val="13"/>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8">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9">
    <w:name w:val="5"/>
    <w:basedOn w:val="1"/>
    <w:next w:val="26"/>
    <w:qFormat/>
    <w:uiPriority w:val="0"/>
    <w:pPr>
      <w:widowControl/>
      <w:ind w:right="26"/>
      <w:jc w:val="left"/>
    </w:pPr>
    <w:rPr>
      <w:rFonts w:ascii="楷体_GB2312" w:hAnsi="Calibri" w:eastAsia="楷体_GB2312" w:cs="Times New Roman"/>
      <w:spacing w:val="4"/>
      <w:kern w:val="0"/>
      <w:sz w:val="28"/>
      <w:szCs w:val="20"/>
    </w:rPr>
  </w:style>
  <w:style w:type="paragraph" w:customStyle="1" w:styleId="580">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1">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2">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4">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6">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7">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8">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9">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1">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2">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3">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4">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5">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6">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7">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8">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9">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600">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1">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2">
    <w:name w:val="msolistparagraph"/>
    <w:basedOn w:val="1"/>
    <w:qFormat/>
    <w:uiPriority w:val="0"/>
    <w:pPr>
      <w:ind w:firstLine="420" w:firstLineChars="200"/>
    </w:pPr>
    <w:rPr>
      <w:rFonts w:ascii="Calibri" w:hAnsi="Calibri" w:eastAsia="宋体" w:cs="Times New Roman"/>
      <w:szCs w:val="20"/>
    </w:rPr>
  </w:style>
  <w:style w:type="paragraph" w:customStyle="1" w:styleId="603">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4">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5">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7">
    <w:name w:val="五级条标题"/>
    <w:basedOn w:val="608"/>
    <w:next w:val="396"/>
    <w:qFormat/>
    <w:uiPriority w:val="0"/>
    <w:pPr>
      <w:tabs>
        <w:tab w:val="left" w:pos="1200"/>
      </w:tabs>
      <w:outlineLvl w:val="6"/>
    </w:pPr>
  </w:style>
  <w:style w:type="paragraph" w:customStyle="1" w:styleId="608">
    <w:name w:val="四级条标题"/>
    <w:basedOn w:val="609"/>
    <w:next w:val="396"/>
    <w:qFormat/>
    <w:uiPriority w:val="0"/>
    <w:pPr>
      <w:tabs>
        <w:tab w:val="left" w:pos="1200"/>
      </w:tabs>
      <w:outlineLvl w:val="5"/>
    </w:pPr>
  </w:style>
  <w:style w:type="paragraph" w:customStyle="1" w:styleId="609">
    <w:name w:val="三级条标题"/>
    <w:basedOn w:val="610"/>
    <w:next w:val="396"/>
    <w:qFormat/>
    <w:uiPriority w:val="0"/>
    <w:pPr>
      <w:tabs>
        <w:tab w:val="left" w:pos="1200"/>
      </w:tabs>
      <w:outlineLvl w:val="4"/>
    </w:pPr>
  </w:style>
  <w:style w:type="paragraph" w:customStyle="1" w:styleId="610">
    <w:name w:val="二级条标题"/>
    <w:basedOn w:val="472"/>
    <w:next w:val="396"/>
    <w:qFormat/>
    <w:uiPriority w:val="0"/>
    <w:pPr>
      <w:outlineLvl w:val="3"/>
    </w:pPr>
    <w:rPr>
      <w:rFonts w:ascii="Calibri" w:hAnsi="Calibri" w:eastAsia="宋体"/>
    </w:rPr>
  </w:style>
  <w:style w:type="paragraph" w:customStyle="1" w:styleId="611">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2">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4">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5">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6">
    <w:name w:val="Revision1"/>
    <w:qFormat/>
    <w:uiPriority w:val="0"/>
    <w:rPr>
      <w:rFonts w:ascii="Times New Roman" w:hAnsi="Times New Roman" w:eastAsia="宋体" w:cs="Times New Roman"/>
      <w:kern w:val="2"/>
      <w:sz w:val="21"/>
      <w:lang w:val="en-US" w:eastAsia="zh-CN" w:bidi="ar-SA"/>
    </w:rPr>
  </w:style>
  <w:style w:type="paragraph" w:customStyle="1" w:styleId="617">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8">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9">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20">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1">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2">
    <w:name w:val="无间隔11"/>
    <w:basedOn w:val="1"/>
    <w:qFormat/>
    <w:uiPriority w:val="0"/>
    <w:pPr>
      <w:widowControl/>
    </w:pPr>
    <w:rPr>
      <w:rFonts w:ascii="Calibri" w:hAnsi="Calibri" w:eastAsia="宋体" w:cs="Calibri"/>
      <w:kern w:val="0"/>
      <w:szCs w:val="24"/>
      <w:lang w:eastAsia="en-US"/>
    </w:rPr>
  </w:style>
  <w:style w:type="paragraph" w:customStyle="1" w:styleId="623">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4">
    <w:name w:val="p21"/>
    <w:basedOn w:val="1"/>
    <w:qFormat/>
    <w:uiPriority w:val="0"/>
    <w:pPr>
      <w:widowControl/>
      <w:ind w:firstLine="420"/>
    </w:pPr>
    <w:rPr>
      <w:rFonts w:ascii="Calibri" w:hAnsi="Calibri" w:eastAsia="宋体" w:cs="宋体"/>
      <w:kern w:val="0"/>
      <w:szCs w:val="21"/>
    </w:rPr>
  </w:style>
  <w:style w:type="paragraph" w:customStyle="1" w:styleId="625">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6">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7">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8">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9">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30">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1">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2">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3">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4">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5">
    <w:name w:val="章标题"/>
    <w:next w:val="396"/>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6">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7">
    <w:name w:val="List Paragraph3"/>
    <w:basedOn w:val="1"/>
    <w:qFormat/>
    <w:uiPriority w:val="0"/>
    <w:pPr>
      <w:ind w:firstLine="420" w:firstLineChars="200"/>
    </w:pPr>
    <w:rPr>
      <w:rFonts w:ascii="Calibri" w:hAnsi="Calibri" w:eastAsia="宋体" w:cs="Times New Roman"/>
    </w:rPr>
  </w:style>
  <w:style w:type="paragraph" w:customStyle="1" w:styleId="638">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9">
    <w:name w:val="樣式1"/>
    <w:basedOn w:val="640"/>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40">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1">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2">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3">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4">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5">
    <w:name w:val="Char2"/>
    <w:basedOn w:val="1"/>
    <w:qFormat/>
    <w:uiPriority w:val="0"/>
    <w:pPr>
      <w:widowControl/>
      <w:jc w:val="left"/>
    </w:pPr>
    <w:rPr>
      <w:rFonts w:ascii="Calibri" w:hAnsi="Calibri" w:eastAsia="仿宋_GB2312" w:cs="Times New Roman"/>
      <w:sz w:val="28"/>
      <w:szCs w:val="20"/>
    </w:rPr>
  </w:style>
  <w:style w:type="paragraph" w:customStyle="1" w:styleId="646">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7">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8">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9">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50">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1">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2">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3">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4">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5">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6">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7">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8">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9">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60">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1">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2">
    <w:name w:val="标题3级"/>
    <w:basedOn w:val="6"/>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3">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4">
    <w:name w:val="TOC Heading1"/>
    <w:basedOn w:val="4"/>
    <w:next w:val="1"/>
    <w:qFormat/>
    <w:uiPriority w:val="0"/>
    <w:pPr>
      <w:tabs>
        <w:tab w:val="clear" w:pos="1440"/>
      </w:tabs>
      <w:spacing w:beforeLines="0" w:line="276" w:lineRule="auto"/>
      <w:jc w:val="left"/>
      <w:outlineLvl w:val="9"/>
    </w:pPr>
    <w:rPr>
      <w:rFonts w:ascii="Cambria" w:hAnsi="Cambria" w:eastAsia="宋体"/>
      <w:color w:val="365F91"/>
      <w:kern w:val="0"/>
      <w:sz w:val="28"/>
      <w:szCs w:val="28"/>
    </w:rPr>
  </w:style>
  <w:style w:type="paragraph" w:customStyle="1" w:styleId="665">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6">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7">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8">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9">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70">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1">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2">
    <w:name w:val="Char Char Char"/>
    <w:basedOn w:val="1"/>
    <w:qFormat/>
    <w:uiPriority w:val="0"/>
    <w:pPr>
      <w:widowControl/>
      <w:jc w:val="left"/>
    </w:pPr>
    <w:rPr>
      <w:rFonts w:ascii="Tahoma" w:hAnsi="Tahoma" w:eastAsia="宋体" w:cs="Times New Roman"/>
      <w:sz w:val="24"/>
      <w:szCs w:val="20"/>
    </w:rPr>
  </w:style>
  <w:style w:type="paragraph" w:customStyle="1" w:styleId="673">
    <w:name w:val="小四 段落 宋体 Char Char Char"/>
    <w:basedOn w:val="17"/>
    <w:qFormat/>
    <w:uiPriority w:val="0"/>
    <w:pPr>
      <w:tabs>
        <w:tab w:val="left" w:pos="1320"/>
      </w:tabs>
      <w:spacing w:line="360" w:lineRule="auto"/>
      <w:ind w:left="0" w:right="-33" w:firstLine="480" w:firstLineChars="200"/>
      <w:jc w:val="left"/>
    </w:pPr>
    <w:rPr>
      <w:sz w:val="24"/>
      <w:szCs w:val="24"/>
    </w:rPr>
  </w:style>
  <w:style w:type="paragraph" w:customStyle="1" w:styleId="674">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6">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8">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9">
    <w:name w:val="Char1 Char Char Char Char Char Char"/>
    <w:basedOn w:val="1"/>
    <w:qFormat/>
    <w:uiPriority w:val="0"/>
    <w:rPr>
      <w:rFonts w:ascii="Calibri" w:hAnsi="Calibri" w:eastAsia="宋体" w:cs="Times New Roman"/>
      <w:szCs w:val="20"/>
    </w:rPr>
  </w:style>
  <w:style w:type="paragraph" w:customStyle="1" w:styleId="680">
    <w:name w:val="正文文本1"/>
    <w:basedOn w:val="1"/>
    <w:qFormat/>
    <w:uiPriority w:val="0"/>
    <w:pPr>
      <w:spacing w:after="120"/>
    </w:pPr>
    <w:rPr>
      <w:rFonts w:ascii="Calibri" w:hAnsi="Calibri" w:eastAsia="宋体" w:cs="Times New Roman"/>
      <w:kern w:val="0"/>
      <w:sz w:val="20"/>
      <w:szCs w:val="24"/>
    </w:rPr>
  </w:style>
  <w:style w:type="paragraph" w:customStyle="1" w:styleId="681">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2">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3">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4">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5">
    <w:name w:val="Char Char19"/>
    <w:basedOn w:val="1"/>
    <w:qFormat/>
    <w:uiPriority w:val="0"/>
    <w:pPr>
      <w:widowControl/>
      <w:jc w:val="left"/>
    </w:pPr>
    <w:rPr>
      <w:rFonts w:ascii="Tahoma" w:hAnsi="Tahoma" w:eastAsia="宋体" w:cs="Times New Roman"/>
      <w:sz w:val="24"/>
      <w:szCs w:val="20"/>
    </w:rPr>
  </w:style>
  <w:style w:type="paragraph" w:customStyle="1" w:styleId="686">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7">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8">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9">
    <w:name w:val="TOC 标题2"/>
    <w:basedOn w:val="4"/>
    <w:next w:val="1"/>
    <w:qFormat/>
    <w:uiPriority w:val="0"/>
    <w:pPr>
      <w:tabs>
        <w:tab w:val="clear" w:pos="1440"/>
      </w:tabs>
      <w:spacing w:beforeLines="0" w:line="276" w:lineRule="auto"/>
      <w:jc w:val="left"/>
      <w:outlineLvl w:val="9"/>
    </w:pPr>
    <w:rPr>
      <w:rFonts w:ascii="Cambria" w:hAnsi="Cambria" w:eastAsia="宋体"/>
      <w:color w:val="365F90"/>
      <w:kern w:val="0"/>
      <w:sz w:val="28"/>
      <w:szCs w:val="28"/>
    </w:rPr>
  </w:style>
  <w:style w:type="paragraph" w:customStyle="1" w:styleId="690">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1">
    <w:name w:val="样式 Verdana 首行缩进:  0.74 厘米"/>
    <w:basedOn w:val="1"/>
    <w:qFormat/>
    <w:uiPriority w:val="0"/>
    <w:pPr>
      <w:widowControl/>
      <w:jc w:val="left"/>
    </w:pPr>
    <w:rPr>
      <w:rFonts w:ascii="Verdana" w:hAnsi="Verdana" w:eastAsia="宋体" w:cs="Times New Roman"/>
      <w:szCs w:val="20"/>
    </w:rPr>
  </w:style>
  <w:style w:type="paragraph" w:customStyle="1" w:styleId="692">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3">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4">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5">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6">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7">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8">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9">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00">
    <w:name w:val="Char11"/>
    <w:basedOn w:val="1"/>
    <w:qFormat/>
    <w:uiPriority w:val="0"/>
    <w:pPr>
      <w:widowControl/>
      <w:jc w:val="left"/>
    </w:pPr>
    <w:rPr>
      <w:rFonts w:ascii="仿宋_GB2312" w:hAnsi="Calibri" w:eastAsia="仿宋_GB2312" w:cs="Times New Roman"/>
      <w:b/>
      <w:sz w:val="32"/>
      <w:szCs w:val="20"/>
    </w:rPr>
  </w:style>
  <w:style w:type="paragraph" w:customStyle="1" w:styleId="701">
    <w:name w:val="无间隔3"/>
    <w:basedOn w:val="1"/>
    <w:qFormat/>
    <w:uiPriority w:val="0"/>
    <w:pPr>
      <w:snapToGrid w:val="0"/>
    </w:pPr>
    <w:rPr>
      <w:rFonts w:ascii="仿宋_GB2312" w:hAnsi="Calibri" w:eastAsia="仿宋_GB2312" w:cs="Times New Roman"/>
      <w:b/>
      <w:kern w:val="0"/>
      <w:sz w:val="30"/>
      <w:szCs w:val="24"/>
    </w:rPr>
  </w:style>
  <w:style w:type="paragraph" w:customStyle="1" w:styleId="702">
    <w:name w:val="彩色列表 - 强调文字颜色 111"/>
    <w:basedOn w:val="1"/>
    <w:qFormat/>
    <w:uiPriority w:val="34"/>
    <w:pPr>
      <w:ind w:firstLine="420" w:firstLineChars="200"/>
    </w:pPr>
    <w:rPr>
      <w:rFonts w:ascii="Calibri" w:hAnsi="Calibri" w:eastAsia="宋体" w:cs="Times New Roman"/>
    </w:rPr>
  </w:style>
  <w:style w:type="paragraph" w:customStyle="1" w:styleId="703">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4">
    <w:name w:val="中等深浅网格 31"/>
    <w:basedOn w:val="61"/>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5">
    <w:name w:val="题注1"/>
    <w:basedOn w:val="1"/>
    <w:next w:val="1"/>
    <w:unhideWhenUsed/>
    <w:qFormat/>
    <w:uiPriority w:val="99"/>
    <w:rPr>
      <w:rFonts w:ascii="Calibri Light" w:hAnsi="Calibri Light" w:eastAsia="黑体" w:cs="Times New Roman"/>
      <w:sz w:val="20"/>
      <w:szCs w:val="20"/>
    </w:rPr>
  </w:style>
  <w:style w:type="table" w:customStyle="1" w:styleId="706">
    <w:name w:val="网格型1"/>
    <w:basedOn w:val="6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7">
    <w:name w:val="批注文字 Char"/>
    <w:basedOn w:val="70"/>
    <w:qFormat/>
    <w:uiPriority w:val="99"/>
    <w:rPr>
      <w:rFonts w:ascii="Calibri" w:hAnsi="Calibri" w:eastAsia="宋体" w:cs="Times New Roman"/>
    </w:rPr>
  </w:style>
  <w:style w:type="paragraph" w:customStyle="1" w:styleId="708">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9">
    <w:name w:val="标题2"/>
    <w:basedOn w:val="5"/>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10">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1">
    <w:name w:val="文章正文"/>
    <w:basedOn w:val="122"/>
    <w:qFormat/>
    <w:uiPriority w:val="0"/>
    <w:pPr>
      <w:widowControl/>
      <w:adjustRightInd w:val="0"/>
      <w:spacing w:beforeLines="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2">
    <w:name w:val="_Style 31"/>
    <w:basedOn w:val="1"/>
    <w:next w:val="114"/>
    <w:qFormat/>
    <w:uiPriority w:val="34"/>
    <w:pPr>
      <w:widowControl/>
      <w:adjustRightInd w:val="0"/>
      <w:spacing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3">
    <w:name w:val="列表段落11"/>
    <w:basedOn w:val="1"/>
    <w:qFormat/>
    <w:uiPriority w:val="34"/>
    <w:pPr>
      <w:ind w:firstLine="420" w:firstLineChars="200"/>
    </w:pPr>
    <w:rPr>
      <w:rFonts w:ascii="Calibri" w:hAnsi="Calibri" w:eastAsia="宋体" w:cs="Times New Roman"/>
    </w:rPr>
  </w:style>
  <w:style w:type="paragraph" w:customStyle="1" w:styleId="714">
    <w:name w:val="_Style 45"/>
    <w:basedOn w:val="1"/>
    <w:next w:val="114"/>
    <w:qFormat/>
    <w:uiPriority w:val="34"/>
    <w:pPr>
      <w:ind w:firstLine="420" w:firstLineChars="200"/>
    </w:pPr>
    <w:rPr>
      <w:rFonts w:ascii="Times New Roman" w:hAnsi="Times New Roman" w:eastAsia="宋体" w:cs="Times New Roman"/>
    </w:rPr>
  </w:style>
  <w:style w:type="paragraph" w:customStyle="1" w:styleId="7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7">
    <w:name w:val="无间隔4"/>
    <w:next w:val="718"/>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9">
    <w:name w:val="A_表格头"/>
    <w:basedOn w:val="1"/>
    <w:qFormat/>
    <w:uiPriority w:val="0"/>
    <w:pPr>
      <w:jc w:val="center"/>
    </w:pPr>
    <w:rPr>
      <w:rFonts w:ascii="Times New Roman" w:hAnsi="Times New Roman" w:eastAsia="黑体" w:cs="Times New Roman"/>
      <w:bCs/>
      <w:kern w:val="0"/>
      <w:szCs w:val="20"/>
    </w:rPr>
  </w:style>
  <w:style w:type="paragraph" w:customStyle="1" w:styleId="720">
    <w:name w:val="A_表格正文（居中）"/>
    <w:basedOn w:val="1"/>
    <w:qFormat/>
    <w:uiPriority w:val="0"/>
    <w:pPr>
      <w:jc w:val="center"/>
    </w:pPr>
    <w:rPr>
      <w:rFonts w:ascii="Times New Roman" w:hAnsi="Times New Roman" w:eastAsia="仿宋" w:cs="Times New Roman"/>
      <w:kern w:val="0"/>
      <w:szCs w:val="20"/>
    </w:rPr>
  </w:style>
  <w:style w:type="paragraph" w:customStyle="1" w:styleId="721">
    <w:name w:val="A_表格正文（加黑）"/>
    <w:basedOn w:val="720"/>
    <w:qFormat/>
    <w:uiPriority w:val="0"/>
    <w:rPr>
      <w:b/>
      <w:color w:val="000000"/>
    </w:rPr>
  </w:style>
  <w:style w:type="character" w:customStyle="1" w:styleId="722">
    <w:name w:val="标题 Char"/>
    <w:qFormat/>
    <w:uiPriority w:val="0"/>
    <w:rPr>
      <w:rFonts w:ascii="宋体" w:hAnsi="Courier New" w:eastAsia="宋体" w:cs="Courier New"/>
      <w:kern w:val="2"/>
      <w:sz w:val="21"/>
      <w:szCs w:val="21"/>
      <w:lang w:val="en-US" w:eastAsia="zh-CN" w:bidi="ar-SA"/>
    </w:rPr>
  </w:style>
  <w:style w:type="character" w:customStyle="1" w:styleId="723">
    <w:name w:val="普通(网站) 字符"/>
    <w:link w:val="58"/>
    <w:qFormat/>
    <w:locked/>
    <w:uiPriority w:val="0"/>
    <w:rPr>
      <w:rFonts w:ascii="(使用中文字体)" w:hAnsi="(使用中文字体)" w:cs="(使用中文字体)"/>
      <w:sz w:val="24"/>
      <w:szCs w:val="24"/>
    </w:rPr>
  </w:style>
  <w:style w:type="paragraph" w:customStyle="1" w:styleId="724">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5">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6">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7">
    <w:name w:val="[Normal]"/>
    <w:qFormat/>
    <w:uiPriority w:val="0"/>
    <w:rPr>
      <w:rFonts w:ascii="宋体" w:hAnsi="宋体" w:eastAsia="宋体" w:cs="Times New Roman"/>
      <w:sz w:val="24"/>
      <w:szCs w:val="22"/>
      <w:lang w:val="zh-CN" w:eastAsia="zh-CN" w:bidi="ar-SA"/>
    </w:rPr>
  </w:style>
  <w:style w:type="paragraph" w:customStyle="1" w:styleId="728">
    <w:name w:val="正文首行缩进 21"/>
    <w:basedOn w:val="395"/>
    <w:qFormat/>
    <w:uiPriority w:val="0"/>
    <w:pPr>
      <w:ind w:firstLine="420"/>
    </w:pPr>
  </w:style>
  <w:style w:type="paragraph" w:customStyle="1" w:styleId="729">
    <w:name w:val="_Style 3"/>
    <w:basedOn w:val="1"/>
    <w:qFormat/>
    <w:uiPriority w:val="34"/>
    <w:pPr>
      <w:widowControl/>
      <w:spacing w:after="200" w:line="276" w:lineRule="auto"/>
      <w:ind w:left="720"/>
      <w:contextualSpacing/>
      <w:jc w:val="left"/>
    </w:pPr>
    <w:rPr>
      <w:rFonts w:ascii="Calibri" w:hAnsi="Calibri"/>
      <w:kern w:val="0"/>
      <w:sz w:val="22"/>
    </w:rPr>
  </w:style>
  <w:style w:type="paragraph" w:customStyle="1" w:styleId="730">
    <w:name w:val="null3"/>
    <w:hidden/>
    <w:qFormat/>
    <w:uiPriority w:val="0"/>
    <w:pPr>
      <w:spacing w:after="0" w:line="240" w:lineRule="auto"/>
    </w:pPr>
    <w:rPr>
      <w:rFonts w:hint="eastAsia" w:asciiTheme="minorHAnsi" w:hAnsiTheme="minorHAnsi" w:eastAsiaTheme="minorEastAsia" w:cstheme="minorBidi"/>
      <w:kern w:val="0"/>
      <w:sz w:val="20"/>
      <w:szCs w:val="20"/>
      <w:lang w:val="en-US" w:eastAsia="zh-Hans"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5F55-3917-4BAC-A09D-AAA76A33DE46}">
  <ds:schemaRefs/>
</ds:datastoreItem>
</file>

<file path=docProps/app.xml><?xml version="1.0" encoding="utf-8"?>
<Properties xmlns="http://schemas.openxmlformats.org/officeDocument/2006/extended-properties" xmlns:vt="http://schemas.openxmlformats.org/officeDocument/2006/docPropsVTypes">
  <Template>Normal</Template>
  <Pages>50</Pages>
  <Words>179</Words>
  <Characters>196</Characters>
  <Lines>301</Lines>
  <Paragraphs>84</Paragraphs>
  <TotalTime>22</TotalTime>
  <ScaleCrop>false</ScaleCrop>
  <LinksUpToDate>false</LinksUpToDate>
  <CharactersWithSpaces>220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2022-09-11T02:24:00Z</dcterms:created>
  <dc:creator>黄 晓</dc:creator>
  <cp:lastModifiedBy>小朋友要去上学了</cp:lastModifiedBy>
  <cp:lastPrinted>2025-02-13T01:51:00Z</cp:lastPrinted>
  <dcterms:modified xsi:type="dcterms:W3CDTF">2025-07-21T01:43:06Z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484B5E3586FE422F833E738A960D75CA_13</vt:lpwstr>
  </property>
  <property fmtid="{D5CDD505-2E9C-101B-9397-08002B2CF9AE}" pid="4" name="KSOTemplateDocerSaveRecord">
    <vt:lpwstr>eyJoZGlkIjoiZTI5NTVlNGI1NjA5MTg4OGQ3NzkzOTZiYmM1ODE2YjgiLCJ1c2VySWQiOiI1MzgwNTcwNjcifQ==</vt:lpwstr>
  </property>
</Properties>
</file>