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4AB2D">
      <w:pPr>
        <w:rPr>
          <w:rFonts w:eastAsia="华文新魏"/>
          <w:b/>
          <w:spacing w:val="-14"/>
          <w:sz w:val="52"/>
          <w:szCs w:val="52"/>
        </w:rPr>
      </w:pPr>
      <w:bookmarkStart w:id="0" w:name="OLE_LINK1"/>
    </w:p>
    <w:p w14:paraId="4017BFBB">
      <w:pPr>
        <w:spacing w:after="120"/>
        <w:jc w:val="center"/>
        <w:rPr>
          <w:rFonts w:hint="eastAsia" w:hAnsi="Calibri" w:eastAsia="宋体"/>
          <w:spacing w:val="-22"/>
          <w:kern w:val="0"/>
          <w:lang w:eastAsia="zh-CN"/>
        </w:rPr>
      </w:pPr>
      <w:r>
        <w:rPr>
          <w:rFonts w:hint="eastAsia" w:eastAsia="华文新魏"/>
          <w:b/>
          <w:spacing w:val="-22"/>
          <w:sz w:val="52"/>
          <w:szCs w:val="52"/>
          <w:lang w:eastAsia="zh-CN"/>
        </w:rPr>
        <w:t>浙江国际海运职业技术学院2025年中文原版图书采购与服务供应项目（</w:t>
      </w:r>
      <w:r>
        <w:rPr>
          <w:rFonts w:hint="eastAsia" w:eastAsia="华文新魏"/>
          <w:b/>
          <w:spacing w:val="-22"/>
          <w:sz w:val="52"/>
          <w:szCs w:val="52"/>
          <w:lang w:val="en-US" w:eastAsia="zh-CN"/>
        </w:rPr>
        <w:t>重新采购</w:t>
      </w:r>
      <w:r>
        <w:rPr>
          <w:rFonts w:hint="eastAsia" w:eastAsia="华文新魏"/>
          <w:b/>
          <w:spacing w:val="-22"/>
          <w:sz w:val="52"/>
          <w:szCs w:val="52"/>
          <w:lang w:eastAsia="zh-CN"/>
        </w:rPr>
        <w:t xml:space="preserve">） </w:t>
      </w:r>
    </w:p>
    <w:p w14:paraId="6A232F5D">
      <w:pPr>
        <w:snapToGrid w:val="0"/>
        <w:spacing w:line="312" w:lineRule="auto"/>
        <w:jc w:val="center"/>
        <w:rPr>
          <w:rFonts w:eastAsia="华文新魏"/>
          <w:b/>
          <w:sz w:val="52"/>
        </w:rPr>
      </w:pPr>
    </w:p>
    <w:p w14:paraId="62DCF918">
      <w:pPr>
        <w:snapToGrid w:val="0"/>
        <w:spacing w:line="312" w:lineRule="auto"/>
        <w:jc w:val="center"/>
        <w:rPr>
          <w:rFonts w:eastAsia="华文新魏"/>
          <w:b/>
          <w:sz w:val="52"/>
        </w:rPr>
      </w:pPr>
      <w:r>
        <w:rPr>
          <w:rFonts w:hint="eastAsia" w:eastAsia="华文新魏"/>
          <w:b/>
          <w:sz w:val="52"/>
        </w:rPr>
        <w:t>招标文件</w:t>
      </w:r>
    </w:p>
    <w:p w14:paraId="524D06A7">
      <w:pPr>
        <w:snapToGrid w:val="0"/>
        <w:spacing w:before="120" w:line="312" w:lineRule="auto"/>
        <w:rPr>
          <w:rFonts w:eastAsia="华文新魏"/>
          <w:b/>
          <w:sz w:val="32"/>
        </w:rPr>
      </w:pPr>
    </w:p>
    <w:p w14:paraId="700514F3">
      <w:pPr>
        <w:snapToGrid w:val="0"/>
        <w:spacing w:before="120" w:line="312" w:lineRule="auto"/>
        <w:ind w:left="1602" w:hanging="1602" w:hangingChars="500"/>
        <w:rPr>
          <w:rFonts w:eastAsia="华文新魏"/>
          <w:b/>
          <w:sz w:val="32"/>
        </w:rPr>
      </w:pPr>
    </w:p>
    <w:p w14:paraId="0E0197C8">
      <w:pPr>
        <w:snapToGrid w:val="0"/>
        <w:spacing w:before="120" w:line="312" w:lineRule="auto"/>
        <w:ind w:left="1602" w:hanging="1602" w:hangingChars="500"/>
        <w:rPr>
          <w:rFonts w:hint="eastAsia" w:eastAsia="华文新魏"/>
          <w:b/>
          <w:sz w:val="32"/>
          <w:lang w:eastAsia="zh-CN"/>
        </w:rPr>
      </w:pPr>
      <w:r>
        <w:rPr>
          <w:rFonts w:hint="eastAsia" w:eastAsia="华文新魏"/>
          <w:b/>
          <w:sz w:val="32"/>
        </w:rPr>
        <w:t>项目名称</w:t>
      </w:r>
      <w:r>
        <w:rPr>
          <w:rFonts w:hint="eastAsia" w:eastAsia="华文新魏"/>
          <w:sz w:val="32"/>
        </w:rPr>
        <w:t>：</w:t>
      </w:r>
      <w:r>
        <w:rPr>
          <w:rFonts w:hint="eastAsia" w:eastAsia="华文新魏"/>
          <w:b/>
          <w:sz w:val="32"/>
          <w:lang w:eastAsia="zh-CN"/>
        </w:rPr>
        <w:t xml:space="preserve">浙江国际海运职业技术学院2025年中文原版图书采购与服务供应项目 </w:t>
      </w:r>
    </w:p>
    <w:p w14:paraId="6E287D8A">
      <w:pPr>
        <w:spacing w:line="360" w:lineRule="auto"/>
        <w:jc w:val="left"/>
        <w:rPr>
          <w:rFonts w:hint="eastAsia" w:ascii="华文新魏" w:hAnsi="华文新魏" w:eastAsia="华文新魏" w:cs="华文新魏"/>
          <w:sz w:val="24"/>
        </w:rPr>
      </w:pPr>
    </w:p>
    <w:p w14:paraId="22650594">
      <w:pPr>
        <w:snapToGrid w:val="0"/>
        <w:spacing w:before="120" w:line="312" w:lineRule="auto"/>
        <w:rPr>
          <w:rFonts w:hint="eastAsia" w:ascii="华文新魏" w:hAnsi="华文新魏" w:eastAsia="华文新魏" w:cs="华文新魏"/>
          <w:b/>
          <w:sz w:val="32"/>
          <w:lang w:eastAsia="zh-CN"/>
        </w:rPr>
      </w:pPr>
      <w:r>
        <w:rPr>
          <w:rFonts w:hint="eastAsia" w:ascii="华文新魏" w:hAnsi="华文新魏" w:eastAsia="华文新魏" w:cs="华文新魏"/>
          <w:b/>
          <w:sz w:val="32"/>
        </w:rPr>
        <w:t>项目编号：</w:t>
      </w:r>
      <w:r>
        <w:rPr>
          <w:rFonts w:hint="eastAsia" w:ascii="华文新魏" w:hAnsi="华文新魏" w:eastAsia="华文新魏" w:cs="华文新魏"/>
          <w:b/>
          <w:sz w:val="32"/>
          <w:lang w:eastAsia="zh-CN"/>
        </w:rPr>
        <w:t>SZGXZS2025111Ⅱ</w:t>
      </w:r>
    </w:p>
    <w:p w14:paraId="1893CEB8">
      <w:pPr>
        <w:snapToGrid w:val="0"/>
        <w:spacing w:before="120" w:line="312" w:lineRule="auto"/>
        <w:rPr>
          <w:rFonts w:eastAsia="华文新魏"/>
          <w:b/>
          <w:w w:val="95"/>
          <w:sz w:val="32"/>
        </w:rPr>
      </w:pPr>
    </w:p>
    <w:p w14:paraId="796E150C">
      <w:pPr>
        <w:snapToGrid w:val="0"/>
        <w:spacing w:before="120" w:line="312" w:lineRule="auto"/>
        <w:ind w:left="1520" w:hanging="1522" w:hangingChars="500"/>
        <w:rPr>
          <w:rFonts w:eastAsia="华文新魏"/>
          <w:sz w:val="32"/>
        </w:rPr>
      </w:pPr>
      <w:r>
        <w:rPr>
          <w:rFonts w:hint="eastAsia" w:eastAsia="华文新魏"/>
          <w:b/>
          <w:w w:val="95"/>
          <w:sz w:val="32"/>
        </w:rPr>
        <w:t>采购单位：</w:t>
      </w:r>
      <w:r>
        <w:rPr>
          <w:rFonts w:hint="eastAsia" w:eastAsia="华文新魏"/>
          <w:b/>
          <w:sz w:val="32"/>
        </w:rPr>
        <w:t>浙江国际海运职业技术学院</w:t>
      </w:r>
    </w:p>
    <w:p w14:paraId="0F2A7402">
      <w:pPr>
        <w:snapToGrid w:val="0"/>
        <w:spacing w:before="120" w:line="312" w:lineRule="auto"/>
        <w:rPr>
          <w:rFonts w:eastAsia="华文新魏"/>
          <w:b/>
          <w:w w:val="95"/>
          <w:sz w:val="32"/>
        </w:rPr>
      </w:pPr>
    </w:p>
    <w:p w14:paraId="6AB133EF">
      <w:pPr>
        <w:snapToGrid w:val="0"/>
        <w:spacing w:before="120" w:line="312" w:lineRule="auto"/>
        <w:rPr>
          <w:rFonts w:eastAsia="华文新魏"/>
          <w:b/>
          <w:w w:val="95"/>
          <w:sz w:val="32"/>
        </w:rPr>
      </w:pPr>
      <w:r>
        <w:rPr>
          <w:rFonts w:hint="eastAsia" w:eastAsia="华文新魏"/>
          <w:b/>
          <w:w w:val="95"/>
          <w:sz w:val="32"/>
        </w:rPr>
        <w:t>代理机构：深圳市国信招标有限公司</w:t>
      </w:r>
    </w:p>
    <w:p w14:paraId="2B225568">
      <w:pPr>
        <w:snapToGrid w:val="0"/>
        <w:spacing w:before="120" w:line="312" w:lineRule="auto"/>
        <w:ind w:left="5961" w:hanging="5968" w:hangingChars="1961"/>
        <w:rPr>
          <w:rFonts w:eastAsia="华文新魏"/>
          <w:b/>
          <w:w w:val="95"/>
          <w:sz w:val="32"/>
        </w:rPr>
      </w:pPr>
    </w:p>
    <w:p w14:paraId="5F333ABD">
      <w:pPr>
        <w:snapToGrid w:val="0"/>
        <w:spacing w:before="120" w:line="312" w:lineRule="auto"/>
        <w:rPr>
          <w:rFonts w:eastAsia="华文新魏"/>
          <w:b/>
          <w:w w:val="95"/>
          <w:sz w:val="32"/>
        </w:rPr>
      </w:pPr>
    </w:p>
    <w:p w14:paraId="4B615B32">
      <w:pPr>
        <w:snapToGrid w:val="0"/>
        <w:spacing w:before="120" w:line="312" w:lineRule="auto"/>
        <w:ind w:left="6046" w:leftChars="2625" w:hanging="533" w:hangingChars="175"/>
        <w:rPr>
          <w:rFonts w:eastAsia="华文新魏"/>
          <w:b/>
          <w:w w:val="95"/>
          <w:sz w:val="32"/>
        </w:rPr>
      </w:pPr>
      <w:r>
        <w:rPr>
          <w:rFonts w:hint="eastAsia" w:eastAsia="华文新魏"/>
          <w:b/>
          <w:w w:val="95"/>
          <w:sz w:val="32"/>
          <w:lang w:eastAsia="zh-CN"/>
        </w:rPr>
        <w:t>2025年</w:t>
      </w:r>
      <w:r>
        <w:rPr>
          <w:rFonts w:hint="eastAsia" w:eastAsia="华文新魏"/>
          <w:b/>
          <w:w w:val="95"/>
          <w:sz w:val="32"/>
          <w:lang w:val="en-US" w:eastAsia="zh-CN"/>
        </w:rPr>
        <w:t>06</w:t>
      </w:r>
      <w:r>
        <w:rPr>
          <w:rFonts w:hint="eastAsia" w:eastAsia="华文新魏"/>
          <w:b/>
          <w:w w:val="95"/>
          <w:sz w:val="32"/>
        </w:rPr>
        <w:t>月</w:t>
      </w:r>
      <w:r>
        <w:rPr>
          <w:rFonts w:hint="eastAsia" w:eastAsia="华文新魏"/>
          <w:b/>
          <w:w w:val="95"/>
          <w:sz w:val="32"/>
          <w:lang w:val="en-US" w:eastAsia="zh-CN"/>
        </w:rPr>
        <w:t>17</w:t>
      </w:r>
      <w:r>
        <w:rPr>
          <w:rFonts w:hint="eastAsia" w:eastAsia="华文新魏"/>
          <w:b/>
          <w:w w:val="95"/>
          <w:sz w:val="32"/>
        </w:rPr>
        <w:t>日</w:t>
      </w:r>
    </w:p>
    <w:p w14:paraId="03FF279A">
      <w:pPr>
        <w:widowControl/>
        <w:spacing w:line="312" w:lineRule="auto"/>
        <w:jc w:val="left"/>
        <w:rPr>
          <w:rFonts w:eastAsia="创艺简标宋"/>
          <w:kern w:val="0"/>
          <w:sz w:val="44"/>
        </w:rPr>
        <w:sectPr>
          <w:footerReference r:id="rId3" w:type="default"/>
          <w:pgSz w:w="11906" w:h="16838"/>
          <w:pgMar w:top="1304" w:right="1106" w:bottom="1304" w:left="1531" w:header="1304" w:footer="1304" w:gutter="0"/>
          <w:cols w:space="720" w:num="1"/>
        </w:sectPr>
      </w:pPr>
    </w:p>
    <w:p w14:paraId="6D2B8B7F">
      <w:pPr>
        <w:snapToGrid w:val="0"/>
        <w:spacing w:before="120" w:line="312" w:lineRule="auto"/>
        <w:rPr>
          <w:rFonts w:eastAsia="创艺简标宋"/>
          <w:sz w:val="44"/>
        </w:rPr>
      </w:pPr>
    </w:p>
    <w:p w14:paraId="3A9371C3">
      <w:pPr>
        <w:snapToGrid w:val="0"/>
        <w:spacing w:before="120" w:line="312" w:lineRule="auto"/>
        <w:jc w:val="center"/>
        <w:rPr>
          <w:b/>
          <w:sz w:val="44"/>
        </w:rPr>
      </w:pPr>
      <w:r>
        <w:rPr>
          <w:rFonts w:hint="eastAsia"/>
          <w:b/>
          <w:sz w:val="44"/>
        </w:rPr>
        <w:t>目  录</w:t>
      </w:r>
    </w:p>
    <w:p w14:paraId="45800B99">
      <w:pPr>
        <w:spacing w:after="120"/>
        <w:ind w:firstLine="210" w:firstLineChars="100"/>
        <w:rPr>
          <w:kern w:val="0"/>
        </w:rPr>
      </w:pPr>
    </w:p>
    <w:p w14:paraId="5C49CA8A">
      <w:pPr>
        <w:widowControl/>
        <w:numPr>
          <w:ilvl w:val="0"/>
          <w:numId w:val="6"/>
        </w:numPr>
        <w:overflowPunct w:val="0"/>
        <w:autoSpaceDE w:val="0"/>
        <w:autoSpaceDN w:val="0"/>
        <w:adjustRightInd w:val="0"/>
        <w:snapToGrid w:val="0"/>
        <w:spacing w:line="360" w:lineRule="auto"/>
        <w:textAlignment w:val="baseline"/>
        <w:rPr>
          <w:sz w:val="24"/>
        </w:rPr>
      </w:pPr>
      <w:r>
        <w:rPr>
          <w:rFonts w:hint="eastAsia"/>
          <w:sz w:val="24"/>
        </w:rPr>
        <w:t>采购公告</w:t>
      </w:r>
    </w:p>
    <w:p w14:paraId="15EC07CC">
      <w:pPr>
        <w:widowControl/>
        <w:numPr>
          <w:ilvl w:val="0"/>
          <w:numId w:val="6"/>
        </w:numPr>
        <w:overflowPunct w:val="0"/>
        <w:autoSpaceDE w:val="0"/>
        <w:autoSpaceDN w:val="0"/>
        <w:adjustRightInd w:val="0"/>
        <w:snapToGrid w:val="0"/>
        <w:spacing w:line="360" w:lineRule="auto"/>
        <w:textAlignment w:val="baseline"/>
        <w:rPr>
          <w:sz w:val="24"/>
        </w:rPr>
      </w:pPr>
      <w:r>
        <w:rPr>
          <w:rFonts w:hint="eastAsia"/>
          <w:sz w:val="24"/>
        </w:rPr>
        <w:t>招标需求</w:t>
      </w:r>
    </w:p>
    <w:p w14:paraId="1AF3D3A9">
      <w:pPr>
        <w:widowControl/>
        <w:numPr>
          <w:ilvl w:val="0"/>
          <w:numId w:val="6"/>
        </w:numPr>
        <w:overflowPunct w:val="0"/>
        <w:autoSpaceDE w:val="0"/>
        <w:autoSpaceDN w:val="0"/>
        <w:adjustRightInd w:val="0"/>
        <w:snapToGrid w:val="0"/>
        <w:spacing w:line="360" w:lineRule="auto"/>
        <w:textAlignment w:val="baseline"/>
        <w:rPr>
          <w:sz w:val="24"/>
        </w:rPr>
      </w:pPr>
      <w:r>
        <w:rPr>
          <w:rFonts w:hint="eastAsia"/>
          <w:sz w:val="24"/>
        </w:rPr>
        <w:t>投标人须知</w:t>
      </w:r>
    </w:p>
    <w:p w14:paraId="170BB6DD">
      <w:pPr>
        <w:snapToGrid w:val="0"/>
        <w:spacing w:line="360" w:lineRule="auto"/>
        <w:ind w:left="1440"/>
        <w:rPr>
          <w:sz w:val="24"/>
        </w:rPr>
      </w:pPr>
      <w:r>
        <w:rPr>
          <w:rFonts w:hint="eastAsia"/>
          <w:sz w:val="24"/>
        </w:rPr>
        <w:t>前附表</w:t>
      </w:r>
    </w:p>
    <w:p w14:paraId="3773062A">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总则</w:t>
      </w:r>
    </w:p>
    <w:p w14:paraId="52C056D8">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招标文件</w:t>
      </w:r>
    </w:p>
    <w:p w14:paraId="37D0714A">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投标文件编制</w:t>
      </w:r>
    </w:p>
    <w:p w14:paraId="5296EF09">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开标</w:t>
      </w:r>
    </w:p>
    <w:p w14:paraId="035D0D3B">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评标</w:t>
      </w:r>
    </w:p>
    <w:p w14:paraId="23D1458F">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定标</w:t>
      </w:r>
    </w:p>
    <w:p w14:paraId="2E665079">
      <w:pPr>
        <w:widowControl/>
        <w:numPr>
          <w:ilvl w:val="1"/>
          <w:numId w:val="7"/>
        </w:numPr>
        <w:tabs>
          <w:tab w:val="left" w:pos="1305"/>
        </w:tabs>
        <w:overflowPunct w:val="0"/>
        <w:autoSpaceDE w:val="0"/>
        <w:autoSpaceDN w:val="0"/>
        <w:adjustRightInd w:val="0"/>
        <w:snapToGrid w:val="0"/>
        <w:spacing w:line="360" w:lineRule="auto"/>
        <w:textAlignment w:val="baseline"/>
        <w:rPr>
          <w:sz w:val="24"/>
        </w:rPr>
      </w:pPr>
      <w:r>
        <w:rPr>
          <w:rFonts w:hint="eastAsia"/>
          <w:sz w:val="24"/>
        </w:rPr>
        <w:t>合同授予</w:t>
      </w:r>
    </w:p>
    <w:p w14:paraId="2629FD69">
      <w:pPr>
        <w:widowControl/>
        <w:overflowPunct w:val="0"/>
        <w:autoSpaceDE w:val="0"/>
        <w:autoSpaceDN w:val="0"/>
        <w:adjustRightInd w:val="0"/>
        <w:snapToGrid w:val="0"/>
        <w:spacing w:line="360" w:lineRule="auto"/>
        <w:ind w:left="165"/>
        <w:textAlignment w:val="baseline"/>
        <w:rPr>
          <w:sz w:val="24"/>
        </w:rPr>
      </w:pPr>
      <w:r>
        <w:rPr>
          <w:rFonts w:hint="eastAsia"/>
          <w:sz w:val="24"/>
        </w:rPr>
        <w:t xml:space="preserve">第四章   </w:t>
      </w:r>
      <w:r>
        <w:rPr>
          <w:rFonts w:hint="eastAsia"/>
          <w:sz w:val="24"/>
          <w:lang w:eastAsia="zh-CN"/>
        </w:rPr>
        <w:t>评标方法</w:t>
      </w:r>
      <w:r>
        <w:rPr>
          <w:rFonts w:hint="eastAsia"/>
          <w:sz w:val="24"/>
        </w:rPr>
        <w:t>及评分标准</w:t>
      </w:r>
    </w:p>
    <w:p w14:paraId="33EB7B9D">
      <w:pPr>
        <w:widowControl/>
        <w:overflowPunct w:val="0"/>
        <w:autoSpaceDE w:val="0"/>
        <w:autoSpaceDN w:val="0"/>
        <w:adjustRightInd w:val="0"/>
        <w:snapToGrid w:val="0"/>
        <w:spacing w:line="360" w:lineRule="auto"/>
        <w:ind w:left="165"/>
        <w:textAlignment w:val="baseline"/>
        <w:rPr>
          <w:sz w:val="24"/>
        </w:rPr>
      </w:pPr>
      <w:r>
        <w:rPr>
          <w:rFonts w:hint="eastAsia"/>
          <w:sz w:val="24"/>
        </w:rPr>
        <w:t>第五章   政府采购合同主要条款</w:t>
      </w:r>
    </w:p>
    <w:p w14:paraId="6BF20109">
      <w:pPr>
        <w:widowControl/>
        <w:overflowPunct w:val="0"/>
        <w:autoSpaceDE w:val="0"/>
        <w:autoSpaceDN w:val="0"/>
        <w:adjustRightInd w:val="0"/>
        <w:snapToGrid w:val="0"/>
        <w:spacing w:line="360" w:lineRule="auto"/>
        <w:ind w:left="165"/>
        <w:textAlignment w:val="baseline"/>
        <w:rPr>
          <w:sz w:val="24"/>
        </w:rPr>
      </w:pPr>
      <w:r>
        <w:rPr>
          <w:rFonts w:hint="eastAsia"/>
          <w:sz w:val="24"/>
        </w:rPr>
        <w:t>第六章   投标文件相关格式</w:t>
      </w:r>
    </w:p>
    <w:p w14:paraId="3E1EAFA7">
      <w:pPr>
        <w:snapToGrid w:val="0"/>
        <w:spacing w:before="120" w:line="312" w:lineRule="auto"/>
        <w:outlineLvl w:val="0"/>
      </w:pPr>
    </w:p>
    <w:p w14:paraId="3A457D66">
      <w:pPr>
        <w:snapToGrid w:val="0"/>
        <w:spacing w:before="120" w:line="312" w:lineRule="auto"/>
        <w:outlineLvl w:val="0"/>
      </w:pPr>
    </w:p>
    <w:p w14:paraId="16E882D5">
      <w:pPr>
        <w:snapToGrid w:val="0"/>
        <w:spacing w:before="120" w:line="312" w:lineRule="auto"/>
        <w:outlineLvl w:val="0"/>
      </w:pPr>
    </w:p>
    <w:p w14:paraId="70EFD182">
      <w:pPr>
        <w:snapToGrid w:val="0"/>
        <w:spacing w:before="120" w:line="312" w:lineRule="auto"/>
        <w:outlineLvl w:val="0"/>
      </w:pPr>
    </w:p>
    <w:p w14:paraId="3B4567E8">
      <w:pPr>
        <w:snapToGrid w:val="0"/>
        <w:spacing w:before="120" w:line="312" w:lineRule="auto"/>
        <w:outlineLvl w:val="0"/>
      </w:pPr>
    </w:p>
    <w:p w14:paraId="70AFF689">
      <w:pPr>
        <w:snapToGrid w:val="0"/>
        <w:spacing w:before="120" w:line="312" w:lineRule="auto"/>
        <w:outlineLvl w:val="0"/>
      </w:pPr>
    </w:p>
    <w:p w14:paraId="2991DC02">
      <w:pPr>
        <w:snapToGrid w:val="0"/>
        <w:spacing w:before="120" w:line="312" w:lineRule="auto"/>
        <w:outlineLvl w:val="0"/>
      </w:pPr>
    </w:p>
    <w:p w14:paraId="4E9D9874">
      <w:pPr>
        <w:widowControl/>
        <w:spacing w:line="312" w:lineRule="auto"/>
        <w:jc w:val="left"/>
        <w:rPr>
          <w:kern w:val="0"/>
        </w:rPr>
        <w:sectPr>
          <w:pgSz w:w="11906" w:h="16838"/>
          <w:pgMar w:top="1304" w:right="1106" w:bottom="1304" w:left="1531" w:header="1304" w:footer="1304" w:gutter="0"/>
          <w:cols w:space="720" w:num="1"/>
        </w:sectPr>
      </w:pPr>
    </w:p>
    <w:p w14:paraId="5762AEA9">
      <w:pPr>
        <w:snapToGrid w:val="0"/>
        <w:spacing w:before="120" w:line="312" w:lineRule="auto"/>
        <w:jc w:val="center"/>
        <w:outlineLvl w:val="0"/>
        <w:rPr>
          <w:rFonts w:eastAsia="黑体"/>
          <w:sz w:val="30"/>
        </w:rPr>
      </w:pPr>
      <w:r>
        <w:rPr>
          <w:rFonts w:hint="eastAsia" w:eastAsia="黑体"/>
          <w:sz w:val="30"/>
        </w:rPr>
        <w:t>第一章 公开招标采购公告</w:t>
      </w:r>
    </w:p>
    <w:p w14:paraId="7FD36A46">
      <w:pPr>
        <w:spacing w:line="312" w:lineRule="auto"/>
      </w:pPr>
    </w:p>
    <w:p w14:paraId="6CA0FA4F">
      <w:pPr>
        <w:spacing w:line="360" w:lineRule="auto"/>
        <w:ind w:firstLine="420" w:firstLineChars="200"/>
        <w:rPr>
          <w:szCs w:val="21"/>
        </w:rPr>
      </w:pPr>
      <w:r>
        <w:rPr>
          <w:rFonts w:hint="eastAsia"/>
        </w:rPr>
        <w:t>根据《中华人民</w:t>
      </w:r>
      <w:r>
        <w:rPr>
          <w:rFonts w:hint="eastAsia"/>
          <w:szCs w:val="21"/>
        </w:rPr>
        <w:t>共和国政府采购法》等规定，受浙江国际海运职业技术学院委托，现就</w:t>
      </w:r>
      <w:r>
        <w:rPr>
          <w:rFonts w:hint="eastAsia"/>
          <w:szCs w:val="21"/>
          <w:lang w:eastAsia="zh-CN"/>
        </w:rPr>
        <w:t>浙江国际海运职业技术学院2025年中文原版图书采购与服务供应项目</w:t>
      </w:r>
      <w:r>
        <w:rPr>
          <w:rFonts w:hint="eastAsia"/>
          <w:szCs w:val="21"/>
        </w:rPr>
        <w:t>进行公开招标，欢迎符合资质要求并能提供相关服务的供应商参加投标。</w:t>
      </w:r>
    </w:p>
    <w:p w14:paraId="76AFA4B4">
      <w:pPr>
        <w:widowControl/>
        <w:spacing w:line="360" w:lineRule="auto"/>
        <w:jc w:val="left"/>
        <w:rPr>
          <w:rFonts w:hint="eastAsia" w:eastAsia="宋体"/>
          <w:b/>
          <w:bCs/>
          <w:szCs w:val="21"/>
          <w:lang w:eastAsia="zh-CN"/>
        </w:rPr>
      </w:pPr>
      <w:r>
        <w:rPr>
          <w:rFonts w:hint="eastAsia"/>
          <w:b/>
          <w:bCs/>
          <w:szCs w:val="21"/>
        </w:rPr>
        <w:t>一、项目名称：</w:t>
      </w:r>
      <w:r>
        <w:rPr>
          <w:rFonts w:hint="eastAsia"/>
          <w:szCs w:val="21"/>
          <w:lang w:eastAsia="zh-CN"/>
        </w:rPr>
        <w:t xml:space="preserve">浙江国际海运职业技术学院2025年中文原版图书采购与服务供应项目 </w:t>
      </w:r>
    </w:p>
    <w:p w14:paraId="4B4E7EE8">
      <w:pPr>
        <w:widowControl/>
        <w:spacing w:line="360" w:lineRule="auto"/>
        <w:jc w:val="left"/>
        <w:rPr>
          <w:rFonts w:hint="eastAsia" w:eastAsia="宋体"/>
          <w:b/>
          <w:bCs/>
          <w:sz w:val="28"/>
          <w:szCs w:val="28"/>
          <w:lang w:eastAsia="zh-CN"/>
        </w:rPr>
      </w:pPr>
      <w:r>
        <w:rPr>
          <w:rFonts w:hint="eastAsia"/>
          <w:b/>
          <w:bCs/>
          <w:szCs w:val="21"/>
        </w:rPr>
        <w:t>二、项目编号：</w:t>
      </w:r>
      <w:r>
        <w:rPr>
          <w:rFonts w:hint="eastAsia"/>
          <w:kern w:val="0"/>
          <w:szCs w:val="21"/>
          <w:shd w:val="clear" w:color="auto" w:fill="FFFFFF"/>
          <w:lang w:eastAsia="zh-CN"/>
        </w:rPr>
        <w:t>SZGXZS2025111Ⅱ</w:t>
      </w:r>
    </w:p>
    <w:p w14:paraId="1D676B51">
      <w:pPr>
        <w:widowControl/>
        <w:spacing w:line="360" w:lineRule="auto"/>
        <w:rPr>
          <w:kern w:val="0"/>
          <w:szCs w:val="21"/>
          <w:shd w:val="clear" w:color="auto" w:fill="FFFFFF"/>
        </w:rPr>
      </w:pPr>
      <w:r>
        <w:rPr>
          <w:rFonts w:hint="eastAsia"/>
          <w:b/>
          <w:bCs/>
          <w:kern w:val="0"/>
          <w:szCs w:val="21"/>
        </w:rPr>
        <w:t>三、采购组织类型：</w:t>
      </w:r>
      <w:r>
        <w:rPr>
          <w:rFonts w:hint="eastAsia"/>
          <w:kern w:val="0"/>
          <w:szCs w:val="21"/>
          <w:shd w:val="clear" w:color="auto" w:fill="FFFFFF"/>
        </w:rPr>
        <w:t>分散采购委托代理</w:t>
      </w:r>
    </w:p>
    <w:p w14:paraId="238CBE85">
      <w:pPr>
        <w:widowControl/>
        <w:spacing w:line="360" w:lineRule="auto"/>
        <w:rPr>
          <w:rFonts w:hint="eastAsia" w:ascii="等线" w:hAnsi="等线"/>
        </w:rPr>
      </w:pPr>
      <w:r>
        <w:rPr>
          <w:rFonts w:hint="eastAsia"/>
          <w:kern w:val="0"/>
          <w:szCs w:val="21"/>
          <w:shd w:val="clear" w:color="auto" w:fill="FFFFFF"/>
        </w:rPr>
        <w:t>四、</w:t>
      </w:r>
      <w:r>
        <w:rPr>
          <w:rFonts w:hint="eastAsia"/>
          <w:b/>
          <w:bCs/>
          <w:kern w:val="0"/>
          <w:szCs w:val="21"/>
        </w:rPr>
        <w:t>招标项目概况（内容、用途、数量、简要技术要求等）</w:t>
      </w:r>
      <w:r>
        <w:rPr>
          <w:b/>
          <w:bCs/>
          <w:kern w:val="0"/>
          <w:szCs w:val="21"/>
        </w:rPr>
        <w:t>:</w:t>
      </w:r>
    </w:p>
    <w:tbl>
      <w:tblPr>
        <w:tblStyle w:val="62"/>
        <w:tblpPr w:leftFromText="180" w:rightFromText="180" w:vertAnchor="text" w:horzAnchor="page" w:tblpXSpec="center" w:tblpY="207"/>
        <w:tblOverlap w:val="never"/>
        <w:tblW w:w="90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5937"/>
        <w:gridCol w:w="1850"/>
        <w:gridCol w:w="648"/>
      </w:tblGrid>
      <w:tr w14:paraId="6C280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6975C1B7">
            <w:pPr>
              <w:widowControl/>
              <w:spacing w:line="360" w:lineRule="auto"/>
              <w:jc w:val="center"/>
              <w:rPr>
                <w:kern w:val="0"/>
                <w:szCs w:val="21"/>
              </w:rPr>
            </w:pPr>
            <w:r>
              <w:rPr>
                <w:rFonts w:hint="eastAsia"/>
                <w:kern w:val="0"/>
                <w:szCs w:val="21"/>
              </w:rPr>
              <w:t>序号</w:t>
            </w:r>
          </w:p>
        </w:tc>
        <w:tc>
          <w:tcPr>
            <w:tcW w:w="5937" w:type="dxa"/>
            <w:tcBorders>
              <w:top w:val="single" w:color="000000" w:sz="4" w:space="0"/>
              <w:left w:val="single" w:color="000000" w:sz="4" w:space="0"/>
              <w:bottom w:val="single" w:color="000000" w:sz="4" w:space="0"/>
              <w:right w:val="single" w:color="000000" w:sz="4" w:space="0"/>
            </w:tcBorders>
            <w:vAlign w:val="center"/>
          </w:tcPr>
          <w:p w14:paraId="65957BAB">
            <w:pPr>
              <w:widowControl/>
              <w:spacing w:line="360" w:lineRule="auto"/>
              <w:ind w:firstLine="1680" w:firstLineChars="800"/>
              <w:jc w:val="left"/>
              <w:rPr>
                <w:kern w:val="0"/>
                <w:szCs w:val="21"/>
              </w:rPr>
            </w:pPr>
            <w:r>
              <w:rPr>
                <w:rFonts w:hint="eastAsia"/>
                <w:kern w:val="0"/>
                <w:szCs w:val="21"/>
              </w:rPr>
              <w:t>项目名称及内容</w:t>
            </w:r>
          </w:p>
        </w:tc>
        <w:tc>
          <w:tcPr>
            <w:tcW w:w="1850" w:type="dxa"/>
            <w:tcBorders>
              <w:top w:val="single" w:color="000000" w:sz="4" w:space="0"/>
              <w:left w:val="single" w:color="000000" w:sz="4" w:space="0"/>
              <w:bottom w:val="single" w:color="000000" w:sz="4" w:space="0"/>
              <w:right w:val="single" w:color="000000" w:sz="4" w:space="0"/>
            </w:tcBorders>
            <w:vAlign w:val="center"/>
          </w:tcPr>
          <w:p w14:paraId="32B6486E">
            <w:pPr>
              <w:widowControl/>
              <w:spacing w:line="360" w:lineRule="auto"/>
              <w:jc w:val="center"/>
              <w:rPr>
                <w:kern w:val="0"/>
                <w:szCs w:val="21"/>
              </w:rPr>
            </w:pPr>
            <w:r>
              <w:rPr>
                <w:rFonts w:hint="eastAsia"/>
                <w:kern w:val="0"/>
                <w:szCs w:val="21"/>
              </w:rPr>
              <w:t>预算金额（万元）</w:t>
            </w:r>
          </w:p>
        </w:tc>
        <w:tc>
          <w:tcPr>
            <w:tcW w:w="648" w:type="dxa"/>
            <w:tcBorders>
              <w:top w:val="single" w:color="000000" w:sz="4" w:space="0"/>
              <w:left w:val="single" w:color="000000" w:sz="4" w:space="0"/>
              <w:bottom w:val="single" w:color="000000" w:sz="4" w:space="0"/>
              <w:right w:val="single" w:color="000000" w:sz="4" w:space="0"/>
            </w:tcBorders>
            <w:vAlign w:val="center"/>
          </w:tcPr>
          <w:p w14:paraId="160580BA">
            <w:pPr>
              <w:widowControl/>
              <w:spacing w:line="360" w:lineRule="auto"/>
              <w:jc w:val="left"/>
              <w:rPr>
                <w:kern w:val="0"/>
                <w:szCs w:val="21"/>
              </w:rPr>
            </w:pPr>
            <w:r>
              <w:rPr>
                <w:rFonts w:hint="eastAsia"/>
                <w:kern w:val="0"/>
                <w:szCs w:val="21"/>
              </w:rPr>
              <w:t>备注</w:t>
            </w:r>
          </w:p>
        </w:tc>
      </w:tr>
      <w:tr w14:paraId="403D2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57B1CD91">
            <w:pPr>
              <w:widowControl/>
              <w:spacing w:line="360" w:lineRule="auto"/>
              <w:jc w:val="center"/>
              <w:rPr>
                <w:kern w:val="0"/>
                <w:szCs w:val="21"/>
              </w:rPr>
            </w:pPr>
            <w:r>
              <w:rPr>
                <w:rFonts w:hint="eastAsia"/>
                <w:kern w:val="0"/>
                <w:szCs w:val="21"/>
              </w:rPr>
              <w:t>1</w:t>
            </w:r>
          </w:p>
        </w:tc>
        <w:tc>
          <w:tcPr>
            <w:tcW w:w="5937" w:type="dxa"/>
            <w:tcBorders>
              <w:top w:val="single" w:color="000000" w:sz="4" w:space="0"/>
              <w:left w:val="single" w:color="000000" w:sz="4" w:space="0"/>
              <w:bottom w:val="single" w:color="000000" w:sz="4" w:space="0"/>
              <w:right w:val="single" w:color="000000" w:sz="4" w:space="0"/>
            </w:tcBorders>
            <w:vAlign w:val="center"/>
          </w:tcPr>
          <w:p w14:paraId="5B28108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kern w:val="0"/>
                <w:szCs w:val="21"/>
                <w:lang w:eastAsia="zh-CN"/>
              </w:rPr>
            </w:pPr>
            <w:r>
              <w:rPr>
                <w:rFonts w:hint="eastAsia"/>
                <w:kern w:val="0"/>
                <w:szCs w:val="21"/>
                <w:lang w:eastAsia="zh-CN"/>
              </w:rPr>
              <w:t xml:space="preserve">浙江国际海运职业技术学院2025年中文原版图书采购与服务供应项目 </w:t>
            </w:r>
          </w:p>
        </w:tc>
        <w:tc>
          <w:tcPr>
            <w:tcW w:w="1850" w:type="dxa"/>
            <w:tcBorders>
              <w:top w:val="single" w:color="000000" w:sz="4" w:space="0"/>
              <w:left w:val="single" w:color="000000" w:sz="4" w:space="0"/>
              <w:bottom w:val="single" w:color="000000" w:sz="4" w:space="0"/>
              <w:right w:val="single" w:color="000000" w:sz="4" w:space="0"/>
            </w:tcBorders>
            <w:vAlign w:val="center"/>
          </w:tcPr>
          <w:p w14:paraId="2B0E4D74">
            <w:pPr>
              <w:widowControl/>
              <w:spacing w:line="360" w:lineRule="auto"/>
              <w:jc w:val="center"/>
              <w:rPr>
                <w:rFonts w:hint="default" w:eastAsia="宋体"/>
                <w:kern w:val="0"/>
                <w:szCs w:val="21"/>
                <w:lang w:val="en-US" w:eastAsia="zh-CN"/>
              </w:rPr>
            </w:pPr>
            <w:r>
              <w:rPr>
                <w:rFonts w:hint="eastAsia"/>
                <w:kern w:val="0"/>
                <w:szCs w:val="21"/>
                <w:lang w:val="en-US" w:eastAsia="zh-CN"/>
              </w:rPr>
              <w:t>58</w:t>
            </w:r>
          </w:p>
        </w:tc>
        <w:tc>
          <w:tcPr>
            <w:tcW w:w="648" w:type="dxa"/>
            <w:tcBorders>
              <w:top w:val="single" w:color="000000" w:sz="4" w:space="0"/>
              <w:left w:val="single" w:color="000000" w:sz="4" w:space="0"/>
              <w:bottom w:val="single" w:color="000000" w:sz="4" w:space="0"/>
              <w:right w:val="single" w:color="000000" w:sz="4" w:space="0"/>
            </w:tcBorders>
            <w:vAlign w:val="center"/>
          </w:tcPr>
          <w:p w14:paraId="5EBE2924">
            <w:pPr>
              <w:widowControl/>
              <w:spacing w:line="360" w:lineRule="auto"/>
              <w:jc w:val="left"/>
              <w:rPr>
                <w:kern w:val="0"/>
                <w:szCs w:val="21"/>
              </w:rPr>
            </w:pPr>
          </w:p>
        </w:tc>
      </w:tr>
    </w:tbl>
    <w:p w14:paraId="05191A3A">
      <w:pPr>
        <w:widowControl/>
        <w:spacing w:line="360" w:lineRule="auto"/>
        <w:jc w:val="left"/>
        <w:rPr>
          <w:szCs w:val="21"/>
        </w:rPr>
      </w:pPr>
    </w:p>
    <w:p w14:paraId="2F0FDC77">
      <w:pPr>
        <w:widowControl/>
        <w:spacing w:line="360" w:lineRule="auto"/>
        <w:rPr>
          <w:kern w:val="0"/>
          <w:szCs w:val="21"/>
        </w:rPr>
      </w:pPr>
      <w:r>
        <w:rPr>
          <w:rFonts w:hint="eastAsia"/>
          <w:b/>
          <w:bCs/>
          <w:kern w:val="0"/>
          <w:szCs w:val="21"/>
        </w:rPr>
        <w:t>五、投标供应商资格要求</w:t>
      </w:r>
      <w:r>
        <w:rPr>
          <w:b/>
          <w:bCs/>
          <w:kern w:val="0"/>
          <w:szCs w:val="21"/>
        </w:rPr>
        <w:t>:</w:t>
      </w:r>
    </w:p>
    <w:p w14:paraId="0E89A051">
      <w:pPr>
        <w:widowControl/>
        <w:shd w:val="clear" w:color="auto" w:fill="FFFFFF"/>
        <w:spacing w:line="360" w:lineRule="auto"/>
        <w:ind w:firstLine="420" w:firstLineChars="200"/>
        <w:jc w:val="left"/>
        <w:rPr>
          <w:color w:val="auto"/>
          <w:kern w:val="0"/>
          <w:szCs w:val="21"/>
        </w:rPr>
      </w:pPr>
      <w:r>
        <w:rPr>
          <w:kern w:val="0"/>
          <w:szCs w:val="21"/>
        </w:rPr>
        <w:t>1.</w:t>
      </w:r>
      <w:r>
        <w:rPr>
          <w:rFonts w:hint="eastAsia" w:ascii="宋体" w:hAnsi="宋体" w:cs="宋体"/>
          <w:kern w:val="0"/>
          <w:szCs w:val="21"/>
        </w:rPr>
        <w:t>①</w:t>
      </w:r>
      <w:r>
        <w:rPr>
          <w:rFonts w:hint="eastAsia"/>
          <w:kern w:val="0"/>
          <w:szCs w:val="21"/>
        </w:rPr>
        <w:t>具有独立承担民事责任的能力；</w:t>
      </w:r>
      <w:r>
        <w:rPr>
          <w:rFonts w:hint="eastAsia" w:ascii="宋体" w:hAnsi="宋体" w:cs="宋体"/>
          <w:kern w:val="0"/>
          <w:szCs w:val="21"/>
        </w:rPr>
        <w:t>②</w:t>
      </w:r>
      <w:r>
        <w:rPr>
          <w:rFonts w:hint="eastAsia"/>
          <w:kern w:val="0"/>
          <w:szCs w:val="21"/>
        </w:rPr>
        <w:t>具有良好的商业信誉和健全的财务会计制度；</w:t>
      </w:r>
      <w:r>
        <w:rPr>
          <w:rFonts w:hint="eastAsia" w:ascii="宋体" w:hAnsi="宋体" w:cs="宋体"/>
          <w:kern w:val="0"/>
          <w:szCs w:val="21"/>
        </w:rPr>
        <w:t>③</w:t>
      </w:r>
      <w:r>
        <w:rPr>
          <w:rFonts w:hint="eastAsia"/>
          <w:kern w:val="0"/>
          <w:szCs w:val="21"/>
        </w:rPr>
        <w:t>具有履行合同所必需的设备和专业技术能力；</w:t>
      </w:r>
      <w:r>
        <w:rPr>
          <w:rFonts w:hint="eastAsia" w:ascii="宋体" w:hAnsi="宋体" w:cs="宋体"/>
          <w:kern w:val="0"/>
          <w:szCs w:val="21"/>
        </w:rPr>
        <w:t>④</w:t>
      </w:r>
      <w:r>
        <w:rPr>
          <w:rFonts w:hint="eastAsia"/>
          <w:kern w:val="0"/>
          <w:szCs w:val="21"/>
        </w:rPr>
        <w:t>参加政府采购活动前三年内，无依法缴纳税收和社会保障资金的不良记录；</w:t>
      </w:r>
      <w:r>
        <w:rPr>
          <w:rFonts w:hint="eastAsia" w:ascii="宋体" w:hAnsi="宋体" w:cs="宋体"/>
          <w:kern w:val="0"/>
          <w:szCs w:val="21"/>
        </w:rPr>
        <w:t>⑤</w:t>
      </w:r>
      <w:r>
        <w:rPr>
          <w:rFonts w:hint="eastAsia"/>
          <w:kern w:val="0"/>
          <w:szCs w:val="21"/>
        </w:rPr>
        <w:t>参加政府采购活动前三年内，在经营活动中没有重大违法记录；</w:t>
      </w:r>
      <w:r>
        <w:rPr>
          <w:rFonts w:hint="eastAsia" w:ascii="宋体" w:hAnsi="宋体" w:cs="宋体"/>
          <w:kern w:val="0"/>
          <w:szCs w:val="21"/>
        </w:rPr>
        <w:t>⑥</w:t>
      </w:r>
      <w:r>
        <w:rPr>
          <w:rFonts w:hint="eastAsia"/>
          <w:kern w:val="0"/>
          <w:szCs w:val="21"/>
        </w:rPr>
        <w:t>法律、</w:t>
      </w:r>
      <w:r>
        <w:rPr>
          <w:rFonts w:hint="eastAsia"/>
          <w:color w:val="auto"/>
          <w:kern w:val="0"/>
          <w:szCs w:val="21"/>
        </w:rPr>
        <w:t>行政法规规定的其他条件。</w:t>
      </w:r>
    </w:p>
    <w:p w14:paraId="50D80A28">
      <w:pPr>
        <w:widowControl/>
        <w:shd w:val="clear" w:color="auto" w:fill="FFFFFF"/>
        <w:spacing w:line="360" w:lineRule="auto"/>
        <w:ind w:firstLine="420" w:firstLineChars="200"/>
        <w:jc w:val="left"/>
        <w:rPr>
          <w:color w:val="auto"/>
          <w:kern w:val="0"/>
          <w:szCs w:val="21"/>
        </w:rPr>
      </w:pPr>
      <w:r>
        <w:rPr>
          <w:color w:val="auto"/>
          <w:kern w:val="0"/>
          <w:szCs w:val="21"/>
        </w:rPr>
        <w:t>2.</w:t>
      </w:r>
      <w:r>
        <w:rPr>
          <w:rFonts w:hint="eastAsia"/>
          <w:color w:val="auto"/>
          <w:kern w:val="0"/>
          <w:szCs w:val="21"/>
        </w:rPr>
        <w:t>未被</w:t>
      </w:r>
      <w:r>
        <w:rPr>
          <w:color w:val="auto"/>
          <w:kern w:val="0"/>
          <w:szCs w:val="21"/>
        </w:rPr>
        <w:t>“</w:t>
      </w:r>
      <w:r>
        <w:rPr>
          <w:rFonts w:hint="eastAsia"/>
          <w:color w:val="auto"/>
          <w:kern w:val="0"/>
          <w:szCs w:val="21"/>
        </w:rPr>
        <w:t>信用中国</w:t>
      </w:r>
      <w:r>
        <w:rPr>
          <w:color w:val="auto"/>
          <w:kern w:val="0"/>
          <w:szCs w:val="21"/>
        </w:rPr>
        <w:t>”</w:t>
      </w:r>
      <w:r>
        <w:rPr>
          <w:rFonts w:hint="eastAsia"/>
          <w:color w:val="auto"/>
          <w:kern w:val="0"/>
          <w:szCs w:val="21"/>
        </w:rPr>
        <w:t>（</w:t>
      </w:r>
      <w:r>
        <w:rPr>
          <w:color w:val="auto"/>
          <w:kern w:val="0"/>
          <w:szCs w:val="21"/>
        </w:rPr>
        <w:t>www.creditchina.gov.cn</w:t>
      </w:r>
      <w:r>
        <w:rPr>
          <w:rFonts w:hint="eastAsia"/>
          <w:color w:val="auto"/>
          <w:kern w:val="0"/>
          <w:szCs w:val="21"/>
        </w:rPr>
        <w:t>）、中国政府采购网（</w:t>
      </w:r>
      <w:r>
        <w:rPr>
          <w:color w:val="auto"/>
          <w:kern w:val="0"/>
          <w:szCs w:val="21"/>
        </w:rPr>
        <w:t>www.ccgp.gov.cn</w:t>
      </w:r>
      <w:r>
        <w:rPr>
          <w:rFonts w:hint="eastAsia"/>
          <w:color w:val="auto"/>
          <w:kern w:val="0"/>
          <w:szCs w:val="21"/>
        </w:rPr>
        <w:t>）列入失信被执行人、重大税收违法案件当事人名单、政府采购严重违法失信行为记录名单。</w:t>
      </w:r>
    </w:p>
    <w:p w14:paraId="0B0A8C5B">
      <w:pPr>
        <w:widowControl/>
        <w:shd w:val="clear" w:color="auto" w:fill="FFFFFF"/>
        <w:spacing w:line="360" w:lineRule="auto"/>
        <w:ind w:firstLine="420" w:firstLineChars="200"/>
        <w:jc w:val="left"/>
        <w:rPr>
          <w:b/>
          <w:bCs/>
          <w:color w:val="auto"/>
          <w:kern w:val="0"/>
          <w:szCs w:val="21"/>
        </w:rPr>
      </w:pPr>
      <w:r>
        <w:rPr>
          <w:rFonts w:hint="eastAsia"/>
          <w:color w:val="auto"/>
          <w:kern w:val="0"/>
          <w:szCs w:val="21"/>
        </w:rPr>
        <w:t>3.</w:t>
      </w:r>
      <w:r>
        <w:rPr>
          <w:rFonts w:hint="eastAsia"/>
          <w:b/>
          <w:bCs/>
          <w:color w:val="auto"/>
          <w:kern w:val="0"/>
          <w:szCs w:val="21"/>
        </w:rPr>
        <w:t>本项目</w:t>
      </w:r>
      <w:r>
        <w:rPr>
          <w:rFonts w:hint="eastAsia"/>
          <w:b/>
          <w:bCs/>
          <w:color w:val="auto"/>
          <w:kern w:val="0"/>
          <w:szCs w:val="21"/>
          <w:lang w:val="en-US" w:eastAsia="zh-CN"/>
        </w:rPr>
        <w:t>不</w:t>
      </w:r>
      <w:r>
        <w:rPr>
          <w:rFonts w:hint="eastAsia"/>
          <w:b/>
          <w:bCs/>
          <w:color w:val="auto"/>
          <w:kern w:val="0"/>
          <w:szCs w:val="21"/>
        </w:rPr>
        <w:t>专门面向中小企业。</w:t>
      </w:r>
      <w:r>
        <w:rPr>
          <w:rFonts w:hint="eastAsia"/>
          <w:b w:val="0"/>
          <w:bCs w:val="0"/>
          <w:color w:val="auto"/>
          <w:kern w:val="0"/>
          <w:szCs w:val="21"/>
        </w:rPr>
        <w:t>本</w:t>
      </w:r>
      <w:r>
        <w:rPr>
          <w:rFonts w:hint="eastAsia"/>
          <w:color w:val="auto"/>
          <w:kern w:val="0"/>
          <w:szCs w:val="21"/>
        </w:rPr>
        <w:t>项目对应的中小企业划分标准所属行业：</w:t>
      </w:r>
      <w:r>
        <w:rPr>
          <w:rFonts w:hint="eastAsia"/>
          <w:b/>
          <w:bCs/>
          <w:color w:val="auto"/>
          <w:kern w:val="0"/>
          <w:szCs w:val="21"/>
          <w:lang w:eastAsia="zh-CN"/>
        </w:rPr>
        <w:t>批发业</w:t>
      </w:r>
      <w:r>
        <w:rPr>
          <w:rFonts w:hint="eastAsia"/>
          <w:b/>
          <w:bCs/>
          <w:color w:val="auto"/>
          <w:kern w:val="0"/>
          <w:szCs w:val="21"/>
        </w:rPr>
        <w:t>。</w:t>
      </w:r>
    </w:p>
    <w:p w14:paraId="2EB74126">
      <w:pPr>
        <w:widowControl/>
        <w:shd w:val="clear" w:color="auto" w:fill="FFFFFF"/>
        <w:spacing w:line="360" w:lineRule="auto"/>
        <w:jc w:val="left"/>
        <w:rPr>
          <w:color w:val="auto"/>
          <w:kern w:val="0"/>
          <w:szCs w:val="21"/>
        </w:rPr>
      </w:pPr>
      <w:r>
        <w:rPr>
          <w:rFonts w:hint="eastAsia"/>
          <w:b/>
          <w:bCs/>
          <w:color w:val="auto"/>
          <w:kern w:val="0"/>
          <w:szCs w:val="21"/>
        </w:rPr>
        <w:t>六、</w:t>
      </w:r>
      <w:r>
        <w:rPr>
          <w:rFonts w:hint="eastAsia"/>
          <w:b/>
          <w:color w:val="auto"/>
          <w:kern w:val="0"/>
          <w:szCs w:val="21"/>
        </w:rPr>
        <w:t>公告期限：</w:t>
      </w:r>
      <w:r>
        <w:rPr>
          <w:rFonts w:hint="eastAsia"/>
          <w:b/>
          <w:color w:val="auto"/>
          <w:kern w:val="0"/>
          <w:szCs w:val="21"/>
          <w:u w:val="single"/>
        </w:rPr>
        <w:t>自公告发布之日起</w:t>
      </w:r>
      <w:r>
        <w:rPr>
          <w:b/>
          <w:color w:val="auto"/>
          <w:kern w:val="0"/>
          <w:szCs w:val="21"/>
          <w:u w:val="single"/>
        </w:rPr>
        <w:t>5</w:t>
      </w:r>
      <w:r>
        <w:rPr>
          <w:rFonts w:hint="eastAsia"/>
          <w:b/>
          <w:color w:val="auto"/>
          <w:kern w:val="0"/>
          <w:szCs w:val="21"/>
          <w:u w:val="single"/>
        </w:rPr>
        <w:t>个工作日</w:t>
      </w:r>
    </w:p>
    <w:p w14:paraId="474B0A39">
      <w:pPr>
        <w:snapToGrid w:val="0"/>
        <w:spacing w:line="360" w:lineRule="auto"/>
        <w:rPr>
          <w:szCs w:val="21"/>
        </w:rPr>
      </w:pPr>
      <w:r>
        <w:rPr>
          <w:rFonts w:hint="eastAsia"/>
          <w:b/>
          <w:bCs/>
          <w:szCs w:val="21"/>
        </w:rPr>
        <w:t>七、注册及采购文件的获取</w:t>
      </w:r>
      <w:r>
        <w:rPr>
          <w:rFonts w:hint="eastAsia"/>
          <w:szCs w:val="21"/>
        </w:rPr>
        <w:t>：</w:t>
      </w:r>
    </w:p>
    <w:p w14:paraId="24D4081F">
      <w:pPr>
        <w:widowControl/>
        <w:shd w:val="clear" w:color="auto" w:fill="FFFFFF"/>
        <w:spacing w:line="360" w:lineRule="auto"/>
        <w:ind w:firstLine="417" w:firstLineChars="198"/>
        <w:jc w:val="left"/>
        <w:rPr>
          <w:b/>
          <w:bCs/>
          <w:kern w:val="0"/>
          <w:szCs w:val="21"/>
          <w:shd w:val="clear" w:color="auto" w:fill="FFFFFF"/>
        </w:rPr>
      </w:pPr>
      <w:r>
        <w:rPr>
          <w:b/>
          <w:bCs/>
          <w:kern w:val="0"/>
          <w:szCs w:val="21"/>
          <w:shd w:val="clear" w:color="auto" w:fill="FFFFFF"/>
        </w:rPr>
        <w:t>1.</w:t>
      </w:r>
      <w:r>
        <w:rPr>
          <w:rFonts w:hint="eastAsia"/>
          <w:b/>
          <w:bCs/>
          <w:kern w:val="0"/>
          <w:szCs w:val="21"/>
          <w:shd w:val="clear" w:color="auto" w:fill="FFFFFF"/>
        </w:rPr>
        <w:t>本项目只实行网上获取采购文件。</w:t>
      </w:r>
    </w:p>
    <w:p w14:paraId="754857D0">
      <w:pPr>
        <w:widowControl/>
        <w:shd w:val="clear" w:color="auto" w:fill="FFFFFF"/>
        <w:spacing w:line="360" w:lineRule="auto"/>
        <w:ind w:firstLine="417" w:firstLineChars="198"/>
        <w:jc w:val="left"/>
        <w:rPr>
          <w:b/>
          <w:bCs/>
          <w:kern w:val="0"/>
          <w:szCs w:val="21"/>
          <w:shd w:val="clear" w:color="auto" w:fill="FFFFFF"/>
        </w:rPr>
      </w:pPr>
      <w:r>
        <w:rPr>
          <w:b/>
          <w:bCs/>
          <w:kern w:val="0"/>
          <w:szCs w:val="21"/>
          <w:shd w:val="clear" w:color="auto" w:fill="FFFFFF"/>
        </w:rPr>
        <w:t>2.</w:t>
      </w:r>
      <w:r>
        <w:rPr>
          <w:rFonts w:hint="eastAsia"/>
          <w:b/>
          <w:bCs/>
          <w:kern w:val="0"/>
          <w:szCs w:val="21"/>
          <w:shd w:val="clear" w:color="auto" w:fill="FFFFFF"/>
        </w:rPr>
        <w:t>获取采购文件网址</w:t>
      </w:r>
      <w:r>
        <w:rPr>
          <w:rFonts w:hint="eastAsia"/>
          <w:kern w:val="0"/>
          <w:szCs w:val="21"/>
          <w:shd w:val="clear" w:color="auto" w:fill="FFFFFF"/>
        </w:rPr>
        <w:t>：浙江政府采购网</w:t>
      </w:r>
      <w:r>
        <w:fldChar w:fldCharType="begin"/>
      </w:r>
      <w:r>
        <w:instrText xml:space="preserve"> HYPERLINK "http://www.zjzfcg.gov.cn" </w:instrText>
      </w:r>
      <w:r>
        <w:fldChar w:fldCharType="separate"/>
      </w:r>
      <w:r>
        <w:rPr>
          <w:kern w:val="0"/>
          <w:szCs w:val="21"/>
          <w:u w:val="single"/>
          <w:shd w:val="clear" w:color="auto" w:fill="FFFFFF"/>
        </w:rPr>
        <w:t>www.zjzfcg.gov.cn</w:t>
      </w:r>
      <w:r>
        <w:rPr>
          <w:kern w:val="0"/>
          <w:szCs w:val="21"/>
          <w:u w:val="single"/>
          <w:shd w:val="clear" w:color="auto" w:fill="FFFFFF"/>
        </w:rPr>
        <w:fldChar w:fldCharType="end"/>
      </w:r>
      <w:r>
        <w:rPr>
          <w:rFonts w:hint="eastAsia"/>
          <w:kern w:val="0"/>
          <w:szCs w:val="21"/>
          <w:shd w:val="clear" w:color="auto" w:fill="FFFFFF"/>
        </w:rPr>
        <w:t>（用</w:t>
      </w:r>
      <w:r>
        <w:rPr>
          <w:kern w:val="0"/>
          <w:szCs w:val="21"/>
          <w:shd w:val="clear" w:color="auto" w:fill="FFFFFF"/>
        </w:rPr>
        <w:t>“</w:t>
      </w:r>
      <w:r>
        <w:rPr>
          <w:rFonts w:hint="eastAsia"/>
          <w:kern w:val="0"/>
          <w:szCs w:val="21"/>
          <w:shd w:val="clear" w:color="auto" w:fill="FFFFFF"/>
        </w:rPr>
        <w:t>政采云</w:t>
      </w:r>
      <w:r>
        <w:rPr>
          <w:kern w:val="0"/>
          <w:szCs w:val="21"/>
          <w:shd w:val="clear" w:color="auto" w:fill="FFFFFF"/>
        </w:rPr>
        <w:t>”</w:t>
      </w:r>
      <w:r>
        <w:rPr>
          <w:rFonts w:hint="eastAsia"/>
          <w:kern w:val="0"/>
          <w:szCs w:val="21"/>
          <w:shd w:val="clear" w:color="auto" w:fill="FFFFFF"/>
        </w:rPr>
        <w:t>注册账号、密码登录系统后获取采购文件）</w:t>
      </w:r>
    </w:p>
    <w:p w14:paraId="735DBC7F">
      <w:pPr>
        <w:widowControl/>
        <w:shd w:val="clear" w:color="auto" w:fill="FFFFFF"/>
        <w:spacing w:line="360" w:lineRule="auto"/>
        <w:ind w:left="416" w:leftChars="198"/>
        <w:jc w:val="left"/>
        <w:rPr>
          <w:b/>
          <w:bCs/>
          <w:kern w:val="0"/>
          <w:szCs w:val="21"/>
          <w:shd w:val="clear" w:color="auto" w:fill="FFFFFF"/>
        </w:rPr>
      </w:pPr>
      <w:r>
        <w:rPr>
          <w:b/>
          <w:bCs/>
          <w:kern w:val="0"/>
          <w:szCs w:val="21"/>
          <w:shd w:val="clear" w:color="auto" w:fill="FFFFFF"/>
        </w:rPr>
        <w:t>3.</w:t>
      </w:r>
      <w:r>
        <w:rPr>
          <w:rFonts w:hint="eastAsia"/>
          <w:b/>
          <w:bCs/>
          <w:kern w:val="0"/>
          <w:szCs w:val="21"/>
          <w:shd w:val="clear" w:color="auto" w:fill="FFFFFF"/>
        </w:rPr>
        <w:t>免费注册网址：浙江政府采购网（供应商注册页面）：</w:t>
      </w:r>
    </w:p>
    <w:p w14:paraId="6E1550BD">
      <w:pPr>
        <w:widowControl/>
        <w:shd w:val="clear" w:color="auto" w:fill="FFFFFF"/>
        <w:spacing w:line="360" w:lineRule="auto"/>
        <w:jc w:val="left"/>
        <w:rPr>
          <w:kern w:val="0"/>
          <w:szCs w:val="21"/>
          <w:shd w:val="clear" w:color="auto" w:fill="FFFFFF"/>
        </w:rPr>
      </w:pPr>
      <w:r>
        <w:rPr>
          <w:kern w:val="0"/>
          <w:szCs w:val="21"/>
          <w:u w:val="single"/>
          <w:shd w:val="clear" w:color="auto" w:fill="FFFFFF"/>
        </w:rPr>
        <w:t>https://middle.zcygov.cn/settle-front/#/registry</w:t>
      </w:r>
      <w:r>
        <w:rPr>
          <w:kern w:val="0"/>
          <w:szCs w:val="21"/>
          <w:shd w:val="clear" w:color="auto" w:fill="FFFFFF"/>
        </w:rPr>
        <w:t>“</w:t>
      </w:r>
      <w:r>
        <w:rPr>
          <w:rFonts w:hint="eastAsia"/>
          <w:kern w:val="0"/>
          <w:szCs w:val="21"/>
          <w:shd w:val="clear" w:color="auto" w:fill="FFFFFF"/>
        </w:rPr>
        <w:t>政采云</w:t>
      </w:r>
      <w:r>
        <w:rPr>
          <w:kern w:val="0"/>
          <w:szCs w:val="21"/>
          <w:shd w:val="clear" w:color="auto" w:fill="FFFFFF"/>
        </w:rPr>
        <w:t>”</w:t>
      </w:r>
      <w:r>
        <w:rPr>
          <w:rFonts w:hint="eastAsia"/>
          <w:kern w:val="0"/>
          <w:szCs w:val="21"/>
          <w:shd w:val="clear" w:color="auto" w:fill="FFFFFF"/>
        </w:rPr>
        <w:t>，咨询电话：</w:t>
      </w:r>
      <w:r>
        <w:rPr>
          <w:kern w:val="0"/>
          <w:szCs w:val="21"/>
          <w:shd w:val="clear" w:color="auto" w:fill="FFFFFF"/>
        </w:rPr>
        <w:t>95763</w:t>
      </w:r>
      <w:r>
        <w:rPr>
          <w:rFonts w:hint="eastAsia"/>
          <w:kern w:val="0"/>
          <w:szCs w:val="21"/>
          <w:shd w:val="clear" w:color="auto" w:fill="FFFFFF"/>
        </w:rPr>
        <w:t>。已经注册成功的供应商无需重复注册。</w:t>
      </w:r>
    </w:p>
    <w:p w14:paraId="42C7658F">
      <w:pPr>
        <w:widowControl/>
        <w:shd w:val="clear" w:color="auto" w:fill="FFFFFF"/>
        <w:spacing w:line="360" w:lineRule="auto"/>
        <w:ind w:firstLine="422" w:firstLineChars="200"/>
        <w:jc w:val="left"/>
        <w:rPr>
          <w:kern w:val="0"/>
          <w:szCs w:val="21"/>
          <w:shd w:val="clear" w:color="auto" w:fill="FFFFFF"/>
        </w:rPr>
      </w:pPr>
      <w:r>
        <w:rPr>
          <w:rFonts w:hint="eastAsia"/>
          <w:b/>
          <w:bCs/>
          <w:kern w:val="0"/>
          <w:szCs w:val="21"/>
          <w:shd w:val="clear" w:color="auto" w:fill="FFFFFF"/>
        </w:rPr>
        <w:t>4.获取采购文件时间：</w:t>
      </w:r>
      <w:r>
        <w:rPr>
          <w:rFonts w:hint="eastAsia"/>
          <w:kern w:val="0"/>
          <w:szCs w:val="21"/>
          <w:shd w:val="clear" w:color="auto" w:fill="FFFFFF"/>
        </w:rPr>
        <w:t>公告发布之日至投标截止时间</w:t>
      </w:r>
    </w:p>
    <w:p w14:paraId="76900560">
      <w:pPr>
        <w:widowControl/>
        <w:shd w:val="clear" w:color="auto" w:fill="FFFFFF"/>
        <w:spacing w:line="360" w:lineRule="auto"/>
        <w:jc w:val="left"/>
        <w:rPr>
          <w:b/>
          <w:bCs/>
          <w:szCs w:val="21"/>
        </w:rPr>
      </w:pPr>
      <w:r>
        <w:rPr>
          <w:rFonts w:hint="eastAsia"/>
          <w:b/>
          <w:bCs/>
          <w:szCs w:val="21"/>
        </w:rPr>
        <w:t>八、投标文件的制作及递交：</w:t>
      </w:r>
    </w:p>
    <w:p w14:paraId="0E2B1955">
      <w:pPr>
        <w:widowControl/>
        <w:shd w:val="clear" w:color="auto" w:fill="FFFFFF"/>
        <w:spacing w:line="360" w:lineRule="auto"/>
        <w:ind w:firstLine="420" w:firstLineChars="200"/>
        <w:jc w:val="left"/>
        <w:rPr>
          <w:kern w:val="0"/>
          <w:szCs w:val="21"/>
          <w:shd w:val="clear" w:color="auto" w:fill="FFFFFF"/>
        </w:rPr>
      </w:pPr>
      <w:r>
        <w:rPr>
          <w:kern w:val="0"/>
          <w:szCs w:val="21"/>
          <w:shd w:val="clear" w:color="auto" w:fill="FFFFFF"/>
        </w:rPr>
        <w:t>1.</w:t>
      </w:r>
      <w:r>
        <w:rPr>
          <w:rFonts w:hint="eastAsia"/>
          <w:kern w:val="0"/>
          <w:szCs w:val="21"/>
          <w:shd w:val="clear" w:color="auto" w:fill="FFFFFF"/>
        </w:rPr>
        <w:t>供应商须</w:t>
      </w:r>
      <w:r>
        <w:rPr>
          <w:rFonts w:hint="eastAsia"/>
          <w:b/>
          <w:bCs/>
          <w:kern w:val="0"/>
          <w:szCs w:val="21"/>
          <w:shd w:val="clear" w:color="auto" w:fill="FFFFFF"/>
        </w:rPr>
        <w:t>在线获取</w:t>
      </w:r>
      <w:r>
        <w:rPr>
          <w:b/>
          <w:bCs/>
          <w:kern w:val="0"/>
          <w:szCs w:val="21"/>
          <w:shd w:val="clear" w:color="auto" w:fill="FFFFFF"/>
        </w:rPr>
        <w:t>CA</w:t>
      </w:r>
      <w:r>
        <w:rPr>
          <w:rFonts w:hint="eastAsia"/>
          <w:b/>
          <w:bCs/>
          <w:kern w:val="0"/>
          <w:szCs w:val="21"/>
          <w:shd w:val="clear" w:color="auto" w:fill="FFFFFF"/>
        </w:rPr>
        <w:t>数字证书</w:t>
      </w:r>
      <w:r>
        <w:rPr>
          <w:rFonts w:hint="eastAsia"/>
          <w:kern w:val="0"/>
          <w:szCs w:val="21"/>
          <w:shd w:val="clear" w:color="auto" w:fill="FFFFFF"/>
        </w:rPr>
        <w:t>（完成</w:t>
      </w:r>
      <w:r>
        <w:rPr>
          <w:kern w:val="0"/>
          <w:szCs w:val="21"/>
          <w:shd w:val="clear" w:color="auto" w:fill="FFFFFF"/>
        </w:rPr>
        <w:t>CA</w:t>
      </w:r>
      <w:r>
        <w:rPr>
          <w:rFonts w:hint="eastAsia"/>
          <w:kern w:val="0"/>
          <w:szCs w:val="21"/>
          <w:shd w:val="clear" w:color="auto" w:fill="FFFFFF"/>
        </w:rPr>
        <w:t>数字证书办理预计一周左右，建议各投标人自行把握时间）</w:t>
      </w:r>
      <w:r>
        <w:rPr>
          <w:rFonts w:hint="eastAsia"/>
          <w:b/>
          <w:bCs/>
          <w:kern w:val="0"/>
          <w:szCs w:val="21"/>
          <w:shd w:val="clear" w:color="auto" w:fill="FFFFFF"/>
        </w:rPr>
        <w:t>，</w:t>
      </w:r>
      <w:r>
        <w:rPr>
          <w:rFonts w:hint="eastAsia"/>
          <w:kern w:val="0"/>
          <w:szCs w:val="21"/>
          <w:shd w:val="clear" w:color="auto" w:fill="FFFFFF"/>
        </w:rPr>
        <w:t>并登录</w:t>
      </w:r>
      <w:r>
        <w:rPr>
          <w:kern w:val="0"/>
          <w:szCs w:val="21"/>
          <w:shd w:val="clear" w:color="auto" w:fill="FFFFFF"/>
        </w:rPr>
        <w:t>“</w:t>
      </w:r>
      <w:r>
        <w:rPr>
          <w:rFonts w:hint="eastAsia"/>
          <w:kern w:val="0"/>
          <w:szCs w:val="21"/>
          <w:shd w:val="clear" w:color="auto" w:fill="FFFFFF"/>
        </w:rPr>
        <w:t>浙江政府采购网</w:t>
      </w:r>
      <w:r>
        <w:rPr>
          <w:kern w:val="0"/>
          <w:szCs w:val="21"/>
          <w:shd w:val="clear" w:color="auto" w:fill="FFFFFF"/>
        </w:rPr>
        <w:t>”</w:t>
      </w:r>
      <w:r>
        <w:rPr>
          <w:rFonts w:hint="eastAsia"/>
          <w:kern w:val="0"/>
          <w:szCs w:val="21"/>
          <w:shd w:val="clear" w:color="auto" w:fill="FFFFFF"/>
        </w:rPr>
        <w:t>（</w:t>
      </w:r>
      <w:r>
        <w:fldChar w:fldCharType="begin"/>
      </w:r>
      <w:r>
        <w:instrText xml:space="preserve"> HYPERLINK "http://www.zjzfcg.gov.cn" </w:instrText>
      </w:r>
      <w:r>
        <w:fldChar w:fldCharType="separate"/>
      </w:r>
      <w:r>
        <w:rPr>
          <w:kern w:val="0"/>
          <w:szCs w:val="21"/>
          <w:u w:val="single"/>
          <w:shd w:val="clear" w:color="auto" w:fill="FFFFFF"/>
        </w:rPr>
        <w:t>www.zjzfcg.gov.cn</w:t>
      </w:r>
      <w:r>
        <w:rPr>
          <w:kern w:val="0"/>
          <w:szCs w:val="21"/>
          <w:u w:val="single"/>
          <w:shd w:val="clear" w:color="auto" w:fill="FFFFFF"/>
        </w:rPr>
        <w:fldChar w:fldCharType="end"/>
      </w:r>
      <w:r>
        <w:rPr>
          <w:rFonts w:hint="eastAsia"/>
          <w:kern w:val="0"/>
          <w:szCs w:val="21"/>
          <w:shd w:val="clear" w:color="auto" w:fill="FFFFFF"/>
        </w:rPr>
        <w:t>），进入</w:t>
      </w:r>
      <w:r>
        <w:rPr>
          <w:kern w:val="0"/>
          <w:szCs w:val="21"/>
          <w:shd w:val="clear" w:color="auto" w:fill="FFFFFF"/>
        </w:rPr>
        <w:t>“</w:t>
      </w:r>
      <w:r>
        <w:rPr>
          <w:rFonts w:hint="eastAsia"/>
          <w:kern w:val="0"/>
          <w:szCs w:val="21"/>
          <w:shd w:val="clear" w:color="auto" w:fill="FFFFFF"/>
        </w:rPr>
        <w:t>下载专区</w:t>
      </w:r>
      <w:r>
        <w:rPr>
          <w:kern w:val="0"/>
          <w:szCs w:val="21"/>
          <w:shd w:val="clear" w:color="auto" w:fill="FFFFFF"/>
        </w:rPr>
        <w:t>”</w:t>
      </w:r>
      <w:r>
        <w:rPr>
          <w:rFonts w:hint="eastAsia"/>
          <w:kern w:val="0"/>
          <w:szCs w:val="21"/>
          <w:shd w:val="clear" w:color="auto" w:fill="FFFFFF"/>
        </w:rPr>
        <w:t>下载</w:t>
      </w:r>
      <w:r>
        <w:rPr>
          <w:kern w:val="0"/>
          <w:szCs w:val="21"/>
          <w:shd w:val="clear" w:color="auto" w:fill="FFFFFF"/>
        </w:rPr>
        <w:t>“</w:t>
      </w:r>
      <w:r>
        <w:rPr>
          <w:rFonts w:hint="eastAsia"/>
          <w:kern w:val="0"/>
          <w:szCs w:val="21"/>
          <w:shd w:val="clear" w:color="auto" w:fill="FFFFFF"/>
        </w:rPr>
        <w:t>电子交易客户端</w:t>
      </w:r>
      <w:r>
        <w:rPr>
          <w:kern w:val="0"/>
          <w:szCs w:val="21"/>
          <w:shd w:val="clear" w:color="auto" w:fill="FFFFFF"/>
        </w:rPr>
        <w:t>”</w:t>
      </w:r>
      <w:r>
        <w:rPr>
          <w:rFonts w:hint="eastAsia"/>
          <w:kern w:val="0"/>
          <w:szCs w:val="21"/>
          <w:shd w:val="clear" w:color="auto" w:fill="FFFFFF"/>
        </w:rPr>
        <w:t>，制作投标文件。</w:t>
      </w:r>
    </w:p>
    <w:p w14:paraId="26778342">
      <w:pPr>
        <w:widowControl/>
        <w:spacing w:line="360" w:lineRule="auto"/>
        <w:ind w:firstLine="420" w:firstLineChars="200"/>
        <w:rPr>
          <w:kern w:val="0"/>
          <w:szCs w:val="21"/>
          <w:shd w:val="clear" w:color="auto" w:fill="FFFFFF"/>
        </w:rPr>
      </w:pPr>
      <w:r>
        <w:rPr>
          <w:kern w:val="0"/>
          <w:szCs w:val="21"/>
          <w:shd w:val="clear" w:color="auto" w:fill="FFFFFF"/>
        </w:rPr>
        <w:t>2.</w:t>
      </w:r>
      <w:r>
        <w:rPr>
          <w:rFonts w:hint="eastAsia"/>
          <w:kern w:val="0"/>
          <w:szCs w:val="21"/>
          <w:shd w:val="clear" w:color="auto" w:fill="FFFFFF"/>
        </w:rPr>
        <w:t>投标人将加密的电子版投标文件于投标截止时间前上传到政采云系统中。</w:t>
      </w:r>
    </w:p>
    <w:p w14:paraId="51F3495A">
      <w:pPr>
        <w:widowControl/>
        <w:shd w:val="clear" w:color="auto" w:fill="FFFFFF"/>
        <w:spacing w:line="360" w:lineRule="auto"/>
        <w:ind w:left="420" w:leftChars="200"/>
        <w:jc w:val="left"/>
        <w:rPr>
          <w:kern w:val="0"/>
          <w:szCs w:val="21"/>
          <w:u w:val="single"/>
          <w:shd w:val="clear" w:color="auto" w:fill="FFFFFF"/>
        </w:rPr>
      </w:pPr>
      <w:r>
        <w:rPr>
          <w:kern w:val="0"/>
          <w:szCs w:val="21"/>
          <w:shd w:val="clear" w:color="auto" w:fill="FFFFFF"/>
        </w:rPr>
        <w:t>3.</w:t>
      </w:r>
      <w:r>
        <w:rPr>
          <w:rFonts w:hint="eastAsia"/>
          <w:kern w:val="0"/>
          <w:szCs w:val="21"/>
          <w:shd w:val="clear" w:color="auto" w:fill="FFFFFF"/>
        </w:rPr>
        <w:t>具体的投标文件加密上传等操作详见政采云平台操作指南。</w:t>
      </w:r>
      <w:r>
        <w:rPr>
          <w:rFonts w:ascii="等线" w:hAnsi="等线" w:eastAsia="等线"/>
        </w:rPr>
        <w:fldChar w:fldCharType="begin"/>
      </w:r>
      <w:r>
        <w:rPr>
          <w:rFonts w:ascii="等线" w:hAnsi="等线" w:eastAsia="等线"/>
        </w:rPr>
        <w:instrText xml:space="preserve">HYPERLINK "https://edu.zcygov.cn/luban/e-biding?utm=a0004.2ef5001f.0001.0109.da8b35e0da8611e98d8937b7ef8a3544"</w:instrText>
      </w:r>
      <w:r>
        <w:rPr>
          <w:rFonts w:ascii="等线" w:hAnsi="等线" w:eastAsia="等线"/>
        </w:rPr>
        <w:fldChar w:fldCharType="separate"/>
      </w:r>
      <w:r>
        <w:rPr>
          <w:kern w:val="0"/>
          <w:szCs w:val="21"/>
          <w:u w:val="single"/>
          <w:shd w:val="clear" w:color="auto" w:fill="FFFFFF"/>
        </w:rPr>
        <w:t>https://edu.zcygov.cn/luban/e-biding?utm=a0004.2ef5001f.0001.0109.da8b35e0da8611e98d8937b7ef8a3544</w:t>
      </w:r>
      <w:r>
        <w:rPr>
          <w:kern w:val="0"/>
          <w:szCs w:val="21"/>
          <w:u w:val="single"/>
          <w:shd w:val="clear" w:color="auto" w:fill="FFFFFF"/>
        </w:rPr>
        <w:fldChar w:fldCharType="end"/>
      </w:r>
    </w:p>
    <w:p w14:paraId="7D51DB62">
      <w:pPr>
        <w:widowControl/>
        <w:spacing w:line="360" w:lineRule="auto"/>
        <w:rPr>
          <w:kern w:val="0"/>
          <w:szCs w:val="21"/>
        </w:rPr>
      </w:pPr>
      <w:r>
        <w:rPr>
          <w:rFonts w:hint="eastAsia"/>
          <w:b/>
          <w:bCs/>
          <w:kern w:val="0"/>
          <w:szCs w:val="21"/>
        </w:rPr>
        <w:t>九、投标保证金：无。</w:t>
      </w:r>
    </w:p>
    <w:p w14:paraId="485A28B3">
      <w:pPr>
        <w:widowControl/>
        <w:spacing w:line="360" w:lineRule="auto"/>
        <w:rPr>
          <w:b/>
          <w:bCs/>
          <w:kern w:val="0"/>
          <w:szCs w:val="21"/>
        </w:rPr>
      </w:pPr>
      <w:r>
        <w:rPr>
          <w:rFonts w:hint="eastAsia"/>
          <w:b/>
          <w:bCs/>
          <w:kern w:val="0"/>
          <w:szCs w:val="21"/>
        </w:rPr>
        <w:t>十、投标截止时间和地址：</w:t>
      </w:r>
    </w:p>
    <w:p w14:paraId="45D83CA9">
      <w:pPr>
        <w:spacing w:line="360" w:lineRule="auto"/>
        <w:ind w:firstLine="632" w:firstLineChars="300"/>
        <w:rPr>
          <w:b/>
          <w:szCs w:val="21"/>
        </w:rPr>
      </w:pPr>
      <w:r>
        <w:rPr>
          <w:b/>
          <w:szCs w:val="21"/>
        </w:rPr>
        <w:t>1.</w:t>
      </w:r>
      <w:r>
        <w:rPr>
          <w:rFonts w:hint="eastAsia"/>
          <w:b/>
          <w:szCs w:val="21"/>
        </w:rPr>
        <w:t>本项目实行电子投标。</w:t>
      </w:r>
    </w:p>
    <w:p w14:paraId="139BECE0">
      <w:pPr>
        <w:spacing w:line="360" w:lineRule="auto"/>
        <w:ind w:firstLine="420" w:firstLineChars="200"/>
        <w:rPr>
          <w:szCs w:val="21"/>
        </w:rPr>
      </w:pPr>
      <w:r>
        <w:rPr>
          <w:rFonts w:hint="eastAsia"/>
          <w:szCs w:val="21"/>
        </w:rPr>
        <w:t>投标人应准备电子投标文件、以介质存储的数据电文形式的备份投标文件；</w:t>
      </w:r>
    </w:p>
    <w:p w14:paraId="5FDAF9CE">
      <w:pPr>
        <w:spacing w:line="360" w:lineRule="auto"/>
        <w:ind w:firstLine="420" w:firstLineChars="200"/>
        <w:rPr>
          <w:szCs w:val="21"/>
        </w:rPr>
      </w:pPr>
      <w:r>
        <w:rPr>
          <w:rFonts w:hint="eastAsia"/>
          <w:szCs w:val="21"/>
        </w:rPr>
        <w:t>（</w:t>
      </w:r>
      <w:r>
        <w:rPr>
          <w:szCs w:val="21"/>
        </w:rPr>
        <w:t>1</w:t>
      </w:r>
      <w:r>
        <w:rPr>
          <w:rFonts w:hint="eastAsia"/>
          <w:szCs w:val="21"/>
        </w:rPr>
        <w:t>）电子投标文件，按政采云平台项目采购</w:t>
      </w:r>
      <w:r>
        <w:rPr>
          <w:szCs w:val="21"/>
        </w:rPr>
        <w:t>-</w:t>
      </w:r>
      <w:r>
        <w:rPr>
          <w:rFonts w:hint="eastAsia"/>
          <w:szCs w:val="21"/>
        </w:rPr>
        <w:t>电子交易操作指南及本招标文件要求递交。</w:t>
      </w:r>
      <w:r>
        <w:rPr>
          <w:rFonts w:hint="eastAsia"/>
          <w:szCs w:val="21"/>
          <w:shd w:val="clear" w:color="auto" w:fill="FFFFFF"/>
        </w:rPr>
        <w:t>投标人应于</w:t>
      </w:r>
      <w:bookmarkStart w:id="1" w:name="_Hlk100345522"/>
      <w:r>
        <w:rPr>
          <w:rFonts w:hint="eastAsia"/>
          <w:szCs w:val="21"/>
          <w:shd w:val="clear" w:color="auto" w:fill="FFFFFF"/>
          <w:lang w:eastAsia="zh-CN"/>
        </w:rPr>
        <w:t>2025年</w:t>
      </w:r>
      <w:r>
        <w:rPr>
          <w:rFonts w:hint="eastAsia"/>
          <w:szCs w:val="21"/>
          <w:shd w:val="clear" w:color="auto" w:fill="FFFFFF"/>
          <w:lang w:val="en-US" w:eastAsia="zh-CN"/>
        </w:rPr>
        <w:t>07</w:t>
      </w:r>
      <w:r>
        <w:rPr>
          <w:rFonts w:hint="eastAsia"/>
          <w:szCs w:val="21"/>
          <w:shd w:val="clear" w:color="auto" w:fill="FFFFFF"/>
        </w:rPr>
        <w:t>月</w:t>
      </w:r>
      <w:r>
        <w:rPr>
          <w:rFonts w:hint="eastAsia"/>
          <w:szCs w:val="21"/>
          <w:shd w:val="clear" w:color="auto" w:fill="FFFFFF"/>
          <w:lang w:val="en-US" w:eastAsia="zh-CN"/>
        </w:rPr>
        <w:t>08</w:t>
      </w:r>
      <w:r>
        <w:rPr>
          <w:rFonts w:hint="eastAsia"/>
          <w:szCs w:val="21"/>
          <w:shd w:val="clear" w:color="auto" w:fill="FFFFFF"/>
        </w:rPr>
        <w:t>日</w:t>
      </w:r>
      <w:r>
        <w:rPr>
          <w:rFonts w:hint="eastAsia"/>
          <w:szCs w:val="21"/>
          <w:shd w:val="clear" w:color="auto" w:fill="FFFFFF"/>
          <w:lang w:val="en-US" w:eastAsia="zh-CN"/>
        </w:rPr>
        <w:t>09</w:t>
      </w:r>
      <w:r>
        <w:rPr>
          <w:rFonts w:hint="eastAsia"/>
          <w:szCs w:val="21"/>
          <w:shd w:val="clear" w:color="auto" w:fill="FFFFFF"/>
        </w:rPr>
        <w:t>：1</w:t>
      </w:r>
      <w:r>
        <w:rPr>
          <w:szCs w:val="21"/>
          <w:shd w:val="clear" w:color="auto" w:fill="FFFFFF"/>
        </w:rPr>
        <w:t>5</w:t>
      </w:r>
      <w:bookmarkEnd w:id="1"/>
      <w:r>
        <w:rPr>
          <w:rFonts w:hint="eastAsia"/>
          <w:szCs w:val="21"/>
          <w:shd w:val="clear" w:color="auto" w:fill="FFFFFF"/>
        </w:rPr>
        <w:t>前将加密的电子版投标文件上传到政采云系统中（不准时上传视为无效标）。</w:t>
      </w:r>
      <w:r>
        <w:rPr>
          <w:b/>
          <w:szCs w:val="21"/>
          <w:shd w:val="clear" w:color="auto" w:fill="FFFFFF"/>
        </w:rPr>
        <w:t>CA</w:t>
      </w:r>
      <w:r>
        <w:rPr>
          <w:rFonts w:hint="eastAsia"/>
          <w:b/>
          <w:szCs w:val="21"/>
          <w:shd w:val="clear" w:color="auto" w:fill="FFFFFF"/>
        </w:rPr>
        <w:t>数字证书随身携带或准时解码。</w:t>
      </w:r>
    </w:p>
    <w:p w14:paraId="6EAE4905">
      <w:pPr>
        <w:spacing w:line="360" w:lineRule="auto"/>
        <w:ind w:firstLine="420" w:firstLineChars="200"/>
        <w:rPr>
          <w:szCs w:val="21"/>
        </w:rPr>
      </w:pPr>
      <w:r>
        <w:rPr>
          <w:rFonts w:hint="eastAsia"/>
          <w:szCs w:val="21"/>
        </w:rPr>
        <w:t>（</w:t>
      </w:r>
      <w:r>
        <w:rPr>
          <w:szCs w:val="21"/>
        </w:rPr>
        <w:t>2</w:t>
      </w:r>
      <w:r>
        <w:rPr>
          <w:rFonts w:hint="eastAsia"/>
          <w:szCs w:val="21"/>
        </w:rPr>
        <w:t>）以介质存储的数据电文形式的备份投标文件，按政采云平台项目采购</w:t>
      </w:r>
      <w:r>
        <w:rPr>
          <w:szCs w:val="21"/>
        </w:rPr>
        <w:t>-</w:t>
      </w:r>
      <w:r>
        <w:rPr>
          <w:rFonts w:hint="eastAsia"/>
          <w:szCs w:val="21"/>
        </w:rPr>
        <w:t>电子交易操作指南中上传的电子投标文件格式，以</w:t>
      </w:r>
      <w:r>
        <w:rPr>
          <w:szCs w:val="21"/>
        </w:rPr>
        <w:t>U</w:t>
      </w:r>
      <w:r>
        <w:rPr>
          <w:rFonts w:hint="eastAsia"/>
          <w:szCs w:val="21"/>
        </w:rPr>
        <w:t>盘形式存储提供。数量为</w:t>
      </w:r>
      <w:r>
        <w:rPr>
          <w:szCs w:val="21"/>
        </w:rPr>
        <w:t>1</w:t>
      </w:r>
      <w:r>
        <w:rPr>
          <w:rFonts w:hint="eastAsia"/>
          <w:szCs w:val="21"/>
        </w:rPr>
        <w:t>份。</w:t>
      </w:r>
    </w:p>
    <w:p w14:paraId="0341FCE0">
      <w:pPr>
        <w:widowControl/>
        <w:shd w:val="clear" w:color="auto" w:fill="FFFFFF"/>
        <w:spacing w:line="360" w:lineRule="auto"/>
        <w:ind w:firstLine="519" w:firstLineChars="246"/>
        <w:jc w:val="left"/>
        <w:rPr>
          <w:b/>
          <w:bCs/>
          <w:kern w:val="0"/>
          <w:szCs w:val="21"/>
        </w:rPr>
      </w:pPr>
      <w:r>
        <w:rPr>
          <w:rFonts w:hint="eastAsia"/>
          <w:b/>
          <w:bCs/>
          <w:kern w:val="0"/>
          <w:szCs w:val="21"/>
        </w:rPr>
        <w:t>投标人应于</w:t>
      </w:r>
      <w:r>
        <w:rPr>
          <w:rFonts w:hint="eastAsia"/>
          <w:b/>
          <w:bCs/>
          <w:kern w:val="0"/>
          <w:szCs w:val="21"/>
          <w:lang w:eastAsia="zh-CN"/>
        </w:rPr>
        <w:t>2025年</w:t>
      </w:r>
      <w:r>
        <w:rPr>
          <w:rFonts w:hint="eastAsia"/>
          <w:b/>
          <w:bCs/>
          <w:kern w:val="0"/>
          <w:szCs w:val="21"/>
          <w:lang w:val="en-US" w:eastAsia="zh-CN"/>
        </w:rPr>
        <w:t>07</w:t>
      </w:r>
      <w:r>
        <w:rPr>
          <w:rFonts w:hint="eastAsia"/>
          <w:b/>
          <w:bCs/>
          <w:kern w:val="0"/>
          <w:szCs w:val="21"/>
        </w:rPr>
        <w:t>月</w:t>
      </w:r>
      <w:r>
        <w:rPr>
          <w:rFonts w:hint="eastAsia"/>
          <w:b/>
          <w:bCs/>
          <w:kern w:val="0"/>
          <w:szCs w:val="21"/>
          <w:lang w:val="en-US" w:eastAsia="zh-CN"/>
        </w:rPr>
        <w:t>07</w:t>
      </w:r>
      <w:r>
        <w:rPr>
          <w:rFonts w:hint="eastAsia"/>
          <w:b/>
          <w:bCs/>
          <w:kern w:val="0"/>
          <w:szCs w:val="21"/>
        </w:rPr>
        <w:t>日</w:t>
      </w:r>
      <w:r>
        <w:rPr>
          <w:b/>
          <w:bCs/>
          <w:kern w:val="0"/>
          <w:szCs w:val="21"/>
        </w:rPr>
        <w:t>11</w:t>
      </w:r>
      <w:r>
        <w:rPr>
          <w:rFonts w:hint="eastAsia"/>
          <w:b/>
          <w:bCs/>
          <w:kern w:val="0"/>
          <w:szCs w:val="21"/>
        </w:rPr>
        <w:t>：</w:t>
      </w:r>
      <w:r>
        <w:rPr>
          <w:b/>
          <w:bCs/>
          <w:kern w:val="0"/>
          <w:szCs w:val="21"/>
        </w:rPr>
        <w:t>30</w:t>
      </w:r>
      <w:r>
        <w:rPr>
          <w:rFonts w:hint="eastAsia"/>
          <w:b/>
          <w:bCs/>
          <w:kern w:val="0"/>
          <w:szCs w:val="21"/>
        </w:rPr>
        <w:t>（北京时间）前将备份的投标文件寄于采购代理公司，地址：舟山市定海区昌国路</w:t>
      </w:r>
      <w:r>
        <w:rPr>
          <w:b/>
          <w:bCs/>
          <w:kern w:val="0"/>
          <w:szCs w:val="21"/>
        </w:rPr>
        <w:t>232</w:t>
      </w:r>
      <w:r>
        <w:rPr>
          <w:rFonts w:hint="eastAsia"/>
          <w:b/>
          <w:bCs/>
          <w:kern w:val="0"/>
          <w:szCs w:val="21"/>
        </w:rPr>
        <w:t>号中楼</w:t>
      </w:r>
      <w:r>
        <w:rPr>
          <w:b/>
          <w:bCs/>
          <w:kern w:val="0"/>
          <w:szCs w:val="21"/>
        </w:rPr>
        <w:t>202</w:t>
      </w:r>
      <w:r>
        <w:rPr>
          <w:rFonts w:hint="eastAsia"/>
          <w:b/>
          <w:bCs/>
          <w:kern w:val="0"/>
          <w:szCs w:val="21"/>
        </w:rPr>
        <w:t>深圳市国信招标</w:t>
      </w:r>
      <w:bookmarkStart w:id="5" w:name="_GoBack"/>
      <w:bookmarkEnd w:id="5"/>
      <w:r>
        <w:rPr>
          <w:rFonts w:hint="eastAsia"/>
          <w:b/>
          <w:bCs/>
          <w:kern w:val="0"/>
          <w:szCs w:val="21"/>
        </w:rPr>
        <w:t>有限公司舟山分公司（收件人：任女士，联系电话：13567673203），</w:t>
      </w:r>
      <w:r>
        <w:rPr>
          <w:rFonts w:hint="eastAsia" w:ascii="Times New Roman" w:hAnsi="Times New Roman" w:eastAsia="宋体" w:cs="Times New Roman"/>
          <w:b/>
          <w:bCs/>
          <w:kern w:val="0"/>
          <w:szCs w:val="21"/>
          <w:lang w:val="en-US" w:eastAsia="zh-CN"/>
        </w:rPr>
        <w:t>寄错地址或</w:t>
      </w:r>
      <w:r>
        <w:rPr>
          <w:rFonts w:hint="eastAsia" w:ascii="Times New Roman" w:hAnsi="Times New Roman" w:eastAsia="宋体" w:cs="Times New Roman"/>
          <w:b/>
          <w:bCs/>
          <w:kern w:val="0"/>
          <w:szCs w:val="21"/>
        </w:rPr>
        <w:t>未按时寄到的自行承担风险。也可开标会现场递交。</w:t>
      </w:r>
      <w:r>
        <w:rPr>
          <w:rFonts w:hint="eastAsia" w:ascii="Times New Roman" w:hAnsi="Times New Roman" w:eastAsia="宋体" w:cs="Times New Roman"/>
          <w:b/>
          <w:bCs/>
          <w:kern w:val="0"/>
          <w:szCs w:val="21"/>
          <w:lang w:val="en-US" w:eastAsia="zh-CN"/>
        </w:rPr>
        <w:t>递交截止时间2025年07月08日09：15</w:t>
      </w:r>
      <w:r>
        <w:rPr>
          <w:rFonts w:hint="eastAsia" w:ascii="Times New Roman" w:hAnsi="Times New Roman" w:eastAsia="宋体" w:cs="Times New Roman"/>
          <w:b/>
          <w:bCs/>
          <w:kern w:val="0"/>
          <w:szCs w:val="21"/>
        </w:rPr>
        <w:t>。</w:t>
      </w:r>
    </w:p>
    <w:p w14:paraId="03C71CE0">
      <w:pPr>
        <w:widowControl/>
        <w:shd w:val="clear" w:color="auto" w:fill="FFFFFF"/>
        <w:spacing w:line="360" w:lineRule="auto"/>
        <w:ind w:firstLine="519" w:firstLineChars="246"/>
        <w:jc w:val="left"/>
        <w:rPr>
          <w:b/>
          <w:kern w:val="0"/>
          <w:szCs w:val="21"/>
        </w:rPr>
      </w:pPr>
      <w:r>
        <w:rPr>
          <w:rFonts w:hint="eastAsia"/>
          <w:b/>
          <w:kern w:val="0"/>
          <w:szCs w:val="21"/>
        </w:rPr>
        <w:t>投标人可以不提供备份投标文件，造成项目开评标活动无法进行下去的，投标无效，相关风险由投标人自行承担。</w:t>
      </w:r>
    </w:p>
    <w:p w14:paraId="08AB81DD">
      <w:pPr>
        <w:widowControl/>
        <w:shd w:val="clear" w:color="auto" w:fill="FFFFFF"/>
        <w:spacing w:line="360" w:lineRule="auto"/>
        <w:ind w:firstLine="413" w:firstLineChars="196"/>
        <w:jc w:val="left"/>
        <w:rPr>
          <w:bCs/>
          <w:kern w:val="0"/>
          <w:szCs w:val="21"/>
        </w:rPr>
      </w:pPr>
      <w:r>
        <w:rPr>
          <w:b/>
          <w:bCs/>
          <w:szCs w:val="21"/>
        </w:rPr>
        <w:t>2.</w:t>
      </w:r>
      <w:r>
        <w:rPr>
          <w:rFonts w:hint="eastAsia"/>
          <w:b/>
          <w:bCs/>
          <w:szCs w:val="21"/>
        </w:rPr>
        <w:t>开标时间：</w:t>
      </w:r>
      <w:r>
        <w:rPr>
          <w:rFonts w:hint="eastAsia"/>
          <w:szCs w:val="21"/>
          <w:shd w:val="clear" w:color="auto" w:fill="FFFFFF"/>
          <w:lang w:eastAsia="zh-CN"/>
        </w:rPr>
        <w:t>2025年</w:t>
      </w:r>
      <w:r>
        <w:rPr>
          <w:rFonts w:hint="eastAsia"/>
          <w:szCs w:val="21"/>
          <w:shd w:val="clear" w:color="auto" w:fill="FFFFFF"/>
          <w:lang w:val="en-US" w:eastAsia="zh-CN"/>
        </w:rPr>
        <w:t>07</w:t>
      </w:r>
      <w:r>
        <w:rPr>
          <w:rFonts w:hint="eastAsia"/>
          <w:szCs w:val="21"/>
          <w:shd w:val="clear" w:color="auto" w:fill="FFFFFF"/>
        </w:rPr>
        <w:t>月</w:t>
      </w:r>
      <w:r>
        <w:rPr>
          <w:rFonts w:hint="eastAsia"/>
          <w:szCs w:val="21"/>
          <w:shd w:val="clear" w:color="auto" w:fill="FFFFFF"/>
          <w:lang w:val="en-US" w:eastAsia="zh-CN"/>
        </w:rPr>
        <w:t>08</w:t>
      </w:r>
      <w:r>
        <w:rPr>
          <w:rFonts w:hint="eastAsia"/>
          <w:szCs w:val="21"/>
          <w:shd w:val="clear" w:color="auto" w:fill="FFFFFF"/>
        </w:rPr>
        <w:t>日</w:t>
      </w:r>
      <w:r>
        <w:rPr>
          <w:rFonts w:hint="eastAsia"/>
          <w:szCs w:val="21"/>
          <w:shd w:val="clear" w:color="auto" w:fill="FFFFFF"/>
          <w:lang w:val="en-US" w:eastAsia="zh-CN"/>
        </w:rPr>
        <w:t>09</w:t>
      </w:r>
      <w:r>
        <w:rPr>
          <w:rFonts w:hint="eastAsia"/>
          <w:szCs w:val="21"/>
          <w:shd w:val="clear" w:color="auto" w:fill="FFFFFF"/>
        </w:rPr>
        <w:t>：1</w:t>
      </w:r>
      <w:r>
        <w:rPr>
          <w:szCs w:val="21"/>
          <w:shd w:val="clear" w:color="auto" w:fill="FFFFFF"/>
        </w:rPr>
        <w:t>5</w:t>
      </w:r>
    </w:p>
    <w:p w14:paraId="36A1AF83">
      <w:pPr>
        <w:widowControl/>
        <w:shd w:val="clear" w:color="auto" w:fill="FFFFFF"/>
        <w:spacing w:line="360" w:lineRule="auto"/>
        <w:ind w:firstLine="410"/>
        <w:jc w:val="left"/>
        <w:rPr>
          <w:kern w:val="0"/>
          <w:szCs w:val="21"/>
        </w:rPr>
      </w:pPr>
      <w:r>
        <w:rPr>
          <w:b/>
          <w:bCs/>
          <w:szCs w:val="21"/>
        </w:rPr>
        <w:t>3.</w:t>
      </w:r>
      <w:r>
        <w:rPr>
          <w:rFonts w:hint="eastAsia"/>
          <w:b/>
          <w:bCs/>
          <w:szCs w:val="21"/>
        </w:rPr>
        <w:t>开标地点：</w:t>
      </w:r>
      <w:r>
        <w:rPr>
          <w:rFonts w:hint="eastAsia"/>
          <w:kern w:val="0"/>
          <w:szCs w:val="21"/>
        </w:rPr>
        <w:t>舟山市公共资源交易中心（舟山市新城翁山路555号四楼（大宗商品交易中心同幢西边））开标室</w:t>
      </w:r>
    </w:p>
    <w:p w14:paraId="73D6FF37">
      <w:pPr>
        <w:widowControl/>
        <w:shd w:val="clear" w:color="auto" w:fill="FFFFFF"/>
        <w:spacing w:line="360" w:lineRule="auto"/>
        <w:jc w:val="left"/>
        <w:rPr>
          <w:kern w:val="0"/>
          <w:szCs w:val="21"/>
        </w:rPr>
      </w:pPr>
      <w:r>
        <w:rPr>
          <w:rFonts w:hint="eastAsia"/>
          <w:b/>
          <w:bCs/>
          <w:kern w:val="0"/>
          <w:szCs w:val="21"/>
        </w:rPr>
        <w:t>十一、其他事项：</w:t>
      </w:r>
    </w:p>
    <w:p w14:paraId="1A09DDE3">
      <w:pPr>
        <w:spacing w:line="360" w:lineRule="auto"/>
        <w:ind w:firstLine="420" w:firstLineChars="200"/>
      </w:pPr>
      <w:r>
        <w:rPr>
          <w:szCs w:val="21"/>
        </w:rPr>
        <w:t>1.</w:t>
      </w:r>
      <w:r>
        <w:rPr>
          <w:rFonts w:hint="eastAsia"/>
        </w:rPr>
        <w:t>本项目公告期限为</w:t>
      </w:r>
      <w:r>
        <w:t>5</w:t>
      </w:r>
      <w:r>
        <w:rPr>
          <w:rFonts w:hint="eastAsia"/>
        </w:rPr>
        <w:t>个工作日，供应商认为采购文件使自己的权益受到损害的，可以自获取采购文件之日或者采购文件公告期限届满之日（公告期限届满后获取采购文件的，以公告期限届满之日为准）起</w:t>
      </w:r>
      <w:r>
        <w:t>7</w:t>
      </w:r>
      <w:r>
        <w:rPr>
          <w:rFonts w:hint="eastAsia"/>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921F84">
      <w:pPr>
        <w:spacing w:line="360" w:lineRule="auto"/>
        <w:ind w:firstLine="420" w:firstLineChars="200"/>
        <w:rPr>
          <w:szCs w:val="21"/>
        </w:rPr>
      </w:pPr>
      <w:r>
        <w:rPr>
          <w:szCs w:val="21"/>
        </w:rPr>
        <w:t>2.</w:t>
      </w:r>
      <w:r>
        <w:rPr>
          <w:rFonts w:hint="eastAsia"/>
          <w:szCs w:val="21"/>
        </w:rPr>
        <w:t>投标人应在合同签订前成为浙江政府采购网正式注册供应商。</w:t>
      </w:r>
    </w:p>
    <w:p w14:paraId="5EEDC1BC">
      <w:pPr>
        <w:widowControl/>
        <w:spacing w:line="360" w:lineRule="auto"/>
        <w:rPr>
          <w:rFonts w:hint="eastAsia"/>
          <w:b/>
          <w:bCs/>
          <w:kern w:val="0"/>
          <w:szCs w:val="21"/>
        </w:rPr>
      </w:pPr>
    </w:p>
    <w:p w14:paraId="0BCFBA76">
      <w:pPr>
        <w:widowControl/>
        <w:spacing w:line="360" w:lineRule="auto"/>
        <w:rPr>
          <w:kern w:val="0"/>
          <w:szCs w:val="21"/>
        </w:rPr>
      </w:pPr>
      <w:r>
        <w:rPr>
          <w:rFonts w:hint="eastAsia"/>
          <w:b/>
          <w:bCs/>
          <w:kern w:val="0"/>
          <w:szCs w:val="21"/>
        </w:rPr>
        <w:t>十二、联系方式：</w:t>
      </w:r>
    </w:p>
    <w:p w14:paraId="3B30FA7D">
      <w:pPr>
        <w:widowControl/>
        <w:spacing w:line="360" w:lineRule="auto"/>
        <w:ind w:firstLine="420"/>
        <w:rPr>
          <w:kern w:val="0"/>
          <w:szCs w:val="21"/>
          <w:shd w:val="clear" w:color="auto" w:fill="FFFFFF"/>
        </w:rPr>
      </w:pPr>
      <w:r>
        <w:rPr>
          <w:kern w:val="0"/>
          <w:szCs w:val="21"/>
          <w:shd w:val="clear" w:color="auto" w:fill="FFFFFF"/>
        </w:rPr>
        <w:t>1.</w:t>
      </w:r>
      <w:r>
        <w:rPr>
          <w:rFonts w:hint="eastAsia"/>
          <w:kern w:val="0"/>
          <w:szCs w:val="21"/>
          <w:shd w:val="clear" w:color="auto" w:fill="FFFFFF"/>
        </w:rPr>
        <w:t>采购代理机构名称：深圳市国信招标有限公司舟山分公司</w:t>
      </w:r>
    </w:p>
    <w:p w14:paraId="61065B09">
      <w:pPr>
        <w:widowControl/>
        <w:spacing w:line="360" w:lineRule="auto"/>
        <w:ind w:firstLine="420"/>
        <w:rPr>
          <w:kern w:val="0"/>
          <w:szCs w:val="21"/>
          <w:shd w:val="clear" w:color="auto" w:fill="FFFFFF"/>
        </w:rPr>
      </w:pPr>
      <w:r>
        <w:rPr>
          <w:rFonts w:hint="eastAsia"/>
          <w:kern w:val="0"/>
          <w:szCs w:val="21"/>
          <w:shd w:val="clear" w:color="auto" w:fill="FFFFFF"/>
        </w:rPr>
        <w:t>联系人：朱女士、任女士</w:t>
      </w:r>
    </w:p>
    <w:p w14:paraId="4BDF4900">
      <w:pPr>
        <w:widowControl/>
        <w:spacing w:line="360" w:lineRule="auto"/>
        <w:ind w:firstLine="420"/>
        <w:rPr>
          <w:kern w:val="0"/>
          <w:szCs w:val="21"/>
          <w:shd w:val="clear" w:color="auto" w:fill="FFFFFF"/>
        </w:rPr>
      </w:pPr>
      <w:r>
        <w:rPr>
          <w:rFonts w:hint="eastAsia"/>
          <w:kern w:val="0"/>
          <w:szCs w:val="21"/>
          <w:shd w:val="clear" w:color="auto" w:fill="FFFFFF"/>
        </w:rPr>
        <w:t>联系电话：</w:t>
      </w:r>
      <w:r>
        <w:rPr>
          <w:kern w:val="0"/>
          <w:szCs w:val="21"/>
          <w:shd w:val="clear" w:color="auto" w:fill="FFFFFF"/>
        </w:rPr>
        <w:t>0580-2054476</w:t>
      </w:r>
      <w:r>
        <w:rPr>
          <w:rFonts w:hint="eastAsia"/>
          <w:kern w:val="0"/>
          <w:szCs w:val="21"/>
          <w:shd w:val="clear" w:color="auto" w:fill="FFFFFF"/>
        </w:rPr>
        <w:t>，</w:t>
      </w:r>
      <w:r>
        <w:rPr>
          <w:kern w:val="0"/>
          <w:szCs w:val="21"/>
          <w:shd w:val="clear" w:color="auto" w:fill="FFFFFF"/>
        </w:rPr>
        <w:t>13857236444</w:t>
      </w:r>
      <w:r>
        <w:rPr>
          <w:rFonts w:hint="eastAsia"/>
          <w:kern w:val="0"/>
          <w:szCs w:val="21"/>
          <w:shd w:val="clear" w:color="auto" w:fill="FFFFFF"/>
        </w:rPr>
        <w:t>，</w:t>
      </w:r>
      <w:r>
        <w:rPr>
          <w:kern w:val="0"/>
          <w:szCs w:val="21"/>
          <w:shd w:val="clear" w:color="auto" w:fill="FFFFFF"/>
        </w:rPr>
        <w:t>13567673203</w:t>
      </w:r>
    </w:p>
    <w:p w14:paraId="500071F2">
      <w:pPr>
        <w:widowControl/>
        <w:spacing w:line="360" w:lineRule="auto"/>
        <w:ind w:firstLine="420"/>
        <w:rPr>
          <w:kern w:val="0"/>
          <w:szCs w:val="21"/>
          <w:shd w:val="clear" w:color="auto" w:fill="FFFFFF"/>
        </w:rPr>
      </w:pPr>
      <w:r>
        <w:rPr>
          <w:rFonts w:hint="eastAsia"/>
          <w:kern w:val="0"/>
          <w:szCs w:val="21"/>
          <w:shd w:val="clear" w:color="auto" w:fill="FFFFFF"/>
        </w:rPr>
        <w:t>质疑答复联系人：王女士</w:t>
      </w:r>
    </w:p>
    <w:p w14:paraId="3C202ECD">
      <w:pPr>
        <w:widowControl/>
        <w:spacing w:line="360" w:lineRule="auto"/>
        <w:ind w:firstLine="420"/>
        <w:rPr>
          <w:kern w:val="0"/>
          <w:szCs w:val="21"/>
          <w:shd w:val="clear" w:color="auto" w:fill="FFFFFF"/>
        </w:rPr>
      </w:pPr>
      <w:r>
        <w:rPr>
          <w:rFonts w:hint="eastAsia"/>
          <w:kern w:val="0"/>
          <w:szCs w:val="21"/>
          <w:shd w:val="clear" w:color="auto" w:fill="FFFFFF"/>
        </w:rPr>
        <w:t>联系电话：</w:t>
      </w:r>
      <w:r>
        <w:rPr>
          <w:kern w:val="0"/>
          <w:szCs w:val="21"/>
          <w:shd w:val="clear" w:color="auto" w:fill="FFFFFF"/>
        </w:rPr>
        <w:t>0580-2054476</w:t>
      </w:r>
      <w:r>
        <w:rPr>
          <w:rFonts w:hint="eastAsia"/>
          <w:kern w:val="0"/>
          <w:szCs w:val="21"/>
          <w:shd w:val="clear" w:color="auto" w:fill="FFFFFF"/>
        </w:rPr>
        <w:t>，</w:t>
      </w:r>
      <w:r>
        <w:rPr>
          <w:kern w:val="0"/>
          <w:szCs w:val="21"/>
          <w:shd w:val="clear" w:color="auto" w:fill="FFFFFF"/>
        </w:rPr>
        <w:t>13587045176</w:t>
      </w:r>
    </w:p>
    <w:p w14:paraId="39B038CD">
      <w:pPr>
        <w:widowControl/>
        <w:spacing w:line="360" w:lineRule="auto"/>
        <w:ind w:firstLine="420"/>
        <w:rPr>
          <w:kern w:val="0"/>
          <w:szCs w:val="21"/>
          <w:shd w:val="clear" w:color="auto" w:fill="FFFFFF"/>
        </w:rPr>
      </w:pPr>
      <w:r>
        <w:rPr>
          <w:rFonts w:hint="eastAsia"/>
          <w:kern w:val="0"/>
          <w:szCs w:val="21"/>
          <w:shd w:val="clear" w:color="auto" w:fill="FFFFFF"/>
        </w:rPr>
        <w:t>传真：</w:t>
      </w:r>
      <w:r>
        <w:rPr>
          <w:kern w:val="0"/>
          <w:szCs w:val="21"/>
          <w:shd w:val="clear" w:color="auto" w:fill="FFFFFF"/>
        </w:rPr>
        <w:t>0580-2054476</w:t>
      </w:r>
    </w:p>
    <w:p w14:paraId="387FF181">
      <w:pPr>
        <w:widowControl/>
        <w:spacing w:line="360" w:lineRule="auto"/>
        <w:ind w:firstLine="420"/>
        <w:rPr>
          <w:kern w:val="0"/>
          <w:szCs w:val="21"/>
          <w:shd w:val="clear" w:color="auto" w:fill="FFFFFF"/>
        </w:rPr>
      </w:pPr>
      <w:r>
        <w:rPr>
          <w:rFonts w:hint="eastAsia"/>
          <w:kern w:val="0"/>
          <w:szCs w:val="21"/>
          <w:shd w:val="clear" w:color="auto" w:fill="FFFFFF"/>
        </w:rPr>
        <w:t>地址：舟山市定海区昌国路</w:t>
      </w:r>
      <w:r>
        <w:rPr>
          <w:kern w:val="0"/>
          <w:szCs w:val="21"/>
          <w:shd w:val="clear" w:color="auto" w:fill="FFFFFF"/>
        </w:rPr>
        <w:t>232</w:t>
      </w:r>
      <w:r>
        <w:rPr>
          <w:rFonts w:hint="eastAsia"/>
          <w:kern w:val="0"/>
          <w:szCs w:val="21"/>
          <w:shd w:val="clear" w:color="auto" w:fill="FFFFFF"/>
        </w:rPr>
        <w:t>号中楼</w:t>
      </w:r>
      <w:r>
        <w:rPr>
          <w:kern w:val="0"/>
          <w:szCs w:val="21"/>
          <w:shd w:val="clear" w:color="auto" w:fill="FFFFFF"/>
        </w:rPr>
        <w:t>202</w:t>
      </w:r>
    </w:p>
    <w:p w14:paraId="1F60C452">
      <w:pPr>
        <w:widowControl/>
        <w:spacing w:line="360" w:lineRule="auto"/>
        <w:ind w:firstLine="420"/>
        <w:rPr>
          <w:kern w:val="0"/>
          <w:szCs w:val="21"/>
          <w:shd w:val="clear" w:color="auto" w:fill="FFFFFF"/>
        </w:rPr>
      </w:pPr>
      <w:r>
        <w:rPr>
          <w:rFonts w:hint="eastAsia" w:ascii="宋体" w:hAnsi="宋体"/>
          <w:szCs w:val="21"/>
          <w:shd w:val="clear" w:color="auto" w:fill="FFFFFF"/>
        </w:rPr>
        <w:t>2</w:t>
      </w:r>
      <w:r>
        <w:rPr>
          <w:rFonts w:hint="eastAsia"/>
          <w:kern w:val="0"/>
          <w:szCs w:val="21"/>
          <w:shd w:val="clear" w:color="auto" w:fill="FFFFFF"/>
        </w:rPr>
        <w:t>.采购人：浙江国际海运职业技术学院</w:t>
      </w:r>
    </w:p>
    <w:p w14:paraId="5E584B30">
      <w:pPr>
        <w:widowControl/>
        <w:spacing w:line="360" w:lineRule="auto"/>
        <w:ind w:firstLine="420"/>
        <w:rPr>
          <w:rFonts w:hint="eastAsia" w:eastAsia="宋体"/>
          <w:kern w:val="0"/>
          <w:szCs w:val="21"/>
          <w:shd w:val="clear" w:color="auto" w:fill="FFFFFF"/>
          <w:lang w:val="en-US" w:eastAsia="zh-CN"/>
        </w:rPr>
      </w:pPr>
      <w:r>
        <w:rPr>
          <w:rFonts w:hint="eastAsia"/>
          <w:kern w:val="0"/>
          <w:szCs w:val="21"/>
          <w:shd w:val="clear" w:color="auto" w:fill="FFFFFF"/>
        </w:rPr>
        <w:t>联系人：</w:t>
      </w:r>
      <w:r>
        <w:rPr>
          <w:rFonts w:hint="eastAsia"/>
          <w:kern w:val="0"/>
          <w:szCs w:val="21"/>
          <w:shd w:val="clear" w:color="auto" w:fill="FFFFFF"/>
          <w:lang w:val="en-US" w:eastAsia="zh-CN"/>
        </w:rPr>
        <w:t>吴老师</w:t>
      </w:r>
    </w:p>
    <w:p w14:paraId="7C4962A0">
      <w:pPr>
        <w:widowControl/>
        <w:spacing w:line="360" w:lineRule="auto"/>
        <w:ind w:firstLine="420"/>
        <w:rPr>
          <w:kern w:val="0"/>
          <w:szCs w:val="21"/>
          <w:shd w:val="clear" w:color="auto" w:fill="FFFFFF"/>
        </w:rPr>
      </w:pPr>
      <w:r>
        <w:rPr>
          <w:rFonts w:hint="eastAsia"/>
          <w:kern w:val="0"/>
          <w:szCs w:val="21"/>
          <w:shd w:val="clear" w:color="auto" w:fill="FFFFFF"/>
        </w:rPr>
        <w:t>联系电话：18969255925</w:t>
      </w:r>
    </w:p>
    <w:p w14:paraId="1218B832">
      <w:pPr>
        <w:spacing w:line="360" w:lineRule="auto"/>
        <w:ind w:firstLine="472" w:firstLineChars="225"/>
        <w:rPr>
          <w:kern w:val="0"/>
          <w:szCs w:val="21"/>
          <w:shd w:val="clear" w:color="auto" w:fill="FFFFFF"/>
        </w:rPr>
      </w:pPr>
      <w:r>
        <w:rPr>
          <w:rFonts w:hint="eastAsia"/>
          <w:kern w:val="0"/>
          <w:szCs w:val="21"/>
          <w:shd w:val="clear" w:color="auto" w:fill="FFFFFF"/>
        </w:rPr>
        <w:t>质疑答复联系人：</w:t>
      </w:r>
      <w:r>
        <w:rPr>
          <w:rFonts w:hint="eastAsia"/>
          <w:kern w:val="0"/>
          <w:szCs w:val="21"/>
          <w:shd w:val="clear" w:color="auto" w:fill="FFFFFF"/>
          <w:lang w:val="en-US" w:eastAsia="zh-CN"/>
        </w:rPr>
        <w:t>周老师</w:t>
      </w:r>
      <w:r>
        <w:rPr>
          <w:rFonts w:hint="eastAsia"/>
          <w:kern w:val="0"/>
          <w:szCs w:val="21"/>
          <w:shd w:val="clear" w:color="auto" w:fill="FFFFFF"/>
        </w:rPr>
        <w:t xml:space="preserve">  </w:t>
      </w:r>
    </w:p>
    <w:p w14:paraId="595F0CA3">
      <w:pPr>
        <w:spacing w:line="360" w:lineRule="auto"/>
        <w:ind w:firstLine="472" w:firstLineChars="225"/>
        <w:rPr>
          <w:kern w:val="0"/>
          <w:szCs w:val="21"/>
          <w:shd w:val="clear" w:color="auto" w:fill="FFFFFF"/>
        </w:rPr>
      </w:pPr>
      <w:r>
        <w:rPr>
          <w:rFonts w:hint="eastAsia"/>
          <w:kern w:val="0"/>
          <w:szCs w:val="21"/>
          <w:shd w:val="clear" w:color="auto" w:fill="FFFFFF"/>
        </w:rPr>
        <w:t xml:space="preserve">联系电话：0580-2095055 </w:t>
      </w:r>
    </w:p>
    <w:p w14:paraId="1FEA5D35">
      <w:pPr>
        <w:spacing w:line="360" w:lineRule="auto"/>
        <w:ind w:firstLine="472" w:firstLineChars="225"/>
        <w:rPr>
          <w:rFonts w:hint="eastAsia"/>
          <w:kern w:val="0"/>
        </w:rPr>
      </w:pPr>
      <w:r>
        <w:rPr>
          <w:kern w:val="0"/>
        </w:rPr>
        <w:t>地址：</w:t>
      </w:r>
      <w:r>
        <w:rPr>
          <w:rFonts w:hint="eastAsia"/>
          <w:kern w:val="0"/>
        </w:rPr>
        <w:t>舟山市临城新区海天大道268号</w:t>
      </w:r>
    </w:p>
    <w:p w14:paraId="01E4587B">
      <w:pPr>
        <w:spacing w:line="360" w:lineRule="auto"/>
        <w:ind w:firstLine="472" w:firstLineChars="225"/>
        <w:rPr>
          <w:rFonts w:hint="eastAsia" w:ascii="宋体" w:hAnsi="宋体"/>
          <w:szCs w:val="21"/>
        </w:rPr>
      </w:pPr>
      <w:r>
        <w:rPr>
          <w:rFonts w:hint="eastAsia" w:ascii="宋体" w:hAnsi="宋体"/>
          <w:szCs w:val="21"/>
        </w:rPr>
        <w:t>3.同级政府采购监督管理部门名称：</w:t>
      </w:r>
      <w:r>
        <w:rPr>
          <w:rFonts w:hint="eastAsia" w:ascii="宋体" w:hAnsi="宋体" w:cs="宋体"/>
          <w:szCs w:val="21"/>
        </w:rPr>
        <w:t>舟山市财政局（政府采购监管处）</w:t>
      </w:r>
    </w:p>
    <w:p w14:paraId="30231D88">
      <w:pPr>
        <w:spacing w:line="360" w:lineRule="auto"/>
        <w:ind w:firstLine="472" w:firstLineChars="225"/>
        <w:rPr>
          <w:rFonts w:hint="eastAsia" w:ascii="宋体" w:hAnsi="宋体"/>
          <w:b/>
          <w:sz w:val="30"/>
        </w:rPr>
      </w:pPr>
      <w:r>
        <w:rPr>
          <w:rFonts w:hint="eastAsia" w:ascii="宋体" w:hAnsi="宋体"/>
          <w:szCs w:val="21"/>
        </w:rPr>
        <w:t>监督投诉电话：</w:t>
      </w:r>
      <w:r>
        <w:rPr>
          <w:rFonts w:hint="eastAsia" w:ascii="宋体" w:hAnsi="宋体" w:cs="宋体"/>
          <w:kern w:val="0"/>
          <w:szCs w:val="21"/>
        </w:rPr>
        <w:t>0580-2282591</w:t>
      </w:r>
    </w:p>
    <w:p w14:paraId="4E30C2C0">
      <w:pPr>
        <w:spacing w:line="360" w:lineRule="auto"/>
        <w:ind w:firstLine="678" w:firstLineChars="225"/>
        <w:rPr>
          <w:rFonts w:hint="eastAsia" w:ascii="宋体" w:hAnsi="宋体"/>
          <w:b/>
          <w:sz w:val="30"/>
        </w:rPr>
      </w:pPr>
    </w:p>
    <w:p w14:paraId="3FAC1026">
      <w:pPr>
        <w:rPr>
          <w:b/>
          <w:kern w:val="0"/>
          <w:sz w:val="30"/>
        </w:rPr>
      </w:pPr>
      <w:r>
        <w:rPr>
          <w:b/>
          <w:kern w:val="0"/>
          <w:sz w:val="30"/>
        </w:rPr>
        <w:br w:type="page"/>
      </w:r>
    </w:p>
    <w:p w14:paraId="048BCFAC">
      <w:pPr>
        <w:widowControl/>
        <w:jc w:val="left"/>
        <w:rPr>
          <w:b/>
          <w:kern w:val="0"/>
          <w:sz w:val="30"/>
        </w:rPr>
        <w:sectPr>
          <w:pgSz w:w="11906" w:h="16838"/>
          <w:pgMar w:top="1304" w:right="1531" w:bottom="1304" w:left="1531" w:header="1134" w:footer="1304" w:gutter="0"/>
          <w:cols w:space="720" w:num="1"/>
        </w:sectPr>
      </w:pPr>
    </w:p>
    <w:p w14:paraId="26DA0136">
      <w:pPr>
        <w:numPr>
          <w:ilvl w:val="0"/>
          <w:numId w:val="8"/>
        </w:numPr>
        <w:snapToGrid w:val="0"/>
        <w:spacing w:line="360" w:lineRule="auto"/>
        <w:jc w:val="center"/>
        <w:rPr>
          <w:b/>
          <w:sz w:val="30"/>
        </w:rPr>
      </w:pPr>
      <w:r>
        <w:rPr>
          <w:rFonts w:hint="eastAsia"/>
          <w:b/>
          <w:sz w:val="30"/>
        </w:rPr>
        <w:t>招标需求</w:t>
      </w:r>
    </w:p>
    <w:p w14:paraId="15F6E989">
      <w:pPr>
        <w:pStyle w:val="35"/>
        <w:snapToGrid w:val="0"/>
        <w:spacing w:before="156" w:after="156"/>
        <w:outlineLvl w:val="0"/>
        <w:rPr>
          <w:rFonts w:hAnsi="宋体"/>
          <w:b/>
          <w:bCs/>
          <w:szCs w:val="24"/>
          <w:lang w:val="zh-CN"/>
        </w:rPr>
      </w:pPr>
      <w:r>
        <w:rPr>
          <w:rFonts w:hint="eastAsia" w:hAnsi="宋体"/>
          <w:b/>
          <w:bCs/>
          <w:szCs w:val="24"/>
          <w:lang w:val="zh-CN"/>
        </w:rPr>
        <w:t>一、招标须知</w:t>
      </w:r>
    </w:p>
    <w:p w14:paraId="6457184D">
      <w:pPr>
        <w:spacing w:line="360" w:lineRule="auto"/>
        <w:ind w:firstLine="420" w:firstLineChars="200"/>
        <w:outlineLvl w:val="0"/>
        <w:rPr>
          <w:rFonts w:hint="eastAsia" w:ascii="宋体" w:hAnsi="宋体" w:eastAsia="宋体" w:cs="宋体"/>
          <w:bCs/>
          <w:szCs w:val="21"/>
          <w:lang w:val="zh-CN"/>
        </w:rPr>
      </w:pPr>
      <w:r>
        <w:rPr>
          <w:rFonts w:hint="eastAsia" w:ascii="宋体" w:hAnsi="宋体" w:eastAsia="宋体" w:cs="宋体"/>
          <w:bCs/>
          <w:szCs w:val="21"/>
        </w:rPr>
        <w:t xml:space="preserve"> </w:t>
      </w:r>
      <w:r>
        <w:rPr>
          <w:rFonts w:hint="eastAsia" w:ascii="宋体" w:hAnsi="宋体" w:eastAsia="宋体" w:cs="宋体"/>
          <w:bCs/>
          <w:szCs w:val="21"/>
          <w:lang w:val="zh-CN"/>
        </w:rPr>
        <w:t>1</w:t>
      </w:r>
      <w:r>
        <w:rPr>
          <w:rFonts w:hint="eastAsia" w:ascii="宋体" w:hAnsi="宋体" w:cs="宋体"/>
          <w:bCs/>
          <w:szCs w:val="21"/>
          <w:lang w:val="en-US" w:eastAsia="zh-CN"/>
        </w:rPr>
        <w:t>.</w:t>
      </w:r>
      <w:r>
        <w:rPr>
          <w:rFonts w:hint="eastAsia" w:ascii="宋体" w:hAnsi="宋体" w:eastAsia="宋体" w:cs="宋体"/>
          <w:bCs/>
          <w:szCs w:val="21"/>
          <w:lang w:val="zh-CN"/>
        </w:rPr>
        <w:t>本项目建设内容为</w:t>
      </w:r>
      <w:r>
        <w:rPr>
          <w:rFonts w:hint="eastAsia"/>
          <w:kern w:val="0"/>
          <w:szCs w:val="21"/>
          <w:lang w:eastAsia="zh-CN"/>
        </w:rPr>
        <w:t xml:space="preserve">浙江国际海运职业技术学院2025年中文原版图书采购与服务供应项目。 </w:t>
      </w:r>
    </w:p>
    <w:p w14:paraId="73323930">
      <w:pPr>
        <w:spacing w:line="360" w:lineRule="auto"/>
        <w:ind w:firstLine="420" w:firstLineChars="200"/>
        <w:outlineLvl w:val="0"/>
        <w:rPr>
          <w:rFonts w:hint="eastAsia" w:ascii="宋体" w:hAnsi="宋体" w:eastAsia="宋体" w:cs="宋体"/>
          <w:bCs/>
          <w:szCs w:val="21"/>
          <w:lang w:val="zh-CN"/>
        </w:rPr>
      </w:pPr>
      <w:r>
        <w:rPr>
          <w:rFonts w:hint="eastAsia" w:ascii="宋体" w:hAnsi="宋体" w:eastAsia="宋体" w:cs="宋体"/>
          <w:bCs/>
          <w:szCs w:val="21"/>
        </w:rPr>
        <w:t xml:space="preserve"> </w:t>
      </w:r>
      <w:r>
        <w:rPr>
          <w:rFonts w:hint="eastAsia" w:ascii="宋体" w:hAnsi="宋体" w:eastAsia="宋体" w:cs="宋体"/>
          <w:bCs/>
          <w:szCs w:val="21"/>
          <w:lang w:val="zh-CN"/>
        </w:rPr>
        <w:t>2</w:t>
      </w:r>
      <w:r>
        <w:rPr>
          <w:rFonts w:hint="eastAsia" w:ascii="宋体" w:hAnsi="宋体" w:cs="宋体"/>
          <w:bCs/>
          <w:szCs w:val="21"/>
          <w:lang w:val="en-US" w:eastAsia="zh-CN"/>
        </w:rPr>
        <w:t>.</w:t>
      </w:r>
      <w:r>
        <w:rPr>
          <w:rFonts w:hint="eastAsia" w:ascii="宋体" w:hAnsi="宋体" w:eastAsia="宋体" w:cs="宋体"/>
          <w:bCs/>
          <w:szCs w:val="21"/>
          <w:lang w:val="zh-CN"/>
        </w:rPr>
        <w:t>中标供货商：</w:t>
      </w:r>
      <w:r>
        <w:rPr>
          <w:rFonts w:hint="eastAsia" w:ascii="宋体" w:hAnsi="宋体" w:eastAsia="宋体" w:cs="宋体"/>
          <w:bCs/>
          <w:szCs w:val="21"/>
          <w:lang w:val="en-US" w:eastAsia="zh-CN"/>
        </w:rPr>
        <w:t>2025</w:t>
      </w:r>
      <w:r>
        <w:rPr>
          <w:rFonts w:hint="eastAsia" w:ascii="宋体" w:hAnsi="宋体" w:eastAsia="宋体" w:cs="宋体"/>
          <w:bCs/>
          <w:szCs w:val="21"/>
          <w:lang w:val="zh-CN"/>
        </w:rPr>
        <w:t>年图书定点采购、加工供货商1</w:t>
      </w:r>
      <w:r>
        <w:rPr>
          <w:rFonts w:hint="eastAsia" w:ascii="宋体" w:hAnsi="宋体" w:cs="宋体"/>
          <w:bCs/>
          <w:szCs w:val="21"/>
          <w:lang w:val="en-US" w:eastAsia="zh-CN"/>
        </w:rPr>
        <w:t>家</w:t>
      </w:r>
      <w:r>
        <w:rPr>
          <w:rFonts w:hint="eastAsia" w:ascii="宋体" w:hAnsi="宋体" w:eastAsia="宋体" w:cs="宋体"/>
          <w:bCs/>
          <w:szCs w:val="21"/>
          <w:lang w:val="zh-CN"/>
        </w:rPr>
        <w:t>。</w:t>
      </w:r>
    </w:p>
    <w:p w14:paraId="460652B2">
      <w:pPr>
        <w:snapToGrid w:val="0"/>
        <w:spacing w:line="312" w:lineRule="auto"/>
        <w:rPr>
          <w:rFonts w:hint="eastAsia" w:ascii="宋体" w:hAnsi="宋体"/>
          <w:b/>
          <w:sz w:val="24"/>
          <w:lang w:val="en-US" w:eastAsia="zh-CN"/>
        </w:rPr>
      </w:pPr>
    </w:p>
    <w:p w14:paraId="60B2646A">
      <w:pPr>
        <w:snapToGrid w:val="0"/>
        <w:spacing w:line="312" w:lineRule="auto"/>
        <w:rPr>
          <w:rFonts w:hint="eastAsia" w:ascii="宋体" w:hAnsi="宋体" w:cs="宋体"/>
          <w:szCs w:val="21"/>
        </w:rPr>
      </w:pPr>
      <w:r>
        <w:rPr>
          <w:rFonts w:hint="eastAsia" w:ascii="宋体" w:hAnsi="宋体"/>
          <w:b/>
          <w:sz w:val="24"/>
          <w:lang w:val="en-US" w:eastAsia="zh-CN"/>
        </w:rPr>
        <w:t>二</w:t>
      </w:r>
      <w:r>
        <w:rPr>
          <w:rFonts w:hint="eastAsia" w:ascii="宋体" w:hAnsi="宋体"/>
          <w:b/>
          <w:sz w:val="24"/>
        </w:rPr>
        <w:t>、采购需求</w:t>
      </w:r>
    </w:p>
    <w:p w14:paraId="4851852F">
      <w:pPr>
        <w:pStyle w:val="35"/>
        <w:spacing w:before="156" w:after="156" w:line="360" w:lineRule="auto"/>
        <w:rPr>
          <w:rFonts w:hAnsi="宋体"/>
          <w:bCs/>
          <w:sz w:val="21"/>
          <w:szCs w:val="21"/>
        </w:rPr>
      </w:pPr>
      <w:r>
        <w:rPr>
          <w:rFonts w:hint="eastAsia" w:hAnsi="宋体"/>
          <w:bCs/>
          <w:sz w:val="21"/>
          <w:szCs w:val="21"/>
        </w:rPr>
        <w:t>（一）</w:t>
      </w:r>
      <w:r>
        <w:rPr>
          <w:rFonts w:hint="eastAsia" w:hAnsi="宋体"/>
          <w:bCs/>
          <w:sz w:val="21"/>
          <w:szCs w:val="21"/>
          <w:lang w:val="en-US" w:eastAsia="zh-CN"/>
        </w:rPr>
        <w:t>2025</w:t>
      </w:r>
      <w:r>
        <w:rPr>
          <w:rFonts w:hint="eastAsia" w:hAnsi="宋体"/>
          <w:bCs/>
          <w:sz w:val="21"/>
          <w:szCs w:val="21"/>
        </w:rPr>
        <w:t>年图书采购、加工范围：</w:t>
      </w:r>
    </w:p>
    <w:p w14:paraId="70CFFE1F">
      <w:pPr>
        <w:pStyle w:val="35"/>
        <w:spacing w:before="156" w:after="156" w:line="360" w:lineRule="auto"/>
        <w:rPr>
          <w:rFonts w:hAnsi="宋体"/>
          <w:bCs/>
          <w:color w:val="auto"/>
          <w:sz w:val="21"/>
          <w:szCs w:val="21"/>
        </w:rPr>
      </w:pPr>
      <w:r>
        <w:rPr>
          <w:rFonts w:hint="eastAsia" w:hAnsi="宋体"/>
          <w:bCs/>
          <w:sz w:val="21"/>
          <w:szCs w:val="21"/>
        </w:rPr>
        <w:t xml:space="preserve">  </w:t>
      </w:r>
      <w:r>
        <w:rPr>
          <w:rFonts w:hint="eastAsia" w:hAnsi="宋体"/>
          <w:bCs/>
          <w:color w:val="auto"/>
          <w:sz w:val="21"/>
          <w:szCs w:val="21"/>
        </w:rPr>
        <w:t xml:space="preserve">  1</w:t>
      </w:r>
      <w:r>
        <w:rPr>
          <w:rFonts w:hint="eastAsia" w:hAnsi="宋体"/>
          <w:bCs/>
          <w:color w:val="auto"/>
          <w:sz w:val="21"/>
          <w:szCs w:val="21"/>
          <w:lang w:val="en-US" w:eastAsia="zh-CN"/>
        </w:rPr>
        <w:t>.</w:t>
      </w:r>
      <w:r>
        <w:rPr>
          <w:rFonts w:hint="eastAsia" w:hAnsi="宋体"/>
          <w:bCs/>
          <w:color w:val="auto"/>
          <w:sz w:val="21"/>
          <w:szCs w:val="21"/>
        </w:rPr>
        <w:t>采购图书为</w:t>
      </w:r>
      <w:r>
        <w:rPr>
          <w:rFonts w:hint="eastAsia" w:hAnsi="宋体"/>
          <w:bCs/>
          <w:color w:val="auto"/>
          <w:sz w:val="21"/>
          <w:szCs w:val="21"/>
          <w:lang w:val="en-US" w:eastAsia="zh-CN"/>
        </w:rPr>
        <w:t>2024</w:t>
      </w:r>
      <w:r>
        <w:rPr>
          <w:rFonts w:hint="eastAsia" w:hAnsi="宋体"/>
          <w:bCs/>
          <w:color w:val="auto"/>
          <w:sz w:val="21"/>
          <w:szCs w:val="21"/>
        </w:rPr>
        <w:t>年起（含202</w:t>
      </w:r>
      <w:r>
        <w:rPr>
          <w:rFonts w:hint="eastAsia" w:hAnsi="宋体"/>
          <w:bCs/>
          <w:color w:val="auto"/>
          <w:sz w:val="21"/>
          <w:szCs w:val="21"/>
          <w:lang w:val="en-US" w:eastAsia="zh-CN"/>
        </w:rPr>
        <w:t>4</w:t>
      </w:r>
      <w:r>
        <w:rPr>
          <w:rFonts w:hint="eastAsia" w:hAnsi="宋体"/>
          <w:bCs/>
          <w:color w:val="auto"/>
          <w:sz w:val="21"/>
          <w:szCs w:val="21"/>
        </w:rPr>
        <w:t>年）出版图书。</w:t>
      </w:r>
    </w:p>
    <w:p w14:paraId="6AE7D478">
      <w:pPr>
        <w:pStyle w:val="35"/>
        <w:spacing w:line="360" w:lineRule="auto"/>
        <w:ind w:firstLine="420" w:firstLineChars="200"/>
        <w:rPr>
          <w:rFonts w:hAnsi="宋体"/>
          <w:bCs/>
          <w:color w:val="auto"/>
          <w:sz w:val="21"/>
          <w:szCs w:val="21"/>
        </w:rPr>
      </w:pPr>
      <w:r>
        <w:rPr>
          <w:rFonts w:hint="eastAsia" w:hAnsi="宋体"/>
          <w:bCs/>
          <w:color w:val="auto"/>
          <w:sz w:val="21"/>
          <w:szCs w:val="21"/>
        </w:rPr>
        <w:t>2</w:t>
      </w:r>
      <w:r>
        <w:rPr>
          <w:rFonts w:hint="eastAsia" w:hAnsi="宋体"/>
          <w:bCs/>
          <w:color w:val="auto"/>
          <w:sz w:val="21"/>
          <w:szCs w:val="21"/>
          <w:lang w:val="en-US" w:eastAsia="zh-CN"/>
        </w:rPr>
        <w:t>.投标人</w:t>
      </w:r>
      <w:r>
        <w:rPr>
          <w:rFonts w:hint="eastAsia" w:hAnsi="宋体"/>
          <w:bCs/>
          <w:color w:val="auto"/>
          <w:sz w:val="21"/>
          <w:szCs w:val="21"/>
        </w:rPr>
        <w:t xml:space="preserve">所提供书目的学科范围包括：航海技术类、船舶工程类、港口管理类、物流管理类、报关类、食品工业检测类、旅游管理类、邮轮乘务类、工业机器人类、飞机机电设备维修类、石油化工类、计算机类、英语类、艺术类等。  </w:t>
      </w:r>
    </w:p>
    <w:p w14:paraId="5F0AB4CE">
      <w:pPr>
        <w:pStyle w:val="35"/>
        <w:spacing w:before="156" w:after="156" w:line="360" w:lineRule="auto"/>
        <w:ind w:firstLine="420"/>
        <w:rPr>
          <w:rFonts w:hAnsi="宋体"/>
          <w:bCs/>
          <w:color w:val="auto"/>
          <w:sz w:val="21"/>
          <w:szCs w:val="21"/>
        </w:rPr>
      </w:pPr>
      <w:r>
        <w:rPr>
          <w:rFonts w:hint="eastAsia" w:hAnsi="宋体"/>
          <w:bCs/>
          <w:color w:val="auto"/>
          <w:sz w:val="21"/>
          <w:szCs w:val="21"/>
        </w:rPr>
        <w:t>3</w:t>
      </w:r>
      <w:r>
        <w:rPr>
          <w:rFonts w:hint="eastAsia" w:hAnsi="宋体"/>
          <w:bCs/>
          <w:color w:val="auto"/>
          <w:sz w:val="21"/>
          <w:szCs w:val="21"/>
          <w:lang w:val="en-US" w:eastAsia="zh-CN"/>
        </w:rPr>
        <w:t>.</w:t>
      </w:r>
      <w:r>
        <w:rPr>
          <w:rFonts w:hint="eastAsia" w:hAnsi="宋体"/>
          <w:bCs/>
          <w:color w:val="auto"/>
          <w:sz w:val="21"/>
          <w:szCs w:val="21"/>
        </w:rPr>
        <w:t>购书经费实洋</w:t>
      </w:r>
      <w:r>
        <w:rPr>
          <w:rFonts w:hint="eastAsia" w:hAnsi="宋体"/>
          <w:bCs/>
          <w:color w:val="auto"/>
          <w:sz w:val="21"/>
          <w:szCs w:val="21"/>
          <w:lang w:val="en-US" w:eastAsia="zh-CN"/>
        </w:rPr>
        <w:t>58</w:t>
      </w:r>
      <w:r>
        <w:rPr>
          <w:rFonts w:hint="eastAsia" w:hAnsi="宋体"/>
          <w:bCs/>
          <w:color w:val="auto"/>
          <w:sz w:val="21"/>
          <w:szCs w:val="21"/>
        </w:rPr>
        <w:t>万元。</w:t>
      </w:r>
    </w:p>
    <w:p w14:paraId="0ABC8490">
      <w:pPr>
        <w:pStyle w:val="35"/>
        <w:spacing w:before="156" w:after="156" w:line="360" w:lineRule="auto"/>
        <w:rPr>
          <w:rFonts w:hAnsi="宋体"/>
          <w:bCs/>
          <w:color w:val="auto"/>
          <w:sz w:val="21"/>
          <w:szCs w:val="21"/>
        </w:rPr>
      </w:pPr>
      <w:r>
        <w:rPr>
          <w:rFonts w:hint="eastAsia" w:hAnsi="宋体"/>
          <w:bCs/>
          <w:color w:val="auto"/>
          <w:sz w:val="21"/>
          <w:szCs w:val="21"/>
        </w:rPr>
        <w:t xml:space="preserve">    4</w:t>
      </w:r>
      <w:r>
        <w:rPr>
          <w:rFonts w:hint="eastAsia" w:hAnsi="宋体"/>
          <w:bCs/>
          <w:color w:val="auto"/>
          <w:sz w:val="21"/>
          <w:szCs w:val="21"/>
          <w:lang w:val="en-US" w:eastAsia="zh-CN"/>
        </w:rPr>
        <w:t>.</w:t>
      </w:r>
      <w:r>
        <w:rPr>
          <w:rFonts w:hint="eastAsia" w:hAnsi="宋体"/>
          <w:bCs/>
          <w:color w:val="auto"/>
          <w:sz w:val="21"/>
          <w:szCs w:val="21"/>
        </w:rPr>
        <w:t>采购册数：</w:t>
      </w:r>
      <w:r>
        <w:rPr>
          <w:rFonts w:hint="eastAsia" w:hAnsi="宋体"/>
          <w:bCs/>
          <w:color w:val="auto"/>
          <w:sz w:val="21"/>
          <w:szCs w:val="21"/>
          <w:lang w:val="en-US" w:eastAsia="zh-CN"/>
        </w:rPr>
        <w:t>19000</w:t>
      </w:r>
      <w:r>
        <w:rPr>
          <w:rFonts w:hint="eastAsia" w:hAnsi="宋体"/>
          <w:bCs/>
          <w:color w:val="auto"/>
          <w:sz w:val="21"/>
          <w:szCs w:val="21"/>
        </w:rPr>
        <w:t>册以上。</w:t>
      </w:r>
    </w:p>
    <w:p w14:paraId="1F1DFD24">
      <w:pPr>
        <w:pStyle w:val="35"/>
        <w:spacing w:before="156" w:after="156" w:line="360" w:lineRule="auto"/>
        <w:rPr>
          <w:rFonts w:hAnsi="宋体"/>
          <w:bCs/>
          <w:color w:val="auto"/>
          <w:sz w:val="21"/>
          <w:szCs w:val="21"/>
        </w:rPr>
      </w:pPr>
      <w:r>
        <w:rPr>
          <w:rFonts w:hint="eastAsia" w:hAnsi="宋体"/>
          <w:bCs/>
          <w:color w:val="auto"/>
          <w:sz w:val="21"/>
          <w:szCs w:val="21"/>
        </w:rPr>
        <w:t xml:space="preserve">  </w:t>
      </w:r>
      <w:r>
        <w:rPr>
          <w:rFonts w:hAnsi="宋体"/>
          <w:bCs/>
          <w:color w:val="auto"/>
          <w:sz w:val="21"/>
          <w:szCs w:val="21"/>
        </w:rPr>
        <w:t xml:space="preserve"> </w:t>
      </w:r>
      <w:r>
        <w:rPr>
          <w:rFonts w:hint="eastAsia" w:hAnsi="宋体"/>
          <w:bCs/>
          <w:color w:val="auto"/>
          <w:sz w:val="21"/>
          <w:szCs w:val="21"/>
        </w:rPr>
        <w:t xml:space="preserve"> </w:t>
      </w:r>
      <w:r>
        <w:rPr>
          <w:rFonts w:hAnsi="宋体"/>
          <w:bCs/>
          <w:color w:val="auto"/>
          <w:sz w:val="21"/>
          <w:szCs w:val="21"/>
        </w:rPr>
        <w:t>5</w:t>
      </w:r>
      <w:r>
        <w:rPr>
          <w:rFonts w:hint="eastAsia" w:hAnsi="宋体"/>
          <w:bCs/>
          <w:color w:val="auto"/>
          <w:sz w:val="21"/>
          <w:szCs w:val="21"/>
          <w:lang w:val="en-US" w:eastAsia="zh-CN"/>
        </w:rPr>
        <w:t>.</w:t>
      </w:r>
      <w:r>
        <w:rPr>
          <w:rFonts w:hint="eastAsia" w:hAnsi="宋体"/>
          <w:bCs/>
          <w:color w:val="auto"/>
          <w:sz w:val="21"/>
          <w:szCs w:val="21"/>
        </w:rPr>
        <w:t>采购时间：</w:t>
      </w:r>
      <w:r>
        <w:rPr>
          <w:rFonts w:hint="eastAsia" w:hAnsi="宋体"/>
          <w:bCs/>
          <w:color w:val="auto"/>
          <w:sz w:val="21"/>
          <w:szCs w:val="21"/>
          <w:lang w:val="en-US" w:eastAsia="zh-CN"/>
        </w:rPr>
        <w:t>2025</w:t>
      </w:r>
      <w:r>
        <w:rPr>
          <w:rFonts w:hint="eastAsia" w:hAnsi="宋体"/>
          <w:bCs/>
          <w:color w:val="auto"/>
          <w:sz w:val="21"/>
          <w:szCs w:val="21"/>
        </w:rPr>
        <w:t>年</w:t>
      </w:r>
      <w:r>
        <w:rPr>
          <w:rFonts w:hint="eastAsia" w:hAnsi="宋体"/>
          <w:bCs/>
          <w:color w:val="auto"/>
          <w:sz w:val="21"/>
          <w:szCs w:val="21"/>
          <w:lang w:val="en-US" w:eastAsia="zh-CN"/>
        </w:rPr>
        <w:t>7</w:t>
      </w:r>
      <w:r>
        <w:rPr>
          <w:rFonts w:hint="eastAsia" w:hAnsi="宋体"/>
          <w:bCs/>
          <w:color w:val="auto"/>
          <w:sz w:val="21"/>
          <w:szCs w:val="21"/>
        </w:rPr>
        <w:t>月</w:t>
      </w:r>
      <w:r>
        <w:rPr>
          <w:rFonts w:hint="eastAsia" w:hAnsi="宋体"/>
          <w:bCs/>
          <w:color w:val="auto"/>
          <w:sz w:val="21"/>
          <w:szCs w:val="21"/>
          <w:lang w:eastAsia="zh-CN"/>
        </w:rPr>
        <w:t>。</w:t>
      </w:r>
      <w:r>
        <w:rPr>
          <w:rFonts w:hint="eastAsia" w:hAnsi="宋体"/>
          <w:bCs/>
          <w:color w:val="auto"/>
          <w:sz w:val="21"/>
          <w:szCs w:val="21"/>
        </w:rPr>
        <w:t xml:space="preserve"> </w:t>
      </w:r>
      <w:r>
        <w:rPr>
          <w:rFonts w:hAnsi="宋体"/>
          <w:bCs/>
          <w:color w:val="auto"/>
          <w:sz w:val="21"/>
          <w:szCs w:val="21"/>
        </w:rPr>
        <w:t xml:space="preserve">   </w:t>
      </w:r>
    </w:p>
    <w:p w14:paraId="79578B0F">
      <w:pPr>
        <w:pStyle w:val="35"/>
        <w:spacing w:before="156" w:after="156" w:line="360" w:lineRule="auto"/>
        <w:rPr>
          <w:rFonts w:hAnsi="宋体"/>
          <w:bCs/>
          <w:color w:val="auto"/>
          <w:sz w:val="21"/>
          <w:szCs w:val="21"/>
        </w:rPr>
      </w:pPr>
      <w:r>
        <w:rPr>
          <w:rFonts w:hAnsi="宋体"/>
          <w:bCs/>
          <w:color w:val="auto"/>
          <w:sz w:val="21"/>
          <w:szCs w:val="21"/>
        </w:rPr>
        <w:t xml:space="preserve">  </w:t>
      </w:r>
      <w:r>
        <w:rPr>
          <w:rFonts w:hint="eastAsia" w:hAnsi="宋体"/>
          <w:bCs/>
          <w:color w:val="auto"/>
          <w:sz w:val="21"/>
          <w:szCs w:val="21"/>
        </w:rPr>
        <w:t>（二）具体要求：</w:t>
      </w:r>
    </w:p>
    <w:p w14:paraId="460EC78D">
      <w:pPr>
        <w:pStyle w:val="35"/>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1</w:t>
      </w:r>
      <w:r>
        <w:rPr>
          <w:rFonts w:hint="eastAsia" w:hAnsi="宋体"/>
          <w:bCs/>
          <w:color w:val="auto"/>
          <w:sz w:val="21"/>
          <w:szCs w:val="21"/>
          <w:highlight w:val="none"/>
          <w:lang w:val="en-US" w:eastAsia="zh-CN"/>
        </w:rPr>
        <w:t>.投标人</w:t>
      </w:r>
      <w:r>
        <w:rPr>
          <w:rFonts w:hint="eastAsia" w:hAnsi="宋体"/>
          <w:bCs/>
          <w:color w:val="auto"/>
          <w:sz w:val="21"/>
          <w:szCs w:val="21"/>
          <w:highlight w:val="none"/>
        </w:rPr>
        <w:t>必须在202</w:t>
      </w:r>
      <w:r>
        <w:rPr>
          <w:rFonts w:hint="eastAsia" w:hAnsi="宋体"/>
          <w:bCs/>
          <w:color w:val="auto"/>
          <w:sz w:val="21"/>
          <w:szCs w:val="21"/>
          <w:highlight w:val="none"/>
          <w:lang w:val="en-US" w:eastAsia="zh-CN"/>
        </w:rPr>
        <w:t>5</w:t>
      </w:r>
      <w:r>
        <w:rPr>
          <w:rFonts w:hint="eastAsia" w:hAnsi="宋体"/>
          <w:bCs/>
          <w:color w:val="auto"/>
          <w:sz w:val="21"/>
          <w:szCs w:val="21"/>
          <w:highlight w:val="none"/>
        </w:rPr>
        <w:t>年8月底前加工完成所有图书，运送到馆并上架。</w:t>
      </w:r>
    </w:p>
    <w:p w14:paraId="561F7E09">
      <w:pPr>
        <w:pStyle w:val="35"/>
        <w:spacing w:line="360" w:lineRule="auto"/>
        <w:ind w:firstLine="420" w:firstLineChars="200"/>
        <w:rPr>
          <w:rFonts w:hint="eastAsia" w:hAnsi="宋体"/>
          <w:bCs/>
          <w:color w:val="auto"/>
          <w:sz w:val="21"/>
          <w:szCs w:val="21"/>
        </w:rPr>
      </w:pPr>
      <w:r>
        <w:rPr>
          <w:rFonts w:hint="eastAsia" w:hAnsi="宋体"/>
          <w:bCs/>
          <w:color w:val="auto"/>
          <w:sz w:val="21"/>
          <w:szCs w:val="21"/>
        </w:rPr>
        <w:t>2</w:t>
      </w:r>
      <w:r>
        <w:rPr>
          <w:rFonts w:hint="eastAsia" w:hAnsi="宋体"/>
          <w:bCs/>
          <w:color w:val="auto"/>
          <w:sz w:val="21"/>
          <w:szCs w:val="21"/>
          <w:lang w:val="en-US" w:eastAsia="zh-CN"/>
        </w:rPr>
        <w:t>.投标人</w:t>
      </w:r>
      <w:r>
        <w:rPr>
          <w:rFonts w:hint="eastAsia" w:hAnsi="宋体"/>
          <w:bCs/>
          <w:color w:val="auto"/>
          <w:sz w:val="21"/>
          <w:szCs w:val="21"/>
        </w:rPr>
        <w:t>必须以半月为单位定期向图书馆提供新书目，所购图书由图书馆核定书单，不在书单范围内的图书馆可以拒收。供货方需提供现场服务。</w:t>
      </w:r>
    </w:p>
    <w:p w14:paraId="6B3537A8">
      <w:pPr>
        <w:pStyle w:val="35"/>
        <w:spacing w:before="156" w:after="156" w:line="360" w:lineRule="auto"/>
        <w:ind w:firstLine="420" w:firstLineChars="200"/>
        <w:rPr>
          <w:rFonts w:hAnsi="宋体"/>
          <w:bCs/>
          <w:sz w:val="21"/>
          <w:szCs w:val="21"/>
        </w:rPr>
      </w:pPr>
      <w:r>
        <w:rPr>
          <w:rFonts w:hAnsi="宋体"/>
          <w:bCs/>
          <w:sz w:val="21"/>
          <w:szCs w:val="21"/>
        </w:rPr>
        <w:t>3</w:t>
      </w:r>
      <w:r>
        <w:rPr>
          <w:rFonts w:hint="eastAsia" w:hAnsi="宋体"/>
          <w:bCs/>
          <w:sz w:val="21"/>
          <w:szCs w:val="21"/>
          <w:lang w:val="en-US" w:eastAsia="zh-CN"/>
        </w:rPr>
        <w:t>.投标人</w:t>
      </w:r>
      <w:r>
        <w:rPr>
          <w:rFonts w:hint="eastAsia" w:hAnsi="宋体"/>
          <w:bCs/>
          <w:sz w:val="21"/>
          <w:szCs w:val="21"/>
        </w:rPr>
        <w:t>接到</w:t>
      </w:r>
      <w:r>
        <w:rPr>
          <w:rFonts w:hint="eastAsia" w:hAnsi="宋体"/>
          <w:bCs/>
          <w:sz w:val="21"/>
          <w:szCs w:val="21"/>
          <w:lang w:val="en-US" w:eastAsia="zh-CN"/>
        </w:rPr>
        <w:t>采购人</w:t>
      </w:r>
      <w:r>
        <w:rPr>
          <w:rFonts w:hint="eastAsia" w:hAnsi="宋体"/>
          <w:bCs/>
          <w:sz w:val="21"/>
          <w:szCs w:val="21"/>
        </w:rPr>
        <w:t>书目订单后，三个月内到书率应不低于85%。现采图书到书率不低于95%。</w:t>
      </w:r>
    </w:p>
    <w:p w14:paraId="513F307A">
      <w:pPr>
        <w:pStyle w:val="35"/>
        <w:spacing w:before="156" w:after="156" w:line="360" w:lineRule="auto"/>
        <w:ind w:firstLine="420" w:firstLineChars="200"/>
        <w:rPr>
          <w:rFonts w:hAnsi="宋体"/>
          <w:bCs/>
          <w:sz w:val="21"/>
          <w:szCs w:val="21"/>
        </w:rPr>
      </w:pPr>
      <w:r>
        <w:rPr>
          <w:rFonts w:hAnsi="宋体"/>
          <w:bCs/>
          <w:sz w:val="21"/>
          <w:szCs w:val="21"/>
        </w:rPr>
        <w:t>4</w:t>
      </w:r>
      <w:r>
        <w:rPr>
          <w:rFonts w:hint="eastAsia" w:hAnsi="宋体"/>
          <w:bCs/>
          <w:sz w:val="21"/>
          <w:szCs w:val="21"/>
          <w:lang w:val="en-US" w:eastAsia="zh-CN"/>
        </w:rPr>
        <w:t>.投标人</w:t>
      </w:r>
      <w:r>
        <w:rPr>
          <w:rFonts w:hint="eastAsia" w:hAnsi="宋体"/>
          <w:bCs/>
          <w:sz w:val="21"/>
          <w:szCs w:val="21"/>
        </w:rPr>
        <w:t>对</w:t>
      </w:r>
      <w:r>
        <w:rPr>
          <w:rFonts w:hint="eastAsia" w:hAnsi="宋体"/>
          <w:bCs/>
          <w:sz w:val="21"/>
          <w:szCs w:val="21"/>
          <w:lang w:val="en-US" w:eastAsia="zh-CN"/>
        </w:rPr>
        <w:t>采购人</w:t>
      </w:r>
      <w:r>
        <w:rPr>
          <w:rFonts w:hint="eastAsia" w:hAnsi="宋体"/>
          <w:bCs/>
          <w:sz w:val="21"/>
          <w:szCs w:val="21"/>
        </w:rPr>
        <w:t>报送的每批订购数据应在一季度内提供无法订到图书书目反馈，半年内提供未到书清单，并以书面形式分析、说明原因，并尽快补充未到的图书。凡</w:t>
      </w:r>
      <w:r>
        <w:rPr>
          <w:rFonts w:hint="eastAsia" w:hAnsi="宋体"/>
          <w:bCs/>
          <w:sz w:val="21"/>
          <w:szCs w:val="21"/>
          <w:lang w:val="en-US" w:eastAsia="zh-CN"/>
        </w:rPr>
        <w:t>投标人</w:t>
      </w:r>
      <w:r>
        <w:rPr>
          <w:rFonts w:hint="eastAsia" w:hAnsi="宋体"/>
          <w:bCs/>
          <w:sz w:val="21"/>
          <w:szCs w:val="21"/>
        </w:rPr>
        <w:t>半年内无法配到的图书，</w:t>
      </w:r>
      <w:r>
        <w:rPr>
          <w:rFonts w:hint="eastAsia" w:hAnsi="宋体"/>
          <w:bCs/>
          <w:sz w:val="21"/>
          <w:szCs w:val="21"/>
          <w:lang w:val="en-US" w:eastAsia="zh-CN"/>
        </w:rPr>
        <w:t>采购人</w:t>
      </w:r>
      <w:r>
        <w:rPr>
          <w:rFonts w:hint="eastAsia" w:hAnsi="宋体"/>
          <w:bCs/>
          <w:sz w:val="21"/>
          <w:szCs w:val="21"/>
        </w:rPr>
        <w:t>有权撤消订单。</w:t>
      </w:r>
    </w:p>
    <w:p w14:paraId="14B544BD">
      <w:pPr>
        <w:pStyle w:val="35"/>
        <w:spacing w:before="156" w:after="156" w:line="360" w:lineRule="auto"/>
        <w:ind w:firstLine="420" w:firstLineChars="200"/>
        <w:rPr>
          <w:rFonts w:hAnsi="宋体"/>
          <w:bCs/>
          <w:sz w:val="21"/>
          <w:szCs w:val="21"/>
        </w:rPr>
      </w:pPr>
      <w:r>
        <w:rPr>
          <w:rFonts w:hAnsi="宋体"/>
          <w:bCs/>
          <w:sz w:val="21"/>
          <w:szCs w:val="21"/>
        </w:rPr>
        <w:t>5</w:t>
      </w:r>
      <w:r>
        <w:rPr>
          <w:rFonts w:hint="eastAsia" w:hAnsi="宋体"/>
          <w:bCs/>
          <w:sz w:val="21"/>
          <w:szCs w:val="21"/>
          <w:lang w:val="en-US" w:eastAsia="zh-CN"/>
        </w:rPr>
        <w:t>.投标人</w:t>
      </w:r>
      <w:r>
        <w:rPr>
          <w:rFonts w:hint="eastAsia" w:hAnsi="宋体"/>
          <w:bCs/>
          <w:sz w:val="21"/>
          <w:szCs w:val="21"/>
        </w:rPr>
        <w:t>自行负责加工服务（粘贴书标、条码、磁条、盖章加工等要求按图书馆要求操作）。服务人员数量由招标方依据购书额度的大小确定，加工人员要相对固定。</w:t>
      </w:r>
    </w:p>
    <w:p w14:paraId="015E606E">
      <w:pPr>
        <w:pStyle w:val="35"/>
        <w:spacing w:before="156" w:after="156" w:line="360" w:lineRule="auto"/>
        <w:ind w:firstLine="420" w:firstLineChars="200"/>
        <w:rPr>
          <w:rFonts w:hint="eastAsia" w:hAnsi="宋体"/>
          <w:bCs/>
          <w:color w:val="auto"/>
          <w:sz w:val="21"/>
          <w:szCs w:val="21"/>
        </w:rPr>
      </w:pPr>
      <w:r>
        <w:rPr>
          <w:rFonts w:hAnsi="宋体"/>
          <w:bCs/>
          <w:color w:val="auto"/>
          <w:sz w:val="21"/>
          <w:szCs w:val="21"/>
        </w:rPr>
        <w:t>6</w:t>
      </w:r>
      <w:r>
        <w:rPr>
          <w:rFonts w:hint="eastAsia" w:hAnsi="宋体"/>
          <w:bCs/>
          <w:color w:val="auto"/>
          <w:sz w:val="21"/>
          <w:szCs w:val="21"/>
          <w:lang w:val="en-US" w:eastAsia="zh-CN"/>
        </w:rPr>
        <w:t>.投标人</w:t>
      </w:r>
      <w:r>
        <w:rPr>
          <w:rFonts w:hint="eastAsia" w:hAnsi="宋体"/>
          <w:bCs/>
          <w:color w:val="auto"/>
          <w:sz w:val="21"/>
          <w:szCs w:val="21"/>
        </w:rPr>
        <w:t>加工完成的图书运送到馆后，须接受招标方对包括图书分编等所有加工项目的考核、检查，其准确率应保证在98％以上。考核不合格</w:t>
      </w:r>
      <w:r>
        <w:rPr>
          <w:rFonts w:hint="eastAsia" w:hAnsi="宋体"/>
          <w:bCs/>
          <w:color w:val="auto"/>
          <w:sz w:val="21"/>
          <w:szCs w:val="21"/>
          <w:lang w:val="en-US" w:eastAsia="zh-CN"/>
        </w:rPr>
        <w:t>采购人</w:t>
      </w:r>
      <w:r>
        <w:rPr>
          <w:rFonts w:hint="eastAsia" w:hAnsi="宋体"/>
          <w:bCs/>
          <w:color w:val="auto"/>
          <w:sz w:val="21"/>
          <w:szCs w:val="21"/>
        </w:rPr>
        <w:t>有权中止合同。</w:t>
      </w:r>
    </w:p>
    <w:p w14:paraId="055E29D3">
      <w:pPr>
        <w:pStyle w:val="35"/>
        <w:spacing w:before="156" w:after="156" w:line="360" w:lineRule="auto"/>
        <w:ind w:firstLine="420" w:firstLineChars="200"/>
        <w:rPr>
          <w:rFonts w:hint="eastAsia" w:hAnsi="宋体"/>
          <w:bCs/>
          <w:color w:val="auto"/>
          <w:sz w:val="21"/>
          <w:szCs w:val="21"/>
        </w:rPr>
      </w:pPr>
      <w:r>
        <w:rPr>
          <w:rFonts w:hint="eastAsia" w:hAnsi="宋体"/>
          <w:bCs/>
          <w:color w:val="auto"/>
          <w:sz w:val="21"/>
          <w:szCs w:val="21"/>
          <w:lang w:val="en-US" w:eastAsia="zh-CN"/>
        </w:rPr>
        <w:t>7.投标人</w:t>
      </w:r>
      <w:r>
        <w:rPr>
          <w:rFonts w:hint="eastAsia" w:hAnsi="宋体"/>
          <w:bCs/>
          <w:color w:val="auto"/>
          <w:sz w:val="21"/>
          <w:szCs w:val="21"/>
        </w:rPr>
        <w:t>须对加工完成的图书按馆藏地分类或打包，按用户要求定期运送至指定地点进行拆包，并按照排序上架到指定书架，为此所发生的费用全部由</w:t>
      </w:r>
      <w:r>
        <w:rPr>
          <w:rFonts w:hint="eastAsia" w:hAnsi="宋体"/>
          <w:bCs/>
          <w:color w:val="auto"/>
          <w:sz w:val="21"/>
          <w:szCs w:val="21"/>
          <w:lang w:val="en-US" w:eastAsia="zh-CN"/>
        </w:rPr>
        <w:t>投标人</w:t>
      </w:r>
      <w:r>
        <w:rPr>
          <w:rFonts w:hint="eastAsia" w:hAnsi="宋体"/>
          <w:bCs/>
          <w:color w:val="auto"/>
          <w:sz w:val="21"/>
          <w:szCs w:val="21"/>
        </w:rPr>
        <w:t>承担。</w:t>
      </w:r>
    </w:p>
    <w:p w14:paraId="561AE8BC">
      <w:pPr>
        <w:pStyle w:val="35"/>
        <w:spacing w:before="156" w:after="156" w:line="360" w:lineRule="auto"/>
        <w:ind w:firstLine="420" w:firstLineChars="200"/>
        <w:rPr>
          <w:rFonts w:hAnsi="宋体"/>
          <w:bCs/>
          <w:sz w:val="21"/>
          <w:szCs w:val="21"/>
        </w:rPr>
      </w:pPr>
      <w:r>
        <w:rPr>
          <w:rFonts w:hint="eastAsia" w:hAnsi="宋体"/>
          <w:bCs/>
          <w:sz w:val="21"/>
          <w:szCs w:val="21"/>
          <w:lang w:val="en-US" w:eastAsia="zh-CN"/>
        </w:rPr>
        <w:t>8.投标人</w:t>
      </w:r>
      <w:r>
        <w:rPr>
          <w:rFonts w:hint="eastAsia" w:hAnsi="宋体"/>
          <w:bCs/>
          <w:sz w:val="21"/>
          <w:szCs w:val="21"/>
        </w:rPr>
        <w:t>应有从事书目数据加工业务的专业人员，能提供图书订购的标准MARC数据（数据要求参见《中国机读目录格式使用手册》、《CALIS联机合作编目手册》《中国图书分类法（第五版）》），提供的所有数据能在需方系统无障碍地使用。</w:t>
      </w:r>
    </w:p>
    <w:p w14:paraId="50618418">
      <w:pPr>
        <w:pStyle w:val="35"/>
        <w:spacing w:before="156" w:after="156" w:line="360" w:lineRule="auto"/>
        <w:ind w:firstLine="420" w:firstLineChars="200"/>
        <w:rPr>
          <w:rFonts w:hAnsi="宋体"/>
          <w:bCs/>
          <w:sz w:val="21"/>
          <w:szCs w:val="21"/>
        </w:rPr>
      </w:pPr>
      <w:r>
        <w:rPr>
          <w:rFonts w:hint="eastAsia" w:hAnsi="宋体"/>
          <w:bCs/>
          <w:sz w:val="21"/>
          <w:szCs w:val="21"/>
          <w:lang w:val="en-US" w:eastAsia="zh-CN"/>
        </w:rPr>
        <w:t>9.投标人</w:t>
      </w:r>
      <w:r>
        <w:rPr>
          <w:rFonts w:hint="eastAsia" w:hAnsi="宋体"/>
          <w:bCs/>
          <w:sz w:val="21"/>
          <w:szCs w:val="21"/>
        </w:rPr>
        <w:t>能按</w:t>
      </w:r>
      <w:r>
        <w:rPr>
          <w:rFonts w:hint="eastAsia" w:hAnsi="宋体"/>
          <w:bCs/>
          <w:sz w:val="21"/>
          <w:szCs w:val="21"/>
          <w:lang w:val="en-US" w:eastAsia="zh-CN"/>
        </w:rPr>
        <w:t>采购人</w:t>
      </w:r>
      <w:r>
        <w:rPr>
          <w:rFonts w:hint="eastAsia" w:hAnsi="宋体"/>
          <w:bCs/>
          <w:sz w:val="21"/>
          <w:szCs w:val="21"/>
        </w:rPr>
        <w:t>的订购书目提供未经使用的正版图书。图书来源渠道较广，经营图书品种丰富，至少与全国100家以上的图书出版单位有供货关系。</w:t>
      </w:r>
    </w:p>
    <w:p w14:paraId="27AE9EDB">
      <w:pPr>
        <w:pStyle w:val="35"/>
        <w:spacing w:before="156" w:after="156" w:line="360" w:lineRule="auto"/>
        <w:ind w:firstLine="420" w:firstLineChars="200"/>
        <w:rPr>
          <w:rFonts w:hAnsi="宋体"/>
          <w:bCs/>
          <w:sz w:val="21"/>
          <w:szCs w:val="21"/>
        </w:rPr>
      </w:pPr>
      <w:r>
        <w:rPr>
          <w:rFonts w:hint="eastAsia" w:hAnsi="宋体"/>
          <w:bCs/>
          <w:sz w:val="21"/>
          <w:szCs w:val="21"/>
          <w:lang w:val="en-US" w:eastAsia="zh-CN"/>
        </w:rPr>
        <w:t>10.投标人</w:t>
      </w:r>
      <w:r>
        <w:rPr>
          <w:rFonts w:hint="eastAsia" w:hAnsi="宋体"/>
          <w:bCs/>
          <w:sz w:val="21"/>
          <w:szCs w:val="21"/>
        </w:rPr>
        <w:t>能提供符合国家财税法律规定要求的售书发票。</w:t>
      </w:r>
    </w:p>
    <w:p w14:paraId="754C1DEE">
      <w:pPr>
        <w:pStyle w:val="35"/>
        <w:spacing w:before="156" w:after="156" w:line="360" w:lineRule="auto"/>
        <w:ind w:firstLine="420" w:firstLineChars="200"/>
        <w:rPr>
          <w:rFonts w:hint="eastAsia" w:hAnsi="宋体"/>
          <w:b/>
          <w:bCs w:val="0"/>
          <w:sz w:val="21"/>
          <w:szCs w:val="21"/>
        </w:rPr>
      </w:pPr>
      <w:r>
        <w:rPr>
          <w:rFonts w:hint="eastAsia" w:hAnsi="宋体"/>
          <w:bCs/>
          <w:sz w:val="21"/>
          <w:szCs w:val="21"/>
          <w:lang w:val="en-US" w:eastAsia="zh-CN"/>
        </w:rPr>
        <w:t>11.投标人</w:t>
      </w:r>
      <w:r>
        <w:rPr>
          <w:rFonts w:hint="eastAsia" w:hAnsi="宋体"/>
          <w:bCs/>
          <w:sz w:val="21"/>
          <w:szCs w:val="21"/>
        </w:rPr>
        <w:t>具有良好的商业信誉和健全的财务会计制度。</w:t>
      </w:r>
    </w:p>
    <w:p w14:paraId="1F40A478">
      <w:pPr>
        <w:pStyle w:val="35"/>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eastAsia" w:hAnsi="宋体"/>
          <w:b/>
          <w:bCs w:val="0"/>
          <w:sz w:val="24"/>
          <w:szCs w:val="24"/>
        </w:rPr>
      </w:pPr>
    </w:p>
    <w:p w14:paraId="5B95ABBE">
      <w:pPr>
        <w:pStyle w:val="35"/>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Ansi="宋体"/>
          <w:b/>
          <w:bCs w:val="0"/>
          <w:sz w:val="24"/>
          <w:szCs w:val="24"/>
        </w:rPr>
      </w:pPr>
      <w:r>
        <w:rPr>
          <w:rFonts w:hint="eastAsia" w:hAnsi="宋体"/>
          <w:b/>
          <w:bCs w:val="0"/>
          <w:sz w:val="24"/>
          <w:szCs w:val="24"/>
        </w:rPr>
        <w:t>三、其他要求</w:t>
      </w:r>
    </w:p>
    <w:p w14:paraId="49F17F65">
      <w:pPr>
        <w:pStyle w:val="3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Ansi="宋体"/>
          <w:bCs/>
          <w:sz w:val="21"/>
          <w:szCs w:val="21"/>
        </w:rPr>
      </w:pPr>
      <w:r>
        <w:rPr>
          <w:rFonts w:hint="eastAsia" w:hAnsi="宋体"/>
          <w:bCs/>
          <w:sz w:val="21"/>
          <w:szCs w:val="21"/>
        </w:rPr>
        <w:t>1</w:t>
      </w:r>
      <w:r>
        <w:rPr>
          <w:rFonts w:hint="eastAsia" w:hAnsi="宋体"/>
          <w:bCs/>
          <w:sz w:val="21"/>
          <w:szCs w:val="21"/>
          <w:lang w:val="en-US" w:eastAsia="zh-CN"/>
        </w:rPr>
        <w:t>.投标人</w:t>
      </w:r>
      <w:r>
        <w:rPr>
          <w:rFonts w:hint="eastAsia" w:hAnsi="宋体"/>
          <w:bCs/>
          <w:sz w:val="21"/>
          <w:szCs w:val="21"/>
        </w:rPr>
        <w:t>应对发送的图书进行防湿和防破装卸要求的包装，保证图书安全运输到达</w:t>
      </w:r>
      <w:r>
        <w:rPr>
          <w:rFonts w:hint="eastAsia" w:hAnsi="宋体"/>
          <w:bCs/>
          <w:sz w:val="21"/>
          <w:szCs w:val="21"/>
          <w:lang w:val="en-US" w:eastAsia="zh-CN"/>
        </w:rPr>
        <w:t>采购人</w:t>
      </w:r>
      <w:r>
        <w:rPr>
          <w:rFonts w:hint="eastAsia" w:hAnsi="宋体"/>
          <w:bCs/>
          <w:sz w:val="21"/>
          <w:szCs w:val="21"/>
        </w:rPr>
        <w:t>指定地点。</w:t>
      </w:r>
    </w:p>
    <w:p w14:paraId="4451703F">
      <w:pPr>
        <w:pStyle w:val="3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Ansi="宋体"/>
          <w:bCs/>
          <w:sz w:val="21"/>
          <w:szCs w:val="21"/>
        </w:rPr>
      </w:pPr>
      <w:r>
        <w:rPr>
          <w:rFonts w:hint="eastAsia" w:hAnsi="宋体"/>
          <w:bCs/>
          <w:sz w:val="21"/>
          <w:szCs w:val="21"/>
        </w:rPr>
        <w:t>2</w:t>
      </w:r>
      <w:r>
        <w:rPr>
          <w:rFonts w:hint="eastAsia" w:hAnsi="宋体"/>
          <w:bCs/>
          <w:sz w:val="21"/>
          <w:szCs w:val="21"/>
          <w:lang w:val="en-US" w:eastAsia="zh-CN"/>
        </w:rPr>
        <w:t>.投标人</w:t>
      </w:r>
      <w:r>
        <w:rPr>
          <w:rFonts w:hint="eastAsia" w:hAnsi="宋体"/>
          <w:bCs/>
          <w:sz w:val="21"/>
          <w:szCs w:val="21"/>
        </w:rPr>
        <w:t>负责按</w:t>
      </w:r>
      <w:r>
        <w:rPr>
          <w:rFonts w:hint="eastAsia" w:hAnsi="宋体"/>
          <w:bCs/>
          <w:sz w:val="21"/>
          <w:szCs w:val="21"/>
          <w:lang w:val="en-US" w:eastAsia="zh-CN"/>
        </w:rPr>
        <w:t>采购人</w:t>
      </w:r>
      <w:r>
        <w:rPr>
          <w:rFonts w:hint="eastAsia" w:hAnsi="宋体"/>
          <w:bCs/>
          <w:sz w:val="21"/>
          <w:szCs w:val="21"/>
        </w:rPr>
        <w:t>要求提供指定地点的免费送书上门服务。随书提供与货物数量、品种、价格相符的该批图书总清单和分包清单。</w:t>
      </w:r>
    </w:p>
    <w:p w14:paraId="07E10B5A">
      <w:pPr>
        <w:pStyle w:val="3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Ansi="宋体"/>
          <w:bCs/>
          <w:sz w:val="21"/>
          <w:szCs w:val="21"/>
        </w:rPr>
      </w:pPr>
      <w:r>
        <w:rPr>
          <w:rFonts w:hint="eastAsia" w:hAnsi="宋体"/>
          <w:bCs/>
          <w:sz w:val="21"/>
          <w:szCs w:val="21"/>
        </w:rPr>
        <w:t>3</w:t>
      </w:r>
      <w:r>
        <w:rPr>
          <w:rFonts w:hint="eastAsia" w:hAnsi="宋体"/>
          <w:bCs/>
          <w:sz w:val="21"/>
          <w:szCs w:val="21"/>
          <w:lang w:val="en-US" w:eastAsia="zh-CN"/>
        </w:rPr>
        <w:t>.</w:t>
      </w:r>
      <w:r>
        <w:rPr>
          <w:rFonts w:hint="eastAsia" w:hAnsi="宋体"/>
          <w:bCs/>
          <w:sz w:val="21"/>
          <w:szCs w:val="21"/>
        </w:rPr>
        <w:t>在发送图书之前，</w:t>
      </w:r>
      <w:r>
        <w:rPr>
          <w:rFonts w:hint="eastAsia" w:hAnsi="宋体"/>
          <w:bCs/>
          <w:sz w:val="21"/>
          <w:szCs w:val="21"/>
          <w:lang w:val="en-US" w:eastAsia="zh-CN"/>
        </w:rPr>
        <w:t>投标人</w:t>
      </w:r>
      <w:r>
        <w:rPr>
          <w:rFonts w:hint="eastAsia" w:hAnsi="宋体"/>
          <w:bCs/>
          <w:sz w:val="21"/>
          <w:szCs w:val="21"/>
        </w:rPr>
        <w:t>应预先用电话或E-mail通知招标方，以便</w:t>
      </w:r>
      <w:r>
        <w:rPr>
          <w:rFonts w:hint="eastAsia" w:hAnsi="宋体"/>
          <w:bCs/>
          <w:sz w:val="21"/>
          <w:szCs w:val="21"/>
          <w:lang w:val="en-US" w:eastAsia="zh-CN"/>
        </w:rPr>
        <w:t>采购人</w:t>
      </w:r>
      <w:r>
        <w:rPr>
          <w:rFonts w:hint="eastAsia" w:hAnsi="宋体"/>
          <w:bCs/>
          <w:sz w:val="21"/>
          <w:szCs w:val="21"/>
        </w:rPr>
        <w:t>准备接货。</w:t>
      </w:r>
    </w:p>
    <w:p w14:paraId="0C262DBC">
      <w:pPr>
        <w:pStyle w:val="3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Ansi="宋体"/>
          <w:bCs/>
          <w:sz w:val="21"/>
          <w:szCs w:val="21"/>
        </w:rPr>
      </w:pPr>
      <w:r>
        <w:rPr>
          <w:rFonts w:hint="eastAsia" w:hAnsi="宋体"/>
          <w:bCs/>
          <w:sz w:val="21"/>
          <w:szCs w:val="21"/>
        </w:rPr>
        <w:t>4</w:t>
      </w:r>
      <w:r>
        <w:rPr>
          <w:rFonts w:hint="eastAsia" w:hAnsi="宋体"/>
          <w:bCs/>
          <w:sz w:val="21"/>
          <w:szCs w:val="21"/>
          <w:lang w:val="en-US" w:eastAsia="zh-CN"/>
        </w:rPr>
        <w:t>.</w:t>
      </w:r>
      <w:r>
        <w:rPr>
          <w:rFonts w:hint="eastAsia" w:hAnsi="宋体"/>
          <w:bCs/>
          <w:sz w:val="21"/>
          <w:szCs w:val="21"/>
        </w:rPr>
        <w:t>图书在到达</w:t>
      </w:r>
      <w:r>
        <w:rPr>
          <w:rFonts w:hint="eastAsia" w:hAnsi="宋体"/>
          <w:bCs/>
          <w:sz w:val="21"/>
          <w:szCs w:val="21"/>
          <w:lang w:val="en-US" w:eastAsia="zh-CN"/>
        </w:rPr>
        <w:t>采购人</w:t>
      </w:r>
      <w:r>
        <w:rPr>
          <w:rFonts w:hint="eastAsia" w:hAnsi="宋体"/>
          <w:bCs/>
          <w:sz w:val="21"/>
          <w:szCs w:val="21"/>
        </w:rPr>
        <w:t>所在地前发生的不可预见的风险均由</w:t>
      </w:r>
      <w:r>
        <w:rPr>
          <w:rFonts w:hint="eastAsia" w:hAnsi="宋体"/>
          <w:bCs/>
          <w:sz w:val="21"/>
          <w:szCs w:val="21"/>
          <w:lang w:val="en-US" w:eastAsia="zh-CN"/>
        </w:rPr>
        <w:t>投标人</w:t>
      </w:r>
      <w:r>
        <w:rPr>
          <w:rFonts w:hint="eastAsia" w:hAnsi="宋体"/>
          <w:bCs/>
          <w:sz w:val="21"/>
          <w:szCs w:val="21"/>
        </w:rPr>
        <w:t>负责。</w:t>
      </w:r>
    </w:p>
    <w:p w14:paraId="5C061692">
      <w:pPr>
        <w:pStyle w:val="3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Ansi="宋体"/>
          <w:bCs/>
          <w:sz w:val="21"/>
          <w:szCs w:val="21"/>
        </w:rPr>
      </w:pPr>
      <w:r>
        <w:rPr>
          <w:rFonts w:hint="eastAsia" w:hAnsi="宋体"/>
          <w:bCs/>
          <w:sz w:val="21"/>
          <w:szCs w:val="21"/>
        </w:rPr>
        <w:t>5</w:t>
      </w:r>
      <w:r>
        <w:rPr>
          <w:rFonts w:hint="eastAsia" w:hAnsi="宋体"/>
          <w:bCs/>
          <w:sz w:val="21"/>
          <w:szCs w:val="21"/>
          <w:lang w:val="en-US" w:eastAsia="zh-CN"/>
        </w:rPr>
        <w:t>.</w:t>
      </w:r>
      <w:r>
        <w:rPr>
          <w:rFonts w:hint="eastAsia" w:hAnsi="宋体"/>
          <w:bCs/>
          <w:sz w:val="21"/>
          <w:szCs w:val="21"/>
        </w:rPr>
        <w:t>所有图书的品种和复本数量均由招</w:t>
      </w:r>
      <w:r>
        <w:rPr>
          <w:rFonts w:hint="eastAsia" w:hAnsi="宋体"/>
          <w:bCs/>
          <w:sz w:val="21"/>
          <w:szCs w:val="21"/>
          <w:lang w:val="en-US" w:eastAsia="zh-CN"/>
        </w:rPr>
        <w:t>采购人</w:t>
      </w:r>
      <w:r>
        <w:rPr>
          <w:rFonts w:hint="eastAsia" w:hAnsi="宋体"/>
          <w:bCs/>
          <w:sz w:val="21"/>
          <w:szCs w:val="21"/>
        </w:rPr>
        <w:t>决定，</w:t>
      </w:r>
      <w:r>
        <w:rPr>
          <w:rFonts w:hint="eastAsia" w:hAnsi="宋体"/>
          <w:bCs/>
          <w:sz w:val="21"/>
          <w:szCs w:val="21"/>
          <w:lang w:val="en-US" w:eastAsia="zh-CN"/>
        </w:rPr>
        <w:t>投标</w:t>
      </w:r>
      <w:r>
        <w:rPr>
          <w:rFonts w:hint="eastAsia" w:hAnsi="宋体"/>
          <w:bCs/>
          <w:sz w:val="21"/>
          <w:szCs w:val="21"/>
        </w:rPr>
        <w:t>不得自行搭配和追加非招标方确认订购的品种或复本。图书品种、复本数量和随书光盘/磁盘/磁带等与订单不符时，无论是否已作前期加工，</w:t>
      </w:r>
      <w:r>
        <w:rPr>
          <w:rFonts w:hint="eastAsia" w:hAnsi="宋体"/>
          <w:bCs/>
          <w:sz w:val="21"/>
          <w:szCs w:val="21"/>
          <w:lang w:val="en-US" w:eastAsia="zh-CN"/>
        </w:rPr>
        <w:t>投标人</w:t>
      </w:r>
      <w:r>
        <w:rPr>
          <w:rFonts w:hint="eastAsia" w:hAnsi="宋体"/>
          <w:bCs/>
          <w:sz w:val="21"/>
          <w:szCs w:val="21"/>
        </w:rPr>
        <w:t>必须无条件负责退换。</w:t>
      </w:r>
    </w:p>
    <w:p w14:paraId="0C35B395">
      <w:pPr>
        <w:pStyle w:val="3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Ansi="宋体"/>
          <w:bCs/>
          <w:sz w:val="21"/>
          <w:szCs w:val="21"/>
        </w:rPr>
      </w:pPr>
      <w:r>
        <w:rPr>
          <w:rFonts w:hint="eastAsia" w:hAnsi="宋体"/>
          <w:bCs/>
          <w:sz w:val="21"/>
          <w:szCs w:val="21"/>
        </w:rPr>
        <w:t>6</w:t>
      </w:r>
      <w:r>
        <w:rPr>
          <w:rFonts w:hint="eastAsia" w:hAnsi="宋体"/>
          <w:bCs/>
          <w:sz w:val="21"/>
          <w:szCs w:val="21"/>
          <w:lang w:val="en-US" w:eastAsia="zh-CN"/>
        </w:rPr>
        <w:t>.采购人</w:t>
      </w:r>
      <w:r>
        <w:rPr>
          <w:rFonts w:hint="eastAsia" w:hAnsi="宋体"/>
          <w:bCs/>
          <w:sz w:val="21"/>
          <w:szCs w:val="21"/>
        </w:rPr>
        <w:t>有权对已到馆但内容不符合招标方教学科研需要和水平的图书给予退货。</w:t>
      </w:r>
      <w:r>
        <w:rPr>
          <w:rFonts w:hint="eastAsia" w:hAnsi="宋体"/>
          <w:bCs/>
          <w:sz w:val="21"/>
          <w:szCs w:val="21"/>
          <w:lang w:val="en-US" w:eastAsia="zh-CN"/>
        </w:rPr>
        <w:t>投标人</w:t>
      </w:r>
      <w:r>
        <w:rPr>
          <w:rFonts w:hint="eastAsia" w:hAnsi="宋体"/>
          <w:bCs/>
          <w:sz w:val="21"/>
          <w:szCs w:val="21"/>
        </w:rPr>
        <w:t>必须保证销售正版图书，保证所供应图书的版本与进书来源合法，并对所供应的图书版本、知识产权、进货来源承担相应的法律责任。对盗版图书无论是否已作前期加工，</w:t>
      </w:r>
      <w:r>
        <w:rPr>
          <w:rFonts w:hint="eastAsia" w:hAnsi="宋体"/>
          <w:bCs/>
          <w:sz w:val="21"/>
          <w:szCs w:val="21"/>
          <w:lang w:val="en-US" w:eastAsia="zh-CN"/>
        </w:rPr>
        <w:t>投标人</w:t>
      </w:r>
      <w:r>
        <w:rPr>
          <w:rFonts w:hint="eastAsia" w:hAnsi="宋体"/>
          <w:bCs/>
          <w:sz w:val="21"/>
          <w:szCs w:val="21"/>
        </w:rPr>
        <w:t>必须无条件负责退货。</w:t>
      </w:r>
    </w:p>
    <w:p w14:paraId="04968E07">
      <w:pPr>
        <w:pStyle w:val="3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Ansi="宋体"/>
          <w:bCs/>
          <w:sz w:val="21"/>
          <w:szCs w:val="21"/>
        </w:rPr>
      </w:pPr>
      <w:r>
        <w:rPr>
          <w:rFonts w:hint="eastAsia" w:hAnsi="宋体"/>
          <w:bCs/>
          <w:sz w:val="21"/>
          <w:szCs w:val="21"/>
        </w:rPr>
        <w:t>7</w:t>
      </w:r>
      <w:r>
        <w:rPr>
          <w:rFonts w:hint="eastAsia" w:hAnsi="宋体"/>
          <w:bCs/>
          <w:sz w:val="21"/>
          <w:szCs w:val="21"/>
          <w:lang w:val="en-US" w:eastAsia="zh-CN"/>
        </w:rPr>
        <w:t>.</w:t>
      </w:r>
      <w:r>
        <w:rPr>
          <w:rFonts w:hint="eastAsia" w:hAnsi="宋体"/>
          <w:bCs/>
          <w:sz w:val="21"/>
          <w:szCs w:val="21"/>
        </w:rPr>
        <w:t>图书出现装订、印刷质量问题和损坏，</w:t>
      </w:r>
      <w:r>
        <w:rPr>
          <w:rFonts w:hint="eastAsia" w:hAnsi="宋体"/>
          <w:bCs/>
          <w:sz w:val="21"/>
          <w:szCs w:val="21"/>
          <w:lang w:val="en-US" w:eastAsia="zh-CN"/>
        </w:rPr>
        <w:t>投标人</w:t>
      </w:r>
      <w:r>
        <w:rPr>
          <w:rFonts w:hint="eastAsia" w:hAnsi="宋体"/>
          <w:bCs/>
          <w:sz w:val="21"/>
          <w:szCs w:val="21"/>
        </w:rPr>
        <w:t>必须无条件负责退换。</w:t>
      </w:r>
    </w:p>
    <w:p w14:paraId="6E787F06">
      <w:pPr>
        <w:pStyle w:val="3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Ansi="宋体"/>
          <w:bCs/>
          <w:sz w:val="21"/>
          <w:szCs w:val="21"/>
        </w:rPr>
      </w:pPr>
      <w:r>
        <w:rPr>
          <w:rFonts w:hint="eastAsia" w:hAnsi="宋体"/>
          <w:bCs/>
          <w:sz w:val="21"/>
          <w:szCs w:val="21"/>
        </w:rPr>
        <w:t>8</w:t>
      </w:r>
      <w:r>
        <w:rPr>
          <w:rFonts w:hint="eastAsia" w:hAnsi="宋体"/>
          <w:bCs/>
          <w:sz w:val="21"/>
          <w:szCs w:val="21"/>
          <w:lang w:val="en-US" w:eastAsia="zh-CN"/>
        </w:rPr>
        <w:t>.</w:t>
      </w:r>
      <w:r>
        <w:rPr>
          <w:rFonts w:hint="eastAsia" w:hAnsi="宋体"/>
          <w:bCs/>
          <w:sz w:val="21"/>
          <w:szCs w:val="21"/>
        </w:rPr>
        <w:t>货到验收合格，办妥差、错图书的退书手续后，</w:t>
      </w:r>
      <w:r>
        <w:rPr>
          <w:rFonts w:hint="eastAsia" w:hAnsi="宋体"/>
          <w:bCs/>
          <w:sz w:val="21"/>
          <w:szCs w:val="21"/>
          <w:lang w:val="en-US" w:eastAsia="zh-CN"/>
        </w:rPr>
        <w:t>采购人</w:t>
      </w:r>
      <w:r>
        <w:rPr>
          <w:rFonts w:hint="eastAsia" w:hAnsi="宋体"/>
          <w:bCs/>
          <w:sz w:val="21"/>
          <w:szCs w:val="21"/>
        </w:rPr>
        <w:t>通知</w:t>
      </w:r>
      <w:r>
        <w:rPr>
          <w:rFonts w:hint="eastAsia" w:hAnsi="宋体"/>
          <w:bCs/>
          <w:sz w:val="21"/>
          <w:szCs w:val="21"/>
          <w:lang w:val="en-US" w:eastAsia="zh-CN"/>
        </w:rPr>
        <w:t>投标人</w:t>
      </w:r>
      <w:r>
        <w:rPr>
          <w:rFonts w:hint="eastAsia" w:hAnsi="宋体"/>
          <w:bCs/>
          <w:sz w:val="21"/>
          <w:szCs w:val="21"/>
        </w:rPr>
        <w:t>寄来发票，并在收到发票的1-2个月内按实洋支付书款。</w:t>
      </w:r>
    </w:p>
    <w:p w14:paraId="7F2CC07C">
      <w:pPr>
        <w:pStyle w:val="3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Ansi="宋体"/>
          <w:bCs/>
          <w:sz w:val="21"/>
          <w:szCs w:val="21"/>
        </w:rPr>
      </w:pPr>
      <w:r>
        <w:rPr>
          <w:rFonts w:hint="eastAsia" w:hAnsi="宋体"/>
          <w:bCs/>
          <w:sz w:val="21"/>
          <w:szCs w:val="21"/>
        </w:rPr>
        <w:t>9</w:t>
      </w:r>
      <w:r>
        <w:rPr>
          <w:rFonts w:hint="eastAsia" w:hAnsi="宋体"/>
          <w:bCs/>
          <w:sz w:val="21"/>
          <w:szCs w:val="21"/>
          <w:lang w:val="en-US" w:eastAsia="zh-CN"/>
        </w:rPr>
        <w:t>.投标人</w:t>
      </w:r>
      <w:r>
        <w:rPr>
          <w:rFonts w:hint="eastAsia" w:hAnsi="宋体"/>
          <w:bCs/>
          <w:sz w:val="21"/>
          <w:szCs w:val="21"/>
        </w:rPr>
        <w:t>需按合同总价的</w:t>
      </w:r>
      <w:r>
        <w:rPr>
          <w:rFonts w:hint="eastAsia" w:hAnsi="宋体"/>
          <w:bCs/>
          <w:sz w:val="21"/>
          <w:szCs w:val="21"/>
          <w:lang w:val="en-US" w:eastAsia="zh-CN"/>
        </w:rPr>
        <w:t>1</w:t>
      </w:r>
      <w:r>
        <w:rPr>
          <w:rFonts w:hint="eastAsia" w:hAnsi="宋体"/>
          <w:bCs/>
          <w:sz w:val="21"/>
          <w:szCs w:val="21"/>
        </w:rPr>
        <w:t>%交纳履约保证金，汇入</w:t>
      </w:r>
      <w:r>
        <w:rPr>
          <w:rFonts w:hint="eastAsia" w:hAnsi="宋体"/>
          <w:bCs/>
          <w:sz w:val="21"/>
          <w:szCs w:val="21"/>
          <w:lang w:val="en-US" w:eastAsia="zh-CN"/>
        </w:rPr>
        <w:t>采购人</w:t>
      </w:r>
      <w:r>
        <w:rPr>
          <w:rFonts w:hint="eastAsia" w:hAnsi="宋体"/>
          <w:bCs/>
          <w:sz w:val="21"/>
          <w:szCs w:val="21"/>
        </w:rPr>
        <w:t>指定账户。在合同期内未出现违约现象，合同到期时无息退还。部分违约现象，从保证金中扣除相应金额的违约金；若发现严重违约现象，则不予退还保证金。</w:t>
      </w:r>
    </w:p>
    <w:p w14:paraId="4A8AE900">
      <w:pPr>
        <w:pStyle w:val="3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Ansi="宋体"/>
          <w:bCs/>
          <w:sz w:val="21"/>
          <w:szCs w:val="21"/>
        </w:rPr>
      </w:pPr>
      <w:r>
        <w:rPr>
          <w:rFonts w:hint="eastAsia" w:hAnsi="宋体"/>
          <w:bCs/>
          <w:sz w:val="21"/>
          <w:szCs w:val="21"/>
        </w:rPr>
        <w:t>10</w:t>
      </w:r>
      <w:r>
        <w:rPr>
          <w:rFonts w:hint="eastAsia" w:hAnsi="宋体"/>
          <w:bCs/>
          <w:sz w:val="21"/>
          <w:szCs w:val="21"/>
          <w:lang w:val="en-US" w:eastAsia="zh-CN"/>
        </w:rPr>
        <w:t>.投标人</w:t>
      </w:r>
      <w:r>
        <w:rPr>
          <w:rFonts w:hint="eastAsia" w:hAnsi="宋体"/>
          <w:bCs/>
          <w:sz w:val="21"/>
          <w:szCs w:val="21"/>
        </w:rPr>
        <w:t>应保证三个月到书率不低于85%，</w:t>
      </w:r>
      <w:r>
        <w:rPr>
          <w:rFonts w:hint="eastAsia" w:hAnsi="宋体"/>
          <w:bCs/>
          <w:sz w:val="21"/>
          <w:szCs w:val="21"/>
          <w:lang w:val="en-US" w:eastAsia="zh-CN"/>
        </w:rPr>
        <w:t>投标人</w:t>
      </w:r>
      <w:r>
        <w:rPr>
          <w:rFonts w:hint="eastAsia" w:hAnsi="宋体"/>
          <w:bCs/>
          <w:sz w:val="21"/>
          <w:szCs w:val="21"/>
        </w:rPr>
        <w:t>应保证按</w:t>
      </w:r>
      <w:r>
        <w:rPr>
          <w:rFonts w:hint="eastAsia" w:hAnsi="宋体"/>
          <w:bCs/>
          <w:sz w:val="21"/>
          <w:szCs w:val="21"/>
          <w:lang w:val="en-US" w:eastAsia="zh-CN"/>
        </w:rPr>
        <w:t>采购人</w:t>
      </w:r>
      <w:r>
        <w:rPr>
          <w:rFonts w:hint="eastAsia" w:hAnsi="宋体"/>
          <w:bCs/>
          <w:sz w:val="21"/>
          <w:szCs w:val="21"/>
        </w:rPr>
        <w:t>所要求的图书品种及复本数量供书，</w:t>
      </w:r>
      <w:r>
        <w:rPr>
          <w:rFonts w:hint="eastAsia" w:hAnsi="宋体"/>
          <w:bCs/>
          <w:sz w:val="21"/>
          <w:szCs w:val="21"/>
          <w:lang w:val="en-US" w:eastAsia="zh-CN"/>
        </w:rPr>
        <w:t>投标人</w:t>
      </w:r>
      <w:r>
        <w:rPr>
          <w:rFonts w:hint="eastAsia" w:hAnsi="宋体"/>
          <w:bCs/>
          <w:sz w:val="21"/>
          <w:szCs w:val="21"/>
        </w:rPr>
        <w:t>不得自行搭配和追加非</w:t>
      </w:r>
      <w:r>
        <w:rPr>
          <w:rFonts w:hint="eastAsia" w:hAnsi="宋体"/>
          <w:bCs/>
          <w:sz w:val="21"/>
          <w:szCs w:val="21"/>
          <w:lang w:val="en-US" w:eastAsia="zh-CN"/>
        </w:rPr>
        <w:t>采购人</w:t>
      </w:r>
      <w:r>
        <w:rPr>
          <w:rFonts w:hint="eastAsia" w:hAnsi="宋体"/>
          <w:bCs/>
          <w:sz w:val="21"/>
          <w:szCs w:val="21"/>
        </w:rPr>
        <w:t>确认订购的品种和复本数量的图书，如有违反，</w:t>
      </w:r>
      <w:r>
        <w:rPr>
          <w:rFonts w:hint="eastAsia" w:hAnsi="宋体"/>
          <w:bCs/>
          <w:sz w:val="21"/>
          <w:szCs w:val="21"/>
          <w:lang w:val="en-US" w:eastAsia="zh-CN"/>
        </w:rPr>
        <w:t>投标人</w:t>
      </w:r>
      <w:r>
        <w:rPr>
          <w:rFonts w:hint="eastAsia" w:hAnsi="宋体"/>
          <w:bCs/>
          <w:sz w:val="21"/>
          <w:szCs w:val="21"/>
        </w:rPr>
        <w:t>必须无条件退货，并以非订购图书码洋支付违约金，违约金从保证金和图书结算款（保证金扣完后）中扣除。</w:t>
      </w:r>
    </w:p>
    <w:p w14:paraId="40C0DE4B">
      <w:pPr>
        <w:pStyle w:val="3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Ansi="宋体"/>
          <w:bCs/>
          <w:sz w:val="21"/>
          <w:szCs w:val="21"/>
        </w:rPr>
      </w:pPr>
      <w:r>
        <w:rPr>
          <w:rFonts w:hint="eastAsia" w:hAnsi="宋体"/>
          <w:bCs/>
          <w:sz w:val="21"/>
          <w:szCs w:val="21"/>
        </w:rPr>
        <w:t>11</w:t>
      </w:r>
      <w:r>
        <w:rPr>
          <w:rFonts w:hint="eastAsia" w:hAnsi="宋体"/>
          <w:bCs/>
          <w:sz w:val="21"/>
          <w:szCs w:val="21"/>
          <w:lang w:val="en-US" w:eastAsia="zh-CN"/>
        </w:rPr>
        <w:t>.投标人</w:t>
      </w:r>
      <w:r>
        <w:rPr>
          <w:rFonts w:hint="eastAsia" w:hAnsi="宋体"/>
          <w:bCs/>
          <w:sz w:val="21"/>
          <w:szCs w:val="21"/>
        </w:rPr>
        <w:t>应保证供应正版图书，对盗版图书</w:t>
      </w:r>
      <w:r>
        <w:rPr>
          <w:rFonts w:hint="eastAsia" w:hAnsi="宋体"/>
          <w:bCs/>
          <w:sz w:val="21"/>
          <w:szCs w:val="21"/>
          <w:lang w:val="en-US" w:eastAsia="zh-CN"/>
        </w:rPr>
        <w:t>采购人</w:t>
      </w:r>
      <w:r>
        <w:rPr>
          <w:rFonts w:hint="eastAsia" w:hAnsi="宋体"/>
          <w:bCs/>
          <w:sz w:val="21"/>
          <w:szCs w:val="21"/>
        </w:rPr>
        <w:t>有权拒绝验收，</w:t>
      </w:r>
      <w:r>
        <w:rPr>
          <w:rFonts w:hint="eastAsia" w:hAnsi="宋体"/>
          <w:bCs/>
          <w:sz w:val="21"/>
          <w:szCs w:val="21"/>
          <w:lang w:val="en-US" w:eastAsia="zh-CN"/>
        </w:rPr>
        <w:t>投标人</w:t>
      </w:r>
      <w:r>
        <w:rPr>
          <w:rFonts w:hint="eastAsia" w:hAnsi="宋体"/>
          <w:bCs/>
          <w:sz w:val="21"/>
          <w:szCs w:val="21"/>
        </w:rPr>
        <w:t>必须无条件退货，并以盗版图书码洋的10倍金额支付违约金，违约金从保证金和图书结算款（保证金扣完后）中扣除，同时，可无条件终止</w:t>
      </w:r>
      <w:r>
        <w:rPr>
          <w:rFonts w:hint="eastAsia" w:hAnsi="宋体"/>
          <w:bCs/>
          <w:sz w:val="21"/>
          <w:szCs w:val="21"/>
          <w:lang w:val="en-US" w:eastAsia="zh-CN"/>
        </w:rPr>
        <w:t>投标人</w:t>
      </w:r>
      <w:r>
        <w:rPr>
          <w:rFonts w:hint="eastAsia" w:hAnsi="宋体"/>
          <w:bCs/>
          <w:sz w:val="21"/>
          <w:szCs w:val="21"/>
        </w:rPr>
        <w:t>的供货资格，并且由</w:t>
      </w:r>
      <w:r>
        <w:rPr>
          <w:rFonts w:hint="eastAsia" w:hAnsi="宋体"/>
          <w:bCs/>
          <w:sz w:val="21"/>
          <w:szCs w:val="21"/>
          <w:lang w:val="en-US" w:eastAsia="zh-CN"/>
        </w:rPr>
        <w:t>投标人</w:t>
      </w:r>
      <w:r>
        <w:rPr>
          <w:rFonts w:hint="eastAsia" w:hAnsi="宋体"/>
          <w:bCs/>
          <w:sz w:val="21"/>
          <w:szCs w:val="21"/>
        </w:rPr>
        <w:t>承担由此而引起的一切法律责任。</w:t>
      </w:r>
    </w:p>
    <w:p w14:paraId="66156482">
      <w:pPr>
        <w:pStyle w:val="3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int="eastAsia" w:ascii="宋体" w:hAnsi="宋体"/>
          <w:b/>
          <w:color w:val="auto"/>
          <w:sz w:val="24"/>
          <w:highlight w:val="none"/>
        </w:rPr>
      </w:pPr>
      <w:r>
        <w:rPr>
          <w:rFonts w:hint="eastAsia" w:hAnsi="宋体"/>
          <w:bCs/>
          <w:sz w:val="21"/>
          <w:szCs w:val="21"/>
        </w:rPr>
        <w:t>12</w:t>
      </w:r>
      <w:r>
        <w:rPr>
          <w:rFonts w:hint="eastAsia" w:hAnsi="宋体"/>
          <w:bCs/>
          <w:sz w:val="21"/>
          <w:szCs w:val="21"/>
          <w:lang w:val="en-US" w:eastAsia="zh-CN"/>
        </w:rPr>
        <w:t>.投标人</w:t>
      </w:r>
      <w:r>
        <w:rPr>
          <w:rFonts w:hint="eastAsia" w:hAnsi="宋体"/>
          <w:bCs/>
          <w:sz w:val="21"/>
          <w:szCs w:val="21"/>
        </w:rPr>
        <w:t>应保证所承担的图书加工质量，准确率应保证在98％以上，若</w:t>
      </w:r>
      <w:r>
        <w:rPr>
          <w:rFonts w:hint="eastAsia" w:hAnsi="宋体"/>
          <w:bCs/>
          <w:sz w:val="21"/>
          <w:szCs w:val="21"/>
          <w:lang w:val="en-US" w:eastAsia="zh-CN"/>
        </w:rPr>
        <w:t>采购人</w:t>
      </w:r>
      <w:r>
        <w:rPr>
          <w:rFonts w:hint="eastAsia" w:hAnsi="宋体"/>
          <w:bCs/>
          <w:sz w:val="21"/>
          <w:szCs w:val="21"/>
        </w:rPr>
        <w:t>校对人员发现错误率超过2％，则按每册图书壹元支付违约金，从保证金和图书加工款（保证金扣完后）中扣除。</w:t>
      </w:r>
    </w:p>
    <w:p w14:paraId="00DFA5A4">
      <w:pPr>
        <w:widowControl/>
        <w:autoSpaceDE w:val="0"/>
        <w:autoSpaceDN w:val="0"/>
        <w:snapToGrid w:val="0"/>
        <w:spacing w:line="360" w:lineRule="auto"/>
        <w:ind w:right="-53" w:rightChars="-25"/>
        <w:textAlignment w:val="bottom"/>
        <w:rPr>
          <w:rFonts w:hint="eastAsia" w:ascii="宋体" w:hAnsi="宋体"/>
          <w:b/>
          <w:color w:val="auto"/>
          <w:sz w:val="24"/>
          <w:highlight w:val="none"/>
          <w:lang w:val="en-US" w:eastAsia="zh-CN"/>
        </w:rPr>
      </w:pPr>
    </w:p>
    <w:p w14:paraId="2F5B45E1">
      <w:pPr>
        <w:widowControl/>
        <w:autoSpaceDE w:val="0"/>
        <w:autoSpaceDN w:val="0"/>
        <w:snapToGrid w:val="0"/>
        <w:spacing w:line="360" w:lineRule="auto"/>
        <w:ind w:right="-53" w:rightChars="-25"/>
        <w:textAlignment w:val="bottom"/>
        <w:rPr>
          <w:rFonts w:hint="eastAsia" w:ascii="宋体" w:hAnsi="宋体"/>
          <w:b/>
          <w:color w:val="auto"/>
          <w:sz w:val="24"/>
          <w:highlight w:val="none"/>
        </w:rPr>
      </w:pPr>
      <w:r>
        <w:rPr>
          <w:rFonts w:hint="eastAsia" w:ascii="宋体" w:hAnsi="宋体"/>
          <w:b/>
          <w:color w:val="auto"/>
          <w:sz w:val="24"/>
          <w:highlight w:val="none"/>
          <w:lang w:val="en-US" w:eastAsia="zh-CN"/>
        </w:rPr>
        <w:t>四</w:t>
      </w:r>
      <w:r>
        <w:rPr>
          <w:rFonts w:hint="eastAsia" w:ascii="宋体" w:hAnsi="宋体"/>
          <w:b/>
          <w:color w:val="auto"/>
          <w:sz w:val="24"/>
          <w:highlight w:val="none"/>
        </w:rPr>
        <w:t>、时间要求</w:t>
      </w:r>
    </w:p>
    <w:p w14:paraId="5B94873A">
      <w:pPr>
        <w:autoSpaceDE w:val="0"/>
        <w:autoSpaceDN w:val="0"/>
        <w:adjustRightInd w:val="0"/>
        <w:snapToGrid w:val="0"/>
        <w:spacing w:line="360" w:lineRule="auto"/>
        <w:ind w:firstLine="420" w:firstLineChars="200"/>
        <w:rPr>
          <w:color w:val="auto"/>
          <w:szCs w:val="21"/>
          <w:highlight w:val="none"/>
        </w:rPr>
      </w:pPr>
      <w:r>
        <w:rPr>
          <w:rFonts w:hint="eastAsia"/>
          <w:color w:val="auto"/>
          <w:szCs w:val="21"/>
          <w:highlight w:val="none"/>
          <w:lang w:eastAsia="zh-CN"/>
        </w:rPr>
        <w:t>投标人必须在8月底前加工完成所有图书，</w:t>
      </w:r>
      <w:r>
        <w:rPr>
          <w:rFonts w:hint="eastAsia" w:ascii="宋体" w:hAnsi="宋体"/>
          <w:color w:val="auto"/>
          <w:szCs w:val="21"/>
          <w:highlight w:val="none"/>
        </w:rPr>
        <w:t>运送到馆并</w:t>
      </w:r>
      <w:r>
        <w:rPr>
          <w:rFonts w:hint="eastAsia" w:ascii="宋体" w:hAnsi="宋体"/>
          <w:color w:val="auto"/>
          <w:szCs w:val="21"/>
          <w:highlight w:val="none"/>
          <w:lang w:val="en-US" w:eastAsia="zh-CN"/>
        </w:rPr>
        <w:t>完成上架工作</w:t>
      </w:r>
      <w:r>
        <w:rPr>
          <w:rFonts w:hint="eastAsia"/>
          <w:color w:val="auto"/>
          <w:szCs w:val="21"/>
          <w:highlight w:val="none"/>
        </w:rPr>
        <w:t>。</w:t>
      </w:r>
    </w:p>
    <w:p w14:paraId="6C14A8A4">
      <w:pPr>
        <w:spacing w:line="360" w:lineRule="auto"/>
        <w:outlineLvl w:val="0"/>
        <w:rPr>
          <w:rFonts w:hint="eastAsia" w:ascii="等线" w:hAnsi="等线"/>
          <w:b/>
          <w:color w:val="auto"/>
          <w:sz w:val="24"/>
          <w:highlight w:val="none"/>
        </w:rPr>
      </w:pPr>
    </w:p>
    <w:p w14:paraId="6F967CFB">
      <w:pPr>
        <w:spacing w:line="360" w:lineRule="auto"/>
        <w:outlineLvl w:val="0"/>
        <w:rPr>
          <w:rFonts w:hint="eastAsia" w:ascii="等线" w:hAnsi="等线"/>
          <w:b/>
          <w:color w:val="auto"/>
          <w:sz w:val="24"/>
          <w:highlight w:val="none"/>
        </w:rPr>
      </w:pPr>
      <w:r>
        <w:rPr>
          <w:rFonts w:hint="eastAsia" w:ascii="等线" w:hAnsi="等线"/>
          <w:b/>
          <w:color w:val="auto"/>
          <w:sz w:val="24"/>
          <w:highlight w:val="none"/>
          <w:lang w:val="en-US" w:eastAsia="zh-CN"/>
        </w:rPr>
        <w:t>五</w:t>
      </w:r>
      <w:r>
        <w:rPr>
          <w:rFonts w:hint="eastAsia" w:ascii="等线" w:hAnsi="等线"/>
          <w:b/>
          <w:color w:val="auto"/>
          <w:sz w:val="24"/>
          <w:highlight w:val="none"/>
        </w:rPr>
        <w:t>、付款方式</w:t>
      </w:r>
    </w:p>
    <w:p w14:paraId="7B45AE7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合同生效以及具备实施条件后7个工作日内，</w:t>
      </w:r>
      <w:r>
        <w:rPr>
          <w:rFonts w:hint="eastAsia" w:ascii="宋体" w:hAnsi="宋体"/>
          <w:bCs/>
          <w:color w:val="auto"/>
          <w:szCs w:val="21"/>
          <w:highlight w:val="none"/>
        </w:rPr>
        <w:t>采购人在收到</w:t>
      </w:r>
      <w:r>
        <w:rPr>
          <w:rFonts w:hint="eastAsia" w:ascii="宋体" w:hAnsi="宋体"/>
          <w:bCs/>
          <w:color w:val="auto"/>
          <w:szCs w:val="21"/>
          <w:highlight w:val="none"/>
          <w:lang w:val="en-US" w:eastAsia="zh-CN"/>
        </w:rPr>
        <w:t>增值税专用</w:t>
      </w:r>
      <w:r>
        <w:rPr>
          <w:rFonts w:hint="eastAsia" w:ascii="宋体" w:hAnsi="宋体"/>
          <w:bCs/>
          <w:color w:val="auto"/>
          <w:szCs w:val="21"/>
          <w:highlight w:val="none"/>
        </w:rPr>
        <w:t>发票后</w:t>
      </w:r>
      <w:r>
        <w:rPr>
          <w:rFonts w:hint="eastAsia" w:ascii="宋体" w:hAnsi="宋体"/>
          <w:color w:val="auto"/>
          <w:szCs w:val="21"/>
          <w:highlight w:val="none"/>
        </w:rPr>
        <w:t>支付合同金额的40%做为预付款,同时提供预付款担保(预付款担保形式可以是银行保函、担保公司担保等)。货到验收合格，办妥差、错图书的退书手续后，采购人通知中标人寄来扣除预付款金额的发票后1-2个月内按实洋支付书款</w:t>
      </w:r>
      <w:r>
        <w:rPr>
          <w:rFonts w:ascii="宋体" w:hAnsi="宋体"/>
          <w:color w:val="auto"/>
          <w:szCs w:val="21"/>
          <w:highlight w:val="none"/>
        </w:rPr>
        <w:t>。</w:t>
      </w:r>
    </w:p>
    <w:p w14:paraId="3B4383EB">
      <w:pPr>
        <w:spacing w:line="360" w:lineRule="auto"/>
        <w:outlineLvl w:val="0"/>
        <w:rPr>
          <w:rFonts w:hint="eastAsia" w:ascii="等线" w:hAnsi="等线"/>
          <w:b/>
          <w:color w:val="auto"/>
          <w:sz w:val="24"/>
          <w:highlight w:val="none"/>
        </w:rPr>
      </w:pPr>
    </w:p>
    <w:p w14:paraId="2828A31E">
      <w:pPr>
        <w:spacing w:line="360" w:lineRule="auto"/>
        <w:outlineLvl w:val="0"/>
        <w:rPr>
          <w:rFonts w:hint="eastAsia" w:ascii="等线" w:hAnsi="等线"/>
          <w:b/>
          <w:color w:val="auto"/>
          <w:sz w:val="24"/>
          <w:highlight w:val="none"/>
        </w:rPr>
      </w:pPr>
      <w:r>
        <w:rPr>
          <w:rFonts w:hint="eastAsia" w:ascii="等线" w:hAnsi="等线"/>
          <w:b/>
          <w:color w:val="auto"/>
          <w:sz w:val="24"/>
          <w:highlight w:val="none"/>
          <w:lang w:val="en-US" w:eastAsia="zh-CN"/>
        </w:rPr>
        <w:t>六</w:t>
      </w:r>
      <w:r>
        <w:rPr>
          <w:rFonts w:hint="eastAsia" w:ascii="等线" w:hAnsi="等线"/>
          <w:b/>
          <w:color w:val="auto"/>
          <w:sz w:val="24"/>
          <w:highlight w:val="none"/>
        </w:rPr>
        <w:t>、报价要求</w:t>
      </w:r>
    </w:p>
    <w:p w14:paraId="3A067A15">
      <w:pPr>
        <w:spacing w:line="312" w:lineRule="auto"/>
        <w:ind w:firstLine="420" w:firstLineChars="200"/>
        <w:rPr>
          <w:rFonts w:hint="eastAsia" w:ascii="宋体" w:hAnsi="宋体"/>
          <w:color w:val="auto"/>
          <w:highlight w:val="none"/>
        </w:rPr>
      </w:pPr>
      <w:r>
        <w:rPr>
          <w:rFonts w:hint="eastAsia" w:ascii="宋体" w:hAnsi="宋体"/>
          <w:color w:val="auto"/>
          <w:highlight w:val="none"/>
        </w:rPr>
        <w:t>1.投标人应根据招标文件报出合同总价。合同总价一旦核实确认，不得再做更改。对投标人漏报致使项目未能达到需求的功能和效果，其费用和后果由投标人自行负责。</w:t>
      </w:r>
    </w:p>
    <w:p w14:paraId="25865CB6">
      <w:pPr>
        <w:spacing w:line="312" w:lineRule="auto"/>
        <w:ind w:firstLine="420" w:firstLineChars="200"/>
        <w:rPr>
          <w:rFonts w:hint="eastAsia" w:ascii="宋体" w:hAnsi="宋体"/>
          <w:color w:val="auto"/>
          <w:highlight w:val="none"/>
        </w:rPr>
      </w:pPr>
      <w:r>
        <w:rPr>
          <w:rFonts w:hint="eastAsia" w:ascii="宋体" w:hAnsi="宋体"/>
          <w:color w:val="auto"/>
          <w:highlight w:val="none"/>
        </w:rPr>
        <w:t>2.所有报价均应已包含国家规定的所有税费。</w:t>
      </w:r>
    </w:p>
    <w:p w14:paraId="2E9F66DE">
      <w:pPr>
        <w:spacing w:line="312" w:lineRule="auto"/>
        <w:ind w:firstLine="420" w:firstLineChars="200"/>
        <w:rPr>
          <w:rFonts w:hint="eastAsia" w:ascii="宋体" w:hAnsi="宋体"/>
          <w:color w:val="auto"/>
          <w:highlight w:val="none"/>
        </w:rPr>
      </w:pPr>
      <w:r>
        <w:rPr>
          <w:rFonts w:hint="eastAsia" w:ascii="宋体" w:hAnsi="宋体"/>
          <w:color w:val="auto"/>
          <w:highlight w:val="none"/>
        </w:rPr>
        <w:t>3.投标人报价应包含项目过程中发生的所有费用。</w:t>
      </w:r>
    </w:p>
    <w:p w14:paraId="343A27B1">
      <w:pPr>
        <w:spacing w:line="312" w:lineRule="auto"/>
        <w:ind w:firstLine="420" w:firstLineChars="200"/>
        <w:rPr>
          <w:rFonts w:hint="eastAsia" w:ascii="宋体" w:hAnsi="宋体"/>
          <w:color w:val="auto"/>
          <w:highlight w:val="none"/>
        </w:rPr>
      </w:pPr>
      <w:r>
        <w:rPr>
          <w:rFonts w:hint="eastAsia" w:ascii="宋体" w:hAnsi="宋体"/>
          <w:color w:val="auto"/>
          <w:highlight w:val="none"/>
        </w:rPr>
        <w:t>4.投标人免费提供的部件必须注明“免费”或数字“0”，但不能省略，如有严重缺漏项，视为无效标。</w:t>
      </w:r>
    </w:p>
    <w:p w14:paraId="16A8894E">
      <w:pPr>
        <w:spacing w:line="312" w:lineRule="auto"/>
        <w:ind w:firstLine="420" w:firstLineChars="200"/>
        <w:rPr>
          <w:rFonts w:hint="default" w:ascii="宋体" w:hAnsi="宋体" w:eastAsia="宋体"/>
          <w:color w:val="auto"/>
          <w:highlight w:val="none"/>
          <w:lang w:val="en-US" w:eastAsia="zh-CN"/>
        </w:rPr>
      </w:pPr>
      <w:r>
        <w:rPr>
          <w:rFonts w:hint="eastAsia" w:ascii="宋体" w:hAnsi="宋体"/>
          <w:color w:val="auto"/>
          <w:highlight w:val="none"/>
          <w:lang w:val="en-US" w:eastAsia="zh-CN"/>
        </w:rPr>
        <w:t>5.</w:t>
      </w:r>
      <w:r>
        <w:rPr>
          <w:rFonts w:hint="eastAsia" w:hAnsi="宋体"/>
          <w:b/>
          <w:color w:val="auto"/>
          <w:sz w:val="21"/>
          <w:highlight w:val="none"/>
        </w:rPr>
        <w:t>对供货内容进行报价（折扣率），报价应包含所有相关费用，包括加工材料、货物、包装、运输、</w:t>
      </w:r>
      <w:r>
        <w:rPr>
          <w:rFonts w:hint="eastAsia" w:hAnsi="宋体"/>
          <w:b/>
          <w:color w:val="auto"/>
          <w:sz w:val="21"/>
          <w:highlight w:val="none"/>
          <w:lang w:eastAsia="zh-CN"/>
        </w:rPr>
        <w:t>上架、</w:t>
      </w:r>
      <w:r>
        <w:rPr>
          <w:rFonts w:hint="eastAsia" w:hAnsi="宋体"/>
          <w:b/>
          <w:color w:val="auto"/>
          <w:sz w:val="21"/>
          <w:highlight w:val="none"/>
        </w:rPr>
        <w:t>税金和售后服务等费用。</w:t>
      </w:r>
    </w:p>
    <w:p w14:paraId="3611915C">
      <w:pPr>
        <w:tabs>
          <w:tab w:val="left" w:pos="0"/>
        </w:tabs>
        <w:adjustRightInd w:val="0"/>
        <w:snapToGrid w:val="0"/>
        <w:spacing w:line="312" w:lineRule="auto"/>
        <w:ind w:firstLine="420" w:firstLineChars="200"/>
        <w:jc w:val="left"/>
        <w:rPr>
          <w:rFonts w:hint="eastAsia" w:ascii="宋体" w:hAnsi="宋体"/>
          <w:bCs/>
          <w:color w:val="auto"/>
          <w:szCs w:val="21"/>
          <w:highlight w:val="none"/>
        </w:rPr>
      </w:pPr>
      <w:r>
        <w:rPr>
          <w:rFonts w:hint="eastAsia" w:ascii="宋体" w:hAnsi="宋体"/>
          <w:color w:val="auto"/>
          <w:highlight w:val="none"/>
          <w:lang w:val="en-US" w:eastAsia="zh-CN"/>
        </w:rPr>
        <w:t>6</w:t>
      </w:r>
      <w:r>
        <w:rPr>
          <w:rFonts w:hint="eastAsia" w:ascii="宋体" w:hAnsi="宋体"/>
          <w:color w:val="auto"/>
          <w:highlight w:val="none"/>
        </w:rPr>
        <w:t>.</w:t>
      </w:r>
      <w:r>
        <w:rPr>
          <w:rFonts w:hint="eastAsia" w:ascii="宋体" w:hAnsi="宋体"/>
          <w:bCs/>
          <w:color w:val="auto"/>
          <w:szCs w:val="21"/>
          <w:highlight w:val="none"/>
        </w:rPr>
        <w:t>扶持政策说明：</w:t>
      </w:r>
    </w:p>
    <w:p w14:paraId="29B0C38E">
      <w:pPr>
        <w:spacing w:line="312" w:lineRule="auto"/>
        <w:ind w:firstLine="420" w:firstLineChars="200"/>
        <w:rPr>
          <w:rFonts w:hint="eastAsia" w:ascii="宋体" w:hAnsi="宋体"/>
          <w:b/>
          <w:bCs/>
        </w:rPr>
      </w:pPr>
      <w:r>
        <w:rPr>
          <w:rFonts w:hint="eastAsia" w:ascii="宋体" w:hAnsi="宋体"/>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宋体" w:hAnsi="宋体"/>
          <w:b/>
          <w:bCs/>
        </w:rPr>
        <w:t>本项目不专门面向中小企业，本项目对应的中小企业划分标准所属行业：</w:t>
      </w:r>
      <w:r>
        <w:rPr>
          <w:rFonts w:hint="eastAsia" w:ascii="宋体" w:hAnsi="宋体"/>
          <w:b/>
          <w:bCs/>
          <w:lang w:val="en-US" w:eastAsia="zh-CN"/>
        </w:rPr>
        <w:t>批发</w:t>
      </w:r>
      <w:r>
        <w:rPr>
          <w:rFonts w:hint="eastAsia" w:ascii="宋体" w:hAnsi="宋体"/>
          <w:b/>
          <w:bCs/>
        </w:rPr>
        <w:t>业。</w:t>
      </w:r>
    </w:p>
    <w:p w14:paraId="7D4AD894">
      <w:pPr>
        <w:spacing w:line="312" w:lineRule="auto"/>
        <w:ind w:firstLine="420" w:firstLineChars="200"/>
        <w:rPr>
          <w:rFonts w:hint="eastAsia" w:ascii="宋体" w:hAnsi="宋体"/>
        </w:rPr>
      </w:pPr>
      <w:r>
        <w:rPr>
          <w:rFonts w:hint="eastAsia" w:ascii="宋体" w:hAnsi="宋体"/>
        </w:rPr>
        <w:t>未提供完整证明材料的，投标报价不予扣减。</w:t>
      </w:r>
    </w:p>
    <w:p w14:paraId="3B63963C">
      <w:pPr>
        <w:spacing w:line="312" w:lineRule="auto"/>
        <w:ind w:firstLine="420" w:firstLineChars="200"/>
        <w:rPr>
          <w:rFonts w:hint="eastAsia" w:ascii="宋体" w:hAnsi="宋体"/>
        </w:rPr>
      </w:pPr>
      <w:r>
        <w:rPr>
          <w:rFonts w:hint="eastAsia" w:ascii="宋体" w:hAnsi="宋体"/>
        </w:rPr>
        <w:t>（2）根据《关于政府采购支持监狱企业发展有关问题的通知》（财库[2014]68号）的规定，供应商如为监狱企业且所投产品为小型或微型企业生产的，其投标报价扣除10%后参与评审。</w:t>
      </w:r>
    </w:p>
    <w:p w14:paraId="768747FF">
      <w:pPr>
        <w:spacing w:line="312" w:lineRule="auto"/>
        <w:ind w:firstLine="420" w:firstLineChars="200"/>
        <w:rPr>
          <w:rFonts w:hint="eastAsia" w:ascii="宋体" w:hAnsi="宋体"/>
        </w:rPr>
      </w:pPr>
      <w:r>
        <w:rPr>
          <w:rFonts w:hint="eastAsia" w:ascii="宋体" w:hAnsi="宋体"/>
        </w:rPr>
        <w:t>投标文件中须同时提供：供应商的省级以上监狱管理局、戒毒管理局（含新疆生产建设兵团）出具的属于监狱企业的证明文件，投标产品制造商的小微企业证明，未提供完整证明材料的，投标报价不予扣减。</w:t>
      </w:r>
    </w:p>
    <w:p w14:paraId="3EE1F76D">
      <w:pPr>
        <w:spacing w:line="312" w:lineRule="auto"/>
        <w:ind w:firstLine="420" w:firstLineChars="200"/>
        <w:rPr>
          <w:rFonts w:hint="eastAsia" w:ascii="宋体" w:hAnsi="宋体"/>
        </w:rPr>
      </w:pPr>
      <w:r>
        <w:rPr>
          <w:rFonts w:hint="eastAsia" w:ascii="宋体" w:hAnsi="宋体"/>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7DDDD8C0">
      <w:pPr>
        <w:spacing w:line="312" w:lineRule="auto"/>
        <w:ind w:firstLine="420" w:firstLineChars="200"/>
        <w:rPr>
          <w:rFonts w:hint="eastAsia" w:ascii="宋体" w:hAnsi="宋体"/>
        </w:rPr>
      </w:pPr>
      <w:r>
        <w:rPr>
          <w:rFonts w:hint="eastAsia" w:ascii="宋体" w:hAnsi="宋体"/>
        </w:rPr>
        <w:t>投标文件中须提供：《残疾人福利性单位声明函》，未提供完整证明材料的，投标报价不予扣减。</w:t>
      </w:r>
    </w:p>
    <w:p w14:paraId="42D13AE1">
      <w:pPr>
        <w:spacing w:line="312" w:lineRule="auto"/>
        <w:ind w:firstLine="420" w:firstLineChars="200"/>
        <w:rPr>
          <w:rFonts w:hint="eastAsia" w:ascii="宋体" w:hAnsi="宋体"/>
        </w:rPr>
      </w:pPr>
      <w:r>
        <w:rPr>
          <w:rFonts w:hint="eastAsia" w:ascii="宋体" w:hAnsi="宋体"/>
        </w:rPr>
        <w:t>上述1，2，3政策不重复计算。</w:t>
      </w:r>
    </w:p>
    <w:p w14:paraId="4A53D777">
      <w:pPr>
        <w:spacing w:line="312" w:lineRule="auto"/>
        <w:ind w:firstLine="420" w:firstLineChars="200"/>
        <w:rPr>
          <w:rFonts w:hint="eastAsia" w:ascii="宋体" w:hAnsi="宋体"/>
          <w:color w:val="auto"/>
          <w:highlight w:val="none"/>
        </w:rPr>
      </w:pPr>
      <w:r>
        <w:rPr>
          <w:rFonts w:hint="eastAsia" w:ascii="宋体" w:hAnsi="宋体"/>
        </w:rPr>
        <w:t>此项由评标委员会集体核实后统一打分</w:t>
      </w:r>
      <w:r>
        <w:rPr>
          <w:rFonts w:hint="eastAsia" w:ascii="宋体" w:hAnsi="宋体"/>
          <w:color w:val="auto"/>
          <w:highlight w:val="none"/>
        </w:rPr>
        <w:t>。</w:t>
      </w:r>
    </w:p>
    <w:p w14:paraId="0D7DCE92">
      <w:pPr>
        <w:adjustRightInd w:val="0"/>
        <w:spacing w:line="360" w:lineRule="auto"/>
        <w:ind w:firstLine="422" w:firstLineChars="200"/>
        <w:rPr>
          <w:rFonts w:hint="eastAsia" w:ascii="宋体" w:hAnsi="宋体"/>
          <w:b/>
          <w:bCs/>
          <w:color w:val="auto"/>
          <w:highlight w:val="none"/>
        </w:rPr>
      </w:pPr>
      <w:r>
        <w:rPr>
          <w:rFonts w:hint="eastAsia" w:ascii="宋体" w:hAnsi="宋体"/>
          <w:b/>
          <w:bCs/>
          <w:color w:val="auto"/>
          <w:szCs w:val="21"/>
          <w:highlight w:val="none"/>
          <w:lang w:val="en-US" w:eastAsia="zh-CN"/>
        </w:rPr>
        <w:t>7</w:t>
      </w:r>
      <w:r>
        <w:rPr>
          <w:rFonts w:hint="eastAsia" w:ascii="宋体" w:hAnsi="宋体"/>
          <w:b/>
          <w:bCs/>
          <w:color w:val="auto"/>
          <w:szCs w:val="21"/>
          <w:highlight w:val="none"/>
        </w:rPr>
        <w:t>.本次项</w:t>
      </w:r>
      <w:r>
        <w:rPr>
          <w:rFonts w:hint="eastAsia" w:ascii="宋体" w:hAnsi="宋体"/>
          <w:b/>
          <w:color w:val="auto"/>
          <w:szCs w:val="21"/>
          <w:highlight w:val="none"/>
        </w:rPr>
        <w:t>目的预算金额为</w:t>
      </w:r>
      <w:r>
        <w:rPr>
          <w:rFonts w:hint="eastAsia" w:ascii="宋体" w:hAnsi="宋体"/>
          <w:b/>
          <w:bCs/>
          <w:color w:val="auto"/>
          <w:highlight w:val="none"/>
        </w:rPr>
        <w:t>：人民币</w:t>
      </w:r>
      <w:r>
        <w:rPr>
          <w:rFonts w:hint="eastAsia" w:ascii="宋体" w:hAnsi="宋体"/>
          <w:b/>
          <w:bCs/>
          <w:color w:val="auto"/>
          <w:highlight w:val="none"/>
          <w:lang w:val="en-US" w:eastAsia="zh-CN"/>
        </w:rPr>
        <w:t>伍</w:t>
      </w:r>
      <w:r>
        <w:rPr>
          <w:rFonts w:hint="eastAsia" w:ascii="宋体" w:hAnsi="宋体"/>
          <w:b/>
          <w:bCs/>
          <w:color w:val="auto"/>
          <w:highlight w:val="none"/>
        </w:rPr>
        <w:t>拾</w:t>
      </w:r>
      <w:r>
        <w:rPr>
          <w:rFonts w:hint="eastAsia" w:ascii="宋体" w:hAnsi="宋体"/>
          <w:b/>
          <w:bCs/>
          <w:color w:val="auto"/>
          <w:highlight w:val="none"/>
          <w:lang w:val="en-US" w:eastAsia="zh-CN"/>
        </w:rPr>
        <w:t>捌</w:t>
      </w:r>
      <w:r>
        <w:rPr>
          <w:rFonts w:hint="eastAsia" w:ascii="宋体" w:hAnsi="宋体"/>
          <w:b/>
          <w:bCs/>
          <w:color w:val="auto"/>
          <w:highlight w:val="none"/>
        </w:rPr>
        <w:t>万</w:t>
      </w:r>
      <w:r>
        <w:rPr>
          <w:rFonts w:hint="eastAsia" w:ascii="宋体" w:hAnsi="宋体"/>
          <w:b/>
          <w:bCs/>
          <w:color w:val="auto"/>
          <w:highlight w:val="none"/>
          <w:lang w:val="en-US" w:eastAsia="zh-CN"/>
        </w:rPr>
        <w:t>元</w:t>
      </w:r>
      <w:r>
        <w:rPr>
          <w:rFonts w:hint="eastAsia" w:ascii="宋体" w:hAnsi="宋体"/>
          <w:b/>
          <w:bCs/>
          <w:color w:val="auto"/>
          <w:highlight w:val="none"/>
        </w:rPr>
        <w:t>整（</w:t>
      </w:r>
      <w:r>
        <w:rPr>
          <w:rFonts w:hint="eastAsia" w:ascii="宋体" w:hAnsi="宋体"/>
          <w:b/>
          <w:bCs/>
          <w:color w:val="auto"/>
          <w:highlight w:val="none"/>
          <w:lang w:val="en-US" w:eastAsia="zh-CN"/>
        </w:rPr>
        <w:t>580</w:t>
      </w:r>
      <w:r>
        <w:rPr>
          <w:rFonts w:hint="eastAsia" w:ascii="宋体" w:hAnsi="宋体"/>
          <w:b/>
          <w:bCs/>
          <w:color w:val="auto"/>
          <w:highlight w:val="none"/>
        </w:rPr>
        <w:t>,000.00元）。</w:t>
      </w:r>
    </w:p>
    <w:p w14:paraId="2E6A5E74">
      <w:pPr>
        <w:spacing w:line="312" w:lineRule="auto"/>
        <w:outlineLvl w:val="0"/>
        <w:rPr>
          <w:b/>
          <w:color w:val="auto"/>
          <w:sz w:val="24"/>
          <w:highlight w:val="none"/>
        </w:rPr>
      </w:pPr>
    </w:p>
    <w:p w14:paraId="41B65072">
      <w:pPr>
        <w:pageBreakBefore/>
        <w:snapToGrid w:val="0"/>
        <w:jc w:val="center"/>
        <w:rPr>
          <w:color w:val="auto"/>
          <w:sz w:val="28"/>
          <w:highlight w:val="none"/>
        </w:rPr>
      </w:pPr>
      <w:r>
        <w:rPr>
          <w:rFonts w:hint="eastAsia"/>
          <w:b/>
          <w:color w:val="auto"/>
          <w:sz w:val="32"/>
          <w:highlight w:val="none"/>
        </w:rPr>
        <w:t>第三章投标人须知</w:t>
      </w:r>
    </w:p>
    <w:p w14:paraId="0A390A1F">
      <w:pPr>
        <w:snapToGrid w:val="0"/>
        <w:ind w:firstLine="4340" w:firstLineChars="1550"/>
        <w:rPr>
          <w:color w:val="auto"/>
          <w:sz w:val="28"/>
          <w:highlight w:val="none"/>
        </w:rPr>
      </w:pPr>
      <w:r>
        <w:rPr>
          <w:rFonts w:hint="eastAsia"/>
          <w:color w:val="auto"/>
          <w:sz w:val="28"/>
          <w:highlight w:val="none"/>
        </w:rPr>
        <w:t>前附表</w:t>
      </w:r>
    </w:p>
    <w:tbl>
      <w:tblPr>
        <w:tblStyle w:val="61"/>
        <w:tblW w:w="1100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466"/>
        <w:gridCol w:w="4917"/>
        <w:gridCol w:w="1098"/>
        <w:gridCol w:w="3019"/>
      </w:tblGrid>
      <w:tr w14:paraId="5D81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45FF88">
            <w:pPr>
              <w:snapToGrid w:val="0"/>
              <w:spacing w:line="240" w:lineRule="exact"/>
              <w:jc w:val="center"/>
              <w:rPr>
                <w:b/>
                <w:color w:val="auto"/>
                <w:highlight w:val="none"/>
              </w:rPr>
            </w:pPr>
            <w:r>
              <w:rPr>
                <w:rFonts w:hint="eastAsia"/>
                <w:b/>
                <w:color w:val="auto"/>
                <w:highlight w:val="none"/>
              </w:rPr>
              <w:t>序号</w:t>
            </w:r>
          </w:p>
        </w:tc>
        <w:tc>
          <w:tcPr>
            <w:tcW w:w="10479"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68EE0F">
            <w:pPr>
              <w:snapToGrid w:val="0"/>
              <w:spacing w:line="240" w:lineRule="exact"/>
              <w:jc w:val="center"/>
              <w:rPr>
                <w:b/>
                <w:color w:val="auto"/>
                <w:highlight w:val="none"/>
              </w:rPr>
            </w:pPr>
            <w:r>
              <w:rPr>
                <w:rFonts w:hint="eastAsia"/>
                <w:b/>
                <w:color w:val="auto"/>
                <w:highlight w:val="none"/>
              </w:rPr>
              <w:t>内容说明及要求</w:t>
            </w:r>
          </w:p>
        </w:tc>
      </w:tr>
      <w:tr w14:paraId="348B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49D645">
            <w:pPr>
              <w:snapToGrid w:val="0"/>
              <w:spacing w:line="240" w:lineRule="exact"/>
              <w:jc w:val="center"/>
              <w:rPr>
                <w:b/>
                <w:color w:val="auto"/>
                <w:highlight w:val="none"/>
              </w:rPr>
            </w:pPr>
            <w:r>
              <w:rPr>
                <w:b/>
                <w:color w:val="auto"/>
                <w:highlight w:val="none"/>
              </w:rPr>
              <w:t>1</w:t>
            </w:r>
          </w:p>
        </w:tc>
        <w:tc>
          <w:tcPr>
            <w:tcW w:w="14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ADE59E">
            <w:pPr>
              <w:spacing w:line="240" w:lineRule="exact"/>
              <w:jc w:val="center"/>
              <w:rPr>
                <w:b/>
                <w:color w:val="auto"/>
                <w:highlight w:val="none"/>
              </w:rPr>
            </w:pPr>
            <w:r>
              <w:rPr>
                <w:rFonts w:hint="eastAsia"/>
                <w:b/>
                <w:color w:val="auto"/>
                <w:highlight w:val="none"/>
              </w:rPr>
              <w:t>项目名称</w:t>
            </w:r>
          </w:p>
        </w:tc>
        <w:tc>
          <w:tcPr>
            <w:tcW w:w="490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4E9BFE">
            <w:pPr>
              <w:spacing w:line="240" w:lineRule="exact"/>
              <w:rPr>
                <w:rFonts w:hint="eastAsia" w:eastAsia="宋体"/>
                <w:bCs/>
                <w:color w:val="auto"/>
                <w:highlight w:val="none"/>
                <w:lang w:val="zh-CN" w:eastAsia="zh-CN"/>
              </w:rPr>
            </w:pPr>
            <w:r>
              <w:rPr>
                <w:rFonts w:hint="eastAsia"/>
                <w:color w:val="auto"/>
                <w:highlight w:val="none"/>
                <w:lang w:eastAsia="zh-CN"/>
              </w:rPr>
              <w:t xml:space="preserve">浙江国际海运职业技术学院2025年中文原版图书采购与服务供应项目 </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C31E96">
            <w:pPr>
              <w:spacing w:line="240" w:lineRule="exact"/>
              <w:jc w:val="center"/>
              <w:rPr>
                <w:bCs/>
                <w:color w:val="auto"/>
                <w:highlight w:val="none"/>
              </w:rPr>
            </w:pPr>
            <w:r>
              <w:rPr>
                <w:rFonts w:hint="eastAsia"/>
                <w:b/>
                <w:color w:val="auto"/>
                <w:highlight w:val="none"/>
              </w:rPr>
              <w:t>项目编号</w:t>
            </w:r>
          </w:p>
        </w:tc>
        <w:tc>
          <w:tcPr>
            <w:tcW w:w="299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794CFD">
            <w:pPr>
              <w:spacing w:line="240" w:lineRule="exact"/>
              <w:rPr>
                <w:rFonts w:hint="eastAsia" w:eastAsia="宋体"/>
                <w:bCs/>
                <w:color w:val="auto"/>
                <w:highlight w:val="none"/>
                <w:lang w:eastAsia="zh-CN"/>
              </w:rPr>
            </w:pPr>
            <w:r>
              <w:rPr>
                <w:rFonts w:hint="eastAsia"/>
                <w:color w:val="auto"/>
                <w:highlight w:val="none"/>
                <w:lang w:eastAsia="zh-CN"/>
              </w:rPr>
              <w:t>SZGXZS2025111Ⅱ</w:t>
            </w:r>
          </w:p>
        </w:tc>
      </w:tr>
      <w:tr w14:paraId="26AA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FC1963">
            <w:pPr>
              <w:snapToGrid w:val="0"/>
              <w:spacing w:line="240" w:lineRule="exact"/>
              <w:jc w:val="center"/>
              <w:rPr>
                <w:b/>
                <w:color w:val="auto"/>
                <w:highlight w:val="none"/>
              </w:rPr>
            </w:pPr>
            <w:r>
              <w:rPr>
                <w:b/>
                <w:color w:val="auto"/>
                <w:highlight w:val="none"/>
              </w:rPr>
              <w:t>2</w:t>
            </w:r>
          </w:p>
        </w:tc>
        <w:tc>
          <w:tcPr>
            <w:tcW w:w="14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66C9C0">
            <w:pPr>
              <w:spacing w:line="240" w:lineRule="exact"/>
              <w:jc w:val="center"/>
              <w:rPr>
                <w:b/>
                <w:color w:val="auto"/>
                <w:highlight w:val="none"/>
              </w:rPr>
            </w:pPr>
            <w:r>
              <w:rPr>
                <w:rFonts w:hint="eastAsia"/>
                <w:b/>
                <w:color w:val="auto"/>
                <w:highlight w:val="none"/>
              </w:rPr>
              <w:t>采购单位名称</w:t>
            </w:r>
          </w:p>
        </w:tc>
        <w:tc>
          <w:tcPr>
            <w:tcW w:w="901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569BF9">
            <w:pPr>
              <w:spacing w:line="240" w:lineRule="exact"/>
              <w:rPr>
                <w:bCs/>
                <w:color w:val="auto"/>
                <w:highlight w:val="none"/>
              </w:rPr>
            </w:pPr>
            <w:r>
              <w:rPr>
                <w:rFonts w:hint="eastAsia"/>
                <w:color w:val="auto"/>
                <w:highlight w:val="none"/>
              </w:rPr>
              <w:t>浙江国际海运职业技术学院</w:t>
            </w:r>
          </w:p>
        </w:tc>
      </w:tr>
      <w:tr w14:paraId="6E11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66B101">
            <w:pPr>
              <w:snapToGrid w:val="0"/>
              <w:spacing w:line="240" w:lineRule="exact"/>
              <w:jc w:val="center"/>
              <w:rPr>
                <w:b/>
                <w:color w:val="auto"/>
                <w:highlight w:val="none"/>
              </w:rPr>
            </w:pPr>
            <w:r>
              <w:rPr>
                <w:b/>
                <w:color w:val="auto"/>
                <w:highlight w:val="none"/>
              </w:rPr>
              <w:t>3</w:t>
            </w:r>
          </w:p>
        </w:tc>
        <w:tc>
          <w:tcPr>
            <w:tcW w:w="14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A1633C">
            <w:pPr>
              <w:spacing w:line="240" w:lineRule="exact"/>
              <w:jc w:val="center"/>
              <w:rPr>
                <w:b/>
                <w:color w:val="auto"/>
                <w:highlight w:val="none"/>
              </w:rPr>
            </w:pPr>
            <w:r>
              <w:rPr>
                <w:rFonts w:hint="eastAsia"/>
                <w:b/>
                <w:color w:val="auto"/>
                <w:highlight w:val="none"/>
              </w:rPr>
              <w:t>采购内容</w:t>
            </w:r>
          </w:p>
        </w:tc>
        <w:tc>
          <w:tcPr>
            <w:tcW w:w="901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2"/>
              <w:tblpPr w:leftFromText="180" w:rightFromText="180" w:vertAnchor="text" w:horzAnchor="page" w:tblpX="27" w:tblpY="125"/>
              <w:tblOverlap w:val="never"/>
              <w:tblW w:w="88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597"/>
              <w:gridCol w:w="1764"/>
              <w:gridCol w:w="792"/>
            </w:tblGrid>
            <w:tr w14:paraId="3ACC4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14:paraId="2468AF9E">
                  <w:pPr>
                    <w:widowControl/>
                    <w:spacing w:line="360" w:lineRule="auto"/>
                    <w:jc w:val="center"/>
                    <w:rPr>
                      <w:color w:val="auto"/>
                      <w:kern w:val="0"/>
                      <w:sz w:val="20"/>
                      <w:szCs w:val="21"/>
                      <w:highlight w:val="none"/>
                    </w:rPr>
                  </w:pPr>
                  <w:r>
                    <w:rPr>
                      <w:rFonts w:hint="eastAsia"/>
                      <w:bCs/>
                      <w:color w:val="auto"/>
                      <w:kern w:val="0"/>
                      <w:szCs w:val="21"/>
                      <w:highlight w:val="none"/>
                    </w:rPr>
                    <w:t>序号</w:t>
                  </w:r>
                </w:p>
              </w:tc>
              <w:tc>
                <w:tcPr>
                  <w:tcW w:w="5597" w:type="dxa"/>
                  <w:tcBorders>
                    <w:top w:val="single" w:color="000000" w:sz="4" w:space="0"/>
                    <w:left w:val="single" w:color="000000" w:sz="4" w:space="0"/>
                    <w:bottom w:val="single" w:color="000000" w:sz="4" w:space="0"/>
                    <w:right w:val="single" w:color="000000" w:sz="4" w:space="0"/>
                  </w:tcBorders>
                  <w:vAlign w:val="center"/>
                </w:tcPr>
                <w:p w14:paraId="5F260A6D">
                  <w:pPr>
                    <w:spacing w:line="240" w:lineRule="exact"/>
                    <w:rPr>
                      <w:bCs/>
                      <w:color w:val="auto"/>
                      <w:kern w:val="0"/>
                      <w:szCs w:val="21"/>
                      <w:highlight w:val="none"/>
                    </w:rPr>
                  </w:pPr>
                  <w:r>
                    <w:rPr>
                      <w:rFonts w:hint="eastAsia"/>
                      <w:bCs/>
                      <w:color w:val="auto"/>
                      <w:kern w:val="0"/>
                      <w:szCs w:val="21"/>
                      <w:highlight w:val="none"/>
                    </w:rPr>
                    <w:t>项目名称及内容</w:t>
                  </w:r>
                </w:p>
              </w:tc>
              <w:tc>
                <w:tcPr>
                  <w:tcW w:w="1764" w:type="dxa"/>
                  <w:tcBorders>
                    <w:top w:val="single" w:color="000000" w:sz="4" w:space="0"/>
                    <w:left w:val="single" w:color="000000" w:sz="4" w:space="0"/>
                    <w:bottom w:val="single" w:color="000000" w:sz="4" w:space="0"/>
                    <w:right w:val="single" w:color="000000" w:sz="4" w:space="0"/>
                  </w:tcBorders>
                  <w:vAlign w:val="center"/>
                </w:tcPr>
                <w:p w14:paraId="516AE31E">
                  <w:pPr>
                    <w:spacing w:line="240" w:lineRule="exact"/>
                    <w:rPr>
                      <w:bCs/>
                      <w:color w:val="auto"/>
                      <w:kern w:val="0"/>
                      <w:szCs w:val="21"/>
                      <w:highlight w:val="none"/>
                    </w:rPr>
                  </w:pPr>
                  <w:r>
                    <w:rPr>
                      <w:rFonts w:hint="eastAsia"/>
                      <w:bCs/>
                      <w:color w:val="auto"/>
                      <w:kern w:val="0"/>
                      <w:szCs w:val="21"/>
                      <w:highlight w:val="none"/>
                    </w:rPr>
                    <w:t>预算金额（万元）</w:t>
                  </w:r>
                </w:p>
              </w:tc>
              <w:tc>
                <w:tcPr>
                  <w:tcW w:w="792" w:type="dxa"/>
                  <w:tcBorders>
                    <w:top w:val="single" w:color="000000" w:sz="4" w:space="0"/>
                    <w:left w:val="single" w:color="000000" w:sz="4" w:space="0"/>
                    <w:bottom w:val="single" w:color="000000" w:sz="4" w:space="0"/>
                    <w:right w:val="single" w:color="000000" w:sz="4" w:space="0"/>
                  </w:tcBorders>
                  <w:vAlign w:val="center"/>
                </w:tcPr>
                <w:p w14:paraId="0C97E8D8">
                  <w:pPr>
                    <w:widowControl/>
                    <w:spacing w:line="360" w:lineRule="auto"/>
                    <w:jc w:val="center"/>
                    <w:rPr>
                      <w:b/>
                      <w:bCs/>
                      <w:color w:val="auto"/>
                      <w:kern w:val="0"/>
                      <w:sz w:val="20"/>
                      <w:szCs w:val="21"/>
                      <w:highlight w:val="none"/>
                    </w:rPr>
                  </w:pPr>
                  <w:r>
                    <w:rPr>
                      <w:rFonts w:hint="eastAsia"/>
                      <w:b/>
                      <w:color w:val="auto"/>
                      <w:kern w:val="0"/>
                      <w:szCs w:val="21"/>
                      <w:highlight w:val="none"/>
                    </w:rPr>
                    <w:t>备注</w:t>
                  </w:r>
                </w:p>
              </w:tc>
            </w:tr>
            <w:tr w14:paraId="58C85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000000" w:sz="4" w:space="0"/>
                    <w:left w:val="single" w:color="000000" w:sz="4" w:space="0"/>
                    <w:bottom w:val="single" w:color="000000" w:sz="4" w:space="0"/>
                    <w:right w:val="single" w:color="000000" w:sz="4" w:space="0"/>
                  </w:tcBorders>
                  <w:vAlign w:val="center"/>
                </w:tcPr>
                <w:p w14:paraId="4A8CC2A4">
                  <w:pPr>
                    <w:widowControl/>
                    <w:spacing w:line="360" w:lineRule="auto"/>
                    <w:jc w:val="center"/>
                    <w:rPr>
                      <w:color w:val="auto"/>
                      <w:kern w:val="0"/>
                      <w:sz w:val="20"/>
                      <w:szCs w:val="21"/>
                      <w:highlight w:val="none"/>
                    </w:rPr>
                  </w:pPr>
                  <w:r>
                    <w:rPr>
                      <w:rFonts w:hint="eastAsia"/>
                      <w:color w:val="auto"/>
                      <w:kern w:val="0"/>
                      <w:highlight w:val="none"/>
                    </w:rPr>
                    <w:t>1</w:t>
                  </w:r>
                </w:p>
              </w:tc>
              <w:tc>
                <w:tcPr>
                  <w:tcW w:w="5597" w:type="dxa"/>
                  <w:tcBorders>
                    <w:top w:val="single" w:color="000000" w:sz="4" w:space="0"/>
                    <w:left w:val="single" w:color="000000" w:sz="4" w:space="0"/>
                    <w:bottom w:val="single" w:color="000000" w:sz="4" w:space="0"/>
                    <w:right w:val="single" w:color="000000" w:sz="4" w:space="0"/>
                  </w:tcBorders>
                  <w:vAlign w:val="center"/>
                </w:tcPr>
                <w:p w14:paraId="1513E639">
                  <w:pPr>
                    <w:spacing w:line="240" w:lineRule="exact"/>
                    <w:rPr>
                      <w:rFonts w:hint="eastAsia" w:eastAsia="宋体"/>
                      <w:bCs/>
                      <w:color w:val="auto"/>
                      <w:kern w:val="0"/>
                      <w:szCs w:val="21"/>
                      <w:highlight w:val="none"/>
                      <w:lang w:eastAsia="zh-CN"/>
                    </w:rPr>
                  </w:pPr>
                  <w:r>
                    <w:rPr>
                      <w:rFonts w:hint="eastAsia"/>
                      <w:bCs/>
                      <w:color w:val="auto"/>
                      <w:kern w:val="0"/>
                      <w:szCs w:val="21"/>
                      <w:highlight w:val="none"/>
                      <w:lang w:eastAsia="zh-CN"/>
                    </w:rPr>
                    <w:t xml:space="preserve">浙江国际海运职业技术学院2025年中文原版图书采购与服务供应项目 </w:t>
                  </w:r>
                </w:p>
              </w:tc>
              <w:tc>
                <w:tcPr>
                  <w:tcW w:w="1764" w:type="dxa"/>
                  <w:tcBorders>
                    <w:top w:val="single" w:color="000000" w:sz="4" w:space="0"/>
                    <w:left w:val="single" w:color="000000" w:sz="4" w:space="0"/>
                    <w:bottom w:val="single" w:color="000000" w:sz="4" w:space="0"/>
                    <w:right w:val="single" w:color="000000" w:sz="4" w:space="0"/>
                  </w:tcBorders>
                  <w:vAlign w:val="center"/>
                </w:tcPr>
                <w:p w14:paraId="3773C79D">
                  <w:pPr>
                    <w:tabs>
                      <w:tab w:val="left" w:pos="577"/>
                    </w:tabs>
                    <w:spacing w:line="240" w:lineRule="exact"/>
                    <w:ind w:firstLine="630" w:firstLineChars="300"/>
                    <w:rPr>
                      <w:rFonts w:hint="default" w:eastAsia="宋体"/>
                      <w:bCs/>
                      <w:color w:val="auto"/>
                      <w:kern w:val="0"/>
                      <w:szCs w:val="21"/>
                      <w:highlight w:val="none"/>
                      <w:lang w:val="en-US" w:eastAsia="zh-CN"/>
                    </w:rPr>
                  </w:pPr>
                  <w:r>
                    <w:rPr>
                      <w:rFonts w:hint="eastAsia"/>
                      <w:bCs/>
                      <w:color w:val="auto"/>
                      <w:kern w:val="0"/>
                      <w:szCs w:val="21"/>
                      <w:highlight w:val="none"/>
                      <w:lang w:val="en-US" w:eastAsia="zh-CN"/>
                    </w:rPr>
                    <w:t>58</w:t>
                  </w:r>
                </w:p>
              </w:tc>
              <w:tc>
                <w:tcPr>
                  <w:tcW w:w="792" w:type="dxa"/>
                  <w:tcBorders>
                    <w:top w:val="single" w:color="000000" w:sz="4" w:space="0"/>
                    <w:left w:val="single" w:color="000000" w:sz="4" w:space="0"/>
                    <w:bottom w:val="single" w:color="000000" w:sz="4" w:space="0"/>
                    <w:right w:val="single" w:color="000000" w:sz="4" w:space="0"/>
                  </w:tcBorders>
                  <w:vAlign w:val="center"/>
                </w:tcPr>
                <w:p w14:paraId="6FBDA0A2">
                  <w:pPr>
                    <w:spacing w:line="240" w:lineRule="exact"/>
                    <w:rPr>
                      <w:bCs/>
                      <w:color w:val="auto"/>
                      <w:kern w:val="0"/>
                      <w:szCs w:val="21"/>
                      <w:highlight w:val="none"/>
                    </w:rPr>
                  </w:pPr>
                </w:p>
              </w:tc>
            </w:tr>
          </w:tbl>
          <w:p w14:paraId="1882D427">
            <w:pPr>
              <w:spacing w:after="120"/>
              <w:rPr>
                <w:color w:val="auto"/>
                <w:kern w:val="0"/>
                <w:highlight w:val="none"/>
              </w:rPr>
            </w:pPr>
          </w:p>
        </w:tc>
      </w:tr>
      <w:tr w14:paraId="4FA0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168F39">
            <w:pPr>
              <w:snapToGrid w:val="0"/>
              <w:spacing w:line="240" w:lineRule="exact"/>
              <w:jc w:val="center"/>
              <w:rPr>
                <w:b/>
                <w:color w:val="auto"/>
                <w:highlight w:val="none"/>
              </w:rPr>
            </w:pPr>
            <w:r>
              <w:rPr>
                <w:b/>
                <w:color w:val="auto"/>
                <w:highlight w:val="none"/>
              </w:rPr>
              <w:t>4</w:t>
            </w:r>
          </w:p>
        </w:tc>
        <w:tc>
          <w:tcPr>
            <w:tcW w:w="14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815F7D">
            <w:pPr>
              <w:spacing w:line="240" w:lineRule="exact"/>
              <w:jc w:val="center"/>
              <w:rPr>
                <w:b/>
                <w:color w:val="auto"/>
                <w:highlight w:val="none"/>
              </w:rPr>
            </w:pPr>
            <w:r>
              <w:rPr>
                <w:rFonts w:hint="eastAsia"/>
                <w:b/>
                <w:color w:val="auto"/>
                <w:highlight w:val="none"/>
              </w:rPr>
              <w:t>本项目预算</w:t>
            </w:r>
          </w:p>
        </w:tc>
        <w:tc>
          <w:tcPr>
            <w:tcW w:w="901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3919D2">
            <w:pPr>
              <w:spacing w:line="240" w:lineRule="exact"/>
              <w:jc w:val="left"/>
              <w:rPr>
                <w:bCs/>
                <w:color w:val="auto"/>
                <w:szCs w:val="21"/>
                <w:highlight w:val="none"/>
              </w:rPr>
            </w:pPr>
            <w:r>
              <w:rPr>
                <w:rFonts w:hint="eastAsia" w:ascii="宋体" w:hAnsi="宋体"/>
                <w:b/>
                <w:bCs/>
                <w:color w:val="auto"/>
                <w:highlight w:val="none"/>
              </w:rPr>
              <w:t>人民币</w:t>
            </w:r>
            <w:r>
              <w:rPr>
                <w:rFonts w:hint="eastAsia" w:ascii="宋体" w:hAnsi="宋体"/>
                <w:b/>
                <w:bCs/>
                <w:color w:val="auto"/>
                <w:highlight w:val="none"/>
                <w:lang w:val="en-US" w:eastAsia="zh-CN"/>
              </w:rPr>
              <w:t>伍</w:t>
            </w:r>
            <w:r>
              <w:rPr>
                <w:rFonts w:hint="eastAsia" w:ascii="宋体" w:hAnsi="宋体"/>
                <w:b/>
                <w:bCs/>
                <w:color w:val="auto"/>
                <w:highlight w:val="none"/>
              </w:rPr>
              <w:t>拾</w:t>
            </w:r>
            <w:r>
              <w:rPr>
                <w:rFonts w:hint="eastAsia" w:ascii="宋体" w:hAnsi="宋体"/>
                <w:b/>
                <w:bCs/>
                <w:color w:val="auto"/>
                <w:highlight w:val="none"/>
                <w:lang w:val="en-US" w:eastAsia="zh-CN"/>
              </w:rPr>
              <w:t>捌</w:t>
            </w:r>
            <w:r>
              <w:rPr>
                <w:rFonts w:hint="eastAsia" w:ascii="宋体" w:hAnsi="宋体"/>
                <w:b/>
                <w:bCs/>
                <w:color w:val="auto"/>
                <w:highlight w:val="none"/>
              </w:rPr>
              <w:t>万</w:t>
            </w:r>
            <w:r>
              <w:rPr>
                <w:rFonts w:hint="eastAsia" w:ascii="宋体" w:hAnsi="宋体"/>
                <w:b/>
                <w:bCs/>
                <w:color w:val="auto"/>
                <w:highlight w:val="none"/>
                <w:lang w:val="en-US" w:eastAsia="zh-CN"/>
              </w:rPr>
              <w:t>元</w:t>
            </w:r>
            <w:r>
              <w:rPr>
                <w:rFonts w:hint="eastAsia" w:ascii="宋体" w:hAnsi="宋体"/>
                <w:b/>
                <w:bCs/>
                <w:color w:val="auto"/>
                <w:highlight w:val="none"/>
              </w:rPr>
              <w:t>整（</w:t>
            </w:r>
            <w:r>
              <w:rPr>
                <w:rFonts w:hint="eastAsia" w:ascii="宋体" w:hAnsi="宋体"/>
                <w:b/>
                <w:bCs/>
                <w:color w:val="auto"/>
                <w:highlight w:val="none"/>
                <w:lang w:val="en-US" w:eastAsia="zh-CN"/>
              </w:rPr>
              <w:t>580</w:t>
            </w:r>
            <w:r>
              <w:rPr>
                <w:rFonts w:hint="eastAsia" w:ascii="宋体" w:hAnsi="宋体"/>
                <w:b/>
                <w:bCs/>
                <w:color w:val="auto"/>
                <w:highlight w:val="none"/>
              </w:rPr>
              <w:t>,000.00元）</w:t>
            </w:r>
          </w:p>
        </w:tc>
      </w:tr>
      <w:tr w14:paraId="31E9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1686D4">
            <w:pPr>
              <w:snapToGrid w:val="0"/>
              <w:spacing w:line="240" w:lineRule="exact"/>
              <w:jc w:val="center"/>
              <w:rPr>
                <w:b/>
                <w:color w:val="auto"/>
                <w:highlight w:val="none"/>
              </w:rPr>
            </w:pPr>
            <w:r>
              <w:rPr>
                <w:b/>
                <w:color w:val="auto"/>
                <w:highlight w:val="none"/>
              </w:rPr>
              <w:t>5</w:t>
            </w:r>
          </w:p>
        </w:tc>
        <w:tc>
          <w:tcPr>
            <w:tcW w:w="14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3F491D">
            <w:pPr>
              <w:spacing w:line="240" w:lineRule="exact"/>
              <w:jc w:val="center"/>
              <w:rPr>
                <w:rFonts w:hint="eastAsia" w:ascii="宋体" w:hAnsi="宋体"/>
                <w:b/>
                <w:color w:val="auto"/>
                <w:highlight w:val="none"/>
              </w:rPr>
            </w:pPr>
            <w:r>
              <w:rPr>
                <w:rFonts w:hint="eastAsia" w:ascii="宋体" w:hAnsi="宋体"/>
                <w:b/>
                <w:color w:val="auto"/>
                <w:highlight w:val="none"/>
              </w:rPr>
              <w:t>时间要求</w:t>
            </w:r>
          </w:p>
        </w:tc>
        <w:tc>
          <w:tcPr>
            <w:tcW w:w="901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E485B3">
            <w:pPr>
              <w:spacing w:line="360" w:lineRule="auto"/>
              <w:rPr>
                <w:rFonts w:hint="eastAsia" w:eastAsia="宋体"/>
                <w:color w:val="auto"/>
                <w:szCs w:val="21"/>
                <w:highlight w:val="none"/>
                <w:lang w:eastAsia="zh-CN"/>
              </w:rPr>
            </w:pPr>
            <w:r>
              <w:rPr>
                <w:rFonts w:hint="eastAsia"/>
                <w:color w:val="auto"/>
                <w:szCs w:val="21"/>
                <w:highlight w:val="none"/>
              </w:rPr>
              <w:t>投标人必须在2025年8月底前加工完成所有图书，运送到馆并按要求完成上架。</w:t>
            </w:r>
          </w:p>
        </w:tc>
      </w:tr>
      <w:tr w14:paraId="022F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0E29BC">
            <w:pPr>
              <w:snapToGrid w:val="0"/>
              <w:spacing w:line="240" w:lineRule="exact"/>
              <w:jc w:val="center"/>
              <w:rPr>
                <w:b/>
                <w:color w:val="auto"/>
                <w:highlight w:val="none"/>
              </w:rPr>
            </w:pPr>
            <w:r>
              <w:rPr>
                <w:b/>
                <w:color w:val="auto"/>
                <w:highlight w:val="none"/>
              </w:rPr>
              <w:t>6</w:t>
            </w:r>
          </w:p>
        </w:tc>
        <w:tc>
          <w:tcPr>
            <w:tcW w:w="14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641A0B">
            <w:pPr>
              <w:spacing w:line="240" w:lineRule="exact"/>
              <w:jc w:val="center"/>
              <w:rPr>
                <w:b/>
                <w:color w:val="auto"/>
                <w:szCs w:val="21"/>
                <w:highlight w:val="none"/>
              </w:rPr>
            </w:pPr>
            <w:r>
              <w:rPr>
                <w:rFonts w:hint="eastAsia"/>
                <w:b/>
                <w:color w:val="auto"/>
                <w:szCs w:val="21"/>
                <w:highlight w:val="none"/>
              </w:rPr>
              <w:t>投标有效期</w:t>
            </w:r>
          </w:p>
        </w:tc>
        <w:tc>
          <w:tcPr>
            <w:tcW w:w="901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47DE82">
            <w:pPr>
              <w:spacing w:line="240" w:lineRule="exact"/>
              <w:rPr>
                <w:color w:val="auto"/>
                <w:szCs w:val="21"/>
                <w:highlight w:val="none"/>
              </w:rPr>
            </w:pPr>
            <w:r>
              <w:rPr>
                <w:color w:val="auto"/>
                <w:szCs w:val="21"/>
                <w:highlight w:val="none"/>
                <w:u w:val="single"/>
              </w:rPr>
              <w:t>90</w:t>
            </w:r>
            <w:r>
              <w:rPr>
                <w:rFonts w:hint="eastAsia"/>
                <w:color w:val="auto"/>
                <w:szCs w:val="21"/>
                <w:highlight w:val="none"/>
                <w:u w:val="single"/>
              </w:rPr>
              <w:t>日</w:t>
            </w:r>
            <w:r>
              <w:rPr>
                <w:rFonts w:hint="eastAsia"/>
                <w:color w:val="auto"/>
                <w:szCs w:val="21"/>
                <w:highlight w:val="none"/>
              </w:rPr>
              <w:t>历天。（从投标截止之日算起）</w:t>
            </w:r>
          </w:p>
        </w:tc>
      </w:tr>
      <w:tr w14:paraId="7969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8FB41A">
            <w:pPr>
              <w:snapToGrid w:val="0"/>
              <w:spacing w:line="240" w:lineRule="exact"/>
              <w:jc w:val="center"/>
              <w:rPr>
                <w:b/>
                <w:color w:val="auto"/>
                <w:highlight w:val="none"/>
              </w:rPr>
            </w:pPr>
            <w:r>
              <w:rPr>
                <w:b/>
                <w:color w:val="auto"/>
                <w:highlight w:val="none"/>
              </w:rPr>
              <w:t>7</w:t>
            </w:r>
          </w:p>
        </w:tc>
        <w:tc>
          <w:tcPr>
            <w:tcW w:w="14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FD5078">
            <w:pPr>
              <w:spacing w:line="240" w:lineRule="exact"/>
              <w:jc w:val="center"/>
              <w:rPr>
                <w:rFonts w:hint="eastAsia" w:eastAsia="宋体"/>
                <w:b/>
                <w:color w:val="auto"/>
                <w:szCs w:val="21"/>
                <w:highlight w:val="none"/>
                <w:lang w:eastAsia="zh-CN"/>
              </w:rPr>
            </w:pPr>
            <w:r>
              <w:rPr>
                <w:rFonts w:hint="eastAsia"/>
                <w:b/>
                <w:color w:val="auto"/>
                <w:szCs w:val="21"/>
                <w:highlight w:val="none"/>
                <w:lang w:eastAsia="zh-CN"/>
              </w:rPr>
              <w:t>评标方法</w:t>
            </w:r>
          </w:p>
        </w:tc>
        <w:tc>
          <w:tcPr>
            <w:tcW w:w="901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04E248">
            <w:pPr>
              <w:spacing w:line="240" w:lineRule="exact"/>
              <w:rPr>
                <w:color w:val="auto"/>
                <w:szCs w:val="21"/>
                <w:highlight w:val="none"/>
              </w:rPr>
            </w:pPr>
            <w:r>
              <w:rPr>
                <w:rFonts w:hint="eastAsia"/>
                <w:color w:val="auto"/>
                <w:szCs w:val="21"/>
                <w:highlight w:val="none"/>
              </w:rPr>
              <w:t>综合评分法</w:t>
            </w:r>
          </w:p>
        </w:tc>
      </w:tr>
      <w:tr w14:paraId="3B56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53449E">
            <w:pPr>
              <w:snapToGrid w:val="0"/>
              <w:spacing w:line="240" w:lineRule="exact"/>
              <w:jc w:val="center"/>
              <w:rPr>
                <w:b/>
                <w:color w:val="auto"/>
                <w:highlight w:val="none"/>
              </w:rPr>
            </w:pPr>
            <w:r>
              <w:rPr>
                <w:b/>
                <w:color w:val="auto"/>
                <w:highlight w:val="none"/>
              </w:rPr>
              <w:t>8</w:t>
            </w:r>
          </w:p>
        </w:tc>
        <w:tc>
          <w:tcPr>
            <w:tcW w:w="14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7C4653">
            <w:pPr>
              <w:spacing w:line="240" w:lineRule="exact"/>
              <w:jc w:val="center"/>
              <w:rPr>
                <w:b/>
                <w:color w:val="auto"/>
                <w:szCs w:val="21"/>
                <w:highlight w:val="none"/>
              </w:rPr>
            </w:pPr>
            <w:r>
              <w:rPr>
                <w:rFonts w:hint="eastAsia"/>
                <w:b/>
                <w:color w:val="auto"/>
                <w:szCs w:val="21"/>
                <w:highlight w:val="none"/>
              </w:rPr>
              <w:t>签订合同</w:t>
            </w:r>
          </w:p>
        </w:tc>
        <w:tc>
          <w:tcPr>
            <w:tcW w:w="901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A2D1C5">
            <w:pPr>
              <w:spacing w:line="240" w:lineRule="exact"/>
              <w:rPr>
                <w:color w:val="auto"/>
                <w:szCs w:val="21"/>
                <w:highlight w:val="none"/>
              </w:rPr>
            </w:pPr>
            <w:r>
              <w:rPr>
                <w:rFonts w:hint="eastAsia"/>
                <w:color w:val="auto"/>
                <w:szCs w:val="21"/>
                <w:highlight w:val="none"/>
              </w:rPr>
              <w:t>中标通知书发出后</w:t>
            </w:r>
            <w:r>
              <w:rPr>
                <w:color w:val="auto"/>
                <w:szCs w:val="21"/>
                <w:highlight w:val="none"/>
                <w:u w:val="single"/>
              </w:rPr>
              <w:t>30</w:t>
            </w:r>
            <w:r>
              <w:rPr>
                <w:rFonts w:hint="eastAsia"/>
                <w:color w:val="auto"/>
                <w:szCs w:val="21"/>
                <w:highlight w:val="none"/>
              </w:rPr>
              <w:t>天内</w:t>
            </w:r>
          </w:p>
        </w:tc>
      </w:tr>
      <w:tr w14:paraId="61A0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8DD3B1">
            <w:pPr>
              <w:snapToGrid w:val="0"/>
              <w:spacing w:line="240" w:lineRule="exact"/>
              <w:jc w:val="center"/>
              <w:rPr>
                <w:b/>
                <w:color w:val="auto"/>
                <w:highlight w:val="none"/>
              </w:rPr>
            </w:pPr>
            <w:r>
              <w:rPr>
                <w:b/>
                <w:color w:val="auto"/>
                <w:highlight w:val="none"/>
              </w:rPr>
              <w:t>9</w:t>
            </w:r>
          </w:p>
        </w:tc>
        <w:tc>
          <w:tcPr>
            <w:tcW w:w="14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FF2050">
            <w:pPr>
              <w:spacing w:line="240" w:lineRule="exact"/>
              <w:jc w:val="center"/>
              <w:rPr>
                <w:b/>
                <w:color w:val="auto"/>
                <w:szCs w:val="21"/>
                <w:highlight w:val="none"/>
              </w:rPr>
            </w:pPr>
            <w:r>
              <w:rPr>
                <w:rFonts w:hint="eastAsia"/>
                <w:b/>
                <w:color w:val="auto"/>
                <w:szCs w:val="21"/>
                <w:highlight w:val="none"/>
              </w:rPr>
              <w:t>资金结算</w:t>
            </w:r>
          </w:p>
        </w:tc>
        <w:tc>
          <w:tcPr>
            <w:tcW w:w="901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87965E">
            <w:pPr>
              <w:spacing w:line="240" w:lineRule="exact"/>
              <w:jc w:val="left"/>
              <w:rPr>
                <w:rFonts w:hint="eastAsia" w:ascii="宋体" w:hAnsi="宋体"/>
                <w:bCs/>
                <w:color w:val="auto"/>
                <w:szCs w:val="21"/>
                <w:highlight w:val="none"/>
              </w:rPr>
            </w:pPr>
            <w:r>
              <w:rPr>
                <w:rFonts w:hint="eastAsia" w:ascii="宋体" w:hAnsi="宋体"/>
                <w:bCs/>
                <w:color w:val="auto"/>
                <w:szCs w:val="21"/>
                <w:highlight w:val="none"/>
              </w:rPr>
              <w:t>合同生效以及具备实施条件后7个工作日内，采购人在收到</w:t>
            </w:r>
            <w:r>
              <w:rPr>
                <w:rFonts w:hint="eastAsia" w:ascii="宋体" w:hAnsi="宋体"/>
                <w:bCs/>
                <w:color w:val="auto"/>
                <w:szCs w:val="21"/>
                <w:highlight w:val="none"/>
                <w:lang w:val="en-US" w:eastAsia="zh-CN"/>
              </w:rPr>
              <w:t>增值税专用</w:t>
            </w:r>
            <w:r>
              <w:rPr>
                <w:rFonts w:hint="eastAsia" w:ascii="宋体" w:hAnsi="宋体"/>
                <w:bCs/>
                <w:color w:val="auto"/>
                <w:szCs w:val="21"/>
                <w:highlight w:val="none"/>
              </w:rPr>
              <w:t>发票后支付合同金额的40%做为预付款,同时提供预付款担保(预付款担保形式可以是银行保函、担保公司担保等)。货到验收合格，办妥差、错图书的退书手续后，采购人通知中标人寄来扣除预付款金额的发票后1-2个月内按实洋支付书款。</w:t>
            </w:r>
          </w:p>
        </w:tc>
      </w:tr>
      <w:tr w14:paraId="6411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DB0D44">
            <w:pPr>
              <w:snapToGrid w:val="0"/>
              <w:spacing w:line="240" w:lineRule="exact"/>
              <w:jc w:val="center"/>
              <w:rPr>
                <w:b/>
                <w:color w:val="auto"/>
                <w:highlight w:val="none"/>
              </w:rPr>
            </w:pPr>
            <w:r>
              <w:rPr>
                <w:b/>
                <w:color w:val="auto"/>
                <w:highlight w:val="none"/>
              </w:rPr>
              <w:t>10</w:t>
            </w:r>
          </w:p>
        </w:tc>
        <w:tc>
          <w:tcPr>
            <w:tcW w:w="14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98E509">
            <w:pPr>
              <w:spacing w:line="240" w:lineRule="exact"/>
              <w:jc w:val="center"/>
              <w:rPr>
                <w:b/>
                <w:color w:val="auto"/>
                <w:szCs w:val="21"/>
                <w:highlight w:val="none"/>
              </w:rPr>
            </w:pPr>
            <w:r>
              <w:rPr>
                <w:rFonts w:hint="eastAsia"/>
                <w:b/>
                <w:color w:val="auto"/>
                <w:szCs w:val="21"/>
                <w:highlight w:val="none"/>
              </w:rPr>
              <w:t>投标报价</w:t>
            </w:r>
          </w:p>
          <w:p w14:paraId="2297635D">
            <w:pPr>
              <w:spacing w:line="240" w:lineRule="exact"/>
              <w:jc w:val="center"/>
              <w:rPr>
                <w:b/>
                <w:color w:val="auto"/>
                <w:szCs w:val="21"/>
                <w:highlight w:val="none"/>
              </w:rPr>
            </w:pPr>
            <w:r>
              <w:rPr>
                <w:rFonts w:hint="eastAsia"/>
                <w:b/>
                <w:color w:val="auto"/>
                <w:szCs w:val="21"/>
                <w:highlight w:val="none"/>
              </w:rPr>
              <w:t>与费用</w:t>
            </w:r>
          </w:p>
        </w:tc>
        <w:tc>
          <w:tcPr>
            <w:tcW w:w="901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CB9924">
            <w:pPr>
              <w:spacing w:line="240" w:lineRule="exact"/>
              <w:rPr>
                <w:color w:val="auto"/>
                <w:szCs w:val="21"/>
                <w:highlight w:val="none"/>
              </w:rPr>
            </w:pPr>
            <w:r>
              <w:rPr>
                <w:color w:val="auto"/>
                <w:szCs w:val="21"/>
                <w:highlight w:val="none"/>
              </w:rPr>
              <w:t>1.</w:t>
            </w:r>
            <w:r>
              <w:rPr>
                <w:rFonts w:hint="eastAsia"/>
                <w:color w:val="auto"/>
                <w:szCs w:val="21"/>
                <w:highlight w:val="none"/>
              </w:rPr>
              <w:t>本项目的投标应以人民币报价，投标报价应包括所有费用。</w:t>
            </w:r>
          </w:p>
          <w:p w14:paraId="31BEAFF4">
            <w:pPr>
              <w:spacing w:line="240" w:lineRule="exact"/>
              <w:rPr>
                <w:bCs/>
                <w:color w:val="auto"/>
                <w:szCs w:val="21"/>
                <w:highlight w:val="none"/>
              </w:rPr>
            </w:pPr>
            <w:r>
              <w:rPr>
                <w:color w:val="auto"/>
                <w:szCs w:val="21"/>
                <w:highlight w:val="none"/>
              </w:rPr>
              <w:t>2.</w:t>
            </w:r>
            <w:r>
              <w:rPr>
                <w:rFonts w:hint="eastAsia"/>
                <w:color w:val="auto"/>
                <w:szCs w:val="21"/>
                <w:highlight w:val="none"/>
              </w:rPr>
              <w:t>投</w:t>
            </w:r>
            <w:r>
              <w:rPr>
                <w:rFonts w:hint="eastAsia"/>
                <w:bCs/>
                <w:color w:val="auto"/>
                <w:szCs w:val="21"/>
                <w:highlight w:val="none"/>
              </w:rPr>
              <w:t xml:space="preserve">标人应承担其参加本招标活动自身所发生的费用。 </w:t>
            </w:r>
          </w:p>
          <w:p w14:paraId="7B70EE1E">
            <w:pPr>
              <w:spacing w:line="240" w:lineRule="exact"/>
              <w:rPr>
                <w:bCs/>
                <w:color w:val="auto"/>
                <w:szCs w:val="21"/>
                <w:highlight w:val="none"/>
              </w:rPr>
            </w:pPr>
            <w:r>
              <w:rPr>
                <w:bCs/>
                <w:color w:val="auto"/>
                <w:szCs w:val="21"/>
                <w:highlight w:val="none"/>
              </w:rPr>
              <w:t>3.</w:t>
            </w:r>
            <w:r>
              <w:rPr>
                <w:rFonts w:hint="eastAsia"/>
                <w:bCs/>
                <w:color w:val="auto"/>
                <w:szCs w:val="21"/>
                <w:highlight w:val="none"/>
              </w:rPr>
              <w:t>中标人须缴纳招标代理费，收费金额为：暂定收费：人民</w:t>
            </w:r>
            <w:r>
              <w:rPr>
                <w:rFonts w:hint="eastAsia"/>
                <w:bCs/>
                <w:color w:val="auto"/>
                <w:szCs w:val="21"/>
                <w:highlight w:val="none"/>
                <w:lang w:val="en-US" w:eastAsia="zh-CN"/>
              </w:rPr>
              <w:t>币陆</w:t>
            </w:r>
            <w:r>
              <w:rPr>
                <w:rFonts w:hint="eastAsia"/>
                <w:bCs/>
                <w:color w:val="auto"/>
                <w:szCs w:val="21"/>
                <w:highlight w:val="none"/>
              </w:rPr>
              <w:t>仟</w:t>
            </w:r>
            <w:r>
              <w:rPr>
                <w:rFonts w:hint="eastAsia"/>
                <w:bCs/>
                <w:color w:val="auto"/>
                <w:szCs w:val="21"/>
                <w:highlight w:val="none"/>
                <w:lang w:val="en-US" w:eastAsia="zh-CN"/>
              </w:rPr>
              <w:t>玖</w:t>
            </w:r>
            <w:r>
              <w:rPr>
                <w:rFonts w:hint="eastAsia"/>
                <w:bCs/>
                <w:color w:val="auto"/>
                <w:szCs w:val="21"/>
                <w:highlight w:val="none"/>
              </w:rPr>
              <w:t>佰</w:t>
            </w:r>
            <w:r>
              <w:rPr>
                <w:rFonts w:hint="eastAsia"/>
                <w:bCs/>
                <w:color w:val="auto"/>
                <w:szCs w:val="21"/>
                <w:highlight w:val="none"/>
                <w:lang w:val="en-US" w:eastAsia="zh-CN"/>
              </w:rPr>
              <w:t>陆</w:t>
            </w:r>
            <w:r>
              <w:rPr>
                <w:rFonts w:hint="eastAsia"/>
                <w:bCs/>
                <w:color w:val="auto"/>
                <w:szCs w:val="21"/>
                <w:highlight w:val="none"/>
              </w:rPr>
              <w:t>拾元整（¥</w:t>
            </w:r>
            <w:r>
              <w:rPr>
                <w:rFonts w:hint="eastAsia"/>
                <w:bCs/>
                <w:color w:val="auto"/>
                <w:szCs w:val="21"/>
                <w:highlight w:val="none"/>
                <w:lang w:val="en-US" w:eastAsia="zh-CN"/>
              </w:rPr>
              <w:t>6,960</w:t>
            </w:r>
            <w:r>
              <w:rPr>
                <w:rFonts w:hint="eastAsia"/>
                <w:bCs/>
                <w:color w:val="auto"/>
                <w:szCs w:val="21"/>
                <w:highlight w:val="none"/>
              </w:rPr>
              <w:t>.00）（注：实际按项目中标价为计费基数，100万元以下部分按1.5%收取，所计算出的代理费总额下浮20%，最低收费4000元整。）</w:t>
            </w:r>
          </w:p>
          <w:p w14:paraId="366BE3DE">
            <w:pPr>
              <w:spacing w:line="240" w:lineRule="exact"/>
              <w:rPr>
                <w:color w:val="auto"/>
                <w:szCs w:val="21"/>
                <w:highlight w:val="none"/>
              </w:rPr>
            </w:pPr>
            <w:r>
              <w:rPr>
                <w:color w:val="auto"/>
                <w:highlight w:val="none"/>
              </w:rPr>
              <w:t>4.</w:t>
            </w:r>
            <w:r>
              <w:rPr>
                <w:rFonts w:hint="eastAsia"/>
                <w:color w:val="auto"/>
                <w:highlight w:val="none"/>
              </w:rPr>
              <w:t>中标通知书发出的同时，中标人应及时支付招标代理费，收到服务费后提供全额发票。</w:t>
            </w:r>
          </w:p>
        </w:tc>
      </w:tr>
      <w:tr w14:paraId="3FFA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B1ED4F">
            <w:pPr>
              <w:snapToGrid w:val="0"/>
              <w:spacing w:line="240" w:lineRule="exact"/>
              <w:jc w:val="center"/>
              <w:rPr>
                <w:b/>
                <w:color w:val="auto"/>
                <w:highlight w:val="none"/>
              </w:rPr>
            </w:pPr>
            <w:r>
              <w:rPr>
                <w:b/>
                <w:color w:val="auto"/>
                <w:highlight w:val="none"/>
              </w:rPr>
              <w:t>11</w:t>
            </w:r>
          </w:p>
        </w:tc>
        <w:tc>
          <w:tcPr>
            <w:tcW w:w="14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E9B05C">
            <w:pPr>
              <w:spacing w:line="240" w:lineRule="exact"/>
              <w:jc w:val="center"/>
              <w:rPr>
                <w:b/>
                <w:color w:val="auto"/>
                <w:szCs w:val="21"/>
                <w:highlight w:val="none"/>
              </w:rPr>
            </w:pPr>
            <w:r>
              <w:rPr>
                <w:rFonts w:hint="eastAsia"/>
                <w:b/>
                <w:color w:val="auto"/>
                <w:szCs w:val="21"/>
                <w:highlight w:val="none"/>
              </w:rPr>
              <w:t>银行账号</w:t>
            </w:r>
          </w:p>
        </w:tc>
        <w:tc>
          <w:tcPr>
            <w:tcW w:w="901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1FB042">
            <w:pPr>
              <w:spacing w:line="240" w:lineRule="exact"/>
              <w:rPr>
                <w:color w:val="auto"/>
                <w:szCs w:val="21"/>
                <w:highlight w:val="none"/>
              </w:rPr>
            </w:pPr>
            <w:r>
              <w:rPr>
                <w:rFonts w:hint="eastAsia"/>
                <w:color w:val="auto"/>
                <w:szCs w:val="21"/>
                <w:highlight w:val="none"/>
              </w:rPr>
              <w:t>收款单位：深圳市国信招标有限公司舟山分公司</w:t>
            </w:r>
          </w:p>
          <w:p w14:paraId="33B9B11D">
            <w:pPr>
              <w:spacing w:line="240" w:lineRule="exact"/>
              <w:rPr>
                <w:color w:val="auto"/>
                <w:szCs w:val="21"/>
                <w:highlight w:val="none"/>
              </w:rPr>
            </w:pPr>
            <w:r>
              <w:rPr>
                <w:rFonts w:hint="eastAsia"/>
                <w:color w:val="auto"/>
                <w:szCs w:val="21"/>
                <w:highlight w:val="none"/>
              </w:rPr>
              <w:t>开户银行：中国工商银行舟山市定海区支行</w:t>
            </w:r>
          </w:p>
          <w:p w14:paraId="75CC76E8">
            <w:pPr>
              <w:spacing w:line="240" w:lineRule="exact"/>
              <w:rPr>
                <w:color w:val="auto"/>
                <w:szCs w:val="21"/>
                <w:highlight w:val="none"/>
              </w:rPr>
            </w:pPr>
            <w:r>
              <w:rPr>
                <w:rFonts w:hint="eastAsia"/>
                <w:color w:val="auto"/>
                <w:szCs w:val="21"/>
                <w:highlight w:val="none"/>
              </w:rPr>
              <w:t>银行账号：</w:t>
            </w:r>
            <w:r>
              <w:rPr>
                <w:color w:val="auto"/>
                <w:szCs w:val="21"/>
                <w:highlight w:val="none"/>
              </w:rPr>
              <w:t>1206020209200081758</w:t>
            </w:r>
          </w:p>
        </w:tc>
      </w:tr>
      <w:tr w14:paraId="1AA1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F9B1AF">
            <w:pPr>
              <w:snapToGrid w:val="0"/>
              <w:spacing w:line="240" w:lineRule="exact"/>
              <w:jc w:val="center"/>
              <w:rPr>
                <w:b/>
                <w:color w:val="auto"/>
                <w:highlight w:val="none"/>
              </w:rPr>
            </w:pPr>
            <w:r>
              <w:rPr>
                <w:b/>
                <w:color w:val="auto"/>
                <w:highlight w:val="none"/>
              </w:rPr>
              <w:t>12</w:t>
            </w:r>
          </w:p>
        </w:tc>
        <w:tc>
          <w:tcPr>
            <w:tcW w:w="14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22316E">
            <w:pPr>
              <w:spacing w:line="240" w:lineRule="exact"/>
              <w:jc w:val="center"/>
              <w:rPr>
                <w:b/>
                <w:color w:val="auto"/>
                <w:szCs w:val="21"/>
                <w:highlight w:val="none"/>
              </w:rPr>
            </w:pPr>
            <w:r>
              <w:rPr>
                <w:rFonts w:hint="eastAsia"/>
                <w:b/>
                <w:color w:val="auto"/>
                <w:szCs w:val="21"/>
                <w:highlight w:val="none"/>
              </w:rPr>
              <w:t>质量标准</w:t>
            </w:r>
          </w:p>
        </w:tc>
        <w:tc>
          <w:tcPr>
            <w:tcW w:w="901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CF4545">
            <w:pPr>
              <w:spacing w:line="240" w:lineRule="exact"/>
              <w:rPr>
                <w:color w:val="auto"/>
                <w:szCs w:val="21"/>
                <w:highlight w:val="none"/>
              </w:rPr>
            </w:pPr>
            <w:r>
              <w:rPr>
                <w:rFonts w:hint="eastAsia" w:ascii="宋体" w:hAnsi="宋体"/>
                <w:color w:val="auto"/>
                <w:highlight w:val="none"/>
              </w:rPr>
              <w:t>合同约定，经验收合格</w:t>
            </w:r>
          </w:p>
        </w:tc>
      </w:tr>
      <w:tr w14:paraId="7D64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A45E68">
            <w:pPr>
              <w:snapToGrid w:val="0"/>
              <w:spacing w:line="240" w:lineRule="exact"/>
              <w:jc w:val="center"/>
              <w:rPr>
                <w:b/>
                <w:color w:val="auto"/>
                <w:highlight w:val="none"/>
              </w:rPr>
            </w:pPr>
            <w:r>
              <w:rPr>
                <w:rFonts w:hint="eastAsia"/>
                <w:b/>
                <w:color w:val="auto"/>
                <w:highlight w:val="none"/>
              </w:rPr>
              <w:t>13</w:t>
            </w:r>
          </w:p>
        </w:tc>
        <w:tc>
          <w:tcPr>
            <w:tcW w:w="14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C698C4">
            <w:pPr>
              <w:spacing w:line="240" w:lineRule="exact"/>
              <w:jc w:val="center"/>
              <w:rPr>
                <w:b/>
                <w:color w:val="auto"/>
                <w:highlight w:val="none"/>
              </w:rPr>
            </w:pPr>
            <w:r>
              <w:rPr>
                <w:rFonts w:hint="eastAsia"/>
                <w:b/>
                <w:color w:val="auto"/>
                <w:szCs w:val="21"/>
                <w:highlight w:val="none"/>
              </w:rPr>
              <w:t>履约保证金</w:t>
            </w:r>
          </w:p>
        </w:tc>
        <w:tc>
          <w:tcPr>
            <w:tcW w:w="901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DF8101">
            <w:pPr>
              <w:rPr>
                <w:color w:val="auto"/>
                <w:szCs w:val="21"/>
                <w:highlight w:val="none"/>
              </w:rPr>
            </w:pPr>
            <w:r>
              <w:rPr>
                <w:rFonts w:hint="eastAsia" w:hAnsi="宋体"/>
                <w:bCs/>
                <w:color w:val="auto"/>
                <w:sz w:val="21"/>
                <w:szCs w:val="21"/>
                <w:highlight w:val="none"/>
                <w:lang w:val="en-US" w:eastAsia="zh-CN"/>
              </w:rPr>
              <w:t>1</w:t>
            </w:r>
            <w:r>
              <w:rPr>
                <w:rFonts w:hint="eastAsia" w:hAnsi="宋体"/>
                <w:bCs/>
                <w:color w:val="auto"/>
                <w:sz w:val="21"/>
                <w:szCs w:val="21"/>
                <w:highlight w:val="none"/>
              </w:rPr>
              <w:t>%</w:t>
            </w:r>
          </w:p>
        </w:tc>
      </w:tr>
      <w:tr w14:paraId="4F11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848839">
            <w:pPr>
              <w:snapToGrid w:val="0"/>
              <w:spacing w:line="240" w:lineRule="exact"/>
              <w:jc w:val="center"/>
              <w:rPr>
                <w:b/>
                <w:color w:val="auto"/>
                <w:highlight w:val="none"/>
              </w:rPr>
            </w:pPr>
            <w:r>
              <w:rPr>
                <w:b/>
                <w:color w:val="auto"/>
                <w:highlight w:val="none"/>
              </w:rPr>
              <w:t>1</w:t>
            </w:r>
            <w:r>
              <w:rPr>
                <w:rFonts w:hint="eastAsia"/>
                <w:b/>
                <w:color w:val="auto"/>
                <w:highlight w:val="none"/>
              </w:rPr>
              <w:t>4</w:t>
            </w:r>
          </w:p>
        </w:tc>
        <w:tc>
          <w:tcPr>
            <w:tcW w:w="14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6AC427">
            <w:pPr>
              <w:snapToGrid w:val="0"/>
              <w:jc w:val="center"/>
              <w:rPr>
                <w:b/>
                <w:color w:val="auto"/>
                <w:highlight w:val="none"/>
              </w:rPr>
            </w:pPr>
            <w:r>
              <w:rPr>
                <w:rFonts w:hint="eastAsia"/>
                <w:b/>
                <w:color w:val="auto"/>
                <w:highlight w:val="none"/>
              </w:rPr>
              <w:t>投标文件的</w:t>
            </w:r>
          </w:p>
          <w:p w14:paraId="63F3F704">
            <w:pPr>
              <w:snapToGrid w:val="0"/>
              <w:jc w:val="center"/>
              <w:rPr>
                <w:b/>
                <w:color w:val="auto"/>
                <w:highlight w:val="none"/>
              </w:rPr>
            </w:pPr>
            <w:r>
              <w:rPr>
                <w:rFonts w:hint="eastAsia"/>
                <w:b/>
                <w:color w:val="auto"/>
                <w:highlight w:val="none"/>
              </w:rPr>
              <w:t>组成</w:t>
            </w:r>
          </w:p>
        </w:tc>
        <w:tc>
          <w:tcPr>
            <w:tcW w:w="901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582F0B">
            <w:pPr>
              <w:snapToGrid w:val="0"/>
              <w:rPr>
                <w:color w:val="auto"/>
                <w:szCs w:val="21"/>
                <w:highlight w:val="none"/>
              </w:rPr>
            </w:pPr>
            <w:r>
              <w:rPr>
                <w:rFonts w:hint="eastAsia"/>
                <w:color w:val="auto"/>
                <w:szCs w:val="21"/>
                <w:highlight w:val="none"/>
              </w:rPr>
              <w:t>投标文件由资格响应文件、商务及技术响应文件、报价文件组成。</w:t>
            </w:r>
          </w:p>
        </w:tc>
      </w:tr>
      <w:tr w14:paraId="5572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F367AA">
            <w:pPr>
              <w:snapToGrid w:val="0"/>
              <w:spacing w:line="240" w:lineRule="exact"/>
              <w:jc w:val="center"/>
              <w:rPr>
                <w:b/>
                <w:color w:val="auto"/>
                <w:highlight w:val="none"/>
              </w:rPr>
            </w:pPr>
            <w:r>
              <w:rPr>
                <w:b/>
                <w:color w:val="auto"/>
                <w:highlight w:val="none"/>
              </w:rPr>
              <w:t>1</w:t>
            </w:r>
            <w:r>
              <w:rPr>
                <w:rFonts w:hint="eastAsia"/>
                <w:b/>
                <w:color w:val="auto"/>
                <w:highlight w:val="none"/>
              </w:rPr>
              <w:t>5</w:t>
            </w:r>
          </w:p>
        </w:tc>
        <w:tc>
          <w:tcPr>
            <w:tcW w:w="145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2DDCDD18">
            <w:pPr>
              <w:snapToGrid w:val="0"/>
              <w:jc w:val="center"/>
              <w:rPr>
                <w:b/>
                <w:color w:val="auto"/>
                <w:highlight w:val="none"/>
              </w:rPr>
            </w:pPr>
            <w:r>
              <w:rPr>
                <w:rFonts w:hint="eastAsia"/>
                <w:b/>
                <w:color w:val="auto"/>
                <w:highlight w:val="none"/>
              </w:rPr>
              <w:t>投标文件的</w:t>
            </w:r>
          </w:p>
          <w:p w14:paraId="0D1AB0C6">
            <w:pPr>
              <w:ind w:firstLine="517" w:firstLineChars="245"/>
              <w:rPr>
                <w:b/>
                <w:color w:val="auto"/>
                <w:szCs w:val="21"/>
                <w:highlight w:val="none"/>
                <w:shd w:val="pct10" w:color="auto" w:fill="FFFFFF"/>
              </w:rPr>
            </w:pPr>
            <w:r>
              <w:rPr>
                <w:rFonts w:hint="eastAsia"/>
                <w:b/>
                <w:color w:val="auto"/>
                <w:highlight w:val="none"/>
              </w:rPr>
              <w:t>制作</w:t>
            </w:r>
          </w:p>
        </w:tc>
        <w:tc>
          <w:tcPr>
            <w:tcW w:w="901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FC413E">
            <w:pPr>
              <w:rPr>
                <w:color w:val="auto"/>
                <w:szCs w:val="21"/>
                <w:highlight w:val="none"/>
              </w:rPr>
            </w:pPr>
            <w:r>
              <w:rPr>
                <w:rFonts w:hint="eastAsia"/>
                <w:color w:val="auto"/>
                <w:szCs w:val="21"/>
                <w:highlight w:val="none"/>
              </w:rPr>
              <w:t>本项目实行电子投标。</w:t>
            </w:r>
          </w:p>
          <w:p w14:paraId="0F5FD2E6">
            <w:pPr>
              <w:rPr>
                <w:color w:val="auto"/>
                <w:szCs w:val="21"/>
                <w:highlight w:val="none"/>
              </w:rPr>
            </w:pPr>
            <w:r>
              <w:rPr>
                <w:rFonts w:hint="eastAsia"/>
                <w:color w:val="auto"/>
                <w:szCs w:val="21"/>
                <w:highlight w:val="none"/>
              </w:rPr>
              <w:t>投标人应准备电子投标文件、以介质存储的数据电文形式的备份投标文件：</w:t>
            </w:r>
          </w:p>
          <w:p w14:paraId="6A2A8031">
            <w:pPr>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）电子投标文件，按政采云平台项目采购</w:t>
            </w:r>
            <w:r>
              <w:rPr>
                <w:color w:val="auto"/>
                <w:szCs w:val="21"/>
                <w:highlight w:val="none"/>
              </w:rPr>
              <w:t>-</w:t>
            </w:r>
            <w:r>
              <w:rPr>
                <w:rFonts w:hint="eastAsia"/>
                <w:color w:val="auto"/>
                <w:szCs w:val="21"/>
                <w:highlight w:val="none"/>
              </w:rPr>
              <w:t>电子交易操作指南及本招标文件要求递交。</w:t>
            </w:r>
          </w:p>
          <w:p w14:paraId="7B84D24E">
            <w:pPr>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）以介质存储的数据电文形式的备份投标文件，按政采云平台项目采购</w:t>
            </w:r>
            <w:r>
              <w:rPr>
                <w:color w:val="auto"/>
                <w:szCs w:val="21"/>
                <w:highlight w:val="none"/>
              </w:rPr>
              <w:t>-</w:t>
            </w:r>
            <w:r>
              <w:rPr>
                <w:rFonts w:hint="eastAsia"/>
                <w:color w:val="auto"/>
                <w:szCs w:val="21"/>
                <w:highlight w:val="none"/>
              </w:rPr>
              <w:t>电子交易操作指南中上传的电子投标文件格式，以</w:t>
            </w:r>
            <w:r>
              <w:rPr>
                <w:color w:val="auto"/>
                <w:szCs w:val="21"/>
                <w:highlight w:val="none"/>
              </w:rPr>
              <w:t>U</w:t>
            </w:r>
            <w:r>
              <w:rPr>
                <w:rFonts w:hint="eastAsia"/>
                <w:color w:val="auto"/>
                <w:szCs w:val="21"/>
                <w:highlight w:val="none"/>
              </w:rPr>
              <w:t>盘形式存储提供。数量为</w:t>
            </w:r>
            <w:r>
              <w:rPr>
                <w:color w:val="auto"/>
                <w:szCs w:val="21"/>
                <w:highlight w:val="none"/>
              </w:rPr>
              <w:t>1</w:t>
            </w:r>
            <w:r>
              <w:rPr>
                <w:rFonts w:hint="eastAsia"/>
                <w:color w:val="auto"/>
                <w:szCs w:val="21"/>
                <w:highlight w:val="none"/>
              </w:rPr>
              <w:t>份。</w:t>
            </w:r>
          </w:p>
          <w:p w14:paraId="3184F9DD">
            <w:pPr>
              <w:rPr>
                <w:color w:val="auto"/>
                <w:szCs w:val="21"/>
                <w:highlight w:val="none"/>
              </w:rPr>
            </w:pPr>
            <w:r>
              <w:rPr>
                <w:rFonts w:hint="eastAsia"/>
                <w:color w:val="auto"/>
                <w:szCs w:val="21"/>
                <w:highlight w:val="none"/>
              </w:rPr>
              <w:t>投标文件均由资格响应文件、商务及技术响应文件、报价文件组成。</w:t>
            </w:r>
          </w:p>
        </w:tc>
      </w:tr>
      <w:tr w14:paraId="063E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B72BF4">
            <w:pPr>
              <w:snapToGrid w:val="0"/>
              <w:spacing w:line="240" w:lineRule="exact"/>
              <w:jc w:val="center"/>
              <w:rPr>
                <w:b/>
                <w:color w:val="auto"/>
                <w:highlight w:val="none"/>
              </w:rPr>
            </w:pPr>
            <w:r>
              <w:rPr>
                <w:b/>
                <w:color w:val="auto"/>
                <w:highlight w:val="none"/>
              </w:rPr>
              <w:t>1</w:t>
            </w:r>
            <w:r>
              <w:rPr>
                <w:rFonts w:hint="eastAsia"/>
                <w:b/>
                <w:color w:val="auto"/>
                <w:highlight w:val="none"/>
              </w:rPr>
              <w:t>6</w:t>
            </w:r>
          </w:p>
        </w:tc>
        <w:tc>
          <w:tcPr>
            <w:tcW w:w="14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81DF240">
            <w:pPr>
              <w:snapToGrid w:val="0"/>
              <w:jc w:val="center"/>
              <w:rPr>
                <w:b/>
                <w:color w:val="auto"/>
                <w:highlight w:val="none"/>
              </w:rPr>
            </w:pPr>
            <w:r>
              <w:rPr>
                <w:rFonts w:hint="eastAsia"/>
                <w:b/>
                <w:color w:val="auto"/>
                <w:highlight w:val="none"/>
              </w:rPr>
              <w:t>投标文件的</w:t>
            </w:r>
          </w:p>
          <w:p w14:paraId="5FE36D72">
            <w:pPr>
              <w:jc w:val="center"/>
              <w:rPr>
                <w:b/>
                <w:color w:val="auto"/>
                <w:sz w:val="22"/>
                <w:highlight w:val="none"/>
                <w:shd w:val="pct10" w:color="auto" w:fill="FFFFFF"/>
              </w:rPr>
            </w:pPr>
            <w:r>
              <w:rPr>
                <w:rFonts w:hint="eastAsia"/>
                <w:b/>
                <w:color w:val="auto"/>
                <w:highlight w:val="none"/>
              </w:rPr>
              <w:t>组成</w:t>
            </w:r>
          </w:p>
        </w:tc>
        <w:tc>
          <w:tcPr>
            <w:tcW w:w="901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EA9358">
            <w:pPr>
              <w:rPr>
                <w:color w:val="auto"/>
                <w:sz w:val="22"/>
                <w:highlight w:val="none"/>
              </w:rPr>
            </w:pPr>
            <w:r>
              <w:rPr>
                <w:rFonts w:hint="eastAsia"/>
                <w:color w:val="auto"/>
                <w:sz w:val="22"/>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6C236424">
            <w:pPr>
              <w:rPr>
                <w:color w:val="auto"/>
                <w:sz w:val="22"/>
                <w:highlight w:val="none"/>
              </w:rPr>
            </w:pPr>
            <w:r>
              <w:rPr>
                <w:rFonts w:hint="eastAsia"/>
                <w:b/>
                <w:bCs/>
                <w:color w:val="auto"/>
                <w:sz w:val="22"/>
                <w:highlight w:val="none"/>
              </w:rPr>
              <w:t>投标人应当在规定时间前将以介质存储的数据电文形式的备份投标文件寄到或送达采购代理公司：舟山市定海区昌国路</w:t>
            </w:r>
            <w:r>
              <w:rPr>
                <w:b/>
                <w:bCs/>
                <w:color w:val="auto"/>
                <w:sz w:val="22"/>
                <w:highlight w:val="none"/>
              </w:rPr>
              <w:t>232</w:t>
            </w:r>
            <w:r>
              <w:rPr>
                <w:rFonts w:hint="eastAsia"/>
                <w:b/>
                <w:bCs/>
                <w:color w:val="auto"/>
                <w:sz w:val="22"/>
                <w:highlight w:val="none"/>
              </w:rPr>
              <w:t>号中楼</w:t>
            </w:r>
            <w:r>
              <w:rPr>
                <w:b/>
                <w:bCs/>
                <w:color w:val="auto"/>
                <w:sz w:val="22"/>
                <w:highlight w:val="none"/>
              </w:rPr>
              <w:t>202</w:t>
            </w:r>
            <w:r>
              <w:rPr>
                <w:rFonts w:hint="eastAsia"/>
                <w:b/>
                <w:bCs/>
                <w:color w:val="auto"/>
                <w:sz w:val="22"/>
                <w:highlight w:val="none"/>
              </w:rPr>
              <w:t>。</w:t>
            </w:r>
            <w:r>
              <w:rPr>
                <w:rFonts w:hint="eastAsia"/>
                <w:b/>
                <w:bCs/>
                <w:color w:val="auto"/>
                <w:sz w:val="22"/>
                <w:highlight w:val="none"/>
                <w:lang w:eastAsia="zh-CN"/>
              </w:rPr>
              <w:t>(收件人：任女士，联系电话：13567673203）寄错地址或未按时寄到的自行承担风险。</w:t>
            </w:r>
            <w:r>
              <w:rPr>
                <w:rFonts w:hint="eastAsia"/>
                <w:b/>
                <w:bCs/>
                <w:color w:val="auto"/>
                <w:sz w:val="22"/>
                <w:highlight w:val="none"/>
              </w:rPr>
              <w:t>逾期送达或未密封将被拒收。也可现场递交。</w:t>
            </w:r>
          </w:p>
          <w:p w14:paraId="24C5BCBB">
            <w:pPr>
              <w:rPr>
                <w:color w:val="auto"/>
                <w:sz w:val="22"/>
                <w:highlight w:val="none"/>
              </w:rPr>
            </w:pPr>
            <w:r>
              <w:rPr>
                <w:rFonts w:hint="eastAsia"/>
                <w:color w:val="auto"/>
                <w:sz w:val="22"/>
                <w:highlight w:val="none"/>
              </w:rPr>
              <w:t>投标人递交以介质存储的数据电文形式的备份投标文件时，如出现下列情况之一的，将被拒收：</w:t>
            </w:r>
          </w:p>
          <w:p w14:paraId="50E60AF4">
            <w:pPr>
              <w:rPr>
                <w:color w:val="auto"/>
                <w:sz w:val="22"/>
                <w:highlight w:val="none"/>
              </w:rPr>
            </w:pPr>
            <w:r>
              <w:rPr>
                <w:color w:val="auto"/>
                <w:sz w:val="22"/>
                <w:highlight w:val="none"/>
              </w:rPr>
              <w:t>1.</w:t>
            </w:r>
            <w:r>
              <w:rPr>
                <w:rFonts w:hint="eastAsia"/>
                <w:color w:val="auto"/>
                <w:sz w:val="22"/>
                <w:highlight w:val="none"/>
              </w:rPr>
              <w:t>未按规定密封或标记的投标文件；</w:t>
            </w:r>
          </w:p>
          <w:p w14:paraId="243F1540">
            <w:pPr>
              <w:rPr>
                <w:color w:val="auto"/>
                <w:sz w:val="22"/>
                <w:highlight w:val="none"/>
              </w:rPr>
            </w:pPr>
            <w:r>
              <w:rPr>
                <w:color w:val="auto"/>
                <w:sz w:val="22"/>
                <w:highlight w:val="none"/>
              </w:rPr>
              <w:t>2.</w:t>
            </w:r>
            <w:r>
              <w:rPr>
                <w:rFonts w:hint="eastAsia"/>
                <w:color w:val="auto"/>
                <w:sz w:val="22"/>
                <w:highlight w:val="none"/>
              </w:rPr>
              <w:t>由于包装不妥，在送交途中严重破损或失散的；</w:t>
            </w:r>
          </w:p>
          <w:p w14:paraId="231EED3A">
            <w:pPr>
              <w:rPr>
                <w:color w:val="auto"/>
                <w:sz w:val="22"/>
                <w:highlight w:val="none"/>
              </w:rPr>
            </w:pPr>
            <w:r>
              <w:rPr>
                <w:color w:val="auto"/>
                <w:sz w:val="22"/>
                <w:highlight w:val="none"/>
              </w:rPr>
              <w:t>3.</w:t>
            </w:r>
            <w:r>
              <w:rPr>
                <w:rFonts w:hint="eastAsia"/>
                <w:color w:val="auto"/>
                <w:sz w:val="22"/>
                <w:highlight w:val="none"/>
              </w:rPr>
              <w:t>未成功办理投标人报名手续的；</w:t>
            </w:r>
          </w:p>
          <w:p w14:paraId="747F8DA7">
            <w:pPr>
              <w:rPr>
                <w:color w:val="auto"/>
                <w:sz w:val="22"/>
                <w:highlight w:val="none"/>
              </w:rPr>
            </w:pPr>
            <w:r>
              <w:rPr>
                <w:color w:val="auto"/>
                <w:sz w:val="22"/>
                <w:highlight w:val="none"/>
              </w:rPr>
              <w:t>4.</w:t>
            </w:r>
            <w:r>
              <w:rPr>
                <w:rFonts w:hint="eastAsia"/>
                <w:color w:val="auto"/>
                <w:sz w:val="22"/>
                <w:highlight w:val="none"/>
              </w:rPr>
              <w:t>超过截止时间送达的；</w:t>
            </w:r>
          </w:p>
          <w:p w14:paraId="5C6A39BA">
            <w:pPr>
              <w:rPr>
                <w:color w:val="auto"/>
                <w:sz w:val="22"/>
                <w:highlight w:val="none"/>
              </w:rPr>
            </w:pPr>
            <w:r>
              <w:rPr>
                <w:rFonts w:hint="eastAsia"/>
                <w:color w:val="auto"/>
                <w:sz w:val="22"/>
                <w:highlight w:val="none"/>
              </w:rPr>
              <w:t>仅提供备份投标文件的，投标无效。</w:t>
            </w:r>
          </w:p>
          <w:p w14:paraId="72356A5C">
            <w:pPr>
              <w:rPr>
                <w:color w:val="auto"/>
                <w:sz w:val="22"/>
                <w:highlight w:val="none"/>
              </w:rPr>
            </w:pPr>
            <w:r>
              <w:rPr>
                <w:rFonts w:hint="eastAsia"/>
                <w:color w:val="auto"/>
                <w:sz w:val="22"/>
                <w:highlight w:val="none"/>
              </w:rPr>
              <w:t>投标人可以不提供备份投标文件，造成项目开评标活动无法进行下去的，投标无效，相关风险由投标人自行承担。</w:t>
            </w:r>
          </w:p>
        </w:tc>
      </w:tr>
      <w:tr w14:paraId="4EEC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C86C39">
            <w:pPr>
              <w:snapToGrid w:val="0"/>
              <w:jc w:val="center"/>
              <w:rPr>
                <w:b/>
                <w:color w:val="auto"/>
                <w:highlight w:val="none"/>
              </w:rPr>
            </w:pPr>
            <w:r>
              <w:rPr>
                <w:b/>
                <w:color w:val="auto"/>
                <w:highlight w:val="none"/>
              </w:rPr>
              <w:t>1</w:t>
            </w:r>
            <w:r>
              <w:rPr>
                <w:rFonts w:hint="eastAsia"/>
                <w:b/>
                <w:color w:val="auto"/>
                <w:highlight w:val="none"/>
              </w:rPr>
              <w:t>7</w:t>
            </w:r>
          </w:p>
        </w:tc>
        <w:tc>
          <w:tcPr>
            <w:tcW w:w="14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EC80B5">
            <w:pPr>
              <w:jc w:val="center"/>
              <w:rPr>
                <w:b/>
                <w:color w:val="auto"/>
                <w:szCs w:val="21"/>
                <w:highlight w:val="none"/>
              </w:rPr>
            </w:pPr>
            <w:r>
              <w:rPr>
                <w:rFonts w:hint="eastAsia"/>
                <w:b/>
                <w:color w:val="auto"/>
                <w:szCs w:val="21"/>
                <w:highlight w:val="none"/>
              </w:rPr>
              <w:t>投标人注册</w:t>
            </w:r>
          </w:p>
        </w:tc>
        <w:tc>
          <w:tcPr>
            <w:tcW w:w="901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12437E">
            <w:pPr>
              <w:spacing w:before="24" w:beforeLines="10"/>
              <w:jc w:val="left"/>
              <w:rPr>
                <w:bCs/>
                <w:snapToGrid w:val="0"/>
                <w:color w:val="auto"/>
                <w:kern w:val="0"/>
                <w:highlight w:val="none"/>
              </w:rPr>
            </w:pPr>
            <w:r>
              <w:rPr>
                <w:rFonts w:hint="eastAsia"/>
                <w:bCs/>
                <w:snapToGrid w:val="0"/>
                <w:color w:val="auto"/>
                <w:kern w:val="0"/>
                <w:highlight w:val="none"/>
              </w:rPr>
              <w:t>各投标人须在投标截止时间前根据浙江省财政厅《关于开展政府采购投标人网上注册登记和诚信管理工作的通知》（浙财采监【</w:t>
            </w:r>
            <w:r>
              <w:rPr>
                <w:bCs/>
                <w:snapToGrid w:val="0"/>
                <w:color w:val="auto"/>
                <w:kern w:val="0"/>
                <w:highlight w:val="none"/>
              </w:rPr>
              <w:t>2010</w:t>
            </w:r>
            <w:r>
              <w:rPr>
                <w:rFonts w:hint="eastAsia"/>
                <w:bCs/>
                <w:snapToGrid w:val="0"/>
                <w:color w:val="auto"/>
                <w:kern w:val="0"/>
                <w:highlight w:val="none"/>
              </w:rPr>
              <w:t>】</w:t>
            </w:r>
            <w:r>
              <w:rPr>
                <w:bCs/>
                <w:snapToGrid w:val="0"/>
                <w:color w:val="auto"/>
                <w:kern w:val="0"/>
                <w:highlight w:val="none"/>
              </w:rPr>
              <w:t>8</w:t>
            </w:r>
            <w:r>
              <w:rPr>
                <w:rFonts w:hint="eastAsia"/>
                <w:bCs/>
                <w:snapToGrid w:val="0"/>
                <w:color w:val="auto"/>
                <w:kern w:val="0"/>
                <w:highlight w:val="none"/>
              </w:rPr>
              <w:t>号文）的要求，通过浙江政府采购网申请注册加入政府采购投标人库。以免影响享受相关政策优惠及成交后的款项支付。</w:t>
            </w:r>
          </w:p>
          <w:p w14:paraId="44B42B44">
            <w:pPr>
              <w:spacing w:before="24" w:beforeLines="10"/>
              <w:jc w:val="left"/>
              <w:rPr>
                <w:color w:val="auto"/>
                <w:szCs w:val="21"/>
                <w:highlight w:val="none"/>
              </w:rPr>
            </w:pPr>
            <w:r>
              <w:rPr>
                <w:rFonts w:hint="eastAsia"/>
                <w:bCs/>
                <w:snapToGrid w:val="0"/>
                <w:color w:val="auto"/>
                <w:kern w:val="0"/>
                <w:highlight w:val="none"/>
              </w:rPr>
              <w:t>投标人在申请注册前，请认真阅读，学习《中华人民共和国政府采购法》和《浙江省政府采购投标人注册及诚信管理暂行办法》等相关法规规定。</w:t>
            </w:r>
          </w:p>
        </w:tc>
      </w:tr>
      <w:tr w14:paraId="5DF7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96292B">
            <w:pPr>
              <w:snapToGrid w:val="0"/>
              <w:spacing w:line="240" w:lineRule="exact"/>
              <w:jc w:val="center"/>
              <w:rPr>
                <w:b/>
                <w:color w:val="auto"/>
                <w:highlight w:val="none"/>
              </w:rPr>
            </w:pPr>
            <w:r>
              <w:rPr>
                <w:b/>
                <w:color w:val="auto"/>
                <w:highlight w:val="none"/>
              </w:rPr>
              <w:t>1</w:t>
            </w:r>
            <w:r>
              <w:rPr>
                <w:rFonts w:hint="eastAsia"/>
                <w:b/>
                <w:color w:val="auto"/>
                <w:highlight w:val="none"/>
              </w:rPr>
              <w:t>8</w:t>
            </w:r>
          </w:p>
        </w:tc>
        <w:tc>
          <w:tcPr>
            <w:tcW w:w="14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B65360">
            <w:pPr>
              <w:jc w:val="center"/>
              <w:rPr>
                <w:b/>
                <w:color w:val="auto"/>
                <w:szCs w:val="21"/>
                <w:highlight w:val="none"/>
              </w:rPr>
            </w:pPr>
            <w:r>
              <w:rPr>
                <w:rFonts w:hint="eastAsia"/>
                <w:b/>
                <w:color w:val="auto"/>
                <w:szCs w:val="21"/>
                <w:highlight w:val="none"/>
              </w:rPr>
              <w:t>不良信用记录查询</w:t>
            </w:r>
          </w:p>
        </w:tc>
        <w:tc>
          <w:tcPr>
            <w:tcW w:w="901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A97447">
            <w:pPr>
              <w:rPr>
                <w:color w:val="auto"/>
                <w:szCs w:val="21"/>
                <w:highlight w:val="none"/>
              </w:rPr>
            </w:pPr>
            <w:r>
              <w:rPr>
                <w:rFonts w:hint="eastAsia"/>
                <w:color w:val="auto"/>
                <w:szCs w:val="21"/>
                <w:highlight w:val="none"/>
              </w:rPr>
              <w:t>根据财库</w:t>
            </w:r>
            <w:r>
              <w:rPr>
                <w:color w:val="auto"/>
                <w:szCs w:val="21"/>
                <w:highlight w:val="none"/>
              </w:rPr>
              <w:t>[2016]125</w:t>
            </w:r>
            <w:r>
              <w:rPr>
                <w:rFonts w:hint="eastAsia"/>
                <w:color w:val="auto"/>
                <w:szCs w:val="21"/>
                <w:highlight w:val="none"/>
              </w:rPr>
              <w:t>号文件：</w:t>
            </w:r>
          </w:p>
          <w:p w14:paraId="44DE7892">
            <w:pPr>
              <w:rPr>
                <w:color w:val="auto"/>
                <w:szCs w:val="21"/>
                <w:highlight w:val="none"/>
              </w:rPr>
            </w:pPr>
            <w:r>
              <w:rPr>
                <w:color w:val="auto"/>
                <w:szCs w:val="21"/>
                <w:highlight w:val="none"/>
              </w:rPr>
              <w:t>1.</w:t>
            </w:r>
            <w:r>
              <w:rPr>
                <w:rFonts w:hint="eastAsia"/>
                <w:color w:val="auto"/>
                <w:szCs w:val="21"/>
                <w:highlight w:val="none"/>
              </w:rPr>
              <w:t>至本项目投标截止前未被列入</w:t>
            </w:r>
            <w:r>
              <w:rPr>
                <w:color w:val="auto"/>
                <w:szCs w:val="21"/>
                <w:highlight w:val="none"/>
              </w:rPr>
              <w:t>“</w:t>
            </w:r>
            <w:r>
              <w:rPr>
                <w:rFonts w:hint="eastAsia"/>
                <w:color w:val="auto"/>
                <w:szCs w:val="21"/>
                <w:highlight w:val="none"/>
              </w:rPr>
              <w:t>信用中国</w:t>
            </w:r>
            <w:r>
              <w:rPr>
                <w:color w:val="auto"/>
                <w:szCs w:val="21"/>
                <w:highlight w:val="none"/>
              </w:rPr>
              <w:t>”</w:t>
            </w:r>
            <w:r>
              <w:rPr>
                <w:rFonts w:hint="eastAsia"/>
                <w:color w:val="auto"/>
                <w:szCs w:val="21"/>
                <w:highlight w:val="none"/>
              </w:rPr>
              <w:t>网站</w:t>
            </w:r>
            <w:r>
              <w:rPr>
                <w:color w:val="auto"/>
                <w:szCs w:val="21"/>
                <w:highlight w:val="none"/>
              </w:rPr>
              <w:t>(www.creditchina.gov.cn)“</w:t>
            </w:r>
            <w:r>
              <w:rPr>
                <w:rFonts w:hint="eastAsia"/>
                <w:color w:val="auto"/>
                <w:szCs w:val="21"/>
                <w:highlight w:val="none"/>
              </w:rPr>
              <w:t>记录失信被执行人或重大税收违法案件当事人名单</w:t>
            </w:r>
            <w:r>
              <w:rPr>
                <w:color w:val="auto"/>
                <w:szCs w:val="21"/>
                <w:highlight w:val="none"/>
              </w:rPr>
              <w:t>”</w:t>
            </w:r>
            <w:r>
              <w:rPr>
                <w:rFonts w:hint="eastAsia"/>
                <w:color w:val="auto"/>
                <w:szCs w:val="21"/>
                <w:highlight w:val="none"/>
              </w:rPr>
              <w:t>记录名单。</w:t>
            </w:r>
          </w:p>
          <w:p w14:paraId="25C45C65">
            <w:pPr>
              <w:rPr>
                <w:color w:val="auto"/>
                <w:szCs w:val="21"/>
                <w:highlight w:val="none"/>
              </w:rPr>
            </w:pPr>
            <w:r>
              <w:rPr>
                <w:color w:val="auto"/>
                <w:szCs w:val="21"/>
                <w:highlight w:val="none"/>
              </w:rPr>
              <w:t>2.</w:t>
            </w:r>
            <w:r>
              <w:rPr>
                <w:rFonts w:hint="eastAsia"/>
                <w:color w:val="auto"/>
                <w:szCs w:val="21"/>
                <w:highlight w:val="none"/>
              </w:rPr>
              <w:t>至本项目投标截止前不处于中国政府采购网</w:t>
            </w:r>
            <w:r>
              <w:rPr>
                <w:color w:val="auto"/>
                <w:szCs w:val="21"/>
                <w:highlight w:val="none"/>
              </w:rPr>
              <w:t>(www.ccgp.gov.cn)“</w:t>
            </w:r>
            <w:r>
              <w:rPr>
                <w:rFonts w:hint="eastAsia"/>
                <w:color w:val="auto"/>
                <w:szCs w:val="21"/>
                <w:highlight w:val="none"/>
              </w:rPr>
              <w:t>政府采购严重违法失信行为信息记录</w:t>
            </w:r>
            <w:r>
              <w:rPr>
                <w:color w:val="auto"/>
                <w:szCs w:val="21"/>
                <w:highlight w:val="none"/>
              </w:rPr>
              <w:t>”</w:t>
            </w:r>
            <w:r>
              <w:rPr>
                <w:rFonts w:hint="eastAsia"/>
                <w:color w:val="auto"/>
                <w:szCs w:val="21"/>
                <w:highlight w:val="none"/>
              </w:rPr>
              <w:t>中的禁止参加政府采购活动期间。</w:t>
            </w:r>
          </w:p>
          <w:p w14:paraId="791962FC">
            <w:pPr>
              <w:rPr>
                <w:color w:val="auto"/>
                <w:highlight w:val="none"/>
              </w:rPr>
            </w:pPr>
            <w:r>
              <w:rPr>
                <w:rFonts w:hint="eastAsia"/>
                <w:color w:val="auto"/>
                <w:szCs w:val="21"/>
                <w:highlight w:val="none"/>
              </w:rPr>
              <w:t>提供</w:t>
            </w:r>
            <w:r>
              <w:rPr>
                <w:rFonts w:hint="eastAsia"/>
                <w:b/>
                <w:color w:val="auto"/>
                <w:highlight w:val="none"/>
              </w:rPr>
              <w:t>查询截图，（截图查询网站时间须在开标截止前二个星期内）。</w:t>
            </w:r>
            <w:r>
              <w:rPr>
                <w:rFonts w:hint="eastAsia"/>
                <w:color w:val="auto"/>
                <w:szCs w:val="21"/>
                <w:highlight w:val="none"/>
              </w:rPr>
              <w:t>对列入失信被执行人、重大税收违法案件当事人名单、政府采购严重违法失信行为记录名单的供应商，</w:t>
            </w:r>
            <w:r>
              <w:rPr>
                <w:rFonts w:hint="eastAsia"/>
                <w:b/>
                <w:color w:val="auto"/>
                <w:szCs w:val="21"/>
                <w:highlight w:val="none"/>
              </w:rPr>
              <w:t>其投标将作无效标处理</w:t>
            </w:r>
            <w:r>
              <w:rPr>
                <w:rFonts w:hint="eastAsia"/>
                <w:color w:val="auto"/>
                <w:szCs w:val="21"/>
                <w:highlight w:val="none"/>
              </w:rPr>
              <w:t>。</w:t>
            </w:r>
          </w:p>
        </w:tc>
      </w:tr>
      <w:tr w14:paraId="7469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116BBE">
            <w:pPr>
              <w:snapToGrid w:val="0"/>
              <w:spacing w:line="240" w:lineRule="exact"/>
              <w:jc w:val="center"/>
              <w:rPr>
                <w:b/>
                <w:color w:val="auto"/>
                <w:highlight w:val="none"/>
              </w:rPr>
            </w:pPr>
            <w:r>
              <w:rPr>
                <w:b/>
                <w:color w:val="auto"/>
                <w:highlight w:val="none"/>
              </w:rPr>
              <w:t>1</w:t>
            </w:r>
            <w:r>
              <w:rPr>
                <w:rFonts w:hint="eastAsia"/>
                <w:b/>
                <w:color w:val="auto"/>
                <w:highlight w:val="none"/>
              </w:rPr>
              <w:t>9</w:t>
            </w:r>
          </w:p>
        </w:tc>
        <w:tc>
          <w:tcPr>
            <w:tcW w:w="145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5F5741">
            <w:pPr>
              <w:jc w:val="center"/>
              <w:rPr>
                <w:b/>
                <w:color w:val="auto"/>
                <w:szCs w:val="21"/>
                <w:highlight w:val="none"/>
              </w:rPr>
            </w:pPr>
            <w:r>
              <w:rPr>
                <w:rFonts w:hint="eastAsia"/>
                <w:b/>
                <w:color w:val="auto"/>
                <w:szCs w:val="21"/>
                <w:highlight w:val="none"/>
              </w:rPr>
              <w:t>中小企业有关政策</w:t>
            </w:r>
          </w:p>
        </w:tc>
        <w:tc>
          <w:tcPr>
            <w:tcW w:w="9013"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A633C9">
            <w:pPr>
              <w:spacing w:line="312" w:lineRule="auto"/>
              <w:rPr>
                <w:rFonts w:hint="eastAsia" w:ascii="宋体" w:hAnsi="宋体"/>
                <w:b/>
                <w:bCs/>
              </w:rPr>
            </w:pPr>
            <w:r>
              <w:rPr>
                <w:rFonts w:hint="eastAsia" w:ascii="宋体" w:hAnsi="宋体"/>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宋体" w:hAnsi="宋体"/>
                <w:b/>
                <w:bCs/>
              </w:rPr>
              <w:t>本项目不专门面向中小企业，本项目对应的中小企业划分标准所属行业：</w:t>
            </w:r>
            <w:r>
              <w:rPr>
                <w:rFonts w:hint="eastAsia" w:ascii="宋体" w:hAnsi="宋体"/>
                <w:b/>
                <w:bCs/>
                <w:lang w:val="en-US" w:eastAsia="zh-CN"/>
              </w:rPr>
              <w:t>批发</w:t>
            </w:r>
            <w:r>
              <w:rPr>
                <w:rFonts w:hint="eastAsia" w:ascii="宋体" w:hAnsi="宋体"/>
                <w:b/>
                <w:bCs/>
              </w:rPr>
              <w:t>业。</w:t>
            </w:r>
          </w:p>
          <w:p w14:paraId="2C6A48EB">
            <w:pPr>
              <w:spacing w:line="312" w:lineRule="auto"/>
              <w:rPr>
                <w:rFonts w:hint="eastAsia" w:ascii="宋体" w:hAnsi="宋体"/>
              </w:rPr>
            </w:pPr>
            <w:r>
              <w:rPr>
                <w:rFonts w:hint="eastAsia" w:ascii="宋体" w:hAnsi="宋体"/>
              </w:rPr>
              <w:t>未提供完整证明材料的，投标报价不予扣减。</w:t>
            </w:r>
          </w:p>
          <w:p w14:paraId="190142E4">
            <w:pPr>
              <w:spacing w:line="312" w:lineRule="auto"/>
              <w:rPr>
                <w:rFonts w:hint="eastAsia" w:ascii="宋体" w:hAnsi="宋体"/>
              </w:rPr>
            </w:pPr>
            <w:r>
              <w:rPr>
                <w:rFonts w:hint="eastAsia" w:ascii="宋体" w:hAnsi="宋体"/>
              </w:rPr>
              <w:t>（2）根据《关于政府采购支持监狱企业发展有关问题的通知》（财库[2014]68号）的规定，供应商如为监狱企业且所投产品为小型或微型企业生产的，其投标报价扣除10%后参与评审。</w:t>
            </w:r>
          </w:p>
          <w:p w14:paraId="384C8901">
            <w:pPr>
              <w:spacing w:line="312" w:lineRule="auto"/>
              <w:rPr>
                <w:rFonts w:hint="eastAsia" w:ascii="宋体" w:hAnsi="宋体"/>
              </w:rPr>
            </w:pPr>
            <w:r>
              <w:rPr>
                <w:rFonts w:hint="eastAsia" w:ascii="宋体" w:hAnsi="宋体"/>
              </w:rPr>
              <w:t>投标文件中须同时提供：供应商的省级以上监狱管理局、戒毒管理局（含新疆生产建设兵团）出具的属于监狱企业的证明文件，投标产品制造商的小微企业证明，未提供完整证明材料的，投标报价不予扣减。</w:t>
            </w:r>
          </w:p>
          <w:p w14:paraId="77CBD25F">
            <w:pPr>
              <w:spacing w:line="312" w:lineRule="auto"/>
              <w:rPr>
                <w:rFonts w:hint="eastAsia" w:ascii="宋体" w:hAnsi="宋体"/>
              </w:rPr>
            </w:pPr>
            <w:r>
              <w:rPr>
                <w:rFonts w:hint="eastAsia" w:ascii="宋体" w:hAnsi="宋体"/>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44AA2EC1">
            <w:pPr>
              <w:spacing w:line="312" w:lineRule="auto"/>
              <w:rPr>
                <w:rFonts w:hint="eastAsia" w:ascii="宋体" w:hAnsi="宋体"/>
              </w:rPr>
            </w:pPr>
            <w:r>
              <w:rPr>
                <w:rFonts w:hint="eastAsia" w:ascii="宋体" w:hAnsi="宋体"/>
              </w:rPr>
              <w:t>投标文件中须提供：《残疾人福利性单位声明函》，未提供完整证明材料的，投标报价不予扣减。</w:t>
            </w:r>
          </w:p>
          <w:p w14:paraId="6AB947BB">
            <w:pPr>
              <w:spacing w:line="312" w:lineRule="auto"/>
              <w:rPr>
                <w:rFonts w:hint="eastAsia" w:ascii="宋体" w:hAnsi="宋体"/>
              </w:rPr>
            </w:pPr>
            <w:r>
              <w:rPr>
                <w:rFonts w:hint="eastAsia" w:ascii="宋体" w:hAnsi="宋体"/>
              </w:rPr>
              <w:t>上述1，2，3政策不重复计算。</w:t>
            </w:r>
          </w:p>
          <w:p w14:paraId="2945C381">
            <w:pPr>
              <w:snapToGrid w:val="0"/>
              <w:rPr>
                <w:color w:val="auto"/>
                <w:szCs w:val="21"/>
                <w:highlight w:val="none"/>
              </w:rPr>
            </w:pPr>
            <w:r>
              <w:rPr>
                <w:rFonts w:hint="eastAsia" w:ascii="宋体" w:hAnsi="宋体"/>
              </w:rPr>
              <w:t>此项由评标委员会集体核实后统一打分</w:t>
            </w:r>
            <w:r>
              <w:rPr>
                <w:rFonts w:hint="eastAsia"/>
                <w:color w:val="auto"/>
                <w:szCs w:val="21"/>
                <w:highlight w:val="none"/>
              </w:rPr>
              <w:t>。</w:t>
            </w:r>
          </w:p>
        </w:tc>
      </w:tr>
    </w:tbl>
    <w:p w14:paraId="208F5167">
      <w:pPr>
        <w:snapToGrid w:val="0"/>
        <w:spacing w:before="120" w:line="312" w:lineRule="auto"/>
        <w:jc w:val="both"/>
        <w:rPr>
          <w:b/>
          <w:color w:val="auto"/>
          <w:sz w:val="28"/>
          <w:highlight w:val="none"/>
        </w:rPr>
      </w:pPr>
    </w:p>
    <w:p w14:paraId="3532AB52">
      <w:pPr>
        <w:snapToGrid w:val="0"/>
        <w:spacing w:before="120" w:line="312" w:lineRule="auto"/>
        <w:jc w:val="center"/>
        <w:rPr>
          <w:b/>
          <w:color w:val="auto"/>
          <w:highlight w:val="none"/>
        </w:rPr>
      </w:pPr>
      <w:r>
        <w:rPr>
          <w:rFonts w:hint="eastAsia"/>
          <w:b/>
          <w:color w:val="auto"/>
          <w:sz w:val="28"/>
          <w:highlight w:val="none"/>
        </w:rPr>
        <w:t>一、总  则</w:t>
      </w:r>
    </w:p>
    <w:p w14:paraId="73E32687">
      <w:pPr>
        <w:snapToGrid w:val="0"/>
        <w:spacing w:before="120" w:line="360" w:lineRule="auto"/>
        <w:ind w:right="55" w:rightChars="26"/>
        <w:rPr>
          <w:b/>
          <w:color w:val="auto"/>
          <w:sz w:val="28"/>
          <w:highlight w:val="none"/>
        </w:rPr>
      </w:pPr>
      <w:r>
        <w:rPr>
          <w:rFonts w:hint="eastAsia"/>
          <w:b/>
          <w:color w:val="auto"/>
          <w:highlight w:val="none"/>
        </w:rPr>
        <w:t>（一）适用范围</w:t>
      </w:r>
    </w:p>
    <w:p w14:paraId="6C49FCA8">
      <w:pPr>
        <w:snapToGrid w:val="0"/>
        <w:spacing w:line="360" w:lineRule="auto"/>
        <w:ind w:right="55" w:rightChars="26" w:firstLine="420" w:firstLineChars="200"/>
        <w:jc w:val="left"/>
        <w:rPr>
          <w:color w:val="auto"/>
          <w:highlight w:val="none"/>
        </w:rPr>
      </w:pPr>
      <w:r>
        <w:rPr>
          <w:rFonts w:hint="eastAsia"/>
          <w:color w:val="auto"/>
          <w:highlight w:val="none"/>
        </w:rPr>
        <w:t>本招标文件适用于</w:t>
      </w:r>
      <w:r>
        <w:rPr>
          <w:rFonts w:hint="eastAsia"/>
          <w:bCs/>
          <w:color w:val="auto"/>
          <w:highlight w:val="none"/>
          <w:lang w:eastAsia="zh-CN"/>
        </w:rPr>
        <w:t>浙江国际海运职业技术学院2025年中文原版图书采购与服务供应项目</w:t>
      </w:r>
      <w:r>
        <w:rPr>
          <w:rFonts w:hint="eastAsia"/>
          <w:color w:val="auto"/>
          <w:highlight w:val="none"/>
        </w:rPr>
        <w:t>的招标、投标、评标、定标、验收、合同履约、付款等行为（法律、法规另有规定的，从其规定）。</w:t>
      </w:r>
    </w:p>
    <w:p w14:paraId="6D6E9D5C">
      <w:pPr>
        <w:snapToGrid w:val="0"/>
        <w:spacing w:line="360" w:lineRule="auto"/>
        <w:ind w:right="55" w:rightChars="26"/>
        <w:jc w:val="left"/>
        <w:outlineLvl w:val="1"/>
        <w:rPr>
          <w:b/>
          <w:color w:val="auto"/>
          <w:sz w:val="24"/>
          <w:highlight w:val="none"/>
        </w:rPr>
      </w:pPr>
      <w:r>
        <w:rPr>
          <w:rFonts w:hint="eastAsia"/>
          <w:b/>
          <w:color w:val="auto"/>
          <w:sz w:val="24"/>
          <w:highlight w:val="none"/>
        </w:rPr>
        <w:t>（二）定义</w:t>
      </w:r>
    </w:p>
    <w:p w14:paraId="4797B4A7">
      <w:pPr>
        <w:snapToGrid w:val="0"/>
        <w:spacing w:line="360" w:lineRule="auto"/>
        <w:ind w:right="55" w:rightChars="26" w:firstLine="420" w:firstLineChars="200"/>
        <w:jc w:val="left"/>
        <w:rPr>
          <w:color w:val="auto"/>
          <w:highlight w:val="none"/>
        </w:rPr>
      </w:pPr>
      <w:r>
        <w:rPr>
          <w:color w:val="auto"/>
          <w:highlight w:val="none"/>
        </w:rPr>
        <w:t>1.</w:t>
      </w:r>
      <w:r>
        <w:rPr>
          <w:rFonts w:hint="eastAsia"/>
          <w:color w:val="auto"/>
          <w:highlight w:val="none"/>
        </w:rPr>
        <w:t>“采购人”系指</w:t>
      </w:r>
      <w:r>
        <w:rPr>
          <w:rFonts w:hint="eastAsia"/>
          <w:bCs/>
          <w:color w:val="auto"/>
          <w:highlight w:val="none"/>
        </w:rPr>
        <w:t>浙江国际海运职业技术学院</w:t>
      </w:r>
      <w:r>
        <w:rPr>
          <w:rFonts w:hint="eastAsia"/>
          <w:color w:val="auto"/>
          <w:highlight w:val="none"/>
        </w:rPr>
        <w:t>。</w:t>
      </w:r>
    </w:p>
    <w:p w14:paraId="21FA499B">
      <w:pPr>
        <w:spacing w:after="120"/>
        <w:ind w:firstLine="420" w:firstLineChars="200"/>
        <w:rPr>
          <w:rFonts w:hAnsi="Calibri"/>
          <w:color w:val="auto"/>
          <w:kern w:val="0"/>
          <w:highlight w:val="none"/>
        </w:rPr>
      </w:pPr>
      <w:r>
        <w:rPr>
          <w:rFonts w:hAnsi="Calibri"/>
          <w:color w:val="auto"/>
          <w:kern w:val="0"/>
          <w:highlight w:val="none"/>
        </w:rPr>
        <w:t>2.</w:t>
      </w:r>
      <w:r>
        <w:rPr>
          <w:rFonts w:hint="eastAsia" w:hAnsi="Calibri"/>
          <w:color w:val="auto"/>
          <w:kern w:val="0"/>
          <w:highlight w:val="none"/>
        </w:rPr>
        <w:t>“采购代理机构”系指组织本次招标的深圳市国信招标有限公司。</w:t>
      </w:r>
    </w:p>
    <w:p w14:paraId="19E6781B">
      <w:pPr>
        <w:snapToGrid w:val="0"/>
        <w:spacing w:line="360" w:lineRule="auto"/>
        <w:ind w:right="55" w:rightChars="26" w:firstLine="420" w:firstLineChars="200"/>
        <w:jc w:val="left"/>
        <w:rPr>
          <w:color w:val="auto"/>
          <w:highlight w:val="none"/>
        </w:rPr>
      </w:pPr>
      <w:r>
        <w:rPr>
          <w:color w:val="auto"/>
          <w:highlight w:val="none"/>
        </w:rPr>
        <w:t>3.</w:t>
      </w:r>
      <w:r>
        <w:rPr>
          <w:rFonts w:hint="eastAsia"/>
          <w:color w:val="auto"/>
          <w:highlight w:val="none"/>
        </w:rPr>
        <w:t>“投标人”系指向采购人提交投标文件的单位或个人。</w:t>
      </w:r>
    </w:p>
    <w:p w14:paraId="399A7183">
      <w:pPr>
        <w:snapToGrid w:val="0"/>
        <w:spacing w:line="360" w:lineRule="auto"/>
        <w:ind w:right="-506" w:rightChars="-241" w:firstLine="420" w:firstLineChars="200"/>
        <w:jc w:val="left"/>
        <w:rPr>
          <w:color w:val="auto"/>
          <w:highlight w:val="none"/>
        </w:rPr>
      </w:pPr>
      <w:r>
        <w:rPr>
          <w:color w:val="auto"/>
          <w:highlight w:val="none"/>
        </w:rPr>
        <w:t>4.</w:t>
      </w:r>
      <w:r>
        <w:rPr>
          <w:rFonts w:hint="eastAsia"/>
          <w:color w:val="auto"/>
          <w:highlight w:val="none"/>
        </w:rPr>
        <w:t>“产品”系指投标人按招标文件规定，须向采购人提供的一切设备、保险、税金、备品备件、工具、手册及其它有关技术资料和材料。</w:t>
      </w:r>
    </w:p>
    <w:p w14:paraId="75016FED">
      <w:pPr>
        <w:snapToGrid w:val="0"/>
        <w:spacing w:line="360" w:lineRule="auto"/>
        <w:ind w:right="-506" w:rightChars="-241" w:firstLine="420" w:firstLineChars="200"/>
        <w:jc w:val="left"/>
        <w:rPr>
          <w:color w:val="auto"/>
          <w:highlight w:val="none"/>
        </w:rPr>
      </w:pPr>
      <w:r>
        <w:rPr>
          <w:color w:val="auto"/>
          <w:highlight w:val="none"/>
        </w:rPr>
        <w:t>5.</w:t>
      </w:r>
      <w:r>
        <w:rPr>
          <w:rFonts w:hint="eastAsia"/>
          <w:color w:val="auto"/>
          <w:highlight w:val="none"/>
        </w:rPr>
        <w:t>“服务”系指招标文件规定投标人须承担的安装、调试、技术协助、校准、培训、技术指导以及其他类似的义务。</w:t>
      </w:r>
    </w:p>
    <w:p w14:paraId="532FBFEC">
      <w:pPr>
        <w:snapToGrid w:val="0"/>
        <w:spacing w:line="360" w:lineRule="auto"/>
        <w:ind w:firstLine="420" w:firstLineChars="200"/>
        <w:jc w:val="left"/>
        <w:rPr>
          <w:color w:val="auto"/>
          <w:highlight w:val="none"/>
        </w:rPr>
      </w:pPr>
      <w:r>
        <w:rPr>
          <w:color w:val="auto"/>
          <w:highlight w:val="none"/>
        </w:rPr>
        <w:t>6.</w:t>
      </w:r>
      <w:r>
        <w:rPr>
          <w:rFonts w:hint="eastAsia"/>
          <w:color w:val="auto"/>
          <w:highlight w:val="none"/>
        </w:rPr>
        <w:t>“项目”系指投标人按招标文件规定向采购人提供的产品和服务。</w:t>
      </w:r>
    </w:p>
    <w:p w14:paraId="69E29F11">
      <w:pPr>
        <w:snapToGrid w:val="0"/>
        <w:spacing w:line="360" w:lineRule="auto"/>
        <w:ind w:firstLine="420" w:firstLineChars="200"/>
        <w:jc w:val="left"/>
        <w:rPr>
          <w:color w:val="auto"/>
          <w:highlight w:val="none"/>
        </w:rPr>
      </w:pPr>
      <w:r>
        <w:rPr>
          <w:color w:val="auto"/>
          <w:highlight w:val="none"/>
        </w:rPr>
        <w:t>7.</w:t>
      </w:r>
      <w:r>
        <w:rPr>
          <w:rFonts w:hint="eastAsia"/>
          <w:color w:val="auto"/>
          <w:highlight w:val="none"/>
        </w:rPr>
        <w:t>“书面形式”包括信函、传真、邮件、电子文档等。</w:t>
      </w:r>
    </w:p>
    <w:p w14:paraId="35FD4351">
      <w:pPr>
        <w:snapToGrid w:val="0"/>
        <w:spacing w:line="360" w:lineRule="auto"/>
        <w:ind w:firstLine="420" w:firstLineChars="200"/>
        <w:jc w:val="left"/>
        <w:rPr>
          <w:color w:val="auto"/>
          <w:highlight w:val="none"/>
        </w:rPr>
      </w:pPr>
      <w:r>
        <w:rPr>
          <w:color w:val="auto"/>
          <w:highlight w:val="none"/>
        </w:rPr>
        <w:t>8.</w:t>
      </w:r>
      <w:r>
        <w:rPr>
          <w:rFonts w:hint="eastAsia"/>
          <w:color w:val="auto"/>
          <w:highlight w:val="none"/>
        </w:rPr>
        <w:t>“★”系指实质性要求条款，未响应的作无效标处理。</w:t>
      </w:r>
    </w:p>
    <w:p w14:paraId="500C42BB">
      <w:pPr>
        <w:snapToGrid w:val="0"/>
        <w:spacing w:line="312" w:lineRule="auto"/>
        <w:jc w:val="left"/>
        <w:outlineLvl w:val="1"/>
        <w:rPr>
          <w:b/>
          <w:color w:val="auto"/>
          <w:sz w:val="24"/>
          <w:highlight w:val="none"/>
        </w:rPr>
      </w:pPr>
      <w:r>
        <w:rPr>
          <w:rFonts w:hint="eastAsia"/>
          <w:b/>
          <w:color w:val="auto"/>
          <w:sz w:val="24"/>
          <w:highlight w:val="none"/>
        </w:rPr>
        <w:t>（三）</w:t>
      </w:r>
      <w:r>
        <w:rPr>
          <w:rFonts w:hint="eastAsia"/>
          <w:b/>
          <w:color w:val="auto"/>
          <w:sz w:val="24"/>
          <w:highlight w:val="none"/>
          <w:lang w:eastAsia="zh-CN"/>
        </w:rPr>
        <w:t>采购人</w:t>
      </w:r>
      <w:r>
        <w:rPr>
          <w:rFonts w:hint="eastAsia"/>
          <w:b/>
          <w:color w:val="auto"/>
          <w:sz w:val="24"/>
          <w:highlight w:val="none"/>
        </w:rPr>
        <w:t>式</w:t>
      </w:r>
    </w:p>
    <w:p w14:paraId="0168E4A4">
      <w:pPr>
        <w:snapToGrid w:val="0"/>
        <w:spacing w:line="312" w:lineRule="auto"/>
        <w:ind w:firstLine="420" w:firstLineChars="200"/>
        <w:jc w:val="left"/>
        <w:rPr>
          <w:color w:val="auto"/>
          <w:highlight w:val="none"/>
        </w:rPr>
      </w:pPr>
      <w:r>
        <w:rPr>
          <w:rFonts w:hint="eastAsia"/>
          <w:color w:val="auto"/>
          <w:highlight w:val="none"/>
        </w:rPr>
        <w:t>本次招标采用公开招标。</w:t>
      </w:r>
    </w:p>
    <w:p w14:paraId="30181FDA">
      <w:pPr>
        <w:keepNext w:val="0"/>
        <w:keepLines w:val="0"/>
        <w:pageBreakBefore w:val="0"/>
        <w:widowControl w:val="0"/>
        <w:kinsoku/>
        <w:wordWrap/>
        <w:overflowPunct/>
        <w:topLinePunct w:val="0"/>
        <w:autoSpaceDE/>
        <w:autoSpaceDN/>
        <w:bidi w:val="0"/>
        <w:adjustRightInd/>
        <w:snapToGrid w:val="0"/>
        <w:spacing w:line="312" w:lineRule="auto"/>
        <w:ind w:right="0" w:rightChars="0"/>
        <w:jc w:val="left"/>
        <w:textAlignment w:val="auto"/>
        <w:outlineLvl w:val="1"/>
        <w:rPr>
          <w:b/>
          <w:color w:val="auto"/>
          <w:sz w:val="24"/>
          <w:highlight w:val="none"/>
        </w:rPr>
      </w:pPr>
      <w:r>
        <w:rPr>
          <w:rFonts w:hint="eastAsia"/>
          <w:b/>
          <w:color w:val="auto"/>
          <w:sz w:val="24"/>
          <w:highlight w:val="none"/>
        </w:rPr>
        <w:t>（四）投标费用</w:t>
      </w:r>
    </w:p>
    <w:p w14:paraId="288AB17C">
      <w:pPr>
        <w:keepNext w:val="0"/>
        <w:keepLines w:val="0"/>
        <w:pageBreakBefore w:val="0"/>
        <w:widowControl w:val="0"/>
        <w:kinsoku/>
        <w:wordWrap/>
        <w:overflowPunct/>
        <w:topLinePunct w:val="0"/>
        <w:autoSpaceDE/>
        <w:autoSpaceDN/>
        <w:bidi w:val="0"/>
        <w:adjustRightInd/>
        <w:snapToGrid w:val="0"/>
        <w:spacing w:line="312" w:lineRule="auto"/>
        <w:ind w:right="0" w:rightChars="0" w:firstLine="420" w:firstLineChars="200"/>
        <w:jc w:val="left"/>
        <w:textAlignment w:val="auto"/>
        <w:rPr>
          <w:color w:val="auto"/>
          <w:highlight w:val="none"/>
        </w:rPr>
      </w:pPr>
      <w:r>
        <w:rPr>
          <w:rFonts w:hint="eastAsia"/>
          <w:color w:val="auto"/>
          <w:highlight w:val="none"/>
        </w:rPr>
        <w:t>不论投标结果如何，投标人均应自行承担所有与投标有关的全部费用（招标文件另有规定除外）。</w:t>
      </w:r>
    </w:p>
    <w:p w14:paraId="6BC7A55E">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rPr>
          <w:b/>
          <w:color w:val="auto"/>
          <w:sz w:val="24"/>
          <w:highlight w:val="none"/>
        </w:rPr>
      </w:pPr>
      <w:r>
        <w:rPr>
          <w:rFonts w:hint="eastAsia"/>
          <w:b/>
          <w:color w:val="auto"/>
          <w:sz w:val="24"/>
          <w:highlight w:val="none"/>
        </w:rPr>
        <w:t>（五）关于联合体</w:t>
      </w:r>
    </w:p>
    <w:p w14:paraId="651FFBFF">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bCs/>
          <w:color w:val="auto"/>
          <w:szCs w:val="21"/>
          <w:highlight w:val="none"/>
        </w:rPr>
      </w:pPr>
      <w:r>
        <w:rPr>
          <w:bCs/>
          <w:color w:val="auto"/>
          <w:szCs w:val="21"/>
          <w:highlight w:val="none"/>
        </w:rPr>
        <w:t>本项目不接受联合体投标</w:t>
      </w:r>
    </w:p>
    <w:p w14:paraId="17135D00">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rPr>
          <w:b/>
          <w:color w:val="auto"/>
          <w:sz w:val="24"/>
          <w:highlight w:val="none"/>
        </w:rPr>
      </w:pPr>
      <w:r>
        <w:rPr>
          <w:rFonts w:hint="eastAsia"/>
          <w:b/>
          <w:color w:val="auto"/>
          <w:sz w:val="24"/>
          <w:highlight w:val="none"/>
        </w:rPr>
        <w:t>（六）关于分包、转包</w:t>
      </w:r>
    </w:p>
    <w:p w14:paraId="5CE38A09">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textAlignment w:val="auto"/>
        <w:rPr>
          <w:color w:val="auto"/>
          <w:highlight w:val="none"/>
        </w:rPr>
      </w:pPr>
      <w:r>
        <w:rPr>
          <w:rFonts w:hint="eastAsia"/>
          <w:color w:val="auto"/>
          <w:highlight w:val="none"/>
        </w:rPr>
        <w:t>本项目不允许分包；</w:t>
      </w:r>
    </w:p>
    <w:p w14:paraId="20336E96">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color w:val="auto"/>
          <w:szCs w:val="24"/>
          <w:highlight w:val="none"/>
        </w:rPr>
      </w:pPr>
      <w:r>
        <w:rPr>
          <w:rFonts w:hint="eastAsia"/>
          <w:color w:val="auto"/>
          <w:szCs w:val="24"/>
          <w:highlight w:val="none"/>
        </w:rPr>
        <w:t>本项目不允许转包。</w:t>
      </w:r>
    </w:p>
    <w:p w14:paraId="702638DF">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rPr>
          <w:b/>
          <w:color w:val="auto"/>
          <w:spacing w:val="-4"/>
          <w:kern w:val="0"/>
          <w:sz w:val="24"/>
          <w:szCs w:val="24"/>
          <w:highlight w:val="none"/>
        </w:rPr>
      </w:pPr>
      <w:r>
        <w:rPr>
          <w:rFonts w:hint="eastAsia"/>
          <w:b/>
          <w:color w:val="auto"/>
          <w:spacing w:val="-4"/>
          <w:kern w:val="0"/>
          <w:sz w:val="24"/>
          <w:szCs w:val="24"/>
          <w:highlight w:val="none"/>
        </w:rPr>
        <w:t>（七）特别说明：</w:t>
      </w:r>
    </w:p>
    <w:p w14:paraId="0560AEB0">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color w:val="auto"/>
          <w:highlight w:val="none"/>
        </w:rPr>
      </w:pPr>
      <w:r>
        <w:rPr>
          <w:rFonts w:hint="eastAsia"/>
          <w:bCs/>
          <w:color w:val="auto"/>
          <w:highlight w:val="none"/>
        </w:rPr>
        <w:t>1.</w:t>
      </w:r>
      <w:r>
        <w:rPr>
          <w:rFonts w:hint="eastAsia" w:ascii="宋体" w:hAnsi="宋体"/>
          <w:color w:val="auto"/>
          <w:highlight w:val="none"/>
        </w:rPr>
        <w:t>单位负责人为同一人或者存在直接控股、管理关系的不同供应商，不得同时参加同一合同项下的投标。</w:t>
      </w:r>
    </w:p>
    <w:p w14:paraId="691A4A29">
      <w:pPr>
        <w:keepNext w:val="0"/>
        <w:keepLines w:val="0"/>
        <w:pageBreakBefore w:val="0"/>
        <w:widowControl w:val="0"/>
        <w:kinsoku/>
        <w:wordWrap/>
        <w:overflowPunct/>
        <w:topLinePunct w:val="0"/>
        <w:autoSpaceDE/>
        <w:autoSpaceDN/>
        <w:bidi w:val="0"/>
        <w:adjustRightInd/>
        <w:snapToGrid w:val="0"/>
        <w:spacing w:line="360" w:lineRule="auto"/>
        <w:ind w:right="0" w:rightChars="0" w:firstLine="420" w:firstLineChars="200"/>
        <w:jc w:val="left"/>
        <w:textAlignment w:val="auto"/>
        <w:rPr>
          <w:rFonts w:hint="eastAsia" w:ascii="宋体" w:hAnsi="宋体"/>
          <w:color w:val="auto"/>
          <w:highlight w:val="none"/>
        </w:rPr>
      </w:pPr>
      <w:r>
        <w:rPr>
          <w:rFonts w:hint="eastAsia" w:ascii="宋体" w:hAnsi="宋体"/>
          <w:color w:val="auto"/>
          <w:highlight w:val="none"/>
        </w:rPr>
        <w:t>为项目提供整体设计、规范编制或者项目管理、监理、检测等服务的供应商，不得参加该项目的投标。</w:t>
      </w:r>
    </w:p>
    <w:p w14:paraId="309BF7E3">
      <w:pPr>
        <w:keepNext w:val="0"/>
        <w:keepLines w:val="0"/>
        <w:pageBreakBefore w:val="0"/>
        <w:widowControl w:val="0"/>
        <w:kinsoku/>
        <w:wordWrap/>
        <w:overflowPunct/>
        <w:topLinePunct w:val="0"/>
        <w:autoSpaceDE/>
        <w:autoSpaceDN/>
        <w:bidi w:val="0"/>
        <w:adjustRightInd/>
        <w:snapToGrid w:val="0"/>
        <w:spacing w:line="360" w:lineRule="auto"/>
        <w:ind w:right="0" w:rightChars="0" w:firstLine="401" w:firstLineChars="199"/>
        <w:textAlignment w:val="auto"/>
        <w:rPr>
          <w:bCs/>
          <w:color w:val="auto"/>
          <w:spacing w:val="-4"/>
          <w:kern w:val="0"/>
          <w:highlight w:val="none"/>
        </w:rPr>
      </w:pPr>
      <w:r>
        <w:rPr>
          <w:rFonts w:hint="eastAsia"/>
          <w:bCs/>
          <w:color w:val="auto"/>
          <w:spacing w:val="-4"/>
          <w:kern w:val="0"/>
          <w:highlight w:val="none"/>
        </w:rPr>
        <w:t>2.投标人投标所使用的资格、信誉、荣誉、业绩与企业认证必须为本法人所拥有。投标人投标所使用的采购项目实施人员必须为本法人员工。</w:t>
      </w:r>
    </w:p>
    <w:p w14:paraId="6A819601">
      <w:pPr>
        <w:keepNext w:val="0"/>
        <w:keepLines w:val="0"/>
        <w:pageBreakBefore w:val="0"/>
        <w:widowControl w:val="0"/>
        <w:kinsoku/>
        <w:wordWrap/>
        <w:overflowPunct/>
        <w:topLinePunct w:val="0"/>
        <w:autoSpaceDE/>
        <w:autoSpaceDN/>
        <w:bidi w:val="0"/>
        <w:adjustRightInd/>
        <w:snapToGrid w:val="0"/>
        <w:spacing w:line="360" w:lineRule="auto"/>
        <w:ind w:right="0" w:rightChars="0" w:firstLine="404" w:firstLineChars="200"/>
        <w:textAlignment w:val="auto"/>
        <w:rPr>
          <w:bCs/>
          <w:color w:val="auto"/>
          <w:spacing w:val="-4"/>
          <w:kern w:val="0"/>
          <w:highlight w:val="none"/>
        </w:rPr>
      </w:pPr>
      <w:r>
        <w:rPr>
          <w:rFonts w:hint="eastAsia"/>
          <w:bCs/>
          <w:color w:val="auto"/>
          <w:spacing w:val="-4"/>
          <w:kern w:val="0"/>
          <w:highlight w:val="none"/>
        </w:rPr>
        <w:t>3.投标人应仔细阅读招标文件的所有内容，按照招标文件的要求提交投标文件，并对所提供的全部资料的真实性承担法律责任。</w:t>
      </w:r>
    </w:p>
    <w:p w14:paraId="08649CB4">
      <w:pPr>
        <w:keepNext w:val="0"/>
        <w:keepLines w:val="0"/>
        <w:pageBreakBefore w:val="0"/>
        <w:kinsoku/>
        <w:wordWrap/>
        <w:overflowPunct/>
        <w:topLinePunct w:val="0"/>
        <w:autoSpaceDE/>
        <w:autoSpaceDN/>
        <w:bidi w:val="0"/>
        <w:adjustRightInd/>
        <w:snapToGrid w:val="0"/>
        <w:spacing w:line="360" w:lineRule="auto"/>
        <w:textAlignment w:val="auto"/>
        <w:outlineLvl w:val="1"/>
        <w:rPr>
          <w:b/>
          <w:color w:val="auto"/>
          <w:sz w:val="24"/>
          <w:szCs w:val="24"/>
          <w:highlight w:val="none"/>
        </w:rPr>
      </w:pPr>
      <w:r>
        <w:rPr>
          <w:rFonts w:hint="eastAsia"/>
          <w:b/>
          <w:color w:val="auto"/>
          <w:sz w:val="24"/>
          <w:szCs w:val="24"/>
          <w:highlight w:val="none"/>
        </w:rPr>
        <w:t>（八）质疑</w:t>
      </w:r>
    </w:p>
    <w:p w14:paraId="16DC4DE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color w:val="auto"/>
          <w:szCs w:val="21"/>
          <w:highlight w:val="none"/>
        </w:rPr>
      </w:pPr>
      <w:r>
        <w:rPr>
          <w:rFonts w:hint="eastAsia"/>
          <w:bCs/>
          <w:color w:val="auto"/>
          <w:szCs w:val="21"/>
          <w:highlight w:val="none"/>
        </w:rPr>
        <w:t>投标人应当自知道或者应当知道其合法权益受到损害之日起七个工作日内提出质疑。</w:t>
      </w:r>
    </w:p>
    <w:p w14:paraId="1CA66134">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color w:val="auto"/>
          <w:szCs w:val="21"/>
          <w:highlight w:val="none"/>
        </w:rPr>
      </w:pPr>
      <w:r>
        <w:rPr>
          <w:bCs/>
          <w:color w:val="auto"/>
          <w:szCs w:val="21"/>
          <w:highlight w:val="none"/>
        </w:rPr>
        <w:t>1.</w:t>
      </w:r>
      <w:r>
        <w:rPr>
          <w:rFonts w:hint="eastAsia"/>
          <w:bCs/>
          <w:color w:val="auto"/>
          <w:szCs w:val="21"/>
          <w:highlight w:val="none"/>
        </w:rPr>
        <w:t>对可以质疑的采购文件提出质疑的，为收到采购文件之日或者采购文件公告期限届满之日；</w:t>
      </w:r>
    </w:p>
    <w:p w14:paraId="35EBD525">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color w:val="auto"/>
          <w:szCs w:val="21"/>
          <w:highlight w:val="none"/>
        </w:rPr>
      </w:pPr>
      <w:r>
        <w:rPr>
          <w:bCs/>
          <w:color w:val="auto"/>
          <w:szCs w:val="21"/>
          <w:highlight w:val="none"/>
        </w:rPr>
        <w:t>2.</w:t>
      </w:r>
      <w:r>
        <w:rPr>
          <w:rFonts w:hint="eastAsia"/>
          <w:bCs/>
          <w:color w:val="auto"/>
          <w:szCs w:val="21"/>
          <w:highlight w:val="none"/>
        </w:rPr>
        <w:t>对采购过程提出质疑的，为各采购程序环节结束之日；</w:t>
      </w:r>
    </w:p>
    <w:p w14:paraId="335CAA55">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color w:val="auto"/>
          <w:szCs w:val="21"/>
          <w:highlight w:val="none"/>
        </w:rPr>
      </w:pPr>
      <w:r>
        <w:rPr>
          <w:bCs/>
          <w:color w:val="auto"/>
          <w:szCs w:val="21"/>
          <w:highlight w:val="none"/>
        </w:rPr>
        <w:t>3.</w:t>
      </w:r>
      <w:r>
        <w:rPr>
          <w:rFonts w:hint="eastAsia"/>
          <w:bCs/>
          <w:color w:val="auto"/>
          <w:szCs w:val="21"/>
          <w:highlight w:val="none"/>
        </w:rPr>
        <w:t>对中标或者成交结果提出质疑的，为中标或者成交结果公告期限届满之日。</w:t>
      </w:r>
    </w:p>
    <w:p w14:paraId="04FF5A12">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color w:val="auto"/>
          <w:szCs w:val="21"/>
          <w:highlight w:val="none"/>
        </w:rPr>
      </w:pPr>
      <w:r>
        <w:rPr>
          <w:bCs/>
          <w:color w:val="auto"/>
          <w:szCs w:val="21"/>
          <w:highlight w:val="none"/>
        </w:rPr>
        <w:t>4.</w:t>
      </w:r>
      <w:r>
        <w:rPr>
          <w:rFonts w:hint="eastAsia"/>
          <w:bCs/>
          <w:color w:val="auto"/>
          <w:szCs w:val="21"/>
          <w:highlight w:val="none"/>
        </w:rPr>
        <w:t>质疑书应包括下列主要内容：</w:t>
      </w:r>
    </w:p>
    <w:p w14:paraId="532F1A30">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color w:val="auto"/>
          <w:szCs w:val="21"/>
          <w:highlight w:val="none"/>
        </w:rPr>
      </w:pPr>
      <w:r>
        <w:rPr>
          <w:rFonts w:hint="eastAsia" w:ascii="宋体" w:hAnsi="宋体" w:cs="宋体"/>
          <w:bCs/>
          <w:color w:val="auto"/>
          <w:szCs w:val="21"/>
          <w:highlight w:val="none"/>
        </w:rPr>
        <w:t>①</w:t>
      </w:r>
      <w:r>
        <w:rPr>
          <w:rFonts w:hint="eastAsia"/>
          <w:bCs/>
          <w:color w:val="auto"/>
          <w:szCs w:val="21"/>
          <w:highlight w:val="none"/>
        </w:rPr>
        <w:t>质疑人的名称、地址、邮政编码、联系人、联系电话，以及被质疑人名称及联系方式；</w:t>
      </w:r>
    </w:p>
    <w:p w14:paraId="510C7F60">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color w:val="auto"/>
          <w:szCs w:val="21"/>
          <w:highlight w:val="none"/>
        </w:rPr>
      </w:pPr>
      <w:r>
        <w:rPr>
          <w:rFonts w:hint="eastAsia" w:ascii="宋体" w:hAnsi="宋体" w:cs="宋体"/>
          <w:bCs/>
          <w:color w:val="auto"/>
          <w:szCs w:val="21"/>
          <w:highlight w:val="none"/>
        </w:rPr>
        <w:t>②</w:t>
      </w:r>
      <w:r>
        <w:rPr>
          <w:rFonts w:hint="eastAsia"/>
          <w:bCs/>
          <w:color w:val="auto"/>
          <w:szCs w:val="21"/>
          <w:highlight w:val="none"/>
        </w:rPr>
        <w:t>被质疑采购项目名称、编号及采购内容；</w:t>
      </w:r>
    </w:p>
    <w:p w14:paraId="677F5AD7">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color w:val="auto"/>
          <w:szCs w:val="21"/>
          <w:highlight w:val="none"/>
        </w:rPr>
      </w:pPr>
      <w:r>
        <w:rPr>
          <w:rFonts w:hint="eastAsia" w:ascii="宋体" w:hAnsi="宋体" w:cs="宋体"/>
          <w:bCs/>
          <w:color w:val="auto"/>
          <w:szCs w:val="21"/>
          <w:highlight w:val="none"/>
        </w:rPr>
        <w:t>③</w:t>
      </w:r>
      <w:r>
        <w:rPr>
          <w:rFonts w:hint="eastAsia"/>
          <w:bCs/>
          <w:color w:val="auto"/>
          <w:szCs w:val="21"/>
          <w:highlight w:val="none"/>
        </w:rPr>
        <w:t>具体的质疑事项及事实依据；</w:t>
      </w:r>
    </w:p>
    <w:p w14:paraId="1BCCE990">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color w:val="auto"/>
          <w:szCs w:val="21"/>
          <w:highlight w:val="none"/>
        </w:rPr>
      </w:pPr>
      <w:r>
        <w:rPr>
          <w:rFonts w:hint="eastAsia" w:ascii="宋体" w:hAnsi="宋体" w:cs="宋体"/>
          <w:bCs/>
          <w:color w:val="auto"/>
          <w:szCs w:val="21"/>
          <w:highlight w:val="none"/>
        </w:rPr>
        <w:t>④</w:t>
      </w:r>
      <w:r>
        <w:rPr>
          <w:rFonts w:hint="eastAsia"/>
          <w:bCs/>
          <w:color w:val="auto"/>
          <w:szCs w:val="21"/>
          <w:highlight w:val="none"/>
        </w:rPr>
        <w:t>认为自己合法权益受到损害或可能受到损害的相关证据材料；</w:t>
      </w:r>
    </w:p>
    <w:p w14:paraId="1F28EBAB">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color w:val="auto"/>
          <w:szCs w:val="21"/>
          <w:highlight w:val="none"/>
        </w:rPr>
      </w:pPr>
      <w:r>
        <w:rPr>
          <w:rFonts w:hint="eastAsia" w:ascii="宋体" w:hAnsi="宋体" w:cs="宋体"/>
          <w:bCs/>
          <w:color w:val="auto"/>
          <w:szCs w:val="21"/>
          <w:highlight w:val="none"/>
        </w:rPr>
        <w:t>⑤</w:t>
      </w:r>
      <w:r>
        <w:rPr>
          <w:rFonts w:hint="eastAsia"/>
          <w:bCs/>
          <w:color w:val="auto"/>
          <w:szCs w:val="21"/>
          <w:highlight w:val="none"/>
        </w:rPr>
        <w:t>提出质疑的日期。</w:t>
      </w:r>
    </w:p>
    <w:p w14:paraId="7FE5B4F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Cs/>
          <w:color w:val="auto"/>
          <w:szCs w:val="21"/>
          <w:highlight w:val="none"/>
        </w:rPr>
      </w:pPr>
      <w:r>
        <w:rPr>
          <w:rFonts w:hint="eastAsia"/>
          <w:bCs/>
          <w:color w:val="auto"/>
          <w:szCs w:val="21"/>
          <w:highlight w:val="none"/>
        </w:rPr>
        <w:t>供应商为自然人的，应当由本人签字：供应商为法人或者其他组织的，应当由法定代表人、主要负责人，或者其授权代表签字或者盖章，并加盖公章。</w:t>
      </w:r>
    </w:p>
    <w:p w14:paraId="2A5D651E">
      <w:pPr>
        <w:keepNext w:val="0"/>
        <w:keepLines w:val="0"/>
        <w:pageBreakBefore w:val="0"/>
        <w:widowControl/>
        <w:kinsoku/>
        <w:wordWrap/>
        <w:overflowPunct/>
        <w:topLinePunct w:val="0"/>
        <w:autoSpaceDE/>
        <w:autoSpaceDN/>
        <w:bidi w:val="0"/>
        <w:adjustRightInd/>
        <w:snapToGrid w:val="0"/>
        <w:spacing w:line="360" w:lineRule="auto"/>
        <w:ind w:firstLine="420" w:firstLineChars="200"/>
        <w:textAlignment w:val="auto"/>
        <w:outlineLvl w:val="1"/>
        <w:rPr>
          <w:b/>
          <w:color w:val="auto"/>
          <w:sz w:val="28"/>
          <w:highlight w:val="none"/>
        </w:rPr>
      </w:pPr>
      <w:r>
        <w:rPr>
          <w:rFonts w:hint="eastAsia"/>
          <w:bCs/>
          <w:color w:val="auto"/>
          <w:szCs w:val="21"/>
          <w:highlight w:val="none"/>
        </w:rPr>
        <w:t>供应商在法定质疑期内一次性提出针对同一采购程序环节的质疑。</w:t>
      </w:r>
    </w:p>
    <w:p w14:paraId="5BFCF8A7">
      <w:pPr>
        <w:snapToGrid w:val="0"/>
        <w:spacing w:before="120" w:line="312" w:lineRule="auto"/>
        <w:ind w:right="-506" w:rightChars="-241" w:firstLine="3795" w:firstLineChars="1350"/>
        <w:rPr>
          <w:b/>
          <w:color w:val="auto"/>
          <w:sz w:val="28"/>
          <w:highlight w:val="none"/>
        </w:rPr>
      </w:pPr>
    </w:p>
    <w:p w14:paraId="12DC06D2">
      <w:pPr>
        <w:snapToGrid w:val="0"/>
        <w:spacing w:before="120" w:line="312" w:lineRule="auto"/>
        <w:ind w:right="-506" w:rightChars="-241" w:firstLine="3795" w:firstLineChars="1350"/>
        <w:rPr>
          <w:b/>
          <w:color w:val="auto"/>
          <w:sz w:val="28"/>
          <w:highlight w:val="none"/>
        </w:rPr>
      </w:pPr>
      <w:r>
        <w:rPr>
          <w:rFonts w:hint="eastAsia"/>
          <w:b/>
          <w:color w:val="auto"/>
          <w:sz w:val="28"/>
          <w:highlight w:val="none"/>
        </w:rPr>
        <w:t>二、招标文件</w:t>
      </w:r>
    </w:p>
    <w:p w14:paraId="1DFE6C33">
      <w:pPr>
        <w:snapToGrid w:val="0"/>
        <w:spacing w:line="360" w:lineRule="auto"/>
        <w:ind w:right="-341"/>
        <w:jc w:val="left"/>
        <w:rPr>
          <w:b/>
          <w:color w:val="auto"/>
          <w:sz w:val="24"/>
          <w:highlight w:val="none"/>
        </w:rPr>
      </w:pPr>
      <w:r>
        <w:rPr>
          <w:rFonts w:hint="eastAsia"/>
          <w:b/>
          <w:color w:val="auto"/>
          <w:sz w:val="24"/>
          <w:highlight w:val="none"/>
        </w:rPr>
        <w:t>（一）招标文件的构成。本招标文件由以下部份组成：</w:t>
      </w:r>
    </w:p>
    <w:p w14:paraId="4489A610">
      <w:pPr>
        <w:snapToGrid w:val="0"/>
        <w:spacing w:line="360" w:lineRule="auto"/>
        <w:ind w:right="-341" w:firstLine="420" w:firstLineChars="200"/>
        <w:jc w:val="left"/>
        <w:rPr>
          <w:color w:val="auto"/>
          <w:highlight w:val="none"/>
        </w:rPr>
      </w:pPr>
      <w:r>
        <w:rPr>
          <w:color w:val="auto"/>
          <w:highlight w:val="none"/>
        </w:rPr>
        <w:t>1.</w:t>
      </w:r>
      <w:r>
        <w:rPr>
          <w:rFonts w:hint="eastAsia"/>
          <w:color w:val="auto"/>
          <w:highlight w:val="none"/>
        </w:rPr>
        <w:t>招标公告</w:t>
      </w:r>
    </w:p>
    <w:p w14:paraId="6FB47CDD">
      <w:pPr>
        <w:snapToGrid w:val="0"/>
        <w:spacing w:line="360" w:lineRule="auto"/>
        <w:ind w:right="-341" w:firstLine="420" w:firstLineChars="200"/>
        <w:jc w:val="left"/>
        <w:rPr>
          <w:color w:val="auto"/>
          <w:highlight w:val="none"/>
        </w:rPr>
      </w:pPr>
      <w:r>
        <w:rPr>
          <w:color w:val="auto"/>
          <w:highlight w:val="none"/>
        </w:rPr>
        <w:t>2.</w:t>
      </w:r>
      <w:r>
        <w:rPr>
          <w:rFonts w:hint="eastAsia"/>
          <w:color w:val="auto"/>
          <w:highlight w:val="none"/>
        </w:rPr>
        <w:t>招标需求</w:t>
      </w:r>
    </w:p>
    <w:p w14:paraId="7A272E4E">
      <w:pPr>
        <w:snapToGrid w:val="0"/>
        <w:spacing w:line="360" w:lineRule="auto"/>
        <w:ind w:right="-341" w:firstLine="420" w:firstLineChars="200"/>
        <w:jc w:val="left"/>
        <w:rPr>
          <w:color w:val="auto"/>
          <w:highlight w:val="none"/>
        </w:rPr>
      </w:pPr>
      <w:r>
        <w:rPr>
          <w:color w:val="auto"/>
          <w:highlight w:val="none"/>
        </w:rPr>
        <w:t>3.</w:t>
      </w:r>
      <w:r>
        <w:rPr>
          <w:rFonts w:hint="eastAsia"/>
          <w:color w:val="auto"/>
          <w:highlight w:val="none"/>
        </w:rPr>
        <w:t>投标人须知</w:t>
      </w:r>
    </w:p>
    <w:p w14:paraId="4C2868A3">
      <w:pPr>
        <w:snapToGrid w:val="0"/>
        <w:spacing w:line="360" w:lineRule="auto"/>
        <w:ind w:right="-341" w:firstLine="420" w:firstLineChars="200"/>
        <w:jc w:val="left"/>
        <w:rPr>
          <w:color w:val="auto"/>
          <w:highlight w:val="none"/>
        </w:rPr>
      </w:pPr>
      <w:r>
        <w:rPr>
          <w:color w:val="auto"/>
          <w:highlight w:val="none"/>
        </w:rPr>
        <w:t>4.</w:t>
      </w:r>
      <w:r>
        <w:rPr>
          <w:rFonts w:hint="eastAsia"/>
          <w:color w:val="auto"/>
          <w:highlight w:val="none"/>
          <w:lang w:eastAsia="zh-CN"/>
        </w:rPr>
        <w:t>评标方法</w:t>
      </w:r>
      <w:r>
        <w:rPr>
          <w:rFonts w:hint="eastAsia"/>
          <w:color w:val="auto"/>
          <w:highlight w:val="none"/>
        </w:rPr>
        <w:t>及标准</w:t>
      </w:r>
    </w:p>
    <w:p w14:paraId="45430A42">
      <w:pPr>
        <w:snapToGrid w:val="0"/>
        <w:spacing w:line="360" w:lineRule="auto"/>
        <w:ind w:right="-341" w:firstLine="420" w:firstLineChars="200"/>
        <w:jc w:val="left"/>
        <w:rPr>
          <w:color w:val="auto"/>
          <w:highlight w:val="none"/>
        </w:rPr>
      </w:pPr>
      <w:r>
        <w:rPr>
          <w:color w:val="auto"/>
          <w:highlight w:val="none"/>
        </w:rPr>
        <w:t>5.</w:t>
      </w:r>
      <w:r>
        <w:rPr>
          <w:rFonts w:hint="eastAsia"/>
          <w:color w:val="auto"/>
          <w:highlight w:val="none"/>
        </w:rPr>
        <w:t>合同主要条款</w:t>
      </w:r>
    </w:p>
    <w:p w14:paraId="37ED6609">
      <w:pPr>
        <w:snapToGrid w:val="0"/>
        <w:spacing w:line="360" w:lineRule="auto"/>
        <w:ind w:right="-341" w:firstLine="420" w:firstLineChars="200"/>
        <w:jc w:val="left"/>
        <w:rPr>
          <w:color w:val="auto"/>
          <w:highlight w:val="none"/>
        </w:rPr>
      </w:pPr>
      <w:r>
        <w:rPr>
          <w:color w:val="auto"/>
          <w:highlight w:val="none"/>
        </w:rPr>
        <w:t>6.</w:t>
      </w:r>
      <w:r>
        <w:rPr>
          <w:rFonts w:hint="eastAsia"/>
          <w:color w:val="auto"/>
          <w:highlight w:val="none"/>
        </w:rPr>
        <w:t>投标文件格式</w:t>
      </w:r>
    </w:p>
    <w:p w14:paraId="29703BDE">
      <w:pPr>
        <w:snapToGrid w:val="0"/>
        <w:spacing w:line="360" w:lineRule="auto"/>
        <w:ind w:right="-341" w:firstLine="420" w:firstLineChars="200"/>
        <w:jc w:val="left"/>
        <w:rPr>
          <w:color w:val="auto"/>
          <w:highlight w:val="none"/>
        </w:rPr>
      </w:pPr>
      <w:r>
        <w:rPr>
          <w:color w:val="auto"/>
          <w:highlight w:val="none"/>
        </w:rPr>
        <w:t>7.</w:t>
      </w:r>
      <w:r>
        <w:rPr>
          <w:rFonts w:hint="eastAsia"/>
          <w:color w:val="auto"/>
          <w:highlight w:val="none"/>
        </w:rPr>
        <w:t>本项目招标文件的澄清、答复、修改、补充的内容</w:t>
      </w:r>
    </w:p>
    <w:p w14:paraId="51B569E5">
      <w:pPr>
        <w:snapToGrid w:val="0"/>
        <w:spacing w:line="360" w:lineRule="auto"/>
        <w:ind w:right="-87"/>
        <w:jc w:val="left"/>
        <w:rPr>
          <w:b/>
          <w:color w:val="auto"/>
          <w:sz w:val="24"/>
          <w:highlight w:val="none"/>
        </w:rPr>
      </w:pPr>
      <w:r>
        <w:rPr>
          <w:rFonts w:hint="eastAsia"/>
          <w:b/>
          <w:color w:val="auto"/>
          <w:sz w:val="24"/>
          <w:highlight w:val="none"/>
        </w:rPr>
        <w:t>（二）投标人的风险</w:t>
      </w:r>
    </w:p>
    <w:p w14:paraId="37AC6383">
      <w:pPr>
        <w:spacing w:line="360" w:lineRule="auto"/>
        <w:ind w:right="-506" w:rightChars="-241" w:firstLine="420"/>
        <w:rPr>
          <w:color w:val="auto"/>
          <w:highlight w:val="none"/>
        </w:rPr>
      </w:pPr>
      <w:r>
        <w:rPr>
          <w:rFonts w:hint="eastAsia"/>
          <w:color w:val="auto"/>
          <w:highlight w:val="none"/>
        </w:rPr>
        <w:t>投标人没有按照招标文件要求提供全部资料，或者投标人没有对招标文件在各方面作出实质性响应是投标人的风险，并可能导致其投标被拒绝。</w:t>
      </w:r>
    </w:p>
    <w:p w14:paraId="6B7272F3">
      <w:pPr>
        <w:keepNext w:val="0"/>
        <w:keepLines w:val="0"/>
        <w:pageBreakBefore w:val="0"/>
        <w:tabs>
          <w:tab w:val="left" w:pos="454"/>
          <w:tab w:val="left" w:pos="720"/>
          <w:tab w:val="left" w:pos="900"/>
        </w:tabs>
        <w:kinsoku/>
        <w:wordWrap/>
        <w:overflowPunct/>
        <w:topLinePunct w:val="0"/>
        <w:autoSpaceDE/>
        <w:autoSpaceDN/>
        <w:bidi w:val="0"/>
        <w:adjustRightInd/>
        <w:snapToGrid w:val="0"/>
        <w:spacing w:line="360" w:lineRule="auto"/>
        <w:ind w:left="0" w:right="0" w:rightChars="0" w:hanging="247" w:hangingChars="117"/>
        <w:textAlignment w:val="auto"/>
        <w:rPr>
          <w:b/>
          <w:color w:val="auto"/>
          <w:highlight w:val="none"/>
        </w:rPr>
      </w:pPr>
      <w:r>
        <w:rPr>
          <w:rFonts w:hint="eastAsia"/>
          <w:b/>
          <w:color w:val="auto"/>
          <w:highlight w:val="none"/>
        </w:rPr>
        <w:t>（三）招标文件的澄清与修改</w:t>
      </w:r>
    </w:p>
    <w:p w14:paraId="20B0D6BB">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color w:val="auto"/>
          <w:szCs w:val="21"/>
          <w:highlight w:val="none"/>
        </w:rPr>
      </w:pPr>
      <w:r>
        <w:rPr>
          <w:color w:val="auto"/>
          <w:szCs w:val="21"/>
          <w:highlight w:val="none"/>
        </w:rPr>
        <w:t>1.</w:t>
      </w:r>
      <w:r>
        <w:rPr>
          <w:rFonts w:hint="eastAsia"/>
          <w:color w:val="auto"/>
          <w:szCs w:val="21"/>
          <w:highlight w:val="none"/>
        </w:rPr>
        <w:t>投标人应认真阅读本招标文件，发现其中有误或有要求不合理的，投标人必须在投标截止前</w:t>
      </w:r>
      <w:r>
        <w:rPr>
          <w:color w:val="auto"/>
          <w:szCs w:val="21"/>
          <w:highlight w:val="none"/>
        </w:rPr>
        <w:t>15</w:t>
      </w:r>
      <w:r>
        <w:rPr>
          <w:rFonts w:hint="eastAsia"/>
          <w:color w:val="auto"/>
          <w:szCs w:val="21"/>
          <w:highlight w:val="none"/>
        </w:rPr>
        <w:t>天内以书面形式要求招标采购单位澄清。招标采购单位对已发出的招标文件进行必要澄清、答复、修改或补充的，应当在招标文件要求提交投标文件截止时间</w:t>
      </w:r>
      <w:r>
        <w:rPr>
          <w:color w:val="auto"/>
          <w:szCs w:val="21"/>
          <w:highlight w:val="none"/>
        </w:rPr>
        <w:t>15</w:t>
      </w:r>
      <w:r>
        <w:rPr>
          <w:rFonts w:hint="eastAsia"/>
          <w:color w:val="auto"/>
          <w:szCs w:val="21"/>
          <w:highlight w:val="none"/>
        </w:rPr>
        <w:t>天前，在财政部门指定的政府采购信息发布媒体上发布更正公告，并通知所有已报名的潜在投标人。</w:t>
      </w:r>
    </w:p>
    <w:p w14:paraId="3B2A808D">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color w:val="auto"/>
          <w:szCs w:val="21"/>
          <w:highlight w:val="none"/>
        </w:rPr>
      </w:pPr>
      <w:r>
        <w:rPr>
          <w:color w:val="auto"/>
          <w:szCs w:val="21"/>
          <w:highlight w:val="none"/>
        </w:rPr>
        <w:t>2.</w:t>
      </w:r>
      <w:r>
        <w:rPr>
          <w:rFonts w:hint="eastAsia"/>
          <w:color w:val="auto"/>
          <w:szCs w:val="21"/>
          <w:highlight w:val="none"/>
        </w:rPr>
        <w:t>招标文件的答复、澄清、修改、补充通知实质上改变采购需求相关内容，且自招标文件的答复、澄清、修改、补充通知发出之日起至投标截止时间止不足</w:t>
      </w:r>
      <w:r>
        <w:rPr>
          <w:color w:val="auto"/>
          <w:szCs w:val="21"/>
          <w:highlight w:val="none"/>
        </w:rPr>
        <w:t>15</w:t>
      </w:r>
      <w:r>
        <w:rPr>
          <w:rFonts w:hint="eastAsia"/>
          <w:color w:val="auto"/>
          <w:szCs w:val="21"/>
          <w:highlight w:val="none"/>
        </w:rPr>
        <w:t>天的，招标采购单位可视情况推迟投标截止时间和开标时间，按规定在财政部门指定的政府采购信息发布媒体上发布变更公告，并将变更后的时间通知所有已报名的潜在投标人。</w:t>
      </w:r>
    </w:p>
    <w:p w14:paraId="68927909">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color w:val="auto"/>
          <w:szCs w:val="21"/>
          <w:highlight w:val="none"/>
        </w:rPr>
      </w:pPr>
      <w:r>
        <w:rPr>
          <w:color w:val="auto"/>
          <w:szCs w:val="21"/>
          <w:highlight w:val="none"/>
        </w:rPr>
        <w:t>3.</w:t>
      </w:r>
      <w:r>
        <w:rPr>
          <w:rFonts w:hint="eastAsia"/>
          <w:color w:val="auto"/>
          <w:szCs w:val="21"/>
          <w:highlight w:val="none"/>
        </w:rPr>
        <w:t>招标文件澄清、答复、修改、补充的内容为采购文件的组成部分。当招标文件与招标文件的答复、澄清、修改、补充通知就同一内容的表述不一致时，以最后发出的变更公告为准。</w:t>
      </w:r>
    </w:p>
    <w:p w14:paraId="563A49FA">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textAlignment w:val="auto"/>
        <w:rPr>
          <w:color w:val="auto"/>
          <w:szCs w:val="21"/>
          <w:highlight w:val="none"/>
        </w:rPr>
      </w:pPr>
      <w:r>
        <w:rPr>
          <w:color w:val="auto"/>
          <w:szCs w:val="21"/>
          <w:highlight w:val="none"/>
        </w:rPr>
        <w:t>4.</w:t>
      </w:r>
      <w:r>
        <w:rPr>
          <w:rFonts w:hint="eastAsia"/>
          <w:color w:val="auto"/>
          <w:szCs w:val="21"/>
          <w:highlight w:val="none"/>
        </w:rPr>
        <w:t>招标文件的澄清、答复、修改或补充都应该通过本代理机构以法定形式发布。</w:t>
      </w:r>
    </w:p>
    <w:p w14:paraId="1534D164">
      <w:pPr>
        <w:snapToGrid w:val="0"/>
        <w:spacing w:before="120" w:line="360" w:lineRule="auto"/>
        <w:ind w:right="-87" w:firstLine="2923" w:firstLineChars="1040"/>
        <w:outlineLvl w:val="1"/>
        <w:rPr>
          <w:b/>
          <w:color w:val="auto"/>
          <w:sz w:val="28"/>
          <w:highlight w:val="none"/>
        </w:rPr>
      </w:pPr>
      <w:r>
        <w:rPr>
          <w:rFonts w:hint="eastAsia"/>
          <w:b/>
          <w:color w:val="auto"/>
          <w:sz w:val="28"/>
          <w:highlight w:val="none"/>
        </w:rPr>
        <w:t>三、投标文件的编制</w:t>
      </w:r>
    </w:p>
    <w:p w14:paraId="2651AD71">
      <w:pPr>
        <w:keepNext w:val="0"/>
        <w:keepLines w:val="0"/>
        <w:pageBreakBefore w:val="0"/>
        <w:widowControl w:val="0"/>
        <w:kinsoku/>
        <w:wordWrap/>
        <w:overflowPunct/>
        <w:topLinePunct w:val="0"/>
        <w:autoSpaceDE/>
        <w:autoSpaceDN/>
        <w:bidi w:val="0"/>
        <w:adjustRightInd/>
        <w:spacing w:line="336" w:lineRule="auto"/>
        <w:ind w:left="0" w:right="0" w:rightChars="0" w:firstLine="211" w:firstLineChars="100"/>
        <w:textAlignment w:val="auto"/>
        <w:rPr>
          <w:b/>
          <w:color w:val="auto"/>
          <w:szCs w:val="21"/>
          <w:highlight w:val="none"/>
        </w:rPr>
      </w:pPr>
      <w:r>
        <w:rPr>
          <w:rFonts w:hint="eastAsia"/>
          <w:b/>
          <w:color w:val="auto"/>
          <w:szCs w:val="21"/>
          <w:highlight w:val="none"/>
        </w:rPr>
        <w:t>（一）投标文件的签署</w:t>
      </w:r>
    </w:p>
    <w:p w14:paraId="26777FCD">
      <w:pPr>
        <w:keepNext w:val="0"/>
        <w:keepLines w:val="0"/>
        <w:pageBreakBefore w:val="0"/>
        <w:widowControl w:val="0"/>
        <w:kinsoku/>
        <w:wordWrap/>
        <w:overflowPunct/>
        <w:topLinePunct w:val="0"/>
        <w:autoSpaceDE/>
        <w:autoSpaceDN/>
        <w:bidi w:val="0"/>
        <w:adjustRightInd/>
        <w:spacing w:line="336" w:lineRule="auto"/>
        <w:ind w:left="0" w:right="0" w:rightChars="0" w:firstLine="420"/>
        <w:textAlignment w:val="auto"/>
        <w:rPr>
          <w:b/>
          <w:bCs/>
          <w:color w:val="auto"/>
          <w:szCs w:val="21"/>
          <w:highlight w:val="none"/>
        </w:rPr>
      </w:pPr>
      <w:r>
        <w:rPr>
          <w:b/>
          <w:bCs/>
          <w:color w:val="auto"/>
          <w:szCs w:val="21"/>
          <w:highlight w:val="none"/>
        </w:rPr>
        <w:t>1.</w:t>
      </w:r>
      <w:r>
        <w:rPr>
          <w:rFonts w:hint="eastAsia"/>
          <w:b/>
          <w:bCs/>
          <w:color w:val="auto"/>
          <w:szCs w:val="21"/>
          <w:highlight w:val="none"/>
        </w:rPr>
        <w:t>电子投标文件部分：</w:t>
      </w:r>
    </w:p>
    <w:p w14:paraId="516E9458">
      <w:pPr>
        <w:keepNext w:val="0"/>
        <w:keepLines w:val="0"/>
        <w:pageBreakBefore w:val="0"/>
        <w:widowControl w:val="0"/>
        <w:kinsoku/>
        <w:wordWrap/>
        <w:overflowPunct/>
        <w:topLinePunct w:val="0"/>
        <w:autoSpaceDE/>
        <w:autoSpaceDN/>
        <w:bidi w:val="0"/>
        <w:adjustRightInd/>
        <w:spacing w:line="336" w:lineRule="auto"/>
        <w:ind w:left="0" w:right="0" w:rightChars="0" w:firstLine="420"/>
        <w:textAlignment w:val="auto"/>
        <w:rPr>
          <w:color w:val="auto"/>
          <w:szCs w:val="21"/>
          <w:highlight w:val="none"/>
        </w:rPr>
      </w:pPr>
      <w:r>
        <w:rPr>
          <w:rFonts w:hint="eastAsia"/>
          <w:color w:val="auto"/>
          <w:szCs w:val="21"/>
          <w:highlight w:val="none"/>
        </w:rPr>
        <w:t>投标人应根据</w:t>
      </w:r>
      <w:r>
        <w:rPr>
          <w:color w:val="auto"/>
          <w:szCs w:val="21"/>
          <w:highlight w:val="none"/>
        </w:rPr>
        <w:t>“</w:t>
      </w:r>
      <w:r>
        <w:rPr>
          <w:rFonts w:hint="eastAsia"/>
          <w:color w:val="auto"/>
          <w:szCs w:val="21"/>
          <w:highlight w:val="none"/>
        </w:rPr>
        <w:t>政采云供应商项目采购</w:t>
      </w:r>
      <w:r>
        <w:rPr>
          <w:color w:val="auto"/>
          <w:szCs w:val="21"/>
          <w:highlight w:val="none"/>
        </w:rPr>
        <w:t>-</w:t>
      </w:r>
      <w:r>
        <w:rPr>
          <w:rFonts w:hint="eastAsia"/>
          <w:color w:val="auto"/>
          <w:szCs w:val="21"/>
          <w:highlight w:val="none"/>
        </w:rPr>
        <w:t>电子交易操作指南</w:t>
      </w:r>
      <w:r>
        <w:rPr>
          <w:color w:val="auto"/>
          <w:szCs w:val="21"/>
          <w:highlight w:val="none"/>
        </w:rPr>
        <w:t>”</w:t>
      </w:r>
      <w:r>
        <w:rPr>
          <w:rFonts w:hint="eastAsia"/>
          <w:color w:val="auto"/>
          <w:szCs w:val="21"/>
          <w:highlight w:val="none"/>
        </w:rPr>
        <w:t>及本招标文件规定的格式和顺序编制电子投标文件并进行关联定位。</w:t>
      </w:r>
    </w:p>
    <w:p w14:paraId="1A3DC8A4">
      <w:pPr>
        <w:keepNext w:val="0"/>
        <w:keepLines w:val="0"/>
        <w:pageBreakBefore w:val="0"/>
        <w:widowControl w:val="0"/>
        <w:kinsoku/>
        <w:wordWrap/>
        <w:overflowPunct/>
        <w:topLinePunct w:val="0"/>
        <w:autoSpaceDE/>
        <w:autoSpaceDN/>
        <w:bidi w:val="0"/>
        <w:adjustRightInd/>
        <w:spacing w:line="336" w:lineRule="auto"/>
        <w:ind w:left="0" w:right="0" w:rightChars="0" w:firstLine="420"/>
        <w:textAlignment w:val="auto"/>
        <w:rPr>
          <w:b/>
          <w:bCs/>
          <w:color w:val="auto"/>
          <w:szCs w:val="21"/>
          <w:highlight w:val="none"/>
        </w:rPr>
      </w:pPr>
      <w:r>
        <w:rPr>
          <w:b/>
          <w:bCs/>
          <w:color w:val="auto"/>
          <w:szCs w:val="21"/>
          <w:highlight w:val="none"/>
        </w:rPr>
        <w:t>2.</w:t>
      </w:r>
      <w:r>
        <w:rPr>
          <w:rFonts w:hint="eastAsia"/>
          <w:b/>
          <w:bCs/>
          <w:color w:val="auto"/>
          <w:szCs w:val="21"/>
          <w:highlight w:val="none"/>
        </w:rPr>
        <w:t>备份投标文件部分：</w:t>
      </w:r>
    </w:p>
    <w:p w14:paraId="4F46F8CB">
      <w:pPr>
        <w:keepNext w:val="0"/>
        <w:keepLines w:val="0"/>
        <w:pageBreakBefore w:val="0"/>
        <w:widowControl w:val="0"/>
        <w:kinsoku/>
        <w:wordWrap/>
        <w:overflowPunct/>
        <w:topLinePunct w:val="0"/>
        <w:autoSpaceDE/>
        <w:autoSpaceDN/>
        <w:bidi w:val="0"/>
        <w:adjustRightInd/>
        <w:snapToGrid w:val="0"/>
        <w:spacing w:line="336" w:lineRule="auto"/>
        <w:ind w:left="0" w:right="0" w:rightChars="0" w:firstLine="420" w:firstLineChars="200"/>
        <w:textAlignment w:val="auto"/>
        <w:rPr>
          <w:color w:val="auto"/>
          <w:szCs w:val="21"/>
          <w:highlight w:val="none"/>
        </w:rPr>
      </w:pPr>
      <w:r>
        <w:rPr>
          <w:color w:val="auto"/>
          <w:szCs w:val="21"/>
          <w:highlight w:val="none"/>
        </w:rPr>
        <w:t>2.1</w:t>
      </w:r>
      <w:r>
        <w:rPr>
          <w:rFonts w:hint="eastAsia"/>
          <w:color w:val="auto"/>
          <w:szCs w:val="21"/>
          <w:highlight w:val="none"/>
        </w:rPr>
        <w:t>以介质存储的数据电文形式的备份投标文件，按政采云平台项目采购</w:t>
      </w:r>
      <w:r>
        <w:rPr>
          <w:color w:val="auto"/>
          <w:szCs w:val="21"/>
          <w:highlight w:val="none"/>
        </w:rPr>
        <w:t>-</w:t>
      </w:r>
      <w:r>
        <w:rPr>
          <w:rFonts w:hint="eastAsia"/>
          <w:color w:val="auto"/>
          <w:szCs w:val="21"/>
          <w:highlight w:val="none"/>
        </w:rPr>
        <w:t>电子交易操作指南中上传的电子投标文件格式，以</w:t>
      </w:r>
      <w:r>
        <w:rPr>
          <w:color w:val="auto"/>
          <w:szCs w:val="21"/>
          <w:highlight w:val="none"/>
        </w:rPr>
        <w:t>U</w:t>
      </w:r>
      <w:r>
        <w:rPr>
          <w:rFonts w:hint="eastAsia"/>
          <w:color w:val="auto"/>
          <w:szCs w:val="21"/>
          <w:highlight w:val="none"/>
        </w:rPr>
        <w:t>盘形式存储提供。数量为</w:t>
      </w:r>
      <w:r>
        <w:rPr>
          <w:color w:val="auto"/>
          <w:szCs w:val="21"/>
          <w:highlight w:val="none"/>
        </w:rPr>
        <w:t>1</w:t>
      </w:r>
      <w:r>
        <w:rPr>
          <w:rFonts w:hint="eastAsia"/>
          <w:color w:val="auto"/>
          <w:szCs w:val="21"/>
          <w:highlight w:val="none"/>
        </w:rPr>
        <w:t>份。</w:t>
      </w:r>
    </w:p>
    <w:p w14:paraId="70C36CF1">
      <w:pPr>
        <w:keepNext w:val="0"/>
        <w:keepLines w:val="0"/>
        <w:pageBreakBefore w:val="0"/>
        <w:widowControl w:val="0"/>
        <w:tabs>
          <w:tab w:val="left" w:pos="0"/>
        </w:tabs>
        <w:kinsoku/>
        <w:wordWrap/>
        <w:overflowPunct/>
        <w:topLinePunct w:val="0"/>
        <w:autoSpaceDE/>
        <w:autoSpaceDN/>
        <w:bidi w:val="0"/>
        <w:adjustRightInd/>
        <w:spacing w:line="360" w:lineRule="auto"/>
        <w:ind w:left="0" w:right="0" w:rightChars="0" w:firstLine="211" w:firstLineChars="100"/>
        <w:textAlignment w:val="auto"/>
        <w:rPr>
          <w:b/>
          <w:color w:val="auto"/>
          <w:szCs w:val="21"/>
          <w:highlight w:val="none"/>
        </w:rPr>
      </w:pPr>
      <w:r>
        <w:rPr>
          <w:rFonts w:hint="eastAsia"/>
          <w:b/>
          <w:color w:val="auto"/>
          <w:szCs w:val="21"/>
          <w:highlight w:val="none"/>
        </w:rPr>
        <w:t>（二）投标文件的组成</w:t>
      </w:r>
    </w:p>
    <w:p w14:paraId="14375AA8">
      <w:pPr>
        <w:keepNext w:val="0"/>
        <w:keepLines w:val="0"/>
        <w:pageBreakBefore w:val="0"/>
        <w:widowControl w:val="0"/>
        <w:kinsoku/>
        <w:wordWrap/>
        <w:overflowPunct/>
        <w:topLinePunct w:val="0"/>
        <w:autoSpaceDE/>
        <w:autoSpaceDN/>
        <w:bidi w:val="0"/>
        <w:adjustRightInd/>
        <w:spacing w:line="360" w:lineRule="auto"/>
        <w:ind w:left="0" w:right="0" w:rightChars="0" w:firstLine="413" w:firstLineChars="196"/>
        <w:textAlignment w:val="auto"/>
        <w:rPr>
          <w:rFonts w:ascii="宋体" w:hAnsi="Courier New"/>
          <w:color w:val="auto"/>
          <w:szCs w:val="21"/>
          <w:highlight w:val="none"/>
        </w:rPr>
      </w:pPr>
      <w:r>
        <w:rPr>
          <w:rFonts w:hint="eastAsia" w:ascii="宋体" w:hAnsi="Courier New"/>
          <w:b/>
          <w:bCs/>
          <w:color w:val="auto"/>
          <w:szCs w:val="21"/>
          <w:highlight w:val="none"/>
        </w:rPr>
        <w:t>投标文件由资格响应文件、商务及技术响应文件、报价文件三部份组成。</w:t>
      </w:r>
      <w:r>
        <w:rPr>
          <w:rFonts w:hint="eastAsia" w:ascii="宋体" w:hAnsi="Courier New"/>
          <w:color w:val="auto"/>
          <w:szCs w:val="21"/>
          <w:highlight w:val="none"/>
        </w:rPr>
        <w:t>电子投标文件中所须加盖公章部分均采用CA签章。（以下投标文件的部分格式详见本招标文件第六章，如本招标文件没有提供相应的格式，投标人可自行制表填写）</w:t>
      </w:r>
    </w:p>
    <w:p w14:paraId="2A9D914F">
      <w:pPr>
        <w:keepNext w:val="0"/>
        <w:keepLines w:val="0"/>
        <w:pageBreakBefore w:val="0"/>
        <w:widowControl w:val="0"/>
        <w:kinsoku/>
        <w:wordWrap/>
        <w:overflowPunct/>
        <w:topLinePunct w:val="0"/>
        <w:autoSpaceDE/>
        <w:autoSpaceDN/>
        <w:bidi w:val="0"/>
        <w:adjustRightInd/>
        <w:spacing w:line="360" w:lineRule="auto"/>
        <w:ind w:left="0" w:right="0" w:rightChars="0"/>
        <w:textAlignment w:val="auto"/>
        <w:rPr>
          <w:b/>
          <w:color w:val="auto"/>
          <w:szCs w:val="21"/>
          <w:highlight w:val="none"/>
        </w:rPr>
      </w:pPr>
      <w:r>
        <w:rPr>
          <w:rFonts w:hint="eastAsia"/>
          <w:b/>
          <w:color w:val="auto"/>
          <w:szCs w:val="21"/>
          <w:highlight w:val="none"/>
        </w:rPr>
        <w:t>资格响应部份：</w:t>
      </w:r>
    </w:p>
    <w:p w14:paraId="79DC58F7">
      <w:pPr>
        <w:keepNext w:val="0"/>
        <w:keepLines w:val="0"/>
        <w:pageBreakBefore w:val="0"/>
        <w:widowControl w:val="0"/>
        <w:kinsoku/>
        <w:wordWrap/>
        <w:overflowPunct/>
        <w:topLinePunct w:val="0"/>
        <w:autoSpaceDE/>
        <w:autoSpaceDN/>
        <w:bidi w:val="0"/>
        <w:adjustRightInd/>
        <w:spacing w:line="360" w:lineRule="auto"/>
        <w:ind w:left="0" w:right="0" w:rightChars="0"/>
        <w:textAlignment w:val="auto"/>
        <w:rPr>
          <w:color w:val="auto"/>
          <w:highlight w:val="none"/>
        </w:rPr>
      </w:pPr>
      <w:r>
        <w:rPr>
          <w:color w:val="auto"/>
          <w:highlight w:val="none"/>
        </w:rPr>
        <w:t>1.</w:t>
      </w:r>
      <w:r>
        <w:rPr>
          <w:rFonts w:hint="eastAsia"/>
          <w:color w:val="auto"/>
          <w:highlight w:val="none"/>
        </w:rPr>
        <w:t>基本资格条件：符合《中华人民共和国政府采购法》第二十二条的规定；</w:t>
      </w:r>
    </w:p>
    <w:p w14:paraId="154DF0B2">
      <w:pPr>
        <w:keepNext w:val="0"/>
        <w:keepLines w:val="0"/>
        <w:pageBreakBefore w:val="0"/>
        <w:widowControl w:val="0"/>
        <w:kinsoku/>
        <w:wordWrap/>
        <w:overflowPunct/>
        <w:topLinePunct w:val="0"/>
        <w:autoSpaceDE/>
        <w:autoSpaceDN/>
        <w:bidi w:val="0"/>
        <w:adjustRightInd/>
        <w:spacing w:line="360" w:lineRule="auto"/>
        <w:ind w:left="0" w:right="0" w:rightChars="0" w:firstLine="420" w:firstLineChars="200"/>
        <w:textAlignment w:val="auto"/>
        <w:rPr>
          <w:color w:val="auto"/>
          <w:highlight w:val="none"/>
        </w:rPr>
      </w:pPr>
      <w:r>
        <w:rPr>
          <w:rFonts w:hint="eastAsia"/>
          <w:color w:val="auto"/>
          <w:highlight w:val="none"/>
        </w:rPr>
        <w:t>（以下</w:t>
      </w:r>
      <w:r>
        <w:rPr>
          <w:color w:val="auto"/>
          <w:highlight w:val="none"/>
        </w:rPr>
        <w:t>A~E</w:t>
      </w:r>
      <w:r>
        <w:rPr>
          <w:rFonts w:hint="eastAsia"/>
          <w:color w:val="auto"/>
          <w:highlight w:val="none"/>
        </w:rPr>
        <w:t>项是第二十二条要求及对应证明材料的具体内容，各投标人须在投标文件中出具对应证明材料）</w:t>
      </w:r>
    </w:p>
    <w:p w14:paraId="6A17A4F8">
      <w:pPr>
        <w:keepNext w:val="0"/>
        <w:keepLines w:val="0"/>
        <w:pageBreakBefore w:val="0"/>
        <w:widowControl w:val="0"/>
        <w:kinsoku/>
        <w:wordWrap/>
        <w:overflowPunct/>
        <w:topLinePunct w:val="0"/>
        <w:autoSpaceDE/>
        <w:autoSpaceDN/>
        <w:bidi w:val="0"/>
        <w:adjustRightInd/>
        <w:spacing w:line="360" w:lineRule="auto"/>
        <w:ind w:left="0" w:right="0" w:rightChars="0" w:firstLine="482" w:firstLineChars="200"/>
        <w:textAlignment w:val="auto"/>
        <w:rPr>
          <w:b/>
          <w:bCs/>
          <w:color w:val="auto"/>
          <w:highlight w:val="none"/>
        </w:rPr>
      </w:pPr>
      <w:r>
        <w:rPr>
          <w:b/>
          <w:bCs/>
          <w:color w:val="auto"/>
          <w:sz w:val="24"/>
          <w:highlight w:val="none"/>
        </w:rPr>
        <w:t>A.</w:t>
      </w:r>
      <w:r>
        <w:rPr>
          <w:rFonts w:hint="eastAsia"/>
          <w:b/>
          <w:bCs/>
          <w:color w:val="auto"/>
          <w:highlight w:val="none"/>
        </w:rPr>
        <w:t>具有独立承担民事责任的能力：</w:t>
      </w:r>
    </w:p>
    <w:p w14:paraId="2820A2CD">
      <w:pPr>
        <w:keepNext w:val="0"/>
        <w:keepLines w:val="0"/>
        <w:pageBreakBefore w:val="0"/>
        <w:widowControl w:val="0"/>
        <w:kinsoku/>
        <w:wordWrap/>
        <w:overflowPunct/>
        <w:topLinePunct w:val="0"/>
        <w:autoSpaceDE/>
        <w:autoSpaceDN/>
        <w:bidi w:val="0"/>
        <w:adjustRightInd/>
        <w:spacing w:line="360" w:lineRule="auto"/>
        <w:ind w:left="0" w:right="0" w:rightChars="0" w:firstLine="420" w:firstLineChars="200"/>
        <w:textAlignment w:val="auto"/>
        <w:rPr>
          <w:b/>
          <w:bCs/>
          <w:color w:val="auto"/>
          <w:highlight w:val="none"/>
        </w:rPr>
      </w:pPr>
      <w:r>
        <w:rPr>
          <w:rFonts w:hint="eastAsia"/>
          <w:color w:val="auto"/>
          <w:highlight w:val="none"/>
        </w:rPr>
        <w:t>投标人须在投标文件中出具符合以下情况的证明材料复印件</w:t>
      </w:r>
      <w:r>
        <w:rPr>
          <w:rFonts w:hint="eastAsia"/>
          <w:b/>
          <w:bCs/>
          <w:color w:val="auto"/>
          <w:highlight w:val="none"/>
        </w:rPr>
        <w:t>（五选一）：</w:t>
      </w:r>
    </w:p>
    <w:p w14:paraId="07124ABF">
      <w:pPr>
        <w:keepNext w:val="0"/>
        <w:keepLines w:val="0"/>
        <w:pageBreakBefore w:val="0"/>
        <w:widowControl w:val="0"/>
        <w:kinsoku/>
        <w:wordWrap/>
        <w:overflowPunct/>
        <w:topLinePunct w:val="0"/>
        <w:autoSpaceDE/>
        <w:autoSpaceDN/>
        <w:bidi w:val="0"/>
        <w:adjustRightInd/>
        <w:spacing w:line="360" w:lineRule="auto"/>
        <w:ind w:left="0" w:right="0" w:rightChars="0" w:firstLine="420" w:firstLineChars="200"/>
        <w:textAlignment w:val="auto"/>
        <w:rPr>
          <w:color w:val="auto"/>
          <w:highlight w:val="none"/>
        </w:rPr>
      </w:pPr>
      <w:r>
        <w:rPr>
          <w:rFonts w:hint="eastAsia"/>
          <w:color w:val="auto"/>
          <w:highlight w:val="none"/>
        </w:rPr>
        <w:t>①如投标人是企业（包括合伙企业），提供在工商部门注册的有效</w:t>
      </w:r>
      <w:r>
        <w:rPr>
          <w:color w:val="auto"/>
          <w:highlight w:val="none"/>
        </w:rPr>
        <w:t>“</w:t>
      </w:r>
      <w:r>
        <w:rPr>
          <w:rFonts w:hint="eastAsia"/>
          <w:color w:val="auto"/>
          <w:highlight w:val="none"/>
        </w:rPr>
        <w:t>企业法人营业执照</w:t>
      </w:r>
      <w:r>
        <w:rPr>
          <w:color w:val="auto"/>
          <w:highlight w:val="none"/>
        </w:rPr>
        <w:t>”</w:t>
      </w:r>
      <w:r>
        <w:rPr>
          <w:rFonts w:hint="eastAsia"/>
          <w:color w:val="auto"/>
          <w:highlight w:val="none"/>
        </w:rPr>
        <w:t>或</w:t>
      </w:r>
      <w:r>
        <w:rPr>
          <w:color w:val="auto"/>
          <w:highlight w:val="none"/>
        </w:rPr>
        <w:t>“</w:t>
      </w:r>
      <w:r>
        <w:rPr>
          <w:rFonts w:hint="eastAsia"/>
          <w:color w:val="auto"/>
          <w:highlight w:val="none"/>
        </w:rPr>
        <w:t>营业执照</w:t>
      </w:r>
      <w:r>
        <w:rPr>
          <w:color w:val="auto"/>
          <w:highlight w:val="none"/>
        </w:rPr>
        <w:t>”</w:t>
      </w:r>
      <w:r>
        <w:rPr>
          <w:rFonts w:hint="eastAsia"/>
          <w:color w:val="auto"/>
          <w:highlight w:val="none"/>
        </w:rPr>
        <w:t>；</w:t>
      </w:r>
    </w:p>
    <w:p w14:paraId="63CA44AC">
      <w:pPr>
        <w:keepNext w:val="0"/>
        <w:keepLines w:val="0"/>
        <w:pageBreakBefore w:val="0"/>
        <w:widowControl w:val="0"/>
        <w:kinsoku/>
        <w:wordWrap/>
        <w:overflowPunct/>
        <w:topLinePunct w:val="0"/>
        <w:autoSpaceDE/>
        <w:autoSpaceDN/>
        <w:bidi w:val="0"/>
        <w:adjustRightInd/>
        <w:spacing w:line="360" w:lineRule="auto"/>
        <w:ind w:left="0" w:right="0" w:rightChars="0" w:firstLine="420" w:firstLineChars="200"/>
        <w:textAlignment w:val="auto"/>
        <w:rPr>
          <w:color w:val="auto"/>
          <w:highlight w:val="none"/>
        </w:rPr>
      </w:pPr>
      <w:r>
        <w:rPr>
          <w:rFonts w:hint="eastAsia"/>
          <w:color w:val="auto"/>
          <w:highlight w:val="none"/>
        </w:rPr>
        <w:t>②如投标人是事业单位，提供有效的</w:t>
      </w:r>
      <w:r>
        <w:rPr>
          <w:color w:val="auto"/>
          <w:highlight w:val="none"/>
        </w:rPr>
        <w:t>“</w:t>
      </w:r>
      <w:r>
        <w:rPr>
          <w:rFonts w:hint="eastAsia"/>
          <w:color w:val="auto"/>
          <w:highlight w:val="none"/>
        </w:rPr>
        <w:t>事业单位法人证书</w:t>
      </w:r>
      <w:r>
        <w:rPr>
          <w:color w:val="auto"/>
          <w:highlight w:val="none"/>
        </w:rPr>
        <w:t>”</w:t>
      </w:r>
      <w:r>
        <w:rPr>
          <w:rFonts w:hint="eastAsia"/>
          <w:color w:val="auto"/>
          <w:highlight w:val="none"/>
        </w:rPr>
        <w:t>；</w:t>
      </w:r>
    </w:p>
    <w:p w14:paraId="61B958AB">
      <w:pPr>
        <w:keepNext w:val="0"/>
        <w:keepLines w:val="0"/>
        <w:pageBreakBefore w:val="0"/>
        <w:widowControl w:val="0"/>
        <w:kinsoku/>
        <w:wordWrap/>
        <w:overflowPunct/>
        <w:topLinePunct w:val="0"/>
        <w:autoSpaceDE/>
        <w:autoSpaceDN/>
        <w:bidi w:val="0"/>
        <w:adjustRightInd/>
        <w:spacing w:line="360" w:lineRule="auto"/>
        <w:ind w:left="0" w:right="0" w:rightChars="0" w:firstLine="420" w:firstLineChars="200"/>
        <w:textAlignment w:val="auto"/>
        <w:rPr>
          <w:color w:val="auto"/>
          <w:highlight w:val="none"/>
        </w:rPr>
      </w:pPr>
      <w:r>
        <w:rPr>
          <w:rFonts w:hint="eastAsia"/>
          <w:color w:val="auto"/>
          <w:highlight w:val="none"/>
        </w:rPr>
        <w:t>③如投标人是非企业专业服务机构的，提供执业许可证等证明文件；</w:t>
      </w:r>
    </w:p>
    <w:p w14:paraId="1E8B7E53">
      <w:pPr>
        <w:keepNext w:val="0"/>
        <w:keepLines w:val="0"/>
        <w:pageBreakBefore w:val="0"/>
        <w:widowControl w:val="0"/>
        <w:kinsoku/>
        <w:wordWrap/>
        <w:overflowPunct/>
        <w:topLinePunct w:val="0"/>
        <w:autoSpaceDE/>
        <w:autoSpaceDN/>
        <w:bidi w:val="0"/>
        <w:adjustRightInd/>
        <w:spacing w:line="360" w:lineRule="auto"/>
        <w:ind w:left="0" w:right="0" w:rightChars="0" w:firstLine="420" w:firstLineChars="200"/>
        <w:textAlignment w:val="auto"/>
        <w:rPr>
          <w:color w:val="auto"/>
          <w:highlight w:val="none"/>
        </w:rPr>
      </w:pPr>
      <w:r>
        <w:rPr>
          <w:rFonts w:hint="eastAsia"/>
          <w:color w:val="auto"/>
          <w:highlight w:val="none"/>
        </w:rPr>
        <w:t>④如投标人是个体工商户，提供有效的</w:t>
      </w:r>
      <w:r>
        <w:rPr>
          <w:color w:val="auto"/>
          <w:highlight w:val="none"/>
        </w:rPr>
        <w:t>“</w:t>
      </w:r>
      <w:r>
        <w:rPr>
          <w:rFonts w:hint="eastAsia"/>
          <w:color w:val="auto"/>
          <w:highlight w:val="none"/>
        </w:rPr>
        <w:t>个体工商户营业执照</w:t>
      </w:r>
      <w:r>
        <w:rPr>
          <w:color w:val="auto"/>
          <w:highlight w:val="none"/>
        </w:rPr>
        <w:t>”</w:t>
      </w:r>
      <w:r>
        <w:rPr>
          <w:rFonts w:hint="eastAsia"/>
          <w:color w:val="auto"/>
          <w:highlight w:val="none"/>
        </w:rPr>
        <w:t>；</w:t>
      </w:r>
    </w:p>
    <w:p w14:paraId="687A06B3">
      <w:pPr>
        <w:spacing w:line="360" w:lineRule="auto"/>
        <w:ind w:firstLine="420" w:firstLineChars="200"/>
        <w:rPr>
          <w:color w:val="auto"/>
          <w:highlight w:val="none"/>
        </w:rPr>
      </w:pPr>
      <w:r>
        <w:rPr>
          <w:rFonts w:hint="eastAsia"/>
          <w:color w:val="auto"/>
          <w:highlight w:val="none"/>
        </w:rPr>
        <w:t>⑤如投标人是自然人，提供有效的自然人身份证明（居民身份证正反面或公安机关出具的临时居民身份证正反面或港澳台胞证或证照）。</w:t>
      </w:r>
    </w:p>
    <w:p w14:paraId="2C5FE4FC">
      <w:pPr>
        <w:spacing w:line="360" w:lineRule="auto"/>
        <w:ind w:firstLine="422" w:firstLineChars="200"/>
        <w:rPr>
          <w:b/>
          <w:bCs/>
          <w:color w:val="auto"/>
          <w:highlight w:val="none"/>
        </w:rPr>
      </w:pPr>
      <w:r>
        <w:rPr>
          <w:b/>
          <w:bCs/>
          <w:color w:val="auto"/>
          <w:szCs w:val="21"/>
          <w:highlight w:val="none"/>
        </w:rPr>
        <w:t>B.</w:t>
      </w:r>
      <w:r>
        <w:rPr>
          <w:rFonts w:hint="eastAsia"/>
          <w:b/>
          <w:bCs/>
          <w:color w:val="auto"/>
          <w:highlight w:val="none"/>
        </w:rPr>
        <w:t>具有良好的商业信誉和健全的财务会计制度：</w:t>
      </w:r>
    </w:p>
    <w:p w14:paraId="75E056DC">
      <w:pPr>
        <w:spacing w:line="360" w:lineRule="auto"/>
        <w:ind w:firstLine="420" w:firstLineChars="200"/>
        <w:rPr>
          <w:color w:val="auto"/>
          <w:highlight w:val="none"/>
        </w:rPr>
      </w:pPr>
      <w:r>
        <w:rPr>
          <w:rFonts w:hint="eastAsia"/>
          <w:color w:val="auto"/>
          <w:highlight w:val="none"/>
        </w:rPr>
        <w:t>①良好的商业信誉：</w:t>
      </w:r>
    </w:p>
    <w:p w14:paraId="3A71226B">
      <w:pPr>
        <w:spacing w:line="360" w:lineRule="auto"/>
        <w:ind w:firstLine="420" w:firstLineChars="200"/>
        <w:rPr>
          <w:color w:val="auto"/>
          <w:highlight w:val="none"/>
        </w:rPr>
      </w:pPr>
      <w:r>
        <w:rPr>
          <w:rFonts w:hint="eastAsia"/>
          <w:color w:val="auto"/>
          <w:highlight w:val="none"/>
        </w:rPr>
        <w:t>至本项目投标截止时间止未被</w:t>
      </w:r>
      <w:r>
        <w:rPr>
          <w:color w:val="auto"/>
          <w:highlight w:val="none"/>
        </w:rPr>
        <w:t>“</w:t>
      </w:r>
      <w:r>
        <w:rPr>
          <w:rFonts w:hint="eastAsia"/>
          <w:color w:val="auto"/>
          <w:highlight w:val="none"/>
        </w:rPr>
        <w:t>信用中国</w:t>
      </w:r>
      <w:r>
        <w:rPr>
          <w:color w:val="auto"/>
          <w:highlight w:val="none"/>
        </w:rPr>
        <w:t>”</w:t>
      </w:r>
      <w:r>
        <w:rPr>
          <w:rFonts w:hint="eastAsia"/>
          <w:color w:val="auto"/>
          <w:highlight w:val="none"/>
        </w:rPr>
        <w:t>（</w:t>
      </w:r>
      <w:r>
        <w:rPr>
          <w:color w:val="auto"/>
          <w:highlight w:val="none"/>
        </w:rPr>
        <w:t>www.creditchina.gov.cn</w:t>
      </w:r>
      <w:r>
        <w:rPr>
          <w:rFonts w:hint="eastAsia"/>
          <w:color w:val="auto"/>
          <w:highlight w:val="none"/>
        </w:rPr>
        <w:t>）、中国政府采购网（</w:t>
      </w:r>
      <w:r>
        <w:rPr>
          <w:color w:val="auto"/>
          <w:highlight w:val="none"/>
        </w:rPr>
        <w:t>www.ccgp.gov.cn</w:t>
      </w:r>
      <w:r>
        <w:rPr>
          <w:rFonts w:hint="eastAsia"/>
          <w:color w:val="auto"/>
          <w:highlight w:val="none"/>
        </w:rPr>
        <w:t>）列入失信被执行人、重大税收违法案件当事人名单、政府采购严重违法失信行为记录名单网页查询记录截图。</w:t>
      </w:r>
    </w:p>
    <w:p w14:paraId="21423D50">
      <w:pPr>
        <w:spacing w:line="360" w:lineRule="auto"/>
        <w:ind w:firstLine="420" w:firstLineChars="200"/>
        <w:rPr>
          <w:color w:val="auto"/>
          <w:highlight w:val="none"/>
        </w:rPr>
      </w:pPr>
      <w:r>
        <w:rPr>
          <w:rFonts w:hint="eastAsia"/>
          <w:color w:val="auto"/>
          <w:szCs w:val="21"/>
          <w:highlight w:val="none"/>
        </w:rPr>
        <w:t>提供</w:t>
      </w:r>
      <w:r>
        <w:rPr>
          <w:rFonts w:hint="eastAsia"/>
          <w:color w:val="auto"/>
          <w:highlight w:val="none"/>
        </w:rPr>
        <w:t>查询截图，（截图查询网站时间须在开标截止前二个星期内）</w:t>
      </w:r>
    </w:p>
    <w:p w14:paraId="0536E2C2">
      <w:pPr>
        <w:spacing w:line="360" w:lineRule="auto"/>
        <w:ind w:firstLine="420" w:firstLineChars="200"/>
        <w:rPr>
          <w:color w:val="auto"/>
          <w:highlight w:val="none"/>
        </w:rPr>
      </w:pPr>
      <w:r>
        <w:rPr>
          <w:rFonts w:hint="eastAsia"/>
          <w:color w:val="auto"/>
          <w:szCs w:val="21"/>
          <w:highlight w:val="none"/>
        </w:rPr>
        <w:t>对</w:t>
      </w:r>
      <w:r>
        <w:rPr>
          <w:rFonts w:hint="eastAsia"/>
          <w:color w:val="auto"/>
          <w:highlight w:val="none"/>
        </w:rPr>
        <w:t>列入失信被执行人、重大税收违法案件当事人名单、政府采购严重违法失信行为记录名单的投标人，其投标将作无效标处理。</w:t>
      </w:r>
    </w:p>
    <w:p w14:paraId="25A5E4E6">
      <w:pPr>
        <w:spacing w:line="360" w:lineRule="auto"/>
        <w:ind w:firstLine="420" w:firstLineChars="200"/>
        <w:rPr>
          <w:color w:val="auto"/>
          <w:highlight w:val="none"/>
        </w:rPr>
      </w:pPr>
      <w:r>
        <w:rPr>
          <w:rFonts w:hint="eastAsia" w:ascii="宋体" w:hAnsi="宋体" w:cs="宋体"/>
          <w:color w:val="auto"/>
          <w:highlight w:val="none"/>
        </w:rPr>
        <w:t>②</w:t>
      </w:r>
      <w:r>
        <w:rPr>
          <w:rFonts w:hint="eastAsia"/>
          <w:color w:val="auto"/>
          <w:highlight w:val="none"/>
        </w:rPr>
        <w:t>健全的财务会计制度：</w:t>
      </w:r>
    </w:p>
    <w:p w14:paraId="684B1CC6">
      <w:pPr>
        <w:spacing w:line="360" w:lineRule="auto"/>
        <w:ind w:firstLine="420" w:firstLineChars="200"/>
        <w:rPr>
          <w:color w:val="auto"/>
          <w:highlight w:val="none"/>
        </w:rPr>
      </w:pPr>
      <w:r>
        <w:rPr>
          <w:rFonts w:hint="eastAsia"/>
          <w:color w:val="auto"/>
          <w:highlight w:val="none"/>
        </w:rPr>
        <w:t>投标人须在投标文件中出具符合以下情况的证明材料复印件</w:t>
      </w:r>
      <w:r>
        <w:rPr>
          <w:rFonts w:hint="eastAsia"/>
          <w:b/>
          <w:bCs/>
          <w:color w:val="auto"/>
          <w:highlight w:val="none"/>
        </w:rPr>
        <w:t>（三选一）</w:t>
      </w:r>
      <w:r>
        <w:rPr>
          <w:rFonts w:hint="eastAsia"/>
          <w:color w:val="auto"/>
          <w:highlight w:val="none"/>
        </w:rPr>
        <w:t>：</w:t>
      </w:r>
    </w:p>
    <w:p w14:paraId="249BD43D">
      <w:pPr>
        <w:tabs>
          <w:tab w:val="left" w:pos="735"/>
        </w:tabs>
        <w:spacing w:line="360" w:lineRule="auto"/>
        <w:ind w:firstLine="420" w:firstLineChars="200"/>
        <w:rPr>
          <w:color w:val="auto"/>
          <w:highlight w:val="none"/>
        </w:rPr>
      </w:pPr>
      <w:r>
        <w:rPr>
          <w:rFonts w:hint="eastAsia"/>
          <w:color w:val="auto"/>
          <w:highlight w:val="none"/>
        </w:rPr>
        <w:t>（一）投标人是法人的，应提供最近一个年度经审计的财务报告，包括资产负债表、利润表、现金流量表</w:t>
      </w:r>
      <w:bookmarkStart w:id="2" w:name="_Hlk172274234"/>
      <w:r>
        <w:rPr>
          <w:rFonts w:hint="eastAsia"/>
          <w:color w:val="auto"/>
          <w:highlight w:val="none"/>
        </w:rPr>
        <w:t>（执行《小企业会计准则》的提供资产负债表和利润表两张基本报表，执行《政府会计准则》的提供资产负债表、收入费用表和现金流量表）</w:t>
      </w:r>
      <w:bookmarkEnd w:id="2"/>
      <w:r>
        <w:rPr>
          <w:rFonts w:hint="eastAsia"/>
          <w:color w:val="auto"/>
          <w:highlight w:val="none"/>
        </w:rPr>
        <w:t>，未经审计的，提供资产负债表、利润表或损益表。</w:t>
      </w:r>
    </w:p>
    <w:p w14:paraId="0929E8C1">
      <w:pPr>
        <w:numPr>
          <w:ilvl w:val="0"/>
          <w:numId w:val="9"/>
        </w:numPr>
        <w:tabs>
          <w:tab w:val="left" w:pos="735"/>
        </w:tabs>
        <w:spacing w:line="360" w:lineRule="auto"/>
        <w:rPr>
          <w:color w:val="auto"/>
          <w:highlight w:val="none"/>
        </w:rPr>
      </w:pPr>
      <w:r>
        <w:rPr>
          <w:rFonts w:hint="eastAsia"/>
          <w:color w:val="auto"/>
          <w:highlight w:val="none"/>
        </w:rPr>
        <w:t>其他组织和自然人如没有经审计的财务报告的，可以提供资产负债表、利润表、现金</w:t>
      </w:r>
    </w:p>
    <w:p w14:paraId="27D2D742">
      <w:pPr>
        <w:tabs>
          <w:tab w:val="left" w:pos="735"/>
        </w:tabs>
        <w:spacing w:line="360" w:lineRule="auto"/>
        <w:rPr>
          <w:color w:val="auto"/>
          <w:highlight w:val="none"/>
        </w:rPr>
      </w:pPr>
      <w:r>
        <w:rPr>
          <w:rFonts w:hint="eastAsia"/>
          <w:color w:val="auto"/>
          <w:highlight w:val="none"/>
        </w:rPr>
        <w:t>流量表。</w:t>
      </w:r>
    </w:p>
    <w:p w14:paraId="5E98B9B8">
      <w:pPr>
        <w:numPr>
          <w:ilvl w:val="0"/>
          <w:numId w:val="9"/>
        </w:numPr>
        <w:tabs>
          <w:tab w:val="left" w:pos="735"/>
        </w:tabs>
        <w:spacing w:line="360" w:lineRule="auto"/>
        <w:rPr>
          <w:color w:val="auto"/>
          <w:highlight w:val="none"/>
        </w:rPr>
      </w:pPr>
      <w:r>
        <w:rPr>
          <w:rFonts w:hint="eastAsia"/>
          <w:color w:val="auto"/>
          <w:highlight w:val="none"/>
        </w:rPr>
        <w:t>新成立不足一年的公司须出具情况说明。</w:t>
      </w:r>
    </w:p>
    <w:p w14:paraId="2419B145">
      <w:pPr>
        <w:spacing w:line="360" w:lineRule="auto"/>
        <w:ind w:firstLine="413" w:firstLineChars="196"/>
        <w:rPr>
          <w:b/>
          <w:bCs/>
          <w:color w:val="auto"/>
          <w:szCs w:val="21"/>
          <w:highlight w:val="none"/>
        </w:rPr>
      </w:pPr>
      <w:r>
        <w:rPr>
          <w:b/>
          <w:bCs/>
          <w:color w:val="auto"/>
          <w:szCs w:val="21"/>
          <w:highlight w:val="none"/>
        </w:rPr>
        <w:t>C.</w:t>
      </w:r>
      <w:r>
        <w:rPr>
          <w:rFonts w:hint="eastAsia"/>
          <w:b/>
          <w:bCs/>
          <w:color w:val="auto"/>
          <w:szCs w:val="21"/>
          <w:highlight w:val="none"/>
        </w:rPr>
        <w:t>具有履行合同所必需的设备和专业技术能力：</w:t>
      </w:r>
    </w:p>
    <w:p w14:paraId="08B26D5A">
      <w:pPr>
        <w:spacing w:line="360" w:lineRule="auto"/>
        <w:ind w:left="420"/>
        <w:rPr>
          <w:color w:val="auto"/>
          <w:kern w:val="0"/>
          <w:szCs w:val="21"/>
          <w:highlight w:val="none"/>
        </w:rPr>
      </w:pPr>
      <w:r>
        <w:rPr>
          <w:rFonts w:hint="eastAsia"/>
          <w:color w:val="auto"/>
          <w:kern w:val="0"/>
          <w:szCs w:val="21"/>
          <w:highlight w:val="none"/>
        </w:rPr>
        <w:t>投标人须在投标文件中出具具有履行合同所必需的设备和专业技术能力的《投标函》。</w:t>
      </w:r>
    </w:p>
    <w:p w14:paraId="4019BB89">
      <w:pPr>
        <w:spacing w:line="360" w:lineRule="auto"/>
        <w:ind w:firstLine="413" w:firstLineChars="196"/>
        <w:rPr>
          <w:b/>
          <w:bCs/>
          <w:color w:val="auto"/>
          <w:szCs w:val="21"/>
          <w:highlight w:val="none"/>
        </w:rPr>
      </w:pPr>
      <w:r>
        <w:rPr>
          <w:b/>
          <w:bCs/>
          <w:color w:val="auto"/>
          <w:szCs w:val="21"/>
          <w:highlight w:val="none"/>
        </w:rPr>
        <w:t>D.</w:t>
      </w:r>
      <w:r>
        <w:rPr>
          <w:rFonts w:hint="eastAsia"/>
          <w:b/>
          <w:bCs/>
          <w:color w:val="auto"/>
          <w:szCs w:val="21"/>
          <w:highlight w:val="none"/>
        </w:rPr>
        <w:t>有依法缴纳税收和社会保障资金的良好记录：（如有）</w:t>
      </w:r>
    </w:p>
    <w:p w14:paraId="363C4632">
      <w:pPr>
        <w:spacing w:line="360" w:lineRule="auto"/>
        <w:ind w:firstLine="420" w:firstLineChars="200"/>
        <w:rPr>
          <w:color w:val="auto"/>
          <w:highlight w:val="none"/>
        </w:rPr>
      </w:pPr>
      <w:r>
        <w:rPr>
          <w:color w:val="auto"/>
          <w:highlight w:val="none"/>
        </w:rPr>
        <w:t>1.</w:t>
      </w:r>
      <w:r>
        <w:rPr>
          <w:rFonts w:hint="eastAsia"/>
          <w:color w:val="auto"/>
          <w:highlight w:val="none"/>
        </w:rPr>
        <w:t>投标人须在投标文件中同时出具满足以下要求的证明材料复印件：</w:t>
      </w:r>
    </w:p>
    <w:p w14:paraId="415DB452">
      <w:pPr>
        <w:spacing w:line="360" w:lineRule="auto"/>
        <w:ind w:firstLine="420" w:firstLineChars="200"/>
        <w:rPr>
          <w:color w:val="auto"/>
          <w:highlight w:val="none"/>
        </w:rPr>
      </w:pPr>
      <w:r>
        <w:rPr>
          <w:rFonts w:hint="eastAsia"/>
          <w:color w:val="auto"/>
          <w:highlight w:val="none"/>
        </w:rPr>
        <w:t>①投标人须提供由税务部门出具的最近一季度缴纳增值税和企业所得税的纳税证明。</w:t>
      </w:r>
    </w:p>
    <w:p w14:paraId="42DB848E">
      <w:pPr>
        <w:spacing w:line="360" w:lineRule="auto"/>
        <w:ind w:firstLine="420" w:firstLineChars="200"/>
        <w:rPr>
          <w:color w:val="auto"/>
          <w:highlight w:val="none"/>
        </w:rPr>
      </w:pPr>
      <w:r>
        <w:rPr>
          <w:rFonts w:hint="eastAsia" w:ascii="宋体" w:hAnsi="宋体" w:cs="宋体"/>
          <w:color w:val="auto"/>
          <w:highlight w:val="none"/>
        </w:rPr>
        <w:t>②</w:t>
      </w:r>
      <w:r>
        <w:rPr>
          <w:rFonts w:hint="eastAsia"/>
          <w:color w:val="auto"/>
          <w:highlight w:val="none"/>
        </w:rPr>
        <w:t>投标人须提供最近三个月内缴纳社会保险的凭据（缴税付款凭证或社会保险缴纳证明）</w:t>
      </w:r>
    </w:p>
    <w:p w14:paraId="7A792276">
      <w:pPr>
        <w:keepNext w:val="0"/>
        <w:keepLines w:val="0"/>
        <w:pageBreakBefore w:val="0"/>
        <w:widowControl w:val="0"/>
        <w:kinsoku/>
        <w:wordWrap/>
        <w:overflowPunct/>
        <w:topLinePunct w:val="0"/>
        <w:autoSpaceDE/>
        <w:autoSpaceDN/>
        <w:bidi w:val="0"/>
        <w:adjustRightInd/>
        <w:spacing w:line="360" w:lineRule="auto"/>
        <w:ind w:left="0" w:right="0" w:rightChars="0" w:firstLine="420" w:firstLineChars="200"/>
        <w:textAlignment w:val="auto"/>
        <w:rPr>
          <w:color w:val="auto"/>
          <w:highlight w:val="none"/>
        </w:rPr>
      </w:pPr>
      <w:r>
        <w:rPr>
          <w:rFonts w:hint="eastAsia"/>
          <w:color w:val="auto"/>
          <w:highlight w:val="none"/>
        </w:rPr>
        <w:t>依法免税或不需要缴纳社会保障资金的投标人，应提供相应文件证明其依法免税或不需要缴纳社会保障资金。</w:t>
      </w:r>
    </w:p>
    <w:p w14:paraId="142BF1C5">
      <w:pPr>
        <w:keepNext w:val="0"/>
        <w:keepLines w:val="0"/>
        <w:pageBreakBefore w:val="0"/>
        <w:widowControl w:val="0"/>
        <w:kinsoku/>
        <w:wordWrap/>
        <w:overflowPunct/>
        <w:topLinePunct w:val="0"/>
        <w:autoSpaceDE/>
        <w:autoSpaceDN/>
        <w:bidi w:val="0"/>
        <w:adjustRightInd/>
        <w:spacing w:line="360" w:lineRule="auto"/>
        <w:ind w:left="0" w:right="0" w:rightChars="0" w:firstLine="422" w:firstLineChars="200"/>
        <w:textAlignment w:val="auto"/>
        <w:rPr>
          <w:b/>
          <w:bCs/>
          <w:color w:val="auto"/>
          <w:highlight w:val="none"/>
        </w:rPr>
      </w:pPr>
      <w:r>
        <w:rPr>
          <w:b/>
          <w:bCs/>
          <w:color w:val="auto"/>
          <w:highlight w:val="none"/>
        </w:rPr>
        <w:t>E.</w:t>
      </w:r>
      <w:r>
        <w:rPr>
          <w:rFonts w:hint="eastAsia"/>
          <w:b/>
          <w:bCs/>
          <w:color w:val="auto"/>
          <w:highlight w:val="none"/>
        </w:rPr>
        <w:t>参加政府采购活动前三年内，在经营活动中没有重大违法记录：</w:t>
      </w:r>
    </w:p>
    <w:p w14:paraId="74E6D16E">
      <w:pPr>
        <w:keepNext w:val="0"/>
        <w:keepLines w:val="0"/>
        <w:pageBreakBefore w:val="0"/>
        <w:widowControl w:val="0"/>
        <w:kinsoku/>
        <w:wordWrap/>
        <w:overflowPunct/>
        <w:topLinePunct w:val="0"/>
        <w:autoSpaceDE/>
        <w:autoSpaceDN/>
        <w:bidi w:val="0"/>
        <w:adjustRightInd/>
        <w:spacing w:line="360" w:lineRule="auto"/>
        <w:ind w:left="0" w:right="0" w:rightChars="0" w:firstLine="420" w:firstLineChars="200"/>
        <w:textAlignment w:val="auto"/>
        <w:rPr>
          <w:color w:val="auto"/>
          <w:highlight w:val="none"/>
        </w:rPr>
      </w:pPr>
      <w:r>
        <w:rPr>
          <w:rFonts w:hint="eastAsia"/>
          <w:color w:val="auto"/>
          <w:highlight w:val="none"/>
        </w:rPr>
        <w:t>投标人须在投标文件中出具《声明函》、廉政承诺书。（格式见附件）</w:t>
      </w:r>
    </w:p>
    <w:p w14:paraId="55FD5202">
      <w:pPr>
        <w:keepNext w:val="0"/>
        <w:keepLines w:val="0"/>
        <w:pageBreakBefore w:val="0"/>
        <w:widowControl w:val="0"/>
        <w:kinsoku/>
        <w:wordWrap/>
        <w:overflowPunct/>
        <w:topLinePunct w:val="0"/>
        <w:autoSpaceDE/>
        <w:autoSpaceDN/>
        <w:bidi w:val="0"/>
        <w:adjustRightInd/>
        <w:snapToGrid w:val="0"/>
        <w:spacing w:line="336" w:lineRule="auto"/>
        <w:ind w:left="0" w:right="0" w:rightChars="0" w:firstLine="415" w:firstLineChars="198"/>
        <w:textAlignment w:val="auto"/>
        <w:rPr>
          <w:color w:val="auto"/>
          <w:szCs w:val="21"/>
          <w:highlight w:val="none"/>
        </w:rPr>
      </w:pPr>
      <w:r>
        <w:rPr>
          <w:rFonts w:hint="eastAsia"/>
          <w:color w:val="auto"/>
          <w:szCs w:val="21"/>
          <w:highlight w:val="none"/>
        </w:rPr>
        <w:t>注：证明材料均需加盖签章。</w:t>
      </w:r>
    </w:p>
    <w:p w14:paraId="7A417B1C">
      <w:pPr>
        <w:keepNext w:val="0"/>
        <w:keepLines w:val="0"/>
        <w:pageBreakBefore w:val="0"/>
        <w:widowControl w:val="0"/>
        <w:kinsoku/>
        <w:wordWrap/>
        <w:overflowPunct/>
        <w:topLinePunct w:val="0"/>
        <w:autoSpaceDE/>
        <w:autoSpaceDN/>
        <w:bidi w:val="0"/>
        <w:adjustRightInd/>
        <w:snapToGrid w:val="0"/>
        <w:spacing w:line="336" w:lineRule="auto"/>
        <w:ind w:left="0" w:right="0" w:rightChars="0"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2.商务及技术部分：</w:t>
      </w:r>
    </w:p>
    <w:p w14:paraId="3D1CE951">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投标人基本情况表（如有）；</w:t>
      </w:r>
    </w:p>
    <w:p w14:paraId="192FA3EA">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成功案例及业绩；</w:t>
      </w:r>
    </w:p>
    <w:p w14:paraId="53B01987">
      <w:pPr>
        <w:snapToGrid w:val="0"/>
        <w:spacing w:line="360" w:lineRule="auto"/>
        <w:ind w:firstLine="411" w:firstLineChars="196"/>
        <w:jc w:val="left"/>
        <w:rPr>
          <w:rFonts w:hint="eastAsia" w:ascii="宋体" w:hAnsi="宋体"/>
          <w:color w:val="auto"/>
          <w:szCs w:val="21"/>
          <w:highlight w:val="none"/>
        </w:rPr>
      </w:pPr>
      <w:r>
        <w:rPr>
          <w:rFonts w:ascii="宋体" w:hAnsi="宋体"/>
          <w:color w:val="auto"/>
          <w:szCs w:val="21"/>
          <w:highlight w:val="none"/>
        </w:rPr>
        <w:t xml:space="preserve">2.3 </w:t>
      </w:r>
      <w:r>
        <w:rPr>
          <w:rFonts w:hint="eastAsia" w:ascii="宋体" w:hAnsi="宋体"/>
          <w:color w:val="auto"/>
          <w:szCs w:val="21"/>
          <w:highlight w:val="none"/>
        </w:rPr>
        <w:t>项目负责人简历表（须附相关证明材料）；项目实施人员一览表（须附职称证书复印件）；（如有）</w:t>
      </w:r>
    </w:p>
    <w:p w14:paraId="25D041DC">
      <w:pPr>
        <w:snapToGrid w:val="0"/>
        <w:spacing w:line="360" w:lineRule="auto"/>
        <w:ind w:firstLine="411" w:firstLineChars="196"/>
        <w:jc w:val="left"/>
        <w:rPr>
          <w:rFonts w:hint="eastAsia" w:ascii="宋体"/>
          <w:color w:val="auto"/>
          <w:highlight w:val="none"/>
        </w:rPr>
      </w:pPr>
      <w:r>
        <w:rPr>
          <w:rFonts w:ascii="宋体" w:hAnsi="宋体"/>
          <w:color w:val="auto"/>
          <w:szCs w:val="21"/>
          <w:highlight w:val="none"/>
        </w:rPr>
        <w:t>2</w:t>
      </w:r>
      <w:r>
        <w:rPr>
          <w:rFonts w:hint="eastAsia" w:ascii="宋体"/>
          <w:color w:val="auto"/>
          <w:highlight w:val="none"/>
        </w:rPr>
        <w:t>.4商务响应表；</w:t>
      </w:r>
    </w:p>
    <w:p w14:paraId="417B6B64">
      <w:pPr>
        <w:snapToGrid w:val="0"/>
        <w:spacing w:line="360" w:lineRule="auto"/>
        <w:ind w:firstLine="411" w:firstLineChars="196"/>
        <w:jc w:val="left"/>
        <w:rPr>
          <w:rFonts w:hint="eastAsia" w:ascii="宋体"/>
          <w:color w:val="auto"/>
          <w:highlight w:val="none"/>
        </w:rPr>
      </w:pPr>
      <w:r>
        <w:rPr>
          <w:rFonts w:hint="eastAsia" w:ascii="宋体"/>
          <w:color w:val="auto"/>
          <w:highlight w:val="none"/>
        </w:rPr>
        <w:t>2.5对本项目总体要求的理解；</w:t>
      </w:r>
    </w:p>
    <w:p w14:paraId="77884419">
      <w:pPr>
        <w:snapToGrid w:val="0"/>
        <w:spacing w:line="360" w:lineRule="auto"/>
        <w:ind w:firstLine="411" w:firstLineChars="196"/>
        <w:jc w:val="left"/>
        <w:rPr>
          <w:rFonts w:hint="eastAsia" w:ascii="宋体"/>
          <w:color w:val="auto"/>
          <w:highlight w:val="none"/>
        </w:rPr>
      </w:pPr>
      <w:r>
        <w:rPr>
          <w:rFonts w:hint="eastAsia" w:ascii="宋体"/>
          <w:color w:val="auto"/>
          <w:highlight w:val="none"/>
          <w:lang w:val="en-US" w:eastAsia="zh-CN"/>
        </w:rPr>
        <w:t>2.6投标人售后服务承诺表；</w:t>
      </w:r>
    </w:p>
    <w:p w14:paraId="11B88B47">
      <w:pPr>
        <w:snapToGrid w:val="0"/>
        <w:spacing w:line="360" w:lineRule="auto"/>
        <w:ind w:firstLine="411" w:firstLineChars="196"/>
        <w:jc w:val="left"/>
        <w:rPr>
          <w:rFonts w:hint="default" w:ascii="宋体"/>
          <w:color w:val="auto"/>
          <w:highlight w:val="none"/>
        </w:rPr>
      </w:pPr>
      <w:r>
        <w:rPr>
          <w:rFonts w:hint="eastAsia" w:ascii="宋体"/>
          <w:color w:val="auto"/>
          <w:highlight w:val="none"/>
          <w:lang w:val="en-US" w:eastAsia="zh-CN"/>
        </w:rPr>
        <w:t>2.7距采购人最近的服务网点情况表；</w:t>
      </w:r>
    </w:p>
    <w:p w14:paraId="61DA4E22">
      <w:pPr>
        <w:snapToGrid w:val="0"/>
        <w:spacing w:line="360" w:lineRule="auto"/>
        <w:ind w:firstLine="411" w:firstLineChars="196"/>
        <w:jc w:val="left"/>
        <w:rPr>
          <w:rFonts w:hint="default" w:ascii="宋体"/>
          <w:color w:val="auto"/>
          <w:highlight w:val="none"/>
        </w:rPr>
      </w:pPr>
      <w:r>
        <w:rPr>
          <w:rFonts w:hint="eastAsia" w:ascii="宋体"/>
          <w:color w:val="auto"/>
          <w:highlight w:val="none"/>
          <w:lang w:val="en-US" w:eastAsia="zh-CN"/>
        </w:rPr>
        <w:t>2.8供货方案。包括供货程序、供货方法选择、劳动力和项目管理班子等；</w:t>
      </w:r>
    </w:p>
    <w:p w14:paraId="0F9BDD5B">
      <w:pPr>
        <w:snapToGrid w:val="0"/>
        <w:spacing w:line="360" w:lineRule="auto"/>
        <w:ind w:firstLine="411" w:firstLineChars="196"/>
        <w:jc w:val="left"/>
        <w:rPr>
          <w:rFonts w:hint="default" w:ascii="宋体"/>
          <w:color w:val="auto"/>
          <w:highlight w:val="none"/>
        </w:rPr>
      </w:pPr>
      <w:r>
        <w:rPr>
          <w:rFonts w:hint="eastAsia" w:ascii="宋体"/>
          <w:color w:val="auto"/>
          <w:highlight w:val="none"/>
          <w:lang w:val="en-US" w:eastAsia="zh-CN"/>
        </w:rPr>
        <w:t>2.9供货进度计划。包括进货日期，分期分批供货的开始、结束日期，供货进度控制图及说明；</w:t>
      </w:r>
    </w:p>
    <w:p w14:paraId="397D1E8C">
      <w:pPr>
        <w:snapToGrid w:val="0"/>
        <w:spacing w:line="360" w:lineRule="auto"/>
        <w:ind w:firstLine="411" w:firstLineChars="196"/>
        <w:jc w:val="left"/>
        <w:rPr>
          <w:rFonts w:hint="default" w:ascii="宋体"/>
          <w:color w:val="auto"/>
          <w:highlight w:val="none"/>
        </w:rPr>
      </w:pPr>
      <w:r>
        <w:rPr>
          <w:rFonts w:hint="eastAsia" w:ascii="宋体"/>
          <w:color w:val="auto"/>
          <w:highlight w:val="none"/>
          <w:lang w:val="en-US" w:eastAsia="zh-CN"/>
        </w:rPr>
        <w:t>2.10主要技术组织措施。包括保证货物正版、保证货物来源渠道合法、保证货物质量的技术组织措施、保证进度的技术组织措施等；</w:t>
      </w:r>
    </w:p>
    <w:p w14:paraId="1363D7F5">
      <w:pPr>
        <w:snapToGrid w:val="0"/>
        <w:spacing w:line="360" w:lineRule="auto"/>
        <w:ind w:firstLine="411" w:firstLineChars="196"/>
        <w:jc w:val="left"/>
        <w:rPr>
          <w:rFonts w:hint="default" w:ascii="宋体"/>
          <w:color w:val="auto"/>
          <w:highlight w:val="none"/>
        </w:rPr>
      </w:pPr>
      <w:r>
        <w:rPr>
          <w:rFonts w:hint="eastAsia" w:ascii="宋体"/>
          <w:color w:val="auto"/>
          <w:highlight w:val="none"/>
          <w:lang w:val="en-US" w:eastAsia="zh-CN"/>
        </w:rPr>
        <w:t>2.11项目的组织方案及人力资源安排；</w:t>
      </w:r>
    </w:p>
    <w:p w14:paraId="7B96A7E1">
      <w:pPr>
        <w:snapToGrid w:val="0"/>
        <w:spacing w:line="360" w:lineRule="auto"/>
        <w:ind w:firstLine="411" w:firstLineChars="196"/>
        <w:jc w:val="left"/>
        <w:rPr>
          <w:rFonts w:hint="default" w:ascii="宋体"/>
          <w:color w:val="auto"/>
          <w:highlight w:val="none"/>
        </w:rPr>
      </w:pPr>
      <w:r>
        <w:rPr>
          <w:rFonts w:hint="eastAsia" w:ascii="宋体"/>
          <w:color w:val="auto"/>
          <w:highlight w:val="none"/>
          <w:lang w:val="en-US" w:eastAsia="zh-CN"/>
        </w:rPr>
        <w:t>2.12技术服务、技术培训、售后服务的内容和措施；</w:t>
      </w:r>
    </w:p>
    <w:p w14:paraId="1082DE9E">
      <w:pPr>
        <w:snapToGrid w:val="0"/>
        <w:spacing w:line="360" w:lineRule="auto"/>
        <w:ind w:firstLine="411" w:firstLineChars="196"/>
        <w:jc w:val="left"/>
        <w:rPr>
          <w:rFonts w:hint="default" w:ascii="宋体"/>
          <w:color w:val="auto"/>
          <w:highlight w:val="none"/>
        </w:rPr>
      </w:pPr>
      <w:r>
        <w:rPr>
          <w:rFonts w:hint="eastAsia" w:ascii="宋体"/>
          <w:color w:val="auto"/>
          <w:highlight w:val="none"/>
          <w:lang w:val="en-US" w:eastAsia="zh-CN"/>
        </w:rPr>
        <w:t>2.13项目实施人员一览表；</w:t>
      </w:r>
    </w:p>
    <w:p w14:paraId="07287754">
      <w:pPr>
        <w:snapToGrid w:val="0"/>
        <w:spacing w:line="360" w:lineRule="auto"/>
        <w:ind w:firstLine="411" w:firstLineChars="196"/>
        <w:jc w:val="left"/>
        <w:rPr>
          <w:rFonts w:hint="default" w:ascii="宋体"/>
          <w:color w:val="auto"/>
          <w:highlight w:val="none"/>
        </w:rPr>
      </w:pPr>
      <w:r>
        <w:rPr>
          <w:rFonts w:hint="eastAsia" w:ascii="宋体"/>
          <w:color w:val="auto"/>
          <w:highlight w:val="none"/>
          <w:lang w:val="en-US" w:eastAsia="zh-CN"/>
        </w:rPr>
        <w:t>2.14技术响应表；</w:t>
      </w:r>
    </w:p>
    <w:p w14:paraId="3E495B11">
      <w:pPr>
        <w:snapToGrid w:val="0"/>
        <w:spacing w:line="360" w:lineRule="auto"/>
        <w:ind w:firstLine="411" w:firstLineChars="196"/>
        <w:jc w:val="left"/>
        <w:rPr>
          <w:rFonts w:hint="eastAsia" w:ascii="宋体"/>
          <w:color w:val="auto"/>
          <w:highlight w:val="none"/>
        </w:rPr>
      </w:pPr>
      <w:r>
        <w:rPr>
          <w:rFonts w:hint="eastAsia" w:ascii="宋体"/>
          <w:color w:val="auto"/>
          <w:highlight w:val="none"/>
          <w:lang w:val="en-US" w:eastAsia="zh-CN"/>
        </w:rPr>
        <w:t>2.15优惠条件：投标人承诺给予招标人的各种优惠条件；</w:t>
      </w:r>
    </w:p>
    <w:p w14:paraId="1F376788">
      <w:pPr>
        <w:snapToGrid w:val="0"/>
        <w:spacing w:line="360" w:lineRule="auto"/>
        <w:ind w:firstLine="411" w:firstLineChars="196"/>
        <w:jc w:val="left"/>
        <w:rPr>
          <w:rFonts w:hint="eastAsia" w:ascii="宋体"/>
          <w:color w:val="auto"/>
          <w:highlight w:val="none"/>
        </w:rPr>
      </w:pPr>
      <w:r>
        <w:rPr>
          <w:rFonts w:hint="eastAsia" w:ascii="宋体"/>
          <w:color w:val="auto"/>
          <w:highlight w:val="none"/>
        </w:rPr>
        <w:t>2.1</w:t>
      </w:r>
      <w:r>
        <w:rPr>
          <w:rFonts w:hint="eastAsia" w:ascii="宋体"/>
          <w:color w:val="auto"/>
          <w:highlight w:val="none"/>
          <w:lang w:val="en-US" w:eastAsia="zh-CN"/>
        </w:rPr>
        <w:t>6</w:t>
      </w:r>
      <w:r>
        <w:rPr>
          <w:rFonts w:hint="eastAsia" w:ascii="宋体"/>
          <w:color w:val="auto"/>
          <w:highlight w:val="none"/>
        </w:rPr>
        <w:t>投标人对本项目的合理化建议和改进措施；</w:t>
      </w:r>
    </w:p>
    <w:p w14:paraId="2B8B8368">
      <w:pPr>
        <w:snapToGrid w:val="0"/>
        <w:spacing w:line="360" w:lineRule="auto"/>
        <w:ind w:firstLine="411" w:firstLineChars="196"/>
        <w:jc w:val="left"/>
        <w:rPr>
          <w:rFonts w:hint="eastAsia" w:ascii="宋体" w:hAnsi="宋体"/>
          <w:bCs/>
          <w:color w:val="auto"/>
          <w:szCs w:val="21"/>
          <w:highlight w:val="none"/>
        </w:rPr>
      </w:pPr>
      <w:r>
        <w:rPr>
          <w:rFonts w:ascii="宋体"/>
          <w:color w:val="auto"/>
          <w:highlight w:val="none"/>
        </w:rPr>
        <w:t>2.1</w:t>
      </w:r>
      <w:r>
        <w:rPr>
          <w:rFonts w:hint="eastAsia" w:ascii="宋体"/>
          <w:color w:val="auto"/>
          <w:highlight w:val="none"/>
          <w:lang w:val="en-US" w:eastAsia="zh-CN"/>
        </w:rPr>
        <w:t>7</w:t>
      </w:r>
      <w:r>
        <w:rPr>
          <w:rFonts w:hint="eastAsia" w:ascii="宋体"/>
          <w:color w:val="auto"/>
          <w:highlight w:val="none"/>
        </w:rPr>
        <w:t>评分规则中涉及的所需提交的材料（如有），投标人需要说明的其他文件和说明（如有）</w:t>
      </w:r>
      <w:r>
        <w:rPr>
          <w:rFonts w:ascii="宋体"/>
          <w:color w:val="auto"/>
          <w:highlight w:val="none"/>
        </w:rPr>
        <w:t>。</w:t>
      </w:r>
    </w:p>
    <w:p w14:paraId="223CECB2">
      <w:pPr>
        <w:snapToGrid w:val="0"/>
        <w:spacing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3.报价部分：</w:t>
      </w:r>
    </w:p>
    <w:p w14:paraId="1651402F">
      <w:pPr>
        <w:snapToGrid w:val="0"/>
        <w:spacing w:line="33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3.1投标报价一览表；</w:t>
      </w:r>
    </w:p>
    <w:p w14:paraId="4618048B">
      <w:pPr>
        <w:tabs>
          <w:tab w:val="left" w:pos="3870"/>
          <w:tab w:val="left" w:pos="4085"/>
        </w:tabs>
        <w:snapToGrid w:val="0"/>
        <w:spacing w:line="33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3.2报价明细表；</w:t>
      </w:r>
    </w:p>
    <w:p w14:paraId="22732E8D">
      <w:pPr>
        <w:snapToGrid w:val="0"/>
        <w:spacing w:line="33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3.3投标人针对报价需要说明的其他文件和说明。</w:t>
      </w:r>
    </w:p>
    <w:p w14:paraId="1E816352">
      <w:pPr>
        <w:keepNext w:val="0"/>
        <w:keepLines w:val="0"/>
        <w:pageBreakBefore w:val="0"/>
        <w:widowControl w:val="0"/>
        <w:kinsoku/>
        <w:wordWrap/>
        <w:overflowPunct/>
        <w:topLinePunct w:val="0"/>
        <w:autoSpaceDE/>
        <w:autoSpaceDN/>
        <w:bidi w:val="0"/>
        <w:adjustRightInd/>
        <w:snapToGrid w:val="0"/>
        <w:spacing w:line="336" w:lineRule="auto"/>
        <w:ind w:left="0" w:right="0" w:rightChars="0" w:firstLine="417" w:firstLineChars="198"/>
        <w:textAlignment w:val="auto"/>
        <w:rPr>
          <w:b/>
          <w:bCs/>
          <w:color w:val="auto"/>
          <w:szCs w:val="21"/>
          <w:highlight w:val="none"/>
        </w:rPr>
      </w:pPr>
      <w:r>
        <w:rPr>
          <w:rFonts w:hint="eastAsia"/>
          <w:b/>
          <w:bCs/>
          <w:color w:val="auto"/>
          <w:szCs w:val="21"/>
          <w:highlight w:val="none"/>
        </w:rPr>
        <w:t>中小企业声明函</w:t>
      </w:r>
      <w:r>
        <w:rPr>
          <w:rFonts w:hint="eastAsia"/>
          <w:b/>
          <w:bCs/>
          <w:color w:val="auto"/>
          <w:szCs w:val="21"/>
          <w:highlight w:val="none"/>
          <w:lang w:eastAsia="zh-CN"/>
        </w:rPr>
        <w:t>（</w:t>
      </w:r>
      <w:r>
        <w:rPr>
          <w:rFonts w:hint="eastAsia"/>
          <w:b/>
          <w:bCs/>
          <w:color w:val="auto"/>
          <w:szCs w:val="21"/>
          <w:highlight w:val="none"/>
          <w:lang w:val="en-US" w:eastAsia="zh-CN"/>
        </w:rPr>
        <w:t>如是</w:t>
      </w:r>
      <w:r>
        <w:rPr>
          <w:rFonts w:hint="eastAsia"/>
          <w:b/>
          <w:bCs/>
          <w:color w:val="auto"/>
          <w:szCs w:val="21"/>
          <w:highlight w:val="none"/>
          <w:lang w:eastAsia="zh-CN"/>
        </w:rPr>
        <w:t>）</w:t>
      </w:r>
      <w:r>
        <w:rPr>
          <w:rFonts w:hint="eastAsia"/>
          <w:b/>
          <w:bCs/>
          <w:color w:val="auto"/>
          <w:szCs w:val="21"/>
          <w:highlight w:val="none"/>
        </w:rPr>
        <w:t>；</w:t>
      </w:r>
    </w:p>
    <w:p w14:paraId="1DF3AB65">
      <w:pPr>
        <w:keepNext w:val="0"/>
        <w:keepLines w:val="0"/>
        <w:pageBreakBefore w:val="0"/>
        <w:widowControl w:val="0"/>
        <w:kinsoku/>
        <w:wordWrap/>
        <w:overflowPunct/>
        <w:topLinePunct w:val="0"/>
        <w:autoSpaceDE/>
        <w:autoSpaceDN/>
        <w:bidi w:val="0"/>
        <w:adjustRightInd/>
        <w:snapToGrid w:val="0"/>
        <w:spacing w:line="336" w:lineRule="auto"/>
        <w:ind w:left="0" w:right="0" w:rightChars="0" w:firstLine="417" w:firstLineChars="198"/>
        <w:textAlignment w:val="auto"/>
        <w:rPr>
          <w:b/>
          <w:bCs/>
          <w:color w:val="auto"/>
          <w:szCs w:val="21"/>
          <w:highlight w:val="none"/>
        </w:rPr>
      </w:pPr>
      <w:r>
        <w:rPr>
          <w:rFonts w:hint="eastAsia"/>
          <w:b/>
          <w:bCs/>
          <w:color w:val="auto"/>
          <w:szCs w:val="21"/>
          <w:highlight w:val="none"/>
        </w:rPr>
        <w:t>监狱企业声明函（如是）；</w:t>
      </w:r>
    </w:p>
    <w:p w14:paraId="4412A259">
      <w:pPr>
        <w:keepNext w:val="0"/>
        <w:keepLines w:val="0"/>
        <w:pageBreakBefore w:val="0"/>
        <w:widowControl w:val="0"/>
        <w:kinsoku/>
        <w:wordWrap/>
        <w:overflowPunct/>
        <w:topLinePunct w:val="0"/>
        <w:autoSpaceDE/>
        <w:autoSpaceDN/>
        <w:bidi w:val="0"/>
        <w:adjustRightInd/>
        <w:snapToGrid w:val="0"/>
        <w:spacing w:line="336" w:lineRule="auto"/>
        <w:ind w:left="0" w:right="0" w:rightChars="0" w:firstLine="417" w:firstLineChars="198"/>
        <w:textAlignment w:val="auto"/>
        <w:rPr>
          <w:rFonts w:hint="eastAsia"/>
          <w:b/>
          <w:color w:val="auto"/>
          <w:szCs w:val="21"/>
          <w:highlight w:val="none"/>
        </w:rPr>
      </w:pPr>
      <w:r>
        <w:rPr>
          <w:rFonts w:hint="eastAsia"/>
          <w:b/>
          <w:bCs/>
          <w:color w:val="auto"/>
          <w:szCs w:val="21"/>
          <w:highlight w:val="none"/>
        </w:rPr>
        <w:t>残疾人福利性单位声明函（如是）；</w:t>
      </w:r>
    </w:p>
    <w:p w14:paraId="37CD99D6">
      <w:pPr>
        <w:snapToGrid w:val="0"/>
        <w:spacing w:line="360" w:lineRule="auto"/>
        <w:ind w:right="55"/>
        <w:jc w:val="left"/>
        <w:outlineLvl w:val="0"/>
        <w:rPr>
          <w:b/>
          <w:color w:val="auto"/>
          <w:sz w:val="24"/>
          <w:highlight w:val="none"/>
        </w:rPr>
      </w:pPr>
      <w:r>
        <w:rPr>
          <w:rFonts w:hint="eastAsia"/>
          <w:b/>
          <w:color w:val="auto"/>
          <w:szCs w:val="21"/>
          <w:highlight w:val="none"/>
        </w:rPr>
        <w:t>（二）投标文件的语言及计量</w:t>
      </w:r>
    </w:p>
    <w:p w14:paraId="65936C93">
      <w:pPr>
        <w:snapToGrid w:val="0"/>
        <w:spacing w:line="360" w:lineRule="auto"/>
        <w:ind w:firstLine="420" w:firstLineChars="200"/>
        <w:jc w:val="left"/>
        <w:rPr>
          <w:color w:val="auto"/>
          <w:szCs w:val="21"/>
          <w:highlight w:val="none"/>
        </w:rPr>
      </w:pPr>
      <w:r>
        <w:rPr>
          <w:color w:val="auto"/>
          <w:szCs w:val="21"/>
          <w:highlight w:val="none"/>
        </w:rPr>
        <w:t>1.</w:t>
      </w:r>
      <w:r>
        <w:rPr>
          <w:rFonts w:hint="eastAsia"/>
          <w:color w:val="auto"/>
          <w:szCs w:val="21"/>
          <w:highlight w:val="none"/>
        </w:rPr>
        <w:t>投标文件以及投标人与采购人就有关投标事宜的所有来往函电，均应以中文汉语书写。除签名、盖章、专用名称等特殊情形外，以中文汉语以外的文字表述的投标文件视同未提供。</w:t>
      </w:r>
    </w:p>
    <w:p w14:paraId="63B92854">
      <w:pPr>
        <w:snapToGrid w:val="0"/>
        <w:spacing w:line="360" w:lineRule="auto"/>
        <w:ind w:firstLine="420" w:firstLineChars="200"/>
        <w:jc w:val="left"/>
        <w:rPr>
          <w:color w:val="auto"/>
          <w:szCs w:val="21"/>
          <w:highlight w:val="none"/>
        </w:rPr>
      </w:pPr>
      <w:r>
        <w:rPr>
          <w:color w:val="auto"/>
          <w:szCs w:val="21"/>
          <w:highlight w:val="none"/>
        </w:rPr>
        <w:t>2.</w:t>
      </w:r>
      <w:r>
        <w:rPr>
          <w:rFonts w:hint="eastAsia"/>
          <w:color w:val="auto"/>
          <w:szCs w:val="21"/>
          <w:highlight w:val="none"/>
        </w:rPr>
        <w:t>投标计量单位，采购文件已有明确规定的，使用采购文件规定的计量单位；采购文件没有规定的，应采用中华人民共和国法定计量单位（货币单位：人民币元），否则视同未响应。</w:t>
      </w:r>
    </w:p>
    <w:p w14:paraId="514D120E">
      <w:pPr>
        <w:tabs>
          <w:tab w:val="left" w:pos="0"/>
        </w:tabs>
        <w:spacing w:line="360" w:lineRule="auto"/>
        <w:rPr>
          <w:b/>
          <w:color w:val="auto"/>
          <w:szCs w:val="21"/>
          <w:highlight w:val="none"/>
        </w:rPr>
      </w:pPr>
      <w:r>
        <w:rPr>
          <w:rFonts w:hint="eastAsia"/>
          <w:b/>
          <w:color w:val="auto"/>
          <w:szCs w:val="21"/>
          <w:highlight w:val="none"/>
        </w:rPr>
        <w:t>（三）响应报价</w:t>
      </w:r>
    </w:p>
    <w:p w14:paraId="14BA8060">
      <w:pPr>
        <w:snapToGrid w:val="0"/>
        <w:spacing w:line="360" w:lineRule="auto"/>
        <w:ind w:firstLine="422" w:firstLineChars="200"/>
        <w:rPr>
          <w:b/>
          <w:bCs/>
          <w:color w:val="auto"/>
          <w:szCs w:val="21"/>
          <w:highlight w:val="none"/>
        </w:rPr>
      </w:pPr>
      <w:r>
        <w:rPr>
          <w:b/>
          <w:bCs/>
          <w:color w:val="auto"/>
          <w:szCs w:val="21"/>
          <w:highlight w:val="none"/>
        </w:rPr>
        <w:t>1.</w:t>
      </w:r>
      <w:r>
        <w:rPr>
          <w:rFonts w:hint="eastAsia"/>
          <w:b/>
          <w:bCs/>
          <w:color w:val="auto"/>
          <w:szCs w:val="21"/>
          <w:highlight w:val="none"/>
        </w:rPr>
        <w:t>投标报价应以人民币报价，投标人报价应是包括为完成本项目服务、设备供应可能发生的全部费用及中标人的利润和应交纳的税金等一切费用。</w:t>
      </w:r>
    </w:p>
    <w:p w14:paraId="51DB9BD2">
      <w:pPr>
        <w:spacing w:line="360" w:lineRule="auto"/>
        <w:ind w:firstLine="420"/>
        <w:rPr>
          <w:color w:val="auto"/>
          <w:highlight w:val="none"/>
        </w:rPr>
      </w:pPr>
      <w:r>
        <w:rPr>
          <w:b/>
          <w:bCs/>
          <w:color w:val="auto"/>
          <w:szCs w:val="21"/>
          <w:highlight w:val="none"/>
        </w:rPr>
        <w:t>2.</w:t>
      </w:r>
      <w:r>
        <w:rPr>
          <w:rFonts w:hint="eastAsia"/>
          <w:b/>
          <w:bCs/>
          <w:color w:val="auto"/>
          <w:szCs w:val="21"/>
          <w:highlight w:val="none"/>
        </w:rPr>
        <w:t>投标文件针对同一内容只允许有一个报价，有选择的或有条件的报价将不予接受。</w:t>
      </w:r>
    </w:p>
    <w:p w14:paraId="70F5A2EC">
      <w:pPr>
        <w:snapToGrid w:val="0"/>
        <w:spacing w:line="360" w:lineRule="auto"/>
        <w:jc w:val="left"/>
        <w:outlineLvl w:val="0"/>
        <w:rPr>
          <w:b/>
          <w:color w:val="auto"/>
          <w:szCs w:val="21"/>
          <w:highlight w:val="none"/>
        </w:rPr>
      </w:pPr>
      <w:r>
        <w:rPr>
          <w:rFonts w:hint="eastAsia"/>
          <w:b/>
          <w:color w:val="auto"/>
          <w:szCs w:val="21"/>
          <w:highlight w:val="none"/>
        </w:rPr>
        <w:t>（四）投标文件的有效期</w:t>
      </w:r>
    </w:p>
    <w:p w14:paraId="1A783D8F">
      <w:pPr>
        <w:tabs>
          <w:tab w:val="left" w:pos="360"/>
          <w:tab w:val="left" w:pos="454"/>
          <w:tab w:val="left" w:pos="720"/>
          <w:tab w:val="left" w:pos="900"/>
        </w:tabs>
        <w:snapToGrid w:val="0"/>
        <w:spacing w:line="360" w:lineRule="auto"/>
        <w:ind w:right="-506" w:rightChars="-241" w:firstLine="420" w:firstLineChars="200"/>
        <w:rPr>
          <w:color w:val="auto"/>
          <w:highlight w:val="none"/>
        </w:rPr>
      </w:pPr>
      <w:r>
        <w:rPr>
          <w:color w:val="auto"/>
          <w:highlight w:val="none"/>
        </w:rPr>
        <w:t>1.</w:t>
      </w:r>
      <w:r>
        <w:rPr>
          <w:rFonts w:hint="eastAsia"/>
          <w:color w:val="auto"/>
          <w:highlight w:val="none"/>
        </w:rPr>
        <w:t>自投标截止日起</w:t>
      </w:r>
      <w:r>
        <w:rPr>
          <w:b/>
          <w:color w:val="auto"/>
          <w:highlight w:val="none"/>
          <w:u w:val="single"/>
        </w:rPr>
        <w:t>90</w:t>
      </w:r>
      <w:r>
        <w:rPr>
          <w:rFonts w:hint="eastAsia"/>
          <w:b/>
          <w:color w:val="auto"/>
          <w:highlight w:val="none"/>
        </w:rPr>
        <w:t>天</w:t>
      </w:r>
      <w:r>
        <w:rPr>
          <w:rFonts w:hint="eastAsia"/>
          <w:color w:val="auto"/>
          <w:highlight w:val="none"/>
        </w:rPr>
        <w:t>投标文件应保持有效。有效期不足的投标文件将被拒绝。</w:t>
      </w:r>
    </w:p>
    <w:p w14:paraId="11DE5A50">
      <w:pPr>
        <w:snapToGrid w:val="0"/>
        <w:spacing w:line="360" w:lineRule="auto"/>
        <w:ind w:right="-86" w:rightChars="-41" w:firstLine="420" w:firstLineChars="200"/>
        <w:jc w:val="left"/>
        <w:outlineLvl w:val="0"/>
        <w:rPr>
          <w:color w:val="auto"/>
          <w:highlight w:val="none"/>
        </w:rPr>
      </w:pPr>
      <w:r>
        <w:rPr>
          <w:color w:val="auto"/>
          <w:highlight w:val="none"/>
        </w:rPr>
        <w:t>2.</w:t>
      </w:r>
      <w:r>
        <w:rPr>
          <w:rFonts w:hint="eastAsia"/>
          <w:color w:val="auto"/>
          <w:highlight w:val="none"/>
        </w:rPr>
        <w:t>在特殊情况下，采购人可与投标人协商延长投标书的有效期，这种要求和答复均以书面形式进行。</w:t>
      </w:r>
    </w:p>
    <w:p w14:paraId="1A3B6DDB">
      <w:pPr>
        <w:snapToGrid w:val="0"/>
        <w:spacing w:line="360" w:lineRule="auto"/>
        <w:ind w:right="55" w:firstLine="420" w:firstLineChars="200"/>
        <w:jc w:val="left"/>
        <w:outlineLvl w:val="0"/>
        <w:rPr>
          <w:color w:val="auto"/>
          <w:highlight w:val="none"/>
        </w:rPr>
      </w:pPr>
      <w:r>
        <w:rPr>
          <w:color w:val="auto"/>
          <w:highlight w:val="none"/>
        </w:rPr>
        <w:t>3.</w:t>
      </w:r>
      <w:r>
        <w:rPr>
          <w:rFonts w:hint="eastAsia"/>
          <w:color w:val="auto"/>
          <w:highlight w:val="none"/>
        </w:rPr>
        <w:t>中标人的投标文件自开标之日起至合同履行完毕止均应保持有效。</w:t>
      </w:r>
    </w:p>
    <w:p w14:paraId="74F22646">
      <w:pPr>
        <w:snapToGrid w:val="0"/>
        <w:spacing w:line="360" w:lineRule="auto"/>
        <w:jc w:val="left"/>
        <w:rPr>
          <w:b/>
          <w:color w:val="auto"/>
          <w:szCs w:val="21"/>
          <w:highlight w:val="none"/>
        </w:rPr>
      </w:pPr>
      <w:r>
        <w:rPr>
          <w:rFonts w:hint="eastAsia"/>
          <w:b/>
          <w:color w:val="auto"/>
          <w:szCs w:val="21"/>
          <w:highlight w:val="none"/>
        </w:rPr>
        <w:t>（五）投标文件的包装、递交、修改和撤回</w:t>
      </w:r>
    </w:p>
    <w:p w14:paraId="08B342B8">
      <w:pPr>
        <w:snapToGrid w:val="0"/>
        <w:spacing w:line="360" w:lineRule="auto"/>
        <w:ind w:right="-86" w:rightChars="-41" w:firstLine="420" w:firstLineChars="200"/>
        <w:jc w:val="left"/>
        <w:rPr>
          <w:color w:val="auto"/>
          <w:highlight w:val="none"/>
        </w:rPr>
      </w:pPr>
      <w:r>
        <w:rPr>
          <w:color w:val="auto"/>
          <w:highlight w:val="none"/>
        </w:rPr>
        <w:t>1.</w:t>
      </w:r>
      <w:r>
        <w:rPr>
          <w:rFonts w:hint="eastAsia"/>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601346E9">
      <w:pPr>
        <w:snapToGrid w:val="0"/>
        <w:spacing w:line="360" w:lineRule="auto"/>
        <w:ind w:right="-86" w:rightChars="-41" w:firstLine="420" w:firstLineChars="200"/>
        <w:jc w:val="left"/>
        <w:rPr>
          <w:color w:val="auto"/>
          <w:highlight w:val="none"/>
        </w:rPr>
      </w:pPr>
      <w:r>
        <w:rPr>
          <w:color w:val="auto"/>
          <w:highlight w:val="none"/>
        </w:rPr>
        <w:t>2.</w:t>
      </w:r>
      <w:r>
        <w:rPr>
          <w:rFonts w:hint="eastAsia"/>
          <w:color w:val="auto"/>
          <w:highlight w:val="none"/>
        </w:rPr>
        <w:t>投标人应当在投标截止时间前将以介质存储的数据电文形式的备份投标文件</w:t>
      </w:r>
      <w:r>
        <w:rPr>
          <w:rFonts w:hint="eastAsia"/>
          <w:color w:val="auto"/>
          <w:szCs w:val="21"/>
          <w:highlight w:val="none"/>
        </w:rPr>
        <w:t>寄到或送达采购代理公司。地址：舟山市定海区昌国路</w:t>
      </w:r>
      <w:r>
        <w:rPr>
          <w:color w:val="auto"/>
          <w:szCs w:val="21"/>
          <w:highlight w:val="none"/>
        </w:rPr>
        <w:t>232</w:t>
      </w:r>
      <w:r>
        <w:rPr>
          <w:rFonts w:hint="eastAsia"/>
          <w:color w:val="auto"/>
          <w:szCs w:val="21"/>
          <w:highlight w:val="none"/>
        </w:rPr>
        <w:t>号中楼</w:t>
      </w:r>
      <w:r>
        <w:rPr>
          <w:color w:val="auto"/>
          <w:szCs w:val="21"/>
          <w:highlight w:val="none"/>
        </w:rPr>
        <w:t>202</w:t>
      </w:r>
      <w:r>
        <w:rPr>
          <w:rFonts w:hint="eastAsia"/>
          <w:color w:val="auto"/>
          <w:szCs w:val="21"/>
          <w:highlight w:val="none"/>
        </w:rPr>
        <w:t>深圳市国信招标有限公司舟山分公司。也可现场递交。</w:t>
      </w:r>
      <w:r>
        <w:rPr>
          <w:rFonts w:hint="eastAsia"/>
          <w:color w:val="auto"/>
          <w:highlight w:val="none"/>
        </w:rPr>
        <w:t>逾期送达或未密封将被拒收。</w:t>
      </w:r>
    </w:p>
    <w:p w14:paraId="5E945014">
      <w:pPr>
        <w:snapToGrid w:val="0"/>
        <w:spacing w:line="360" w:lineRule="auto"/>
        <w:ind w:right="-86" w:rightChars="-41" w:firstLine="422" w:firstLineChars="200"/>
        <w:jc w:val="left"/>
        <w:rPr>
          <w:color w:val="auto"/>
          <w:highlight w:val="none"/>
        </w:rPr>
      </w:pPr>
      <w:r>
        <w:rPr>
          <w:rFonts w:hint="eastAsia"/>
          <w:b/>
          <w:color w:val="auto"/>
          <w:szCs w:val="21"/>
          <w:highlight w:val="none"/>
        </w:rPr>
        <w:t>投标人可以不提供备份投标文件，造成项目开评标活动无法进行下去的，投标无效，相关风险由投标人自行承担</w:t>
      </w:r>
    </w:p>
    <w:p w14:paraId="7AD0FDA2">
      <w:pPr>
        <w:snapToGrid w:val="0"/>
        <w:spacing w:line="360" w:lineRule="auto"/>
        <w:ind w:right="-86" w:rightChars="-41" w:firstLine="420" w:firstLineChars="200"/>
        <w:jc w:val="left"/>
        <w:rPr>
          <w:color w:val="auto"/>
          <w:highlight w:val="none"/>
        </w:rPr>
      </w:pPr>
      <w:r>
        <w:rPr>
          <w:rFonts w:hint="eastAsia"/>
          <w:color w:val="auto"/>
          <w:highlight w:val="none"/>
        </w:rPr>
        <w:t>投标人递交以介质存储的数据电文形式的备份投标文件时，如出现下列情况之一的，将被拒收：</w:t>
      </w:r>
    </w:p>
    <w:p w14:paraId="3E9F1F0C">
      <w:pPr>
        <w:snapToGrid w:val="0"/>
        <w:spacing w:line="360" w:lineRule="auto"/>
        <w:ind w:right="-86" w:rightChars="-41" w:firstLine="420" w:firstLineChars="200"/>
        <w:jc w:val="left"/>
        <w:rPr>
          <w:color w:val="auto"/>
          <w:highlight w:val="none"/>
        </w:rPr>
      </w:pPr>
      <w:r>
        <w:rPr>
          <w:rFonts w:hint="eastAsia"/>
          <w:color w:val="auto"/>
          <w:highlight w:val="none"/>
        </w:rPr>
        <w:t>（</w:t>
      </w:r>
      <w:r>
        <w:rPr>
          <w:color w:val="auto"/>
          <w:highlight w:val="none"/>
        </w:rPr>
        <w:t>1</w:t>
      </w:r>
      <w:r>
        <w:rPr>
          <w:rFonts w:hint="eastAsia"/>
          <w:color w:val="auto"/>
          <w:highlight w:val="none"/>
        </w:rPr>
        <w:t>）未按规定密封或标记的投标文件；</w:t>
      </w:r>
    </w:p>
    <w:p w14:paraId="7976D81D">
      <w:pPr>
        <w:snapToGrid w:val="0"/>
        <w:spacing w:line="360" w:lineRule="auto"/>
        <w:ind w:right="-86" w:rightChars="-41" w:firstLine="420" w:firstLineChars="200"/>
        <w:jc w:val="left"/>
        <w:rPr>
          <w:color w:val="auto"/>
          <w:highlight w:val="none"/>
        </w:rPr>
      </w:pPr>
      <w:r>
        <w:rPr>
          <w:rFonts w:hint="eastAsia"/>
          <w:color w:val="auto"/>
          <w:highlight w:val="none"/>
        </w:rPr>
        <w:t>（</w:t>
      </w:r>
      <w:r>
        <w:rPr>
          <w:color w:val="auto"/>
          <w:highlight w:val="none"/>
        </w:rPr>
        <w:t>2</w:t>
      </w:r>
      <w:r>
        <w:rPr>
          <w:rFonts w:hint="eastAsia"/>
          <w:color w:val="auto"/>
          <w:highlight w:val="none"/>
        </w:rPr>
        <w:t>）由于包装不妥，在送交途中严重破损或失散的；</w:t>
      </w:r>
    </w:p>
    <w:p w14:paraId="5F4DB8AF">
      <w:pPr>
        <w:snapToGrid w:val="0"/>
        <w:spacing w:line="360" w:lineRule="auto"/>
        <w:ind w:right="-86" w:rightChars="-41" w:firstLine="420" w:firstLineChars="200"/>
        <w:jc w:val="left"/>
        <w:rPr>
          <w:color w:val="auto"/>
          <w:highlight w:val="none"/>
        </w:rPr>
      </w:pPr>
      <w:r>
        <w:rPr>
          <w:rFonts w:hint="eastAsia"/>
          <w:color w:val="auto"/>
          <w:highlight w:val="none"/>
        </w:rPr>
        <w:t>（</w:t>
      </w:r>
      <w:r>
        <w:rPr>
          <w:color w:val="auto"/>
          <w:highlight w:val="none"/>
        </w:rPr>
        <w:t>3</w:t>
      </w:r>
      <w:r>
        <w:rPr>
          <w:rFonts w:hint="eastAsia"/>
          <w:color w:val="auto"/>
          <w:highlight w:val="none"/>
        </w:rPr>
        <w:t>）未成功办理投标人报名手续的；</w:t>
      </w:r>
    </w:p>
    <w:p w14:paraId="43B2FDFF">
      <w:pPr>
        <w:snapToGrid w:val="0"/>
        <w:spacing w:line="360" w:lineRule="auto"/>
        <w:ind w:right="-86" w:rightChars="-41" w:firstLine="420" w:firstLineChars="200"/>
        <w:jc w:val="left"/>
        <w:rPr>
          <w:color w:val="auto"/>
          <w:highlight w:val="none"/>
        </w:rPr>
      </w:pPr>
      <w:r>
        <w:rPr>
          <w:rFonts w:hint="eastAsia"/>
          <w:color w:val="auto"/>
          <w:highlight w:val="none"/>
        </w:rPr>
        <w:t>（</w:t>
      </w:r>
      <w:r>
        <w:rPr>
          <w:color w:val="auto"/>
          <w:highlight w:val="none"/>
        </w:rPr>
        <w:t>4</w:t>
      </w:r>
      <w:r>
        <w:rPr>
          <w:rFonts w:hint="eastAsia"/>
          <w:color w:val="auto"/>
          <w:highlight w:val="none"/>
        </w:rPr>
        <w:t>）超过投标截止时间送达的；</w:t>
      </w:r>
    </w:p>
    <w:p w14:paraId="44C6F31B">
      <w:pPr>
        <w:snapToGrid w:val="0"/>
        <w:spacing w:line="360" w:lineRule="auto"/>
        <w:ind w:right="-86" w:rightChars="-41" w:firstLine="420" w:firstLineChars="200"/>
        <w:jc w:val="left"/>
        <w:rPr>
          <w:color w:val="auto"/>
          <w:highlight w:val="none"/>
        </w:rPr>
      </w:pPr>
      <w:r>
        <w:rPr>
          <w:rFonts w:hint="eastAsia"/>
          <w:color w:val="auto"/>
          <w:highlight w:val="none"/>
        </w:rPr>
        <w:t>仅提供备份投标文件的，投标无效。</w:t>
      </w:r>
    </w:p>
    <w:p w14:paraId="1F6939FD">
      <w:pPr>
        <w:snapToGrid w:val="0"/>
        <w:spacing w:line="360" w:lineRule="auto"/>
        <w:ind w:right="-86" w:rightChars="-41" w:firstLine="420" w:firstLineChars="200"/>
        <w:jc w:val="left"/>
        <w:rPr>
          <w:color w:val="auto"/>
          <w:highlight w:val="none"/>
        </w:rPr>
      </w:pPr>
      <w:r>
        <w:rPr>
          <w:color w:val="auto"/>
          <w:highlight w:val="none"/>
        </w:rPr>
        <w:t>3.</w:t>
      </w:r>
      <w:r>
        <w:rPr>
          <w:rFonts w:hint="eastAsia"/>
          <w:color w:val="auto"/>
          <w:highlight w:val="none"/>
        </w:rPr>
        <w:t>投标、响应文件未按时解密，供应商提供了备份投标、响应文件的，以备份投标、响应文件作为依据，否则视为投标、响应文件撤回。投标、响应文件已按时解密的，备份投标、响应文件自动失效。</w:t>
      </w:r>
    </w:p>
    <w:p w14:paraId="22E256F5">
      <w:pPr>
        <w:snapToGrid w:val="0"/>
        <w:spacing w:line="360" w:lineRule="auto"/>
        <w:ind w:right="-86" w:rightChars="-41" w:firstLine="420" w:firstLineChars="200"/>
        <w:jc w:val="left"/>
        <w:rPr>
          <w:color w:val="auto"/>
          <w:highlight w:val="none"/>
        </w:rPr>
      </w:pPr>
      <w:r>
        <w:rPr>
          <w:color w:val="auto"/>
          <w:highlight w:val="none"/>
        </w:rPr>
        <w:t>4.</w:t>
      </w:r>
      <w:r>
        <w:rPr>
          <w:rFonts w:hint="eastAsia"/>
          <w:color w:val="auto"/>
          <w:highlight w:val="none"/>
        </w:rPr>
        <w:t>备份投标文件须密封封装。包装封面上应注明投标人名称，封口处加盖投标人公章。</w:t>
      </w:r>
    </w:p>
    <w:p w14:paraId="602EC9BF">
      <w:pPr>
        <w:keepNext w:val="0"/>
        <w:keepLines w:val="0"/>
        <w:pageBreakBefore w:val="0"/>
        <w:widowControl w:val="0"/>
        <w:kinsoku/>
        <w:wordWrap/>
        <w:overflowPunct/>
        <w:topLinePunct w:val="0"/>
        <w:autoSpaceDE/>
        <w:autoSpaceDN/>
        <w:bidi w:val="0"/>
        <w:adjustRightInd/>
        <w:spacing w:line="360" w:lineRule="auto"/>
        <w:ind w:right="0" w:rightChars="0"/>
        <w:textAlignment w:val="auto"/>
        <w:rPr>
          <w:color w:val="auto"/>
          <w:highlight w:val="none"/>
        </w:rPr>
      </w:pPr>
      <w:r>
        <w:rPr>
          <w:rFonts w:hint="eastAsia"/>
          <w:b/>
          <w:color w:val="auto"/>
          <w:szCs w:val="21"/>
          <w:highlight w:val="none"/>
        </w:rPr>
        <w:t>（六）投标无效的情形</w:t>
      </w:r>
    </w:p>
    <w:p w14:paraId="7DFE8EEE">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color w:val="auto"/>
          <w:szCs w:val="21"/>
          <w:highlight w:val="none"/>
        </w:rPr>
      </w:pPr>
      <w:r>
        <w:rPr>
          <w:rFonts w:hint="eastAsia"/>
          <w:color w:val="auto"/>
          <w:szCs w:val="21"/>
          <w:highlight w:val="none"/>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3C8323F2">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ascii="Times New Roman" w:hAnsi="Times New Roman" w:eastAsia="宋体" w:cs="Times New Roman"/>
          <w:color w:val="auto"/>
          <w:szCs w:val="21"/>
          <w:highlight w:val="none"/>
          <w14:ligatures w14:val="none"/>
        </w:rPr>
      </w:pPr>
      <w:r>
        <w:rPr>
          <w:rFonts w:ascii="Times New Roman" w:hAnsi="Times New Roman" w:eastAsia="宋体" w:cs="Times New Roman"/>
          <w:b/>
          <w:bCs/>
          <w:color w:val="auto"/>
          <w:szCs w:val="21"/>
          <w:highlight w:val="none"/>
          <w14:ligatures w14:val="none"/>
        </w:rPr>
        <w:t>1.</w:t>
      </w:r>
      <w:r>
        <w:rPr>
          <w:rFonts w:hint="eastAsia" w:ascii="Times New Roman" w:hAnsi="Times New Roman" w:eastAsia="宋体" w:cs="Times New Roman"/>
          <w:b/>
          <w:bCs/>
          <w:color w:val="auto"/>
          <w:szCs w:val="21"/>
          <w:highlight w:val="none"/>
          <w14:ligatures w14:val="none"/>
        </w:rPr>
        <w:t>在符合性审查和商务评审时，如发现下列情形之一</w:t>
      </w:r>
      <w:r>
        <w:rPr>
          <w:rFonts w:hint="eastAsia" w:ascii="Times New Roman" w:hAnsi="Times New Roman" w:eastAsia="宋体" w:cs="Times New Roman"/>
          <w:b/>
          <w:bCs/>
          <w:color w:val="auto"/>
          <w:szCs w:val="21"/>
          <w:highlight w:val="none"/>
          <w:lang w:val="en-US" w:eastAsia="zh-CN"/>
          <w14:ligatures w14:val="none"/>
        </w:rPr>
        <w:t>且无法作出合理解释</w:t>
      </w:r>
      <w:r>
        <w:rPr>
          <w:rFonts w:hint="eastAsia" w:ascii="Times New Roman" w:hAnsi="Times New Roman" w:eastAsia="宋体" w:cs="Times New Roman"/>
          <w:b/>
          <w:bCs/>
          <w:color w:val="auto"/>
          <w:szCs w:val="21"/>
          <w:highlight w:val="none"/>
          <w14:ligatures w14:val="none"/>
        </w:rPr>
        <w:t>的，投标文件将被视为无效投标：</w:t>
      </w:r>
    </w:p>
    <w:p w14:paraId="507BE0FF">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bCs/>
          <w:color w:val="auto"/>
          <w:szCs w:val="21"/>
          <w:highlight w:val="none"/>
          <w14:ligatures w14:val="none"/>
        </w:rPr>
      </w:pPr>
      <w:r>
        <w:rPr>
          <w:rFonts w:ascii="Times New Roman" w:hAnsi="Times New Roman" w:eastAsia="宋体" w:cs="Times New Roman"/>
          <w:bCs/>
          <w:color w:val="auto"/>
          <w:szCs w:val="21"/>
          <w:highlight w:val="none"/>
          <w14:ligatures w14:val="none"/>
        </w:rPr>
        <w:t>1.1</w:t>
      </w:r>
      <w:r>
        <w:rPr>
          <w:rFonts w:hint="eastAsia" w:ascii="Times New Roman" w:hAnsi="Times New Roman" w:eastAsia="宋体" w:cs="Times New Roman"/>
          <w:color w:val="auto"/>
          <w:szCs w:val="21"/>
          <w:highlight w:val="none"/>
          <w14:ligatures w14:val="none"/>
        </w:rPr>
        <w:t>资格证明文件不全的，或者不符合采购文件标明的资格要求的</w:t>
      </w:r>
      <w:r>
        <w:rPr>
          <w:rFonts w:hint="eastAsia" w:ascii="Times New Roman" w:hAnsi="Times New Roman" w:eastAsia="宋体" w:cs="Times New Roman"/>
          <w:bCs/>
          <w:color w:val="auto"/>
          <w:szCs w:val="21"/>
          <w:highlight w:val="none"/>
          <w14:ligatures w14:val="none"/>
        </w:rPr>
        <w:t>；</w:t>
      </w:r>
    </w:p>
    <w:p w14:paraId="693E9967">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bCs/>
          <w:color w:val="auto"/>
          <w:szCs w:val="21"/>
          <w:highlight w:val="none"/>
          <w14:ligatures w14:val="none"/>
        </w:rPr>
      </w:pPr>
      <w:r>
        <w:rPr>
          <w:rFonts w:ascii="Times New Roman" w:hAnsi="Times New Roman" w:eastAsia="宋体" w:cs="Times New Roman"/>
          <w:bCs/>
          <w:color w:val="auto"/>
          <w:szCs w:val="21"/>
          <w:highlight w:val="none"/>
          <w14:ligatures w14:val="none"/>
        </w:rPr>
        <w:t>1.</w:t>
      </w:r>
      <w:r>
        <w:rPr>
          <w:rFonts w:ascii="Times New Roman" w:hAnsi="Times New Roman" w:eastAsia="宋体" w:cs="Times New Roman"/>
          <w:color w:val="auto"/>
          <w:szCs w:val="21"/>
          <w:highlight w:val="none"/>
          <w14:ligatures w14:val="none"/>
        </w:rPr>
        <w:t>2</w:t>
      </w:r>
      <w:r>
        <w:rPr>
          <w:rFonts w:hint="eastAsia" w:ascii="Times New Roman" w:hAnsi="Times New Roman" w:eastAsia="宋体" w:cs="Times New Roman"/>
          <w:color w:val="auto"/>
          <w:szCs w:val="21"/>
          <w:highlight w:val="none"/>
          <w14:ligatures w14:val="none"/>
        </w:rPr>
        <w:t>投标文件组成不全的；</w:t>
      </w:r>
    </w:p>
    <w:p w14:paraId="3ABC11A5">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bCs/>
          <w:color w:val="auto"/>
          <w:szCs w:val="21"/>
          <w:highlight w:val="none"/>
          <w14:ligatures w14:val="none"/>
        </w:rPr>
      </w:pPr>
      <w:r>
        <w:rPr>
          <w:rFonts w:ascii="Times New Roman" w:hAnsi="Times New Roman" w:eastAsia="宋体" w:cs="Times New Roman"/>
          <w:bCs/>
          <w:color w:val="auto"/>
          <w:szCs w:val="21"/>
          <w:highlight w:val="none"/>
          <w14:ligatures w14:val="none"/>
        </w:rPr>
        <w:t>1.3</w:t>
      </w:r>
      <w:r>
        <w:rPr>
          <w:rFonts w:hint="eastAsia" w:ascii="Times New Roman" w:hAnsi="Times New Roman" w:eastAsia="宋体" w:cs="Times New Roman"/>
          <w:bCs/>
          <w:color w:val="auto"/>
          <w:szCs w:val="21"/>
          <w:highlight w:val="none"/>
          <w14:ligatures w14:val="none"/>
        </w:rPr>
        <w:t>投标文件的实质性内容未使用中文表述、意思表述不明确、前后矛盾或者使用计量单位不符合采购文件要求的；（</w:t>
      </w:r>
      <w:r>
        <w:rPr>
          <w:rFonts w:hint="eastAsia" w:ascii="Times New Roman" w:hAnsi="Times New Roman" w:eastAsia="宋体" w:cs="Times New Roman"/>
          <w:color w:val="auto"/>
          <w:szCs w:val="21"/>
          <w:highlight w:val="none"/>
          <w14:ligatures w14:val="none"/>
        </w:rPr>
        <w:t>经评审小组认定允许其在线更正的笔误除外</w:t>
      </w:r>
      <w:r>
        <w:rPr>
          <w:rFonts w:hint="eastAsia" w:ascii="Times New Roman" w:hAnsi="Times New Roman" w:eastAsia="宋体" w:cs="Times New Roman"/>
          <w:bCs/>
          <w:color w:val="auto"/>
          <w:szCs w:val="21"/>
          <w:highlight w:val="none"/>
          <w14:ligatures w14:val="none"/>
        </w:rPr>
        <w:t>）</w:t>
      </w:r>
    </w:p>
    <w:p w14:paraId="29A24DA5">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color w:val="auto"/>
          <w:szCs w:val="21"/>
          <w:highlight w:val="none"/>
          <w14:ligatures w14:val="none"/>
        </w:rPr>
      </w:pPr>
      <w:r>
        <w:rPr>
          <w:rFonts w:ascii="Times New Roman" w:hAnsi="Times New Roman" w:eastAsia="宋体" w:cs="Times New Roman"/>
          <w:bCs/>
          <w:color w:val="auto"/>
          <w:szCs w:val="21"/>
          <w:highlight w:val="none"/>
          <w14:ligatures w14:val="none"/>
        </w:rPr>
        <w:t>1.4</w:t>
      </w:r>
      <w:r>
        <w:rPr>
          <w:rFonts w:hint="eastAsia" w:ascii="Times New Roman" w:hAnsi="Times New Roman" w:eastAsia="宋体" w:cs="Times New Roman"/>
          <w:bCs/>
          <w:color w:val="auto"/>
          <w:szCs w:val="21"/>
          <w:highlight w:val="none"/>
          <w14:ligatures w14:val="none"/>
        </w:rPr>
        <w:t>投标文件的关键内容字迹模糊、无法辨认的，或者投标文件中经修正的内容字迹模糊难以辩认或者修改处未按规定签名盖章的；</w:t>
      </w:r>
    </w:p>
    <w:p w14:paraId="106F95BF">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color w:val="auto"/>
          <w:szCs w:val="21"/>
          <w:highlight w:val="none"/>
          <w14:ligatures w14:val="none"/>
        </w:rPr>
      </w:pPr>
      <w:r>
        <w:rPr>
          <w:rFonts w:ascii="Times New Roman" w:hAnsi="Times New Roman" w:eastAsia="宋体" w:cs="Times New Roman"/>
          <w:bCs/>
          <w:color w:val="auto"/>
          <w:szCs w:val="21"/>
          <w:highlight w:val="none"/>
          <w14:ligatures w14:val="none"/>
        </w:rPr>
        <w:t>1.5</w:t>
      </w:r>
      <w:r>
        <w:rPr>
          <w:rFonts w:hint="eastAsia" w:ascii="Times New Roman" w:hAnsi="Times New Roman" w:eastAsia="宋体" w:cs="Times New Roman"/>
          <w:bCs/>
          <w:color w:val="auto"/>
          <w:szCs w:val="21"/>
          <w:highlight w:val="none"/>
          <w14:ligatures w14:val="none"/>
        </w:rPr>
        <w:t>投标有效期、交货时间、质保期等商务条款不能满足采购文件要求的；</w:t>
      </w:r>
    </w:p>
    <w:p w14:paraId="7744C37F">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color w:val="auto"/>
          <w:szCs w:val="21"/>
          <w:highlight w:val="none"/>
          <w14:ligatures w14:val="none"/>
        </w:rPr>
      </w:pPr>
      <w:r>
        <w:rPr>
          <w:rFonts w:ascii="Times New Roman" w:hAnsi="Times New Roman" w:eastAsia="宋体" w:cs="Times New Roman"/>
          <w:bCs/>
          <w:color w:val="auto"/>
          <w:szCs w:val="21"/>
          <w:highlight w:val="none"/>
          <w14:ligatures w14:val="none"/>
        </w:rPr>
        <w:t>1.6</w:t>
      </w:r>
      <w:r>
        <w:rPr>
          <w:rFonts w:hint="eastAsia" w:ascii="Times New Roman" w:hAnsi="Times New Roman" w:eastAsia="宋体" w:cs="Times New Roman"/>
          <w:bCs/>
          <w:color w:val="auto"/>
          <w:szCs w:val="21"/>
          <w:highlight w:val="none"/>
          <w14:ligatures w14:val="none"/>
        </w:rPr>
        <w:t>未响应采购文件实质性要求或者投标文件有采购人不能接受的附加条件的；</w:t>
      </w:r>
    </w:p>
    <w:p w14:paraId="5CBD5AC4">
      <w:pPr>
        <w:keepNext w:val="0"/>
        <w:keepLines w:val="0"/>
        <w:pageBreakBefore w:val="0"/>
        <w:widowControl w:val="0"/>
        <w:kinsoku/>
        <w:wordWrap/>
        <w:overflowPunct/>
        <w:topLinePunct w:val="0"/>
        <w:autoSpaceDE/>
        <w:autoSpaceDN/>
        <w:bidi w:val="0"/>
        <w:adjustRightInd/>
        <w:snapToGrid w:val="0"/>
        <w:spacing w:line="360" w:lineRule="auto"/>
        <w:ind w:right="0" w:rightChars="0" w:firstLine="438" w:firstLineChars="209"/>
        <w:textAlignment w:val="auto"/>
        <w:rPr>
          <w:rFonts w:ascii="Times New Roman" w:hAnsi="Times New Roman" w:eastAsia="宋体" w:cs="Times New Roman"/>
          <w:bCs/>
          <w:color w:val="auto"/>
          <w:szCs w:val="21"/>
          <w:highlight w:val="none"/>
          <w14:ligatures w14:val="none"/>
        </w:rPr>
      </w:pPr>
      <w:r>
        <w:rPr>
          <w:rFonts w:ascii="Times New Roman" w:hAnsi="Times New Roman" w:eastAsia="宋体" w:cs="Times New Roman"/>
          <w:bCs/>
          <w:color w:val="auto"/>
          <w:szCs w:val="21"/>
          <w:highlight w:val="none"/>
          <w14:ligatures w14:val="none"/>
        </w:rPr>
        <w:t>1.7</w:t>
      </w:r>
      <w:r>
        <w:rPr>
          <w:rFonts w:hint="eastAsia" w:ascii="Times New Roman" w:hAnsi="Times New Roman" w:eastAsia="宋体" w:cs="Times New Roman"/>
          <w:bCs/>
          <w:color w:val="auto"/>
          <w:szCs w:val="21"/>
          <w:highlight w:val="none"/>
          <w14:ligatures w14:val="none"/>
        </w:rPr>
        <w:t>投标文件没有按采购文件要求响应有标</w:t>
      </w:r>
      <w:r>
        <w:rPr>
          <w:rFonts w:ascii="Times New Roman" w:hAnsi="Times New Roman" w:eastAsia="宋体" w:cs="Times New Roman"/>
          <w:bCs/>
          <w:color w:val="auto"/>
          <w:szCs w:val="21"/>
          <w:highlight w:val="none"/>
          <w14:ligatures w14:val="none"/>
        </w:rPr>
        <w:t>“</w:t>
      </w:r>
      <w:r>
        <w:rPr>
          <w:rFonts w:hint="eastAsia" w:ascii="Times New Roman" w:hAnsi="Times New Roman" w:eastAsia="宋体" w:cs="Times New Roman"/>
          <w:bCs/>
          <w:color w:val="auto"/>
          <w:szCs w:val="21"/>
          <w:highlight w:val="none"/>
          <w14:ligatures w14:val="none"/>
        </w:rPr>
        <w:t>★</w:t>
      </w:r>
      <w:r>
        <w:rPr>
          <w:rFonts w:ascii="Times New Roman" w:hAnsi="Times New Roman" w:eastAsia="宋体" w:cs="Times New Roman"/>
          <w:bCs/>
          <w:color w:val="auto"/>
          <w:szCs w:val="21"/>
          <w:highlight w:val="none"/>
          <w14:ligatures w14:val="none"/>
        </w:rPr>
        <w:t>”</w:t>
      </w:r>
      <w:r>
        <w:rPr>
          <w:rFonts w:hint="eastAsia" w:ascii="Times New Roman" w:hAnsi="Times New Roman" w:eastAsia="宋体" w:cs="Times New Roman"/>
          <w:bCs/>
          <w:color w:val="auto"/>
          <w:szCs w:val="21"/>
          <w:highlight w:val="none"/>
          <w14:ligatures w14:val="none"/>
        </w:rPr>
        <w:t>的条款的资料和材料的；</w:t>
      </w:r>
    </w:p>
    <w:p w14:paraId="64512E24">
      <w:pPr>
        <w:pStyle w:val="2"/>
        <w:keepNext w:val="0"/>
        <w:keepLines w:val="0"/>
        <w:pageBreakBefore w:val="0"/>
        <w:widowControl w:val="0"/>
        <w:kinsoku/>
        <w:wordWrap/>
        <w:overflowPunct/>
        <w:topLinePunct w:val="0"/>
        <w:autoSpaceDE/>
        <w:autoSpaceDN/>
        <w:bidi w:val="0"/>
        <w:adjustRightInd/>
        <w:spacing w:after="0" w:line="360" w:lineRule="auto"/>
        <w:ind w:left="0" w:leftChars="0" w:firstLine="422" w:firstLineChars="200"/>
        <w:textAlignment w:val="auto"/>
        <w:rPr>
          <w:rFonts w:hint="eastAsia" w:ascii="Times New Roman" w:hAnsi="Times New Roman" w:eastAsia="宋体" w:cs="Times New Roman"/>
          <w:b/>
          <w:color w:val="auto"/>
          <w:szCs w:val="21"/>
          <w:highlight w:val="none"/>
          <w14:ligatures w14:val="none"/>
        </w:rPr>
      </w:pPr>
      <w:r>
        <w:rPr>
          <w:rFonts w:hint="eastAsia" w:ascii="Times New Roman" w:hAnsi="Times New Roman" w:eastAsia="宋体" w:cs="Times New Roman"/>
          <w:b/>
          <w:color w:val="auto"/>
          <w:szCs w:val="21"/>
          <w:highlight w:val="none"/>
          <w14:ligatures w14:val="none"/>
        </w:rPr>
        <w:t>1.8在不影响公平竞争的前提下，采购文件中参与同一标段（包）的供应商存在以下情形的，其投标文件相应无效：MAC地址相同、计算机硬盘序列号相同、采购文件细节错误一致且无合理解释的等情形。</w:t>
      </w:r>
    </w:p>
    <w:p w14:paraId="3829B648">
      <w:pPr>
        <w:pStyle w:val="2"/>
        <w:keepNext w:val="0"/>
        <w:keepLines w:val="0"/>
        <w:pageBreakBefore w:val="0"/>
        <w:widowControl w:val="0"/>
        <w:kinsoku/>
        <w:wordWrap/>
        <w:overflowPunct/>
        <w:topLinePunct w:val="0"/>
        <w:autoSpaceDE/>
        <w:autoSpaceDN/>
        <w:bidi w:val="0"/>
        <w:adjustRightInd/>
        <w:spacing w:after="0" w:line="360" w:lineRule="auto"/>
        <w:ind w:left="0" w:leftChars="0" w:firstLine="422" w:firstLineChars="200"/>
        <w:textAlignment w:val="auto"/>
        <w:rPr>
          <w:rFonts w:hint="eastAsia" w:ascii="Times New Roman" w:hAnsi="Times New Roman" w:eastAsia="宋体" w:cs="Times New Roman"/>
          <w:b/>
          <w:color w:val="auto"/>
          <w:szCs w:val="21"/>
          <w:highlight w:val="none"/>
          <w14:ligatures w14:val="none"/>
        </w:rPr>
      </w:pPr>
      <w:r>
        <w:rPr>
          <w:rFonts w:hint="eastAsia" w:ascii="Times New Roman" w:hAnsi="Times New Roman" w:eastAsia="宋体" w:cs="Times New Roman"/>
          <w:b/>
          <w:color w:val="auto"/>
          <w:szCs w:val="21"/>
          <w:highlight w:val="none"/>
          <w14:ligatures w14:val="none"/>
        </w:rPr>
        <w:t>1.9上传的电子投标（响应）文件若出现使用本项目其他投标（响应）供应商的数字证书加密的，或者加盖本项目其他投标（响应）供应商的电子印章的；</w:t>
      </w:r>
    </w:p>
    <w:p w14:paraId="6A1E1DB0">
      <w:pPr>
        <w:pStyle w:val="2"/>
        <w:keepNext w:val="0"/>
        <w:keepLines w:val="0"/>
        <w:pageBreakBefore w:val="0"/>
        <w:widowControl w:val="0"/>
        <w:kinsoku/>
        <w:wordWrap/>
        <w:overflowPunct/>
        <w:topLinePunct w:val="0"/>
        <w:autoSpaceDE/>
        <w:autoSpaceDN/>
        <w:bidi w:val="0"/>
        <w:adjustRightInd/>
        <w:spacing w:after="0" w:line="360" w:lineRule="auto"/>
        <w:ind w:left="0" w:leftChars="0" w:firstLine="422" w:firstLineChars="200"/>
        <w:textAlignment w:val="auto"/>
        <w:rPr>
          <w:rFonts w:hint="eastAsia" w:ascii="Times New Roman" w:hAnsi="Times New Roman" w:eastAsia="宋体" w:cs="Times New Roman"/>
          <w:b/>
          <w:color w:val="auto"/>
          <w:szCs w:val="21"/>
          <w:highlight w:val="none"/>
          <w14:ligatures w14:val="none"/>
        </w:rPr>
      </w:pPr>
      <w:r>
        <w:rPr>
          <w:rFonts w:hint="eastAsia" w:ascii="Times New Roman" w:hAnsi="Times New Roman" w:eastAsia="宋体" w:cs="Times New Roman"/>
          <w:b/>
          <w:color w:val="auto"/>
          <w:szCs w:val="21"/>
          <w:highlight w:val="none"/>
          <w14:ligatures w14:val="none"/>
        </w:rPr>
        <w:t>1.10不同供应商的投标（响应）文件的内容存在三处（含）以上错误一致的；</w:t>
      </w:r>
    </w:p>
    <w:p w14:paraId="01C40F70">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bCs/>
          <w:color w:val="auto"/>
          <w:szCs w:val="21"/>
          <w:highlight w:val="none"/>
        </w:rPr>
      </w:pPr>
      <w:r>
        <w:rPr>
          <w:rFonts w:hint="eastAsia" w:ascii="Times New Roman" w:hAnsi="Times New Roman" w:eastAsia="宋体" w:cs="Times New Roman"/>
          <w:b/>
          <w:color w:val="auto"/>
          <w:szCs w:val="21"/>
          <w:highlight w:val="none"/>
          <w14:ligatures w14:val="none"/>
        </w:rPr>
        <w:t>1.11不同供应商联系人为同一人或不同联系人的联系电话一致的</w:t>
      </w:r>
      <w:r>
        <w:rPr>
          <w:rFonts w:hint="eastAsia"/>
          <w:bCs/>
          <w:color w:val="auto"/>
          <w:szCs w:val="21"/>
          <w:highlight w:val="none"/>
        </w:rPr>
        <w:t>；</w:t>
      </w:r>
    </w:p>
    <w:p w14:paraId="5990FE26">
      <w:pPr>
        <w:keepNext w:val="0"/>
        <w:keepLines w:val="0"/>
        <w:pageBreakBefore w:val="0"/>
        <w:widowControl w:val="0"/>
        <w:kinsoku/>
        <w:wordWrap/>
        <w:overflowPunct/>
        <w:topLinePunct w:val="0"/>
        <w:autoSpaceDE/>
        <w:autoSpaceDN/>
        <w:bidi w:val="0"/>
        <w:adjustRightInd/>
        <w:spacing w:line="360" w:lineRule="auto"/>
        <w:ind w:firstLine="420"/>
        <w:textAlignment w:val="auto"/>
        <w:rPr>
          <w:color w:val="auto"/>
          <w:szCs w:val="21"/>
          <w:highlight w:val="none"/>
        </w:rPr>
      </w:pPr>
      <w:r>
        <w:rPr>
          <w:b/>
          <w:bCs/>
          <w:color w:val="auto"/>
          <w:highlight w:val="none"/>
        </w:rPr>
        <w:t>2.</w:t>
      </w:r>
      <w:r>
        <w:rPr>
          <w:rFonts w:hint="eastAsia"/>
          <w:b/>
          <w:bCs/>
          <w:color w:val="auto"/>
          <w:highlight w:val="none"/>
        </w:rPr>
        <w:t>在技术评审时，如发现下列情形之一的，投标文件将被视为无效响应：</w:t>
      </w:r>
    </w:p>
    <w:p w14:paraId="2A72D612">
      <w:pPr>
        <w:keepNext w:val="0"/>
        <w:keepLines w:val="0"/>
        <w:pageBreakBefore w:val="0"/>
        <w:widowControl w:val="0"/>
        <w:kinsoku/>
        <w:wordWrap/>
        <w:overflowPunct/>
        <w:topLinePunct w:val="0"/>
        <w:autoSpaceDE/>
        <w:autoSpaceDN/>
        <w:bidi w:val="0"/>
        <w:adjustRightInd/>
        <w:spacing w:line="360" w:lineRule="auto"/>
        <w:ind w:firstLine="420"/>
        <w:textAlignment w:val="auto"/>
        <w:rPr>
          <w:color w:val="auto"/>
          <w:szCs w:val="21"/>
          <w:highlight w:val="none"/>
        </w:rPr>
      </w:pPr>
      <w:r>
        <w:rPr>
          <w:color w:val="auto"/>
          <w:szCs w:val="21"/>
          <w:highlight w:val="none"/>
        </w:rPr>
        <w:t>2.1</w:t>
      </w:r>
      <w:r>
        <w:rPr>
          <w:rFonts w:hint="eastAsia"/>
          <w:color w:val="auto"/>
          <w:szCs w:val="21"/>
          <w:highlight w:val="none"/>
        </w:rPr>
        <w:t>投标文件标明的响应或偏离与事实不符或虚假投标的；</w:t>
      </w:r>
    </w:p>
    <w:p w14:paraId="128B27F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color w:val="auto"/>
          <w:szCs w:val="21"/>
          <w:highlight w:val="none"/>
        </w:rPr>
      </w:pPr>
      <w:r>
        <w:rPr>
          <w:bCs/>
          <w:color w:val="auto"/>
          <w:szCs w:val="21"/>
          <w:highlight w:val="none"/>
        </w:rPr>
        <w:t>2.2</w:t>
      </w:r>
      <w:r>
        <w:rPr>
          <w:rFonts w:hint="eastAsia"/>
          <w:bCs/>
          <w:color w:val="auto"/>
          <w:szCs w:val="21"/>
          <w:highlight w:val="none"/>
        </w:rPr>
        <w:t>明显不符合采购文件标明的质量标准，或者采购文件中标</w:t>
      </w:r>
      <w:r>
        <w:rPr>
          <w:bCs/>
          <w:color w:val="auto"/>
          <w:szCs w:val="21"/>
          <w:highlight w:val="none"/>
        </w:rPr>
        <w:t>“</w:t>
      </w:r>
      <w:r>
        <w:rPr>
          <w:rFonts w:hint="eastAsia"/>
          <w:b/>
          <w:color w:val="auto"/>
          <w:highlight w:val="none"/>
        </w:rPr>
        <w:t>★</w:t>
      </w:r>
      <w:r>
        <w:rPr>
          <w:bCs/>
          <w:color w:val="auto"/>
          <w:szCs w:val="21"/>
          <w:highlight w:val="none"/>
        </w:rPr>
        <w:t>”</w:t>
      </w:r>
      <w:r>
        <w:rPr>
          <w:rFonts w:hint="eastAsia"/>
          <w:bCs/>
          <w:color w:val="auto"/>
          <w:szCs w:val="21"/>
          <w:highlight w:val="none"/>
        </w:rPr>
        <w:t>的技术参数、条款（如有）发生实质性偏离的；</w:t>
      </w:r>
    </w:p>
    <w:p w14:paraId="7F89D844">
      <w:pPr>
        <w:spacing w:line="360" w:lineRule="auto"/>
        <w:ind w:firstLine="420"/>
        <w:rPr>
          <w:color w:val="auto"/>
          <w:highlight w:val="none"/>
        </w:rPr>
      </w:pPr>
      <w:r>
        <w:rPr>
          <w:color w:val="auto"/>
          <w:szCs w:val="21"/>
          <w:highlight w:val="none"/>
        </w:rPr>
        <w:t>2.3</w:t>
      </w:r>
      <w:r>
        <w:rPr>
          <w:rFonts w:hint="eastAsia"/>
          <w:color w:val="auto"/>
          <w:szCs w:val="21"/>
          <w:highlight w:val="none"/>
        </w:rPr>
        <w:t>投标技术方案不明确，存在一个或一个以上备选（替代）投标方案的；</w:t>
      </w:r>
    </w:p>
    <w:p w14:paraId="663AB438">
      <w:pPr>
        <w:spacing w:line="360" w:lineRule="auto"/>
        <w:ind w:firstLine="420"/>
        <w:rPr>
          <w:color w:val="auto"/>
          <w:szCs w:val="21"/>
          <w:highlight w:val="none"/>
        </w:rPr>
      </w:pPr>
      <w:r>
        <w:rPr>
          <w:b/>
          <w:bCs/>
          <w:color w:val="auto"/>
          <w:highlight w:val="none"/>
        </w:rPr>
        <w:t>3.</w:t>
      </w:r>
      <w:r>
        <w:rPr>
          <w:rFonts w:hint="eastAsia"/>
          <w:b/>
          <w:color w:val="auto"/>
          <w:szCs w:val="21"/>
          <w:highlight w:val="none"/>
        </w:rPr>
        <w:t>在投标报价文件评审时</w:t>
      </w:r>
      <w:r>
        <w:rPr>
          <w:rFonts w:hint="eastAsia"/>
          <w:b/>
          <w:bCs/>
          <w:color w:val="auto"/>
          <w:highlight w:val="none"/>
        </w:rPr>
        <w:t>，如发现下列情形之一的，投标文件将被视为无效响应：</w:t>
      </w:r>
    </w:p>
    <w:p w14:paraId="7520AA92">
      <w:pPr>
        <w:snapToGrid w:val="0"/>
        <w:spacing w:line="360" w:lineRule="auto"/>
        <w:ind w:right="-86" w:rightChars="-41" w:firstLine="438" w:firstLineChars="209"/>
        <w:rPr>
          <w:color w:val="auto"/>
          <w:szCs w:val="20"/>
          <w:highlight w:val="none"/>
        </w:rPr>
      </w:pPr>
      <w:r>
        <w:rPr>
          <w:color w:val="auto"/>
          <w:szCs w:val="20"/>
          <w:highlight w:val="none"/>
        </w:rPr>
        <w:t>3.1</w:t>
      </w:r>
      <w:r>
        <w:rPr>
          <w:rFonts w:hint="eastAsia"/>
          <w:color w:val="auto"/>
          <w:szCs w:val="20"/>
          <w:highlight w:val="none"/>
        </w:rPr>
        <w:t>未采用人民币报价或者未按照采购文件标明的币种报价的；</w:t>
      </w:r>
    </w:p>
    <w:p w14:paraId="013CA844">
      <w:pPr>
        <w:snapToGrid w:val="0"/>
        <w:spacing w:line="360" w:lineRule="auto"/>
        <w:ind w:right="-86" w:rightChars="-41" w:firstLine="438" w:firstLineChars="209"/>
        <w:rPr>
          <w:color w:val="auto"/>
          <w:szCs w:val="20"/>
          <w:highlight w:val="none"/>
        </w:rPr>
      </w:pPr>
      <w:r>
        <w:rPr>
          <w:color w:val="auto"/>
          <w:szCs w:val="20"/>
          <w:highlight w:val="none"/>
        </w:rPr>
        <w:t>3.2</w:t>
      </w:r>
      <w:r>
        <w:rPr>
          <w:rFonts w:hint="eastAsia"/>
          <w:color w:val="auto"/>
          <w:szCs w:val="20"/>
          <w:highlight w:val="none"/>
        </w:rPr>
        <w:t>报价超出最高限价，或者超出采购预算金额，采购人不能支付的；</w:t>
      </w:r>
    </w:p>
    <w:p w14:paraId="0F0FEAAF">
      <w:pPr>
        <w:snapToGrid w:val="0"/>
        <w:spacing w:line="360" w:lineRule="auto"/>
        <w:ind w:right="-86" w:rightChars="-41" w:firstLine="438" w:firstLineChars="209"/>
        <w:rPr>
          <w:color w:val="auto"/>
          <w:szCs w:val="20"/>
          <w:highlight w:val="none"/>
        </w:rPr>
      </w:pPr>
      <w:r>
        <w:rPr>
          <w:color w:val="auto"/>
          <w:szCs w:val="20"/>
          <w:highlight w:val="none"/>
        </w:rPr>
        <w:t>3.3</w:t>
      </w:r>
      <w:r>
        <w:rPr>
          <w:rFonts w:hint="eastAsia"/>
          <w:color w:val="auto"/>
          <w:szCs w:val="20"/>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0AAF4F8">
      <w:pPr>
        <w:snapToGrid w:val="0"/>
        <w:spacing w:line="360" w:lineRule="auto"/>
        <w:ind w:right="-86" w:rightChars="-41" w:firstLine="438" w:firstLineChars="209"/>
        <w:rPr>
          <w:color w:val="auto"/>
          <w:szCs w:val="20"/>
          <w:highlight w:val="none"/>
        </w:rPr>
      </w:pPr>
      <w:r>
        <w:rPr>
          <w:color w:val="auto"/>
          <w:szCs w:val="20"/>
          <w:highlight w:val="none"/>
        </w:rPr>
        <w:t>3.4</w:t>
      </w:r>
      <w:r>
        <w:rPr>
          <w:rFonts w:hint="eastAsia"/>
          <w:color w:val="auto"/>
          <w:szCs w:val="20"/>
          <w:highlight w:val="none"/>
        </w:rPr>
        <w:t>投标报价具有选择性，或者开标价格与投标文件承诺的优惠（折扣）价格不一致的；</w:t>
      </w:r>
    </w:p>
    <w:p w14:paraId="23ADC0B5">
      <w:pPr>
        <w:snapToGrid w:val="0"/>
        <w:spacing w:line="360" w:lineRule="auto"/>
        <w:ind w:right="-86" w:rightChars="-41" w:firstLine="441" w:firstLineChars="209"/>
        <w:rPr>
          <w:b/>
          <w:bCs/>
          <w:color w:val="auto"/>
          <w:szCs w:val="20"/>
          <w:highlight w:val="none"/>
        </w:rPr>
      </w:pPr>
      <w:r>
        <w:rPr>
          <w:rFonts w:hint="eastAsia"/>
          <w:b/>
          <w:bCs/>
          <w:color w:val="auto"/>
          <w:szCs w:val="20"/>
          <w:highlight w:val="none"/>
          <w:lang w:val="en-US" w:eastAsia="zh-CN"/>
        </w:rPr>
        <w:t>4</w:t>
      </w:r>
      <w:r>
        <w:rPr>
          <w:rFonts w:hint="eastAsia"/>
          <w:b/>
          <w:bCs/>
          <w:color w:val="auto"/>
          <w:szCs w:val="20"/>
          <w:highlight w:val="none"/>
        </w:rPr>
        <w:t>.法律、法规和采购文件规定的其他无效情形。</w:t>
      </w:r>
    </w:p>
    <w:p w14:paraId="5BC69CE5">
      <w:pPr>
        <w:snapToGrid w:val="0"/>
        <w:spacing w:line="360" w:lineRule="auto"/>
        <w:ind w:right="-86" w:rightChars="-41"/>
        <w:rPr>
          <w:color w:val="auto"/>
          <w:szCs w:val="20"/>
          <w:highlight w:val="none"/>
        </w:rPr>
      </w:pPr>
      <w:r>
        <w:rPr>
          <w:rFonts w:hint="eastAsia"/>
          <w:b/>
          <w:color w:val="auto"/>
          <w:szCs w:val="21"/>
          <w:highlight w:val="none"/>
        </w:rPr>
        <w:t>（七）</w:t>
      </w:r>
      <w:r>
        <w:rPr>
          <w:rFonts w:hint="eastAsia"/>
          <w:b/>
          <w:color w:val="auto"/>
          <w:szCs w:val="20"/>
          <w:highlight w:val="none"/>
        </w:rPr>
        <w:t>出现以下情形，导致电子交易平台无法正常运行，或者无法保证电子交易的公平、公正和安全时，中止电子交易活动：</w:t>
      </w:r>
    </w:p>
    <w:p w14:paraId="6D7DDF6C">
      <w:pPr>
        <w:snapToGrid w:val="0"/>
        <w:spacing w:line="360" w:lineRule="auto"/>
        <w:ind w:right="-86" w:rightChars="-41" w:firstLine="438" w:firstLineChars="209"/>
        <w:rPr>
          <w:color w:val="auto"/>
          <w:szCs w:val="20"/>
          <w:highlight w:val="none"/>
        </w:rPr>
      </w:pPr>
      <w:r>
        <w:rPr>
          <w:rFonts w:hint="eastAsia"/>
          <w:color w:val="auto"/>
          <w:szCs w:val="20"/>
          <w:highlight w:val="none"/>
        </w:rPr>
        <w:t>（一）电子交易平台发生故障而无法登录访问的；</w:t>
      </w:r>
    </w:p>
    <w:p w14:paraId="10F11119">
      <w:pPr>
        <w:snapToGrid w:val="0"/>
        <w:spacing w:line="360" w:lineRule="auto"/>
        <w:ind w:right="-86" w:rightChars="-41" w:firstLine="438" w:firstLineChars="209"/>
        <w:rPr>
          <w:color w:val="auto"/>
          <w:szCs w:val="20"/>
          <w:highlight w:val="none"/>
        </w:rPr>
      </w:pPr>
      <w:r>
        <w:rPr>
          <w:rFonts w:hint="eastAsia"/>
          <w:color w:val="auto"/>
          <w:szCs w:val="20"/>
          <w:highlight w:val="none"/>
        </w:rPr>
        <w:t>（二）电子交易平台应用或数据库出现错误，不能进行正常操作的；</w:t>
      </w:r>
    </w:p>
    <w:p w14:paraId="0B299E10">
      <w:pPr>
        <w:snapToGrid w:val="0"/>
        <w:spacing w:line="360" w:lineRule="auto"/>
        <w:ind w:right="-86" w:rightChars="-41" w:firstLine="438" w:firstLineChars="209"/>
        <w:rPr>
          <w:color w:val="auto"/>
          <w:szCs w:val="20"/>
          <w:highlight w:val="none"/>
        </w:rPr>
      </w:pPr>
      <w:r>
        <w:rPr>
          <w:rFonts w:hint="eastAsia"/>
          <w:color w:val="auto"/>
          <w:szCs w:val="20"/>
          <w:highlight w:val="none"/>
        </w:rPr>
        <w:t>（三）电子交易平台发现严重安全漏洞，有潜在泄密危险的；</w:t>
      </w:r>
    </w:p>
    <w:p w14:paraId="56A18535">
      <w:pPr>
        <w:snapToGrid w:val="0"/>
        <w:spacing w:line="360" w:lineRule="auto"/>
        <w:ind w:right="-86" w:rightChars="-41" w:firstLine="438" w:firstLineChars="209"/>
        <w:rPr>
          <w:color w:val="auto"/>
          <w:szCs w:val="20"/>
          <w:highlight w:val="none"/>
        </w:rPr>
      </w:pPr>
      <w:r>
        <w:rPr>
          <w:rFonts w:hint="eastAsia"/>
          <w:color w:val="auto"/>
          <w:szCs w:val="20"/>
          <w:highlight w:val="none"/>
        </w:rPr>
        <w:t>（四）病毒发作导致不能进行正常操作的；</w:t>
      </w:r>
    </w:p>
    <w:p w14:paraId="0D802157">
      <w:pPr>
        <w:snapToGrid w:val="0"/>
        <w:spacing w:line="360" w:lineRule="auto"/>
        <w:ind w:right="-86" w:rightChars="-41" w:firstLine="438" w:firstLineChars="209"/>
        <w:rPr>
          <w:color w:val="auto"/>
          <w:szCs w:val="20"/>
          <w:highlight w:val="none"/>
        </w:rPr>
      </w:pPr>
      <w:r>
        <w:rPr>
          <w:rFonts w:hint="eastAsia"/>
          <w:color w:val="auto"/>
          <w:szCs w:val="20"/>
          <w:highlight w:val="none"/>
        </w:rPr>
        <w:t>（五）其他无法保证电子交易的公平、公正和安全的情况。</w:t>
      </w:r>
    </w:p>
    <w:p w14:paraId="078BCD57">
      <w:pPr>
        <w:snapToGrid w:val="0"/>
        <w:spacing w:line="360" w:lineRule="auto"/>
        <w:ind w:right="-86" w:rightChars="-41" w:firstLine="438" w:firstLineChars="209"/>
        <w:rPr>
          <w:color w:val="auto"/>
          <w:szCs w:val="20"/>
          <w:highlight w:val="none"/>
        </w:rPr>
      </w:pPr>
      <w:r>
        <w:rPr>
          <w:rFonts w:hint="eastAsia"/>
          <w:color w:val="auto"/>
          <w:szCs w:val="20"/>
          <w:highlight w:val="none"/>
        </w:rPr>
        <w:t>出现前款规定情形，不影响采购公平、公正性的，代理机构可以待上述情形消除后继续组织电子交易活动，也可以决定某些环节以纸质形式进行；影响或可能影响采购公平、公正性的，重新采购。</w:t>
      </w:r>
    </w:p>
    <w:p w14:paraId="19514811">
      <w:pPr>
        <w:widowControl/>
        <w:snapToGrid w:val="0"/>
        <w:spacing w:line="360" w:lineRule="auto"/>
        <w:ind w:right="55"/>
        <w:rPr>
          <w:b/>
          <w:bCs/>
          <w:color w:val="auto"/>
          <w:spacing w:val="-4"/>
          <w:kern w:val="0"/>
          <w:szCs w:val="21"/>
          <w:highlight w:val="none"/>
        </w:rPr>
      </w:pPr>
      <w:r>
        <w:rPr>
          <w:rFonts w:hint="eastAsia"/>
          <w:b/>
          <w:bCs/>
          <w:color w:val="auto"/>
          <w:spacing w:val="-4"/>
          <w:kern w:val="0"/>
          <w:szCs w:val="21"/>
          <w:highlight w:val="none"/>
        </w:rPr>
        <w:t>（八）报名不足三家的处理方式</w:t>
      </w:r>
    </w:p>
    <w:p w14:paraId="5E467643">
      <w:pPr>
        <w:widowControl/>
        <w:snapToGrid w:val="0"/>
        <w:spacing w:line="360" w:lineRule="auto"/>
        <w:ind w:right="55" w:firstLine="470"/>
        <w:rPr>
          <w:bCs/>
          <w:color w:val="auto"/>
          <w:spacing w:val="-4"/>
          <w:kern w:val="0"/>
          <w:szCs w:val="21"/>
          <w:highlight w:val="none"/>
        </w:rPr>
      </w:pPr>
      <w:r>
        <w:rPr>
          <w:rFonts w:hint="eastAsia"/>
          <w:bCs/>
          <w:color w:val="auto"/>
          <w:spacing w:val="-4"/>
          <w:kern w:val="0"/>
          <w:szCs w:val="21"/>
          <w:highlight w:val="none"/>
        </w:rPr>
        <w:t>报名时间截止后，在开标时间前获取招标文件的潜在投标人不足三家的，采购代理机构可以顺延提供期限，并予公告。</w:t>
      </w:r>
    </w:p>
    <w:p w14:paraId="5033CA1F">
      <w:pPr>
        <w:widowControl/>
        <w:snapToGrid w:val="0"/>
        <w:spacing w:line="360" w:lineRule="auto"/>
        <w:ind w:right="55"/>
        <w:jc w:val="left"/>
        <w:rPr>
          <w:color w:val="auto"/>
          <w:szCs w:val="20"/>
          <w:highlight w:val="none"/>
        </w:rPr>
      </w:pPr>
      <w:r>
        <w:rPr>
          <w:rFonts w:hint="eastAsia"/>
          <w:b/>
          <w:color w:val="auto"/>
          <w:spacing w:val="-4"/>
          <w:kern w:val="0"/>
          <w:szCs w:val="21"/>
          <w:highlight w:val="none"/>
        </w:rPr>
        <w:t>（九）被拒绝的投标文件为无效。</w:t>
      </w:r>
    </w:p>
    <w:p w14:paraId="6DDDE2AC">
      <w:pPr>
        <w:widowControl/>
        <w:snapToGrid w:val="0"/>
        <w:spacing w:line="360" w:lineRule="auto"/>
        <w:ind w:right="55" w:firstLine="3591" w:firstLineChars="1315"/>
        <w:rPr>
          <w:b/>
          <w:color w:val="auto"/>
          <w:spacing w:val="-4"/>
          <w:kern w:val="0"/>
          <w:sz w:val="28"/>
          <w:szCs w:val="28"/>
          <w:highlight w:val="none"/>
        </w:rPr>
      </w:pPr>
      <w:r>
        <w:rPr>
          <w:rFonts w:hint="eastAsia"/>
          <w:b/>
          <w:color w:val="auto"/>
          <w:spacing w:val="-4"/>
          <w:kern w:val="0"/>
          <w:sz w:val="28"/>
          <w:szCs w:val="28"/>
          <w:highlight w:val="none"/>
        </w:rPr>
        <w:t>四、开标</w:t>
      </w:r>
    </w:p>
    <w:p w14:paraId="744DD166">
      <w:pPr>
        <w:keepNext w:val="0"/>
        <w:keepLines w:val="0"/>
        <w:pageBreakBefore w:val="0"/>
        <w:widowControl w:val="0"/>
        <w:kinsoku/>
        <w:wordWrap/>
        <w:overflowPunct/>
        <w:topLinePunct w:val="0"/>
        <w:autoSpaceDE/>
        <w:autoSpaceDN/>
        <w:bidi w:val="0"/>
        <w:spacing w:line="360" w:lineRule="auto"/>
        <w:ind w:firstLine="422" w:firstLineChars="200"/>
        <w:jc w:val="left"/>
        <w:textAlignment w:val="auto"/>
        <w:rPr>
          <w:b/>
          <w:color w:val="auto"/>
          <w:szCs w:val="21"/>
          <w:highlight w:val="none"/>
        </w:rPr>
      </w:pPr>
      <w:r>
        <w:rPr>
          <w:rFonts w:hint="eastAsia"/>
          <w:b/>
          <w:color w:val="auto"/>
          <w:szCs w:val="21"/>
          <w:highlight w:val="none"/>
        </w:rPr>
        <w:t>电子招投标开标及评审程序</w:t>
      </w:r>
    </w:p>
    <w:p w14:paraId="68672C1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color w:val="auto"/>
          <w:szCs w:val="21"/>
          <w:highlight w:val="none"/>
        </w:rPr>
        <w:t>1.</w:t>
      </w:r>
      <w:r>
        <w:rPr>
          <w:rFonts w:hint="eastAsia"/>
          <w:color w:val="auto"/>
          <w:szCs w:val="21"/>
          <w:highlight w:val="none"/>
        </w:rPr>
        <w:t>采购组织机构按照规定的时间通过政采云系统组织开标、开启响应文件，所有投标人均应当准时在线参加。</w:t>
      </w:r>
    </w:p>
    <w:p w14:paraId="5912654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color w:val="auto"/>
          <w:szCs w:val="21"/>
          <w:highlight w:val="none"/>
        </w:rPr>
        <w:t>2.</w:t>
      </w:r>
      <w:r>
        <w:rPr>
          <w:rFonts w:hint="eastAsia"/>
          <w:color w:val="auto"/>
          <w:szCs w:val="21"/>
          <w:highlight w:val="none"/>
        </w:rPr>
        <w:t>投标截止时间后，投标人登录政采云平台，用</w:t>
      </w:r>
      <w:r>
        <w:rPr>
          <w:color w:val="auto"/>
          <w:szCs w:val="21"/>
          <w:highlight w:val="none"/>
        </w:rPr>
        <w:t>“</w:t>
      </w:r>
      <w:r>
        <w:rPr>
          <w:rFonts w:hint="eastAsia"/>
          <w:color w:val="auto"/>
          <w:szCs w:val="21"/>
          <w:highlight w:val="none"/>
        </w:rPr>
        <w:t>项目采购</w:t>
      </w:r>
      <w:r>
        <w:rPr>
          <w:color w:val="auto"/>
          <w:szCs w:val="21"/>
          <w:highlight w:val="none"/>
        </w:rPr>
        <w:t>-</w:t>
      </w:r>
      <w:r>
        <w:rPr>
          <w:rFonts w:hint="eastAsia"/>
          <w:color w:val="auto"/>
          <w:szCs w:val="21"/>
          <w:highlight w:val="none"/>
        </w:rPr>
        <w:t>开标评标</w:t>
      </w:r>
      <w:r>
        <w:rPr>
          <w:color w:val="auto"/>
          <w:szCs w:val="21"/>
          <w:highlight w:val="none"/>
        </w:rPr>
        <w:t>”</w:t>
      </w:r>
      <w:r>
        <w:rPr>
          <w:rFonts w:hint="eastAsia"/>
          <w:color w:val="auto"/>
          <w:szCs w:val="21"/>
          <w:highlight w:val="none"/>
        </w:rPr>
        <w:t>功能对电子投标文件进行</w:t>
      </w:r>
      <w:r>
        <w:rPr>
          <w:rFonts w:hint="eastAsia"/>
          <w:b/>
          <w:bCs/>
          <w:color w:val="auto"/>
          <w:szCs w:val="21"/>
          <w:highlight w:val="none"/>
        </w:rPr>
        <w:t>在线解密。</w:t>
      </w:r>
      <w:r>
        <w:rPr>
          <w:rFonts w:hint="eastAsia"/>
          <w:color w:val="auto"/>
          <w:szCs w:val="21"/>
          <w:highlight w:val="none"/>
        </w:rPr>
        <w:t>在线解密电子投标文件时间</w:t>
      </w:r>
      <w:r>
        <w:rPr>
          <w:rFonts w:hint="eastAsia"/>
          <w:b/>
          <w:bCs/>
          <w:color w:val="auto"/>
          <w:szCs w:val="21"/>
          <w:highlight w:val="none"/>
        </w:rPr>
        <w:t>为开标时间起半个小时内；</w:t>
      </w:r>
    </w:p>
    <w:p w14:paraId="31C57F7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color w:val="auto"/>
          <w:szCs w:val="21"/>
          <w:highlight w:val="none"/>
        </w:rPr>
        <w:t>3.</w:t>
      </w:r>
      <w:r>
        <w:rPr>
          <w:rFonts w:hint="eastAsia"/>
          <w:color w:val="auto"/>
          <w:szCs w:val="21"/>
          <w:highlight w:val="none"/>
        </w:rPr>
        <w:t>采购人或代理机构对资格文件进行评审，评标委员会对商务技术响应文件进行评审。</w:t>
      </w:r>
    </w:p>
    <w:p w14:paraId="00B6A93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color w:val="auto"/>
          <w:szCs w:val="21"/>
          <w:highlight w:val="none"/>
        </w:rPr>
        <w:t>4.</w:t>
      </w:r>
      <w:r>
        <w:rPr>
          <w:rFonts w:hint="eastAsia"/>
          <w:color w:val="auto"/>
          <w:szCs w:val="21"/>
          <w:highlight w:val="none"/>
        </w:rPr>
        <w:t>在系统上公开资格和商务技术评审结果；</w:t>
      </w:r>
    </w:p>
    <w:p w14:paraId="7A860E9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color w:val="auto"/>
          <w:szCs w:val="21"/>
          <w:highlight w:val="none"/>
        </w:rPr>
        <w:t>5.</w:t>
      </w:r>
      <w:r>
        <w:rPr>
          <w:rFonts w:hint="eastAsia"/>
          <w:color w:val="auto"/>
          <w:szCs w:val="21"/>
          <w:highlight w:val="none"/>
        </w:rPr>
        <w:t>在系统上公开报价开标情况；</w:t>
      </w:r>
    </w:p>
    <w:p w14:paraId="03EAF43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color w:val="auto"/>
          <w:szCs w:val="21"/>
          <w:highlight w:val="none"/>
        </w:rPr>
        <w:t>6.</w:t>
      </w:r>
      <w:r>
        <w:rPr>
          <w:rFonts w:hint="eastAsia"/>
          <w:color w:val="auto"/>
          <w:szCs w:val="21"/>
          <w:highlight w:val="none"/>
        </w:rPr>
        <w:t>评标委员会对报价情况进行评审；</w:t>
      </w:r>
    </w:p>
    <w:p w14:paraId="67A72E3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color w:val="auto"/>
          <w:szCs w:val="21"/>
          <w:highlight w:val="none"/>
        </w:rPr>
      </w:pPr>
      <w:r>
        <w:rPr>
          <w:color w:val="auto"/>
          <w:szCs w:val="21"/>
          <w:highlight w:val="none"/>
        </w:rPr>
        <w:t>7.</w:t>
      </w:r>
      <w:r>
        <w:rPr>
          <w:rFonts w:hint="eastAsia"/>
          <w:color w:val="auto"/>
          <w:szCs w:val="21"/>
          <w:highlight w:val="none"/>
        </w:rPr>
        <w:t>在系统上公布评审结果。</w:t>
      </w:r>
    </w:p>
    <w:p w14:paraId="13A46D6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color w:val="auto"/>
          <w:szCs w:val="20"/>
          <w:highlight w:val="none"/>
        </w:rPr>
      </w:pPr>
      <w:r>
        <w:rPr>
          <w:rFonts w:hint="eastAsia"/>
          <w:color w:val="auto"/>
          <w:szCs w:val="21"/>
          <w:highlight w:val="none"/>
        </w:rPr>
        <w:t>特别说明：政采云公司如对电子化开标及评审程序有调整的，按调整后的程序操作。</w:t>
      </w:r>
    </w:p>
    <w:p w14:paraId="26054968">
      <w:pPr>
        <w:snapToGrid w:val="0"/>
        <w:spacing w:before="120" w:line="360" w:lineRule="auto"/>
        <w:ind w:right="-87" w:firstLine="3654" w:firstLineChars="1300"/>
        <w:outlineLvl w:val="1"/>
        <w:rPr>
          <w:b/>
          <w:color w:val="auto"/>
          <w:sz w:val="28"/>
          <w:highlight w:val="none"/>
        </w:rPr>
      </w:pPr>
      <w:r>
        <w:rPr>
          <w:rFonts w:hint="eastAsia"/>
          <w:b/>
          <w:color w:val="auto"/>
          <w:sz w:val="28"/>
          <w:highlight w:val="none"/>
        </w:rPr>
        <w:t>五、评标</w:t>
      </w:r>
    </w:p>
    <w:p w14:paraId="33DDD779">
      <w:pPr>
        <w:keepNext w:val="0"/>
        <w:keepLines w:val="0"/>
        <w:pageBreakBefore w:val="0"/>
        <w:widowControl w:val="0"/>
        <w:kinsoku/>
        <w:wordWrap/>
        <w:overflowPunct/>
        <w:topLinePunct w:val="0"/>
        <w:autoSpaceDE/>
        <w:autoSpaceDN/>
        <w:bidi w:val="0"/>
        <w:adjustRightInd/>
        <w:snapToGrid w:val="0"/>
        <w:spacing w:line="360" w:lineRule="auto"/>
        <w:ind w:right="0"/>
        <w:textAlignment w:val="auto"/>
        <w:rPr>
          <w:b/>
          <w:color w:val="auto"/>
          <w:highlight w:val="none"/>
        </w:rPr>
      </w:pPr>
      <w:r>
        <w:rPr>
          <w:rFonts w:hint="eastAsia"/>
          <w:b/>
          <w:color w:val="auto"/>
          <w:highlight w:val="none"/>
        </w:rPr>
        <w:t>（一）组建评标委员会</w:t>
      </w:r>
    </w:p>
    <w:p w14:paraId="60A01BBD">
      <w:pPr>
        <w:keepNext w:val="0"/>
        <w:keepLines w:val="0"/>
        <w:pageBreakBefore w:val="0"/>
        <w:widowControl w:val="0"/>
        <w:kinsoku/>
        <w:wordWrap/>
        <w:overflowPunct/>
        <w:topLinePunct w:val="0"/>
        <w:autoSpaceDE/>
        <w:autoSpaceDN/>
        <w:bidi w:val="0"/>
        <w:adjustRightInd/>
        <w:snapToGrid w:val="0"/>
        <w:spacing w:line="360" w:lineRule="auto"/>
        <w:ind w:right="0" w:firstLine="420" w:firstLineChars="200"/>
        <w:textAlignment w:val="auto"/>
        <w:rPr>
          <w:color w:val="auto"/>
          <w:highlight w:val="none"/>
        </w:rPr>
      </w:pPr>
      <w:r>
        <w:rPr>
          <w:rFonts w:hint="eastAsia"/>
          <w:color w:val="auto"/>
          <w:highlight w:val="none"/>
        </w:rPr>
        <w:t>评标委员会由采购人代表和评审专家组成，成员人数为5人（含）以上单数，其中评审专家不得少于成员总数的三分之二。</w:t>
      </w:r>
    </w:p>
    <w:p w14:paraId="7955193E">
      <w:pPr>
        <w:keepNext w:val="0"/>
        <w:keepLines w:val="0"/>
        <w:pageBreakBefore w:val="0"/>
        <w:widowControl w:val="0"/>
        <w:kinsoku/>
        <w:wordWrap/>
        <w:overflowPunct/>
        <w:topLinePunct w:val="0"/>
        <w:autoSpaceDE/>
        <w:autoSpaceDN/>
        <w:bidi w:val="0"/>
        <w:adjustRightInd/>
        <w:snapToGrid w:val="0"/>
        <w:spacing w:line="360" w:lineRule="auto"/>
        <w:ind w:right="0"/>
        <w:textAlignment w:val="auto"/>
        <w:rPr>
          <w:b/>
          <w:color w:val="auto"/>
          <w:highlight w:val="none"/>
        </w:rPr>
      </w:pPr>
      <w:r>
        <w:rPr>
          <w:rFonts w:hint="eastAsia"/>
          <w:b/>
          <w:color w:val="auto"/>
          <w:highlight w:val="none"/>
        </w:rPr>
        <w:t>（二）评标程序</w:t>
      </w:r>
    </w:p>
    <w:p w14:paraId="50B65BD4">
      <w:pPr>
        <w:keepNext w:val="0"/>
        <w:keepLines w:val="0"/>
        <w:pageBreakBefore w:val="0"/>
        <w:widowControl w:val="0"/>
        <w:kinsoku/>
        <w:wordWrap/>
        <w:overflowPunct/>
        <w:topLinePunct w:val="0"/>
        <w:autoSpaceDE/>
        <w:autoSpaceDN/>
        <w:bidi w:val="0"/>
        <w:adjustRightInd/>
        <w:snapToGrid w:val="0"/>
        <w:spacing w:line="360" w:lineRule="auto"/>
        <w:ind w:right="0"/>
        <w:textAlignment w:val="auto"/>
        <w:rPr>
          <w:color w:val="auto"/>
          <w:szCs w:val="21"/>
          <w:highlight w:val="none"/>
        </w:rPr>
      </w:pPr>
      <w:r>
        <w:rPr>
          <w:b/>
          <w:color w:val="auto"/>
          <w:szCs w:val="21"/>
          <w:highlight w:val="none"/>
        </w:rPr>
        <w:t>1.</w:t>
      </w:r>
      <w:r>
        <w:rPr>
          <w:rFonts w:hint="eastAsia"/>
          <w:b/>
          <w:color w:val="auto"/>
          <w:szCs w:val="21"/>
          <w:highlight w:val="none"/>
        </w:rPr>
        <w:t>投标文件初审。</w:t>
      </w:r>
    </w:p>
    <w:p w14:paraId="7EEDBB0A">
      <w:pPr>
        <w:snapToGrid w:val="0"/>
        <w:spacing w:line="360" w:lineRule="auto"/>
        <w:ind w:right="-87" w:firstLine="420" w:firstLineChars="200"/>
        <w:rPr>
          <w:b/>
          <w:color w:val="auto"/>
          <w:szCs w:val="21"/>
          <w:highlight w:val="none"/>
        </w:rPr>
      </w:pPr>
      <w:r>
        <w:rPr>
          <w:rFonts w:hint="eastAsia"/>
          <w:color w:val="auto"/>
          <w:szCs w:val="21"/>
          <w:highlight w:val="none"/>
        </w:rPr>
        <w:t>初审分为资格性检查和符合性检查。</w:t>
      </w:r>
    </w:p>
    <w:p w14:paraId="012D6579">
      <w:pPr>
        <w:adjustRightInd w:val="0"/>
        <w:snapToGrid w:val="0"/>
        <w:spacing w:line="360" w:lineRule="auto"/>
        <w:ind w:firstLine="420" w:firstLineChars="200"/>
        <w:jc w:val="left"/>
        <w:rPr>
          <w:color w:val="auto"/>
          <w:szCs w:val="21"/>
          <w:highlight w:val="none"/>
        </w:rPr>
      </w:pPr>
      <w:r>
        <w:rPr>
          <w:color w:val="auto"/>
          <w:szCs w:val="21"/>
          <w:highlight w:val="none"/>
        </w:rPr>
        <w:t>1.1</w:t>
      </w:r>
      <w:r>
        <w:rPr>
          <w:rFonts w:hint="eastAsia"/>
          <w:color w:val="auto"/>
          <w:szCs w:val="21"/>
          <w:highlight w:val="none"/>
        </w:rPr>
        <w:t>资格性检查。依据法律法规和采购文件的规定，对投标文件中的资格证明等进行审查，以确定投标人是否具备投标资格。</w:t>
      </w:r>
    </w:p>
    <w:p w14:paraId="459A89BB">
      <w:pPr>
        <w:adjustRightInd w:val="0"/>
        <w:snapToGrid w:val="0"/>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符合性检查。依据采购文件的规定，从投标文件的有效性、完整性和对采购文件的响应程度进行审查，以确定是否对采购文件的实质性要求作出响应。</w:t>
      </w:r>
    </w:p>
    <w:p w14:paraId="54A29C4E">
      <w:pPr>
        <w:snapToGrid w:val="0"/>
        <w:spacing w:line="360" w:lineRule="auto"/>
        <w:ind w:right="-87"/>
        <w:rPr>
          <w:b/>
          <w:color w:val="auto"/>
          <w:sz w:val="24"/>
          <w:highlight w:val="none"/>
        </w:rPr>
      </w:pPr>
      <w:r>
        <w:rPr>
          <w:b/>
          <w:color w:val="auto"/>
          <w:sz w:val="24"/>
          <w:highlight w:val="none"/>
        </w:rPr>
        <w:t>2.</w:t>
      </w:r>
      <w:r>
        <w:rPr>
          <w:rFonts w:hint="eastAsia"/>
          <w:b/>
          <w:color w:val="auto"/>
          <w:szCs w:val="21"/>
          <w:highlight w:val="none"/>
        </w:rPr>
        <w:t>实质审查</w:t>
      </w:r>
    </w:p>
    <w:p w14:paraId="7D534BAD">
      <w:pPr>
        <w:spacing w:line="360" w:lineRule="auto"/>
        <w:ind w:firstLine="420" w:firstLineChars="200"/>
        <w:rPr>
          <w:color w:val="auto"/>
          <w:kern w:val="0"/>
          <w:szCs w:val="21"/>
          <w:highlight w:val="none"/>
        </w:rPr>
      </w:pPr>
      <w:r>
        <w:rPr>
          <w:rFonts w:hint="eastAsia"/>
          <w:color w:val="auto"/>
          <w:kern w:val="0"/>
          <w:szCs w:val="21"/>
          <w:highlight w:val="none"/>
        </w:rPr>
        <w:t>（</w:t>
      </w:r>
      <w:r>
        <w:rPr>
          <w:color w:val="auto"/>
          <w:kern w:val="0"/>
          <w:szCs w:val="21"/>
          <w:highlight w:val="none"/>
        </w:rPr>
        <w:t>1</w:t>
      </w:r>
      <w:r>
        <w:rPr>
          <w:rFonts w:hint="eastAsia"/>
          <w:color w:val="auto"/>
          <w:kern w:val="0"/>
          <w:szCs w:val="21"/>
          <w:highlight w:val="none"/>
        </w:rPr>
        <w:t>）评标委员会审查投标文件的实质性内容是否符合采购文件的实质性要求。</w:t>
      </w:r>
    </w:p>
    <w:p w14:paraId="7F8B28E6">
      <w:pPr>
        <w:spacing w:line="360" w:lineRule="auto"/>
        <w:ind w:firstLine="420" w:firstLineChars="200"/>
        <w:rPr>
          <w:color w:val="auto"/>
          <w:kern w:val="0"/>
          <w:szCs w:val="21"/>
          <w:highlight w:val="none"/>
        </w:rPr>
      </w:pPr>
      <w:r>
        <w:rPr>
          <w:rFonts w:hint="eastAsia"/>
          <w:color w:val="auto"/>
          <w:kern w:val="0"/>
          <w:szCs w:val="21"/>
          <w:highlight w:val="none"/>
        </w:rPr>
        <w:t>（</w:t>
      </w:r>
      <w:r>
        <w:rPr>
          <w:color w:val="auto"/>
          <w:kern w:val="0"/>
          <w:szCs w:val="21"/>
          <w:highlight w:val="none"/>
        </w:rPr>
        <w:t>2</w:t>
      </w:r>
      <w:r>
        <w:rPr>
          <w:rFonts w:hint="eastAsia"/>
          <w:color w:val="auto"/>
          <w:kern w:val="0"/>
          <w:szCs w:val="21"/>
          <w:highlight w:val="none"/>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18AD05E7">
      <w:pPr>
        <w:spacing w:line="360" w:lineRule="auto"/>
        <w:ind w:firstLine="420" w:firstLineChars="200"/>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）评审小组商务、技术方案响应性评定；</w:t>
      </w:r>
    </w:p>
    <w:p w14:paraId="40C83C9E">
      <w:pPr>
        <w:spacing w:line="360" w:lineRule="auto"/>
        <w:ind w:firstLine="420" w:firstLineChars="200"/>
        <w:rPr>
          <w:color w:val="auto"/>
          <w:kern w:val="0"/>
          <w:szCs w:val="21"/>
          <w:highlight w:val="none"/>
        </w:rPr>
      </w:pPr>
      <w:r>
        <w:rPr>
          <w:rFonts w:hint="eastAsia"/>
          <w:color w:val="auto"/>
          <w:kern w:val="0"/>
          <w:szCs w:val="21"/>
          <w:highlight w:val="none"/>
        </w:rPr>
        <w:t>（</w:t>
      </w:r>
      <w:r>
        <w:rPr>
          <w:color w:val="auto"/>
          <w:kern w:val="0"/>
          <w:szCs w:val="21"/>
          <w:highlight w:val="none"/>
        </w:rPr>
        <w:t>4</w:t>
      </w:r>
      <w:r>
        <w:rPr>
          <w:rFonts w:hint="eastAsia"/>
          <w:color w:val="auto"/>
          <w:kern w:val="0"/>
          <w:szCs w:val="21"/>
          <w:highlight w:val="none"/>
        </w:rPr>
        <w:t>）各投标人的技术得分为所有评委的有效评分的算术平均数，由指定专人进行计算复核。</w:t>
      </w:r>
    </w:p>
    <w:p w14:paraId="5CCA6119">
      <w:pPr>
        <w:spacing w:line="360" w:lineRule="auto"/>
        <w:ind w:firstLine="420" w:firstLineChars="200"/>
        <w:rPr>
          <w:b/>
          <w:color w:val="auto"/>
          <w:szCs w:val="21"/>
          <w:highlight w:val="none"/>
        </w:rPr>
      </w:pPr>
      <w:r>
        <w:rPr>
          <w:rFonts w:hint="eastAsia"/>
          <w:color w:val="auto"/>
          <w:kern w:val="0"/>
          <w:szCs w:val="21"/>
          <w:highlight w:val="none"/>
        </w:rPr>
        <w:t>（</w:t>
      </w:r>
      <w:r>
        <w:rPr>
          <w:color w:val="auto"/>
          <w:kern w:val="0"/>
          <w:szCs w:val="21"/>
          <w:highlight w:val="none"/>
        </w:rPr>
        <w:t>5</w:t>
      </w:r>
      <w:r>
        <w:rPr>
          <w:rFonts w:hint="eastAsia"/>
          <w:color w:val="auto"/>
          <w:kern w:val="0"/>
          <w:szCs w:val="21"/>
          <w:highlight w:val="none"/>
        </w:rPr>
        <w:t>）评标委员会完成评标后，评委对各部分得分汇总，计算出本项目</w:t>
      </w:r>
      <w:r>
        <w:rPr>
          <w:rFonts w:hint="eastAsia"/>
          <w:color w:val="auto"/>
          <w:kern w:val="0"/>
          <w:szCs w:val="21"/>
          <w:highlight w:val="none"/>
          <w:lang w:eastAsia="zh-CN"/>
        </w:rPr>
        <w:t>综合得分</w:t>
      </w:r>
      <w:r>
        <w:rPr>
          <w:rFonts w:hint="eastAsia"/>
          <w:color w:val="auto"/>
          <w:kern w:val="0"/>
          <w:szCs w:val="21"/>
          <w:highlight w:val="none"/>
        </w:rPr>
        <w:t>。评标委员会按评标原则通过电子系统向采购人及采购代理机构提交评审报告。</w:t>
      </w:r>
    </w:p>
    <w:p w14:paraId="5AFBE4E8">
      <w:pPr>
        <w:spacing w:line="360" w:lineRule="auto"/>
        <w:rPr>
          <w:b/>
          <w:color w:val="auto"/>
          <w:szCs w:val="21"/>
          <w:highlight w:val="none"/>
        </w:rPr>
      </w:pPr>
      <w:r>
        <w:rPr>
          <w:rFonts w:hint="eastAsia"/>
          <w:b/>
          <w:color w:val="auto"/>
          <w:szCs w:val="21"/>
          <w:highlight w:val="none"/>
        </w:rPr>
        <w:t>（三）澄清问题的形式</w:t>
      </w:r>
    </w:p>
    <w:p w14:paraId="0C89768B">
      <w:pPr>
        <w:snapToGrid w:val="0"/>
        <w:spacing w:line="360" w:lineRule="auto"/>
        <w:ind w:left="228" w:right="-87" w:firstLine="420" w:firstLineChars="200"/>
        <w:rPr>
          <w:color w:val="auto"/>
          <w:highlight w:val="none"/>
        </w:rPr>
      </w:pPr>
      <w:r>
        <w:rPr>
          <w:rFonts w:hint="eastAsia"/>
          <w:color w:val="auto"/>
          <w:highlight w:val="none"/>
        </w:rPr>
        <w:t>对投标文件中含义不明确、同类问题表述不一致或者有明显文字和计算错误的内容，评标委员会可要求投标人作出必要的澄清、说明或者纠正。投标人与评审小组</w:t>
      </w:r>
      <w:r>
        <w:rPr>
          <w:rFonts w:hint="eastAsia"/>
          <w:color w:val="auto"/>
          <w:szCs w:val="21"/>
          <w:highlight w:val="none"/>
        </w:rPr>
        <w:t>通过电子交易平台交换数据电文的形式进行</w:t>
      </w:r>
      <w:r>
        <w:rPr>
          <w:rFonts w:hint="eastAsia"/>
          <w:color w:val="auto"/>
          <w:highlight w:val="none"/>
        </w:rPr>
        <w:t>，给予投标人提交澄清说明或补正的时间不少于半个小时，投标人已经明确表示澄清说明或补正完毕的除外。不得超出投标文件的范围或者改变投标文件的实质性内容。</w:t>
      </w:r>
    </w:p>
    <w:p w14:paraId="1095794E">
      <w:pPr>
        <w:keepNext w:val="0"/>
        <w:keepLines w:val="0"/>
        <w:pageBreakBefore w:val="0"/>
        <w:widowControl w:val="0"/>
        <w:kinsoku/>
        <w:wordWrap/>
        <w:overflowPunct/>
        <w:topLinePunct w:val="0"/>
        <w:autoSpaceDE/>
        <w:autoSpaceDN/>
        <w:bidi w:val="0"/>
        <w:adjustRightInd/>
        <w:snapToGrid w:val="0"/>
        <w:spacing w:line="360" w:lineRule="auto"/>
        <w:textAlignment w:val="auto"/>
        <w:rPr>
          <w:b/>
          <w:color w:val="auto"/>
          <w:szCs w:val="21"/>
          <w:highlight w:val="none"/>
        </w:rPr>
      </w:pPr>
      <w:r>
        <w:rPr>
          <w:rFonts w:hint="eastAsia"/>
          <w:b/>
          <w:color w:val="auto"/>
          <w:szCs w:val="21"/>
          <w:highlight w:val="none"/>
        </w:rPr>
        <w:t>（四）错误修正</w:t>
      </w:r>
    </w:p>
    <w:p w14:paraId="515B71C3">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color w:val="auto"/>
          <w:szCs w:val="21"/>
          <w:highlight w:val="none"/>
        </w:rPr>
      </w:pPr>
      <w:r>
        <w:rPr>
          <w:color w:val="auto"/>
          <w:szCs w:val="21"/>
          <w:highlight w:val="none"/>
        </w:rPr>
        <w:t>投标文件如果出现计算或表达上的错误，修正错误的原则如下：</w:t>
      </w:r>
    </w:p>
    <w:p w14:paraId="3C282A2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color w:val="auto"/>
          <w:szCs w:val="21"/>
          <w:highlight w:val="none"/>
        </w:rPr>
      </w:pPr>
      <w:r>
        <w:rPr>
          <w:rFonts w:hint="eastAsia"/>
          <w:color w:val="auto"/>
          <w:szCs w:val="21"/>
          <w:highlight w:val="none"/>
        </w:rPr>
        <w:t>1.投标文件中开标一览表（报价表）内容与投标文件中相应内容不一致的，以开标一览表（报价表）为准；</w:t>
      </w:r>
    </w:p>
    <w:p w14:paraId="6BE695C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highlight w:val="none"/>
        </w:rPr>
      </w:pPr>
      <w:r>
        <w:rPr>
          <w:rFonts w:hint="eastAsia"/>
          <w:color w:val="auto"/>
          <w:szCs w:val="21"/>
          <w:highlight w:val="none"/>
        </w:rPr>
        <w:t>2.大写金额和小写金额不一致的，以大写金额为准；</w:t>
      </w:r>
    </w:p>
    <w:p w14:paraId="080CCB3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highlight w:val="none"/>
        </w:rPr>
      </w:pPr>
      <w:r>
        <w:rPr>
          <w:rFonts w:hint="eastAsia"/>
          <w:color w:val="auto"/>
          <w:szCs w:val="21"/>
          <w:highlight w:val="none"/>
        </w:rPr>
        <w:t>3.单价金额小数点或者百分比有明显错位的，以开标一览表的总价为准，并修改单价；</w:t>
      </w:r>
    </w:p>
    <w:p w14:paraId="6DDBA67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highlight w:val="none"/>
        </w:rPr>
      </w:pPr>
      <w:r>
        <w:rPr>
          <w:rFonts w:hint="eastAsia"/>
          <w:color w:val="auto"/>
          <w:szCs w:val="21"/>
          <w:highlight w:val="none"/>
        </w:rPr>
        <w:t>4.总价金额与按单价汇总金额不一致的，以单价金额计算结果为准。</w:t>
      </w:r>
    </w:p>
    <w:p w14:paraId="1E8DD54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b/>
          <w:bCs/>
          <w:color w:val="auto"/>
          <w:szCs w:val="21"/>
          <w:highlight w:val="none"/>
        </w:rPr>
      </w:pPr>
      <w:r>
        <w:rPr>
          <w:rFonts w:hint="eastAsia"/>
          <w:b/>
          <w:bCs/>
          <w:color w:val="auto"/>
          <w:szCs w:val="21"/>
          <w:highlight w:val="none"/>
        </w:rPr>
        <w:t>同时出现两种以上不一致的，按照前款规定的顺序修正。</w:t>
      </w:r>
    </w:p>
    <w:p w14:paraId="423C11E2">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color w:val="auto"/>
          <w:szCs w:val="21"/>
          <w:highlight w:val="none"/>
        </w:rPr>
      </w:pPr>
      <w:r>
        <w:rPr>
          <w:b/>
          <w:color w:val="auto"/>
          <w:szCs w:val="21"/>
          <w:highlight w:val="none"/>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1586E611">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hint="eastAsia" w:eastAsia="宋体"/>
          <w:b/>
          <w:color w:val="auto"/>
          <w:szCs w:val="21"/>
          <w:highlight w:val="none"/>
          <w:lang w:eastAsia="zh-CN"/>
        </w:rPr>
      </w:pPr>
      <w:r>
        <w:rPr>
          <w:rFonts w:hint="eastAsia"/>
          <w:b/>
          <w:color w:val="auto"/>
          <w:szCs w:val="21"/>
          <w:highlight w:val="none"/>
        </w:rPr>
        <w:t>（五）评标原则和</w:t>
      </w:r>
      <w:r>
        <w:rPr>
          <w:rFonts w:hint="eastAsia"/>
          <w:b/>
          <w:color w:val="auto"/>
          <w:szCs w:val="21"/>
          <w:highlight w:val="none"/>
          <w:lang w:eastAsia="zh-CN"/>
        </w:rPr>
        <w:t>评标方法</w:t>
      </w:r>
    </w:p>
    <w:p w14:paraId="7334E148">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color w:val="auto"/>
          <w:szCs w:val="21"/>
          <w:highlight w:val="none"/>
        </w:rPr>
      </w:pPr>
      <w:r>
        <w:rPr>
          <w:color w:val="auto"/>
          <w:szCs w:val="21"/>
          <w:highlight w:val="none"/>
        </w:rPr>
        <w:t>1.</w:t>
      </w:r>
      <w:r>
        <w:rPr>
          <w:rFonts w:hint="eastAsia"/>
          <w:color w:val="auto"/>
          <w:szCs w:val="21"/>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4EB36F75">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color w:val="auto"/>
          <w:sz w:val="24"/>
          <w:highlight w:val="none"/>
        </w:rPr>
      </w:pPr>
      <w:r>
        <w:rPr>
          <w:color w:val="auto"/>
          <w:szCs w:val="21"/>
          <w:highlight w:val="none"/>
        </w:rPr>
        <w:t>2.</w:t>
      </w:r>
      <w:r>
        <w:rPr>
          <w:rFonts w:hint="eastAsia"/>
          <w:color w:val="auto"/>
          <w:szCs w:val="21"/>
          <w:highlight w:val="none"/>
          <w:lang w:eastAsia="zh-CN"/>
        </w:rPr>
        <w:t>评标方法</w:t>
      </w:r>
      <w:r>
        <w:rPr>
          <w:rFonts w:hint="eastAsia"/>
          <w:color w:val="auto"/>
          <w:szCs w:val="21"/>
          <w:highlight w:val="none"/>
        </w:rPr>
        <w:t>。本项目</w:t>
      </w:r>
      <w:r>
        <w:rPr>
          <w:rFonts w:hint="eastAsia"/>
          <w:color w:val="auto"/>
          <w:szCs w:val="21"/>
          <w:highlight w:val="none"/>
          <w:lang w:eastAsia="zh-CN"/>
        </w:rPr>
        <w:t>评标方法</w:t>
      </w:r>
      <w:r>
        <w:rPr>
          <w:rFonts w:hint="eastAsia"/>
          <w:color w:val="auto"/>
          <w:szCs w:val="21"/>
          <w:highlight w:val="none"/>
        </w:rPr>
        <w:t>是</w:t>
      </w:r>
      <w:r>
        <w:rPr>
          <w:rFonts w:hint="eastAsia"/>
          <w:color w:val="auto"/>
          <w:szCs w:val="21"/>
          <w:highlight w:val="none"/>
          <w:u w:val="single"/>
        </w:rPr>
        <w:t>综合评分法</w:t>
      </w:r>
      <w:r>
        <w:rPr>
          <w:rFonts w:hint="eastAsia"/>
          <w:color w:val="auto"/>
          <w:szCs w:val="21"/>
          <w:highlight w:val="none"/>
        </w:rPr>
        <w:t>，具体评标内容及评分标准等详见《第四章：</w:t>
      </w:r>
      <w:r>
        <w:rPr>
          <w:rFonts w:hint="eastAsia"/>
          <w:color w:val="auto"/>
          <w:szCs w:val="21"/>
          <w:highlight w:val="none"/>
          <w:lang w:eastAsia="zh-CN"/>
        </w:rPr>
        <w:t>评标方法</w:t>
      </w:r>
      <w:r>
        <w:rPr>
          <w:rFonts w:hint="eastAsia"/>
          <w:color w:val="auto"/>
          <w:szCs w:val="21"/>
          <w:highlight w:val="none"/>
        </w:rPr>
        <w:t>及评分标准》。</w:t>
      </w:r>
    </w:p>
    <w:p w14:paraId="54C7AF59">
      <w:pPr>
        <w:keepNext w:val="0"/>
        <w:keepLines w:val="0"/>
        <w:pageBreakBefore w:val="0"/>
        <w:widowControl/>
        <w:kinsoku/>
        <w:wordWrap/>
        <w:overflowPunct/>
        <w:topLinePunct w:val="0"/>
        <w:autoSpaceDE/>
        <w:autoSpaceDN/>
        <w:bidi w:val="0"/>
        <w:adjustRightInd/>
        <w:snapToGrid w:val="0"/>
        <w:spacing w:line="360" w:lineRule="auto"/>
        <w:ind w:right="0"/>
        <w:textAlignment w:val="auto"/>
        <w:rPr>
          <w:b/>
          <w:color w:val="auto"/>
          <w:szCs w:val="21"/>
          <w:highlight w:val="none"/>
        </w:rPr>
      </w:pPr>
      <w:r>
        <w:rPr>
          <w:rFonts w:hint="eastAsia"/>
          <w:b/>
          <w:color w:val="auto"/>
          <w:szCs w:val="21"/>
          <w:highlight w:val="none"/>
        </w:rPr>
        <w:t>（六）评标过程的监控</w:t>
      </w:r>
    </w:p>
    <w:p w14:paraId="0B9ECCFD">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b/>
          <w:color w:val="auto"/>
          <w:sz w:val="28"/>
          <w:szCs w:val="24"/>
          <w:highlight w:val="none"/>
        </w:rPr>
      </w:pPr>
      <w:r>
        <w:rPr>
          <w:rFonts w:hint="eastAsia"/>
          <w:color w:val="auto"/>
          <w:szCs w:val="24"/>
          <w:highlight w:val="none"/>
        </w:rPr>
        <w:t>本项目评标过程实行全程录音、录像监控。</w:t>
      </w:r>
    </w:p>
    <w:p w14:paraId="11C37511">
      <w:pPr>
        <w:snapToGrid w:val="0"/>
        <w:spacing w:before="120" w:line="360" w:lineRule="auto"/>
        <w:ind w:right="-87"/>
        <w:jc w:val="center"/>
        <w:outlineLvl w:val="1"/>
        <w:rPr>
          <w:rFonts w:hint="eastAsia"/>
          <w:b/>
          <w:color w:val="auto"/>
          <w:sz w:val="28"/>
          <w:highlight w:val="none"/>
        </w:rPr>
      </w:pPr>
    </w:p>
    <w:p w14:paraId="662ACFB6">
      <w:pPr>
        <w:snapToGrid w:val="0"/>
        <w:spacing w:before="120" w:line="360" w:lineRule="auto"/>
        <w:ind w:right="-87"/>
        <w:jc w:val="center"/>
        <w:outlineLvl w:val="1"/>
        <w:rPr>
          <w:b/>
          <w:color w:val="auto"/>
          <w:sz w:val="28"/>
          <w:highlight w:val="none"/>
        </w:rPr>
      </w:pPr>
      <w:r>
        <w:rPr>
          <w:rFonts w:hint="eastAsia"/>
          <w:b/>
          <w:color w:val="auto"/>
          <w:sz w:val="28"/>
          <w:highlight w:val="none"/>
        </w:rPr>
        <w:t>六、定标</w:t>
      </w:r>
    </w:p>
    <w:p w14:paraId="136F761A">
      <w:pPr>
        <w:keepNext w:val="0"/>
        <w:keepLines w:val="0"/>
        <w:pageBreakBefore w:val="0"/>
        <w:widowControl w:val="0"/>
        <w:kinsoku/>
        <w:wordWrap/>
        <w:overflowPunct/>
        <w:topLinePunct w:val="0"/>
        <w:autoSpaceDE/>
        <w:autoSpaceDN/>
        <w:bidi w:val="0"/>
        <w:adjustRightInd/>
        <w:snapToGrid w:val="0"/>
        <w:spacing w:line="360" w:lineRule="auto"/>
        <w:textAlignment w:val="auto"/>
        <w:rPr>
          <w:b/>
          <w:color w:val="auto"/>
          <w:szCs w:val="21"/>
          <w:highlight w:val="none"/>
        </w:rPr>
      </w:pPr>
      <w:r>
        <w:rPr>
          <w:rFonts w:hint="eastAsia"/>
          <w:b/>
          <w:color w:val="auto"/>
          <w:szCs w:val="21"/>
          <w:highlight w:val="none"/>
        </w:rPr>
        <w:t>（一）确定中标人。</w:t>
      </w:r>
    </w:p>
    <w:p w14:paraId="36127606">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b/>
          <w:color w:val="auto"/>
          <w:szCs w:val="21"/>
          <w:highlight w:val="none"/>
        </w:rPr>
      </w:pPr>
      <w:r>
        <w:rPr>
          <w:rFonts w:hint="eastAsia"/>
          <w:color w:val="auto"/>
          <w:szCs w:val="21"/>
          <w:highlight w:val="none"/>
        </w:rPr>
        <w:t>本项目由采购人事先授权评审小组确定候选中标人</w:t>
      </w:r>
      <w:r>
        <w:rPr>
          <w:color w:val="auto"/>
          <w:szCs w:val="21"/>
          <w:highlight w:val="none"/>
        </w:rPr>
        <w:t>1</w:t>
      </w:r>
      <w:r>
        <w:rPr>
          <w:rFonts w:hint="eastAsia"/>
          <w:color w:val="auto"/>
          <w:szCs w:val="21"/>
          <w:highlight w:val="none"/>
        </w:rPr>
        <w:t>名。经采购人确认后，确定项目中标人，同时发布采购结果公告</w:t>
      </w:r>
      <w:r>
        <w:rPr>
          <w:rFonts w:hint="eastAsia"/>
          <w:b/>
          <w:color w:val="auto"/>
          <w:szCs w:val="21"/>
          <w:highlight w:val="none"/>
        </w:rPr>
        <w:t>（中标人通过政采云系统领取中标通知书）。</w:t>
      </w:r>
    </w:p>
    <w:p w14:paraId="7D468EF4">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color w:val="auto"/>
          <w:szCs w:val="21"/>
          <w:highlight w:val="none"/>
        </w:rPr>
      </w:pPr>
      <w:r>
        <w:rPr>
          <w:color w:val="auto"/>
          <w:szCs w:val="21"/>
          <w:highlight w:val="none"/>
        </w:rPr>
        <w:t>1.</w:t>
      </w:r>
      <w:r>
        <w:rPr>
          <w:rFonts w:hint="eastAsia"/>
          <w:color w:val="auto"/>
          <w:szCs w:val="21"/>
          <w:highlight w:val="none"/>
        </w:rPr>
        <w:t>采购代理机构在评标结束后在</w:t>
      </w:r>
      <w:r>
        <w:rPr>
          <w:color w:val="auto"/>
          <w:szCs w:val="21"/>
          <w:highlight w:val="none"/>
        </w:rPr>
        <w:t>2</w:t>
      </w:r>
      <w:r>
        <w:rPr>
          <w:rFonts w:hint="eastAsia"/>
          <w:color w:val="auto"/>
          <w:szCs w:val="21"/>
          <w:highlight w:val="none"/>
        </w:rPr>
        <w:t>个工作日内将评审报告交采购人确认。</w:t>
      </w:r>
    </w:p>
    <w:p w14:paraId="16E7317C">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color w:val="auto"/>
          <w:szCs w:val="21"/>
          <w:highlight w:val="none"/>
        </w:rPr>
      </w:pPr>
      <w:r>
        <w:rPr>
          <w:color w:val="auto"/>
          <w:szCs w:val="21"/>
          <w:highlight w:val="none"/>
        </w:rPr>
        <w:t>2.</w:t>
      </w:r>
      <w:r>
        <w:rPr>
          <w:rFonts w:hint="eastAsia"/>
          <w:color w:val="auto"/>
          <w:szCs w:val="21"/>
          <w:highlight w:val="none"/>
        </w:rPr>
        <w:t>投标人对评审结果无异议的，采购人应在收到评审报告后</w:t>
      </w:r>
      <w:r>
        <w:rPr>
          <w:color w:val="auto"/>
          <w:szCs w:val="21"/>
          <w:highlight w:val="none"/>
        </w:rPr>
        <w:t>5</w:t>
      </w:r>
      <w:r>
        <w:rPr>
          <w:rFonts w:hint="eastAsia"/>
          <w:color w:val="auto"/>
          <w:szCs w:val="21"/>
          <w:highlight w:val="none"/>
        </w:rPr>
        <w:t>个工作日内对评审结果进行确认。如有投标人对评审结果提出质疑的，采购人可在质疑处理完毕后确定中标人。</w:t>
      </w:r>
    </w:p>
    <w:p w14:paraId="3E622BDA">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color w:val="auto"/>
          <w:szCs w:val="21"/>
          <w:highlight w:val="none"/>
        </w:rPr>
      </w:pPr>
      <w:r>
        <w:rPr>
          <w:color w:val="auto"/>
          <w:szCs w:val="21"/>
          <w:highlight w:val="none"/>
        </w:rPr>
        <w:t>3.</w:t>
      </w:r>
      <w:r>
        <w:rPr>
          <w:rFonts w:hint="eastAsia"/>
          <w:color w:val="auto"/>
          <w:szCs w:val="21"/>
          <w:highlight w:val="none"/>
        </w:rPr>
        <w:t>采购人依法确定中标人后</w:t>
      </w:r>
      <w:r>
        <w:rPr>
          <w:color w:val="auto"/>
          <w:szCs w:val="21"/>
          <w:highlight w:val="none"/>
        </w:rPr>
        <w:t>2</w:t>
      </w:r>
      <w:r>
        <w:rPr>
          <w:rFonts w:hint="eastAsia"/>
          <w:color w:val="auto"/>
          <w:szCs w:val="21"/>
          <w:highlight w:val="none"/>
        </w:rPr>
        <w:t>个工作日内，采购代理机构发出《中标通知书》</w:t>
      </w:r>
      <w:r>
        <w:rPr>
          <w:color w:val="auto"/>
          <w:szCs w:val="21"/>
          <w:highlight w:val="none"/>
        </w:rPr>
        <w:t>,</w:t>
      </w:r>
      <w:r>
        <w:rPr>
          <w:rFonts w:hint="eastAsia"/>
          <w:color w:val="auto"/>
          <w:szCs w:val="21"/>
          <w:highlight w:val="none"/>
        </w:rPr>
        <w:t>并同时在相关网站上发布中标公告。</w:t>
      </w:r>
    </w:p>
    <w:p w14:paraId="573920D0">
      <w:pPr>
        <w:keepNext w:val="0"/>
        <w:keepLines w:val="0"/>
        <w:pageBreakBefore w:val="0"/>
        <w:widowControl w:val="0"/>
        <w:kinsoku/>
        <w:wordWrap/>
        <w:overflowPunct/>
        <w:topLinePunct w:val="0"/>
        <w:autoSpaceDE/>
        <w:autoSpaceDN/>
        <w:bidi w:val="0"/>
        <w:adjustRightInd/>
        <w:spacing w:line="380" w:lineRule="exact"/>
        <w:textAlignment w:val="auto"/>
        <w:rPr>
          <w:b/>
          <w:color w:val="auto"/>
          <w:highlight w:val="none"/>
        </w:rPr>
      </w:pPr>
      <w:r>
        <w:rPr>
          <w:rFonts w:hint="eastAsia"/>
          <w:color w:val="auto"/>
          <w:szCs w:val="21"/>
          <w:highlight w:val="none"/>
        </w:rPr>
        <w:t>（二）</w:t>
      </w:r>
      <w:r>
        <w:rPr>
          <w:rFonts w:hint="eastAsia"/>
          <w:color w:val="auto"/>
          <w:highlight w:val="none"/>
        </w:rPr>
        <w:t>根据《中华人民共和国招标投标法实施条例》（国务院第</w:t>
      </w:r>
      <w:r>
        <w:rPr>
          <w:color w:val="auto"/>
          <w:highlight w:val="none"/>
        </w:rPr>
        <w:t>613</w:t>
      </w:r>
      <w:r>
        <w:rPr>
          <w:rFonts w:hint="eastAsia"/>
          <w:color w:val="auto"/>
          <w:highlight w:val="none"/>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45ACA481">
      <w:pPr>
        <w:ind w:firstLine="420" w:firstLineChars="200"/>
        <w:rPr>
          <w:color w:val="auto"/>
          <w:szCs w:val="20"/>
          <w:highlight w:val="none"/>
        </w:rPr>
      </w:pPr>
    </w:p>
    <w:p w14:paraId="0B2FB3A5">
      <w:pPr>
        <w:keepNext w:val="0"/>
        <w:keepLines w:val="0"/>
        <w:pageBreakBefore w:val="0"/>
        <w:kinsoku/>
        <w:wordWrap/>
        <w:topLinePunct w:val="0"/>
        <w:bidi w:val="0"/>
        <w:snapToGrid w:val="0"/>
        <w:spacing w:line="360" w:lineRule="auto"/>
        <w:ind w:left="0" w:right="0" w:firstLine="3345" w:firstLineChars="1190"/>
        <w:outlineLvl w:val="1"/>
        <w:rPr>
          <w:b/>
          <w:color w:val="auto"/>
          <w:sz w:val="28"/>
          <w:highlight w:val="none"/>
        </w:rPr>
      </w:pPr>
      <w:r>
        <w:rPr>
          <w:rFonts w:hint="eastAsia"/>
          <w:b/>
          <w:color w:val="auto"/>
          <w:sz w:val="28"/>
          <w:highlight w:val="none"/>
        </w:rPr>
        <w:t>七、合同授予</w:t>
      </w:r>
    </w:p>
    <w:p w14:paraId="400B7F0F">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36" w:lineRule="auto"/>
        <w:ind w:left="-735" w:leftChars="0" w:right="0" w:rightChars="0" w:firstLine="482" w:firstLineChars="200"/>
        <w:jc w:val="left"/>
        <w:textAlignment w:val="baseline"/>
        <w:rPr>
          <w:b/>
          <w:color w:val="auto"/>
          <w:sz w:val="24"/>
          <w:highlight w:val="none"/>
        </w:rPr>
      </w:pPr>
      <w:r>
        <w:rPr>
          <w:rFonts w:hint="eastAsia"/>
          <w:b/>
          <w:color w:val="auto"/>
          <w:sz w:val="24"/>
          <w:highlight w:val="none"/>
          <w:lang w:eastAsia="zh-CN"/>
        </w:rPr>
        <w:t>（</w:t>
      </w:r>
      <w:r>
        <w:rPr>
          <w:rFonts w:hint="eastAsia"/>
          <w:b/>
          <w:color w:val="auto"/>
          <w:sz w:val="24"/>
          <w:highlight w:val="none"/>
          <w:lang w:val="en-US" w:eastAsia="zh-CN"/>
        </w:rPr>
        <w:t>一</w:t>
      </w:r>
      <w:r>
        <w:rPr>
          <w:rFonts w:hint="eastAsia"/>
          <w:b/>
          <w:color w:val="auto"/>
          <w:sz w:val="24"/>
          <w:highlight w:val="none"/>
          <w:lang w:eastAsia="zh-CN"/>
        </w:rPr>
        <w:t>）</w:t>
      </w:r>
      <w:r>
        <w:rPr>
          <w:rFonts w:hint="eastAsia"/>
          <w:b/>
          <w:color w:val="auto"/>
          <w:sz w:val="24"/>
          <w:highlight w:val="none"/>
        </w:rPr>
        <w:t>签订合同</w:t>
      </w:r>
    </w:p>
    <w:p w14:paraId="14162C2F">
      <w:pPr>
        <w:keepNext w:val="0"/>
        <w:keepLines w:val="0"/>
        <w:pageBreakBefore w:val="0"/>
        <w:kinsoku/>
        <w:wordWrap/>
        <w:topLinePunct w:val="0"/>
        <w:bidi w:val="0"/>
        <w:snapToGrid w:val="0"/>
        <w:spacing w:line="336" w:lineRule="auto"/>
        <w:ind w:left="0" w:right="0" w:firstLine="424" w:firstLineChars="202"/>
        <w:rPr>
          <w:color w:val="auto"/>
          <w:highlight w:val="none"/>
        </w:rPr>
      </w:pPr>
      <w:r>
        <w:rPr>
          <w:color w:val="auto"/>
          <w:highlight w:val="none"/>
        </w:rPr>
        <w:t>1.</w:t>
      </w:r>
      <w:r>
        <w:rPr>
          <w:rFonts w:hint="eastAsia"/>
          <w:color w:val="auto"/>
          <w:highlight w:val="none"/>
        </w:rPr>
        <w:t>采购人与中标人应当在《中标通知书》发出之日起</w:t>
      </w:r>
      <w:r>
        <w:rPr>
          <w:color w:val="auto"/>
          <w:highlight w:val="none"/>
        </w:rPr>
        <w:t>30</w:t>
      </w:r>
      <w:r>
        <w:rPr>
          <w:rFonts w:hint="eastAsia"/>
          <w:color w:val="auto"/>
          <w:highlight w:val="none"/>
        </w:rPr>
        <w:t>日内签订政府采购合同。同时，采购代理机构对合同内容进行审查，如发现与采购结果和投标承诺内容不一致的，应予以纠正。</w:t>
      </w:r>
    </w:p>
    <w:p w14:paraId="31A9B05C">
      <w:pPr>
        <w:keepNext w:val="0"/>
        <w:keepLines w:val="0"/>
        <w:pageBreakBefore w:val="0"/>
        <w:kinsoku/>
        <w:wordWrap/>
        <w:topLinePunct w:val="0"/>
        <w:bidi w:val="0"/>
        <w:snapToGrid w:val="0"/>
        <w:spacing w:line="336" w:lineRule="auto"/>
        <w:ind w:left="0" w:right="0" w:firstLine="415" w:firstLineChars="198"/>
        <w:rPr>
          <w:color w:val="auto"/>
          <w:szCs w:val="21"/>
          <w:highlight w:val="none"/>
        </w:rPr>
      </w:pPr>
      <w:r>
        <w:rPr>
          <w:color w:val="auto"/>
          <w:szCs w:val="21"/>
          <w:highlight w:val="none"/>
        </w:rPr>
        <w:t>2.</w:t>
      </w:r>
      <w:r>
        <w:rPr>
          <w:rFonts w:hint="eastAsia"/>
          <w:color w:val="auto"/>
          <w:szCs w:val="21"/>
          <w:highlight w:val="none"/>
        </w:rPr>
        <w:t>中标人拖延、拒签合同的，将上报监管部门并取消中标资格。</w:t>
      </w:r>
    </w:p>
    <w:p w14:paraId="55DF967B">
      <w:pPr>
        <w:keepNext w:val="0"/>
        <w:keepLines w:val="0"/>
        <w:pageBreakBefore w:val="0"/>
        <w:kinsoku/>
        <w:wordWrap/>
        <w:topLinePunct w:val="0"/>
        <w:bidi w:val="0"/>
        <w:snapToGrid w:val="0"/>
        <w:spacing w:line="336" w:lineRule="auto"/>
        <w:ind w:left="0" w:right="0" w:firstLine="415" w:firstLineChars="198"/>
        <w:rPr>
          <w:color w:val="auto"/>
          <w:szCs w:val="21"/>
          <w:highlight w:val="none"/>
        </w:rPr>
      </w:pPr>
      <w:r>
        <w:rPr>
          <w:color w:val="auto"/>
          <w:szCs w:val="21"/>
          <w:highlight w:val="none"/>
        </w:rPr>
        <w:t>3.</w:t>
      </w:r>
      <w:r>
        <w:rPr>
          <w:rFonts w:hint="eastAsia"/>
          <w:color w:val="auto"/>
          <w:szCs w:val="21"/>
          <w:highlight w:val="none"/>
        </w:rPr>
        <w:t>中标人和采购人签订合同，按合同规定的供货时间供货并安装调试完毕。</w:t>
      </w:r>
    </w:p>
    <w:p w14:paraId="7D9CDD72">
      <w:pPr>
        <w:keepNext w:val="0"/>
        <w:keepLines w:val="0"/>
        <w:pageBreakBefore w:val="0"/>
        <w:kinsoku/>
        <w:wordWrap/>
        <w:topLinePunct w:val="0"/>
        <w:bidi w:val="0"/>
        <w:snapToGrid w:val="0"/>
        <w:spacing w:line="336" w:lineRule="auto"/>
        <w:ind w:left="0" w:right="0" w:firstLine="415" w:firstLineChars="198"/>
        <w:rPr>
          <w:color w:val="auto"/>
          <w:szCs w:val="21"/>
          <w:highlight w:val="none"/>
        </w:rPr>
      </w:pPr>
      <w:r>
        <w:rPr>
          <w:color w:val="auto"/>
          <w:szCs w:val="21"/>
          <w:highlight w:val="none"/>
        </w:rPr>
        <w:t>4.</w:t>
      </w:r>
      <w:r>
        <w:rPr>
          <w:rFonts w:hint="eastAsia"/>
          <w:color w:val="auto"/>
          <w:szCs w:val="21"/>
          <w:highlight w:val="none"/>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05E86CC8">
      <w:pPr>
        <w:keepNext w:val="0"/>
        <w:keepLines w:val="0"/>
        <w:pageBreakBefore w:val="0"/>
        <w:kinsoku/>
        <w:wordWrap/>
        <w:topLinePunct w:val="0"/>
        <w:bidi w:val="0"/>
        <w:snapToGrid w:val="0"/>
        <w:spacing w:line="336" w:lineRule="auto"/>
        <w:ind w:left="0" w:right="0"/>
        <w:rPr>
          <w:b/>
          <w:bCs/>
          <w:color w:val="auto"/>
          <w:sz w:val="24"/>
          <w:szCs w:val="24"/>
          <w:highlight w:val="none"/>
        </w:rPr>
      </w:pPr>
      <w:r>
        <w:rPr>
          <w:rFonts w:hint="eastAsia"/>
          <w:b/>
          <w:bCs/>
          <w:color w:val="auto"/>
          <w:sz w:val="24"/>
          <w:szCs w:val="24"/>
          <w:highlight w:val="none"/>
        </w:rPr>
        <w:t>（二）合同公告</w:t>
      </w:r>
    </w:p>
    <w:p w14:paraId="40A1ECA1">
      <w:pPr>
        <w:keepNext w:val="0"/>
        <w:keepLines w:val="0"/>
        <w:pageBreakBefore w:val="0"/>
        <w:kinsoku/>
        <w:wordWrap/>
        <w:topLinePunct w:val="0"/>
        <w:bidi w:val="0"/>
        <w:snapToGrid w:val="0"/>
        <w:spacing w:line="336" w:lineRule="auto"/>
        <w:ind w:left="0" w:right="0" w:firstLine="415" w:firstLineChars="198"/>
        <w:rPr>
          <w:color w:val="auto"/>
          <w:highlight w:val="none"/>
        </w:rPr>
      </w:pPr>
      <w:r>
        <w:rPr>
          <w:rFonts w:hint="eastAsia"/>
          <w:color w:val="auto"/>
          <w:szCs w:val="21"/>
          <w:highlight w:val="none"/>
        </w:rPr>
        <w:t>采购人应当自政府采购合同签订之日起</w:t>
      </w:r>
      <w:r>
        <w:rPr>
          <w:color w:val="auto"/>
          <w:szCs w:val="21"/>
          <w:highlight w:val="none"/>
        </w:rPr>
        <w:t>2</w:t>
      </w:r>
      <w:r>
        <w:rPr>
          <w:rFonts w:hint="eastAsia"/>
          <w:color w:val="auto"/>
          <w:szCs w:val="21"/>
          <w:highlight w:val="none"/>
        </w:rPr>
        <w:t>个工作日内，将政府采购合同在省级以上人民政府财政部门指定的媒体上公告，但政府采购合同中涉及国家秘密、商业秘密的内容除外。</w:t>
      </w:r>
    </w:p>
    <w:p w14:paraId="1EFFAA44">
      <w:pPr>
        <w:snapToGrid w:val="0"/>
        <w:spacing w:before="120" w:line="360" w:lineRule="auto"/>
        <w:ind w:right="-87"/>
        <w:rPr>
          <w:rFonts w:eastAsia="黑体"/>
          <w:color w:val="auto"/>
          <w:sz w:val="30"/>
          <w:highlight w:val="none"/>
        </w:rPr>
      </w:pPr>
    </w:p>
    <w:p w14:paraId="6DDD9272">
      <w:pPr>
        <w:snapToGrid w:val="0"/>
        <w:spacing w:before="120" w:line="360" w:lineRule="auto"/>
        <w:ind w:right="-87"/>
        <w:jc w:val="center"/>
        <w:rPr>
          <w:rFonts w:hint="eastAsia" w:eastAsia="黑体"/>
          <w:color w:val="auto"/>
          <w:sz w:val="30"/>
          <w:highlight w:val="none"/>
        </w:rPr>
      </w:pPr>
    </w:p>
    <w:p w14:paraId="3BAB7EAF">
      <w:pPr>
        <w:snapToGrid w:val="0"/>
        <w:spacing w:before="120" w:line="360" w:lineRule="auto"/>
        <w:ind w:right="-87"/>
        <w:jc w:val="center"/>
        <w:rPr>
          <w:rFonts w:hint="eastAsia" w:eastAsia="黑体"/>
          <w:color w:val="auto"/>
          <w:sz w:val="30"/>
          <w:highlight w:val="none"/>
        </w:rPr>
      </w:pPr>
    </w:p>
    <w:p w14:paraId="08CEDBD8">
      <w:pPr>
        <w:snapToGrid w:val="0"/>
        <w:spacing w:before="120" w:line="360" w:lineRule="auto"/>
        <w:ind w:right="-87"/>
        <w:jc w:val="center"/>
        <w:rPr>
          <w:rFonts w:hint="eastAsia" w:eastAsia="黑体"/>
          <w:color w:val="auto"/>
          <w:sz w:val="30"/>
          <w:highlight w:val="none"/>
        </w:rPr>
      </w:pPr>
    </w:p>
    <w:p w14:paraId="5133BB02">
      <w:pPr>
        <w:snapToGrid w:val="0"/>
        <w:spacing w:before="120" w:line="360" w:lineRule="auto"/>
        <w:ind w:right="-87"/>
        <w:jc w:val="center"/>
        <w:rPr>
          <w:rFonts w:eastAsia="黑体"/>
          <w:color w:val="auto"/>
          <w:sz w:val="30"/>
          <w:highlight w:val="none"/>
        </w:rPr>
      </w:pPr>
      <w:r>
        <w:rPr>
          <w:rFonts w:hint="eastAsia" w:eastAsia="黑体"/>
          <w:color w:val="auto"/>
          <w:sz w:val="30"/>
          <w:highlight w:val="none"/>
        </w:rPr>
        <w:t xml:space="preserve">第四章  </w:t>
      </w:r>
      <w:r>
        <w:rPr>
          <w:rFonts w:hint="eastAsia" w:eastAsia="黑体"/>
          <w:color w:val="auto"/>
          <w:sz w:val="30"/>
          <w:highlight w:val="none"/>
          <w:lang w:eastAsia="zh-CN"/>
        </w:rPr>
        <w:t>评标方法</w:t>
      </w:r>
      <w:r>
        <w:rPr>
          <w:rFonts w:hint="eastAsia" w:eastAsia="黑体"/>
          <w:color w:val="auto"/>
          <w:sz w:val="30"/>
          <w:highlight w:val="none"/>
        </w:rPr>
        <w:t>及评分标准</w:t>
      </w:r>
    </w:p>
    <w:p w14:paraId="489A206E">
      <w:pPr>
        <w:snapToGrid w:val="0"/>
        <w:spacing w:before="120" w:line="336" w:lineRule="auto"/>
        <w:ind w:right="-87" w:firstLine="103" w:firstLineChars="49"/>
        <w:outlineLvl w:val="0"/>
        <w:rPr>
          <w:color w:val="auto"/>
          <w:highlight w:val="none"/>
        </w:rPr>
      </w:pPr>
      <w:r>
        <w:rPr>
          <w:rFonts w:hint="eastAsia"/>
          <w:b/>
          <w:color w:val="auto"/>
          <w:highlight w:val="none"/>
        </w:rPr>
        <w:t>综合评分法</w:t>
      </w:r>
    </w:p>
    <w:p w14:paraId="229A1CE1">
      <w:pPr>
        <w:snapToGrid w:val="0"/>
        <w:spacing w:line="336" w:lineRule="auto"/>
        <w:ind w:right="-87" w:firstLine="1190" w:firstLineChars="494"/>
        <w:jc w:val="center"/>
        <w:rPr>
          <w:rFonts w:hint="eastAsia"/>
          <w:b/>
          <w:color w:val="auto"/>
          <w:sz w:val="24"/>
          <w:szCs w:val="24"/>
          <w:highlight w:val="none"/>
          <w:lang w:eastAsia="zh-CN"/>
        </w:rPr>
      </w:pPr>
      <w:r>
        <w:rPr>
          <w:rFonts w:hint="eastAsia"/>
          <w:b/>
          <w:color w:val="auto"/>
          <w:sz w:val="24"/>
          <w:szCs w:val="24"/>
          <w:highlight w:val="none"/>
          <w:lang w:eastAsia="zh-CN"/>
        </w:rPr>
        <w:t>浙江国际海运职业技术学院2025年中文原版图书采购与服务供应项目</w:t>
      </w:r>
    </w:p>
    <w:p w14:paraId="5BDAFA98">
      <w:pPr>
        <w:snapToGrid w:val="0"/>
        <w:spacing w:line="336" w:lineRule="auto"/>
        <w:ind w:right="-87" w:firstLine="1190" w:firstLineChars="494"/>
        <w:jc w:val="center"/>
        <w:rPr>
          <w:rFonts w:hint="eastAsia" w:eastAsia="宋体"/>
          <w:b/>
          <w:color w:val="auto"/>
          <w:sz w:val="24"/>
          <w:szCs w:val="24"/>
          <w:highlight w:val="none"/>
          <w:lang w:eastAsia="zh-CN"/>
        </w:rPr>
      </w:pPr>
      <w:r>
        <w:rPr>
          <w:rFonts w:hint="eastAsia"/>
          <w:b/>
          <w:color w:val="auto"/>
          <w:sz w:val="24"/>
          <w:szCs w:val="24"/>
          <w:highlight w:val="none"/>
          <w:lang w:eastAsia="zh-CN"/>
        </w:rPr>
        <w:t>评标方法</w:t>
      </w:r>
    </w:p>
    <w:p w14:paraId="7ACC82DD">
      <w:pPr>
        <w:snapToGrid w:val="0"/>
        <w:spacing w:line="336" w:lineRule="auto"/>
        <w:ind w:right="-87" w:firstLine="420"/>
        <w:rPr>
          <w:color w:val="auto"/>
          <w:highlight w:val="none"/>
        </w:rPr>
      </w:pPr>
      <w:r>
        <w:rPr>
          <w:rFonts w:hint="eastAsia"/>
          <w:color w:val="auto"/>
          <w:highlight w:val="none"/>
        </w:rPr>
        <w:t>为公正、公平、科学地选择中标人，根据《中华人民共和国政府采购法》等有关法律法规的规定，并结合本项目的实际，制定本办法。</w:t>
      </w:r>
    </w:p>
    <w:p w14:paraId="12C55CD6">
      <w:pPr>
        <w:snapToGrid w:val="0"/>
        <w:spacing w:line="336" w:lineRule="auto"/>
        <w:ind w:right="-87" w:firstLine="420"/>
        <w:rPr>
          <w:color w:val="auto"/>
          <w:highlight w:val="none"/>
        </w:rPr>
      </w:pPr>
      <w:r>
        <w:rPr>
          <w:rFonts w:hint="eastAsia"/>
          <w:color w:val="auto"/>
          <w:szCs w:val="21"/>
          <w:highlight w:val="none"/>
        </w:rPr>
        <w:t>本办法适用于</w:t>
      </w:r>
      <w:r>
        <w:rPr>
          <w:rFonts w:hint="eastAsia"/>
          <w:color w:val="auto"/>
          <w:szCs w:val="21"/>
          <w:highlight w:val="none"/>
          <w:lang w:eastAsia="zh-CN"/>
        </w:rPr>
        <w:t>浙江国际海运职业技术学院2025年中文原版图书采购与服务供应项目</w:t>
      </w:r>
      <w:r>
        <w:rPr>
          <w:rFonts w:hint="eastAsia"/>
          <w:color w:val="auto"/>
          <w:szCs w:val="21"/>
          <w:highlight w:val="none"/>
        </w:rPr>
        <w:t>的评标。</w:t>
      </w:r>
    </w:p>
    <w:p w14:paraId="38873DA8">
      <w:pPr>
        <w:snapToGrid w:val="0"/>
        <w:spacing w:line="336" w:lineRule="auto"/>
        <w:ind w:left="756" w:leftChars="114" w:hanging="517" w:hangingChars="245"/>
        <w:rPr>
          <w:rFonts w:hint="eastAsia" w:ascii="宋体" w:hAnsi="宋体"/>
          <w:color w:val="auto"/>
          <w:highlight w:val="none"/>
        </w:rPr>
      </w:pPr>
      <w:r>
        <w:rPr>
          <w:rFonts w:hint="eastAsia"/>
          <w:b/>
          <w:color w:val="auto"/>
          <w:highlight w:val="none"/>
        </w:rPr>
        <w:t>中标依据：</w:t>
      </w:r>
      <w:r>
        <w:rPr>
          <w:rFonts w:hint="eastAsia" w:ascii="宋体" w:hAnsi="宋体"/>
          <w:color w:val="auto"/>
          <w:highlight w:val="none"/>
          <w:u w:val="single" w:color="000000"/>
          <w:lang w:eastAsia="zh-CN"/>
        </w:rPr>
        <w:t>综合得分</w:t>
      </w:r>
      <w:r>
        <w:rPr>
          <w:rFonts w:hint="eastAsia" w:ascii="宋体" w:hAnsi="宋体"/>
          <w:color w:val="auto"/>
          <w:highlight w:val="none"/>
        </w:rPr>
        <w:t>最高者为中标候选人。</w:t>
      </w:r>
    </w:p>
    <w:p w14:paraId="37552D8C">
      <w:pPr>
        <w:snapToGrid w:val="0"/>
        <w:spacing w:line="336" w:lineRule="auto"/>
        <w:ind w:left="756" w:leftChars="114" w:hanging="517" w:hangingChars="245"/>
        <w:rPr>
          <w:b/>
          <w:color w:val="auto"/>
          <w:highlight w:val="none"/>
        </w:rPr>
      </w:pPr>
      <w:r>
        <w:rPr>
          <w:rFonts w:hint="eastAsia" w:ascii="宋体" w:hAnsi="宋体"/>
          <w:b/>
          <w:color w:val="auto"/>
          <w:highlight w:val="none"/>
          <w:u w:val="single"/>
        </w:rPr>
        <w:t>最高限价：预算金额。</w:t>
      </w:r>
    </w:p>
    <w:p w14:paraId="59C133B1">
      <w:pPr>
        <w:snapToGrid w:val="0"/>
        <w:spacing w:line="336" w:lineRule="auto"/>
        <w:ind w:left="756" w:leftChars="114" w:hanging="517" w:hangingChars="245"/>
        <w:rPr>
          <w:b/>
          <w:color w:val="auto"/>
          <w:highlight w:val="none"/>
        </w:rPr>
      </w:pPr>
      <w:r>
        <w:rPr>
          <w:rFonts w:hint="eastAsia"/>
          <w:b/>
          <w:color w:val="auto"/>
          <w:highlight w:val="none"/>
        </w:rPr>
        <w:t>报价的计分方法：（按折扣率进行报价）</w:t>
      </w:r>
    </w:p>
    <w:p w14:paraId="1506E070">
      <w:pPr>
        <w:autoSpaceDE w:val="0"/>
        <w:autoSpaceDN w:val="0"/>
        <w:adjustRightInd w:val="0"/>
        <w:snapToGrid w:val="0"/>
        <w:spacing w:line="336" w:lineRule="auto"/>
        <w:ind w:right="-87" w:firstLine="550" w:firstLineChars="262"/>
        <w:rPr>
          <w:rFonts w:hint="eastAsia" w:ascii="宋体" w:hAnsi="宋体" w:eastAsia="宋体"/>
          <w:color w:val="auto"/>
          <w:highlight w:val="none"/>
          <w:lang w:val="zh-CN"/>
        </w:rPr>
      </w:pPr>
      <w:r>
        <w:rPr>
          <w:rFonts w:hint="eastAsia" w:ascii="宋体" w:hAnsi="宋体" w:eastAsia="宋体"/>
          <w:color w:val="auto"/>
          <w:highlight w:val="none"/>
          <w:lang w:val="zh-CN"/>
        </w:rPr>
        <w:t>满足投标文件要求且折扣率最低的投标报价为评标基准价</w:t>
      </w:r>
      <w:r>
        <w:rPr>
          <w:rFonts w:hint="eastAsia" w:ascii="宋体" w:hAnsi="宋体" w:eastAsia="宋体"/>
          <w:b/>
          <w:bCs/>
          <w:color w:val="auto"/>
          <w:highlight w:val="none"/>
          <w:lang w:val="zh-CN"/>
        </w:rPr>
        <w:t>（如三家报价分别为70%、72%、75%，70%为折扣率最低的投标报价，为评标基准价）</w:t>
      </w:r>
      <w:r>
        <w:rPr>
          <w:rFonts w:hint="eastAsia" w:ascii="宋体" w:hAnsi="宋体" w:eastAsia="宋体"/>
          <w:color w:val="auto"/>
          <w:highlight w:val="none"/>
          <w:lang w:val="zh-CN"/>
        </w:rPr>
        <w:t>，其价格分为满分，其他投标人的价格分按下列公式计算：</w:t>
      </w:r>
    </w:p>
    <w:p w14:paraId="7ACCACAB">
      <w:pPr>
        <w:autoSpaceDE w:val="0"/>
        <w:autoSpaceDN w:val="0"/>
        <w:adjustRightInd w:val="0"/>
        <w:snapToGrid w:val="0"/>
        <w:spacing w:line="336" w:lineRule="auto"/>
        <w:ind w:right="-87" w:firstLine="550" w:firstLineChars="262"/>
        <w:rPr>
          <w:color w:val="auto"/>
          <w:highlight w:val="none"/>
          <w:lang w:val="zh-CN"/>
        </w:rPr>
      </w:pPr>
      <w:r>
        <w:rPr>
          <w:rFonts w:hint="eastAsia"/>
          <w:color w:val="auto"/>
          <w:highlight w:val="none"/>
          <w:lang w:val="zh-CN"/>
        </w:rPr>
        <w:t>价格得分＝（评标基准价</w:t>
      </w:r>
      <w:r>
        <w:rPr>
          <w:color w:val="auto"/>
          <w:highlight w:val="none"/>
          <w:lang w:val="zh-CN"/>
        </w:rPr>
        <w:t>/</w:t>
      </w:r>
      <w:r>
        <w:rPr>
          <w:rFonts w:hint="eastAsia"/>
          <w:color w:val="auto"/>
          <w:highlight w:val="none"/>
          <w:lang w:val="zh-CN"/>
        </w:rPr>
        <w:t>投标报价）</w:t>
      </w:r>
      <w:r>
        <w:rPr>
          <w:color w:val="auto"/>
          <w:highlight w:val="none"/>
          <w:lang w:val="zh-CN"/>
        </w:rPr>
        <w:t>×</w:t>
      </w:r>
      <w:r>
        <w:rPr>
          <w:rFonts w:hint="eastAsia"/>
          <w:color w:val="auto"/>
          <w:highlight w:val="none"/>
          <w:lang w:val="zh-CN"/>
        </w:rPr>
        <w:t>价格权重</w:t>
      </w:r>
      <w:r>
        <w:rPr>
          <w:color w:val="auto"/>
          <w:highlight w:val="none"/>
          <w:lang w:val="zh-CN"/>
        </w:rPr>
        <w:t>×100</w:t>
      </w:r>
      <w:r>
        <w:rPr>
          <w:rFonts w:hint="eastAsia"/>
          <w:color w:val="auto"/>
          <w:highlight w:val="none"/>
          <w:lang w:val="zh-CN"/>
        </w:rPr>
        <w:t>。</w:t>
      </w:r>
    </w:p>
    <w:tbl>
      <w:tblPr>
        <w:tblStyle w:val="61"/>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7561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19090852">
            <w:pPr>
              <w:spacing w:line="336" w:lineRule="auto"/>
              <w:ind w:right="-341"/>
              <w:jc w:val="center"/>
              <w:rPr>
                <w:color w:val="auto"/>
                <w:highlight w:val="none"/>
              </w:rPr>
            </w:pPr>
            <w:r>
              <w:rPr>
                <w:rFonts w:hint="eastAsia"/>
                <w:color w:val="auto"/>
                <w:highlight w:val="none"/>
                <w:lang w:val="zh-CN"/>
              </w:rPr>
              <w:t>评价指标和各评价权重指标：</w:t>
            </w:r>
            <w:r>
              <w:rPr>
                <w:rFonts w:hint="eastAsia"/>
                <w:color w:val="auto"/>
                <w:highlight w:val="none"/>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0A90F05C">
            <w:pPr>
              <w:spacing w:line="336" w:lineRule="auto"/>
              <w:ind w:right="-341"/>
              <w:jc w:val="center"/>
              <w:rPr>
                <w:color w:val="auto"/>
                <w:highlight w:val="none"/>
              </w:rPr>
            </w:pPr>
            <w:r>
              <w:rPr>
                <w:rFonts w:hint="eastAsia"/>
                <w:color w:val="auto"/>
                <w:highlight w:val="none"/>
              </w:rPr>
              <w:t>权重（％）</w:t>
            </w:r>
          </w:p>
        </w:tc>
      </w:tr>
      <w:tr w14:paraId="0C5D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14:paraId="3D4CFB15">
            <w:pPr>
              <w:spacing w:line="336" w:lineRule="auto"/>
              <w:ind w:right="-341"/>
              <w:jc w:val="center"/>
              <w:rPr>
                <w:color w:val="auto"/>
                <w:highlight w:val="none"/>
              </w:rPr>
            </w:pPr>
            <w:r>
              <w:rPr>
                <w:rFonts w:hint="eastAsia"/>
                <w:color w:val="auto"/>
                <w:highlight w:val="none"/>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4D493403">
            <w:pPr>
              <w:spacing w:line="336" w:lineRule="auto"/>
              <w:ind w:right="-341"/>
              <w:jc w:val="center"/>
              <w:rPr>
                <w:rFonts w:hint="default" w:eastAsia="宋体"/>
                <w:color w:val="auto"/>
                <w:highlight w:val="none"/>
                <w:lang w:val="en-US" w:eastAsia="zh-CN"/>
              </w:rPr>
            </w:pPr>
            <w:r>
              <w:rPr>
                <w:rFonts w:hint="eastAsia"/>
                <w:color w:val="auto"/>
                <w:highlight w:val="none"/>
                <w:lang w:val="en-US" w:eastAsia="zh-CN"/>
              </w:rPr>
              <w:t>70</w:t>
            </w:r>
          </w:p>
        </w:tc>
      </w:tr>
      <w:tr w14:paraId="6043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6F7B3D00">
            <w:pPr>
              <w:spacing w:line="336" w:lineRule="auto"/>
              <w:ind w:right="-341"/>
              <w:jc w:val="center"/>
              <w:rPr>
                <w:color w:val="auto"/>
                <w:highlight w:val="none"/>
              </w:rPr>
            </w:pPr>
            <w:r>
              <w:rPr>
                <w:rFonts w:hint="eastAsia"/>
                <w:color w:val="auto"/>
                <w:highlight w:val="none"/>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65E012F2">
            <w:pPr>
              <w:spacing w:line="336" w:lineRule="auto"/>
              <w:ind w:right="-341"/>
              <w:jc w:val="center"/>
              <w:rPr>
                <w:rFonts w:hint="default" w:eastAsia="宋体"/>
                <w:color w:val="auto"/>
                <w:highlight w:val="none"/>
                <w:lang w:val="en-US" w:eastAsia="zh-CN"/>
              </w:rPr>
            </w:pPr>
            <w:r>
              <w:rPr>
                <w:rFonts w:hint="eastAsia"/>
                <w:color w:val="auto"/>
                <w:highlight w:val="none"/>
                <w:lang w:val="en-US" w:eastAsia="zh-CN"/>
              </w:rPr>
              <w:t>30</w:t>
            </w:r>
          </w:p>
        </w:tc>
      </w:tr>
      <w:tr w14:paraId="7368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236130EB">
            <w:pPr>
              <w:spacing w:line="336" w:lineRule="auto"/>
              <w:ind w:right="-341"/>
              <w:jc w:val="center"/>
              <w:rPr>
                <w:color w:val="auto"/>
                <w:highlight w:val="none"/>
              </w:rPr>
            </w:pPr>
            <w:r>
              <w:rPr>
                <w:rFonts w:hint="eastAsia"/>
                <w:color w:val="auto"/>
                <w:highlight w:val="none"/>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629E712C">
            <w:pPr>
              <w:spacing w:line="336" w:lineRule="auto"/>
              <w:ind w:right="-341"/>
              <w:jc w:val="center"/>
              <w:rPr>
                <w:color w:val="auto"/>
                <w:highlight w:val="none"/>
              </w:rPr>
            </w:pPr>
            <w:r>
              <w:rPr>
                <w:color w:val="auto"/>
                <w:highlight w:val="none"/>
              </w:rPr>
              <w:t>100</w:t>
            </w:r>
          </w:p>
        </w:tc>
      </w:tr>
    </w:tbl>
    <w:p w14:paraId="101A59AC">
      <w:pPr>
        <w:autoSpaceDE w:val="0"/>
        <w:autoSpaceDN w:val="0"/>
        <w:adjustRightInd w:val="0"/>
        <w:spacing w:line="336" w:lineRule="auto"/>
        <w:ind w:right="-341" w:firstLine="424" w:firstLineChars="202"/>
        <w:rPr>
          <w:color w:val="auto"/>
          <w:highlight w:val="none"/>
        </w:rPr>
      </w:pPr>
      <w:r>
        <w:rPr>
          <w:rFonts w:hint="eastAsia"/>
          <w:color w:val="auto"/>
          <w:highlight w:val="none"/>
          <w:lang w:eastAsia="zh-CN"/>
        </w:rPr>
        <w:t>综合得分</w:t>
      </w:r>
      <w:r>
        <w:rPr>
          <w:color w:val="auto"/>
          <w:highlight w:val="none"/>
        </w:rPr>
        <w:t>=</w:t>
      </w:r>
      <w:r>
        <w:rPr>
          <w:rFonts w:hint="eastAsia"/>
          <w:color w:val="auto"/>
          <w:highlight w:val="none"/>
        </w:rPr>
        <w:t>商务技术得分＋价格得分</w:t>
      </w:r>
      <w:r>
        <w:rPr>
          <w:color w:val="auto"/>
          <w:highlight w:val="none"/>
        </w:rPr>
        <w:t>(</w:t>
      </w:r>
      <w:r>
        <w:rPr>
          <w:rFonts w:hint="eastAsia"/>
          <w:color w:val="auto"/>
          <w:highlight w:val="none"/>
        </w:rPr>
        <w:t>评分过程中采用四舍五入法，并保留小数</w:t>
      </w:r>
      <w:r>
        <w:rPr>
          <w:color w:val="auto"/>
          <w:highlight w:val="none"/>
        </w:rPr>
        <w:t>2</w:t>
      </w:r>
      <w:r>
        <w:rPr>
          <w:rFonts w:hint="eastAsia"/>
          <w:color w:val="auto"/>
          <w:highlight w:val="none"/>
        </w:rPr>
        <w:t>位</w:t>
      </w:r>
      <w:r>
        <w:rPr>
          <w:color w:val="auto"/>
          <w:highlight w:val="none"/>
        </w:rPr>
        <w:t>)</w:t>
      </w:r>
    </w:p>
    <w:p w14:paraId="5DEEE656">
      <w:pPr>
        <w:autoSpaceDE w:val="0"/>
        <w:autoSpaceDN w:val="0"/>
        <w:adjustRightInd w:val="0"/>
        <w:spacing w:line="336" w:lineRule="auto"/>
        <w:ind w:right="-341" w:firstLine="424" w:firstLineChars="202"/>
        <w:rPr>
          <w:color w:val="auto"/>
          <w:highlight w:val="none"/>
        </w:rPr>
      </w:pPr>
      <w:bookmarkStart w:id="3" w:name="_Hlk113978293"/>
      <w:r>
        <w:rPr>
          <w:rFonts w:hint="eastAsia"/>
          <w:color w:val="auto"/>
          <w:highlight w:val="none"/>
        </w:rPr>
        <w:t>将</w:t>
      </w:r>
      <w:r>
        <w:rPr>
          <w:rFonts w:hint="eastAsia"/>
          <w:color w:val="auto"/>
          <w:highlight w:val="none"/>
          <w:lang w:eastAsia="zh-CN"/>
        </w:rPr>
        <w:t>综合得分</w:t>
      </w:r>
      <w:r>
        <w:rPr>
          <w:rFonts w:hint="eastAsia"/>
          <w:color w:val="auto"/>
          <w:highlight w:val="none"/>
        </w:rPr>
        <w:t>从高到低排序，得出投标人名次。得分相同时，按投标报价由低到高顺序排列，得分且投标报价相同的，按技术指标优劣顺序排列</w:t>
      </w:r>
    </w:p>
    <w:bookmarkEnd w:id="3"/>
    <w:p w14:paraId="31075CB1">
      <w:pPr>
        <w:tabs>
          <w:tab w:val="left" w:pos="1620"/>
        </w:tabs>
        <w:spacing w:line="336" w:lineRule="auto"/>
        <w:ind w:left="1111" w:leftChars="228" w:hanging="632" w:hangingChars="300"/>
        <w:rPr>
          <w:b/>
          <w:color w:val="auto"/>
          <w:highlight w:val="none"/>
        </w:rPr>
      </w:pPr>
      <w:r>
        <w:rPr>
          <w:rFonts w:hint="eastAsia"/>
          <w:b/>
          <w:color w:val="auto"/>
          <w:highlight w:val="none"/>
        </w:rPr>
        <w:t>候选中标商的选取</w:t>
      </w:r>
    </w:p>
    <w:p w14:paraId="027BB7EA">
      <w:pPr>
        <w:spacing w:line="336" w:lineRule="auto"/>
        <w:ind w:right="-341" w:firstLine="525" w:firstLineChars="250"/>
        <w:rPr>
          <w:b/>
          <w:color w:val="auto"/>
          <w:sz w:val="28"/>
          <w:szCs w:val="28"/>
          <w:highlight w:val="none"/>
          <w:lang w:val="zh-CN"/>
        </w:rPr>
      </w:pPr>
      <w:r>
        <w:rPr>
          <w:rFonts w:hint="eastAsia"/>
          <w:color w:val="auto"/>
          <w:highlight w:val="none"/>
        </w:rPr>
        <w:t>按照</w:t>
      </w:r>
      <w:r>
        <w:rPr>
          <w:rFonts w:hint="eastAsia"/>
          <w:color w:val="auto"/>
          <w:highlight w:val="none"/>
          <w:lang w:eastAsia="zh-CN"/>
        </w:rPr>
        <w:t>综合得分</w:t>
      </w:r>
      <w:r>
        <w:rPr>
          <w:rFonts w:hint="eastAsia"/>
          <w:color w:val="auto"/>
          <w:highlight w:val="none"/>
        </w:rPr>
        <w:t>名次推荐候选中标人</w:t>
      </w:r>
      <w:r>
        <w:rPr>
          <w:color w:val="auto"/>
          <w:highlight w:val="none"/>
        </w:rPr>
        <w:t>1</w:t>
      </w:r>
      <w:r>
        <w:rPr>
          <w:rFonts w:hint="eastAsia"/>
          <w:color w:val="auto"/>
          <w:highlight w:val="none"/>
        </w:rPr>
        <w:t>名。</w:t>
      </w:r>
    </w:p>
    <w:p w14:paraId="5F4B35AB">
      <w:pPr>
        <w:rPr>
          <w:b/>
          <w:color w:val="auto"/>
          <w:sz w:val="24"/>
          <w:szCs w:val="24"/>
          <w:highlight w:val="none"/>
        </w:rPr>
      </w:pPr>
    </w:p>
    <w:p w14:paraId="6356BAA9">
      <w:pPr>
        <w:spacing w:line="200" w:lineRule="exact"/>
        <w:ind w:firstLine="301"/>
        <w:rPr>
          <w:rFonts w:ascii="宋体" w:hAnsi="Courier New"/>
          <w:color w:val="auto"/>
          <w:spacing w:val="-4"/>
          <w:kern w:val="0"/>
          <w:sz w:val="18"/>
          <w:highlight w:val="none"/>
        </w:rPr>
      </w:pPr>
    </w:p>
    <w:p w14:paraId="1143D890">
      <w:pPr>
        <w:rPr>
          <w:rFonts w:hint="eastAsia" w:ascii="等线" w:hAnsi="等线" w:eastAsia="等线"/>
          <w:color w:val="auto"/>
          <w:highlight w:val="none"/>
        </w:rPr>
      </w:pPr>
    </w:p>
    <w:p w14:paraId="72D7C6C1">
      <w:pPr>
        <w:spacing w:line="200" w:lineRule="exact"/>
        <w:ind w:firstLine="301"/>
        <w:rPr>
          <w:rFonts w:ascii="宋体" w:hAnsi="Courier New"/>
          <w:color w:val="auto"/>
          <w:spacing w:val="-4"/>
          <w:kern w:val="0"/>
          <w:sz w:val="18"/>
          <w:highlight w:val="none"/>
        </w:rPr>
      </w:pPr>
    </w:p>
    <w:p w14:paraId="5AF0CE07">
      <w:pPr>
        <w:rPr>
          <w:rFonts w:hint="eastAsia" w:ascii="等线" w:hAnsi="等线" w:eastAsia="等线"/>
          <w:color w:val="auto"/>
          <w:highlight w:val="none"/>
        </w:rPr>
      </w:pPr>
    </w:p>
    <w:p w14:paraId="631CBC61">
      <w:pPr>
        <w:spacing w:line="200" w:lineRule="exact"/>
        <w:ind w:firstLine="301"/>
        <w:rPr>
          <w:rFonts w:ascii="宋体" w:hAnsi="Courier New"/>
          <w:color w:val="auto"/>
          <w:spacing w:val="-4"/>
          <w:kern w:val="0"/>
          <w:sz w:val="18"/>
          <w:highlight w:val="none"/>
        </w:rPr>
      </w:pPr>
    </w:p>
    <w:p w14:paraId="6073CD46">
      <w:pPr>
        <w:rPr>
          <w:rFonts w:hint="eastAsia" w:ascii="等线" w:hAnsi="等线" w:eastAsia="等线"/>
          <w:color w:val="auto"/>
          <w:highlight w:val="none"/>
        </w:rPr>
      </w:pPr>
    </w:p>
    <w:p w14:paraId="5596CFD1">
      <w:pPr>
        <w:spacing w:line="200" w:lineRule="exact"/>
        <w:ind w:firstLine="301"/>
        <w:rPr>
          <w:rFonts w:ascii="宋体" w:hAnsi="Courier New"/>
          <w:color w:val="auto"/>
          <w:spacing w:val="-4"/>
          <w:kern w:val="0"/>
          <w:sz w:val="18"/>
          <w:highlight w:val="none"/>
        </w:rPr>
      </w:pPr>
    </w:p>
    <w:p w14:paraId="15AF7984">
      <w:pPr>
        <w:rPr>
          <w:rFonts w:hint="eastAsia" w:ascii="等线" w:hAnsi="等线" w:eastAsia="等线"/>
          <w:color w:val="auto"/>
          <w:highlight w:val="none"/>
        </w:rPr>
      </w:pPr>
    </w:p>
    <w:p w14:paraId="2C8ED7DE">
      <w:pPr>
        <w:rPr>
          <w:rFonts w:hint="eastAsia" w:ascii="等线" w:hAnsi="等线" w:eastAsia="等线"/>
          <w:color w:val="auto"/>
          <w:highlight w:val="none"/>
        </w:rPr>
      </w:pPr>
    </w:p>
    <w:p w14:paraId="67E7D8DB">
      <w:pPr>
        <w:rPr>
          <w:rFonts w:hint="eastAsia" w:ascii="等线" w:hAnsi="等线" w:eastAsia="等线"/>
          <w:color w:val="auto"/>
          <w:highlight w:val="none"/>
        </w:rPr>
      </w:pPr>
    </w:p>
    <w:p w14:paraId="481A8C08">
      <w:pPr>
        <w:rPr>
          <w:rFonts w:hint="eastAsia" w:ascii="等线" w:hAnsi="等线" w:eastAsia="等线"/>
          <w:color w:val="auto"/>
          <w:highlight w:val="none"/>
        </w:rPr>
      </w:pPr>
    </w:p>
    <w:p w14:paraId="07D588B6">
      <w:pPr>
        <w:tabs>
          <w:tab w:val="left" w:pos="1476"/>
          <w:tab w:val="center" w:pos="4651"/>
        </w:tabs>
        <w:spacing w:line="288" w:lineRule="auto"/>
        <w:ind w:right="-341"/>
        <w:jc w:val="left"/>
        <w:rPr>
          <w:b/>
          <w:color w:val="auto"/>
          <w:sz w:val="24"/>
          <w:szCs w:val="24"/>
          <w:highlight w:val="none"/>
        </w:rPr>
      </w:pPr>
    </w:p>
    <w:p w14:paraId="25EA53BC">
      <w:pPr>
        <w:tabs>
          <w:tab w:val="left" w:pos="1476"/>
          <w:tab w:val="center" w:pos="4651"/>
        </w:tabs>
        <w:spacing w:line="288" w:lineRule="auto"/>
        <w:ind w:right="-341"/>
        <w:jc w:val="center"/>
        <w:rPr>
          <w:b/>
          <w:color w:val="auto"/>
          <w:sz w:val="24"/>
          <w:szCs w:val="24"/>
          <w:highlight w:val="none"/>
        </w:rPr>
      </w:pPr>
    </w:p>
    <w:p w14:paraId="299B0DD1">
      <w:pPr>
        <w:tabs>
          <w:tab w:val="left" w:pos="1476"/>
          <w:tab w:val="center" w:pos="4651"/>
        </w:tabs>
        <w:spacing w:line="288" w:lineRule="auto"/>
        <w:ind w:right="-341"/>
        <w:jc w:val="center"/>
        <w:rPr>
          <w:b/>
          <w:color w:val="auto"/>
          <w:sz w:val="24"/>
          <w:szCs w:val="24"/>
          <w:highlight w:val="none"/>
        </w:rPr>
      </w:pPr>
    </w:p>
    <w:p w14:paraId="5E21EE0E">
      <w:pPr>
        <w:tabs>
          <w:tab w:val="left" w:pos="1476"/>
          <w:tab w:val="center" w:pos="4651"/>
        </w:tabs>
        <w:spacing w:line="288" w:lineRule="auto"/>
        <w:ind w:right="-341"/>
        <w:jc w:val="both"/>
        <w:rPr>
          <w:b/>
          <w:color w:val="auto"/>
          <w:sz w:val="24"/>
          <w:szCs w:val="24"/>
          <w:highlight w:val="none"/>
        </w:rPr>
      </w:pPr>
    </w:p>
    <w:p w14:paraId="56B68087">
      <w:pPr>
        <w:tabs>
          <w:tab w:val="left" w:pos="1476"/>
          <w:tab w:val="center" w:pos="4651"/>
        </w:tabs>
        <w:spacing w:line="288" w:lineRule="auto"/>
        <w:ind w:right="-341"/>
        <w:jc w:val="center"/>
        <w:rPr>
          <w:rFonts w:hint="eastAsia"/>
          <w:b/>
          <w:color w:val="auto"/>
          <w:sz w:val="24"/>
          <w:szCs w:val="24"/>
          <w:highlight w:val="none"/>
        </w:rPr>
      </w:pPr>
      <w:r>
        <w:rPr>
          <w:rFonts w:hint="eastAsia"/>
          <w:b/>
          <w:color w:val="auto"/>
          <w:sz w:val="24"/>
          <w:szCs w:val="24"/>
          <w:highlight w:val="none"/>
          <w:lang w:eastAsia="zh-CN"/>
        </w:rPr>
        <w:t>浙江国际海运职业技术学院2025年中文原版图书采购与服务供应项目</w:t>
      </w:r>
      <w:r>
        <w:rPr>
          <w:rFonts w:hint="eastAsia"/>
          <w:b/>
          <w:color w:val="auto"/>
          <w:sz w:val="24"/>
          <w:szCs w:val="24"/>
          <w:highlight w:val="none"/>
        </w:rPr>
        <w:t>评分表</w:t>
      </w:r>
    </w:p>
    <w:p w14:paraId="326D9508">
      <w:pPr>
        <w:spacing w:line="288" w:lineRule="auto"/>
        <w:ind w:right="-341"/>
        <w:jc w:val="left"/>
        <w:rPr>
          <w:b/>
          <w:color w:val="auto"/>
          <w:szCs w:val="21"/>
          <w:highlight w:val="none"/>
        </w:rPr>
      </w:pPr>
    </w:p>
    <w:tbl>
      <w:tblPr>
        <w:tblStyle w:val="61"/>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1487"/>
        <w:gridCol w:w="6448"/>
        <w:gridCol w:w="720"/>
      </w:tblGrid>
      <w:tr w14:paraId="28C0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080" w:type="dxa"/>
            <w:tcMar>
              <w:top w:w="15" w:type="dxa"/>
              <w:left w:w="15" w:type="dxa"/>
              <w:bottom w:w="0" w:type="dxa"/>
              <w:right w:w="15" w:type="dxa"/>
            </w:tcMar>
            <w:vAlign w:val="center"/>
          </w:tcPr>
          <w:p w14:paraId="3462FCD8">
            <w:pPr>
              <w:widowControl/>
              <w:autoSpaceDN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w:t>
            </w:r>
          </w:p>
          <w:p w14:paraId="1CB42641">
            <w:pPr>
              <w:widowControl/>
              <w:autoSpaceDN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项目 </w:t>
            </w:r>
          </w:p>
        </w:tc>
        <w:tc>
          <w:tcPr>
            <w:tcW w:w="7935" w:type="dxa"/>
            <w:gridSpan w:val="2"/>
            <w:tcMar>
              <w:top w:w="15" w:type="dxa"/>
              <w:left w:w="15" w:type="dxa"/>
              <w:bottom w:w="0" w:type="dxa"/>
              <w:right w:w="15" w:type="dxa"/>
            </w:tcMar>
            <w:vAlign w:val="center"/>
          </w:tcPr>
          <w:p w14:paraId="4BAACA8D">
            <w:pPr>
              <w:widowControl/>
              <w:autoSpaceDN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评分内容和标准 </w:t>
            </w:r>
          </w:p>
        </w:tc>
        <w:tc>
          <w:tcPr>
            <w:tcW w:w="720" w:type="dxa"/>
            <w:tcMar>
              <w:top w:w="15" w:type="dxa"/>
              <w:left w:w="15" w:type="dxa"/>
              <w:bottom w:w="0" w:type="dxa"/>
              <w:right w:w="15" w:type="dxa"/>
            </w:tcMar>
            <w:vAlign w:val="center"/>
          </w:tcPr>
          <w:p w14:paraId="50806793">
            <w:pPr>
              <w:widowControl/>
              <w:autoSpaceDN w:val="0"/>
              <w:ind w:firstLine="211" w:firstLineChars="1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得分</w:t>
            </w:r>
          </w:p>
        </w:tc>
      </w:tr>
      <w:tr w14:paraId="6583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trPr>
        <w:tc>
          <w:tcPr>
            <w:tcW w:w="1080" w:type="dxa"/>
            <w:vMerge w:val="restart"/>
            <w:vAlign w:val="center"/>
          </w:tcPr>
          <w:p w14:paraId="670E3C79">
            <w:pPr>
              <w:widowControl/>
              <w:autoSpaceDN w:val="0"/>
              <w:ind w:left="103" w:leftChars="49"/>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综合实力（</w:t>
            </w:r>
            <w:r>
              <w:rPr>
                <w:rFonts w:ascii="宋体" w:hAnsi="宋体" w:eastAsia="宋体" w:cs="宋体"/>
                <w:color w:val="auto"/>
                <w:kern w:val="0"/>
                <w:szCs w:val="21"/>
                <w:highlight w:val="none"/>
              </w:rPr>
              <w:t>26</w:t>
            </w:r>
            <w:r>
              <w:rPr>
                <w:rFonts w:hint="eastAsia" w:ascii="宋体" w:hAnsi="宋体" w:eastAsia="宋体" w:cs="宋体"/>
                <w:color w:val="auto"/>
                <w:kern w:val="0"/>
                <w:szCs w:val="21"/>
                <w:highlight w:val="none"/>
              </w:rPr>
              <w:t>分）</w:t>
            </w:r>
          </w:p>
        </w:tc>
        <w:tc>
          <w:tcPr>
            <w:tcW w:w="1487" w:type="dxa"/>
            <w:vMerge w:val="restart"/>
            <w:vAlign w:val="center"/>
          </w:tcPr>
          <w:p w14:paraId="124B7FB0">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进书渠道</w:t>
            </w:r>
          </w:p>
          <w:p w14:paraId="76EB200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（10分）</w:t>
            </w:r>
          </w:p>
        </w:tc>
        <w:tc>
          <w:tcPr>
            <w:tcW w:w="6448" w:type="dxa"/>
            <w:tcMar>
              <w:top w:w="15" w:type="dxa"/>
              <w:left w:w="15" w:type="dxa"/>
              <w:bottom w:w="0" w:type="dxa"/>
              <w:right w:w="15" w:type="dxa"/>
            </w:tcMar>
            <w:vAlign w:val="center"/>
          </w:tcPr>
          <w:p w14:paraId="627DCAA9">
            <w:pPr>
              <w:rPr>
                <w:rFonts w:ascii="宋体" w:hAnsi="宋体" w:eastAsia="宋体" w:cs="宋体"/>
                <w:color w:val="auto"/>
                <w:szCs w:val="21"/>
                <w:highlight w:val="none"/>
              </w:rPr>
            </w:pPr>
            <w:r>
              <w:rPr>
                <w:rFonts w:hint="eastAsia" w:ascii="宋体" w:hAnsi="宋体" w:eastAsia="宋体" w:cs="宋体"/>
                <w:color w:val="auto"/>
                <w:szCs w:val="21"/>
                <w:highlight w:val="none"/>
              </w:rPr>
              <w:t>供书保障（满分7分）。</w:t>
            </w:r>
          </w:p>
          <w:p w14:paraId="606609ED">
            <w:pPr>
              <w:rPr>
                <w:rFonts w:ascii="宋体" w:hAnsi="宋体" w:eastAsia="宋体" w:cs="宋体"/>
                <w:color w:val="auto"/>
                <w:szCs w:val="21"/>
                <w:highlight w:val="none"/>
              </w:rPr>
            </w:pPr>
            <w:r>
              <w:rPr>
                <w:rFonts w:hint="eastAsia" w:ascii="宋体" w:hAnsi="宋体" w:eastAsia="宋体" w:cs="宋体"/>
                <w:color w:val="auto"/>
                <w:szCs w:val="21"/>
                <w:highlight w:val="none"/>
              </w:rPr>
              <w:t>有供书保障的各类国家级出版社，地方出版社数量，超过300家（含）得7分，300-200家（含）得5分，200-100家（含）得3分，100家以下不得分（附供货商全国100家出版社合同或授权书）。</w:t>
            </w:r>
          </w:p>
        </w:tc>
        <w:tc>
          <w:tcPr>
            <w:tcW w:w="720" w:type="dxa"/>
            <w:tcMar>
              <w:top w:w="15" w:type="dxa"/>
              <w:left w:w="15" w:type="dxa"/>
              <w:bottom w:w="0" w:type="dxa"/>
              <w:right w:w="15" w:type="dxa"/>
            </w:tcMar>
            <w:vAlign w:val="center"/>
          </w:tcPr>
          <w:p w14:paraId="3D243A45">
            <w:pPr>
              <w:autoSpaceDN w:val="0"/>
              <w:jc w:val="left"/>
              <w:rPr>
                <w:rFonts w:hint="eastAsia" w:ascii="宋体" w:hAnsi="宋体" w:eastAsia="宋体" w:cs="宋体"/>
                <w:color w:val="auto"/>
                <w:kern w:val="0"/>
                <w:szCs w:val="21"/>
                <w:highlight w:val="none"/>
                <w:lang w:val="en-US" w:eastAsia="zh-CN"/>
              </w:rPr>
            </w:pPr>
          </w:p>
        </w:tc>
      </w:tr>
      <w:tr w14:paraId="15C7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1080" w:type="dxa"/>
            <w:vMerge w:val="continue"/>
            <w:vAlign w:val="center"/>
          </w:tcPr>
          <w:p w14:paraId="0A0C9D2B">
            <w:pPr>
              <w:widowControl/>
              <w:jc w:val="left"/>
              <w:rPr>
                <w:rFonts w:ascii="宋体" w:hAnsi="宋体" w:eastAsia="宋体" w:cs="宋体"/>
                <w:b/>
                <w:color w:val="auto"/>
                <w:kern w:val="0"/>
                <w:szCs w:val="21"/>
                <w:highlight w:val="none"/>
              </w:rPr>
            </w:pPr>
          </w:p>
        </w:tc>
        <w:tc>
          <w:tcPr>
            <w:tcW w:w="1487" w:type="dxa"/>
            <w:vMerge w:val="continue"/>
            <w:vAlign w:val="center"/>
          </w:tcPr>
          <w:p w14:paraId="38DC2114">
            <w:pPr>
              <w:widowControl/>
              <w:jc w:val="center"/>
              <w:rPr>
                <w:rFonts w:ascii="宋体" w:hAnsi="宋体" w:eastAsia="宋体" w:cs="宋体"/>
                <w:b/>
                <w:color w:val="auto"/>
                <w:kern w:val="0"/>
                <w:szCs w:val="21"/>
                <w:highlight w:val="none"/>
              </w:rPr>
            </w:pPr>
          </w:p>
        </w:tc>
        <w:tc>
          <w:tcPr>
            <w:tcW w:w="6448" w:type="dxa"/>
            <w:tcMar>
              <w:top w:w="15" w:type="dxa"/>
              <w:left w:w="15" w:type="dxa"/>
              <w:bottom w:w="0" w:type="dxa"/>
              <w:right w:w="15" w:type="dxa"/>
            </w:tcMar>
            <w:vAlign w:val="center"/>
          </w:tcPr>
          <w:p w14:paraId="5C5B01C6">
            <w:pPr>
              <w:rPr>
                <w:rFonts w:ascii="宋体" w:hAnsi="宋体" w:eastAsia="宋体" w:cs="宋体"/>
                <w:color w:val="auto"/>
                <w:szCs w:val="21"/>
                <w:highlight w:val="none"/>
              </w:rPr>
            </w:pPr>
            <w:r>
              <w:rPr>
                <w:rFonts w:hint="eastAsia" w:ascii="宋体" w:hAnsi="宋体" w:eastAsia="宋体" w:cs="宋体"/>
                <w:color w:val="auto"/>
                <w:szCs w:val="21"/>
                <w:highlight w:val="none"/>
              </w:rPr>
              <w:t>有大型书市现采活动的（满分3分）。能较好地提供本公司大型书市现采基地，不能达到要求的不得分，达到要求的得3分。</w:t>
            </w:r>
          </w:p>
        </w:tc>
        <w:tc>
          <w:tcPr>
            <w:tcW w:w="720" w:type="dxa"/>
            <w:tcMar>
              <w:top w:w="15" w:type="dxa"/>
              <w:left w:w="15" w:type="dxa"/>
              <w:bottom w:w="0" w:type="dxa"/>
              <w:right w:w="15" w:type="dxa"/>
            </w:tcMar>
            <w:vAlign w:val="center"/>
          </w:tcPr>
          <w:p w14:paraId="101279AB">
            <w:pPr>
              <w:widowControl/>
              <w:autoSpaceDN w:val="0"/>
              <w:jc w:val="left"/>
              <w:rPr>
                <w:rFonts w:ascii="宋体" w:hAnsi="宋体" w:eastAsia="宋体" w:cs="宋体"/>
                <w:color w:val="auto"/>
                <w:kern w:val="0"/>
                <w:szCs w:val="21"/>
                <w:highlight w:val="none"/>
              </w:rPr>
            </w:pPr>
          </w:p>
        </w:tc>
      </w:tr>
      <w:tr w14:paraId="69D5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1080" w:type="dxa"/>
            <w:vMerge w:val="continue"/>
            <w:vAlign w:val="center"/>
          </w:tcPr>
          <w:p w14:paraId="2257C008">
            <w:pPr>
              <w:widowControl/>
              <w:jc w:val="left"/>
              <w:rPr>
                <w:rFonts w:ascii="宋体" w:hAnsi="宋体" w:eastAsia="宋体" w:cs="宋体"/>
                <w:b/>
                <w:color w:val="auto"/>
                <w:kern w:val="0"/>
                <w:szCs w:val="21"/>
                <w:highlight w:val="none"/>
              </w:rPr>
            </w:pPr>
          </w:p>
        </w:tc>
        <w:tc>
          <w:tcPr>
            <w:tcW w:w="1487" w:type="dxa"/>
            <w:vAlign w:val="center"/>
          </w:tcPr>
          <w:p w14:paraId="59BC7380">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成功案例 </w:t>
            </w:r>
          </w:p>
          <w:p w14:paraId="71987969">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rPr>
              <w:t>分）</w:t>
            </w:r>
          </w:p>
        </w:tc>
        <w:tc>
          <w:tcPr>
            <w:tcW w:w="6448" w:type="dxa"/>
            <w:tcMar>
              <w:top w:w="15" w:type="dxa"/>
              <w:left w:w="15" w:type="dxa"/>
              <w:bottom w:w="0" w:type="dxa"/>
              <w:right w:w="15" w:type="dxa"/>
            </w:tcMar>
            <w:vAlign w:val="center"/>
          </w:tcPr>
          <w:p w14:paraId="75F914CF">
            <w:pPr>
              <w:rPr>
                <w:rFonts w:ascii="宋体" w:hAnsi="宋体" w:eastAsia="宋体" w:cs="宋体"/>
                <w:color w:val="auto"/>
                <w:szCs w:val="21"/>
                <w:highlight w:val="none"/>
              </w:rPr>
            </w:pPr>
            <w:r>
              <w:rPr>
                <w:rFonts w:hint="eastAsia" w:ascii="宋体" w:hAnsi="宋体" w:eastAsia="宋体" w:cs="宋体"/>
                <w:color w:val="auto"/>
                <w:szCs w:val="21"/>
                <w:highlight w:val="none"/>
              </w:rPr>
              <w:t>同类项目成功案例，每提供一个得1分，最高得3分。</w:t>
            </w:r>
          </w:p>
          <w:p w14:paraId="1471830A">
            <w:pPr>
              <w:rPr>
                <w:rFonts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（提供中标通知书（如有）、合同协议书及投标人认为需要提交的其他证明材料证实，复印件加盖公章，须提供重要页面，能够体现项目内容）</w:t>
            </w:r>
          </w:p>
        </w:tc>
        <w:tc>
          <w:tcPr>
            <w:tcW w:w="720" w:type="dxa"/>
            <w:tcMar>
              <w:top w:w="15" w:type="dxa"/>
              <w:left w:w="15" w:type="dxa"/>
              <w:bottom w:w="0" w:type="dxa"/>
              <w:right w:w="15" w:type="dxa"/>
            </w:tcMar>
            <w:vAlign w:val="center"/>
          </w:tcPr>
          <w:p w14:paraId="5BCF9227">
            <w:pPr>
              <w:widowControl/>
              <w:autoSpaceDN w:val="0"/>
              <w:jc w:val="left"/>
              <w:rPr>
                <w:rFonts w:ascii="宋体" w:hAnsi="宋体" w:eastAsia="宋体" w:cs="宋体"/>
                <w:color w:val="auto"/>
                <w:kern w:val="0"/>
                <w:szCs w:val="21"/>
                <w:highlight w:val="none"/>
              </w:rPr>
            </w:pPr>
          </w:p>
        </w:tc>
      </w:tr>
      <w:tr w14:paraId="4EAA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080" w:type="dxa"/>
            <w:vMerge w:val="continue"/>
            <w:vAlign w:val="center"/>
          </w:tcPr>
          <w:p w14:paraId="735559CE">
            <w:pPr>
              <w:widowControl/>
              <w:jc w:val="left"/>
              <w:rPr>
                <w:rFonts w:ascii="宋体" w:hAnsi="宋体" w:eastAsia="宋体" w:cs="宋体"/>
                <w:b/>
                <w:color w:val="auto"/>
                <w:kern w:val="0"/>
                <w:szCs w:val="21"/>
                <w:highlight w:val="none"/>
              </w:rPr>
            </w:pPr>
          </w:p>
        </w:tc>
        <w:tc>
          <w:tcPr>
            <w:tcW w:w="1487" w:type="dxa"/>
            <w:vAlign w:val="center"/>
          </w:tcPr>
          <w:p w14:paraId="06F69BAA">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从业人员情况</w:t>
            </w:r>
          </w:p>
          <w:p w14:paraId="26FB4B1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（8分）</w:t>
            </w:r>
          </w:p>
        </w:tc>
        <w:tc>
          <w:tcPr>
            <w:tcW w:w="6448" w:type="dxa"/>
            <w:tcMar>
              <w:top w:w="15" w:type="dxa"/>
              <w:left w:w="15" w:type="dxa"/>
              <w:bottom w:w="0" w:type="dxa"/>
              <w:right w:w="15" w:type="dxa"/>
            </w:tcMar>
            <w:vAlign w:val="center"/>
          </w:tcPr>
          <w:p w14:paraId="2BDC97FC">
            <w:pPr>
              <w:rPr>
                <w:rFonts w:ascii="宋体" w:hAnsi="宋体" w:eastAsia="宋体" w:cs="宋体"/>
                <w:color w:val="auto"/>
                <w:szCs w:val="21"/>
                <w:highlight w:val="none"/>
              </w:rPr>
            </w:pPr>
            <w:r>
              <w:rPr>
                <w:rFonts w:hint="eastAsia" w:ascii="宋体" w:hAnsi="宋体" w:eastAsia="宋体" w:cs="宋体"/>
                <w:color w:val="auto"/>
                <w:szCs w:val="21"/>
                <w:highlight w:val="none"/>
              </w:rPr>
              <w:t>企业从业人员队伍具备出版物发行资格证书的：</w:t>
            </w:r>
          </w:p>
          <w:p w14:paraId="01F41B1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从业人员具备出版物发行(初级、中级、高级)资格证书的，每名给1分，具备出版物发行技师证书的每名给2分，最高得8分。</w:t>
            </w:r>
          </w:p>
          <w:p w14:paraId="34E2034C">
            <w:pPr>
              <w:rPr>
                <w:rFonts w:ascii="宋体" w:hAnsi="宋体" w:eastAsia="宋体" w:cs="宋体"/>
                <w:color w:val="auto"/>
                <w:szCs w:val="21"/>
                <w:highlight w:val="none"/>
              </w:rPr>
            </w:pPr>
            <w:r>
              <w:rPr>
                <w:rFonts w:hint="eastAsia" w:ascii="宋体" w:hAnsi="宋体" w:eastAsia="宋体" w:cs="宋体"/>
                <w:b/>
                <w:bCs/>
                <w:color w:val="auto"/>
                <w:szCs w:val="21"/>
                <w:highlight w:val="none"/>
              </w:rPr>
              <w:t>（提供相关证书及</w:t>
            </w:r>
            <w:r>
              <w:rPr>
                <w:rFonts w:hint="eastAsia" w:ascii="宋体" w:hAnsi="宋体" w:cs="宋体"/>
                <w:b/>
                <w:bCs/>
                <w:color w:val="auto"/>
                <w:szCs w:val="21"/>
                <w:highlight w:val="none"/>
                <w:lang w:val="en-US" w:eastAsia="zh-CN"/>
              </w:rPr>
              <w:t>2025年4月、5月、6月</w:t>
            </w:r>
            <w:r>
              <w:rPr>
                <w:rFonts w:hint="eastAsia" w:ascii="宋体" w:hAnsi="宋体" w:eastAsia="宋体" w:cs="宋体"/>
                <w:b/>
                <w:bCs/>
                <w:color w:val="auto"/>
                <w:szCs w:val="21"/>
                <w:highlight w:val="none"/>
              </w:rPr>
              <w:t>任意一个月的社保证明，复印件加盖公章）</w:t>
            </w:r>
          </w:p>
        </w:tc>
        <w:tc>
          <w:tcPr>
            <w:tcW w:w="720" w:type="dxa"/>
            <w:tcMar>
              <w:top w:w="15" w:type="dxa"/>
              <w:left w:w="15" w:type="dxa"/>
              <w:bottom w:w="0" w:type="dxa"/>
              <w:right w:w="15" w:type="dxa"/>
            </w:tcMar>
            <w:vAlign w:val="center"/>
          </w:tcPr>
          <w:p w14:paraId="18549D05">
            <w:pPr>
              <w:widowControl/>
              <w:autoSpaceDN w:val="0"/>
              <w:jc w:val="left"/>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 xml:space="preserve"> </w:t>
            </w:r>
          </w:p>
        </w:tc>
      </w:tr>
      <w:tr w14:paraId="58B8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080" w:type="dxa"/>
            <w:vMerge w:val="continue"/>
            <w:vAlign w:val="center"/>
          </w:tcPr>
          <w:p w14:paraId="6B8C4983">
            <w:pPr>
              <w:widowControl/>
              <w:jc w:val="left"/>
              <w:rPr>
                <w:rFonts w:ascii="宋体" w:hAnsi="宋体" w:eastAsia="宋体" w:cs="宋体"/>
                <w:b/>
                <w:color w:val="auto"/>
                <w:kern w:val="0"/>
                <w:szCs w:val="21"/>
                <w:highlight w:val="none"/>
              </w:rPr>
            </w:pPr>
          </w:p>
        </w:tc>
        <w:tc>
          <w:tcPr>
            <w:tcW w:w="1487" w:type="dxa"/>
            <w:vAlign w:val="center"/>
          </w:tcPr>
          <w:p w14:paraId="6D92C1CC">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网站建设</w:t>
            </w:r>
          </w:p>
          <w:p w14:paraId="142DA297">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5</w:t>
            </w:r>
            <w:r>
              <w:rPr>
                <w:rFonts w:hint="eastAsia" w:ascii="宋体" w:hAnsi="宋体" w:eastAsia="宋体" w:cs="宋体"/>
                <w:color w:val="auto"/>
                <w:szCs w:val="21"/>
                <w:highlight w:val="none"/>
              </w:rPr>
              <w:t>分）</w:t>
            </w:r>
          </w:p>
        </w:tc>
        <w:tc>
          <w:tcPr>
            <w:tcW w:w="6448" w:type="dxa"/>
            <w:tcMar>
              <w:top w:w="15" w:type="dxa"/>
              <w:left w:w="15" w:type="dxa"/>
              <w:bottom w:w="0" w:type="dxa"/>
              <w:right w:w="15" w:type="dxa"/>
            </w:tcMar>
            <w:vAlign w:val="center"/>
          </w:tcPr>
          <w:p w14:paraId="102A9621">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网站建设</w:t>
            </w:r>
            <w:r>
              <w:rPr>
                <w:rFonts w:hint="eastAsia" w:ascii="宋体" w:hAnsi="宋体" w:cs="宋体"/>
                <w:color w:val="auto"/>
                <w:szCs w:val="21"/>
                <w:highlight w:val="none"/>
                <w:lang w:eastAsia="zh-CN"/>
              </w:rPr>
              <w:t>：</w:t>
            </w:r>
          </w:p>
          <w:p w14:paraId="320AC010">
            <w:pPr>
              <w:rPr>
                <w:rFonts w:ascii="宋体" w:hAnsi="宋体" w:eastAsia="宋体" w:cs="宋体"/>
                <w:color w:val="auto"/>
                <w:szCs w:val="21"/>
                <w:highlight w:val="none"/>
              </w:rPr>
            </w:pPr>
            <w:r>
              <w:rPr>
                <w:rFonts w:hint="eastAsia" w:ascii="宋体" w:hAnsi="宋体" w:eastAsia="宋体" w:cs="宋体"/>
                <w:color w:val="auto"/>
                <w:szCs w:val="21"/>
                <w:highlight w:val="none"/>
              </w:rPr>
              <w:t>有电子商务网站且有查书、订书等功能：功能完善，方便查找，得</w:t>
            </w:r>
            <w:r>
              <w:rPr>
                <w:rFonts w:ascii="宋体" w:hAnsi="宋体" w:eastAsia="宋体" w:cs="宋体"/>
                <w:color w:val="auto"/>
                <w:szCs w:val="21"/>
                <w:highlight w:val="none"/>
              </w:rPr>
              <w:t>5分，功能较完善：</w:t>
            </w:r>
            <w:r>
              <w:rPr>
                <w:rFonts w:hint="eastAsia" w:ascii="宋体" w:hAnsi="宋体" w:cs="宋体"/>
                <w:color w:val="auto"/>
                <w:szCs w:val="21"/>
                <w:highlight w:val="none"/>
                <w:lang w:val="en-US" w:eastAsia="zh-CN"/>
              </w:rPr>
              <w:t>3</w:t>
            </w:r>
            <w:r>
              <w:rPr>
                <w:rFonts w:ascii="宋体" w:hAnsi="宋体" w:eastAsia="宋体" w:cs="宋体"/>
                <w:color w:val="auto"/>
                <w:szCs w:val="21"/>
                <w:highlight w:val="none"/>
              </w:rPr>
              <w:t>分，功能不够完善的1分，没有不得分。</w:t>
            </w:r>
          </w:p>
        </w:tc>
        <w:tc>
          <w:tcPr>
            <w:tcW w:w="720" w:type="dxa"/>
            <w:tcMar>
              <w:top w:w="15" w:type="dxa"/>
              <w:left w:w="15" w:type="dxa"/>
              <w:bottom w:w="0" w:type="dxa"/>
              <w:right w:w="15" w:type="dxa"/>
            </w:tcMar>
            <w:vAlign w:val="center"/>
          </w:tcPr>
          <w:p w14:paraId="74EE8C2E">
            <w:pPr>
              <w:widowControl/>
              <w:autoSpaceDN w:val="0"/>
              <w:jc w:val="left"/>
              <w:rPr>
                <w:rFonts w:ascii="宋体" w:hAnsi="宋体" w:eastAsia="宋体" w:cs="宋体"/>
                <w:color w:val="auto"/>
                <w:kern w:val="0"/>
                <w:szCs w:val="21"/>
                <w:highlight w:val="none"/>
              </w:rPr>
            </w:pPr>
          </w:p>
        </w:tc>
      </w:tr>
      <w:tr w14:paraId="17A4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1080" w:type="dxa"/>
            <w:vMerge w:val="restart"/>
            <w:tcMar>
              <w:top w:w="15" w:type="dxa"/>
              <w:left w:w="15" w:type="dxa"/>
              <w:bottom w:w="0" w:type="dxa"/>
              <w:right w:w="15" w:type="dxa"/>
            </w:tcMar>
            <w:vAlign w:val="center"/>
          </w:tcPr>
          <w:p w14:paraId="5C7A15C1">
            <w:pPr>
              <w:widowControl/>
              <w:autoSpaceDN w:val="0"/>
              <w:ind w:left="103" w:leftChars="49"/>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服务承诺（</w:t>
            </w:r>
            <w:r>
              <w:rPr>
                <w:rFonts w:ascii="宋体" w:hAnsi="宋体" w:eastAsia="宋体" w:cs="宋体"/>
                <w:color w:val="auto"/>
                <w:kern w:val="0"/>
                <w:szCs w:val="21"/>
                <w:highlight w:val="none"/>
              </w:rPr>
              <w:t>44</w:t>
            </w:r>
            <w:r>
              <w:rPr>
                <w:rFonts w:hint="eastAsia" w:ascii="宋体" w:hAnsi="宋体" w:eastAsia="宋体" w:cs="宋体"/>
                <w:color w:val="auto"/>
                <w:kern w:val="0"/>
                <w:szCs w:val="21"/>
                <w:highlight w:val="none"/>
              </w:rPr>
              <w:t>分）</w:t>
            </w:r>
          </w:p>
        </w:tc>
        <w:tc>
          <w:tcPr>
            <w:tcW w:w="1487" w:type="dxa"/>
            <w:tcMar>
              <w:top w:w="15" w:type="dxa"/>
              <w:left w:w="15" w:type="dxa"/>
              <w:bottom w:w="0" w:type="dxa"/>
              <w:right w:w="15" w:type="dxa"/>
            </w:tcMar>
            <w:vAlign w:val="center"/>
          </w:tcPr>
          <w:p w14:paraId="288353C1">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图书质量</w:t>
            </w:r>
          </w:p>
          <w:p w14:paraId="1EC3FB5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（8分）</w:t>
            </w:r>
          </w:p>
        </w:tc>
        <w:tc>
          <w:tcPr>
            <w:tcW w:w="6448" w:type="dxa"/>
            <w:tcMar>
              <w:top w:w="15" w:type="dxa"/>
              <w:left w:w="15" w:type="dxa"/>
              <w:bottom w:w="0" w:type="dxa"/>
              <w:right w:w="15" w:type="dxa"/>
            </w:tcMar>
            <w:vAlign w:val="center"/>
          </w:tcPr>
          <w:p w14:paraId="41283897">
            <w:pPr>
              <w:rPr>
                <w:rFonts w:ascii="宋体" w:hAnsi="宋体" w:eastAsia="宋体" w:cs="宋体"/>
                <w:color w:val="auto"/>
                <w:szCs w:val="21"/>
                <w:highlight w:val="none"/>
              </w:rPr>
            </w:pPr>
            <w:r>
              <w:rPr>
                <w:rFonts w:hint="eastAsia" w:ascii="宋体" w:hAnsi="宋体" w:eastAsia="宋体" w:cs="宋体"/>
                <w:color w:val="auto"/>
                <w:szCs w:val="21"/>
                <w:highlight w:val="none"/>
              </w:rPr>
              <w:t>提供并承诺的正式出版物情况，有无破损，附件齐全：</w:t>
            </w:r>
          </w:p>
          <w:p w14:paraId="7EFB4FCB">
            <w:pPr>
              <w:rPr>
                <w:rFonts w:ascii="宋体" w:hAnsi="宋体" w:eastAsia="宋体" w:cs="宋体"/>
                <w:color w:val="auto"/>
                <w:szCs w:val="21"/>
                <w:highlight w:val="none"/>
              </w:rPr>
            </w:pPr>
            <w:r>
              <w:rPr>
                <w:rFonts w:hint="eastAsia" w:ascii="宋体" w:hAnsi="宋体" w:eastAsia="宋体" w:cs="宋体"/>
                <w:color w:val="auto"/>
                <w:szCs w:val="21"/>
                <w:highlight w:val="none"/>
              </w:rPr>
              <w:t>没有破损，附件齐全的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得</w:t>
            </w:r>
            <w:r>
              <w:rPr>
                <w:rFonts w:hint="eastAsia" w:ascii="宋体" w:hAnsi="宋体" w:eastAsia="宋体" w:cs="宋体"/>
                <w:color w:val="auto"/>
                <w:szCs w:val="21"/>
                <w:highlight w:val="none"/>
              </w:rPr>
              <w:t>8分；</w:t>
            </w:r>
          </w:p>
          <w:p w14:paraId="32EEAAA7">
            <w:pPr>
              <w:rPr>
                <w:rFonts w:ascii="宋体" w:hAnsi="宋体" w:eastAsia="宋体" w:cs="宋体"/>
                <w:color w:val="auto"/>
                <w:szCs w:val="21"/>
                <w:highlight w:val="none"/>
              </w:rPr>
            </w:pPr>
            <w:r>
              <w:rPr>
                <w:rFonts w:hint="eastAsia" w:ascii="宋体" w:hAnsi="宋体" w:eastAsia="宋体" w:cs="宋体"/>
                <w:color w:val="auto"/>
                <w:szCs w:val="21"/>
                <w:highlight w:val="none"/>
              </w:rPr>
              <w:t>没有破损，附件较齐全的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得</w:t>
            </w:r>
            <w:r>
              <w:rPr>
                <w:rFonts w:hint="eastAsia" w:ascii="宋体" w:hAnsi="宋体" w:eastAsia="宋体" w:cs="宋体"/>
                <w:color w:val="auto"/>
                <w:szCs w:val="21"/>
                <w:highlight w:val="none"/>
              </w:rPr>
              <w:t>5分；</w:t>
            </w:r>
          </w:p>
          <w:p w14:paraId="5B807360">
            <w:pPr>
              <w:rPr>
                <w:rFonts w:ascii="宋体" w:hAnsi="宋体" w:eastAsia="宋体" w:cs="宋体"/>
                <w:color w:val="auto"/>
                <w:szCs w:val="21"/>
                <w:highlight w:val="none"/>
              </w:rPr>
            </w:pPr>
            <w:r>
              <w:rPr>
                <w:rFonts w:hint="eastAsia" w:ascii="宋体" w:hAnsi="宋体" w:eastAsia="宋体" w:cs="宋体"/>
                <w:color w:val="auto"/>
                <w:szCs w:val="21"/>
                <w:highlight w:val="none"/>
              </w:rPr>
              <w:t>有点破损，附件有缺漏的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得</w:t>
            </w:r>
            <w:r>
              <w:rPr>
                <w:rFonts w:hint="eastAsia" w:ascii="宋体" w:hAnsi="宋体" w:eastAsia="宋体" w:cs="宋体"/>
                <w:color w:val="auto"/>
                <w:szCs w:val="21"/>
                <w:highlight w:val="none"/>
              </w:rPr>
              <w:t>2分；</w:t>
            </w:r>
          </w:p>
          <w:p w14:paraId="061AE55F">
            <w:pPr>
              <w:rPr>
                <w:rFonts w:ascii="宋体" w:hAnsi="宋体" w:eastAsia="宋体" w:cs="宋体"/>
                <w:color w:val="auto"/>
                <w:szCs w:val="21"/>
                <w:highlight w:val="none"/>
              </w:rPr>
            </w:pPr>
            <w:r>
              <w:rPr>
                <w:rFonts w:hint="eastAsia" w:ascii="宋体" w:hAnsi="宋体" w:eastAsia="宋体" w:cs="宋体"/>
                <w:color w:val="auto"/>
                <w:szCs w:val="21"/>
                <w:highlight w:val="none"/>
              </w:rPr>
              <w:t>破损较厉害，附件不全的不得分。</w:t>
            </w:r>
          </w:p>
        </w:tc>
        <w:tc>
          <w:tcPr>
            <w:tcW w:w="720" w:type="dxa"/>
            <w:tcMar>
              <w:top w:w="15" w:type="dxa"/>
              <w:left w:w="15" w:type="dxa"/>
              <w:bottom w:w="0" w:type="dxa"/>
              <w:right w:w="15" w:type="dxa"/>
            </w:tcMar>
            <w:vAlign w:val="center"/>
          </w:tcPr>
          <w:p w14:paraId="6A83CDE4">
            <w:pPr>
              <w:widowControl/>
              <w:autoSpaceDN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1F7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1080" w:type="dxa"/>
            <w:vMerge w:val="continue"/>
            <w:tcMar>
              <w:top w:w="15" w:type="dxa"/>
              <w:left w:w="15" w:type="dxa"/>
              <w:bottom w:w="0" w:type="dxa"/>
              <w:right w:w="15" w:type="dxa"/>
            </w:tcMar>
            <w:vAlign w:val="center"/>
          </w:tcPr>
          <w:p w14:paraId="5315670C">
            <w:pPr>
              <w:widowControl/>
              <w:autoSpaceDN w:val="0"/>
              <w:ind w:left="103" w:leftChars="49"/>
              <w:jc w:val="left"/>
              <w:rPr>
                <w:rFonts w:ascii="宋体" w:hAnsi="宋体" w:eastAsia="宋体" w:cs="宋体"/>
                <w:b/>
                <w:color w:val="auto"/>
                <w:kern w:val="0"/>
                <w:szCs w:val="21"/>
                <w:highlight w:val="none"/>
              </w:rPr>
            </w:pPr>
          </w:p>
        </w:tc>
        <w:tc>
          <w:tcPr>
            <w:tcW w:w="1487" w:type="dxa"/>
            <w:vMerge w:val="restart"/>
            <w:tcMar>
              <w:top w:w="15" w:type="dxa"/>
              <w:left w:w="15" w:type="dxa"/>
              <w:bottom w:w="0" w:type="dxa"/>
              <w:right w:w="15" w:type="dxa"/>
            </w:tcMar>
            <w:vAlign w:val="center"/>
          </w:tcPr>
          <w:p w14:paraId="14F0818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书目信息及编目数据质量</w:t>
            </w:r>
          </w:p>
          <w:p w14:paraId="472D71E3">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（9分）</w:t>
            </w:r>
          </w:p>
        </w:tc>
        <w:tc>
          <w:tcPr>
            <w:tcW w:w="6448" w:type="dxa"/>
            <w:tcMar>
              <w:top w:w="15" w:type="dxa"/>
              <w:left w:w="15" w:type="dxa"/>
              <w:bottom w:w="0" w:type="dxa"/>
              <w:right w:w="15" w:type="dxa"/>
            </w:tcMar>
            <w:vAlign w:val="center"/>
          </w:tcPr>
          <w:p w14:paraId="3112AC03">
            <w:pPr>
              <w:rPr>
                <w:rFonts w:ascii="宋体" w:hAnsi="宋体" w:eastAsia="宋体" w:cs="宋体"/>
                <w:color w:val="auto"/>
                <w:szCs w:val="21"/>
                <w:highlight w:val="none"/>
              </w:rPr>
            </w:pPr>
            <w:r>
              <w:rPr>
                <w:rFonts w:hint="eastAsia" w:ascii="宋体" w:hAnsi="宋体" w:eastAsia="宋体" w:cs="宋体"/>
                <w:color w:val="auto"/>
                <w:szCs w:val="21"/>
                <w:highlight w:val="none"/>
              </w:rPr>
              <w:t>采访书目完整、准确；书目信息的覆盖面达90%以上</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提供的信息时效性强：</w:t>
            </w:r>
          </w:p>
          <w:p w14:paraId="371808ED">
            <w:pPr>
              <w:rPr>
                <w:rFonts w:ascii="宋体" w:hAnsi="宋体" w:eastAsia="宋体" w:cs="宋体"/>
                <w:color w:val="auto"/>
                <w:szCs w:val="21"/>
                <w:highlight w:val="none"/>
              </w:rPr>
            </w:pPr>
            <w:r>
              <w:rPr>
                <w:rFonts w:hint="eastAsia" w:ascii="宋体" w:hAnsi="宋体" w:eastAsia="宋体" w:cs="宋体"/>
                <w:color w:val="auto"/>
                <w:szCs w:val="21"/>
                <w:highlight w:val="none"/>
              </w:rPr>
              <w:t>覆盖面广，信息时效性强</w:t>
            </w:r>
            <w:r>
              <w:rPr>
                <w:rFonts w:hint="eastAsia" w:ascii="宋体" w:hAnsi="宋体" w:cs="宋体"/>
                <w:color w:val="auto"/>
                <w:szCs w:val="21"/>
                <w:highlight w:val="none"/>
                <w:lang w:val="en-US" w:eastAsia="zh-CN"/>
              </w:rPr>
              <w:t>的，得</w:t>
            </w:r>
            <w:r>
              <w:rPr>
                <w:rFonts w:hint="eastAsia" w:ascii="宋体" w:hAnsi="宋体" w:eastAsia="宋体" w:cs="宋体"/>
                <w:color w:val="auto"/>
                <w:szCs w:val="21"/>
                <w:highlight w:val="none"/>
              </w:rPr>
              <w:t>5分；</w:t>
            </w:r>
          </w:p>
          <w:p w14:paraId="14257D88">
            <w:pPr>
              <w:rPr>
                <w:rFonts w:ascii="宋体" w:hAnsi="宋体" w:eastAsia="宋体" w:cs="宋体"/>
                <w:color w:val="auto"/>
                <w:szCs w:val="21"/>
                <w:highlight w:val="none"/>
              </w:rPr>
            </w:pPr>
            <w:r>
              <w:rPr>
                <w:rFonts w:hint="eastAsia" w:ascii="宋体" w:hAnsi="宋体" w:eastAsia="宋体" w:cs="宋体"/>
                <w:color w:val="auto"/>
                <w:szCs w:val="21"/>
                <w:highlight w:val="none"/>
              </w:rPr>
              <w:t>信息时效性较强</w:t>
            </w:r>
            <w:r>
              <w:rPr>
                <w:rFonts w:hint="eastAsia" w:ascii="宋体" w:hAnsi="宋体" w:cs="宋体"/>
                <w:color w:val="auto"/>
                <w:szCs w:val="21"/>
                <w:highlight w:val="none"/>
                <w:lang w:val="en-US" w:eastAsia="zh-CN"/>
              </w:rPr>
              <w:t>的，得3</w:t>
            </w:r>
            <w:r>
              <w:rPr>
                <w:rFonts w:hint="eastAsia" w:ascii="宋体" w:hAnsi="宋体" w:eastAsia="宋体" w:cs="宋体"/>
                <w:color w:val="auto"/>
                <w:szCs w:val="21"/>
                <w:highlight w:val="none"/>
              </w:rPr>
              <w:t>分；</w:t>
            </w:r>
          </w:p>
          <w:p w14:paraId="41064331">
            <w:pPr>
              <w:rPr>
                <w:rFonts w:ascii="宋体" w:hAnsi="宋体" w:eastAsia="宋体" w:cs="宋体"/>
                <w:color w:val="auto"/>
                <w:szCs w:val="21"/>
                <w:highlight w:val="none"/>
              </w:rPr>
            </w:pPr>
            <w:r>
              <w:rPr>
                <w:rFonts w:hint="eastAsia" w:ascii="宋体" w:hAnsi="宋体" w:eastAsia="宋体" w:cs="宋体"/>
                <w:color w:val="auto"/>
                <w:szCs w:val="21"/>
                <w:highlight w:val="none"/>
              </w:rPr>
              <w:t>信息时效性较弱</w:t>
            </w:r>
            <w:r>
              <w:rPr>
                <w:rFonts w:hint="eastAsia" w:ascii="宋体" w:hAnsi="宋体" w:cs="宋体"/>
                <w:color w:val="auto"/>
                <w:szCs w:val="21"/>
                <w:highlight w:val="none"/>
                <w:lang w:val="en-US" w:eastAsia="zh-CN"/>
              </w:rPr>
              <w:t>的，得1</w:t>
            </w:r>
            <w:r>
              <w:rPr>
                <w:rFonts w:hint="eastAsia" w:ascii="宋体" w:hAnsi="宋体" w:eastAsia="宋体" w:cs="宋体"/>
                <w:color w:val="auto"/>
                <w:szCs w:val="21"/>
                <w:highlight w:val="none"/>
              </w:rPr>
              <w:t>分。</w:t>
            </w:r>
          </w:p>
        </w:tc>
        <w:tc>
          <w:tcPr>
            <w:tcW w:w="720" w:type="dxa"/>
            <w:tcMar>
              <w:top w:w="15" w:type="dxa"/>
              <w:left w:w="15" w:type="dxa"/>
              <w:bottom w:w="0" w:type="dxa"/>
              <w:right w:w="15" w:type="dxa"/>
            </w:tcMar>
            <w:vAlign w:val="center"/>
          </w:tcPr>
          <w:p w14:paraId="32E99BF3">
            <w:pPr>
              <w:widowControl/>
              <w:autoSpaceDN w:val="0"/>
              <w:jc w:val="left"/>
              <w:rPr>
                <w:rFonts w:ascii="宋体" w:hAnsi="宋体" w:eastAsia="宋体" w:cs="宋体"/>
                <w:color w:val="auto"/>
                <w:kern w:val="0"/>
                <w:szCs w:val="21"/>
                <w:highlight w:val="none"/>
              </w:rPr>
            </w:pPr>
          </w:p>
        </w:tc>
      </w:tr>
      <w:tr w14:paraId="48F8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1080" w:type="dxa"/>
            <w:vMerge w:val="continue"/>
            <w:tcMar>
              <w:top w:w="15" w:type="dxa"/>
              <w:left w:w="15" w:type="dxa"/>
              <w:bottom w:w="0" w:type="dxa"/>
              <w:right w:w="15" w:type="dxa"/>
            </w:tcMar>
            <w:vAlign w:val="center"/>
          </w:tcPr>
          <w:p w14:paraId="726AE551">
            <w:pPr>
              <w:widowControl/>
              <w:autoSpaceDN w:val="0"/>
              <w:ind w:left="103" w:leftChars="49"/>
              <w:jc w:val="left"/>
              <w:rPr>
                <w:rFonts w:ascii="宋体" w:hAnsi="宋体" w:eastAsia="宋体" w:cs="宋体"/>
                <w:b/>
                <w:color w:val="auto"/>
                <w:kern w:val="0"/>
                <w:szCs w:val="21"/>
                <w:highlight w:val="none"/>
              </w:rPr>
            </w:pPr>
          </w:p>
        </w:tc>
        <w:tc>
          <w:tcPr>
            <w:tcW w:w="1487" w:type="dxa"/>
            <w:vMerge w:val="continue"/>
            <w:tcMar>
              <w:top w:w="15" w:type="dxa"/>
              <w:left w:w="15" w:type="dxa"/>
              <w:bottom w:w="0" w:type="dxa"/>
              <w:right w:w="15" w:type="dxa"/>
            </w:tcMar>
            <w:vAlign w:val="center"/>
          </w:tcPr>
          <w:p w14:paraId="23856B91">
            <w:pPr>
              <w:widowControl/>
              <w:autoSpaceDN w:val="0"/>
              <w:jc w:val="center"/>
              <w:rPr>
                <w:rFonts w:ascii="宋体" w:hAnsi="宋体" w:eastAsia="宋体" w:cs="宋体"/>
                <w:b/>
                <w:color w:val="auto"/>
                <w:kern w:val="0"/>
                <w:szCs w:val="21"/>
                <w:highlight w:val="none"/>
              </w:rPr>
            </w:pPr>
          </w:p>
        </w:tc>
        <w:tc>
          <w:tcPr>
            <w:tcW w:w="6448" w:type="dxa"/>
            <w:tcMar>
              <w:top w:w="15" w:type="dxa"/>
              <w:left w:w="15" w:type="dxa"/>
              <w:bottom w:w="0" w:type="dxa"/>
              <w:right w:w="15" w:type="dxa"/>
            </w:tcMar>
            <w:vAlign w:val="center"/>
          </w:tcPr>
          <w:p w14:paraId="51DE9755">
            <w:pPr>
              <w:rPr>
                <w:rFonts w:ascii="宋体" w:hAnsi="宋体" w:eastAsia="宋体" w:cs="宋体"/>
                <w:color w:val="auto"/>
                <w:szCs w:val="21"/>
                <w:highlight w:val="none"/>
              </w:rPr>
            </w:pPr>
            <w:r>
              <w:rPr>
                <w:rFonts w:hint="eastAsia" w:ascii="宋体" w:hAnsi="宋体" w:eastAsia="宋体" w:cs="宋体"/>
                <w:color w:val="auto"/>
                <w:szCs w:val="21"/>
                <w:highlight w:val="none"/>
              </w:rPr>
              <w:t>编目数据的质量符合本项目要求；与到馆图书的匹配程度（不漏发、错发）；是否与到馆图书同时到达：</w:t>
            </w:r>
          </w:p>
          <w:p w14:paraId="3BBEE2E2">
            <w:pPr>
              <w:rPr>
                <w:rFonts w:ascii="宋体" w:hAnsi="宋体" w:eastAsia="宋体" w:cs="宋体"/>
                <w:color w:val="auto"/>
                <w:szCs w:val="21"/>
                <w:highlight w:val="none"/>
              </w:rPr>
            </w:pPr>
            <w:r>
              <w:rPr>
                <w:rFonts w:hint="eastAsia" w:ascii="宋体" w:hAnsi="宋体" w:eastAsia="宋体" w:cs="宋体"/>
                <w:color w:val="auto"/>
                <w:szCs w:val="21"/>
                <w:highlight w:val="none"/>
              </w:rPr>
              <w:t>编目数据与到馆图书匹配度高，与到馆图书同时到达得4分，匹配度较高</w:t>
            </w:r>
            <w:r>
              <w:rPr>
                <w:rFonts w:hint="eastAsia" w:ascii="宋体" w:hAnsi="宋体" w:cs="宋体"/>
                <w:color w:val="auto"/>
                <w:szCs w:val="21"/>
                <w:highlight w:val="none"/>
                <w:lang w:val="en-US" w:eastAsia="zh-CN"/>
              </w:rPr>
              <w:t>的，得</w:t>
            </w:r>
            <w:r>
              <w:rPr>
                <w:rFonts w:hint="eastAsia" w:ascii="宋体" w:hAnsi="宋体" w:eastAsia="宋体" w:cs="宋体"/>
                <w:color w:val="auto"/>
                <w:szCs w:val="21"/>
                <w:highlight w:val="none"/>
              </w:rPr>
              <w:t>3分，</w:t>
            </w:r>
            <w:r>
              <w:rPr>
                <w:rFonts w:hint="eastAsia" w:ascii="宋体" w:hAnsi="宋体" w:cs="宋体"/>
                <w:color w:val="auto"/>
                <w:szCs w:val="21"/>
                <w:highlight w:val="none"/>
                <w:lang w:val="en-US" w:eastAsia="zh-CN"/>
              </w:rPr>
              <w:t>匹配度较差的，得</w:t>
            </w:r>
            <w:r>
              <w:rPr>
                <w:rFonts w:hint="eastAsia" w:ascii="宋体" w:hAnsi="宋体" w:eastAsia="宋体" w:cs="宋体"/>
                <w:color w:val="auto"/>
                <w:szCs w:val="21"/>
                <w:highlight w:val="none"/>
              </w:rPr>
              <w:t>1分。</w:t>
            </w:r>
          </w:p>
        </w:tc>
        <w:tc>
          <w:tcPr>
            <w:tcW w:w="720" w:type="dxa"/>
            <w:tcMar>
              <w:top w:w="15" w:type="dxa"/>
              <w:left w:w="15" w:type="dxa"/>
              <w:bottom w:w="0" w:type="dxa"/>
              <w:right w:w="15" w:type="dxa"/>
            </w:tcMar>
            <w:vAlign w:val="center"/>
          </w:tcPr>
          <w:p w14:paraId="1307B005">
            <w:pPr>
              <w:widowControl/>
              <w:autoSpaceDN w:val="0"/>
              <w:jc w:val="left"/>
              <w:rPr>
                <w:rFonts w:ascii="宋体" w:hAnsi="宋体" w:eastAsia="宋体" w:cs="宋体"/>
                <w:color w:val="auto"/>
                <w:kern w:val="0"/>
                <w:szCs w:val="21"/>
                <w:highlight w:val="none"/>
              </w:rPr>
            </w:pPr>
          </w:p>
        </w:tc>
      </w:tr>
      <w:tr w14:paraId="1AE9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trPr>
        <w:tc>
          <w:tcPr>
            <w:tcW w:w="1080" w:type="dxa"/>
            <w:vMerge w:val="continue"/>
            <w:tcMar>
              <w:top w:w="15" w:type="dxa"/>
              <w:left w:w="15" w:type="dxa"/>
              <w:bottom w:w="0" w:type="dxa"/>
              <w:right w:w="15" w:type="dxa"/>
            </w:tcMar>
            <w:vAlign w:val="center"/>
          </w:tcPr>
          <w:p w14:paraId="0CEAC4AF">
            <w:pPr>
              <w:widowControl/>
              <w:autoSpaceDN w:val="0"/>
              <w:ind w:left="103" w:leftChars="49"/>
              <w:jc w:val="left"/>
              <w:rPr>
                <w:rFonts w:ascii="宋体" w:hAnsi="宋体" w:eastAsia="宋体" w:cs="宋体"/>
                <w:b/>
                <w:color w:val="auto"/>
                <w:kern w:val="0"/>
                <w:szCs w:val="21"/>
                <w:highlight w:val="none"/>
              </w:rPr>
            </w:pPr>
          </w:p>
        </w:tc>
        <w:tc>
          <w:tcPr>
            <w:tcW w:w="1487" w:type="dxa"/>
            <w:tcMar>
              <w:top w:w="15" w:type="dxa"/>
              <w:left w:w="15" w:type="dxa"/>
              <w:bottom w:w="0" w:type="dxa"/>
              <w:right w:w="15" w:type="dxa"/>
            </w:tcMar>
            <w:vAlign w:val="center"/>
          </w:tcPr>
          <w:p w14:paraId="2DB285F1">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到书率（3分）</w:t>
            </w:r>
          </w:p>
        </w:tc>
        <w:tc>
          <w:tcPr>
            <w:tcW w:w="6448" w:type="dxa"/>
            <w:tcMar>
              <w:top w:w="15" w:type="dxa"/>
              <w:left w:w="15" w:type="dxa"/>
              <w:bottom w:w="0" w:type="dxa"/>
              <w:right w:w="15" w:type="dxa"/>
            </w:tcMar>
            <w:vAlign w:val="center"/>
          </w:tcPr>
          <w:p w14:paraId="134ADF33">
            <w:pPr>
              <w:rPr>
                <w:rFonts w:ascii="宋体" w:hAnsi="宋体" w:eastAsia="宋体" w:cs="宋体"/>
                <w:color w:val="auto"/>
                <w:szCs w:val="21"/>
                <w:highlight w:val="none"/>
              </w:rPr>
            </w:pPr>
            <w:r>
              <w:rPr>
                <w:rFonts w:hint="eastAsia" w:ascii="宋体" w:hAnsi="宋体" w:eastAsia="宋体" w:cs="宋体"/>
                <w:color w:val="auto"/>
                <w:szCs w:val="21"/>
                <w:highlight w:val="none"/>
              </w:rPr>
              <w:t>年到书率达95%以上为3分；85%~94%为2分；85%以下为1分。</w:t>
            </w:r>
          </w:p>
        </w:tc>
        <w:tc>
          <w:tcPr>
            <w:tcW w:w="720" w:type="dxa"/>
            <w:tcMar>
              <w:top w:w="15" w:type="dxa"/>
              <w:left w:w="15" w:type="dxa"/>
              <w:bottom w:w="0" w:type="dxa"/>
              <w:right w:w="15" w:type="dxa"/>
            </w:tcMar>
            <w:vAlign w:val="center"/>
          </w:tcPr>
          <w:p w14:paraId="42F81F1E">
            <w:pPr>
              <w:widowControl/>
              <w:autoSpaceDN w:val="0"/>
              <w:jc w:val="left"/>
              <w:rPr>
                <w:rFonts w:ascii="宋体" w:hAnsi="宋体" w:eastAsia="宋体" w:cs="宋体"/>
                <w:color w:val="auto"/>
                <w:kern w:val="0"/>
                <w:szCs w:val="21"/>
                <w:highlight w:val="none"/>
              </w:rPr>
            </w:pPr>
          </w:p>
        </w:tc>
      </w:tr>
      <w:tr w14:paraId="5691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1080" w:type="dxa"/>
            <w:vMerge w:val="continue"/>
            <w:tcMar>
              <w:top w:w="15" w:type="dxa"/>
              <w:left w:w="15" w:type="dxa"/>
              <w:bottom w:w="0" w:type="dxa"/>
              <w:right w:w="15" w:type="dxa"/>
            </w:tcMar>
            <w:vAlign w:val="center"/>
          </w:tcPr>
          <w:p w14:paraId="73EF4379">
            <w:pPr>
              <w:widowControl/>
              <w:autoSpaceDN w:val="0"/>
              <w:ind w:left="103" w:leftChars="49"/>
              <w:jc w:val="left"/>
              <w:rPr>
                <w:rFonts w:ascii="宋体" w:hAnsi="宋体" w:eastAsia="宋体" w:cs="宋体"/>
                <w:b/>
                <w:color w:val="auto"/>
                <w:kern w:val="0"/>
                <w:szCs w:val="21"/>
                <w:highlight w:val="none"/>
              </w:rPr>
            </w:pPr>
          </w:p>
        </w:tc>
        <w:tc>
          <w:tcPr>
            <w:tcW w:w="1487" w:type="dxa"/>
            <w:tcMar>
              <w:top w:w="15" w:type="dxa"/>
              <w:left w:w="15" w:type="dxa"/>
              <w:bottom w:w="0" w:type="dxa"/>
              <w:right w:w="15" w:type="dxa"/>
            </w:tcMar>
            <w:vAlign w:val="center"/>
          </w:tcPr>
          <w:p w14:paraId="5904856E">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对图书馆自备书目、自定较窄主题采购的响应速度（3分）</w:t>
            </w:r>
          </w:p>
        </w:tc>
        <w:tc>
          <w:tcPr>
            <w:tcW w:w="6448" w:type="dxa"/>
            <w:tcMar>
              <w:top w:w="15" w:type="dxa"/>
              <w:left w:w="15" w:type="dxa"/>
              <w:bottom w:w="0" w:type="dxa"/>
              <w:right w:w="15" w:type="dxa"/>
            </w:tcMar>
            <w:vAlign w:val="center"/>
          </w:tcPr>
          <w:p w14:paraId="64CE503F">
            <w:pPr>
              <w:rPr>
                <w:rFonts w:ascii="宋体" w:hAnsi="宋体" w:eastAsia="宋体" w:cs="宋体"/>
                <w:color w:val="auto"/>
                <w:szCs w:val="21"/>
                <w:highlight w:val="none"/>
              </w:rPr>
            </w:pPr>
            <w:r>
              <w:rPr>
                <w:rFonts w:hint="eastAsia" w:ascii="宋体" w:hAnsi="宋体" w:eastAsia="宋体" w:cs="宋体"/>
                <w:color w:val="auto"/>
                <w:szCs w:val="21"/>
                <w:highlight w:val="none"/>
              </w:rPr>
              <w:t>1.具备对图书馆自备书目的采购能力；</w:t>
            </w:r>
          </w:p>
          <w:p w14:paraId="790BFC2B">
            <w:pPr>
              <w:rPr>
                <w:rFonts w:ascii="宋体" w:hAnsi="宋体" w:eastAsia="宋体" w:cs="宋体"/>
                <w:color w:val="auto"/>
                <w:szCs w:val="21"/>
                <w:highlight w:val="none"/>
              </w:rPr>
            </w:pPr>
            <w:r>
              <w:rPr>
                <w:rFonts w:hint="eastAsia" w:ascii="宋体" w:hAnsi="宋体" w:eastAsia="宋体" w:cs="宋体"/>
                <w:color w:val="auto"/>
                <w:szCs w:val="21"/>
                <w:highlight w:val="none"/>
              </w:rPr>
              <w:t>2.具备自定较窄主题采购的快速响应能力。</w:t>
            </w:r>
          </w:p>
          <w:p w14:paraId="47C6004B">
            <w:pPr>
              <w:rPr>
                <w:rFonts w:ascii="宋体" w:hAnsi="宋体" w:eastAsia="宋体" w:cs="宋体"/>
                <w:color w:val="auto"/>
                <w:szCs w:val="21"/>
                <w:highlight w:val="none"/>
              </w:rPr>
            </w:pPr>
            <w:r>
              <w:rPr>
                <w:rFonts w:hint="eastAsia" w:ascii="宋体" w:hAnsi="宋体" w:eastAsia="宋体" w:cs="宋体"/>
                <w:color w:val="auto"/>
                <w:szCs w:val="21"/>
                <w:highlight w:val="none"/>
              </w:rPr>
              <w:t>每项满分为1.5分。最多得3分。</w:t>
            </w:r>
          </w:p>
        </w:tc>
        <w:tc>
          <w:tcPr>
            <w:tcW w:w="720" w:type="dxa"/>
            <w:tcMar>
              <w:top w:w="15" w:type="dxa"/>
              <w:left w:w="15" w:type="dxa"/>
              <w:bottom w:w="0" w:type="dxa"/>
              <w:right w:w="15" w:type="dxa"/>
            </w:tcMar>
            <w:vAlign w:val="center"/>
          </w:tcPr>
          <w:p w14:paraId="41389B4C">
            <w:pPr>
              <w:widowControl/>
              <w:autoSpaceDN w:val="0"/>
              <w:jc w:val="left"/>
              <w:rPr>
                <w:rFonts w:ascii="宋体" w:hAnsi="宋体" w:eastAsia="宋体" w:cs="宋体"/>
                <w:color w:val="auto"/>
                <w:kern w:val="0"/>
                <w:szCs w:val="21"/>
                <w:highlight w:val="none"/>
              </w:rPr>
            </w:pPr>
          </w:p>
        </w:tc>
      </w:tr>
      <w:tr w14:paraId="41F3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1080" w:type="dxa"/>
            <w:vMerge w:val="continue"/>
            <w:tcMar>
              <w:top w:w="15" w:type="dxa"/>
              <w:left w:w="15" w:type="dxa"/>
              <w:bottom w:w="0" w:type="dxa"/>
              <w:right w:w="15" w:type="dxa"/>
            </w:tcMar>
            <w:vAlign w:val="center"/>
          </w:tcPr>
          <w:p w14:paraId="2D6057A6">
            <w:pPr>
              <w:widowControl/>
              <w:autoSpaceDN w:val="0"/>
              <w:ind w:left="103" w:leftChars="49"/>
              <w:jc w:val="left"/>
              <w:rPr>
                <w:rFonts w:ascii="宋体" w:hAnsi="宋体" w:eastAsia="宋体" w:cs="宋体"/>
                <w:b/>
                <w:color w:val="auto"/>
                <w:kern w:val="0"/>
                <w:szCs w:val="21"/>
                <w:highlight w:val="none"/>
              </w:rPr>
            </w:pPr>
          </w:p>
        </w:tc>
        <w:tc>
          <w:tcPr>
            <w:tcW w:w="1487" w:type="dxa"/>
            <w:vMerge w:val="restart"/>
            <w:tcMar>
              <w:top w:w="15" w:type="dxa"/>
              <w:left w:w="15" w:type="dxa"/>
              <w:bottom w:w="0" w:type="dxa"/>
              <w:right w:w="15" w:type="dxa"/>
            </w:tcMar>
            <w:vAlign w:val="center"/>
          </w:tcPr>
          <w:p w14:paraId="2CFB9518">
            <w:pPr>
              <w:widowControl/>
              <w:autoSpaceDN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应急能力承诺（10分）</w:t>
            </w:r>
          </w:p>
        </w:tc>
        <w:tc>
          <w:tcPr>
            <w:tcW w:w="6448" w:type="dxa"/>
            <w:tcMar>
              <w:top w:w="15" w:type="dxa"/>
              <w:left w:w="15" w:type="dxa"/>
              <w:bottom w:w="0" w:type="dxa"/>
              <w:right w:w="15" w:type="dxa"/>
            </w:tcMar>
            <w:vAlign w:val="center"/>
          </w:tcPr>
          <w:p w14:paraId="67633581">
            <w:pPr>
              <w:rPr>
                <w:rFonts w:ascii="宋体" w:hAnsi="宋体" w:eastAsia="宋体" w:cs="宋体"/>
                <w:color w:val="auto"/>
                <w:szCs w:val="21"/>
                <w:highlight w:val="none"/>
              </w:rPr>
            </w:pPr>
            <w:r>
              <w:rPr>
                <w:rFonts w:hint="eastAsia" w:ascii="宋体" w:hAnsi="宋体" w:eastAsia="宋体" w:cs="宋体"/>
                <w:color w:val="auto"/>
                <w:szCs w:val="21"/>
                <w:highlight w:val="none"/>
              </w:rPr>
              <w:t>对已订书单因情况变化，图书馆要求减少订数或要求取消订购的反应能力。能减少订数、取消订购的得2分，无反应能力的不得分。</w:t>
            </w:r>
          </w:p>
        </w:tc>
        <w:tc>
          <w:tcPr>
            <w:tcW w:w="720" w:type="dxa"/>
            <w:tcMar>
              <w:top w:w="15" w:type="dxa"/>
              <w:left w:w="15" w:type="dxa"/>
              <w:bottom w:w="0" w:type="dxa"/>
              <w:right w:w="15" w:type="dxa"/>
            </w:tcMar>
            <w:vAlign w:val="center"/>
          </w:tcPr>
          <w:p w14:paraId="468B895E">
            <w:pPr>
              <w:widowControl/>
              <w:autoSpaceDN w:val="0"/>
              <w:jc w:val="left"/>
              <w:rPr>
                <w:rFonts w:ascii="宋体" w:hAnsi="宋体" w:eastAsia="宋体" w:cs="宋体"/>
                <w:color w:val="auto"/>
                <w:kern w:val="0"/>
                <w:szCs w:val="21"/>
                <w:highlight w:val="none"/>
              </w:rPr>
            </w:pPr>
          </w:p>
        </w:tc>
      </w:tr>
      <w:tr w14:paraId="5114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trPr>
        <w:tc>
          <w:tcPr>
            <w:tcW w:w="1080" w:type="dxa"/>
            <w:vMerge w:val="continue"/>
            <w:tcMar>
              <w:top w:w="15" w:type="dxa"/>
              <w:left w:w="15" w:type="dxa"/>
              <w:bottom w:w="0" w:type="dxa"/>
              <w:right w:w="15" w:type="dxa"/>
            </w:tcMar>
            <w:vAlign w:val="center"/>
          </w:tcPr>
          <w:p w14:paraId="7AE74DDD">
            <w:pPr>
              <w:widowControl/>
              <w:autoSpaceDN w:val="0"/>
              <w:ind w:left="103" w:leftChars="49"/>
              <w:jc w:val="left"/>
              <w:rPr>
                <w:rFonts w:ascii="宋体" w:hAnsi="宋体" w:eastAsia="宋体" w:cs="宋体"/>
                <w:b/>
                <w:color w:val="auto"/>
                <w:kern w:val="0"/>
                <w:szCs w:val="21"/>
                <w:highlight w:val="none"/>
              </w:rPr>
            </w:pPr>
          </w:p>
        </w:tc>
        <w:tc>
          <w:tcPr>
            <w:tcW w:w="1487" w:type="dxa"/>
            <w:vMerge w:val="continue"/>
            <w:tcMar>
              <w:top w:w="15" w:type="dxa"/>
              <w:left w:w="15" w:type="dxa"/>
              <w:bottom w:w="0" w:type="dxa"/>
              <w:right w:w="15" w:type="dxa"/>
            </w:tcMar>
            <w:vAlign w:val="center"/>
          </w:tcPr>
          <w:p w14:paraId="20C040AC">
            <w:pPr>
              <w:widowControl/>
              <w:autoSpaceDN w:val="0"/>
              <w:jc w:val="center"/>
              <w:rPr>
                <w:rFonts w:ascii="宋体" w:hAnsi="宋体" w:eastAsia="宋体" w:cs="宋体"/>
                <w:b/>
                <w:color w:val="auto"/>
                <w:kern w:val="0"/>
                <w:szCs w:val="21"/>
                <w:highlight w:val="none"/>
              </w:rPr>
            </w:pPr>
          </w:p>
        </w:tc>
        <w:tc>
          <w:tcPr>
            <w:tcW w:w="6448" w:type="dxa"/>
            <w:tcMar>
              <w:top w:w="15" w:type="dxa"/>
              <w:left w:w="15" w:type="dxa"/>
              <w:bottom w:w="0" w:type="dxa"/>
              <w:right w:w="15" w:type="dxa"/>
            </w:tcMar>
            <w:vAlign w:val="center"/>
          </w:tcPr>
          <w:p w14:paraId="00F4EBB4">
            <w:pPr>
              <w:rPr>
                <w:rFonts w:ascii="宋体" w:hAnsi="宋体" w:eastAsia="宋体" w:cs="宋体"/>
                <w:color w:val="auto"/>
                <w:szCs w:val="21"/>
                <w:highlight w:val="none"/>
              </w:rPr>
            </w:pPr>
            <w:r>
              <w:rPr>
                <w:rFonts w:hint="eastAsia" w:ascii="宋体" w:hAnsi="宋体" w:eastAsia="宋体" w:cs="宋体"/>
                <w:color w:val="auto"/>
                <w:szCs w:val="21"/>
                <w:highlight w:val="none"/>
              </w:rPr>
              <w:t>对图书馆已预订，但因到货、出版推迟等不能及时到馆的图书，或取消出版的图书信息能否及时予以反馈：</w:t>
            </w:r>
          </w:p>
          <w:p w14:paraId="1E752C4C">
            <w:pPr>
              <w:rPr>
                <w:rFonts w:ascii="宋体" w:hAnsi="宋体" w:eastAsia="宋体" w:cs="宋体"/>
                <w:color w:val="auto"/>
                <w:szCs w:val="21"/>
                <w:highlight w:val="none"/>
              </w:rPr>
            </w:pPr>
            <w:r>
              <w:rPr>
                <w:rFonts w:hint="eastAsia" w:ascii="宋体" w:hAnsi="宋体" w:eastAsia="宋体" w:cs="宋体"/>
                <w:color w:val="auto"/>
                <w:szCs w:val="21"/>
                <w:highlight w:val="none"/>
              </w:rPr>
              <w:t>信息反馈比较及时：2分；信息反馈基本及时的1分，不及时不得分。</w:t>
            </w:r>
          </w:p>
        </w:tc>
        <w:tc>
          <w:tcPr>
            <w:tcW w:w="720" w:type="dxa"/>
            <w:tcMar>
              <w:top w:w="15" w:type="dxa"/>
              <w:left w:w="15" w:type="dxa"/>
              <w:bottom w:w="0" w:type="dxa"/>
              <w:right w:w="15" w:type="dxa"/>
            </w:tcMar>
            <w:vAlign w:val="center"/>
          </w:tcPr>
          <w:p w14:paraId="07EEFD88">
            <w:pPr>
              <w:widowControl/>
              <w:autoSpaceDN w:val="0"/>
              <w:jc w:val="left"/>
              <w:rPr>
                <w:rFonts w:ascii="宋体" w:hAnsi="宋体" w:eastAsia="宋体" w:cs="宋体"/>
                <w:color w:val="auto"/>
                <w:kern w:val="0"/>
                <w:szCs w:val="21"/>
                <w:highlight w:val="none"/>
              </w:rPr>
            </w:pPr>
          </w:p>
        </w:tc>
      </w:tr>
      <w:tr w14:paraId="4EA3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1080" w:type="dxa"/>
            <w:vMerge w:val="continue"/>
            <w:tcMar>
              <w:top w:w="15" w:type="dxa"/>
              <w:left w:w="15" w:type="dxa"/>
              <w:bottom w:w="0" w:type="dxa"/>
              <w:right w:w="15" w:type="dxa"/>
            </w:tcMar>
            <w:vAlign w:val="center"/>
          </w:tcPr>
          <w:p w14:paraId="5ED3C696">
            <w:pPr>
              <w:widowControl/>
              <w:autoSpaceDN w:val="0"/>
              <w:ind w:left="103" w:leftChars="49"/>
              <w:jc w:val="left"/>
              <w:rPr>
                <w:rFonts w:ascii="宋体" w:hAnsi="宋体" w:eastAsia="宋体" w:cs="宋体"/>
                <w:b/>
                <w:color w:val="auto"/>
                <w:kern w:val="0"/>
                <w:szCs w:val="21"/>
                <w:highlight w:val="none"/>
              </w:rPr>
            </w:pPr>
          </w:p>
        </w:tc>
        <w:tc>
          <w:tcPr>
            <w:tcW w:w="1487" w:type="dxa"/>
            <w:vMerge w:val="continue"/>
            <w:tcMar>
              <w:top w:w="15" w:type="dxa"/>
              <w:left w:w="15" w:type="dxa"/>
              <w:bottom w:w="0" w:type="dxa"/>
              <w:right w:w="15" w:type="dxa"/>
            </w:tcMar>
            <w:vAlign w:val="center"/>
          </w:tcPr>
          <w:p w14:paraId="485C2A03">
            <w:pPr>
              <w:widowControl/>
              <w:autoSpaceDN w:val="0"/>
              <w:jc w:val="center"/>
              <w:rPr>
                <w:rFonts w:ascii="宋体" w:hAnsi="宋体" w:eastAsia="宋体" w:cs="宋体"/>
                <w:b/>
                <w:color w:val="auto"/>
                <w:kern w:val="0"/>
                <w:szCs w:val="21"/>
                <w:highlight w:val="none"/>
              </w:rPr>
            </w:pPr>
          </w:p>
        </w:tc>
        <w:tc>
          <w:tcPr>
            <w:tcW w:w="6448" w:type="dxa"/>
            <w:tcMar>
              <w:top w:w="15" w:type="dxa"/>
              <w:left w:w="15" w:type="dxa"/>
              <w:bottom w:w="0" w:type="dxa"/>
              <w:right w:w="15" w:type="dxa"/>
            </w:tcMar>
            <w:vAlign w:val="center"/>
          </w:tcPr>
          <w:p w14:paraId="476B61D8">
            <w:pPr>
              <w:rPr>
                <w:rFonts w:ascii="宋体" w:hAnsi="宋体" w:eastAsia="宋体" w:cs="宋体"/>
                <w:color w:val="auto"/>
                <w:szCs w:val="21"/>
                <w:highlight w:val="none"/>
              </w:rPr>
            </w:pPr>
            <w:r>
              <w:rPr>
                <w:rFonts w:hint="eastAsia" w:ascii="宋体" w:hAnsi="宋体" w:eastAsia="宋体" w:cs="宋体"/>
                <w:color w:val="auto"/>
                <w:szCs w:val="21"/>
                <w:highlight w:val="none"/>
              </w:rPr>
              <w:t>对图书质量问题、与馆藏要求不符、与预订不符等原因退书的处理态度及处理速度：</w:t>
            </w:r>
          </w:p>
          <w:p w14:paraId="688CDA30">
            <w:pPr>
              <w:rPr>
                <w:rFonts w:ascii="宋体" w:hAnsi="宋体" w:eastAsia="宋体" w:cs="宋体"/>
                <w:color w:val="auto"/>
                <w:szCs w:val="21"/>
                <w:highlight w:val="none"/>
              </w:rPr>
            </w:pPr>
            <w:r>
              <w:rPr>
                <w:rFonts w:hint="eastAsia" w:ascii="宋体" w:hAnsi="宋体" w:eastAsia="宋体" w:cs="宋体"/>
                <w:color w:val="auto"/>
                <w:szCs w:val="21"/>
                <w:highlight w:val="none"/>
              </w:rPr>
              <w:t>态度认真，处理及时：2分；态度较认真：1分；不及时不得分。</w:t>
            </w:r>
          </w:p>
        </w:tc>
        <w:tc>
          <w:tcPr>
            <w:tcW w:w="720" w:type="dxa"/>
            <w:tcMar>
              <w:top w:w="15" w:type="dxa"/>
              <w:left w:w="15" w:type="dxa"/>
              <w:bottom w:w="0" w:type="dxa"/>
              <w:right w:w="15" w:type="dxa"/>
            </w:tcMar>
            <w:vAlign w:val="center"/>
          </w:tcPr>
          <w:p w14:paraId="27F768CA">
            <w:pPr>
              <w:widowControl/>
              <w:autoSpaceDN w:val="0"/>
              <w:jc w:val="left"/>
              <w:rPr>
                <w:rFonts w:ascii="宋体" w:hAnsi="宋体" w:eastAsia="宋体" w:cs="宋体"/>
                <w:color w:val="auto"/>
                <w:kern w:val="0"/>
                <w:szCs w:val="21"/>
                <w:highlight w:val="none"/>
              </w:rPr>
            </w:pPr>
          </w:p>
        </w:tc>
      </w:tr>
      <w:tr w14:paraId="7880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1080" w:type="dxa"/>
            <w:vMerge w:val="continue"/>
            <w:vAlign w:val="center"/>
          </w:tcPr>
          <w:p w14:paraId="7BA906B1">
            <w:pPr>
              <w:widowControl/>
              <w:jc w:val="left"/>
              <w:rPr>
                <w:rFonts w:ascii="宋体" w:hAnsi="宋体" w:eastAsia="宋体" w:cs="宋体"/>
                <w:b/>
                <w:color w:val="auto"/>
                <w:kern w:val="0"/>
                <w:szCs w:val="21"/>
                <w:highlight w:val="none"/>
              </w:rPr>
            </w:pPr>
          </w:p>
        </w:tc>
        <w:tc>
          <w:tcPr>
            <w:tcW w:w="1487" w:type="dxa"/>
            <w:vMerge w:val="continue"/>
            <w:tcMar>
              <w:top w:w="15" w:type="dxa"/>
              <w:left w:w="15" w:type="dxa"/>
              <w:bottom w:w="0" w:type="dxa"/>
              <w:right w:w="15" w:type="dxa"/>
            </w:tcMar>
            <w:vAlign w:val="center"/>
          </w:tcPr>
          <w:p w14:paraId="10B64B33">
            <w:pPr>
              <w:widowControl/>
              <w:autoSpaceDN w:val="0"/>
              <w:jc w:val="center"/>
              <w:rPr>
                <w:rFonts w:ascii="宋体" w:hAnsi="宋体" w:eastAsia="宋体" w:cs="宋体"/>
                <w:b/>
                <w:color w:val="auto"/>
                <w:kern w:val="0"/>
                <w:szCs w:val="21"/>
                <w:highlight w:val="none"/>
              </w:rPr>
            </w:pPr>
          </w:p>
        </w:tc>
        <w:tc>
          <w:tcPr>
            <w:tcW w:w="6448" w:type="dxa"/>
            <w:tcMar>
              <w:top w:w="15" w:type="dxa"/>
              <w:left w:w="15" w:type="dxa"/>
              <w:bottom w:w="0" w:type="dxa"/>
              <w:right w:w="15" w:type="dxa"/>
            </w:tcMar>
            <w:vAlign w:val="center"/>
          </w:tcPr>
          <w:p w14:paraId="0FF41C99">
            <w:pPr>
              <w:rPr>
                <w:rFonts w:ascii="宋体" w:hAnsi="宋体" w:eastAsia="宋体" w:cs="宋体"/>
                <w:color w:val="auto"/>
                <w:szCs w:val="21"/>
                <w:highlight w:val="none"/>
              </w:rPr>
            </w:pPr>
            <w:r>
              <w:rPr>
                <w:rFonts w:hint="eastAsia" w:ascii="宋体" w:hAnsi="宋体" w:eastAsia="宋体" w:cs="宋体"/>
                <w:color w:val="auto"/>
                <w:szCs w:val="21"/>
                <w:highlight w:val="none"/>
              </w:rPr>
              <w:t>对图书馆特殊的、应急项目的要求，零星的图书（50册以内），要求1个工作日加工完成并到馆；200册以内的图书，要求2个工作日加工完成并到馆；700册以内的图书，要求3个工作日加工完成并到馆。能达到要求的得4分，不能达到要求的不得分。</w:t>
            </w:r>
          </w:p>
        </w:tc>
        <w:tc>
          <w:tcPr>
            <w:tcW w:w="720" w:type="dxa"/>
            <w:tcMar>
              <w:top w:w="15" w:type="dxa"/>
              <w:left w:w="15" w:type="dxa"/>
              <w:bottom w:w="0" w:type="dxa"/>
              <w:right w:w="15" w:type="dxa"/>
            </w:tcMar>
            <w:vAlign w:val="center"/>
          </w:tcPr>
          <w:p w14:paraId="4164F8C2">
            <w:pPr>
              <w:widowControl/>
              <w:autoSpaceDN w:val="0"/>
              <w:jc w:val="left"/>
              <w:rPr>
                <w:rFonts w:ascii="宋体" w:hAnsi="宋体" w:eastAsia="宋体" w:cs="宋体"/>
                <w:color w:val="auto"/>
                <w:kern w:val="0"/>
                <w:szCs w:val="21"/>
                <w:highlight w:val="none"/>
              </w:rPr>
            </w:pPr>
          </w:p>
        </w:tc>
      </w:tr>
      <w:tr w14:paraId="0DCC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1080" w:type="dxa"/>
            <w:vMerge w:val="continue"/>
            <w:vAlign w:val="center"/>
          </w:tcPr>
          <w:p w14:paraId="39A05267">
            <w:pPr>
              <w:widowControl/>
              <w:jc w:val="left"/>
              <w:rPr>
                <w:rFonts w:ascii="宋体" w:hAnsi="宋体" w:eastAsia="宋体" w:cs="宋体"/>
                <w:b/>
                <w:color w:val="auto"/>
                <w:kern w:val="0"/>
                <w:szCs w:val="21"/>
                <w:highlight w:val="none"/>
              </w:rPr>
            </w:pPr>
          </w:p>
        </w:tc>
        <w:tc>
          <w:tcPr>
            <w:tcW w:w="1487" w:type="dxa"/>
            <w:tcMar>
              <w:top w:w="15" w:type="dxa"/>
              <w:left w:w="15" w:type="dxa"/>
              <w:bottom w:w="0" w:type="dxa"/>
              <w:right w:w="15" w:type="dxa"/>
            </w:tcMar>
            <w:vAlign w:val="center"/>
          </w:tcPr>
          <w:p w14:paraId="1DE3C210">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运输</w:t>
            </w:r>
            <w:r>
              <w:rPr>
                <w:rFonts w:hint="eastAsia" w:ascii="宋体" w:hAnsi="宋体" w:cs="宋体"/>
                <w:color w:val="auto"/>
                <w:szCs w:val="21"/>
                <w:highlight w:val="none"/>
                <w:lang w:val="en-US" w:eastAsia="zh-CN"/>
              </w:rPr>
              <w:t>要求</w:t>
            </w:r>
          </w:p>
          <w:p w14:paraId="70C1C835">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5</w:t>
            </w:r>
            <w:r>
              <w:rPr>
                <w:rFonts w:hint="eastAsia" w:ascii="宋体" w:hAnsi="宋体" w:eastAsia="宋体" w:cs="宋体"/>
                <w:color w:val="auto"/>
                <w:szCs w:val="21"/>
                <w:highlight w:val="none"/>
              </w:rPr>
              <w:t>分)</w:t>
            </w:r>
          </w:p>
        </w:tc>
        <w:tc>
          <w:tcPr>
            <w:tcW w:w="6448" w:type="dxa"/>
            <w:tcMar>
              <w:top w:w="15" w:type="dxa"/>
              <w:left w:w="15" w:type="dxa"/>
              <w:bottom w:w="0" w:type="dxa"/>
              <w:right w:w="15" w:type="dxa"/>
            </w:tcMar>
            <w:vAlign w:val="center"/>
          </w:tcPr>
          <w:p w14:paraId="72193DB5">
            <w:pPr>
              <w:rPr>
                <w:rFonts w:ascii="宋体" w:hAnsi="宋体" w:eastAsia="宋体" w:cs="宋体"/>
                <w:color w:val="auto"/>
                <w:szCs w:val="21"/>
                <w:highlight w:val="none"/>
              </w:rPr>
            </w:pPr>
            <w:r>
              <w:rPr>
                <w:rFonts w:hint="eastAsia" w:ascii="宋体" w:hAnsi="宋体" w:eastAsia="宋体" w:cs="宋体"/>
                <w:color w:val="auto"/>
                <w:szCs w:val="21"/>
                <w:highlight w:val="none"/>
              </w:rPr>
              <w:t>到馆图书的包装符合运输和方便装卸的要求，及时送达，能搬运到指定位置</w:t>
            </w:r>
            <w:r>
              <w:rPr>
                <w:rFonts w:hint="eastAsia" w:ascii="宋体" w:hAnsi="宋体" w:cs="宋体"/>
                <w:color w:val="auto"/>
                <w:szCs w:val="21"/>
                <w:highlight w:val="none"/>
                <w:lang w:val="en-US" w:eastAsia="zh-CN"/>
              </w:rPr>
              <w:t>上架</w:t>
            </w:r>
            <w:r>
              <w:rPr>
                <w:rFonts w:hint="eastAsia" w:ascii="宋体" w:hAnsi="宋体" w:eastAsia="宋体" w:cs="宋体"/>
                <w:color w:val="auto"/>
                <w:szCs w:val="21"/>
                <w:highlight w:val="none"/>
              </w:rPr>
              <w:t>，并确保包件完整无破损：</w:t>
            </w:r>
          </w:p>
          <w:p w14:paraId="2D95DFD7">
            <w:pPr>
              <w:rPr>
                <w:rFonts w:ascii="宋体" w:hAnsi="宋体" w:eastAsia="宋体" w:cs="宋体"/>
                <w:color w:val="auto"/>
                <w:szCs w:val="21"/>
                <w:highlight w:val="none"/>
              </w:rPr>
            </w:pPr>
            <w:r>
              <w:rPr>
                <w:rFonts w:hint="eastAsia" w:ascii="宋体" w:hAnsi="宋体" w:eastAsia="宋体" w:cs="宋体"/>
                <w:color w:val="auto"/>
                <w:szCs w:val="21"/>
                <w:highlight w:val="none"/>
              </w:rPr>
              <w:t>包装和运输符合要求，送达</w:t>
            </w:r>
            <w:r>
              <w:rPr>
                <w:rFonts w:hint="eastAsia" w:ascii="宋体" w:hAnsi="宋体" w:cs="宋体"/>
                <w:color w:val="auto"/>
                <w:szCs w:val="21"/>
                <w:highlight w:val="none"/>
                <w:lang w:val="en-US" w:eastAsia="zh-CN"/>
              </w:rPr>
              <w:t>上架</w:t>
            </w:r>
            <w:r>
              <w:rPr>
                <w:rFonts w:hint="eastAsia" w:ascii="宋体" w:hAnsi="宋体" w:eastAsia="宋体" w:cs="宋体"/>
                <w:color w:val="auto"/>
                <w:szCs w:val="21"/>
                <w:highlight w:val="none"/>
              </w:rPr>
              <w:t>及时</w:t>
            </w:r>
            <w:r>
              <w:rPr>
                <w:rFonts w:hint="eastAsia" w:ascii="宋体" w:hAnsi="宋体" w:cs="宋体"/>
                <w:color w:val="auto"/>
                <w:szCs w:val="21"/>
                <w:highlight w:val="none"/>
                <w:lang w:val="en-US" w:eastAsia="zh-CN"/>
              </w:rPr>
              <w:t>的，得</w:t>
            </w:r>
            <w:r>
              <w:rPr>
                <w:rFonts w:ascii="宋体" w:hAnsi="宋体" w:eastAsia="宋体" w:cs="宋体"/>
                <w:color w:val="auto"/>
                <w:szCs w:val="21"/>
                <w:highlight w:val="none"/>
              </w:rPr>
              <w:t>5</w:t>
            </w:r>
            <w:r>
              <w:rPr>
                <w:rFonts w:hint="eastAsia" w:ascii="宋体" w:hAnsi="宋体" w:eastAsia="宋体" w:cs="宋体"/>
                <w:color w:val="auto"/>
                <w:szCs w:val="21"/>
                <w:highlight w:val="none"/>
              </w:rPr>
              <w:t>分；</w:t>
            </w:r>
          </w:p>
          <w:p w14:paraId="7289FB21">
            <w:pPr>
              <w:rPr>
                <w:rFonts w:ascii="宋体" w:hAnsi="宋体" w:eastAsia="宋体" w:cs="宋体"/>
                <w:color w:val="auto"/>
                <w:szCs w:val="21"/>
                <w:highlight w:val="none"/>
              </w:rPr>
            </w:pPr>
            <w:r>
              <w:rPr>
                <w:rFonts w:hint="eastAsia" w:ascii="宋体" w:hAnsi="宋体" w:eastAsia="宋体" w:cs="宋体"/>
                <w:color w:val="auto"/>
                <w:szCs w:val="21"/>
                <w:highlight w:val="none"/>
              </w:rPr>
              <w:t>包装和运输基本符合要求，送达</w:t>
            </w:r>
            <w:r>
              <w:rPr>
                <w:rFonts w:hint="eastAsia" w:ascii="宋体" w:hAnsi="宋体" w:cs="宋体"/>
                <w:color w:val="auto"/>
                <w:szCs w:val="21"/>
                <w:highlight w:val="none"/>
                <w:lang w:val="en-US" w:eastAsia="zh-CN"/>
              </w:rPr>
              <w:t>上架</w:t>
            </w:r>
            <w:r>
              <w:rPr>
                <w:rFonts w:hint="eastAsia" w:ascii="宋体" w:hAnsi="宋体" w:eastAsia="宋体" w:cs="宋体"/>
                <w:color w:val="auto"/>
                <w:szCs w:val="21"/>
                <w:highlight w:val="none"/>
              </w:rPr>
              <w:t>较及时</w:t>
            </w:r>
            <w:r>
              <w:rPr>
                <w:rFonts w:hint="eastAsia" w:ascii="宋体" w:hAnsi="宋体" w:cs="宋体"/>
                <w:color w:val="auto"/>
                <w:szCs w:val="21"/>
                <w:highlight w:val="none"/>
                <w:lang w:val="en-US" w:eastAsia="zh-CN"/>
              </w:rPr>
              <w:t>的，得3</w:t>
            </w:r>
            <w:r>
              <w:rPr>
                <w:rFonts w:hint="eastAsia" w:ascii="宋体" w:hAnsi="宋体" w:eastAsia="宋体" w:cs="宋体"/>
                <w:color w:val="auto"/>
                <w:szCs w:val="21"/>
                <w:highlight w:val="none"/>
              </w:rPr>
              <w:t>分；</w:t>
            </w:r>
          </w:p>
          <w:p w14:paraId="1904B672">
            <w:pPr>
              <w:rPr>
                <w:rFonts w:ascii="宋体" w:hAnsi="宋体" w:eastAsia="宋体" w:cs="宋体"/>
                <w:color w:val="auto"/>
                <w:szCs w:val="21"/>
                <w:highlight w:val="none"/>
              </w:rPr>
            </w:pPr>
            <w:r>
              <w:rPr>
                <w:rFonts w:hint="eastAsia" w:ascii="宋体" w:hAnsi="宋体" w:eastAsia="宋体" w:cs="宋体"/>
                <w:color w:val="auto"/>
                <w:szCs w:val="21"/>
                <w:highlight w:val="none"/>
              </w:rPr>
              <w:t>包装和运输基本符合要求，不能及时送达</w:t>
            </w:r>
            <w:r>
              <w:rPr>
                <w:rFonts w:hint="eastAsia" w:ascii="宋体" w:hAnsi="宋体" w:cs="宋体"/>
                <w:color w:val="auto"/>
                <w:szCs w:val="21"/>
                <w:highlight w:val="none"/>
                <w:lang w:val="en-US" w:eastAsia="zh-CN"/>
              </w:rPr>
              <w:t>上架的，得</w:t>
            </w:r>
            <w:r>
              <w:rPr>
                <w:rFonts w:hint="eastAsia" w:ascii="宋体" w:hAnsi="宋体" w:eastAsia="宋体" w:cs="宋体"/>
                <w:color w:val="auto"/>
                <w:szCs w:val="21"/>
                <w:highlight w:val="none"/>
              </w:rPr>
              <w:t>1分。</w:t>
            </w:r>
          </w:p>
        </w:tc>
        <w:tc>
          <w:tcPr>
            <w:tcW w:w="720" w:type="dxa"/>
            <w:tcMar>
              <w:top w:w="15" w:type="dxa"/>
              <w:left w:w="15" w:type="dxa"/>
              <w:bottom w:w="0" w:type="dxa"/>
              <w:right w:w="15" w:type="dxa"/>
            </w:tcMar>
            <w:vAlign w:val="center"/>
          </w:tcPr>
          <w:p w14:paraId="6CF56EC1">
            <w:pPr>
              <w:widowControl/>
              <w:autoSpaceDN w:val="0"/>
              <w:jc w:val="left"/>
              <w:rPr>
                <w:rFonts w:ascii="宋体" w:hAnsi="宋体" w:eastAsia="宋体" w:cs="宋体"/>
                <w:color w:val="auto"/>
                <w:kern w:val="0"/>
                <w:szCs w:val="21"/>
                <w:highlight w:val="none"/>
              </w:rPr>
            </w:pPr>
          </w:p>
        </w:tc>
      </w:tr>
      <w:tr w14:paraId="1DB2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1080" w:type="dxa"/>
            <w:vMerge w:val="continue"/>
            <w:vAlign w:val="center"/>
          </w:tcPr>
          <w:p w14:paraId="674C5131">
            <w:pPr>
              <w:widowControl/>
              <w:jc w:val="left"/>
              <w:rPr>
                <w:rFonts w:ascii="宋体" w:hAnsi="宋体" w:eastAsia="宋体" w:cs="宋体"/>
                <w:b/>
                <w:color w:val="auto"/>
                <w:kern w:val="0"/>
                <w:szCs w:val="21"/>
                <w:highlight w:val="none"/>
              </w:rPr>
            </w:pPr>
          </w:p>
        </w:tc>
        <w:tc>
          <w:tcPr>
            <w:tcW w:w="1487" w:type="dxa"/>
            <w:tcMar>
              <w:top w:w="15" w:type="dxa"/>
              <w:left w:w="15" w:type="dxa"/>
              <w:bottom w:w="0" w:type="dxa"/>
              <w:right w:w="15" w:type="dxa"/>
            </w:tcMar>
            <w:vAlign w:val="center"/>
          </w:tcPr>
          <w:p w14:paraId="0CB0618D">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特色服务</w:t>
            </w:r>
          </w:p>
          <w:p w14:paraId="291A2612">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6</w:t>
            </w:r>
            <w:r>
              <w:rPr>
                <w:rFonts w:hint="eastAsia" w:ascii="宋体" w:hAnsi="宋体" w:eastAsia="宋体" w:cs="宋体"/>
                <w:color w:val="auto"/>
                <w:kern w:val="0"/>
                <w:szCs w:val="21"/>
                <w:highlight w:val="none"/>
              </w:rPr>
              <w:t>分</w:t>
            </w:r>
            <w:r>
              <w:rPr>
                <w:rFonts w:hint="eastAsia" w:ascii="宋体" w:hAnsi="宋体" w:eastAsia="宋体" w:cs="宋体"/>
                <w:b/>
                <w:color w:val="auto"/>
                <w:kern w:val="0"/>
                <w:szCs w:val="21"/>
                <w:highlight w:val="none"/>
              </w:rPr>
              <w:t>）</w:t>
            </w:r>
          </w:p>
        </w:tc>
        <w:tc>
          <w:tcPr>
            <w:tcW w:w="6448" w:type="dxa"/>
            <w:tcMar>
              <w:top w:w="15" w:type="dxa"/>
              <w:left w:w="15" w:type="dxa"/>
              <w:bottom w:w="0" w:type="dxa"/>
              <w:right w:w="15" w:type="dxa"/>
            </w:tcMar>
            <w:vAlign w:val="center"/>
          </w:tcPr>
          <w:p w14:paraId="72A30C58">
            <w:pPr>
              <w:rPr>
                <w:rFonts w:ascii="宋体" w:hAnsi="宋体" w:eastAsia="宋体" w:cs="宋体"/>
                <w:color w:val="auto"/>
                <w:szCs w:val="21"/>
                <w:highlight w:val="none"/>
              </w:rPr>
            </w:pPr>
            <w:r>
              <w:rPr>
                <w:rFonts w:hint="eastAsia" w:ascii="宋体" w:hAnsi="宋体" w:eastAsia="宋体" w:cs="宋体"/>
                <w:color w:val="auto"/>
                <w:szCs w:val="21"/>
                <w:highlight w:val="none"/>
              </w:rPr>
              <w:t>为采购人的馆藏建设提供其它特色服务：</w:t>
            </w:r>
          </w:p>
          <w:p w14:paraId="664F4123">
            <w:pPr>
              <w:rPr>
                <w:rFonts w:ascii="宋体" w:hAnsi="宋体" w:eastAsia="宋体" w:cs="宋体"/>
                <w:color w:val="auto"/>
                <w:szCs w:val="21"/>
                <w:highlight w:val="none"/>
              </w:rPr>
            </w:pPr>
            <w:r>
              <w:rPr>
                <w:rFonts w:hint="eastAsia" w:ascii="宋体" w:hAnsi="宋体" w:eastAsia="宋体" w:cs="宋体"/>
                <w:color w:val="auto"/>
                <w:szCs w:val="21"/>
                <w:highlight w:val="none"/>
              </w:rPr>
              <w:t>得到专家认可，且有实际意义的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得</w:t>
            </w:r>
            <w:r>
              <w:rPr>
                <w:rFonts w:ascii="宋体" w:hAnsi="宋体" w:eastAsia="宋体" w:cs="宋体"/>
                <w:color w:val="auto"/>
                <w:szCs w:val="21"/>
                <w:highlight w:val="none"/>
              </w:rPr>
              <w:t>6</w:t>
            </w:r>
            <w:r>
              <w:rPr>
                <w:rFonts w:hint="eastAsia" w:ascii="宋体" w:hAnsi="宋体" w:eastAsia="宋体" w:cs="宋体"/>
                <w:color w:val="auto"/>
                <w:szCs w:val="21"/>
                <w:highlight w:val="none"/>
              </w:rPr>
              <w:t>分；</w:t>
            </w:r>
          </w:p>
          <w:p w14:paraId="521A36D7">
            <w:pPr>
              <w:rPr>
                <w:rFonts w:ascii="宋体" w:hAnsi="宋体" w:eastAsia="宋体" w:cs="宋体"/>
                <w:color w:val="auto"/>
                <w:szCs w:val="21"/>
                <w:highlight w:val="none"/>
              </w:rPr>
            </w:pPr>
            <w:r>
              <w:rPr>
                <w:rFonts w:hint="eastAsia" w:ascii="宋体" w:hAnsi="宋体" w:eastAsia="宋体" w:cs="宋体"/>
                <w:color w:val="auto"/>
                <w:szCs w:val="21"/>
                <w:highlight w:val="none"/>
              </w:rPr>
              <w:t>较有特色的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得4</w:t>
            </w:r>
            <w:r>
              <w:rPr>
                <w:rFonts w:hint="eastAsia" w:ascii="宋体" w:hAnsi="宋体" w:eastAsia="宋体" w:cs="宋体"/>
                <w:color w:val="auto"/>
                <w:szCs w:val="21"/>
                <w:highlight w:val="none"/>
              </w:rPr>
              <w:t>分；</w:t>
            </w:r>
          </w:p>
          <w:p w14:paraId="4AE021AA">
            <w:pPr>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不够有特色的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得</w:t>
            </w:r>
            <w:r>
              <w:rPr>
                <w:rFonts w:hint="eastAsia" w:ascii="宋体" w:hAnsi="宋体" w:eastAsia="宋体" w:cs="宋体"/>
                <w:color w:val="auto"/>
                <w:szCs w:val="21"/>
                <w:highlight w:val="none"/>
              </w:rPr>
              <w:t>2分</w:t>
            </w:r>
            <w:r>
              <w:rPr>
                <w:rFonts w:hint="eastAsia" w:ascii="宋体" w:hAnsi="宋体" w:cs="宋体"/>
                <w:color w:val="auto"/>
                <w:szCs w:val="21"/>
                <w:highlight w:val="none"/>
                <w:lang w:eastAsia="zh-CN"/>
              </w:rPr>
              <w:t>；</w:t>
            </w:r>
          </w:p>
          <w:p w14:paraId="44221584">
            <w:pPr>
              <w:rPr>
                <w:rFonts w:ascii="宋体" w:hAnsi="宋体" w:eastAsia="宋体" w:cs="宋体"/>
                <w:color w:val="auto"/>
                <w:szCs w:val="21"/>
                <w:highlight w:val="none"/>
              </w:rPr>
            </w:pPr>
            <w:r>
              <w:rPr>
                <w:rFonts w:hint="eastAsia" w:ascii="宋体" w:hAnsi="宋体" w:eastAsia="宋体" w:cs="宋体"/>
                <w:color w:val="auto"/>
                <w:szCs w:val="21"/>
                <w:highlight w:val="none"/>
              </w:rPr>
              <w:t>没有不得分。</w:t>
            </w:r>
          </w:p>
        </w:tc>
        <w:tc>
          <w:tcPr>
            <w:tcW w:w="720" w:type="dxa"/>
            <w:tcMar>
              <w:top w:w="15" w:type="dxa"/>
              <w:left w:w="15" w:type="dxa"/>
              <w:bottom w:w="0" w:type="dxa"/>
              <w:right w:w="15" w:type="dxa"/>
            </w:tcMar>
            <w:vAlign w:val="center"/>
          </w:tcPr>
          <w:p w14:paraId="736830C9">
            <w:pPr>
              <w:widowControl/>
              <w:autoSpaceDN w:val="0"/>
              <w:jc w:val="left"/>
              <w:rPr>
                <w:rFonts w:ascii="宋体" w:hAnsi="宋体" w:eastAsia="宋体" w:cs="宋体"/>
                <w:color w:val="auto"/>
                <w:kern w:val="0"/>
                <w:szCs w:val="21"/>
                <w:highlight w:val="none"/>
              </w:rPr>
            </w:pPr>
          </w:p>
        </w:tc>
      </w:tr>
      <w:tr w14:paraId="053E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1080" w:type="dxa"/>
            <w:tcMar>
              <w:top w:w="15" w:type="dxa"/>
              <w:left w:w="15" w:type="dxa"/>
              <w:bottom w:w="0" w:type="dxa"/>
              <w:right w:w="15" w:type="dxa"/>
            </w:tcMar>
            <w:vAlign w:val="center"/>
          </w:tcPr>
          <w:p w14:paraId="769E2E6D">
            <w:pPr>
              <w:widowControl/>
              <w:autoSpaceDN w:val="0"/>
              <w:ind w:left="103" w:leftChars="49"/>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w:t>
            </w:r>
          </w:p>
          <w:p w14:paraId="2A9A2575">
            <w:pPr>
              <w:widowControl/>
              <w:autoSpaceDN w:val="0"/>
              <w:ind w:left="103" w:leftChars="49"/>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（30分）</w:t>
            </w:r>
          </w:p>
        </w:tc>
        <w:tc>
          <w:tcPr>
            <w:tcW w:w="7935" w:type="dxa"/>
            <w:gridSpan w:val="2"/>
            <w:tcMar>
              <w:top w:w="15" w:type="dxa"/>
              <w:left w:w="15" w:type="dxa"/>
              <w:bottom w:w="0" w:type="dxa"/>
              <w:right w:w="15" w:type="dxa"/>
            </w:tcMar>
            <w:vAlign w:val="center"/>
          </w:tcPr>
          <w:p w14:paraId="41DF42DA">
            <w:pPr>
              <w:rPr>
                <w:rFonts w:ascii="宋体" w:hAnsi="宋体" w:eastAsia="宋体" w:cs="宋体"/>
                <w:color w:val="auto"/>
                <w:szCs w:val="21"/>
                <w:highlight w:val="none"/>
              </w:rPr>
            </w:pPr>
            <w:r>
              <w:rPr>
                <w:rFonts w:hint="eastAsia" w:ascii="宋体" w:hAnsi="宋体" w:eastAsia="宋体" w:cs="宋体"/>
                <w:color w:val="auto"/>
                <w:szCs w:val="21"/>
                <w:highlight w:val="none"/>
              </w:rPr>
              <w:t>满足投标文件要求且折扣率最低的投标报价为评标基准价，其价格分为满分，其他投标人的价格分按下列公式计算：</w:t>
            </w:r>
          </w:p>
          <w:p w14:paraId="0DBD6701">
            <w:pPr>
              <w:rPr>
                <w:rFonts w:ascii="宋体" w:hAnsi="宋体" w:eastAsia="宋体" w:cs="宋体"/>
                <w:color w:val="auto"/>
                <w:szCs w:val="21"/>
                <w:highlight w:val="none"/>
              </w:rPr>
            </w:pPr>
            <w:r>
              <w:rPr>
                <w:rFonts w:hint="eastAsia" w:ascii="宋体" w:hAnsi="宋体" w:eastAsia="宋体" w:cs="宋体"/>
                <w:color w:val="auto"/>
                <w:szCs w:val="21"/>
                <w:highlight w:val="none"/>
              </w:rPr>
              <w:t>价格得分＝（评标基准价/投标折扣率）×价格权重×100</w:t>
            </w:r>
          </w:p>
        </w:tc>
        <w:tc>
          <w:tcPr>
            <w:tcW w:w="720" w:type="dxa"/>
            <w:tcMar>
              <w:top w:w="15" w:type="dxa"/>
              <w:left w:w="15" w:type="dxa"/>
              <w:bottom w:w="0" w:type="dxa"/>
              <w:right w:w="15" w:type="dxa"/>
            </w:tcMar>
            <w:vAlign w:val="center"/>
          </w:tcPr>
          <w:p w14:paraId="06D2B3FF">
            <w:pPr>
              <w:widowControl/>
              <w:autoSpaceDN w:val="0"/>
              <w:jc w:val="left"/>
              <w:rPr>
                <w:rFonts w:ascii="宋体" w:hAnsi="宋体" w:eastAsia="宋体" w:cs="宋体"/>
                <w:color w:val="auto"/>
                <w:kern w:val="0"/>
                <w:szCs w:val="21"/>
                <w:highlight w:val="none"/>
              </w:rPr>
            </w:pPr>
          </w:p>
        </w:tc>
      </w:tr>
    </w:tbl>
    <w:p w14:paraId="3E5F1413">
      <w:pPr>
        <w:tabs>
          <w:tab w:val="left" w:pos="1020"/>
        </w:tabs>
        <w:spacing w:line="360" w:lineRule="auto"/>
        <w:ind w:right="-341"/>
        <w:jc w:val="left"/>
        <w:rPr>
          <w:rFonts w:hint="eastAsia" w:ascii="宋体" w:hAnsi="宋体"/>
          <w:b/>
          <w:bCs/>
          <w:color w:val="auto"/>
          <w:sz w:val="24"/>
          <w:szCs w:val="24"/>
          <w:highlight w:val="none"/>
        </w:rPr>
      </w:pPr>
    </w:p>
    <w:p w14:paraId="69C01AD2">
      <w:pPr>
        <w:spacing w:line="360" w:lineRule="auto"/>
        <w:rPr>
          <w:color w:val="auto"/>
          <w:highlight w:val="none"/>
        </w:rPr>
      </w:pPr>
      <w:r>
        <w:rPr>
          <w:rFonts w:hint="eastAsia"/>
          <w:color w:val="auto"/>
          <w:highlight w:val="none"/>
        </w:rPr>
        <w:t xml:space="preserve"> </w:t>
      </w:r>
    </w:p>
    <w:p w14:paraId="09D1EC25">
      <w:pPr>
        <w:rPr>
          <w:rFonts w:eastAsia="黑体"/>
          <w:color w:val="auto"/>
          <w:sz w:val="30"/>
          <w:highlight w:val="none"/>
        </w:rPr>
      </w:pPr>
      <w:r>
        <w:rPr>
          <w:rFonts w:hint="eastAsia" w:eastAsia="黑体"/>
          <w:color w:val="auto"/>
          <w:sz w:val="30"/>
          <w:highlight w:val="none"/>
        </w:rPr>
        <w:br w:type="page"/>
      </w:r>
    </w:p>
    <w:p w14:paraId="555CF299">
      <w:pPr>
        <w:spacing w:line="440" w:lineRule="exact"/>
        <w:jc w:val="center"/>
        <w:rPr>
          <w:rFonts w:eastAsia="黑体"/>
          <w:color w:val="auto"/>
          <w:sz w:val="30"/>
          <w:highlight w:val="none"/>
        </w:rPr>
      </w:pPr>
      <w:r>
        <w:rPr>
          <w:rFonts w:hint="eastAsia" w:eastAsia="黑体"/>
          <w:color w:val="auto"/>
          <w:sz w:val="30"/>
          <w:highlight w:val="none"/>
        </w:rPr>
        <w:t>第五章  合同主要条款</w:t>
      </w:r>
      <w:bookmarkEnd w:id="0"/>
    </w:p>
    <w:p w14:paraId="69D3C965">
      <w:pPr>
        <w:spacing w:line="360" w:lineRule="auto"/>
        <w:ind w:firstLine="480" w:firstLineChars="200"/>
        <w:jc w:val="left"/>
        <w:rPr>
          <w:rFonts w:hint="eastAsia" w:ascii="宋体" w:hAnsi="宋体" w:eastAsia="等线"/>
          <w:color w:val="auto"/>
          <w:sz w:val="24"/>
          <w:highlight w:val="none"/>
        </w:rPr>
      </w:pPr>
    </w:p>
    <w:p w14:paraId="7CE22485">
      <w:pPr>
        <w:snapToGrid w:val="0"/>
        <w:jc w:val="center"/>
        <w:textAlignment w:val="baseline"/>
        <w:rPr>
          <w:rFonts w:hint="eastAsia" w:ascii="等线" w:hAnsi="等线" w:eastAsia="等线"/>
          <w:b/>
          <w:color w:val="auto"/>
          <w:sz w:val="28"/>
          <w:highlight w:val="none"/>
        </w:rPr>
      </w:pPr>
      <w:r>
        <w:rPr>
          <w:rFonts w:hint="eastAsia" w:ascii="等线" w:hAnsi="等线" w:eastAsia="等线"/>
          <w:b/>
          <w:color w:val="auto"/>
          <w:sz w:val="28"/>
          <w:highlight w:val="none"/>
        </w:rPr>
        <w:t>采购合同</w:t>
      </w:r>
      <w:r>
        <w:rPr>
          <w:rFonts w:ascii="等线" w:hAnsi="等线" w:eastAsia="等线"/>
          <w:b/>
          <w:color w:val="auto"/>
          <w:sz w:val="28"/>
          <w:highlight w:val="none"/>
        </w:rPr>
        <w:t>(</w:t>
      </w:r>
      <w:r>
        <w:rPr>
          <w:rFonts w:hint="eastAsia" w:ascii="等线" w:hAnsi="等线" w:eastAsia="等线"/>
          <w:b/>
          <w:color w:val="auto"/>
          <w:sz w:val="28"/>
          <w:highlight w:val="none"/>
        </w:rPr>
        <w:t>仅供参考</w:t>
      </w:r>
      <w:r>
        <w:rPr>
          <w:rFonts w:ascii="等线" w:hAnsi="等线" w:eastAsia="等线"/>
          <w:b/>
          <w:color w:val="auto"/>
          <w:sz w:val="28"/>
          <w:highlight w:val="none"/>
        </w:rPr>
        <w:t>)</w:t>
      </w:r>
    </w:p>
    <w:p w14:paraId="0A9FF3B0">
      <w:pPr>
        <w:spacing w:line="288" w:lineRule="auto"/>
        <w:rPr>
          <w:rFonts w:hint="eastAsia" w:ascii="宋体" w:hAnsi="宋体" w:eastAsia="等线"/>
          <w:color w:val="auto"/>
          <w:highlight w:val="none"/>
        </w:rPr>
      </w:pPr>
    </w:p>
    <w:p w14:paraId="355453AC">
      <w:pPr>
        <w:spacing w:line="288" w:lineRule="auto"/>
        <w:rPr>
          <w:rFonts w:hint="eastAsia" w:ascii="宋体" w:hAnsi="宋体" w:eastAsia="等线"/>
          <w:color w:val="auto"/>
          <w:highlight w:val="none"/>
        </w:rPr>
      </w:pPr>
    </w:p>
    <w:p w14:paraId="7F1AB1D1">
      <w:pPr>
        <w:spacing w:line="288" w:lineRule="auto"/>
        <w:jc w:val="center"/>
        <w:rPr>
          <w:rFonts w:hint="eastAsia" w:ascii="宋体" w:hAnsi="宋体" w:cs="宋体"/>
          <w:b/>
          <w:color w:val="auto"/>
          <w:szCs w:val="21"/>
          <w:highlight w:val="none"/>
        </w:rPr>
      </w:pPr>
      <w:r>
        <w:rPr>
          <w:rFonts w:hint="eastAsia"/>
          <w:b/>
          <w:color w:val="auto"/>
          <w:szCs w:val="21"/>
          <w:highlight w:val="none"/>
          <w:lang w:eastAsia="zh-CN"/>
        </w:rPr>
        <w:t xml:space="preserve">浙江国际海运职业技术学院2025年中文原版图书采购与服务供应项目 </w:t>
      </w:r>
      <w:r>
        <w:rPr>
          <w:rFonts w:hint="eastAsia" w:ascii="宋体" w:hAnsi="宋体" w:cs="宋体"/>
          <w:b/>
          <w:color w:val="auto"/>
          <w:szCs w:val="21"/>
          <w:highlight w:val="none"/>
        </w:rPr>
        <w:t>合同（范本）</w:t>
      </w:r>
    </w:p>
    <w:p w14:paraId="3E2491F1">
      <w:pPr>
        <w:spacing w:before="156" w:after="156" w:line="360" w:lineRule="auto"/>
        <w:ind w:left="420" w:leftChars="200" w:right="150" w:firstLine="474"/>
        <w:rPr>
          <w:rFonts w:hint="eastAsia" w:ascii="宋体" w:hAnsi="宋体" w:cs="宋体"/>
          <w:b/>
          <w:bCs/>
          <w:color w:val="auto"/>
          <w:szCs w:val="21"/>
          <w:highlight w:val="none"/>
        </w:rPr>
      </w:pPr>
      <w:r>
        <w:rPr>
          <w:rFonts w:hint="eastAsia" w:ascii="宋体" w:hAnsi="宋体" w:cs="宋体"/>
          <w:b/>
          <w:bCs/>
          <w:color w:val="auto"/>
          <w:szCs w:val="21"/>
          <w:highlight w:val="none"/>
        </w:rPr>
        <w:t>招标文件、中标人的投标文件及其澄清文件等，均为合同的组成部分。</w:t>
      </w:r>
    </w:p>
    <w:p w14:paraId="1BB1CDBD">
      <w:pPr>
        <w:widowControl/>
        <w:spacing w:line="400" w:lineRule="exact"/>
        <w:ind w:right="-874" w:rightChars="-416"/>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甲方(采购单位)</w:t>
      </w:r>
      <w:r>
        <w:rPr>
          <w:rFonts w:hint="eastAsia" w:ascii="宋体" w:hAnsi="宋体" w:eastAsia="宋体" w:cs="宋体"/>
          <w:b/>
          <w:color w:val="auto"/>
          <w:kern w:val="0"/>
          <w:szCs w:val="21"/>
          <w:highlight w:val="none"/>
          <w:u w:val="single"/>
        </w:rPr>
        <w:t>：</w:t>
      </w:r>
    </w:p>
    <w:p w14:paraId="2F538CFC">
      <w:pPr>
        <w:spacing w:line="400" w:lineRule="exact"/>
        <w:rPr>
          <w:rFonts w:ascii="宋体" w:hAnsi="宋体" w:eastAsia="宋体" w:cs="宋体"/>
          <w:color w:val="auto"/>
          <w:szCs w:val="21"/>
          <w:highlight w:val="none"/>
        </w:rPr>
      </w:pPr>
      <w:r>
        <w:rPr>
          <w:rFonts w:hint="eastAsia" w:ascii="宋体" w:hAnsi="宋体" w:eastAsia="宋体" w:cs="宋体"/>
          <w:b/>
          <w:color w:val="auto"/>
          <w:kern w:val="0"/>
          <w:szCs w:val="21"/>
          <w:highlight w:val="none"/>
        </w:rPr>
        <w:t>乙方(中标定点供应商)：</w:t>
      </w:r>
    </w:p>
    <w:p w14:paraId="6095EAF6">
      <w:pPr>
        <w:spacing w:line="400" w:lineRule="exact"/>
        <w:ind w:firstLine="525" w:firstLineChars="250"/>
        <w:rPr>
          <w:rFonts w:ascii="宋体" w:hAnsi="宋体" w:eastAsia="宋体" w:cs="宋体"/>
          <w:b/>
          <w:color w:val="auto"/>
          <w:szCs w:val="21"/>
          <w:highlight w:val="none"/>
        </w:rPr>
      </w:pPr>
      <w:r>
        <w:rPr>
          <w:rFonts w:hint="eastAsia" w:ascii="宋体" w:hAnsi="宋体" w:eastAsia="宋体" w:cs="宋体"/>
          <w:color w:val="auto"/>
          <w:szCs w:val="21"/>
          <w:highlight w:val="none"/>
        </w:rPr>
        <w:t>甲方采购的</w:t>
      </w:r>
      <w:r>
        <w:rPr>
          <w:rFonts w:hint="eastAsia" w:ascii="宋体" w:hAnsi="宋体" w:eastAsia="宋体" w:cs="宋体"/>
          <w:color w:val="auto"/>
          <w:szCs w:val="21"/>
          <w:highlight w:val="none"/>
          <w:u w:val="single"/>
        </w:rPr>
        <w:t xml:space="preserve">             （项目名称、编号）          </w:t>
      </w:r>
      <w:r>
        <w:rPr>
          <w:rFonts w:hint="eastAsia" w:ascii="宋体" w:hAnsi="宋体" w:eastAsia="宋体" w:cs="宋体"/>
          <w:color w:val="auto"/>
          <w:szCs w:val="21"/>
          <w:highlight w:val="none"/>
        </w:rPr>
        <w:t xml:space="preserve">，经评标委员会综合评定 </w:t>
      </w:r>
      <w:r>
        <w:rPr>
          <w:rFonts w:hint="eastAsia" w:ascii="宋体" w:hAnsi="宋体" w:eastAsia="宋体" w:cs="宋体"/>
          <w:color w:val="auto"/>
          <w:szCs w:val="21"/>
          <w:highlight w:val="none"/>
          <w:u w:val="single"/>
        </w:rPr>
        <w:t xml:space="preserve">        （中标供应商名称）          </w:t>
      </w:r>
      <w:r>
        <w:rPr>
          <w:rFonts w:hint="eastAsia" w:ascii="宋体" w:hAnsi="宋体" w:eastAsia="宋体" w:cs="宋体"/>
          <w:color w:val="auto"/>
          <w:szCs w:val="21"/>
          <w:highlight w:val="none"/>
        </w:rPr>
        <w:t>为本项目中标定点供应商。双方同意按照下面条款和条件，签署本合同。</w:t>
      </w:r>
    </w:p>
    <w:p w14:paraId="780A5367">
      <w:pPr>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1.说明</w:t>
      </w:r>
    </w:p>
    <w:p w14:paraId="14FFEEA2">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1.1合同基本条款是指采购方单位（以下简称甲方）和</w:t>
      </w:r>
      <w:r>
        <w:rPr>
          <w:rFonts w:hint="eastAsia" w:ascii="宋体" w:hAnsi="宋体" w:eastAsia="宋体" w:cs="宋体"/>
          <w:color w:val="auto"/>
          <w:kern w:val="0"/>
          <w:szCs w:val="21"/>
          <w:highlight w:val="none"/>
        </w:rPr>
        <w:t>中标定点供应商</w:t>
      </w:r>
      <w:r>
        <w:rPr>
          <w:rFonts w:hint="eastAsia" w:ascii="宋体" w:hAnsi="宋体" w:eastAsia="宋体" w:cs="宋体"/>
          <w:color w:val="auto"/>
          <w:szCs w:val="21"/>
          <w:highlight w:val="none"/>
        </w:rPr>
        <w:t>（以下简称乙方）应共同遵守的基本原则，并作为双方签约的依据，对于合同的其他条款，双方应本着互谅互让的精神，在谈判中协商解决。</w:t>
      </w:r>
    </w:p>
    <w:p w14:paraId="5C87C368">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1.2依据《中华人民共和国民法典》的规定，经甲乙双方协商，特签订本合同，共同遵守。</w:t>
      </w:r>
    </w:p>
    <w:p w14:paraId="1CD9CB3D">
      <w:pPr>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2.货物条款</w:t>
      </w:r>
    </w:p>
    <w:p w14:paraId="7F63C8CA">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甲方将根据图书的实际需求向乙方发出明确的书目订单，双方应将招标书、投标书及评标小组确认的质量标准、数据要求和交货日期等作为本条款的基础。</w:t>
      </w:r>
    </w:p>
    <w:p w14:paraId="3FD37C40">
      <w:pPr>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3.技术资料</w:t>
      </w:r>
    </w:p>
    <w:p w14:paraId="47527C5B">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3.1如有需要，甲方向乙方提供所采购图书订单的有关信息资料。</w:t>
      </w:r>
    </w:p>
    <w:p w14:paraId="3AD79B44">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3.2乙方应按招标书规定的时间向甲方提供所订图书的相关数据。</w:t>
      </w:r>
    </w:p>
    <w:p w14:paraId="528DE7CB">
      <w:pPr>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4.质量保证</w:t>
      </w:r>
    </w:p>
    <w:p w14:paraId="2B81310C">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4.1乙方应按招标书规定和图书订购单要求向甲方提供的全新正版的合格图书。</w:t>
      </w:r>
    </w:p>
    <w:p w14:paraId="1B385D24">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乙方提供图书的质量保证期为自交货验收之日起至十二个月之内（以《售前售后服务承诺书》为准）止，在保证期内因图书本身的质量问题发生故障，乙方应负责包退、包换、对达不到技术要求者，根据实际情况，经双方协商，可按以下办法处置：</w:t>
      </w:r>
    </w:p>
    <w:p w14:paraId="69C0904A">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（1）更换：由乙方承担所发生的全部费用。</w:t>
      </w:r>
    </w:p>
    <w:p w14:paraId="62AB9408">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（2）贬值处理：由甲乙双方合议定价。</w:t>
      </w:r>
    </w:p>
    <w:p w14:paraId="02FE49B9">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（3）退货处理：乙方应退还甲方支付的图书款，同时应承担该项目的直接费用（运输、保险、货款利息）</w:t>
      </w:r>
    </w:p>
    <w:p w14:paraId="11AA5C34">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4.3如在使用过程中发生质量问题，乙方有接到甲方通告后应在合同规定时间内到达甲方现场。</w:t>
      </w:r>
    </w:p>
    <w:p w14:paraId="63B4CDAD">
      <w:pPr>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5.验收</w:t>
      </w:r>
    </w:p>
    <w:p w14:paraId="2FCEDE9A">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5.1甲方对乙方送交的图书依据招标文件上的要求标准进行验收。图书与加工质量不合格者不予接收。</w:t>
      </w:r>
    </w:p>
    <w:p w14:paraId="34E21FAE">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5.2甲方应在图书送达指定地点之日起在30个工作日内完成验收。非不可抗力因素而拒绝验收或无故刁难，超过规定期限的，视同已经验收，损失自负。</w:t>
      </w:r>
    </w:p>
    <w:p w14:paraId="7FCECCD0">
      <w:pPr>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6.图书包装、发运及运输</w:t>
      </w:r>
    </w:p>
    <w:p w14:paraId="09AC1C4C">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6.1乙方应在图书发运前对其进行满足于运输距离，防湿和防破装卸要求的包装，以保证图书安全运输到达甲方指定地点。</w:t>
      </w:r>
    </w:p>
    <w:p w14:paraId="0EC6DBC3">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6.2发货清单一式贰份，（加盖公章）内容一致，不得涂改。清单应包括：包号、条码起止号、书号、书名、出版社、单价、册数，每包的种、册、码洋的小计。一份附于包装货件内，一包一单；另一份要求以包装号为序，统计该批次图书的总种数、总册数及总金额，并加盖公章交给甲方。</w:t>
      </w:r>
    </w:p>
    <w:p w14:paraId="5E37F372">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6.3图书在发运手续办理后24小时内，乙方应用电话或传真通知甲方，使甲方准备接货。</w:t>
      </w:r>
    </w:p>
    <w:p w14:paraId="09AA0229">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6.4图书在到达甲方所在地前发生的不可预见的风险均由乙方负责。</w:t>
      </w:r>
    </w:p>
    <w:p w14:paraId="20953BD7">
      <w:pPr>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7.交货期及交货方式</w:t>
      </w:r>
    </w:p>
    <w:p w14:paraId="3D53848F">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7.1交货期：由甲、乙双方在合同中商定。</w:t>
      </w:r>
    </w:p>
    <w:p w14:paraId="6C6BC9C0">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7.2交货方式：乙方免费将所有订购的图书送至甲方使用部门所在地并进行现场验收。</w:t>
      </w:r>
    </w:p>
    <w:p w14:paraId="7A3BB0C2">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7.3交货地点：浙江国际海运职业技术学院指定地点。</w:t>
      </w:r>
    </w:p>
    <w:p w14:paraId="5EFD8181">
      <w:pPr>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8.付款方式</w:t>
      </w:r>
    </w:p>
    <w:p w14:paraId="6F2D4421">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（详见招标文件）</w:t>
      </w:r>
    </w:p>
    <w:p w14:paraId="7DCC5D46">
      <w:pPr>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9.违约责任</w:t>
      </w:r>
    </w:p>
    <w:p w14:paraId="7A8A7A87">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9.1对未能达到甲方提出的到书率要求，并在甲方发出通知后逾期超过15天仍不能交货的，甲方可解除双方的供货合同，造成甲方损失的，乙方负责赔偿，属严重违约的，甲方有权取消乙方的供货资格，另择途径，由此造成的损失由乙方承担，并确认为商家不良记录。</w:t>
      </w:r>
    </w:p>
    <w:p w14:paraId="43F52DF5">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9.2乙方在提供的图书中如有盗版或非法出版物的，甲方将对乙方处以书价的十倍罚金，乙方还应承担由此带来的其他所有后果，并确认为商家不良记录。</w:t>
      </w:r>
    </w:p>
    <w:p w14:paraId="1CF34FD6">
      <w:pPr>
        <w:spacing w:line="400" w:lineRule="exact"/>
        <w:ind w:left="2" w:firstLine="357" w:firstLineChars="170"/>
        <w:rPr>
          <w:rFonts w:ascii="宋体" w:hAnsi="宋体" w:eastAsia="宋体" w:cs="宋体"/>
          <w:color w:val="auto"/>
          <w:szCs w:val="21"/>
          <w:highlight w:val="none"/>
        </w:rPr>
      </w:pPr>
      <w:r>
        <w:rPr>
          <w:rFonts w:hint="eastAsia" w:ascii="宋体" w:hAnsi="宋体" w:eastAsia="宋体" w:cs="宋体"/>
          <w:color w:val="auto"/>
          <w:szCs w:val="21"/>
          <w:highlight w:val="none"/>
        </w:rPr>
        <w:t>9.3对不履行服务承诺的中标商，如：到货率不达要求、提供盗版书、书目信息变更通知不及时、数据质量不合要求、加工质量不合格等，在合同执行期间，甲方有权减少订书量或停止其供书资格。</w:t>
      </w:r>
    </w:p>
    <w:p w14:paraId="2B6B250F">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9.4其它未尽事宜，双方签订合同时按合同法议定。</w:t>
      </w:r>
    </w:p>
    <w:p w14:paraId="755069EC">
      <w:pPr>
        <w:spacing w:line="40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10.不可抗力事件处理</w:t>
      </w:r>
    </w:p>
    <w:p w14:paraId="5DB45197">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10.1在执行合同期限内，任何一方因不可抗力事件所致不能履行合同，则合同履行期可延长，其延长期与不可抗力影响期相同。</w:t>
      </w:r>
    </w:p>
    <w:p w14:paraId="21BCD6C6">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10.2不可抗力事件发生后，应立即通知对方，并寄送权威机构出具的证明。</w:t>
      </w:r>
    </w:p>
    <w:p w14:paraId="4927940B">
      <w:pPr>
        <w:spacing w:line="400" w:lineRule="exact"/>
        <w:ind w:firstLine="420" w:firstLineChars="200"/>
        <w:rPr>
          <w:rFonts w:ascii="宋体" w:hAnsi="宋体" w:eastAsia="宋体" w:cs="宋体"/>
          <w:szCs w:val="21"/>
        </w:rPr>
      </w:pPr>
      <w:r>
        <w:rPr>
          <w:rFonts w:hint="eastAsia" w:ascii="宋体" w:hAnsi="宋体" w:eastAsia="宋体" w:cs="宋体"/>
          <w:color w:val="auto"/>
          <w:szCs w:val="21"/>
          <w:highlight w:val="none"/>
        </w:rPr>
        <w:t>10.3不可抗力事件延续120天以上，双方应通过友好协商，确定是否继续履行合同</w:t>
      </w:r>
      <w:r>
        <w:rPr>
          <w:rFonts w:hint="eastAsia" w:ascii="宋体" w:hAnsi="宋体" w:eastAsia="宋体" w:cs="宋体"/>
          <w:szCs w:val="21"/>
        </w:rPr>
        <w:t>。</w:t>
      </w:r>
    </w:p>
    <w:p w14:paraId="3560813B">
      <w:pPr>
        <w:spacing w:line="400" w:lineRule="exact"/>
        <w:rPr>
          <w:rFonts w:ascii="宋体" w:hAnsi="宋体" w:eastAsia="宋体" w:cs="宋体"/>
          <w:b/>
          <w:szCs w:val="21"/>
        </w:rPr>
      </w:pPr>
      <w:r>
        <w:rPr>
          <w:rFonts w:hint="eastAsia" w:ascii="宋体" w:hAnsi="宋体" w:eastAsia="宋体" w:cs="宋体"/>
          <w:b/>
          <w:szCs w:val="21"/>
        </w:rPr>
        <w:t>11.仲裁</w:t>
      </w:r>
    </w:p>
    <w:p w14:paraId="09B3223A">
      <w:pPr>
        <w:spacing w:line="400" w:lineRule="exact"/>
        <w:ind w:firstLine="420" w:firstLineChars="200"/>
        <w:rPr>
          <w:rFonts w:ascii="宋体" w:hAnsi="宋体" w:eastAsia="宋体" w:cs="宋体"/>
          <w:szCs w:val="21"/>
        </w:rPr>
      </w:pPr>
      <w:r>
        <w:rPr>
          <w:rFonts w:hint="eastAsia" w:ascii="宋体" w:hAnsi="宋体" w:eastAsia="宋体" w:cs="宋体"/>
          <w:szCs w:val="21"/>
        </w:rPr>
        <w:t>11.1双方在履行合同中所发生的一切争议，应通过协商解决，如协商不成，按合同事先约定的条款，在合同签订地提交仲裁或向法院起诉。</w:t>
      </w:r>
    </w:p>
    <w:p w14:paraId="77F0AD36">
      <w:pPr>
        <w:spacing w:line="400" w:lineRule="exact"/>
        <w:rPr>
          <w:rFonts w:ascii="宋体" w:hAnsi="宋体" w:eastAsia="宋体" w:cs="宋体"/>
          <w:b/>
          <w:szCs w:val="21"/>
        </w:rPr>
      </w:pPr>
      <w:r>
        <w:rPr>
          <w:rFonts w:hint="eastAsia" w:ascii="宋体" w:hAnsi="宋体" w:eastAsia="宋体" w:cs="宋体"/>
          <w:b/>
          <w:szCs w:val="21"/>
        </w:rPr>
        <w:t>12.合同生效及其它</w:t>
      </w:r>
    </w:p>
    <w:p w14:paraId="6C7101B7">
      <w:pPr>
        <w:spacing w:line="400" w:lineRule="exact"/>
        <w:ind w:firstLine="420" w:firstLineChars="200"/>
        <w:rPr>
          <w:rFonts w:ascii="宋体" w:hAnsi="宋体" w:eastAsia="宋体" w:cs="宋体"/>
          <w:szCs w:val="21"/>
        </w:rPr>
      </w:pPr>
      <w:r>
        <w:rPr>
          <w:rFonts w:hint="eastAsia" w:ascii="宋体" w:hAnsi="宋体" w:eastAsia="宋体" w:cs="宋体"/>
          <w:szCs w:val="21"/>
        </w:rPr>
        <w:t>12.1合同经双方法定代表人或委托代理人签字并加盖单位公章后生效，但不能超出投标有效期。</w:t>
      </w:r>
    </w:p>
    <w:p w14:paraId="4A54DAB4">
      <w:pPr>
        <w:spacing w:line="400" w:lineRule="exact"/>
        <w:ind w:firstLine="420" w:firstLineChars="200"/>
        <w:rPr>
          <w:rFonts w:ascii="宋体" w:hAnsi="宋体" w:eastAsia="宋体" w:cs="宋体"/>
          <w:szCs w:val="21"/>
        </w:rPr>
      </w:pPr>
      <w:r>
        <w:rPr>
          <w:rFonts w:hint="eastAsia" w:ascii="宋体" w:hAnsi="宋体" w:eastAsia="宋体" w:cs="宋体"/>
          <w:szCs w:val="21"/>
        </w:rPr>
        <w:t>12.2合同执行中，如需修改或补充合同内容，由双方协商另签署书面修改或补充协议作为主合同不可分割的一部分。</w:t>
      </w:r>
    </w:p>
    <w:p w14:paraId="412784D3">
      <w:pPr>
        <w:widowControl/>
        <w:spacing w:line="360" w:lineRule="exact"/>
        <w:ind w:right="-42" w:rightChars="-20" w:firstLine="360"/>
        <w:jc w:val="left"/>
        <w:rPr>
          <w:rFonts w:ascii="宋体" w:hAnsi="宋体" w:eastAsia="宋体" w:cs="宋体"/>
          <w:bCs/>
          <w:kern w:val="0"/>
          <w:szCs w:val="21"/>
        </w:rPr>
      </w:pPr>
      <w:r>
        <w:rPr>
          <w:rFonts w:hint="eastAsia" w:ascii="宋体" w:hAnsi="宋体" w:eastAsia="宋体" w:cs="宋体"/>
          <w:szCs w:val="21"/>
        </w:rPr>
        <w:t>12.3本合同正本一式叁份，具有同等法律效力，甲乙双方各执一份，一份由采购代理机构备存。</w:t>
      </w:r>
    </w:p>
    <w:p w14:paraId="25E969F4">
      <w:pPr>
        <w:snapToGrid w:val="0"/>
        <w:spacing w:line="312" w:lineRule="auto"/>
        <w:ind w:right="-340" w:firstLine="1260" w:firstLineChars="600"/>
        <w:rPr>
          <w:rFonts w:hint="eastAsia" w:ascii="宋体" w:hAnsi="宋体" w:cs="宋体"/>
          <w:szCs w:val="21"/>
        </w:rPr>
      </w:pPr>
    </w:p>
    <w:p w14:paraId="06927C9A">
      <w:pPr>
        <w:snapToGrid w:val="0"/>
        <w:spacing w:line="312" w:lineRule="auto"/>
        <w:ind w:right="-340" w:firstLine="1260" w:firstLineChars="600"/>
        <w:rPr>
          <w:rFonts w:hint="eastAsia" w:ascii="宋体" w:hAnsi="宋体" w:cs="宋体"/>
          <w:szCs w:val="21"/>
        </w:rPr>
      </w:pPr>
    </w:p>
    <w:p w14:paraId="3CC2D3F2">
      <w:pPr>
        <w:snapToGrid w:val="0"/>
        <w:spacing w:line="312" w:lineRule="auto"/>
        <w:ind w:right="-340" w:firstLine="1260" w:firstLineChars="600"/>
        <w:rPr>
          <w:rFonts w:hint="eastAsia" w:ascii="宋体" w:hAnsi="宋体" w:cs="宋体"/>
          <w:szCs w:val="21"/>
        </w:rPr>
      </w:pPr>
      <w:r>
        <w:rPr>
          <w:rFonts w:hint="eastAsia" w:ascii="宋体" w:hAnsi="宋体" w:cs="宋体"/>
          <w:szCs w:val="21"/>
        </w:rPr>
        <w:t>甲方：                          乙方：</w:t>
      </w:r>
    </w:p>
    <w:p w14:paraId="1949C701">
      <w:pPr>
        <w:snapToGrid w:val="0"/>
        <w:spacing w:line="312" w:lineRule="auto"/>
        <w:ind w:right="-340" w:firstLine="1260" w:firstLineChars="600"/>
        <w:rPr>
          <w:rFonts w:hint="eastAsia" w:ascii="宋体" w:hAnsi="宋体" w:cs="宋体"/>
          <w:szCs w:val="21"/>
        </w:rPr>
      </w:pPr>
      <w:r>
        <w:rPr>
          <w:rFonts w:hint="eastAsia" w:ascii="宋体" w:hAnsi="宋体" w:cs="宋体"/>
          <w:szCs w:val="21"/>
        </w:rPr>
        <w:t>地址：                          地址：</w:t>
      </w:r>
    </w:p>
    <w:p w14:paraId="3E642DE8">
      <w:pPr>
        <w:snapToGrid w:val="0"/>
        <w:spacing w:line="312" w:lineRule="auto"/>
        <w:ind w:right="-340" w:firstLine="1260" w:firstLineChars="600"/>
        <w:rPr>
          <w:rFonts w:hint="eastAsia" w:ascii="宋体" w:hAnsi="宋体" w:cs="宋体"/>
          <w:szCs w:val="21"/>
        </w:rPr>
      </w:pPr>
      <w:r>
        <w:rPr>
          <w:rFonts w:hint="eastAsia" w:ascii="宋体" w:hAnsi="宋体" w:cs="宋体"/>
          <w:szCs w:val="21"/>
        </w:rPr>
        <w:t>法人代表：                      法人代表：</w:t>
      </w:r>
    </w:p>
    <w:p w14:paraId="2441EE22">
      <w:pPr>
        <w:snapToGrid w:val="0"/>
        <w:spacing w:line="312" w:lineRule="auto"/>
        <w:ind w:right="-340" w:firstLine="1260" w:firstLineChars="600"/>
        <w:rPr>
          <w:rFonts w:hint="eastAsia" w:ascii="宋体" w:hAnsi="宋体" w:cs="宋体"/>
          <w:szCs w:val="21"/>
        </w:rPr>
      </w:pPr>
      <w:r>
        <w:rPr>
          <w:rFonts w:hint="eastAsia" w:ascii="宋体" w:hAnsi="宋体" w:cs="宋体"/>
          <w:szCs w:val="21"/>
        </w:rPr>
        <w:t>电话：                          电话：</w:t>
      </w:r>
    </w:p>
    <w:p w14:paraId="10594175">
      <w:pPr>
        <w:snapToGrid w:val="0"/>
        <w:spacing w:line="312" w:lineRule="auto"/>
        <w:ind w:right="-340" w:firstLine="1260" w:firstLineChars="600"/>
        <w:rPr>
          <w:rFonts w:hint="eastAsia" w:ascii="宋体" w:hAnsi="宋体" w:cs="宋体"/>
          <w:szCs w:val="21"/>
        </w:rPr>
      </w:pPr>
      <w:r>
        <w:rPr>
          <w:rFonts w:hint="eastAsia" w:ascii="宋体" w:hAnsi="宋体" w:cs="宋体"/>
          <w:szCs w:val="21"/>
        </w:rPr>
        <w:t>电传：                          电传：</w:t>
      </w:r>
    </w:p>
    <w:p w14:paraId="4B30D455">
      <w:pPr>
        <w:snapToGrid w:val="0"/>
        <w:spacing w:line="312" w:lineRule="auto"/>
        <w:ind w:right="-340" w:firstLine="1260" w:firstLineChars="600"/>
        <w:rPr>
          <w:rFonts w:hint="eastAsia" w:ascii="宋体" w:hAnsi="宋体" w:cs="宋体"/>
          <w:szCs w:val="21"/>
        </w:rPr>
      </w:pPr>
      <w:r>
        <w:rPr>
          <w:rFonts w:hint="eastAsia" w:ascii="宋体" w:hAnsi="宋体" w:cs="宋体"/>
          <w:szCs w:val="21"/>
        </w:rPr>
        <w:t>开户银行：                      开户银行：</w:t>
      </w:r>
    </w:p>
    <w:p w14:paraId="2B4EAEE0">
      <w:pPr>
        <w:snapToGrid w:val="0"/>
        <w:spacing w:line="360" w:lineRule="auto"/>
        <w:ind w:right="-340" w:firstLine="1260" w:firstLineChars="600"/>
        <w:rPr>
          <w:rFonts w:hint="eastAsia" w:ascii="宋体" w:hAnsi="宋体" w:cs="宋体"/>
          <w:szCs w:val="21"/>
        </w:rPr>
      </w:pPr>
      <w:r>
        <w:rPr>
          <w:rFonts w:hint="eastAsia" w:ascii="宋体" w:hAnsi="宋体" w:cs="宋体"/>
          <w:szCs w:val="21"/>
        </w:rPr>
        <w:t>账号：                           账号：</w:t>
      </w:r>
    </w:p>
    <w:p w14:paraId="049793BB">
      <w:pPr>
        <w:snapToGrid w:val="0"/>
        <w:spacing w:line="312" w:lineRule="auto"/>
        <w:ind w:right="-340" w:firstLine="1260" w:firstLineChars="600"/>
        <w:rPr>
          <w:rFonts w:hint="eastAsia" w:ascii="宋体" w:hAnsi="宋体" w:cs="宋体"/>
          <w:szCs w:val="21"/>
        </w:rPr>
      </w:pPr>
      <w:r>
        <w:rPr>
          <w:rFonts w:hint="eastAsia" w:ascii="宋体" w:hAnsi="宋体" w:cs="宋体"/>
          <w:szCs w:val="21"/>
        </w:rPr>
        <w:t>日期：                           日期：</w:t>
      </w:r>
    </w:p>
    <w:p w14:paraId="460B23EE">
      <w:pPr>
        <w:widowControl/>
        <w:jc w:val="left"/>
        <w:rPr>
          <w:szCs w:val="21"/>
        </w:rPr>
      </w:pPr>
    </w:p>
    <w:p w14:paraId="346E47BD">
      <w:pPr>
        <w:snapToGrid w:val="0"/>
        <w:spacing w:line="260" w:lineRule="exact"/>
        <w:rPr>
          <w:rFonts w:hint="eastAsia" w:ascii="宋体" w:hAnsi="宋体"/>
          <w:szCs w:val="21"/>
        </w:rPr>
      </w:pPr>
      <w:bookmarkStart w:id="4" w:name="_Hlk118299836"/>
    </w:p>
    <w:p w14:paraId="05C2F52E">
      <w:pPr>
        <w:snapToGrid w:val="0"/>
        <w:spacing w:line="260" w:lineRule="exact"/>
        <w:rPr>
          <w:rFonts w:hint="eastAsia" w:ascii="宋体" w:hAnsi="宋体"/>
          <w:szCs w:val="21"/>
        </w:rPr>
      </w:pPr>
    </w:p>
    <w:p w14:paraId="23449F2F">
      <w:pPr>
        <w:snapToGrid w:val="0"/>
        <w:spacing w:line="260" w:lineRule="exact"/>
        <w:rPr>
          <w:rFonts w:hint="eastAsia" w:ascii="宋体" w:hAnsi="宋体"/>
          <w:szCs w:val="21"/>
        </w:rPr>
      </w:pPr>
    </w:p>
    <w:p w14:paraId="1A9B8DC4">
      <w:pPr>
        <w:spacing w:after="120"/>
        <w:ind w:firstLine="210" w:firstLineChars="100"/>
        <w:rPr>
          <w:rFonts w:hint="eastAsia" w:ascii="宋体" w:hAnsi="宋体"/>
          <w:kern w:val="0"/>
          <w:szCs w:val="21"/>
        </w:rPr>
      </w:pPr>
    </w:p>
    <w:p w14:paraId="5C9A5AD0">
      <w:pPr>
        <w:snapToGrid w:val="0"/>
        <w:spacing w:line="260" w:lineRule="exact"/>
        <w:rPr>
          <w:rFonts w:hint="eastAsia" w:ascii="宋体" w:hAnsi="宋体"/>
          <w:szCs w:val="21"/>
        </w:rPr>
      </w:pPr>
    </w:p>
    <w:p w14:paraId="289AC9C3">
      <w:pPr>
        <w:spacing w:after="120"/>
        <w:ind w:left="420" w:leftChars="200" w:firstLine="420" w:firstLineChars="200"/>
        <w:rPr>
          <w:rFonts w:ascii="Calibri" w:hAnsi="Calibri"/>
          <w:szCs w:val="24"/>
        </w:rPr>
      </w:pPr>
    </w:p>
    <w:p w14:paraId="553AFC67">
      <w:pPr>
        <w:snapToGrid w:val="0"/>
        <w:spacing w:line="260" w:lineRule="exact"/>
        <w:rPr>
          <w:rFonts w:hint="eastAsia" w:ascii="宋体" w:hAnsi="宋体"/>
          <w:szCs w:val="21"/>
        </w:rPr>
      </w:pPr>
    </w:p>
    <w:p w14:paraId="52F1EEF5">
      <w:pPr>
        <w:snapToGrid w:val="0"/>
        <w:spacing w:line="260" w:lineRule="exact"/>
        <w:rPr>
          <w:rFonts w:hint="eastAsia" w:ascii="宋体" w:hAnsi="宋体"/>
          <w:szCs w:val="21"/>
        </w:rPr>
      </w:pPr>
    </w:p>
    <w:p w14:paraId="26690A4B">
      <w:pPr>
        <w:snapToGrid w:val="0"/>
        <w:spacing w:line="260" w:lineRule="exact"/>
        <w:rPr>
          <w:rFonts w:hint="eastAsia" w:ascii="宋体" w:hAnsi="宋体"/>
          <w:szCs w:val="21"/>
        </w:rPr>
      </w:pPr>
    </w:p>
    <w:p w14:paraId="26BC9832">
      <w:pPr>
        <w:snapToGrid w:val="0"/>
        <w:spacing w:line="260" w:lineRule="exact"/>
        <w:rPr>
          <w:rFonts w:hint="eastAsia" w:ascii="宋体" w:hAnsi="宋体"/>
          <w:szCs w:val="21"/>
        </w:rPr>
      </w:pPr>
    </w:p>
    <w:p w14:paraId="2C276B71">
      <w:pPr>
        <w:snapToGrid w:val="0"/>
        <w:spacing w:line="260" w:lineRule="exact"/>
        <w:rPr>
          <w:rFonts w:hint="eastAsia" w:ascii="宋体" w:hAnsi="宋体"/>
          <w:szCs w:val="21"/>
        </w:rPr>
      </w:pPr>
    </w:p>
    <w:p w14:paraId="7F518725">
      <w:pPr>
        <w:snapToGrid w:val="0"/>
        <w:spacing w:line="260" w:lineRule="exact"/>
        <w:rPr>
          <w:rFonts w:hint="eastAsia" w:ascii="宋体" w:hAnsi="宋体"/>
          <w:szCs w:val="21"/>
        </w:rPr>
      </w:pPr>
    </w:p>
    <w:p w14:paraId="75BA8003">
      <w:pPr>
        <w:snapToGrid w:val="0"/>
        <w:spacing w:line="260" w:lineRule="exact"/>
        <w:rPr>
          <w:rFonts w:hint="eastAsia" w:ascii="宋体" w:hAnsi="宋体"/>
          <w:szCs w:val="21"/>
        </w:rPr>
      </w:pPr>
    </w:p>
    <w:p w14:paraId="0ECDF0BF">
      <w:pPr>
        <w:snapToGrid w:val="0"/>
        <w:spacing w:line="260" w:lineRule="exact"/>
        <w:rPr>
          <w:rFonts w:hint="eastAsia" w:ascii="宋体" w:hAnsi="宋体"/>
          <w:szCs w:val="21"/>
        </w:rPr>
      </w:pPr>
    </w:p>
    <w:p w14:paraId="0D999A65">
      <w:pPr>
        <w:snapToGrid w:val="0"/>
        <w:spacing w:line="260" w:lineRule="exact"/>
        <w:rPr>
          <w:rFonts w:hint="eastAsia" w:ascii="宋体" w:hAnsi="宋体"/>
          <w:szCs w:val="21"/>
        </w:rPr>
      </w:pPr>
    </w:p>
    <w:p w14:paraId="58C4C159">
      <w:pPr>
        <w:snapToGrid w:val="0"/>
        <w:spacing w:line="260" w:lineRule="exact"/>
        <w:rPr>
          <w:rFonts w:hint="eastAsia" w:ascii="宋体" w:hAnsi="宋体"/>
          <w:szCs w:val="21"/>
        </w:rPr>
      </w:pPr>
    </w:p>
    <w:p w14:paraId="0F3A5711">
      <w:pPr>
        <w:snapToGrid w:val="0"/>
        <w:spacing w:line="260" w:lineRule="exact"/>
        <w:rPr>
          <w:rFonts w:hint="eastAsia" w:ascii="宋体" w:hAnsi="宋体"/>
          <w:szCs w:val="21"/>
        </w:rPr>
      </w:pPr>
    </w:p>
    <w:p w14:paraId="4C2AD196">
      <w:pPr>
        <w:snapToGrid w:val="0"/>
        <w:spacing w:line="260" w:lineRule="exact"/>
        <w:rPr>
          <w:rFonts w:hint="eastAsia" w:ascii="宋体" w:hAnsi="宋体"/>
          <w:szCs w:val="21"/>
        </w:rPr>
      </w:pPr>
    </w:p>
    <w:p w14:paraId="21B739FE">
      <w:pPr>
        <w:snapToGrid w:val="0"/>
        <w:spacing w:line="260" w:lineRule="exact"/>
        <w:rPr>
          <w:rFonts w:hint="eastAsia" w:ascii="宋体" w:hAnsi="宋体"/>
          <w:szCs w:val="21"/>
        </w:rPr>
      </w:pPr>
    </w:p>
    <w:p w14:paraId="0D38783A">
      <w:pPr>
        <w:snapToGrid w:val="0"/>
        <w:spacing w:line="260" w:lineRule="exact"/>
        <w:rPr>
          <w:rFonts w:hint="eastAsia" w:ascii="宋体" w:hAnsi="宋体"/>
          <w:szCs w:val="21"/>
        </w:rPr>
      </w:pPr>
    </w:p>
    <w:p w14:paraId="4A691054">
      <w:pPr>
        <w:snapToGrid w:val="0"/>
        <w:spacing w:line="260" w:lineRule="exact"/>
        <w:rPr>
          <w:rFonts w:hint="eastAsia" w:ascii="宋体" w:hAnsi="宋体"/>
          <w:szCs w:val="21"/>
        </w:rPr>
      </w:pPr>
      <w:r>
        <w:rPr>
          <w:rFonts w:ascii="宋体" w:hAnsi="宋体"/>
          <w:szCs w:val="21"/>
        </w:rPr>
        <w:t>信贷政策</w:t>
      </w:r>
    </w:p>
    <w:p w14:paraId="3BA43664">
      <w:pPr>
        <w:spacing w:line="260" w:lineRule="exact"/>
        <w:ind w:firstLine="420" w:firstLineChars="200"/>
        <w:rPr>
          <w:rFonts w:hint="eastAsia" w:ascii="宋体" w:hAnsi="宋体"/>
          <w:szCs w:val="21"/>
        </w:rPr>
      </w:pPr>
      <w:r>
        <w:rPr>
          <w:rFonts w:ascii="宋体" w:hAnsi="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25C765EF">
      <w:pPr>
        <w:spacing w:line="240" w:lineRule="exact"/>
        <w:contextualSpacing/>
        <w:rPr>
          <w:rFonts w:hint="eastAsia" w:ascii="宋体" w:hAnsi="宋体"/>
          <w:sz w:val="24"/>
          <w:szCs w:val="20"/>
        </w:rPr>
      </w:pP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6B04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6D9E3FDD">
            <w:pPr>
              <w:spacing w:line="240" w:lineRule="exact"/>
              <w:contextualSpacing/>
              <w:rPr>
                <w:rFonts w:hint="eastAsia" w:ascii="宋体" w:hAnsi="宋体"/>
                <w:szCs w:val="21"/>
              </w:rPr>
            </w:pPr>
            <w:r>
              <w:rPr>
                <w:rFonts w:hint="eastAsia" w:ascii="宋体" w:hAnsi="宋体"/>
                <w:szCs w:val="21"/>
              </w:rPr>
              <w:t>舟山市政府采购信用融资合作银行</w:t>
            </w:r>
          </w:p>
        </w:tc>
      </w:tr>
      <w:tr w14:paraId="4CF6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36A191FD">
            <w:pPr>
              <w:spacing w:line="240" w:lineRule="exact"/>
              <w:contextualSpacing/>
              <w:jc w:val="center"/>
              <w:rPr>
                <w:rFonts w:hint="eastAsia" w:ascii="宋体" w:hAnsi="宋体"/>
                <w:szCs w:val="21"/>
              </w:rPr>
            </w:pPr>
            <w:r>
              <w:rPr>
                <w:rFonts w:hint="eastAsia" w:ascii="宋体" w:hAnsi="宋体"/>
                <w:szCs w:val="21"/>
              </w:rPr>
              <w:t>银行名称</w:t>
            </w:r>
          </w:p>
        </w:tc>
        <w:tc>
          <w:tcPr>
            <w:tcW w:w="3975" w:type="dxa"/>
            <w:vAlign w:val="center"/>
          </w:tcPr>
          <w:p w14:paraId="6F6A7AA3">
            <w:pPr>
              <w:spacing w:line="240" w:lineRule="exact"/>
              <w:contextualSpacing/>
              <w:jc w:val="center"/>
              <w:rPr>
                <w:rFonts w:hint="eastAsia" w:ascii="宋体" w:hAnsi="宋体"/>
                <w:szCs w:val="21"/>
              </w:rPr>
            </w:pPr>
            <w:r>
              <w:rPr>
                <w:rFonts w:hint="eastAsia" w:ascii="宋体" w:hAnsi="宋体"/>
                <w:szCs w:val="21"/>
              </w:rPr>
              <w:t>各银行介绍的产品特点</w:t>
            </w:r>
          </w:p>
        </w:tc>
        <w:tc>
          <w:tcPr>
            <w:tcW w:w="2220" w:type="dxa"/>
            <w:vAlign w:val="center"/>
          </w:tcPr>
          <w:p w14:paraId="62EFB659">
            <w:pPr>
              <w:spacing w:line="240" w:lineRule="exact"/>
              <w:contextualSpacing/>
              <w:jc w:val="center"/>
              <w:rPr>
                <w:rFonts w:hint="eastAsia" w:ascii="宋体" w:hAnsi="宋体"/>
                <w:szCs w:val="21"/>
              </w:rPr>
            </w:pPr>
            <w:r>
              <w:rPr>
                <w:rFonts w:hint="eastAsia" w:ascii="宋体" w:hAnsi="宋体"/>
                <w:szCs w:val="21"/>
              </w:rPr>
              <w:t>经办人</w:t>
            </w:r>
          </w:p>
        </w:tc>
        <w:tc>
          <w:tcPr>
            <w:tcW w:w="1908" w:type="dxa"/>
            <w:vAlign w:val="center"/>
          </w:tcPr>
          <w:p w14:paraId="21336D58">
            <w:pPr>
              <w:spacing w:line="240" w:lineRule="exact"/>
              <w:contextualSpacing/>
              <w:jc w:val="center"/>
              <w:rPr>
                <w:rFonts w:hint="eastAsia" w:ascii="宋体" w:hAnsi="宋体"/>
                <w:szCs w:val="21"/>
              </w:rPr>
            </w:pPr>
            <w:r>
              <w:rPr>
                <w:rFonts w:hint="eastAsia" w:ascii="宋体" w:hAnsi="宋体"/>
                <w:szCs w:val="21"/>
              </w:rPr>
              <w:t>联系方式</w:t>
            </w:r>
          </w:p>
        </w:tc>
      </w:tr>
      <w:tr w14:paraId="7204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29137BF0">
            <w:pPr>
              <w:spacing w:line="240" w:lineRule="exact"/>
              <w:contextualSpacing/>
              <w:rPr>
                <w:rFonts w:hint="eastAsia" w:ascii="宋体" w:hAnsi="宋体"/>
                <w:szCs w:val="21"/>
              </w:rPr>
            </w:pPr>
            <w:r>
              <w:rPr>
                <w:rFonts w:hint="eastAsia" w:ascii="宋体" w:hAnsi="宋体"/>
                <w:szCs w:val="21"/>
              </w:rPr>
              <w:t>中国工商银行股份有限公司舟山分行</w:t>
            </w:r>
          </w:p>
        </w:tc>
        <w:tc>
          <w:tcPr>
            <w:tcW w:w="3975" w:type="dxa"/>
          </w:tcPr>
          <w:p w14:paraId="6B8676CF">
            <w:pPr>
              <w:numPr>
                <w:ilvl w:val="0"/>
                <w:numId w:val="10"/>
              </w:numPr>
              <w:spacing w:line="240" w:lineRule="exact"/>
              <w:contextualSpacing/>
              <w:rPr>
                <w:rFonts w:hint="eastAsia" w:ascii="宋体" w:hAnsi="宋体" w:cs="仿宋_GB2312"/>
                <w:szCs w:val="21"/>
              </w:rPr>
            </w:pPr>
            <w:r>
              <w:rPr>
                <w:rFonts w:hint="eastAsia" w:ascii="宋体" w:hAnsi="宋体" w:cs="仿宋_GB2312"/>
                <w:szCs w:val="21"/>
              </w:rPr>
              <w:t>融资额度高，融资金额最高可至订单金额70%，线上申请，随借随还。2.融资利率低，最低可至当期LPR利率。</w:t>
            </w:r>
          </w:p>
          <w:p w14:paraId="2088CE20">
            <w:pPr>
              <w:spacing w:line="240" w:lineRule="exact"/>
              <w:contextualSpacing/>
              <w:rPr>
                <w:rFonts w:hint="eastAsia" w:ascii="宋体" w:hAnsi="宋体"/>
                <w:szCs w:val="21"/>
              </w:rPr>
            </w:pPr>
            <w:r>
              <w:rPr>
                <w:rFonts w:hint="eastAsia" w:ascii="宋体" w:hAnsi="宋体" w:cs="仿宋_GB2312"/>
                <w:szCs w:val="21"/>
              </w:rPr>
              <w:t>3.担保方式灵活，以政府采购合同进行融资，无需另外抵押。</w:t>
            </w:r>
          </w:p>
        </w:tc>
        <w:tc>
          <w:tcPr>
            <w:tcW w:w="2220" w:type="dxa"/>
            <w:vAlign w:val="center"/>
          </w:tcPr>
          <w:p w14:paraId="3B585CE5">
            <w:pPr>
              <w:spacing w:line="240" w:lineRule="exact"/>
              <w:contextualSpacing/>
              <w:jc w:val="center"/>
              <w:rPr>
                <w:rFonts w:hint="eastAsia" w:ascii="宋体" w:hAnsi="宋体"/>
                <w:szCs w:val="21"/>
              </w:rPr>
            </w:pPr>
            <w:r>
              <w:rPr>
                <w:rFonts w:hint="eastAsia" w:ascii="宋体" w:hAnsi="宋体"/>
                <w:szCs w:val="21"/>
              </w:rPr>
              <w:t>柳超颖</w:t>
            </w:r>
          </w:p>
        </w:tc>
        <w:tc>
          <w:tcPr>
            <w:tcW w:w="1908" w:type="dxa"/>
            <w:vAlign w:val="center"/>
          </w:tcPr>
          <w:p w14:paraId="47F08AAB">
            <w:pPr>
              <w:spacing w:line="240" w:lineRule="exact"/>
              <w:contextualSpacing/>
              <w:rPr>
                <w:rFonts w:hint="eastAsia" w:ascii="宋体" w:hAnsi="宋体"/>
                <w:szCs w:val="21"/>
              </w:rPr>
            </w:pPr>
            <w:r>
              <w:rPr>
                <w:rFonts w:hint="eastAsia" w:ascii="宋体" w:hAnsi="宋体"/>
                <w:szCs w:val="21"/>
              </w:rPr>
              <w:t>0580-2166242, 15858076468</w:t>
            </w:r>
          </w:p>
        </w:tc>
      </w:tr>
      <w:tr w14:paraId="3BAB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34D1CA32">
            <w:pPr>
              <w:spacing w:line="240" w:lineRule="exact"/>
              <w:contextualSpacing/>
              <w:rPr>
                <w:rFonts w:hint="eastAsia" w:ascii="宋体" w:hAnsi="宋体"/>
                <w:szCs w:val="21"/>
              </w:rPr>
            </w:pPr>
            <w:r>
              <w:rPr>
                <w:rFonts w:hint="eastAsia" w:ascii="宋体" w:hAnsi="宋体"/>
                <w:szCs w:val="21"/>
              </w:rPr>
              <w:t>中国建设银行股份有限公司舟山分行</w:t>
            </w:r>
          </w:p>
        </w:tc>
        <w:tc>
          <w:tcPr>
            <w:tcW w:w="3975" w:type="dxa"/>
          </w:tcPr>
          <w:p w14:paraId="6F46BD4C">
            <w:pPr>
              <w:numPr>
                <w:ilvl w:val="0"/>
                <w:numId w:val="11"/>
              </w:numPr>
              <w:spacing w:line="240" w:lineRule="exact"/>
              <w:contextualSpacing/>
              <w:rPr>
                <w:rFonts w:hint="eastAsia" w:ascii="宋体" w:hAnsi="宋体"/>
                <w:szCs w:val="21"/>
              </w:rPr>
            </w:pPr>
            <w:r>
              <w:rPr>
                <w:rFonts w:hint="eastAsia" w:ascii="宋体" w:hAnsi="宋体"/>
                <w:szCs w:val="21"/>
              </w:rPr>
              <w:t>快速便捷：全流程线上操作，通过浙江省政府采购网数据审核信用额度，建行供应链平台快速放款。</w:t>
            </w:r>
          </w:p>
          <w:p w14:paraId="07D90459">
            <w:pPr>
              <w:numPr>
                <w:ilvl w:val="0"/>
                <w:numId w:val="11"/>
              </w:numPr>
              <w:spacing w:line="240" w:lineRule="exact"/>
              <w:contextualSpacing/>
              <w:rPr>
                <w:rFonts w:hint="eastAsia" w:ascii="宋体" w:hAnsi="宋体"/>
                <w:szCs w:val="21"/>
              </w:rPr>
            </w:pPr>
            <w:r>
              <w:rPr>
                <w:rFonts w:hint="eastAsia" w:ascii="宋体" w:hAnsi="宋体"/>
                <w:szCs w:val="21"/>
              </w:rPr>
              <w:t>申请额度高：单笔融资额度最高可达政府采购合同金额的90%，单户额度最高可达3000万。</w:t>
            </w:r>
          </w:p>
          <w:p w14:paraId="2B888800">
            <w:pPr>
              <w:numPr>
                <w:ilvl w:val="0"/>
                <w:numId w:val="11"/>
              </w:numPr>
              <w:spacing w:line="240" w:lineRule="exact"/>
              <w:contextualSpacing/>
              <w:rPr>
                <w:rFonts w:hint="eastAsia" w:ascii="宋体" w:hAnsi="宋体"/>
                <w:szCs w:val="21"/>
              </w:rPr>
            </w:pPr>
            <w:r>
              <w:rPr>
                <w:rFonts w:hint="eastAsia" w:ascii="宋体" w:hAnsi="宋体"/>
                <w:szCs w:val="21"/>
              </w:rPr>
              <w:t>无需额外抵押：以浙江省政府采购网备案公示的政府采购合同进行融资，无需额外抵押担保。</w:t>
            </w:r>
          </w:p>
          <w:p w14:paraId="2FD62E49">
            <w:pPr>
              <w:numPr>
                <w:ilvl w:val="0"/>
                <w:numId w:val="11"/>
              </w:numPr>
              <w:spacing w:line="240" w:lineRule="exact"/>
              <w:contextualSpacing/>
              <w:rPr>
                <w:rFonts w:hint="eastAsia" w:ascii="宋体" w:hAnsi="宋体"/>
                <w:szCs w:val="21"/>
              </w:rPr>
            </w:pPr>
            <w:r>
              <w:rPr>
                <w:rFonts w:hint="eastAsia" w:ascii="宋体" w:hAnsi="宋体"/>
                <w:szCs w:val="21"/>
              </w:rPr>
              <w:t>利率优惠：给予流动资金贷款最优惠利率。</w:t>
            </w:r>
          </w:p>
        </w:tc>
        <w:tc>
          <w:tcPr>
            <w:tcW w:w="2220" w:type="dxa"/>
            <w:vAlign w:val="center"/>
          </w:tcPr>
          <w:p w14:paraId="46BA6888">
            <w:pPr>
              <w:spacing w:line="240" w:lineRule="exact"/>
              <w:contextualSpacing/>
              <w:jc w:val="center"/>
              <w:rPr>
                <w:rFonts w:hint="eastAsia" w:ascii="宋体" w:hAnsi="宋体"/>
                <w:szCs w:val="21"/>
              </w:rPr>
            </w:pPr>
            <w:r>
              <w:rPr>
                <w:rFonts w:hint="eastAsia" w:ascii="宋体" w:hAnsi="宋体"/>
                <w:szCs w:val="21"/>
              </w:rPr>
              <w:t>普陀片区：蔡妮妮</w:t>
            </w:r>
          </w:p>
          <w:p w14:paraId="78490437">
            <w:pPr>
              <w:spacing w:line="240" w:lineRule="exact"/>
              <w:contextualSpacing/>
              <w:jc w:val="center"/>
              <w:rPr>
                <w:rFonts w:hint="eastAsia" w:ascii="宋体" w:hAnsi="宋体"/>
                <w:szCs w:val="21"/>
              </w:rPr>
            </w:pPr>
            <w:r>
              <w:rPr>
                <w:rFonts w:hint="eastAsia" w:ascii="宋体" w:hAnsi="宋体"/>
                <w:szCs w:val="21"/>
              </w:rPr>
              <w:t>定海片区：杨莹</w:t>
            </w:r>
          </w:p>
          <w:p w14:paraId="2433B7E1">
            <w:pPr>
              <w:spacing w:line="240" w:lineRule="exact"/>
              <w:contextualSpacing/>
              <w:jc w:val="center"/>
              <w:rPr>
                <w:rFonts w:hint="eastAsia" w:ascii="宋体" w:hAnsi="宋体"/>
                <w:szCs w:val="21"/>
              </w:rPr>
            </w:pPr>
            <w:r>
              <w:rPr>
                <w:rFonts w:hint="eastAsia" w:ascii="宋体" w:hAnsi="宋体"/>
                <w:szCs w:val="21"/>
              </w:rPr>
              <w:t>自贸区片区：方晓</w:t>
            </w:r>
          </w:p>
        </w:tc>
        <w:tc>
          <w:tcPr>
            <w:tcW w:w="1908" w:type="dxa"/>
            <w:vAlign w:val="center"/>
          </w:tcPr>
          <w:p w14:paraId="6F21FCFD">
            <w:pPr>
              <w:spacing w:line="240" w:lineRule="exact"/>
              <w:contextualSpacing/>
              <w:rPr>
                <w:rFonts w:hint="eastAsia" w:ascii="宋体" w:hAnsi="宋体"/>
                <w:szCs w:val="21"/>
              </w:rPr>
            </w:pPr>
            <w:r>
              <w:rPr>
                <w:rFonts w:hint="eastAsia" w:ascii="宋体" w:hAnsi="宋体"/>
                <w:szCs w:val="21"/>
              </w:rPr>
              <w:t>普陀片区：13957201791</w:t>
            </w:r>
          </w:p>
          <w:p w14:paraId="05F37657">
            <w:pPr>
              <w:spacing w:line="240" w:lineRule="exact"/>
              <w:contextualSpacing/>
              <w:rPr>
                <w:rFonts w:hint="eastAsia" w:ascii="宋体" w:hAnsi="宋体"/>
                <w:szCs w:val="21"/>
              </w:rPr>
            </w:pPr>
            <w:r>
              <w:rPr>
                <w:rFonts w:hint="eastAsia" w:ascii="宋体" w:hAnsi="宋体"/>
                <w:szCs w:val="21"/>
              </w:rPr>
              <w:t>定海片区：13655803997</w:t>
            </w:r>
          </w:p>
          <w:p w14:paraId="680FA7F7">
            <w:pPr>
              <w:spacing w:line="240" w:lineRule="exact"/>
              <w:contextualSpacing/>
              <w:rPr>
                <w:rFonts w:hint="eastAsia" w:ascii="宋体" w:hAnsi="宋体"/>
                <w:szCs w:val="21"/>
              </w:rPr>
            </w:pPr>
            <w:r>
              <w:rPr>
                <w:rFonts w:hint="eastAsia" w:ascii="宋体" w:hAnsi="宋体"/>
                <w:szCs w:val="21"/>
              </w:rPr>
              <w:t>自贸区片区：13587086324</w:t>
            </w:r>
          </w:p>
        </w:tc>
      </w:tr>
      <w:tr w14:paraId="0334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48DF68E">
            <w:pPr>
              <w:spacing w:line="240" w:lineRule="exact"/>
              <w:contextualSpacing/>
              <w:rPr>
                <w:rFonts w:hint="eastAsia" w:ascii="宋体" w:hAnsi="宋体"/>
                <w:szCs w:val="21"/>
              </w:rPr>
            </w:pPr>
            <w:r>
              <w:rPr>
                <w:rFonts w:hint="eastAsia" w:ascii="宋体" w:hAnsi="宋体"/>
                <w:szCs w:val="21"/>
              </w:rPr>
              <w:t>杭州银行股份有限公司舟山市分行</w:t>
            </w:r>
          </w:p>
        </w:tc>
        <w:tc>
          <w:tcPr>
            <w:tcW w:w="3975" w:type="dxa"/>
          </w:tcPr>
          <w:p w14:paraId="15388DE4">
            <w:pPr>
              <w:spacing w:line="240" w:lineRule="exact"/>
              <w:contextualSpacing/>
              <w:rPr>
                <w:rFonts w:hint="eastAsia" w:ascii="宋体" w:hAnsi="宋体"/>
                <w:szCs w:val="21"/>
              </w:rPr>
            </w:pPr>
            <w:r>
              <w:rPr>
                <w:rFonts w:hint="eastAsia" w:ascii="宋体" w:hAnsi="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35A81150">
            <w:pPr>
              <w:spacing w:line="240" w:lineRule="exact"/>
              <w:contextualSpacing/>
              <w:jc w:val="center"/>
              <w:rPr>
                <w:rFonts w:hint="eastAsia" w:ascii="宋体" w:hAnsi="宋体"/>
                <w:szCs w:val="21"/>
              </w:rPr>
            </w:pPr>
            <w:r>
              <w:rPr>
                <w:rFonts w:hint="eastAsia" w:ascii="宋体" w:hAnsi="宋体"/>
                <w:szCs w:val="21"/>
              </w:rPr>
              <w:t>方经理</w:t>
            </w:r>
          </w:p>
        </w:tc>
        <w:tc>
          <w:tcPr>
            <w:tcW w:w="1908" w:type="dxa"/>
            <w:vAlign w:val="center"/>
          </w:tcPr>
          <w:p w14:paraId="0BACE75B">
            <w:pPr>
              <w:spacing w:line="240" w:lineRule="exact"/>
              <w:contextualSpacing/>
              <w:rPr>
                <w:rFonts w:hint="eastAsia" w:ascii="宋体" w:hAnsi="宋体"/>
                <w:szCs w:val="21"/>
              </w:rPr>
            </w:pPr>
            <w:r>
              <w:rPr>
                <w:rFonts w:hint="eastAsia" w:ascii="宋体" w:hAnsi="宋体"/>
                <w:szCs w:val="21"/>
              </w:rPr>
              <w:t>0580-2185201，18205800451</w:t>
            </w:r>
          </w:p>
        </w:tc>
      </w:tr>
      <w:tr w14:paraId="00AC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A1B8FE8">
            <w:pPr>
              <w:spacing w:line="240" w:lineRule="exact"/>
              <w:contextualSpacing/>
              <w:rPr>
                <w:rFonts w:hint="eastAsia" w:ascii="宋体" w:hAnsi="宋体"/>
                <w:szCs w:val="21"/>
              </w:rPr>
            </w:pPr>
            <w:r>
              <w:rPr>
                <w:rFonts w:hint="eastAsia" w:ascii="宋体" w:hAnsi="宋体"/>
                <w:szCs w:val="21"/>
              </w:rPr>
              <w:t>招商银行股份有限公司浙江自贸试验区舟山分行</w:t>
            </w:r>
          </w:p>
        </w:tc>
        <w:tc>
          <w:tcPr>
            <w:tcW w:w="3975" w:type="dxa"/>
          </w:tcPr>
          <w:p w14:paraId="5E6C69DC">
            <w:pPr>
              <w:spacing w:line="240" w:lineRule="exact"/>
              <w:rPr>
                <w:rFonts w:hint="eastAsia" w:ascii="宋体" w:hAnsi="宋体"/>
                <w:szCs w:val="21"/>
              </w:rPr>
            </w:pPr>
            <w:r>
              <w:rPr>
                <w:rFonts w:hint="eastAsia" w:ascii="宋体" w:hAnsi="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0025FEB3">
            <w:pPr>
              <w:spacing w:line="240" w:lineRule="exact"/>
              <w:contextualSpacing/>
              <w:jc w:val="center"/>
              <w:rPr>
                <w:rFonts w:hint="eastAsia" w:ascii="宋体" w:hAnsi="宋体"/>
                <w:szCs w:val="21"/>
              </w:rPr>
            </w:pPr>
            <w:r>
              <w:rPr>
                <w:rFonts w:hint="eastAsia" w:ascii="宋体" w:hAnsi="宋体"/>
                <w:szCs w:val="21"/>
              </w:rPr>
              <w:t>李玲</w:t>
            </w:r>
          </w:p>
        </w:tc>
        <w:tc>
          <w:tcPr>
            <w:tcW w:w="1908" w:type="dxa"/>
            <w:vAlign w:val="center"/>
          </w:tcPr>
          <w:p w14:paraId="4CA8BECA">
            <w:pPr>
              <w:spacing w:line="240" w:lineRule="exact"/>
              <w:contextualSpacing/>
              <w:rPr>
                <w:rFonts w:hint="eastAsia" w:ascii="宋体" w:hAnsi="宋体"/>
                <w:szCs w:val="21"/>
              </w:rPr>
            </w:pPr>
            <w:r>
              <w:rPr>
                <w:rFonts w:hint="eastAsia" w:ascii="宋体" w:hAnsi="宋体"/>
                <w:szCs w:val="21"/>
              </w:rPr>
              <w:t>0580-2061710，13957227971</w:t>
            </w:r>
          </w:p>
        </w:tc>
      </w:tr>
      <w:tr w14:paraId="16B8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6A41B78D">
            <w:pPr>
              <w:spacing w:line="240" w:lineRule="exact"/>
              <w:contextualSpacing/>
              <w:rPr>
                <w:rFonts w:hint="eastAsia" w:ascii="宋体" w:hAnsi="宋体"/>
                <w:szCs w:val="21"/>
              </w:rPr>
            </w:pPr>
            <w:r>
              <w:rPr>
                <w:rFonts w:hint="eastAsia" w:ascii="宋体" w:hAnsi="宋体"/>
                <w:szCs w:val="21"/>
              </w:rPr>
              <w:t>温州银行股份有限公司舟山市分行</w:t>
            </w:r>
          </w:p>
        </w:tc>
        <w:tc>
          <w:tcPr>
            <w:tcW w:w="3975" w:type="dxa"/>
          </w:tcPr>
          <w:p w14:paraId="762B942E">
            <w:pPr>
              <w:numPr>
                <w:ilvl w:val="0"/>
                <w:numId w:val="12"/>
              </w:numPr>
              <w:spacing w:line="240" w:lineRule="exact"/>
              <w:contextualSpacing/>
              <w:rPr>
                <w:rFonts w:hint="eastAsia" w:ascii="宋体" w:hAnsi="宋体"/>
                <w:szCs w:val="21"/>
              </w:rPr>
            </w:pPr>
            <w:r>
              <w:rPr>
                <w:rFonts w:hint="eastAsia" w:ascii="宋体" w:hAnsi="宋体"/>
                <w:szCs w:val="21"/>
              </w:rPr>
              <w:t>单户授信敞口最高不超过1000万元，且最高额度核定一般不超过借款人（含实际控制人控制的其他经营实体）最近13个月合计有效中标合同金额的70%。</w:t>
            </w:r>
          </w:p>
          <w:p w14:paraId="00E0ACF7">
            <w:pPr>
              <w:numPr>
                <w:ilvl w:val="0"/>
                <w:numId w:val="12"/>
              </w:numPr>
              <w:spacing w:line="240" w:lineRule="exact"/>
              <w:contextualSpacing/>
              <w:rPr>
                <w:rFonts w:hint="eastAsia" w:ascii="宋体" w:hAnsi="宋体"/>
                <w:szCs w:val="21"/>
              </w:rPr>
            </w:pPr>
            <w:r>
              <w:rPr>
                <w:rFonts w:hint="eastAsia" w:ascii="宋体" w:hAnsi="宋体"/>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465823C5">
            <w:pPr>
              <w:numPr>
                <w:ilvl w:val="0"/>
                <w:numId w:val="12"/>
              </w:numPr>
              <w:spacing w:line="240" w:lineRule="exact"/>
              <w:contextualSpacing/>
              <w:rPr>
                <w:rFonts w:hint="eastAsia" w:ascii="宋体" w:hAnsi="宋体"/>
                <w:szCs w:val="21"/>
              </w:rPr>
            </w:pPr>
            <w:r>
              <w:rPr>
                <w:rFonts w:hint="eastAsia" w:ascii="宋体" w:hAnsi="宋体"/>
                <w:szCs w:val="21"/>
              </w:rPr>
              <w:t>借款人中标采购人自行采购项目并向我行发起授信申请的，单笔业务授信敞口不超500万元，且不超过借款人中标通知书承载的中标金额或本次申请授信提供的采购合同的80%。</w:t>
            </w:r>
          </w:p>
          <w:p w14:paraId="3E612492">
            <w:pPr>
              <w:numPr>
                <w:ilvl w:val="0"/>
                <w:numId w:val="12"/>
              </w:numPr>
              <w:spacing w:line="240" w:lineRule="exact"/>
              <w:contextualSpacing/>
              <w:rPr>
                <w:rFonts w:hint="eastAsia" w:ascii="宋体" w:hAnsi="宋体"/>
                <w:szCs w:val="21"/>
              </w:rPr>
            </w:pPr>
            <w:r>
              <w:rPr>
                <w:rFonts w:hint="eastAsia" w:ascii="宋体" w:hAnsi="宋体"/>
                <w:szCs w:val="21"/>
              </w:rPr>
              <w:t>符合我行采购人资质的，且负债率不超75%，配合应收账款质押登记确认的，并可出具确认函，单笔借款额度可按不超过采购合同的90%办理。</w:t>
            </w:r>
          </w:p>
        </w:tc>
        <w:tc>
          <w:tcPr>
            <w:tcW w:w="2220" w:type="dxa"/>
            <w:vAlign w:val="center"/>
          </w:tcPr>
          <w:p w14:paraId="2FC4B87A">
            <w:pPr>
              <w:spacing w:line="240" w:lineRule="exact"/>
              <w:contextualSpacing/>
              <w:jc w:val="center"/>
              <w:rPr>
                <w:rFonts w:hint="eastAsia" w:ascii="宋体" w:hAnsi="宋体"/>
                <w:szCs w:val="21"/>
              </w:rPr>
            </w:pPr>
            <w:r>
              <w:rPr>
                <w:rFonts w:hint="eastAsia" w:ascii="宋体" w:hAnsi="宋体"/>
                <w:szCs w:val="21"/>
              </w:rPr>
              <w:t>郑贤栋</w:t>
            </w:r>
          </w:p>
        </w:tc>
        <w:tc>
          <w:tcPr>
            <w:tcW w:w="1908" w:type="dxa"/>
            <w:vAlign w:val="center"/>
          </w:tcPr>
          <w:p w14:paraId="28E5E615">
            <w:pPr>
              <w:spacing w:line="240" w:lineRule="exact"/>
              <w:contextualSpacing/>
              <w:rPr>
                <w:rFonts w:hint="eastAsia" w:ascii="宋体" w:hAnsi="宋体"/>
                <w:szCs w:val="21"/>
              </w:rPr>
            </w:pPr>
            <w:r>
              <w:rPr>
                <w:rFonts w:hint="eastAsia" w:ascii="宋体" w:hAnsi="宋体"/>
                <w:szCs w:val="21"/>
              </w:rPr>
              <w:t>058—8866086</w:t>
            </w:r>
          </w:p>
        </w:tc>
      </w:tr>
      <w:tr w14:paraId="2C5D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3BF6615E">
            <w:pPr>
              <w:spacing w:line="240" w:lineRule="exact"/>
              <w:contextualSpacing/>
              <w:rPr>
                <w:rFonts w:hint="eastAsia" w:ascii="宋体" w:hAnsi="宋体"/>
                <w:szCs w:val="21"/>
              </w:rPr>
            </w:pPr>
            <w:r>
              <w:rPr>
                <w:rFonts w:hint="eastAsia" w:ascii="宋体" w:hAnsi="宋体"/>
                <w:szCs w:val="21"/>
              </w:rPr>
              <w:t>交通银行股份有限公司舟山分行</w:t>
            </w:r>
          </w:p>
        </w:tc>
        <w:tc>
          <w:tcPr>
            <w:tcW w:w="3975" w:type="dxa"/>
          </w:tcPr>
          <w:p w14:paraId="7602300E">
            <w:pPr>
              <w:spacing w:line="240" w:lineRule="exact"/>
              <w:contextualSpacing/>
              <w:rPr>
                <w:rFonts w:hint="eastAsia" w:ascii="宋体" w:hAnsi="宋体"/>
                <w:szCs w:val="21"/>
              </w:rPr>
            </w:pPr>
            <w:r>
              <w:rPr>
                <w:rFonts w:hint="eastAsia" w:ascii="宋体" w:hAnsi="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szCs w:val="21"/>
              </w:rPr>
              <w:t>PR</w:t>
            </w:r>
            <w:r>
              <w:rPr>
                <w:rFonts w:ascii="宋体" w:hAnsi="宋体"/>
                <w:szCs w:val="21"/>
              </w:rPr>
              <w:t>。</w:t>
            </w:r>
          </w:p>
        </w:tc>
        <w:tc>
          <w:tcPr>
            <w:tcW w:w="2220" w:type="dxa"/>
            <w:vAlign w:val="center"/>
          </w:tcPr>
          <w:p w14:paraId="4CFA9247">
            <w:pPr>
              <w:spacing w:line="240" w:lineRule="exact"/>
              <w:contextualSpacing/>
              <w:jc w:val="center"/>
              <w:rPr>
                <w:rFonts w:hint="eastAsia" w:ascii="宋体" w:hAnsi="宋体"/>
                <w:szCs w:val="21"/>
              </w:rPr>
            </w:pPr>
            <w:r>
              <w:rPr>
                <w:rFonts w:hint="eastAsia" w:ascii="宋体" w:hAnsi="宋体"/>
                <w:szCs w:val="21"/>
              </w:rPr>
              <w:t>赵争艳</w:t>
            </w:r>
          </w:p>
        </w:tc>
        <w:tc>
          <w:tcPr>
            <w:tcW w:w="1908" w:type="dxa"/>
            <w:vAlign w:val="center"/>
          </w:tcPr>
          <w:p w14:paraId="43CA9E1C">
            <w:pPr>
              <w:spacing w:line="240" w:lineRule="exact"/>
              <w:contextualSpacing/>
              <w:rPr>
                <w:rFonts w:hint="eastAsia" w:ascii="宋体" w:hAnsi="宋体"/>
                <w:szCs w:val="21"/>
              </w:rPr>
            </w:pPr>
            <w:r>
              <w:rPr>
                <w:rFonts w:hint="eastAsia" w:ascii="宋体" w:hAnsi="宋体"/>
                <w:szCs w:val="21"/>
              </w:rPr>
              <w:t>0580-2260728</w:t>
            </w:r>
          </w:p>
          <w:p w14:paraId="4F207CBA">
            <w:pPr>
              <w:spacing w:line="240" w:lineRule="exact"/>
              <w:contextualSpacing/>
              <w:rPr>
                <w:rFonts w:hint="eastAsia" w:ascii="宋体" w:hAnsi="宋体"/>
                <w:szCs w:val="21"/>
              </w:rPr>
            </w:pPr>
            <w:r>
              <w:rPr>
                <w:rFonts w:hint="eastAsia" w:ascii="宋体" w:hAnsi="宋体"/>
                <w:szCs w:val="21"/>
              </w:rPr>
              <w:t>13758007280</w:t>
            </w:r>
          </w:p>
        </w:tc>
      </w:tr>
      <w:tr w14:paraId="22C6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30C6E99">
            <w:pPr>
              <w:spacing w:line="240" w:lineRule="exact"/>
              <w:contextualSpacing/>
              <w:rPr>
                <w:rFonts w:hint="eastAsia" w:ascii="宋体" w:hAnsi="宋体"/>
                <w:szCs w:val="21"/>
              </w:rPr>
            </w:pPr>
            <w:r>
              <w:rPr>
                <w:rFonts w:hint="eastAsia" w:ascii="宋体" w:hAnsi="宋体"/>
                <w:szCs w:val="21"/>
              </w:rPr>
              <w:t>中信银行股份有限公司舟山分行</w:t>
            </w:r>
          </w:p>
        </w:tc>
        <w:tc>
          <w:tcPr>
            <w:tcW w:w="3975" w:type="dxa"/>
          </w:tcPr>
          <w:p w14:paraId="2EFB9AA8">
            <w:pPr>
              <w:spacing w:line="240" w:lineRule="exact"/>
              <w:contextualSpacing/>
              <w:rPr>
                <w:rFonts w:hint="eastAsia" w:ascii="宋体" w:hAnsi="宋体"/>
                <w:szCs w:val="21"/>
              </w:rPr>
            </w:pPr>
            <w:r>
              <w:rPr>
                <w:rFonts w:hint="eastAsia" w:ascii="宋体" w:hAnsi="宋体"/>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0568E5EB">
            <w:pPr>
              <w:spacing w:line="240" w:lineRule="exact"/>
              <w:contextualSpacing/>
              <w:jc w:val="center"/>
              <w:rPr>
                <w:rFonts w:hint="eastAsia" w:ascii="宋体" w:hAnsi="宋体"/>
                <w:szCs w:val="21"/>
              </w:rPr>
            </w:pPr>
            <w:r>
              <w:rPr>
                <w:rFonts w:ascii="宋体" w:hAnsi="宋体"/>
                <w:szCs w:val="21"/>
              </w:rPr>
              <w:t>黄丽</w:t>
            </w:r>
          </w:p>
        </w:tc>
        <w:tc>
          <w:tcPr>
            <w:tcW w:w="1908" w:type="dxa"/>
            <w:vAlign w:val="center"/>
          </w:tcPr>
          <w:p w14:paraId="24491568">
            <w:pPr>
              <w:spacing w:line="240" w:lineRule="exact"/>
              <w:contextualSpacing/>
              <w:rPr>
                <w:rFonts w:hint="eastAsia" w:ascii="宋体" w:hAnsi="宋体"/>
                <w:szCs w:val="21"/>
              </w:rPr>
            </w:pPr>
            <w:r>
              <w:rPr>
                <w:rFonts w:ascii="宋体" w:hAnsi="宋体"/>
                <w:szCs w:val="21"/>
              </w:rPr>
              <w:t>13905808032</w:t>
            </w:r>
          </w:p>
        </w:tc>
      </w:tr>
      <w:tr w14:paraId="285B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50A0CA8">
            <w:pPr>
              <w:spacing w:line="240" w:lineRule="exact"/>
              <w:contextualSpacing/>
              <w:rPr>
                <w:rFonts w:hint="eastAsia" w:ascii="宋体" w:hAnsi="宋体"/>
                <w:szCs w:val="21"/>
              </w:rPr>
            </w:pPr>
            <w:r>
              <w:rPr>
                <w:rFonts w:hint="eastAsia" w:ascii="宋体" w:hAnsi="宋体"/>
                <w:szCs w:val="21"/>
              </w:rPr>
              <w:t>泰隆银行舟山市分行</w:t>
            </w:r>
          </w:p>
        </w:tc>
        <w:tc>
          <w:tcPr>
            <w:tcW w:w="3975" w:type="dxa"/>
          </w:tcPr>
          <w:p w14:paraId="2D945D67">
            <w:pPr>
              <w:spacing w:line="240" w:lineRule="exact"/>
              <w:contextualSpacing/>
              <w:rPr>
                <w:rFonts w:hint="eastAsia" w:ascii="宋体" w:hAnsi="宋体"/>
                <w:szCs w:val="21"/>
              </w:rPr>
            </w:pPr>
            <w:r>
              <w:rPr>
                <w:rFonts w:hint="eastAsia" w:ascii="宋体" w:hAnsi="宋体"/>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2FD00020">
            <w:pPr>
              <w:spacing w:line="240" w:lineRule="exact"/>
              <w:contextualSpacing/>
              <w:jc w:val="center"/>
              <w:rPr>
                <w:rFonts w:hint="eastAsia" w:ascii="宋体" w:hAnsi="宋体"/>
                <w:szCs w:val="21"/>
              </w:rPr>
            </w:pPr>
            <w:r>
              <w:rPr>
                <w:rFonts w:hint="eastAsia" w:ascii="宋体" w:hAnsi="宋体"/>
                <w:szCs w:val="21"/>
              </w:rPr>
              <w:t>胡亢宇</w:t>
            </w:r>
          </w:p>
        </w:tc>
        <w:tc>
          <w:tcPr>
            <w:tcW w:w="1908" w:type="dxa"/>
            <w:vAlign w:val="center"/>
          </w:tcPr>
          <w:p w14:paraId="59A19EF2">
            <w:pPr>
              <w:spacing w:line="240" w:lineRule="exact"/>
              <w:contextualSpacing/>
              <w:rPr>
                <w:rFonts w:hint="eastAsia" w:ascii="宋体" w:hAnsi="宋体"/>
                <w:szCs w:val="21"/>
              </w:rPr>
            </w:pPr>
            <w:r>
              <w:rPr>
                <w:rFonts w:hint="eastAsia" w:ascii="宋体" w:hAnsi="宋体"/>
                <w:szCs w:val="21"/>
              </w:rPr>
              <w:t>17605868703</w:t>
            </w:r>
          </w:p>
        </w:tc>
      </w:tr>
      <w:tr w14:paraId="39D2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9C355D2">
            <w:pPr>
              <w:spacing w:line="240" w:lineRule="exact"/>
              <w:contextualSpacing/>
              <w:rPr>
                <w:rFonts w:hint="eastAsia" w:ascii="宋体" w:hAnsi="宋体"/>
                <w:szCs w:val="21"/>
              </w:rPr>
            </w:pPr>
            <w:r>
              <w:rPr>
                <w:rFonts w:hint="eastAsia" w:ascii="宋体" w:hAnsi="宋体"/>
                <w:szCs w:val="21"/>
              </w:rPr>
              <w:t>中国农业银行股份有限公司舟山分行</w:t>
            </w:r>
          </w:p>
        </w:tc>
        <w:tc>
          <w:tcPr>
            <w:tcW w:w="3975" w:type="dxa"/>
          </w:tcPr>
          <w:p w14:paraId="35C02D49">
            <w:pPr>
              <w:spacing w:line="240" w:lineRule="exact"/>
              <w:contextualSpacing/>
              <w:rPr>
                <w:rFonts w:hint="eastAsia" w:ascii="宋体" w:hAnsi="宋体"/>
                <w:szCs w:val="21"/>
              </w:rPr>
            </w:pPr>
            <w:r>
              <w:rPr>
                <w:rFonts w:hint="eastAsia" w:ascii="宋体" w:hAnsi="宋体"/>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289614C0">
            <w:pPr>
              <w:spacing w:line="240" w:lineRule="exact"/>
              <w:contextualSpacing/>
              <w:jc w:val="center"/>
              <w:rPr>
                <w:rFonts w:hint="eastAsia" w:ascii="宋体" w:hAnsi="宋体"/>
                <w:szCs w:val="21"/>
              </w:rPr>
            </w:pPr>
            <w:r>
              <w:rPr>
                <w:rFonts w:hint="eastAsia" w:ascii="宋体" w:hAnsi="宋体"/>
                <w:szCs w:val="21"/>
              </w:rPr>
              <w:t>苏华瞻</w:t>
            </w:r>
          </w:p>
        </w:tc>
        <w:tc>
          <w:tcPr>
            <w:tcW w:w="1908" w:type="dxa"/>
            <w:vAlign w:val="center"/>
          </w:tcPr>
          <w:p w14:paraId="20A6CB51">
            <w:pPr>
              <w:spacing w:line="240" w:lineRule="exact"/>
              <w:contextualSpacing/>
              <w:jc w:val="center"/>
              <w:rPr>
                <w:rFonts w:hint="eastAsia" w:ascii="宋体" w:hAnsi="宋体"/>
                <w:szCs w:val="21"/>
              </w:rPr>
            </w:pPr>
            <w:r>
              <w:rPr>
                <w:rFonts w:hint="eastAsia" w:ascii="宋体" w:hAnsi="宋体"/>
                <w:szCs w:val="21"/>
              </w:rPr>
              <w:t>13967228926</w:t>
            </w:r>
          </w:p>
        </w:tc>
      </w:tr>
      <w:tr w14:paraId="4039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E6EB4DB">
            <w:pPr>
              <w:spacing w:line="240" w:lineRule="exact"/>
              <w:contextualSpacing/>
              <w:rPr>
                <w:rFonts w:hint="eastAsia" w:ascii="宋体" w:hAnsi="宋体"/>
                <w:szCs w:val="21"/>
              </w:rPr>
            </w:pPr>
            <w:r>
              <w:rPr>
                <w:rFonts w:hint="eastAsia" w:ascii="宋体" w:hAnsi="宋体"/>
                <w:szCs w:val="21"/>
              </w:rPr>
              <w:t>中国邮政储蓄银行股份有限公司舟山市分行</w:t>
            </w:r>
          </w:p>
        </w:tc>
        <w:tc>
          <w:tcPr>
            <w:tcW w:w="3975" w:type="dxa"/>
          </w:tcPr>
          <w:p w14:paraId="581D23DA">
            <w:pPr>
              <w:tabs>
                <w:tab w:val="left" w:pos="0"/>
              </w:tabs>
              <w:spacing w:line="240" w:lineRule="exact"/>
              <w:rPr>
                <w:rFonts w:hint="eastAsia" w:ascii="宋体" w:hAnsi="宋体"/>
                <w:szCs w:val="21"/>
              </w:rPr>
            </w:pPr>
            <w:r>
              <w:rPr>
                <w:rFonts w:hint="eastAsia" w:ascii="宋体" w:hAnsi="宋体"/>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70F54A6B">
            <w:pPr>
              <w:spacing w:line="240" w:lineRule="exact"/>
              <w:contextualSpacing/>
              <w:jc w:val="center"/>
              <w:rPr>
                <w:rFonts w:hint="eastAsia" w:ascii="宋体" w:hAnsi="宋体"/>
                <w:szCs w:val="21"/>
              </w:rPr>
            </w:pPr>
            <w:r>
              <w:rPr>
                <w:rFonts w:hint="eastAsia" w:ascii="宋体" w:hAnsi="宋体"/>
                <w:szCs w:val="21"/>
              </w:rPr>
              <w:t>蒋志燕</w:t>
            </w:r>
          </w:p>
        </w:tc>
        <w:tc>
          <w:tcPr>
            <w:tcW w:w="1908" w:type="dxa"/>
            <w:vAlign w:val="center"/>
          </w:tcPr>
          <w:p w14:paraId="0D34DE1D">
            <w:pPr>
              <w:spacing w:line="240" w:lineRule="exact"/>
              <w:contextualSpacing/>
              <w:rPr>
                <w:rFonts w:hint="eastAsia" w:ascii="宋体" w:hAnsi="宋体"/>
                <w:szCs w:val="21"/>
              </w:rPr>
            </w:pPr>
            <w:r>
              <w:rPr>
                <w:rFonts w:hint="eastAsia" w:ascii="宋体" w:hAnsi="宋体"/>
                <w:szCs w:val="21"/>
              </w:rPr>
              <w:t>13732527321</w:t>
            </w:r>
          </w:p>
        </w:tc>
      </w:tr>
      <w:bookmarkEnd w:id="4"/>
    </w:tbl>
    <w:p w14:paraId="028B5674">
      <w:pPr>
        <w:spacing w:line="260" w:lineRule="exact"/>
        <w:ind w:firstLine="555"/>
        <w:rPr>
          <w:rFonts w:hint="eastAsia" w:ascii="宋体" w:hAnsi="宋体"/>
          <w:szCs w:val="21"/>
        </w:rPr>
      </w:pPr>
      <w:r>
        <w:rPr>
          <w:rFonts w:ascii="宋体" w:hAnsi="宋体"/>
          <w:szCs w:val="21"/>
        </w:rPr>
        <w:t>2.一般步骤</w:t>
      </w:r>
    </w:p>
    <w:p w14:paraId="36804BAD">
      <w:pPr>
        <w:spacing w:line="260" w:lineRule="exact"/>
        <w:ind w:firstLine="555"/>
        <w:rPr>
          <w:rFonts w:hint="eastAsia" w:ascii="宋体" w:hAnsi="宋体"/>
          <w:szCs w:val="21"/>
        </w:rPr>
      </w:pPr>
      <w:r>
        <w:rPr>
          <w:rFonts w:ascii="宋体" w:hAnsi="宋体"/>
          <w:szCs w:val="21"/>
        </w:rPr>
        <w:t>（1）供应商先与银行对接，办理融资前期手续；</w:t>
      </w:r>
    </w:p>
    <w:p w14:paraId="72E3F3C7">
      <w:pPr>
        <w:spacing w:line="260" w:lineRule="exact"/>
        <w:ind w:firstLine="555"/>
        <w:rPr>
          <w:rFonts w:hint="eastAsia" w:ascii="宋体" w:hAnsi="宋体"/>
          <w:szCs w:val="21"/>
        </w:rPr>
      </w:pPr>
      <w:r>
        <w:rPr>
          <w:rFonts w:ascii="宋体" w:hAnsi="宋体"/>
          <w:szCs w:val="21"/>
        </w:rPr>
        <w:t>（2）供应商中标后，凭中标通知书等材料，向相关合作银行发出融资申请；</w:t>
      </w:r>
    </w:p>
    <w:p w14:paraId="2E0C1886">
      <w:pPr>
        <w:spacing w:line="260" w:lineRule="exact"/>
        <w:ind w:firstLine="555"/>
        <w:rPr>
          <w:rFonts w:hint="eastAsia" w:ascii="宋体" w:hAnsi="宋体"/>
          <w:szCs w:val="21"/>
        </w:rPr>
      </w:pPr>
      <w:r>
        <w:rPr>
          <w:rFonts w:ascii="宋体" w:hAnsi="宋体"/>
          <w:szCs w:val="21"/>
        </w:rPr>
        <w:t>（3）银行、供应商线</w:t>
      </w:r>
      <w:r>
        <w:rPr>
          <w:rFonts w:hint="eastAsia" w:ascii="宋体" w:hAnsi="宋体"/>
          <w:szCs w:val="21"/>
        </w:rPr>
        <w:t>上</w:t>
      </w:r>
      <w:r>
        <w:rPr>
          <w:rFonts w:ascii="宋体" w:hAnsi="宋体"/>
          <w:szCs w:val="21"/>
        </w:rPr>
        <w:t>办理审批、放贷事宜。</w:t>
      </w:r>
    </w:p>
    <w:p w14:paraId="211590A4">
      <w:pPr>
        <w:spacing w:line="260" w:lineRule="exact"/>
        <w:ind w:firstLine="555"/>
        <w:rPr>
          <w:rFonts w:hint="eastAsia" w:ascii="宋体" w:hAnsi="宋体"/>
          <w:szCs w:val="21"/>
        </w:rPr>
      </w:pPr>
      <w:r>
        <w:rPr>
          <w:rFonts w:ascii="宋体" w:hAnsi="宋体"/>
          <w:szCs w:val="21"/>
        </w:rPr>
        <w:t>3.注意事项</w:t>
      </w:r>
    </w:p>
    <w:p w14:paraId="535AB3C0">
      <w:pPr>
        <w:spacing w:line="260" w:lineRule="exact"/>
        <w:ind w:firstLine="555"/>
        <w:rPr>
          <w:rFonts w:hint="eastAsia" w:ascii="宋体" w:hAnsi="宋体"/>
          <w:szCs w:val="21"/>
        </w:rPr>
      </w:pPr>
      <w:r>
        <w:rPr>
          <w:rFonts w:ascii="宋体" w:hAnsi="宋体"/>
          <w:szCs w:val="21"/>
        </w:rPr>
        <w:t>（1）</w:t>
      </w:r>
      <w:r>
        <w:rPr>
          <w:rFonts w:hint="eastAsia" w:ascii="宋体" w:hAnsi="宋体"/>
          <w:szCs w:val="21"/>
        </w:rPr>
        <w:t>中标人</w:t>
      </w:r>
      <w:r>
        <w:rPr>
          <w:rFonts w:ascii="宋体" w:hAnsi="宋体"/>
          <w:szCs w:val="21"/>
        </w:rPr>
        <w:t>需确保政府采购合同的收款账户与融资银行开户账户一致。</w:t>
      </w:r>
    </w:p>
    <w:p w14:paraId="59AEB43A">
      <w:pPr>
        <w:spacing w:line="260" w:lineRule="exact"/>
        <w:ind w:firstLine="555"/>
        <w:rPr>
          <w:rFonts w:hint="eastAsia" w:ascii="宋体" w:hAnsi="宋体"/>
          <w:szCs w:val="21"/>
        </w:rPr>
      </w:pPr>
      <w:r>
        <w:rPr>
          <w:rFonts w:ascii="宋体" w:hAnsi="宋体"/>
          <w:szCs w:val="21"/>
        </w:rPr>
        <w:t>（2）用于政府采购信用融资的政府采购合同，应当包含如下条款：“第条：政府采购合同贷款</w:t>
      </w:r>
    </w:p>
    <w:p w14:paraId="1E44E8FE">
      <w:pPr>
        <w:spacing w:line="260" w:lineRule="exact"/>
        <w:ind w:firstLine="555"/>
        <w:rPr>
          <w:rFonts w:hint="eastAsia" w:ascii="宋体" w:hAnsi="宋体"/>
          <w:szCs w:val="21"/>
        </w:rPr>
      </w:pPr>
      <w:r>
        <w:rPr>
          <w:rFonts w:ascii="宋体" w:hAnsi="宋体"/>
          <w:szCs w:val="21"/>
        </w:rPr>
        <w:t>本合同同时用于乙方向银行（金融机构）申请政府采购信用贷款。</w:t>
      </w:r>
    </w:p>
    <w:p w14:paraId="54AB1C88">
      <w:pPr>
        <w:spacing w:line="260" w:lineRule="exact"/>
        <w:ind w:firstLine="555"/>
        <w:rPr>
          <w:rFonts w:hint="eastAsia" w:ascii="宋体" w:hAnsi="宋体"/>
          <w:szCs w:val="21"/>
        </w:rPr>
      </w:pPr>
      <w:r>
        <w:rPr>
          <w:rFonts w:ascii="宋体" w:hAnsi="宋体"/>
          <w:szCs w:val="21"/>
        </w:rPr>
        <w:t>本合同一经签订，原则上不得更改乙方收款账户信息。确须更改的，乙方应取得原合同收款账户开户银行书面同意，否则修改后的合同不予备案，采购资金不予支付。”</w:t>
      </w:r>
    </w:p>
    <w:p w14:paraId="43727974">
      <w:pPr>
        <w:tabs>
          <w:tab w:val="left" w:pos="2472"/>
        </w:tabs>
        <w:snapToGrid w:val="0"/>
        <w:spacing w:before="120" w:line="312" w:lineRule="auto"/>
        <w:ind w:right="-87"/>
        <w:rPr>
          <w:rFonts w:eastAsia="黑体"/>
          <w:sz w:val="30"/>
        </w:rPr>
      </w:pPr>
    </w:p>
    <w:p w14:paraId="19AA2E23">
      <w:pPr>
        <w:tabs>
          <w:tab w:val="left" w:pos="2472"/>
        </w:tabs>
        <w:snapToGrid w:val="0"/>
        <w:spacing w:before="120" w:line="312" w:lineRule="auto"/>
        <w:ind w:right="-87"/>
        <w:jc w:val="center"/>
        <w:rPr>
          <w:rFonts w:eastAsia="黑体"/>
          <w:sz w:val="30"/>
        </w:rPr>
      </w:pPr>
    </w:p>
    <w:p w14:paraId="30B8A3C5">
      <w:pPr>
        <w:tabs>
          <w:tab w:val="left" w:pos="2472"/>
        </w:tabs>
        <w:snapToGrid w:val="0"/>
        <w:spacing w:before="120" w:line="312" w:lineRule="auto"/>
        <w:ind w:right="-87"/>
        <w:jc w:val="center"/>
        <w:rPr>
          <w:rFonts w:eastAsia="黑体"/>
          <w:sz w:val="30"/>
        </w:rPr>
      </w:pPr>
      <w:r>
        <w:rPr>
          <w:rFonts w:hint="eastAsia" w:eastAsia="黑体"/>
          <w:sz w:val="30"/>
        </w:rPr>
        <w:t>第六章　投标文件格式</w:t>
      </w:r>
    </w:p>
    <w:p w14:paraId="366F991B">
      <w:pPr>
        <w:tabs>
          <w:tab w:val="left" w:pos="2472"/>
        </w:tabs>
        <w:snapToGrid w:val="0"/>
        <w:spacing w:before="120" w:line="312" w:lineRule="auto"/>
        <w:ind w:right="-87"/>
        <w:jc w:val="center"/>
        <w:rPr>
          <w:rFonts w:eastAsia="黑体"/>
          <w:sz w:val="30"/>
        </w:rPr>
      </w:pPr>
    </w:p>
    <w:p w14:paraId="725160CB">
      <w:pPr>
        <w:snapToGrid w:val="0"/>
        <w:spacing w:line="360" w:lineRule="auto"/>
        <w:ind w:right="-85"/>
        <w:rPr>
          <w:sz w:val="24"/>
        </w:rPr>
      </w:pPr>
    </w:p>
    <w:p w14:paraId="36FB5098">
      <w:pPr>
        <w:snapToGrid w:val="0"/>
        <w:spacing w:line="360" w:lineRule="auto"/>
        <w:ind w:right="-85"/>
        <w:rPr>
          <w:sz w:val="24"/>
        </w:rPr>
      </w:pPr>
    </w:p>
    <w:p w14:paraId="624FB301">
      <w:pPr>
        <w:snapToGrid w:val="0"/>
        <w:spacing w:line="360" w:lineRule="auto"/>
        <w:ind w:right="-85"/>
        <w:rPr>
          <w:sz w:val="24"/>
        </w:rPr>
      </w:pPr>
      <w:r>
        <w:rPr>
          <w:rFonts w:hint="eastAsia"/>
          <w:sz w:val="24"/>
        </w:rPr>
        <w:t>一、</w:t>
      </w:r>
      <w:r>
        <w:rPr>
          <w:rFonts w:hint="eastAsia"/>
          <w:b/>
          <w:sz w:val="24"/>
        </w:rPr>
        <w:t>备份文件包装封面（格式供参考）</w:t>
      </w:r>
      <w:r>
        <w:rPr>
          <w:rFonts w:hint="eastAsia"/>
          <w:sz w:val="24"/>
        </w:rPr>
        <w:t>：</w:t>
      </w:r>
    </w:p>
    <w:p w14:paraId="26931AC3">
      <w:pPr>
        <w:snapToGrid w:val="0"/>
        <w:spacing w:line="360" w:lineRule="auto"/>
        <w:ind w:right="-85"/>
        <w:jc w:val="center"/>
        <w:rPr>
          <w:sz w:val="24"/>
        </w:rPr>
      </w:pPr>
    </w:p>
    <w:p w14:paraId="747665CE">
      <w:pPr>
        <w:snapToGrid w:val="0"/>
        <w:spacing w:line="360" w:lineRule="auto"/>
        <w:ind w:right="-85"/>
        <w:jc w:val="center"/>
        <w:rPr>
          <w:b/>
          <w:sz w:val="44"/>
        </w:rPr>
      </w:pPr>
      <w:r>
        <w:rPr>
          <w:rFonts w:hint="eastAsia"/>
          <w:b/>
          <w:sz w:val="44"/>
        </w:rPr>
        <w:t>投标文件</w:t>
      </w:r>
    </w:p>
    <w:p w14:paraId="7D2C8E29">
      <w:pPr>
        <w:snapToGrid w:val="0"/>
        <w:spacing w:line="360" w:lineRule="auto"/>
        <w:ind w:right="-85"/>
        <w:rPr>
          <w:sz w:val="24"/>
        </w:rPr>
      </w:pPr>
    </w:p>
    <w:p w14:paraId="3156C4B0">
      <w:pPr>
        <w:snapToGrid w:val="0"/>
        <w:spacing w:line="360" w:lineRule="auto"/>
        <w:ind w:right="-85" w:firstLine="1124" w:firstLineChars="400"/>
        <w:rPr>
          <w:b/>
          <w:sz w:val="28"/>
        </w:rPr>
      </w:pPr>
      <w:r>
        <w:rPr>
          <w:rFonts w:hint="eastAsia"/>
          <w:b/>
          <w:sz w:val="28"/>
        </w:rPr>
        <w:t>项目名称：</w:t>
      </w:r>
    </w:p>
    <w:p w14:paraId="68C46F46">
      <w:pPr>
        <w:snapToGrid w:val="0"/>
        <w:spacing w:line="360" w:lineRule="auto"/>
        <w:ind w:right="-85" w:firstLine="1113" w:firstLineChars="396"/>
        <w:rPr>
          <w:b/>
          <w:sz w:val="28"/>
          <w:u w:val="single"/>
        </w:rPr>
      </w:pPr>
      <w:r>
        <w:rPr>
          <w:rFonts w:hint="eastAsia"/>
          <w:b/>
          <w:sz w:val="28"/>
        </w:rPr>
        <w:t>项目编号：</w:t>
      </w:r>
    </w:p>
    <w:p w14:paraId="52EDBA61">
      <w:pPr>
        <w:snapToGrid w:val="0"/>
        <w:spacing w:line="360" w:lineRule="auto"/>
        <w:ind w:right="-85" w:firstLine="1169" w:firstLineChars="416"/>
        <w:rPr>
          <w:b/>
          <w:sz w:val="28"/>
        </w:rPr>
      </w:pPr>
      <w:r>
        <w:rPr>
          <w:rFonts w:hint="eastAsia"/>
          <w:b/>
          <w:sz w:val="28"/>
        </w:rPr>
        <w:t>投标人名称：</w:t>
      </w:r>
      <w:r>
        <w:rPr>
          <w:rFonts w:hint="eastAsia"/>
          <w:b/>
          <w:sz w:val="28"/>
          <w:u w:val="single"/>
        </w:rPr>
        <w:t>（</w:t>
      </w:r>
      <w:r>
        <w:rPr>
          <w:rFonts w:hint="eastAsia"/>
          <w:b/>
          <w:sz w:val="28"/>
        </w:rPr>
        <w:t>加盖公章）</w:t>
      </w:r>
    </w:p>
    <w:p w14:paraId="0513EEF0">
      <w:pPr>
        <w:snapToGrid w:val="0"/>
        <w:spacing w:line="360" w:lineRule="auto"/>
        <w:ind w:right="-85" w:firstLine="1169" w:firstLineChars="416"/>
        <w:rPr>
          <w:b/>
          <w:sz w:val="28"/>
          <w:u w:val="single"/>
        </w:rPr>
      </w:pPr>
      <w:r>
        <w:rPr>
          <w:rFonts w:hint="eastAsia"/>
          <w:b/>
          <w:sz w:val="28"/>
        </w:rPr>
        <w:t>投标人地址：</w:t>
      </w:r>
    </w:p>
    <w:p w14:paraId="68C21C8A">
      <w:pPr>
        <w:snapToGrid w:val="0"/>
        <w:spacing w:line="360" w:lineRule="auto"/>
        <w:ind w:right="-85" w:firstLine="1124" w:firstLineChars="400"/>
        <w:rPr>
          <w:b/>
          <w:sz w:val="28"/>
          <w:u w:val="single"/>
        </w:rPr>
      </w:pPr>
      <w:r>
        <w:rPr>
          <w:rFonts w:hint="eastAsia"/>
          <w:b/>
          <w:sz w:val="28"/>
        </w:rPr>
        <w:t>投标联系人：电话</w:t>
      </w:r>
    </w:p>
    <w:p w14:paraId="79CDD28A">
      <w:pPr>
        <w:snapToGrid w:val="0"/>
        <w:spacing w:line="360" w:lineRule="auto"/>
        <w:ind w:right="-85" w:firstLine="1124" w:firstLineChars="400"/>
        <w:rPr>
          <w:b/>
          <w:sz w:val="28"/>
          <w:u w:val="single"/>
        </w:rPr>
      </w:pPr>
      <w:r>
        <w:rPr>
          <w:rFonts w:hint="eastAsia"/>
          <w:b/>
          <w:sz w:val="28"/>
        </w:rPr>
        <w:t>启封时间：</w:t>
      </w:r>
      <w:r>
        <w:rPr>
          <w:rFonts w:hint="eastAsia"/>
          <w:b/>
          <w:sz w:val="28"/>
          <w:u w:val="single"/>
        </w:rPr>
        <w:t>在</w:t>
      </w:r>
      <w:r>
        <w:rPr>
          <w:b/>
          <w:sz w:val="28"/>
          <w:u w:val="single"/>
        </w:rPr>
        <w:t>20</w:t>
      </w:r>
      <w:r>
        <w:rPr>
          <w:rFonts w:hint="eastAsia"/>
          <w:b/>
          <w:sz w:val="28"/>
          <w:u w:val="single"/>
        </w:rPr>
        <w:t>年月日时分之前不得启封</w:t>
      </w:r>
    </w:p>
    <w:p w14:paraId="6812F45D">
      <w:pPr>
        <w:snapToGrid w:val="0"/>
        <w:spacing w:line="360" w:lineRule="auto"/>
        <w:ind w:right="-85" w:firstLine="4080" w:firstLineChars="1700"/>
        <w:rPr>
          <w:sz w:val="24"/>
        </w:rPr>
      </w:pPr>
    </w:p>
    <w:p w14:paraId="3A3573EB">
      <w:pPr>
        <w:snapToGrid w:val="0"/>
        <w:spacing w:line="360" w:lineRule="auto"/>
        <w:ind w:right="-85" w:firstLine="645"/>
        <w:jc w:val="center"/>
        <w:rPr>
          <w:sz w:val="24"/>
        </w:rPr>
      </w:pPr>
      <w:r>
        <w:rPr>
          <w:rFonts w:hint="eastAsia"/>
          <w:sz w:val="24"/>
        </w:rPr>
        <w:t>年月日</w:t>
      </w:r>
    </w:p>
    <w:p w14:paraId="2FACD9EF">
      <w:pPr>
        <w:snapToGrid w:val="0"/>
        <w:spacing w:line="360" w:lineRule="auto"/>
        <w:ind w:right="-85"/>
        <w:outlineLvl w:val="1"/>
        <w:rPr>
          <w:sz w:val="24"/>
          <w:u w:val="single"/>
        </w:rPr>
      </w:pPr>
    </w:p>
    <w:p w14:paraId="15317E51">
      <w:pPr>
        <w:snapToGrid w:val="0"/>
        <w:spacing w:before="120" w:beforeLines="50" w:line="312" w:lineRule="auto"/>
        <w:rPr>
          <w:b/>
          <w:sz w:val="32"/>
        </w:rPr>
      </w:pPr>
    </w:p>
    <w:p w14:paraId="26C7B0C2">
      <w:pPr>
        <w:snapToGrid w:val="0"/>
        <w:spacing w:before="120" w:beforeLines="50" w:line="312" w:lineRule="auto"/>
        <w:rPr>
          <w:b/>
          <w:sz w:val="32"/>
        </w:rPr>
      </w:pPr>
    </w:p>
    <w:p w14:paraId="55D4D951">
      <w:pPr>
        <w:snapToGrid w:val="0"/>
        <w:spacing w:before="120" w:beforeLines="50" w:line="312" w:lineRule="auto"/>
        <w:rPr>
          <w:b/>
          <w:sz w:val="32"/>
        </w:rPr>
      </w:pPr>
    </w:p>
    <w:p w14:paraId="61A1E645">
      <w:pPr>
        <w:snapToGrid w:val="0"/>
        <w:spacing w:before="120" w:beforeLines="50" w:line="312" w:lineRule="auto"/>
        <w:rPr>
          <w:b/>
          <w:sz w:val="32"/>
        </w:rPr>
      </w:pPr>
    </w:p>
    <w:p w14:paraId="1B0BC9D9">
      <w:pPr>
        <w:snapToGrid w:val="0"/>
        <w:spacing w:before="120" w:beforeLines="50" w:line="312" w:lineRule="auto"/>
        <w:rPr>
          <w:b/>
          <w:sz w:val="32"/>
        </w:rPr>
      </w:pPr>
    </w:p>
    <w:p w14:paraId="2E4B4913">
      <w:pPr>
        <w:snapToGrid w:val="0"/>
        <w:spacing w:before="120" w:beforeLines="50" w:line="312" w:lineRule="auto"/>
        <w:rPr>
          <w:b/>
          <w:sz w:val="32"/>
        </w:rPr>
      </w:pPr>
    </w:p>
    <w:p w14:paraId="193F1D12">
      <w:pPr>
        <w:spacing w:after="120"/>
        <w:rPr>
          <w:rFonts w:hAnsi="Calibri"/>
          <w:kern w:val="0"/>
        </w:rPr>
      </w:pPr>
    </w:p>
    <w:p w14:paraId="254AF3BD">
      <w:pPr>
        <w:snapToGrid w:val="0"/>
        <w:spacing w:before="120" w:beforeLines="50" w:line="312" w:lineRule="auto"/>
        <w:rPr>
          <w:b/>
          <w:sz w:val="28"/>
          <w:szCs w:val="28"/>
        </w:rPr>
      </w:pPr>
    </w:p>
    <w:p w14:paraId="477555FA">
      <w:pPr>
        <w:snapToGrid w:val="0"/>
        <w:spacing w:before="120" w:beforeLines="50" w:line="312" w:lineRule="auto"/>
        <w:rPr>
          <w:b/>
          <w:sz w:val="28"/>
          <w:szCs w:val="28"/>
        </w:rPr>
      </w:pPr>
    </w:p>
    <w:p w14:paraId="7B703A1F">
      <w:pPr>
        <w:snapToGrid w:val="0"/>
        <w:spacing w:before="120" w:beforeLines="50" w:line="312" w:lineRule="auto"/>
        <w:rPr>
          <w:b/>
          <w:sz w:val="28"/>
          <w:szCs w:val="28"/>
        </w:rPr>
      </w:pPr>
      <w:r>
        <w:rPr>
          <w:rFonts w:hint="eastAsia"/>
          <w:b/>
          <w:sz w:val="28"/>
          <w:szCs w:val="28"/>
        </w:rPr>
        <w:t>二、</w:t>
      </w:r>
    </w:p>
    <w:p w14:paraId="1B72C375">
      <w:pPr>
        <w:snapToGrid w:val="0"/>
        <w:spacing w:before="120" w:beforeLines="50" w:line="312" w:lineRule="auto"/>
        <w:ind w:firstLine="3678" w:firstLineChars="1145"/>
        <w:rPr>
          <w:b/>
          <w:sz w:val="32"/>
        </w:rPr>
      </w:pPr>
      <w:r>
        <w:rPr>
          <w:rFonts w:hint="eastAsia"/>
          <w:b/>
          <w:sz w:val="32"/>
        </w:rPr>
        <w:t>开标一览表</w:t>
      </w:r>
    </w:p>
    <w:p w14:paraId="1CC10D4A">
      <w:pPr>
        <w:spacing w:line="360" w:lineRule="auto"/>
        <w:rPr>
          <w:b/>
          <w:sz w:val="24"/>
          <w:szCs w:val="24"/>
        </w:rPr>
      </w:pPr>
    </w:p>
    <w:p w14:paraId="352782AF">
      <w:pPr>
        <w:snapToGrid w:val="0"/>
        <w:spacing w:before="50" w:after="50"/>
      </w:pPr>
      <w:r>
        <w:rPr>
          <w:rFonts w:hint="eastAsia"/>
        </w:rPr>
        <w:t>项目名称：</w:t>
      </w:r>
    </w:p>
    <w:p w14:paraId="47CD5342">
      <w:pPr>
        <w:snapToGrid w:val="0"/>
        <w:spacing w:before="50" w:after="50"/>
      </w:pPr>
      <w:r>
        <w:rPr>
          <w:rFonts w:hint="eastAsia"/>
        </w:rPr>
        <w:t>项目编号：</w:t>
      </w: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004"/>
        <w:gridCol w:w="2182"/>
        <w:gridCol w:w="4153"/>
        <w:gridCol w:w="2224"/>
      </w:tblGrid>
      <w:tr w14:paraId="2E2A43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495" w:hRule="atLeast"/>
          <w:jc w:val="center"/>
        </w:trPr>
        <w:tc>
          <w:tcPr>
            <w:tcW w:w="1004" w:type="dxa"/>
            <w:tcBorders>
              <w:top w:val="single" w:color="auto" w:sz="4" w:space="0"/>
              <w:left w:val="single" w:color="auto" w:sz="4" w:space="0"/>
              <w:bottom w:val="single" w:color="auto" w:sz="6" w:space="0"/>
              <w:right w:val="single" w:color="auto" w:sz="4" w:space="0"/>
            </w:tcBorders>
            <w:vAlign w:val="center"/>
          </w:tcPr>
          <w:p w14:paraId="35B7DA93">
            <w:pPr>
              <w:jc w:val="center"/>
              <w:rPr>
                <w:rFonts w:ascii="宋体"/>
                <w:b/>
                <w:szCs w:val="21"/>
              </w:rPr>
            </w:pPr>
            <w:r>
              <w:rPr>
                <w:rFonts w:hint="eastAsia" w:ascii="宋体" w:hAnsi="宋体"/>
                <w:b/>
                <w:szCs w:val="21"/>
              </w:rPr>
              <w:t>序号</w:t>
            </w:r>
          </w:p>
        </w:tc>
        <w:tc>
          <w:tcPr>
            <w:tcW w:w="2182" w:type="dxa"/>
            <w:tcBorders>
              <w:top w:val="single" w:color="auto" w:sz="4" w:space="0"/>
              <w:left w:val="single" w:color="auto" w:sz="4" w:space="0"/>
              <w:bottom w:val="single" w:color="auto" w:sz="6" w:space="0"/>
              <w:right w:val="single" w:color="auto" w:sz="4" w:space="0"/>
            </w:tcBorders>
            <w:vAlign w:val="center"/>
          </w:tcPr>
          <w:p w14:paraId="6948FE7C">
            <w:pPr>
              <w:ind w:left="424" w:leftChars="202"/>
              <w:jc w:val="center"/>
              <w:rPr>
                <w:rFonts w:ascii="宋体"/>
                <w:b/>
                <w:szCs w:val="21"/>
              </w:rPr>
            </w:pPr>
            <w:r>
              <w:rPr>
                <w:rFonts w:hint="eastAsia" w:ascii="宋体" w:hAnsi="宋体"/>
                <w:b/>
                <w:szCs w:val="21"/>
              </w:rPr>
              <w:t>名称</w:t>
            </w:r>
          </w:p>
        </w:tc>
        <w:tc>
          <w:tcPr>
            <w:tcW w:w="4153" w:type="dxa"/>
            <w:tcBorders>
              <w:top w:val="single" w:color="auto" w:sz="4" w:space="0"/>
              <w:left w:val="single" w:color="auto" w:sz="4" w:space="0"/>
              <w:bottom w:val="single" w:color="auto" w:sz="6" w:space="0"/>
              <w:right w:val="single" w:color="auto" w:sz="4" w:space="0"/>
            </w:tcBorders>
            <w:vAlign w:val="center"/>
          </w:tcPr>
          <w:p w14:paraId="3057C705">
            <w:pPr>
              <w:jc w:val="center"/>
              <w:rPr>
                <w:rFonts w:ascii="宋体"/>
                <w:b/>
                <w:szCs w:val="21"/>
              </w:rPr>
            </w:pPr>
            <w:r>
              <w:rPr>
                <w:rFonts w:hint="eastAsia" w:ascii="宋体" w:hAnsi="宋体" w:eastAsia="宋体" w:cs="宋体"/>
                <w:b/>
                <w:bCs/>
              </w:rPr>
              <w:t>报价（价格的折扣率）</w:t>
            </w:r>
          </w:p>
        </w:tc>
        <w:tc>
          <w:tcPr>
            <w:tcW w:w="2224" w:type="dxa"/>
            <w:tcBorders>
              <w:top w:val="single" w:color="auto" w:sz="4" w:space="0"/>
              <w:left w:val="single" w:color="auto" w:sz="4" w:space="0"/>
              <w:bottom w:val="single" w:color="auto" w:sz="6" w:space="0"/>
              <w:right w:val="single" w:color="auto" w:sz="4" w:space="0"/>
            </w:tcBorders>
            <w:vAlign w:val="center"/>
          </w:tcPr>
          <w:p w14:paraId="327ADAD7">
            <w:pPr>
              <w:jc w:val="center"/>
              <w:rPr>
                <w:rFonts w:hint="eastAsia" w:ascii="宋体" w:eastAsia="宋体"/>
                <w:b/>
                <w:szCs w:val="21"/>
                <w:lang w:eastAsia="zh-CN"/>
              </w:rPr>
            </w:pPr>
            <w:r>
              <w:rPr>
                <w:rFonts w:hint="eastAsia" w:ascii="宋体"/>
                <w:b/>
                <w:szCs w:val="21"/>
                <w:lang w:val="en-US" w:eastAsia="zh-CN"/>
              </w:rPr>
              <w:t>交货期</w:t>
            </w:r>
          </w:p>
        </w:tc>
      </w:tr>
      <w:tr w14:paraId="234588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855" w:hRule="atLeast"/>
          <w:jc w:val="center"/>
        </w:trPr>
        <w:tc>
          <w:tcPr>
            <w:tcW w:w="1004" w:type="dxa"/>
            <w:tcBorders>
              <w:top w:val="single" w:color="auto" w:sz="4" w:space="0"/>
              <w:left w:val="single" w:color="auto" w:sz="4" w:space="0"/>
              <w:bottom w:val="single" w:color="auto" w:sz="6" w:space="0"/>
              <w:right w:val="single" w:color="auto" w:sz="4" w:space="0"/>
            </w:tcBorders>
            <w:vAlign w:val="center"/>
          </w:tcPr>
          <w:p w14:paraId="2671ED1B">
            <w:pPr>
              <w:jc w:val="center"/>
              <w:rPr>
                <w:rFonts w:hint="eastAsia" w:ascii="宋体" w:hAnsi="宋体"/>
                <w:b/>
                <w:szCs w:val="21"/>
              </w:rPr>
            </w:pPr>
          </w:p>
        </w:tc>
        <w:tc>
          <w:tcPr>
            <w:tcW w:w="2182" w:type="dxa"/>
            <w:tcBorders>
              <w:top w:val="single" w:color="auto" w:sz="4" w:space="0"/>
              <w:left w:val="single" w:color="auto" w:sz="4" w:space="0"/>
              <w:bottom w:val="single" w:color="auto" w:sz="6" w:space="0"/>
              <w:right w:val="single" w:color="auto" w:sz="4" w:space="0"/>
            </w:tcBorders>
            <w:vAlign w:val="center"/>
          </w:tcPr>
          <w:p w14:paraId="7BA1E851">
            <w:pPr>
              <w:ind w:left="424" w:leftChars="202"/>
              <w:jc w:val="center"/>
              <w:rPr>
                <w:rFonts w:hint="eastAsia" w:ascii="宋体" w:hAnsi="宋体"/>
                <w:b/>
                <w:szCs w:val="21"/>
              </w:rPr>
            </w:pPr>
          </w:p>
        </w:tc>
        <w:tc>
          <w:tcPr>
            <w:tcW w:w="4153" w:type="dxa"/>
            <w:tcBorders>
              <w:top w:val="single" w:color="auto" w:sz="4" w:space="0"/>
              <w:left w:val="single" w:color="auto" w:sz="4" w:space="0"/>
              <w:bottom w:val="single" w:color="auto" w:sz="6" w:space="0"/>
              <w:right w:val="single" w:color="auto" w:sz="4" w:space="0"/>
            </w:tcBorders>
            <w:vAlign w:val="center"/>
          </w:tcPr>
          <w:p w14:paraId="0D5A5E85">
            <w:pPr>
              <w:jc w:val="center"/>
              <w:rPr>
                <w:rFonts w:hint="eastAsia" w:ascii="宋体" w:hAnsi="宋体"/>
                <w:b/>
                <w:szCs w:val="21"/>
              </w:rPr>
            </w:pPr>
          </w:p>
        </w:tc>
        <w:tc>
          <w:tcPr>
            <w:tcW w:w="2224" w:type="dxa"/>
            <w:tcBorders>
              <w:top w:val="single" w:color="auto" w:sz="4" w:space="0"/>
              <w:left w:val="single" w:color="auto" w:sz="4" w:space="0"/>
              <w:bottom w:val="single" w:color="auto" w:sz="6" w:space="0"/>
              <w:right w:val="single" w:color="auto" w:sz="4" w:space="0"/>
            </w:tcBorders>
            <w:vAlign w:val="center"/>
          </w:tcPr>
          <w:p w14:paraId="5EE8C7CA">
            <w:pPr>
              <w:jc w:val="center"/>
              <w:rPr>
                <w:rFonts w:ascii="宋体"/>
                <w:b/>
                <w:szCs w:val="21"/>
              </w:rPr>
            </w:pPr>
          </w:p>
        </w:tc>
      </w:tr>
    </w:tbl>
    <w:p w14:paraId="048FFFF1">
      <w:pPr>
        <w:snapToGrid w:val="0"/>
        <w:spacing w:line="360" w:lineRule="auto"/>
        <w:ind w:right="-340"/>
      </w:pPr>
    </w:p>
    <w:p w14:paraId="20679314">
      <w:pPr>
        <w:spacing w:line="360" w:lineRule="auto"/>
        <w:rPr>
          <w:rFonts w:ascii="宋体" w:hAnsi="宋体" w:eastAsia="宋体" w:cs="宋体"/>
          <w:bCs/>
          <w:szCs w:val="21"/>
        </w:rPr>
      </w:pPr>
      <w:r>
        <w:rPr>
          <w:rFonts w:hint="eastAsia" w:ascii="宋体" w:hAnsi="宋体" w:eastAsia="宋体" w:cs="宋体"/>
          <w:bCs/>
          <w:szCs w:val="21"/>
        </w:rPr>
        <w:t>注：1.报价：</w:t>
      </w:r>
      <w:r>
        <w:rPr>
          <w:rFonts w:hint="eastAsia" w:hAnsi="宋体"/>
          <w:b/>
          <w:sz w:val="21"/>
        </w:rPr>
        <w:t>应包含所有相关费用，包括加工材料、货物、包装、运输、</w:t>
      </w:r>
      <w:r>
        <w:rPr>
          <w:rFonts w:hint="eastAsia" w:hAnsi="宋体"/>
          <w:b/>
          <w:color w:val="auto"/>
          <w:sz w:val="21"/>
          <w:lang w:eastAsia="zh-CN"/>
        </w:rPr>
        <w:t>上架</w:t>
      </w:r>
      <w:r>
        <w:rPr>
          <w:rFonts w:hint="eastAsia" w:hAnsi="宋体"/>
          <w:b/>
          <w:sz w:val="21"/>
          <w:lang w:eastAsia="zh-CN"/>
        </w:rPr>
        <w:t>、</w:t>
      </w:r>
      <w:r>
        <w:rPr>
          <w:rFonts w:hint="eastAsia" w:hAnsi="宋体"/>
          <w:b/>
          <w:sz w:val="21"/>
        </w:rPr>
        <w:t>税金和售后服务等费用</w:t>
      </w:r>
      <w:r>
        <w:rPr>
          <w:rFonts w:hint="eastAsia" w:ascii="宋体" w:hAnsi="宋体" w:eastAsia="宋体" w:cs="宋体"/>
          <w:bCs/>
          <w:szCs w:val="21"/>
        </w:rPr>
        <w:t>。</w:t>
      </w:r>
    </w:p>
    <w:p w14:paraId="569A1689">
      <w:pPr>
        <w:spacing w:line="360" w:lineRule="auto"/>
        <w:ind w:firstLine="420" w:firstLineChars="200"/>
        <w:rPr>
          <w:rFonts w:ascii="宋体" w:hAnsi="宋体" w:eastAsia="宋体" w:cs="宋体"/>
          <w:bCs/>
          <w:szCs w:val="21"/>
        </w:rPr>
      </w:pPr>
      <w:r>
        <w:rPr>
          <w:rFonts w:hint="eastAsia" w:ascii="宋体" w:hAnsi="宋体" w:eastAsia="宋体" w:cs="宋体"/>
          <w:bCs/>
          <w:szCs w:val="21"/>
        </w:rPr>
        <w:t>2.图书购置费：包含加工材料，运至合同指定地点的运输费、装卸费、保险费、考察费、售后服务费。</w:t>
      </w:r>
    </w:p>
    <w:p w14:paraId="626BA350">
      <w:pPr>
        <w:spacing w:line="360" w:lineRule="auto"/>
        <w:ind w:firstLine="420" w:firstLineChars="200"/>
        <w:rPr>
          <w:rFonts w:ascii="宋体" w:hAnsi="宋体" w:eastAsia="宋体" w:cs="宋体"/>
          <w:bCs/>
          <w:szCs w:val="21"/>
        </w:rPr>
      </w:pPr>
      <w:r>
        <w:rPr>
          <w:rFonts w:hint="eastAsia" w:ascii="宋体" w:hAnsi="宋体" w:eastAsia="宋体" w:cs="宋体"/>
          <w:bCs/>
          <w:szCs w:val="21"/>
        </w:rPr>
        <w:t>3.售后服务费：包含每种图书的手工加工费（含加磁条、贴条码、贴书标、加盖馆藏章等），数据加工费（按每种计价）。</w:t>
      </w:r>
    </w:p>
    <w:p w14:paraId="02EA883B">
      <w:pPr>
        <w:spacing w:line="360" w:lineRule="auto"/>
        <w:ind w:firstLine="420" w:firstLineChars="200"/>
        <w:rPr>
          <w:rFonts w:ascii="宋体" w:hAnsi="宋体" w:eastAsia="宋体" w:cs="宋体"/>
          <w:bCs/>
          <w:szCs w:val="21"/>
        </w:rPr>
      </w:pPr>
      <w:r>
        <w:rPr>
          <w:rFonts w:hint="eastAsia" w:ascii="宋体" w:hAnsi="宋体" w:eastAsia="宋体" w:cs="宋体"/>
          <w:bCs/>
          <w:szCs w:val="21"/>
        </w:rPr>
        <w:t>4.交货期以“日历日”为单位，包括法定节假日。</w:t>
      </w:r>
    </w:p>
    <w:p w14:paraId="46ACC2DB">
      <w:pPr>
        <w:snapToGrid w:val="0"/>
        <w:spacing w:line="360" w:lineRule="auto"/>
        <w:ind w:right="-340"/>
      </w:pPr>
      <w:r>
        <w:rPr>
          <w:rFonts w:hint="eastAsia" w:ascii="宋体" w:hAnsi="宋体" w:eastAsia="宋体" w:cs="宋体"/>
          <w:bCs/>
          <w:szCs w:val="21"/>
        </w:rPr>
        <w:t xml:space="preserve">    5.投标单位如果需要对报价或其它内容加以说明，可在备注一栏中填写。</w:t>
      </w:r>
    </w:p>
    <w:p w14:paraId="6EA3BF2C">
      <w:pPr>
        <w:snapToGrid w:val="0"/>
        <w:spacing w:line="360" w:lineRule="auto"/>
        <w:ind w:right="-340"/>
        <w:rPr>
          <w:rFonts w:hint="eastAsia"/>
        </w:rPr>
      </w:pPr>
    </w:p>
    <w:p w14:paraId="3C86E160">
      <w:pPr>
        <w:snapToGrid w:val="0"/>
        <w:spacing w:line="360" w:lineRule="auto"/>
        <w:ind w:right="-340"/>
        <w:rPr>
          <w:rFonts w:hint="eastAsia"/>
        </w:rPr>
      </w:pPr>
    </w:p>
    <w:p w14:paraId="7CF2233E">
      <w:pPr>
        <w:snapToGrid w:val="0"/>
        <w:spacing w:line="360" w:lineRule="auto"/>
        <w:ind w:right="-340"/>
        <w:rPr>
          <w:rFonts w:hint="eastAsia"/>
        </w:rPr>
      </w:pPr>
    </w:p>
    <w:p w14:paraId="6130360E">
      <w:pPr>
        <w:snapToGrid w:val="0"/>
        <w:spacing w:line="360" w:lineRule="auto"/>
        <w:ind w:right="-340" w:firstLine="420" w:firstLineChars="200"/>
      </w:pPr>
      <w:r>
        <w:rPr>
          <w:rFonts w:hint="eastAsia"/>
        </w:rPr>
        <w:t>投标人名称（盖章）：</w:t>
      </w:r>
      <w:r>
        <w:rPr>
          <w:rFonts w:hint="eastAsia"/>
          <w:lang w:val="en-US" w:eastAsia="zh-CN"/>
        </w:rPr>
        <w:t xml:space="preserve">                                               </w:t>
      </w:r>
      <w:r>
        <w:rPr>
          <w:rFonts w:hint="eastAsia"/>
        </w:rPr>
        <w:t>日期：年月日</w:t>
      </w:r>
    </w:p>
    <w:p w14:paraId="1196B318">
      <w:pPr>
        <w:snapToGrid w:val="0"/>
        <w:spacing w:before="50" w:after="50"/>
        <w:rPr>
          <w:spacing w:val="20"/>
          <w:u w:val="single"/>
        </w:rPr>
      </w:pPr>
    </w:p>
    <w:p w14:paraId="5D616ACC">
      <w:pPr>
        <w:spacing w:after="120"/>
      </w:pPr>
    </w:p>
    <w:p w14:paraId="7D4AEE18">
      <w:pPr>
        <w:snapToGrid w:val="0"/>
        <w:spacing w:before="120" w:line="312" w:lineRule="auto"/>
        <w:ind w:right="-341"/>
        <w:jc w:val="center"/>
        <w:rPr>
          <w:b/>
          <w:sz w:val="32"/>
        </w:rPr>
      </w:pPr>
    </w:p>
    <w:p w14:paraId="3E9D14B1">
      <w:pPr>
        <w:snapToGrid w:val="0"/>
        <w:spacing w:before="120" w:line="312" w:lineRule="auto"/>
        <w:ind w:right="-341"/>
        <w:jc w:val="center"/>
        <w:rPr>
          <w:b/>
          <w:sz w:val="32"/>
        </w:rPr>
      </w:pPr>
    </w:p>
    <w:p w14:paraId="2B2F9B73">
      <w:pPr>
        <w:snapToGrid w:val="0"/>
        <w:spacing w:before="120" w:line="312" w:lineRule="auto"/>
        <w:ind w:right="-341"/>
        <w:rPr>
          <w:b/>
          <w:sz w:val="32"/>
        </w:rPr>
      </w:pPr>
    </w:p>
    <w:p w14:paraId="5C6B59C0">
      <w:pPr>
        <w:snapToGrid w:val="0"/>
        <w:spacing w:before="120" w:line="312" w:lineRule="auto"/>
        <w:ind w:right="-341"/>
        <w:jc w:val="center"/>
        <w:rPr>
          <w:b/>
          <w:sz w:val="32"/>
        </w:rPr>
      </w:pPr>
    </w:p>
    <w:p w14:paraId="1D5F05D3">
      <w:pPr>
        <w:snapToGrid w:val="0"/>
        <w:spacing w:before="120" w:line="312" w:lineRule="auto"/>
        <w:ind w:right="-341"/>
        <w:jc w:val="center"/>
        <w:rPr>
          <w:b/>
          <w:sz w:val="32"/>
        </w:rPr>
      </w:pPr>
    </w:p>
    <w:p w14:paraId="616F38C8">
      <w:pPr>
        <w:snapToGrid w:val="0"/>
        <w:spacing w:before="120" w:line="312" w:lineRule="auto"/>
        <w:ind w:right="-341"/>
        <w:jc w:val="center"/>
        <w:rPr>
          <w:b/>
          <w:sz w:val="32"/>
        </w:rPr>
      </w:pPr>
    </w:p>
    <w:p w14:paraId="499B4A7B">
      <w:pPr>
        <w:spacing w:after="120"/>
        <w:rPr>
          <w:rFonts w:ascii="Calibri" w:hAnsi="Calibri"/>
          <w:szCs w:val="24"/>
        </w:rPr>
      </w:pPr>
    </w:p>
    <w:p w14:paraId="03756887">
      <w:pPr>
        <w:pStyle w:val="26"/>
        <w:rPr>
          <w:rFonts w:ascii="Calibri" w:hAnsi="Calibri"/>
          <w:szCs w:val="24"/>
        </w:rPr>
      </w:pPr>
    </w:p>
    <w:p w14:paraId="3F531A92">
      <w:pPr>
        <w:snapToGrid w:val="0"/>
        <w:spacing w:before="120" w:line="312" w:lineRule="auto"/>
        <w:ind w:right="-341"/>
        <w:jc w:val="center"/>
        <w:rPr>
          <w:rFonts w:hint="eastAsia" w:ascii="Times New Roman" w:hAnsi="Times New Roman" w:eastAsia="宋体" w:cs="Times New Roman"/>
          <w:b/>
          <w:sz w:val="32"/>
        </w:rPr>
      </w:pPr>
    </w:p>
    <w:p w14:paraId="4187AD44">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14:paraId="1C36AB72">
      <w:pPr>
        <w:snapToGrid w:val="0"/>
        <w:rPr>
          <w:rFonts w:ascii="Times New Roman" w:hAnsi="Times New Roman" w:eastAsia="宋体" w:cs="Times New Roman"/>
          <w:b/>
          <w:sz w:val="28"/>
        </w:rPr>
      </w:pPr>
    </w:p>
    <w:p w14:paraId="1257392B">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项目名称：金额单位：人民币（元）</w:t>
      </w:r>
    </w:p>
    <w:p w14:paraId="60F78779">
      <w:pPr>
        <w:snapToGrid w:val="0"/>
        <w:spacing w:before="120"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tbl>
      <w:tblPr>
        <w:tblStyle w:val="61"/>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9"/>
        <w:gridCol w:w="2339"/>
        <w:gridCol w:w="1080"/>
        <w:gridCol w:w="1440"/>
        <w:gridCol w:w="10"/>
        <w:gridCol w:w="1430"/>
        <w:gridCol w:w="1262"/>
        <w:gridCol w:w="1440"/>
      </w:tblGrid>
      <w:tr w14:paraId="35A33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vAlign w:val="center"/>
          </w:tcPr>
          <w:p w14:paraId="0A259998">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序号</w:t>
            </w:r>
          </w:p>
        </w:tc>
        <w:tc>
          <w:tcPr>
            <w:tcW w:w="2339" w:type="dxa"/>
            <w:tcBorders>
              <w:top w:val="single" w:color="auto" w:sz="4" w:space="0"/>
              <w:left w:val="single" w:color="auto" w:sz="4" w:space="0"/>
              <w:bottom w:val="single" w:color="auto" w:sz="4" w:space="0"/>
              <w:right w:val="single" w:color="auto" w:sz="4" w:space="0"/>
            </w:tcBorders>
            <w:vAlign w:val="center"/>
          </w:tcPr>
          <w:p w14:paraId="24DB7E39">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117D306F">
            <w:pPr>
              <w:tabs>
                <w:tab w:val="left" w:pos="1418"/>
              </w:tabs>
              <w:snapToGrid w:val="0"/>
              <w:spacing w:before="50" w:after="50"/>
              <w:jc w:val="center"/>
              <w:rPr>
                <w:rFonts w:ascii="Times New Roman" w:hAnsi="Times New Roman" w:eastAsia="宋体" w:cs="Times New Roman"/>
                <w:spacing w:val="-20"/>
                <w:kern w:val="0"/>
              </w:rPr>
            </w:pPr>
          </w:p>
        </w:tc>
        <w:tc>
          <w:tcPr>
            <w:tcW w:w="1440" w:type="dxa"/>
            <w:tcBorders>
              <w:top w:val="single" w:color="auto" w:sz="4" w:space="0"/>
              <w:left w:val="single" w:color="auto" w:sz="4" w:space="0"/>
              <w:bottom w:val="single" w:color="auto" w:sz="4" w:space="0"/>
              <w:right w:val="single" w:color="auto" w:sz="4" w:space="0"/>
            </w:tcBorders>
            <w:vAlign w:val="center"/>
          </w:tcPr>
          <w:p w14:paraId="3FCB5D47">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04A36B1F">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vAlign w:val="center"/>
          </w:tcPr>
          <w:p w14:paraId="57E0DE9A">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单价</w:t>
            </w:r>
          </w:p>
        </w:tc>
        <w:tc>
          <w:tcPr>
            <w:tcW w:w="1440" w:type="dxa"/>
            <w:tcBorders>
              <w:top w:val="single" w:color="auto" w:sz="4" w:space="0"/>
              <w:left w:val="single" w:color="auto" w:sz="4" w:space="0"/>
              <w:bottom w:val="single" w:color="auto" w:sz="4" w:space="0"/>
            </w:tcBorders>
            <w:vAlign w:val="center"/>
          </w:tcPr>
          <w:p w14:paraId="508152FB">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合价</w:t>
            </w:r>
          </w:p>
        </w:tc>
      </w:tr>
      <w:tr w14:paraId="08435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76DE099D">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3A465015">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2C6B3D0A">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902A9C0">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0F0EC33">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3E126944">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1DDCECA1">
            <w:pPr>
              <w:tabs>
                <w:tab w:val="left" w:pos="1418"/>
              </w:tabs>
              <w:snapToGrid w:val="0"/>
              <w:spacing w:before="50" w:after="50"/>
              <w:jc w:val="center"/>
              <w:rPr>
                <w:rFonts w:ascii="Times New Roman" w:hAnsi="Times New Roman" w:eastAsia="宋体" w:cs="Times New Roman"/>
                <w:spacing w:val="20"/>
              </w:rPr>
            </w:pPr>
          </w:p>
        </w:tc>
      </w:tr>
      <w:tr w14:paraId="07993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7E2A81E1">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6952DC0C">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4CEBADF2">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C3EC417">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BF0EF7E">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DA8126B">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3139A137">
            <w:pPr>
              <w:tabs>
                <w:tab w:val="left" w:pos="1418"/>
              </w:tabs>
              <w:snapToGrid w:val="0"/>
              <w:spacing w:before="50" w:after="50"/>
              <w:jc w:val="center"/>
              <w:rPr>
                <w:rFonts w:ascii="Times New Roman" w:hAnsi="Times New Roman" w:eastAsia="宋体" w:cs="Times New Roman"/>
                <w:spacing w:val="20"/>
              </w:rPr>
            </w:pPr>
          </w:p>
        </w:tc>
      </w:tr>
      <w:tr w14:paraId="028B0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7CA4B6B8">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0A7A7F45">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5715A6AC">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8F258AA">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B641340">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822FFBD">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3582737A">
            <w:pPr>
              <w:tabs>
                <w:tab w:val="left" w:pos="1418"/>
              </w:tabs>
              <w:snapToGrid w:val="0"/>
              <w:spacing w:before="50" w:after="50"/>
              <w:jc w:val="center"/>
              <w:rPr>
                <w:rFonts w:ascii="Times New Roman" w:hAnsi="Times New Roman" w:eastAsia="宋体" w:cs="Times New Roman"/>
                <w:spacing w:val="20"/>
              </w:rPr>
            </w:pPr>
          </w:p>
        </w:tc>
      </w:tr>
      <w:tr w14:paraId="00587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7AC6CB59">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5AC16106">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76802D43">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D0D1AE5">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D96BE0E">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641BA2AC">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49F855D5">
            <w:pPr>
              <w:tabs>
                <w:tab w:val="left" w:pos="1418"/>
              </w:tabs>
              <w:snapToGrid w:val="0"/>
              <w:spacing w:before="50" w:after="50"/>
              <w:jc w:val="center"/>
              <w:rPr>
                <w:rFonts w:ascii="Times New Roman" w:hAnsi="Times New Roman" w:eastAsia="宋体" w:cs="Times New Roman"/>
                <w:spacing w:val="20"/>
              </w:rPr>
            </w:pPr>
          </w:p>
        </w:tc>
      </w:tr>
      <w:tr w14:paraId="25E9F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44AB7DA4">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26899727">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2E3F8F2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70E0E852">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B3F1100">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C5E8E26">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2DB4E73D">
            <w:pPr>
              <w:tabs>
                <w:tab w:val="left" w:pos="1418"/>
              </w:tabs>
              <w:snapToGrid w:val="0"/>
              <w:spacing w:before="50" w:after="50"/>
              <w:jc w:val="center"/>
              <w:rPr>
                <w:rFonts w:ascii="Times New Roman" w:hAnsi="Times New Roman" w:eastAsia="宋体" w:cs="Times New Roman"/>
                <w:spacing w:val="20"/>
              </w:rPr>
            </w:pPr>
          </w:p>
        </w:tc>
      </w:tr>
      <w:tr w14:paraId="48CA0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4C4F0701">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7A796D03">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55F3667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0E94B14">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4379898">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5F467F6A">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390715AE">
            <w:pPr>
              <w:tabs>
                <w:tab w:val="left" w:pos="1418"/>
              </w:tabs>
              <w:snapToGrid w:val="0"/>
              <w:spacing w:before="50" w:after="50"/>
              <w:jc w:val="center"/>
              <w:rPr>
                <w:rFonts w:ascii="Times New Roman" w:hAnsi="Times New Roman" w:eastAsia="宋体" w:cs="Times New Roman"/>
                <w:spacing w:val="20"/>
              </w:rPr>
            </w:pPr>
          </w:p>
        </w:tc>
      </w:tr>
      <w:tr w14:paraId="2AD82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5E53FFD6">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3ACE649F">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23F6A1A8">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50926778">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31B8A947">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12DBA9F">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05581A5E">
            <w:pPr>
              <w:tabs>
                <w:tab w:val="left" w:pos="1418"/>
              </w:tabs>
              <w:snapToGrid w:val="0"/>
              <w:spacing w:before="50" w:after="50"/>
              <w:jc w:val="center"/>
              <w:rPr>
                <w:rFonts w:ascii="Times New Roman" w:hAnsi="Times New Roman" w:eastAsia="宋体" w:cs="Times New Roman"/>
                <w:spacing w:val="20"/>
              </w:rPr>
            </w:pPr>
          </w:p>
        </w:tc>
      </w:tr>
      <w:tr w14:paraId="52D69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39" w:type="dxa"/>
            <w:tcBorders>
              <w:top w:val="single" w:color="auto" w:sz="4" w:space="0"/>
              <w:bottom w:val="single" w:color="auto" w:sz="4" w:space="0"/>
              <w:right w:val="single" w:color="auto" w:sz="4" w:space="0"/>
            </w:tcBorders>
          </w:tcPr>
          <w:p w14:paraId="2551A923">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73A3667F">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46599700">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0D2D8FAB">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09777D7A">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4712BAC">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2D983E2B">
            <w:pPr>
              <w:tabs>
                <w:tab w:val="left" w:pos="1418"/>
              </w:tabs>
              <w:snapToGrid w:val="0"/>
              <w:spacing w:before="50" w:after="50"/>
              <w:jc w:val="center"/>
              <w:rPr>
                <w:rFonts w:ascii="Times New Roman" w:hAnsi="Times New Roman" w:eastAsia="宋体" w:cs="Times New Roman"/>
                <w:spacing w:val="20"/>
              </w:rPr>
            </w:pPr>
          </w:p>
        </w:tc>
      </w:tr>
      <w:tr w14:paraId="3AD9E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9" w:type="dxa"/>
            <w:tcBorders>
              <w:top w:val="single" w:color="auto" w:sz="4" w:space="0"/>
              <w:bottom w:val="single" w:color="auto" w:sz="4" w:space="0"/>
              <w:right w:val="single" w:color="auto" w:sz="4" w:space="0"/>
            </w:tcBorders>
          </w:tcPr>
          <w:p w14:paraId="73FCBF86">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33FCD3CC">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1080" w:type="dxa"/>
            <w:tcBorders>
              <w:top w:val="single" w:color="auto" w:sz="4" w:space="0"/>
              <w:left w:val="single" w:color="auto" w:sz="4" w:space="0"/>
              <w:bottom w:val="single" w:color="auto" w:sz="4" w:space="0"/>
              <w:right w:val="single" w:color="auto" w:sz="4" w:space="0"/>
            </w:tcBorders>
          </w:tcPr>
          <w:p w14:paraId="1EAE4D49">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62FC625B">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28335A9B">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02456B4A">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5CFA01D3">
            <w:pPr>
              <w:tabs>
                <w:tab w:val="left" w:pos="1418"/>
              </w:tabs>
              <w:snapToGrid w:val="0"/>
              <w:spacing w:before="50" w:after="50"/>
              <w:jc w:val="center"/>
              <w:rPr>
                <w:rFonts w:ascii="Times New Roman" w:hAnsi="Times New Roman" w:eastAsia="宋体" w:cs="Times New Roman"/>
                <w:spacing w:val="20"/>
              </w:rPr>
            </w:pPr>
          </w:p>
        </w:tc>
      </w:tr>
      <w:tr w14:paraId="38693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39" w:type="dxa"/>
            <w:tcBorders>
              <w:top w:val="single" w:color="auto" w:sz="4" w:space="0"/>
              <w:bottom w:val="single" w:color="auto" w:sz="4" w:space="0"/>
              <w:right w:val="single" w:color="auto" w:sz="4" w:space="0"/>
            </w:tcBorders>
          </w:tcPr>
          <w:p w14:paraId="54B3332F">
            <w:pPr>
              <w:tabs>
                <w:tab w:val="left" w:pos="1418"/>
              </w:tabs>
              <w:snapToGrid w:val="0"/>
              <w:spacing w:before="50" w:after="50"/>
              <w:jc w:val="center"/>
              <w:rPr>
                <w:rFonts w:ascii="Times New Roman" w:hAnsi="Times New Roman" w:eastAsia="宋体" w:cs="Times New Roman"/>
                <w:spacing w:val="20"/>
              </w:rPr>
            </w:pPr>
          </w:p>
        </w:tc>
        <w:tc>
          <w:tcPr>
            <w:tcW w:w="2339" w:type="dxa"/>
            <w:tcBorders>
              <w:top w:val="single" w:color="auto" w:sz="4" w:space="0"/>
              <w:left w:val="single" w:color="auto" w:sz="4" w:space="0"/>
              <w:bottom w:val="single" w:color="auto" w:sz="4" w:space="0"/>
              <w:right w:val="single" w:color="auto" w:sz="4" w:space="0"/>
            </w:tcBorders>
          </w:tcPr>
          <w:p w14:paraId="7235753B">
            <w:pPr>
              <w:tabs>
                <w:tab w:val="left" w:pos="1418"/>
              </w:tabs>
              <w:snapToGrid w:val="0"/>
              <w:spacing w:before="50" w:after="50"/>
              <w:jc w:val="center"/>
              <w:rPr>
                <w:rFonts w:ascii="Times New Roman" w:hAnsi="Times New Roman" w:eastAsia="宋体" w:cs="Times New Roman"/>
                <w:spacing w:val="20"/>
              </w:rPr>
            </w:pPr>
          </w:p>
        </w:tc>
        <w:tc>
          <w:tcPr>
            <w:tcW w:w="1080" w:type="dxa"/>
            <w:tcBorders>
              <w:top w:val="single" w:color="auto" w:sz="4" w:space="0"/>
              <w:left w:val="single" w:color="auto" w:sz="4" w:space="0"/>
              <w:bottom w:val="single" w:color="auto" w:sz="4" w:space="0"/>
              <w:right w:val="single" w:color="auto" w:sz="4" w:space="0"/>
            </w:tcBorders>
          </w:tcPr>
          <w:p w14:paraId="74F573B1">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right w:val="single" w:color="auto" w:sz="4" w:space="0"/>
            </w:tcBorders>
          </w:tcPr>
          <w:p w14:paraId="2B81DE47">
            <w:pPr>
              <w:tabs>
                <w:tab w:val="left" w:pos="1418"/>
              </w:tabs>
              <w:snapToGrid w:val="0"/>
              <w:spacing w:before="50" w:after="50"/>
              <w:jc w:val="center"/>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8FEE6EE">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51E39D2">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5DBFE223">
            <w:pPr>
              <w:tabs>
                <w:tab w:val="left" w:pos="1418"/>
              </w:tabs>
              <w:snapToGrid w:val="0"/>
              <w:spacing w:before="50" w:after="50"/>
              <w:jc w:val="center"/>
              <w:rPr>
                <w:rFonts w:ascii="Times New Roman" w:hAnsi="Times New Roman" w:eastAsia="宋体" w:cs="Times New Roman"/>
                <w:spacing w:val="20"/>
              </w:rPr>
            </w:pPr>
          </w:p>
        </w:tc>
      </w:tr>
      <w:tr w14:paraId="4FD44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14:paraId="77CC3949">
            <w:pPr>
              <w:tabs>
                <w:tab w:val="left" w:pos="1418"/>
              </w:tabs>
              <w:snapToGrid w:val="0"/>
              <w:spacing w:before="50" w:after="50"/>
              <w:jc w:val="center"/>
              <w:rPr>
                <w:rFonts w:ascii="Times New Roman" w:hAnsi="Times New Roman" w:eastAsia="宋体" w:cs="Times New Roman"/>
                <w:spacing w:val="20"/>
              </w:rPr>
            </w:pPr>
          </w:p>
        </w:tc>
      </w:tr>
      <w:tr w14:paraId="41DC7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344F767E">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31585174">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7A6AA09">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BA4D0F7">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21BBD7B9">
            <w:pPr>
              <w:tabs>
                <w:tab w:val="left" w:pos="1418"/>
              </w:tabs>
              <w:snapToGrid w:val="0"/>
              <w:spacing w:before="50" w:after="50"/>
              <w:jc w:val="center"/>
              <w:rPr>
                <w:rFonts w:ascii="Times New Roman" w:hAnsi="Times New Roman" w:eastAsia="宋体" w:cs="Times New Roman"/>
                <w:spacing w:val="20"/>
              </w:rPr>
            </w:pPr>
          </w:p>
        </w:tc>
      </w:tr>
      <w:tr w14:paraId="597FB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5E36C287">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6F93C069">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271755F">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E4541A3">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7FFEA95B">
            <w:pPr>
              <w:tabs>
                <w:tab w:val="left" w:pos="1418"/>
              </w:tabs>
              <w:snapToGrid w:val="0"/>
              <w:spacing w:before="50" w:after="50"/>
              <w:jc w:val="center"/>
              <w:rPr>
                <w:rFonts w:ascii="Times New Roman" w:hAnsi="Times New Roman" w:eastAsia="宋体" w:cs="Times New Roman"/>
                <w:spacing w:val="20"/>
              </w:rPr>
            </w:pPr>
          </w:p>
        </w:tc>
      </w:tr>
      <w:tr w14:paraId="157AA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39" w:type="dxa"/>
            <w:tcBorders>
              <w:top w:val="single" w:color="auto" w:sz="4" w:space="0"/>
              <w:bottom w:val="single" w:color="auto" w:sz="4" w:space="0"/>
              <w:right w:val="single" w:color="auto" w:sz="4" w:space="0"/>
            </w:tcBorders>
          </w:tcPr>
          <w:p w14:paraId="2B25E553">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7179E5CF">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F6F5085">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792B951A">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2335EBBB">
            <w:pPr>
              <w:tabs>
                <w:tab w:val="left" w:pos="1418"/>
              </w:tabs>
              <w:snapToGrid w:val="0"/>
              <w:spacing w:before="50" w:after="50"/>
              <w:jc w:val="center"/>
              <w:rPr>
                <w:rFonts w:ascii="Times New Roman" w:hAnsi="Times New Roman" w:eastAsia="宋体" w:cs="Times New Roman"/>
                <w:spacing w:val="20"/>
              </w:rPr>
            </w:pPr>
          </w:p>
        </w:tc>
      </w:tr>
      <w:tr w14:paraId="5F16A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39" w:type="dxa"/>
            <w:tcBorders>
              <w:top w:val="single" w:color="auto" w:sz="4" w:space="0"/>
              <w:bottom w:val="single" w:color="auto" w:sz="4" w:space="0"/>
              <w:right w:val="single" w:color="auto" w:sz="4" w:space="0"/>
            </w:tcBorders>
          </w:tcPr>
          <w:p w14:paraId="3129599E">
            <w:pPr>
              <w:tabs>
                <w:tab w:val="left" w:pos="1418"/>
              </w:tabs>
              <w:snapToGrid w:val="0"/>
              <w:spacing w:before="50" w:after="50"/>
              <w:jc w:val="center"/>
              <w:rPr>
                <w:rFonts w:ascii="Times New Roman" w:hAnsi="Times New Roman" w:eastAsia="宋体" w:cs="Times New Roman"/>
                <w:spacing w:val="20"/>
              </w:rPr>
            </w:pPr>
          </w:p>
        </w:tc>
        <w:tc>
          <w:tcPr>
            <w:tcW w:w="4859" w:type="dxa"/>
            <w:gridSpan w:val="3"/>
            <w:tcBorders>
              <w:top w:val="single" w:color="auto" w:sz="4" w:space="0"/>
              <w:left w:val="single" w:color="auto" w:sz="4" w:space="0"/>
              <w:bottom w:val="single" w:color="auto" w:sz="4" w:space="0"/>
              <w:right w:val="single" w:color="auto" w:sz="4" w:space="0"/>
            </w:tcBorders>
          </w:tcPr>
          <w:p w14:paraId="7A6076E9">
            <w:pPr>
              <w:tabs>
                <w:tab w:val="left" w:pos="1418"/>
              </w:tabs>
              <w:snapToGrid w:val="0"/>
              <w:spacing w:before="50" w:after="50"/>
              <w:rPr>
                <w:rFonts w:ascii="Times New Roman" w:hAnsi="Times New Roman" w:eastAsia="宋体" w:cs="Times New Roman"/>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6ACB965">
            <w:pPr>
              <w:tabs>
                <w:tab w:val="left" w:pos="1418"/>
              </w:tabs>
              <w:snapToGrid w:val="0"/>
              <w:spacing w:before="50" w:after="50"/>
              <w:jc w:val="center"/>
              <w:rPr>
                <w:rFonts w:ascii="Times New Roman" w:hAnsi="Times New Roman" w:eastAsia="宋体" w:cs="Times New Roman"/>
                <w:spacing w:val="20"/>
              </w:rPr>
            </w:pPr>
          </w:p>
        </w:tc>
        <w:tc>
          <w:tcPr>
            <w:tcW w:w="1262" w:type="dxa"/>
            <w:tcBorders>
              <w:top w:val="single" w:color="auto" w:sz="4" w:space="0"/>
              <w:left w:val="single" w:color="auto" w:sz="4" w:space="0"/>
              <w:bottom w:val="single" w:color="auto" w:sz="4" w:space="0"/>
              <w:right w:val="single" w:color="auto" w:sz="4" w:space="0"/>
            </w:tcBorders>
          </w:tcPr>
          <w:p w14:paraId="1AF67852">
            <w:pPr>
              <w:tabs>
                <w:tab w:val="left" w:pos="1418"/>
              </w:tabs>
              <w:snapToGrid w:val="0"/>
              <w:spacing w:before="50" w:after="50"/>
              <w:jc w:val="center"/>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72E3B0CB">
            <w:pPr>
              <w:tabs>
                <w:tab w:val="left" w:pos="1418"/>
              </w:tabs>
              <w:snapToGrid w:val="0"/>
              <w:spacing w:before="50" w:after="50"/>
              <w:jc w:val="center"/>
              <w:rPr>
                <w:rFonts w:ascii="Times New Roman" w:hAnsi="Times New Roman" w:eastAsia="宋体" w:cs="Times New Roman"/>
                <w:spacing w:val="20"/>
              </w:rPr>
            </w:pPr>
          </w:p>
        </w:tc>
      </w:tr>
      <w:tr w14:paraId="782B5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29867F6D">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5827F685">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6D1477C4">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3E4148E5">
            <w:pPr>
              <w:tabs>
                <w:tab w:val="left" w:pos="1418"/>
              </w:tabs>
              <w:snapToGrid w:val="0"/>
              <w:spacing w:before="50" w:after="50"/>
              <w:jc w:val="center"/>
              <w:rPr>
                <w:rFonts w:ascii="Times New Roman" w:hAnsi="Times New Roman" w:eastAsia="宋体" w:cs="Times New Roman"/>
                <w:spacing w:val="20"/>
              </w:rPr>
            </w:pPr>
          </w:p>
        </w:tc>
      </w:tr>
      <w:tr w14:paraId="453FE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9" w:type="dxa"/>
            <w:tcBorders>
              <w:top w:val="single" w:color="auto" w:sz="4" w:space="0"/>
              <w:bottom w:val="single" w:color="auto" w:sz="4" w:space="0"/>
              <w:right w:val="single" w:color="auto" w:sz="4" w:space="0"/>
            </w:tcBorders>
          </w:tcPr>
          <w:p w14:paraId="27BC48B1">
            <w:pPr>
              <w:tabs>
                <w:tab w:val="left" w:pos="1418"/>
              </w:tabs>
              <w:snapToGrid w:val="0"/>
              <w:spacing w:before="50" w:after="50"/>
              <w:jc w:val="center"/>
              <w:rPr>
                <w:rFonts w:ascii="Times New Roman" w:hAnsi="Times New Roman" w:eastAsia="宋体" w:cs="Times New Roman"/>
                <w:spacing w:val="20"/>
              </w:rPr>
            </w:pPr>
          </w:p>
        </w:tc>
        <w:tc>
          <w:tcPr>
            <w:tcW w:w="4869" w:type="dxa"/>
            <w:gridSpan w:val="4"/>
            <w:tcBorders>
              <w:top w:val="single" w:color="auto" w:sz="4" w:space="0"/>
              <w:left w:val="single" w:color="auto" w:sz="4" w:space="0"/>
              <w:bottom w:val="single" w:color="auto" w:sz="4" w:space="0"/>
              <w:right w:val="single" w:color="auto" w:sz="4" w:space="0"/>
            </w:tcBorders>
          </w:tcPr>
          <w:p w14:paraId="0A913FAC">
            <w:pPr>
              <w:tabs>
                <w:tab w:val="left" w:pos="1418"/>
              </w:tabs>
              <w:snapToGrid w:val="0"/>
              <w:spacing w:before="50" w:after="50"/>
              <w:rPr>
                <w:rFonts w:ascii="Times New Roman" w:hAnsi="Times New Roman" w:eastAsia="宋体" w:cs="Times New Roman"/>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6549C7D4">
            <w:pPr>
              <w:tabs>
                <w:tab w:val="left" w:pos="1418"/>
              </w:tabs>
              <w:snapToGrid w:val="0"/>
              <w:spacing w:before="50" w:after="50"/>
              <w:ind w:left="8"/>
              <w:rPr>
                <w:rFonts w:ascii="Times New Roman" w:hAnsi="Times New Roman" w:eastAsia="宋体" w:cs="Times New Roman"/>
                <w:spacing w:val="20"/>
              </w:rPr>
            </w:pPr>
          </w:p>
        </w:tc>
        <w:tc>
          <w:tcPr>
            <w:tcW w:w="1440" w:type="dxa"/>
            <w:tcBorders>
              <w:top w:val="single" w:color="auto" w:sz="4" w:space="0"/>
              <w:left w:val="single" w:color="auto" w:sz="4" w:space="0"/>
              <w:bottom w:val="single" w:color="auto" w:sz="4" w:space="0"/>
            </w:tcBorders>
          </w:tcPr>
          <w:p w14:paraId="10FFC6AC">
            <w:pPr>
              <w:tabs>
                <w:tab w:val="left" w:pos="1418"/>
              </w:tabs>
              <w:snapToGrid w:val="0"/>
              <w:spacing w:before="50" w:after="50"/>
              <w:jc w:val="center"/>
              <w:rPr>
                <w:rFonts w:ascii="Times New Roman" w:hAnsi="Times New Roman" w:eastAsia="宋体" w:cs="Times New Roman"/>
                <w:spacing w:val="20"/>
              </w:rPr>
            </w:pPr>
          </w:p>
        </w:tc>
      </w:tr>
      <w:tr w14:paraId="14DA3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bottom w:val="single" w:color="auto" w:sz="4" w:space="0"/>
            </w:tcBorders>
          </w:tcPr>
          <w:p w14:paraId="5DB580BC">
            <w:pPr>
              <w:tabs>
                <w:tab w:val="left" w:pos="1418"/>
              </w:tabs>
              <w:snapToGrid w:val="0"/>
              <w:spacing w:before="50" w:after="50"/>
              <w:jc w:val="both"/>
              <w:rPr>
                <w:rFonts w:ascii="宋体" w:hAnsi="宋体" w:eastAsia="宋体" w:cs="Times New Roman"/>
                <w:spacing w:val="20"/>
              </w:rPr>
            </w:pPr>
            <w:r>
              <w:rPr>
                <w:rFonts w:hint="eastAsia" w:ascii="宋体" w:hAnsi="宋体" w:eastAsia="宋体"/>
                <w:spacing w:val="20"/>
              </w:rPr>
              <w:t>合计（大写）</w:t>
            </w:r>
            <w:r>
              <w:rPr>
                <w:rFonts w:hint="eastAsia" w:ascii="宋体" w:hAnsi="宋体" w:eastAsia="宋体" w:cs="Times New Roman"/>
                <w:spacing w:val="20"/>
              </w:rPr>
              <w:tab/>
            </w:r>
          </w:p>
        </w:tc>
      </w:tr>
    </w:tbl>
    <w:p w14:paraId="31BA0B06">
      <w:pPr>
        <w:snapToGrid w:val="0"/>
        <w:rPr>
          <w:rFonts w:ascii="宋体" w:hAnsi="宋体" w:eastAsia="宋体" w:cs="Times New Roman"/>
        </w:rPr>
      </w:pPr>
    </w:p>
    <w:p w14:paraId="1AF782FD">
      <w:pPr>
        <w:snapToGrid w:val="0"/>
        <w:spacing w:before="50" w:after="50"/>
        <w:rPr>
          <w:rFonts w:ascii="宋体" w:hAnsi="宋体" w:eastAsia="宋体" w:cs="Times New Roman"/>
        </w:rPr>
      </w:pPr>
      <w:r>
        <w:rPr>
          <w:rFonts w:hint="eastAsia" w:ascii="宋体" w:hAnsi="宋体" w:eastAsia="宋体" w:cs="Times New Roman"/>
        </w:rPr>
        <w:t>投标人名称（盖章）：</w:t>
      </w:r>
    </w:p>
    <w:p w14:paraId="644536BA">
      <w:pPr>
        <w:snapToGrid w:val="0"/>
        <w:spacing w:before="50" w:after="50"/>
        <w:rPr>
          <w:rFonts w:ascii="宋体" w:hAnsi="宋体" w:eastAsia="宋体" w:cs="Times New Roman"/>
        </w:rPr>
      </w:pPr>
    </w:p>
    <w:p w14:paraId="165B1DF9">
      <w:pPr>
        <w:snapToGrid w:val="0"/>
        <w:spacing w:before="50" w:after="50"/>
        <w:rPr>
          <w:rFonts w:ascii="宋体" w:hAnsi="宋体" w:eastAsia="宋体" w:cs="Times New Roman"/>
        </w:rPr>
      </w:pPr>
    </w:p>
    <w:p w14:paraId="7EDC53E3">
      <w:pPr>
        <w:snapToGrid w:val="0"/>
        <w:spacing w:before="50" w:after="50"/>
        <w:rPr>
          <w:rFonts w:ascii="宋体" w:hAnsi="宋体" w:eastAsia="宋体" w:cs="Times New Roman"/>
          <w:spacing w:val="20"/>
          <w:u w:val="single"/>
        </w:rPr>
      </w:pPr>
      <w:r>
        <w:rPr>
          <w:rFonts w:hint="eastAsia" w:ascii="宋体" w:hAnsi="宋体" w:eastAsia="宋体" w:cs="Times New Roman"/>
          <w:spacing w:val="20"/>
        </w:rPr>
        <w:t>日期：</w:t>
      </w:r>
    </w:p>
    <w:p w14:paraId="15C84372">
      <w:pPr>
        <w:pStyle w:val="60"/>
      </w:pPr>
    </w:p>
    <w:p w14:paraId="0D734483">
      <w:pPr>
        <w:snapToGrid w:val="0"/>
        <w:spacing w:before="120" w:line="312" w:lineRule="auto"/>
        <w:ind w:right="-341"/>
        <w:jc w:val="center"/>
        <w:rPr>
          <w:rFonts w:hint="eastAsia"/>
          <w:b/>
          <w:sz w:val="32"/>
          <w:lang w:val="en-US" w:eastAsia="zh-CN"/>
        </w:rPr>
      </w:pPr>
    </w:p>
    <w:p w14:paraId="26D5CAC1">
      <w:pPr>
        <w:snapToGrid w:val="0"/>
        <w:spacing w:before="120" w:line="312" w:lineRule="auto"/>
        <w:ind w:right="-341"/>
        <w:jc w:val="center"/>
        <w:rPr>
          <w:rFonts w:hint="eastAsia"/>
          <w:b/>
          <w:sz w:val="32"/>
          <w:lang w:val="en-US" w:eastAsia="zh-CN"/>
        </w:rPr>
      </w:pPr>
    </w:p>
    <w:p w14:paraId="5B16558B">
      <w:pPr>
        <w:snapToGrid w:val="0"/>
        <w:spacing w:before="120" w:line="312" w:lineRule="auto"/>
        <w:ind w:right="-341"/>
        <w:jc w:val="center"/>
        <w:rPr>
          <w:rFonts w:hint="eastAsia"/>
          <w:b/>
          <w:sz w:val="32"/>
          <w:lang w:val="en-US" w:eastAsia="zh-CN"/>
        </w:rPr>
      </w:pPr>
    </w:p>
    <w:p w14:paraId="3D1A6F39">
      <w:pPr>
        <w:pStyle w:val="2"/>
        <w:rPr>
          <w:rFonts w:hint="eastAsia"/>
          <w:b/>
          <w:sz w:val="32"/>
          <w:lang w:val="en-US" w:eastAsia="zh-CN"/>
        </w:rPr>
      </w:pPr>
    </w:p>
    <w:p w14:paraId="5DC1652F">
      <w:pPr>
        <w:snapToGrid w:val="0"/>
        <w:spacing w:before="120" w:line="312" w:lineRule="auto"/>
        <w:ind w:right="-341"/>
        <w:rPr>
          <w:rFonts w:hint="eastAsia" w:ascii="宋体" w:hAnsi="宋体" w:cs="宋体"/>
          <w:b/>
          <w:kern w:val="0"/>
          <w:sz w:val="28"/>
          <w:szCs w:val="28"/>
        </w:rPr>
      </w:pPr>
      <w:r>
        <w:rPr>
          <w:rFonts w:hint="eastAsia"/>
          <w:b/>
          <w:sz w:val="28"/>
          <w:szCs w:val="28"/>
          <w:lang w:val="en-US" w:eastAsia="zh-CN"/>
        </w:rPr>
        <w:t>四</w:t>
      </w:r>
      <w:r>
        <w:rPr>
          <w:rFonts w:hint="eastAsia"/>
          <w:b/>
          <w:sz w:val="28"/>
          <w:szCs w:val="28"/>
        </w:rPr>
        <w:t>、</w:t>
      </w:r>
    </w:p>
    <w:p w14:paraId="622F06DE">
      <w:pPr>
        <w:snapToGrid w:val="0"/>
        <w:spacing w:line="360" w:lineRule="auto"/>
        <w:ind w:right="-341"/>
        <w:jc w:val="center"/>
        <w:rPr>
          <w:rFonts w:hint="eastAsia" w:ascii="宋体" w:hAnsi="宋体" w:cs="宋体"/>
          <w:b/>
          <w:kern w:val="0"/>
          <w:sz w:val="28"/>
          <w:szCs w:val="28"/>
        </w:rPr>
      </w:pPr>
    </w:p>
    <w:p w14:paraId="61553542">
      <w:pPr>
        <w:jc w:val="center"/>
        <w:rPr>
          <w:rFonts w:hint="eastAsia" w:ascii="宋体" w:hAnsi="宋体" w:eastAsia="宋体" w:cs="仿宋"/>
          <w:b/>
          <w:sz w:val="32"/>
          <w:szCs w:val="32"/>
        </w:rPr>
      </w:pPr>
      <w:r>
        <w:rPr>
          <w:rFonts w:hint="eastAsia" w:ascii="宋体" w:hAnsi="宋体" w:eastAsia="宋体" w:cs="仿宋"/>
          <w:b/>
          <w:sz w:val="32"/>
          <w:szCs w:val="32"/>
        </w:rPr>
        <w:t>中小企业声明函（货物）</w:t>
      </w:r>
    </w:p>
    <w:p w14:paraId="1513433E">
      <w:pPr>
        <w:ind w:firstLine="480" w:firstLineChars="200"/>
        <w:rPr>
          <w:rFonts w:hint="eastAsia" w:ascii="仿宋" w:hAnsi="仿宋" w:eastAsia="仿宋" w:cs="仿宋"/>
          <w:sz w:val="24"/>
          <w:szCs w:val="24"/>
        </w:rPr>
      </w:pPr>
    </w:p>
    <w:p w14:paraId="278F0656">
      <w:pPr>
        <w:spacing w:line="360" w:lineRule="auto"/>
        <w:ind w:firstLine="480" w:firstLineChars="200"/>
        <w:rPr>
          <w:rFonts w:hint="eastAsia" w:ascii="仿宋" w:hAnsi="仿宋" w:eastAsia="仿宋" w:cs="仿宋"/>
          <w:sz w:val="24"/>
          <w:szCs w:val="24"/>
        </w:rPr>
      </w:pPr>
    </w:p>
    <w:p w14:paraId="695E77F1">
      <w:pPr>
        <w:spacing w:line="360" w:lineRule="auto"/>
        <w:ind w:firstLine="420" w:firstLineChars="200"/>
        <w:rPr>
          <w:rFonts w:hint="eastAsia" w:ascii="宋体" w:hAnsi="宋体" w:eastAsia="宋体" w:cs="仿宋"/>
          <w:szCs w:val="21"/>
        </w:rPr>
      </w:pPr>
      <w:r>
        <w:rPr>
          <w:rFonts w:hint="eastAsia" w:ascii="宋体" w:hAnsi="宋体" w:eastAsia="宋体" w:cs="仿宋"/>
          <w:szCs w:val="21"/>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号）的规定，本公司参加（单位名称）的（项目名称）采购活动，提供的货物全部由符合政策要求的中小企业制造。相关企业（含联合体中的中小企业、签订分包意向协议的中小企业）的具体情况如下：</w:t>
      </w:r>
    </w:p>
    <w:p w14:paraId="62A0E314">
      <w:pPr>
        <w:spacing w:line="360" w:lineRule="auto"/>
        <w:ind w:firstLine="420" w:firstLineChars="200"/>
        <w:rPr>
          <w:rFonts w:hint="eastAsia" w:ascii="宋体" w:hAnsi="宋体" w:eastAsia="宋体" w:cs="仿宋"/>
          <w:szCs w:val="21"/>
        </w:rPr>
      </w:pPr>
      <w:r>
        <w:rPr>
          <w:rFonts w:hint="eastAsia" w:ascii="宋体" w:hAnsi="宋体" w:eastAsia="宋体" w:cs="仿宋"/>
          <w:szCs w:val="21"/>
        </w:rPr>
        <w:t>1. （标的名称），属于（采购文件中明确的所属行业）行业；制造商为（企业名称），从业人员人，营业收入为万元，资产总额为万元属于（中型企业、小型企业、微型企业）；</w:t>
      </w:r>
    </w:p>
    <w:p w14:paraId="1A6DFE9A">
      <w:pPr>
        <w:spacing w:line="360" w:lineRule="auto"/>
        <w:ind w:firstLine="420" w:firstLineChars="200"/>
        <w:rPr>
          <w:rFonts w:hint="eastAsia" w:ascii="宋体" w:hAnsi="宋体" w:eastAsia="宋体" w:cs="仿宋"/>
          <w:szCs w:val="21"/>
        </w:rPr>
      </w:pPr>
      <w:r>
        <w:rPr>
          <w:rFonts w:hint="eastAsia" w:ascii="宋体" w:hAnsi="宋体" w:eastAsia="宋体" w:cs="仿宋"/>
          <w:szCs w:val="21"/>
        </w:rPr>
        <w:t>2. （标的名称），属于（采购文件中明确的所属行业）行业；制造商为（企业名称），从业人员人，营业收入为万元，资产总额为万元，属于（中型企业、小型企业、微型企业）；</w:t>
      </w:r>
    </w:p>
    <w:p w14:paraId="67AC68E5">
      <w:pPr>
        <w:spacing w:line="360" w:lineRule="auto"/>
        <w:rPr>
          <w:rFonts w:hint="eastAsia" w:ascii="宋体" w:hAnsi="宋体" w:eastAsia="宋体" w:cs="仿宋"/>
          <w:szCs w:val="21"/>
        </w:rPr>
      </w:pPr>
      <w:r>
        <w:rPr>
          <w:rFonts w:hint="eastAsia" w:ascii="宋体" w:hAnsi="宋体" w:eastAsia="宋体" w:cs="仿宋"/>
          <w:szCs w:val="21"/>
        </w:rPr>
        <w:t>……</w:t>
      </w:r>
    </w:p>
    <w:p w14:paraId="2A992658">
      <w:pPr>
        <w:spacing w:line="360" w:lineRule="auto"/>
        <w:ind w:firstLine="735" w:firstLineChars="350"/>
        <w:rPr>
          <w:rFonts w:hint="eastAsia" w:ascii="宋体" w:hAnsi="宋体" w:eastAsia="宋体" w:cs="仿宋"/>
          <w:szCs w:val="21"/>
        </w:rPr>
      </w:pPr>
      <w:r>
        <w:rPr>
          <w:rFonts w:hint="eastAsia" w:ascii="宋体" w:hAnsi="宋体" w:eastAsia="宋体" w:cs="仿宋"/>
          <w:szCs w:val="21"/>
        </w:rPr>
        <w:t>以上企业，不属于大企业的分支机构，不存在控股股东为大企业的情形，也不存在与大企业的负责人为同一人的情形。</w:t>
      </w:r>
    </w:p>
    <w:p w14:paraId="50492F91">
      <w:pPr>
        <w:spacing w:line="360" w:lineRule="auto"/>
        <w:ind w:firstLine="420" w:firstLineChars="200"/>
        <w:rPr>
          <w:rFonts w:hint="eastAsia" w:ascii="宋体" w:hAnsi="宋体" w:eastAsia="宋体" w:cs="仿宋"/>
          <w:szCs w:val="21"/>
        </w:rPr>
      </w:pPr>
      <w:r>
        <w:rPr>
          <w:rFonts w:hint="eastAsia" w:ascii="宋体" w:hAnsi="宋体" w:eastAsia="宋体" w:cs="仿宋"/>
          <w:szCs w:val="21"/>
        </w:rPr>
        <w:t>本企业对上述声明内容的真实性负责。如有虚假，将依法承担相应责任。</w:t>
      </w:r>
    </w:p>
    <w:p w14:paraId="7313E804">
      <w:pPr>
        <w:spacing w:line="360" w:lineRule="auto"/>
        <w:rPr>
          <w:rFonts w:hint="eastAsia" w:ascii="宋体" w:hAnsi="宋体" w:eastAsia="宋体" w:cs="仿宋"/>
          <w:szCs w:val="21"/>
        </w:rPr>
      </w:pPr>
    </w:p>
    <w:p w14:paraId="7387BB6A">
      <w:pPr>
        <w:spacing w:line="360" w:lineRule="auto"/>
        <w:rPr>
          <w:rFonts w:hint="eastAsia" w:ascii="宋体" w:hAnsi="宋体" w:eastAsia="宋体" w:cs="仿宋"/>
          <w:szCs w:val="21"/>
        </w:rPr>
      </w:pPr>
    </w:p>
    <w:p w14:paraId="2E3E0307">
      <w:pPr>
        <w:spacing w:line="360" w:lineRule="auto"/>
        <w:ind w:firstLine="630" w:firstLineChars="300"/>
        <w:rPr>
          <w:rFonts w:hint="eastAsia" w:ascii="宋体" w:hAnsi="宋体" w:eastAsia="宋体" w:cs="仿宋"/>
          <w:szCs w:val="21"/>
        </w:rPr>
      </w:pPr>
      <w:r>
        <w:rPr>
          <w:rFonts w:hint="eastAsia" w:ascii="宋体" w:hAnsi="宋体" w:eastAsia="宋体" w:cs="仿宋"/>
          <w:szCs w:val="21"/>
        </w:rPr>
        <w:t>企业名称（盖章）：</w:t>
      </w:r>
    </w:p>
    <w:p w14:paraId="5B85F6D5">
      <w:pPr>
        <w:spacing w:line="360" w:lineRule="auto"/>
        <w:ind w:firstLine="630" w:firstLineChars="300"/>
        <w:rPr>
          <w:rFonts w:hint="eastAsia" w:ascii="宋体" w:hAnsi="宋体" w:eastAsia="宋体" w:cs="仿宋"/>
          <w:szCs w:val="21"/>
        </w:rPr>
      </w:pPr>
      <w:r>
        <w:rPr>
          <w:rFonts w:hint="eastAsia" w:ascii="宋体" w:hAnsi="宋体" w:eastAsia="宋体" w:cs="仿宋"/>
          <w:szCs w:val="21"/>
        </w:rPr>
        <w:t>日期：</w:t>
      </w:r>
    </w:p>
    <w:p w14:paraId="16C5F9F5">
      <w:pPr>
        <w:snapToGrid w:val="0"/>
        <w:spacing w:line="360" w:lineRule="auto"/>
        <w:ind w:right="-341"/>
        <w:rPr>
          <w:rFonts w:ascii="Times New Roman" w:hAnsi="Times New Roman" w:eastAsia="宋体" w:cs="Times New Roman"/>
        </w:rPr>
        <w:sectPr>
          <w:pgSz w:w="11906" w:h="16838"/>
          <w:pgMar w:top="1304" w:right="1531" w:bottom="1304" w:left="1531" w:header="1304" w:footer="1304" w:gutter="0"/>
          <w:cols w:space="720" w:num="1"/>
        </w:sectPr>
      </w:pPr>
    </w:p>
    <w:p w14:paraId="10B5E6F0">
      <w:pPr>
        <w:snapToGrid w:val="0"/>
        <w:spacing w:line="360" w:lineRule="auto"/>
        <w:ind w:right="-341"/>
      </w:pPr>
    </w:p>
    <w:p w14:paraId="236E32F9">
      <w:pPr>
        <w:spacing w:after="120"/>
      </w:pPr>
    </w:p>
    <w:p w14:paraId="69BFF9B3">
      <w:pPr>
        <w:spacing w:line="360" w:lineRule="auto"/>
        <w:ind w:firstLine="3132" w:firstLineChars="1300"/>
        <w:rPr>
          <w:b/>
          <w:sz w:val="24"/>
          <w:szCs w:val="24"/>
        </w:rPr>
      </w:pPr>
      <w:r>
        <w:rPr>
          <w:rFonts w:hint="eastAsia"/>
          <w:b/>
          <w:sz w:val="24"/>
          <w:szCs w:val="24"/>
        </w:rPr>
        <w:t>监狱企业声明函</w:t>
      </w:r>
    </w:p>
    <w:p w14:paraId="55F6869E">
      <w:pPr>
        <w:spacing w:line="360" w:lineRule="auto"/>
        <w:ind w:firstLine="2640" w:firstLineChars="1100"/>
        <w:rPr>
          <w:sz w:val="24"/>
          <w:szCs w:val="24"/>
        </w:rPr>
      </w:pPr>
      <w:r>
        <w:rPr>
          <w:rFonts w:hint="eastAsia"/>
          <w:sz w:val="24"/>
          <w:szCs w:val="24"/>
        </w:rPr>
        <w:t>【非监狱企业不用提供】</w:t>
      </w:r>
    </w:p>
    <w:p w14:paraId="5E788587">
      <w:pPr>
        <w:spacing w:line="360" w:lineRule="auto"/>
        <w:ind w:firstLine="480"/>
        <w:rPr>
          <w:szCs w:val="21"/>
        </w:rPr>
      </w:pPr>
    </w:p>
    <w:p w14:paraId="005AB7E2">
      <w:pPr>
        <w:spacing w:line="360" w:lineRule="auto"/>
        <w:ind w:firstLine="525" w:firstLineChars="250"/>
        <w:rPr>
          <w:szCs w:val="21"/>
        </w:rPr>
      </w:pPr>
      <w:r>
        <w:rPr>
          <w:rFonts w:hint="eastAsia"/>
          <w:szCs w:val="21"/>
        </w:rPr>
        <w:t>监狱企业参加政府采购活动时，应当提供由省级以上监狱管理本企业郑重声明，根据《关于政府采购支持监狱企业发展有关问题的通知》（财库</w:t>
      </w:r>
      <w:r>
        <w:rPr>
          <w:szCs w:val="21"/>
        </w:rPr>
        <w:t>[2014]68</w:t>
      </w:r>
      <w:r>
        <w:rPr>
          <w:rFonts w:hint="eastAsia"/>
          <w:szCs w:val="21"/>
        </w:rPr>
        <w:t>号）的规定，本企业为监狱企业。</w:t>
      </w:r>
    </w:p>
    <w:p w14:paraId="7B265FEE">
      <w:pPr>
        <w:spacing w:line="360" w:lineRule="auto"/>
        <w:ind w:firstLine="480"/>
        <w:rPr>
          <w:szCs w:val="21"/>
        </w:rPr>
      </w:pPr>
      <w:r>
        <w:rPr>
          <w:rFonts w:hint="eastAsia"/>
          <w:szCs w:val="21"/>
        </w:rPr>
        <w:t>根据上述标准，我企业属于监狱企业的理由为：。</w:t>
      </w:r>
    </w:p>
    <w:p w14:paraId="12EE80F4">
      <w:pPr>
        <w:spacing w:line="360" w:lineRule="auto"/>
        <w:ind w:firstLine="480"/>
        <w:rPr>
          <w:szCs w:val="21"/>
        </w:rPr>
      </w:pPr>
      <w:r>
        <w:rPr>
          <w:rFonts w:hint="eastAsia"/>
          <w:szCs w:val="21"/>
        </w:rPr>
        <w:t>本企业为参加（项目名称：）（项目编号：）采购活动提供本企业的产品。</w:t>
      </w:r>
    </w:p>
    <w:p w14:paraId="080AF924">
      <w:pPr>
        <w:spacing w:line="360" w:lineRule="auto"/>
        <w:ind w:firstLine="480"/>
        <w:rPr>
          <w:szCs w:val="21"/>
        </w:rPr>
      </w:pPr>
      <w:r>
        <w:rPr>
          <w:rFonts w:hint="eastAsia"/>
          <w:szCs w:val="21"/>
        </w:rPr>
        <w:t>本企业对上述声明的真实性负责。如有虚假，将依法承担相应责任。</w:t>
      </w:r>
    </w:p>
    <w:p w14:paraId="259E945C">
      <w:pPr>
        <w:spacing w:line="360" w:lineRule="auto"/>
        <w:ind w:firstLine="480"/>
        <w:rPr>
          <w:szCs w:val="21"/>
        </w:rPr>
      </w:pPr>
    </w:p>
    <w:p w14:paraId="7DDAF0CD">
      <w:pPr>
        <w:spacing w:line="360" w:lineRule="auto"/>
        <w:ind w:firstLine="480"/>
        <w:rPr>
          <w:szCs w:val="21"/>
        </w:rPr>
      </w:pPr>
      <w:r>
        <w:rPr>
          <w:rFonts w:hint="eastAsia"/>
          <w:szCs w:val="21"/>
        </w:rPr>
        <w:t>投标人名称（盖章）：</w:t>
      </w:r>
    </w:p>
    <w:p w14:paraId="111032F4">
      <w:pPr>
        <w:spacing w:line="360" w:lineRule="auto"/>
        <w:ind w:firstLine="480"/>
        <w:rPr>
          <w:szCs w:val="21"/>
        </w:rPr>
      </w:pPr>
      <w:r>
        <w:rPr>
          <w:rFonts w:hint="eastAsia"/>
          <w:szCs w:val="21"/>
        </w:rPr>
        <w:t>日期：年月日</w:t>
      </w:r>
    </w:p>
    <w:p w14:paraId="226490D6">
      <w:pPr>
        <w:spacing w:line="360" w:lineRule="auto"/>
        <w:ind w:firstLine="480"/>
        <w:rPr>
          <w:szCs w:val="21"/>
        </w:rPr>
      </w:pPr>
    </w:p>
    <w:p w14:paraId="6E8984F5">
      <w:pPr>
        <w:spacing w:line="360" w:lineRule="auto"/>
        <w:ind w:firstLine="480"/>
        <w:rPr>
          <w:szCs w:val="21"/>
        </w:rPr>
      </w:pPr>
    </w:p>
    <w:p w14:paraId="371B85DD">
      <w:pPr>
        <w:spacing w:line="360" w:lineRule="auto"/>
        <w:ind w:firstLine="480"/>
        <w:rPr>
          <w:szCs w:val="21"/>
        </w:rPr>
      </w:pPr>
      <w:r>
        <w:rPr>
          <w:rFonts w:hint="eastAsia"/>
          <w:szCs w:val="21"/>
        </w:rPr>
        <w:t>投标人为监狱企业的提供此函。</w:t>
      </w:r>
    </w:p>
    <w:p w14:paraId="53263699">
      <w:pPr>
        <w:spacing w:line="360" w:lineRule="auto"/>
        <w:ind w:firstLine="480"/>
        <w:rPr>
          <w:szCs w:val="21"/>
        </w:rPr>
      </w:pPr>
      <w:r>
        <w:rPr>
          <w:rFonts w:hint="eastAsia"/>
          <w:szCs w:val="21"/>
        </w:rPr>
        <w:t>局、戒毒管理局（含新疆生产建设兵团）出具的属于监狱企业的证明文件。</w:t>
      </w:r>
    </w:p>
    <w:p w14:paraId="582E9A13">
      <w:pPr>
        <w:spacing w:line="360" w:lineRule="auto"/>
        <w:ind w:firstLine="480"/>
        <w:rPr>
          <w:szCs w:val="21"/>
        </w:rPr>
      </w:pPr>
      <w:r>
        <w:rPr>
          <w:rFonts w:hint="eastAsia"/>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AA32260">
      <w:pPr>
        <w:spacing w:line="360" w:lineRule="auto"/>
        <w:ind w:firstLine="480"/>
        <w:rPr>
          <w:szCs w:val="21"/>
        </w:rPr>
      </w:pPr>
    </w:p>
    <w:p w14:paraId="6F6BE5ED">
      <w:pPr>
        <w:spacing w:line="360" w:lineRule="auto"/>
        <w:ind w:firstLine="480"/>
        <w:rPr>
          <w:szCs w:val="21"/>
        </w:rPr>
      </w:pPr>
    </w:p>
    <w:p w14:paraId="58B492F8">
      <w:pPr>
        <w:spacing w:line="360" w:lineRule="auto"/>
        <w:ind w:firstLine="480"/>
        <w:rPr>
          <w:szCs w:val="21"/>
        </w:rPr>
      </w:pPr>
    </w:p>
    <w:p w14:paraId="35DCD402">
      <w:pPr>
        <w:spacing w:line="360" w:lineRule="auto"/>
        <w:ind w:firstLine="480"/>
        <w:rPr>
          <w:szCs w:val="21"/>
        </w:rPr>
      </w:pPr>
    </w:p>
    <w:p w14:paraId="513E0B65">
      <w:pPr>
        <w:spacing w:line="360" w:lineRule="auto"/>
        <w:ind w:firstLine="480"/>
        <w:rPr>
          <w:szCs w:val="21"/>
        </w:rPr>
      </w:pPr>
    </w:p>
    <w:p w14:paraId="6396329F">
      <w:pPr>
        <w:spacing w:line="360" w:lineRule="auto"/>
        <w:ind w:firstLine="480"/>
        <w:rPr>
          <w:szCs w:val="21"/>
        </w:rPr>
      </w:pPr>
    </w:p>
    <w:p w14:paraId="19F71265">
      <w:pPr>
        <w:spacing w:line="360" w:lineRule="auto"/>
        <w:ind w:firstLine="480"/>
        <w:rPr>
          <w:szCs w:val="21"/>
        </w:rPr>
      </w:pPr>
    </w:p>
    <w:p w14:paraId="3D8EAC3E">
      <w:pPr>
        <w:spacing w:line="360" w:lineRule="auto"/>
        <w:ind w:firstLine="480"/>
        <w:rPr>
          <w:szCs w:val="21"/>
        </w:rPr>
      </w:pPr>
    </w:p>
    <w:p w14:paraId="1B3B8CCB">
      <w:pPr>
        <w:spacing w:line="360" w:lineRule="auto"/>
        <w:ind w:firstLine="480"/>
        <w:rPr>
          <w:szCs w:val="21"/>
        </w:rPr>
      </w:pPr>
    </w:p>
    <w:p w14:paraId="6CB7383B">
      <w:pPr>
        <w:spacing w:line="360" w:lineRule="auto"/>
        <w:ind w:firstLine="480"/>
        <w:rPr>
          <w:szCs w:val="21"/>
        </w:rPr>
      </w:pPr>
    </w:p>
    <w:p w14:paraId="3CC8B342">
      <w:pPr>
        <w:spacing w:line="360" w:lineRule="auto"/>
        <w:ind w:firstLine="480"/>
        <w:rPr>
          <w:szCs w:val="21"/>
        </w:rPr>
      </w:pPr>
    </w:p>
    <w:p w14:paraId="516AF8AE">
      <w:pPr>
        <w:spacing w:line="360" w:lineRule="auto"/>
        <w:ind w:firstLine="480"/>
        <w:rPr>
          <w:szCs w:val="21"/>
        </w:rPr>
      </w:pPr>
    </w:p>
    <w:p w14:paraId="7A633EE6">
      <w:pPr>
        <w:spacing w:line="360" w:lineRule="auto"/>
        <w:ind w:firstLine="480"/>
        <w:rPr>
          <w:szCs w:val="21"/>
        </w:rPr>
      </w:pPr>
    </w:p>
    <w:p w14:paraId="6CA0FA8B">
      <w:pPr>
        <w:spacing w:line="360" w:lineRule="auto"/>
        <w:rPr>
          <w:b/>
          <w:sz w:val="24"/>
          <w:szCs w:val="24"/>
        </w:rPr>
      </w:pPr>
    </w:p>
    <w:p w14:paraId="08CC646A">
      <w:pPr>
        <w:spacing w:line="360" w:lineRule="auto"/>
        <w:jc w:val="center"/>
        <w:rPr>
          <w:b/>
          <w:sz w:val="24"/>
          <w:szCs w:val="24"/>
        </w:rPr>
      </w:pPr>
    </w:p>
    <w:p w14:paraId="7F21FCAC">
      <w:pPr>
        <w:spacing w:line="360" w:lineRule="auto"/>
        <w:jc w:val="center"/>
        <w:rPr>
          <w:b/>
          <w:sz w:val="24"/>
          <w:szCs w:val="24"/>
        </w:rPr>
      </w:pPr>
      <w:r>
        <w:rPr>
          <w:rFonts w:hint="eastAsia"/>
          <w:b/>
          <w:sz w:val="24"/>
          <w:szCs w:val="24"/>
        </w:rPr>
        <w:t>残疾人福利性单位声明函</w:t>
      </w:r>
    </w:p>
    <w:p w14:paraId="3B948C9B">
      <w:pPr>
        <w:spacing w:line="360" w:lineRule="auto"/>
        <w:ind w:firstLine="2835" w:firstLineChars="1350"/>
        <w:rPr>
          <w:szCs w:val="21"/>
        </w:rPr>
      </w:pPr>
      <w:r>
        <w:rPr>
          <w:rFonts w:hint="eastAsia"/>
          <w:szCs w:val="21"/>
        </w:rPr>
        <w:t>【非残疾人福利性单位不用提供】</w:t>
      </w:r>
    </w:p>
    <w:p w14:paraId="78BF8F50">
      <w:pPr>
        <w:spacing w:line="360" w:lineRule="auto"/>
        <w:rPr>
          <w:szCs w:val="21"/>
        </w:rPr>
      </w:pPr>
    </w:p>
    <w:p w14:paraId="45D53A20">
      <w:pPr>
        <w:spacing w:line="360" w:lineRule="auto"/>
        <w:ind w:firstLine="420" w:firstLineChars="200"/>
        <w:rPr>
          <w:szCs w:val="21"/>
        </w:rPr>
      </w:pPr>
      <w:r>
        <w:rPr>
          <w:rFonts w:hint="eastAsia"/>
          <w:szCs w:val="21"/>
        </w:rPr>
        <w:t>本单位郑重声明，根据《财政部民政部中国残疾人联合会关于促进残疾人就业政府采购政策的通知》（财库〔</w:t>
      </w:r>
      <w:r>
        <w:rPr>
          <w:szCs w:val="21"/>
        </w:rPr>
        <w:t>2017</w:t>
      </w:r>
      <w:r>
        <w:rPr>
          <w:rFonts w:hint="eastAsia"/>
          <w:szCs w:val="21"/>
        </w:rPr>
        <w:t>〕</w:t>
      </w:r>
      <w:r>
        <w:rPr>
          <w:szCs w:val="21"/>
        </w:rPr>
        <w:t>141</w:t>
      </w:r>
      <w:r>
        <w:rPr>
          <w:rFonts w:hint="eastAsia"/>
          <w:szCs w:val="21"/>
        </w:rPr>
        <w:t>号）的规定，本单位为符合条件的残疾人福利性单位，且本单位参加（采购人名称）单位的（项目名称）项目采购活动提供本单位制造的货物（由本单位承担工程</w:t>
      </w:r>
      <w:r>
        <w:rPr>
          <w:szCs w:val="21"/>
        </w:rPr>
        <w:t>/</w:t>
      </w:r>
      <w:r>
        <w:rPr>
          <w:rFonts w:hint="eastAsia"/>
          <w:szCs w:val="21"/>
        </w:rPr>
        <w:t>提供服务），或者提供其他残疾人福利性单位制造的货物（不包括使用非残疾人福利性单位注册商标的货物）。</w:t>
      </w:r>
    </w:p>
    <w:p w14:paraId="751F95E6">
      <w:pPr>
        <w:spacing w:line="360" w:lineRule="auto"/>
        <w:ind w:firstLine="420" w:firstLineChars="200"/>
        <w:rPr>
          <w:szCs w:val="21"/>
        </w:rPr>
      </w:pPr>
      <w:r>
        <w:rPr>
          <w:rFonts w:hint="eastAsia"/>
          <w:szCs w:val="21"/>
        </w:rPr>
        <w:t>本单位对上述声明的真实性负责。如有虚假，将依法承担相应责任。</w:t>
      </w:r>
    </w:p>
    <w:p w14:paraId="4C1B018B">
      <w:pPr>
        <w:spacing w:line="360" w:lineRule="auto"/>
        <w:rPr>
          <w:szCs w:val="21"/>
        </w:rPr>
      </w:pPr>
    </w:p>
    <w:p w14:paraId="6DF464C2">
      <w:pPr>
        <w:spacing w:line="360" w:lineRule="auto"/>
        <w:rPr>
          <w:szCs w:val="21"/>
        </w:rPr>
      </w:pPr>
    </w:p>
    <w:p w14:paraId="0CCE3B20">
      <w:pPr>
        <w:spacing w:line="360" w:lineRule="auto"/>
        <w:rPr>
          <w:szCs w:val="21"/>
        </w:rPr>
      </w:pPr>
      <w:r>
        <w:rPr>
          <w:rFonts w:hint="eastAsia"/>
          <w:szCs w:val="21"/>
        </w:rPr>
        <w:t>投标人名称（盖章）：</w:t>
      </w:r>
    </w:p>
    <w:p w14:paraId="6B8BDEDD">
      <w:pPr>
        <w:spacing w:line="360" w:lineRule="auto"/>
        <w:rPr>
          <w:szCs w:val="21"/>
        </w:rPr>
      </w:pPr>
      <w:r>
        <w:rPr>
          <w:rFonts w:hint="eastAsia"/>
          <w:szCs w:val="21"/>
        </w:rPr>
        <w:t>日期：年月日</w:t>
      </w:r>
    </w:p>
    <w:p w14:paraId="0EB23DDE">
      <w:pPr>
        <w:spacing w:line="360" w:lineRule="auto"/>
        <w:ind w:firstLine="480"/>
        <w:rPr>
          <w:szCs w:val="21"/>
        </w:rPr>
      </w:pPr>
      <w:r>
        <w:rPr>
          <w:rFonts w:hint="eastAsia"/>
          <w:szCs w:val="21"/>
        </w:rPr>
        <w:t>说明：投标人为残疾人福利性单位的提供此函。</w:t>
      </w:r>
    </w:p>
    <w:p w14:paraId="518AFCE9">
      <w:pPr>
        <w:snapToGrid w:val="0"/>
        <w:spacing w:line="360" w:lineRule="auto"/>
        <w:ind w:right="-341"/>
      </w:pPr>
    </w:p>
    <w:p w14:paraId="3FDA0C95">
      <w:pPr>
        <w:snapToGrid w:val="0"/>
        <w:spacing w:line="360" w:lineRule="auto"/>
        <w:ind w:right="-341"/>
      </w:pPr>
    </w:p>
    <w:p w14:paraId="6CE617A3">
      <w:pPr>
        <w:snapToGrid w:val="0"/>
        <w:spacing w:line="360" w:lineRule="auto"/>
        <w:ind w:right="-341"/>
      </w:pPr>
    </w:p>
    <w:p w14:paraId="77423A5B">
      <w:pPr>
        <w:snapToGrid w:val="0"/>
        <w:spacing w:line="360" w:lineRule="auto"/>
        <w:ind w:right="-341"/>
      </w:pPr>
    </w:p>
    <w:p w14:paraId="257D395D">
      <w:pPr>
        <w:snapToGrid w:val="0"/>
        <w:spacing w:line="312" w:lineRule="auto"/>
        <w:ind w:right="-341"/>
        <w:rPr>
          <w:b/>
        </w:rPr>
      </w:pPr>
    </w:p>
    <w:p w14:paraId="75B254BC">
      <w:pPr>
        <w:snapToGrid w:val="0"/>
        <w:spacing w:line="312" w:lineRule="auto"/>
        <w:ind w:right="-341"/>
        <w:rPr>
          <w:b/>
        </w:rPr>
      </w:pPr>
    </w:p>
    <w:p w14:paraId="1891B45E">
      <w:pPr>
        <w:snapToGrid w:val="0"/>
        <w:spacing w:line="312" w:lineRule="auto"/>
        <w:ind w:right="-341"/>
        <w:rPr>
          <w:b/>
        </w:rPr>
      </w:pPr>
    </w:p>
    <w:p w14:paraId="0FA19E91">
      <w:pPr>
        <w:snapToGrid w:val="0"/>
        <w:spacing w:line="312" w:lineRule="auto"/>
        <w:ind w:right="-341"/>
        <w:rPr>
          <w:b/>
        </w:rPr>
      </w:pPr>
    </w:p>
    <w:p w14:paraId="6DF52F49">
      <w:pPr>
        <w:snapToGrid w:val="0"/>
        <w:spacing w:line="312" w:lineRule="auto"/>
        <w:ind w:right="-341"/>
        <w:rPr>
          <w:b/>
        </w:rPr>
      </w:pPr>
    </w:p>
    <w:p w14:paraId="58C82850">
      <w:pPr>
        <w:snapToGrid w:val="0"/>
        <w:spacing w:line="312" w:lineRule="auto"/>
        <w:ind w:right="-341"/>
        <w:rPr>
          <w:b/>
        </w:rPr>
      </w:pPr>
    </w:p>
    <w:p w14:paraId="7F631FFA">
      <w:pPr>
        <w:snapToGrid w:val="0"/>
        <w:spacing w:line="312" w:lineRule="auto"/>
        <w:ind w:right="-341"/>
        <w:rPr>
          <w:b/>
        </w:rPr>
      </w:pPr>
    </w:p>
    <w:p w14:paraId="2D6274C2">
      <w:pPr>
        <w:snapToGrid w:val="0"/>
        <w:spacing w:before="120" w:line="312" w:lineRule="auto"/>
        <w:ind w:right="-341"/>
        <w:rPr>
          <w:b/>
          <w:sz w:val="32"/>
        </w:rPr>
      </w:pPr>
    </w:p>
    <w:p w14:paraId="35C46469">
      <w:pPr>
        <w:rPr>
          <w:sz w:val="18"/>
          <w:szCs w:val="24"/>
        </w:rPr>
      </w:pPr>
    </w:p>
    <w:p w14:paraId="01297994">
      <w:pPr>
        <w:spacing w:after="120"/>
      </w:pPr>
    </w:p>
    <w:p w14:paraId="6870CCAD">
      <w:pPr>
        <w:snapToGrid w:val="0"/>
        <w:spacing w:before="50" w:line="312" w:lineRule="auto"/>
        <w:jc w:val="left"/>
        <w:rPr>
          <w:b/>
          <w:spacing w:val="20"/>
          <w:sz w:val="28"/>
        </w:rPr>
      </w:pPr>
    </w:p>
    <w:p w14:paraId="30CD944D">
      <w:pPr>
        <w:pStyle w:val="2"/>
        <w:rPr>
          <w:rFonts w:hint="eastAsia"/>
          <w:b/>
          <w:sz w:val="32"/>
          <w:lang w:val="en-US" w:eastAsia="zh-CN"/>
        </w:rPr>
      </w:pPr>
    </w:p>
    <w:p w14:paraId="085F2965">
      <w:pPr>
        <w:snapToGrid w:val="0"/>
        <w:spacing w:before="120" w:line="312" w:lineRule="auto"/>
        <w:ind w:right="-341"/>
        <w:jc w:val="center"/>
        <w:rPr>
          <w:rFonts w:hint="eastAsia"/>
          <w:b/>
          <w:sz w:val="32"/>
          <w:lang w:val="en-US" w:eastAsia="zh-CN"/>
        </w:rPr>
      </w:pPr>
    </w:p>
    <w:p w14:paraId="56712B6F">
      <w:pPr>
        <w:snapToGrid w:val="0"/>
        <w:spacing w:before="120" w:line="312" w:lineRule="auto"/>
        <w:ind w:right="-341"/>
        <w:jc w:val="center"/>
        <w:rPr>
          <w:rFonts w:hint="eastAsia"/>
          <w:b/>
          <w:sz w:val="32"/>
          <w:lang w:val="en-US" w:eastAsia="zh-CN"/>
        </w:rPr>
      </w:pPr>
    </w:p>
    <w:p w14:paraId="57AA30C7">
      <w:pPr>
        <w:snapToGrid w:val="0"/>
        <w:spacing w:before="120" w:line="312" w:lineRule="auto"/>
        <w:ind w:right="-341"/>
        <w:jc w:val="center"/>
        <w:rPr>
          <w:rFonts w:hint="eastAsia"/>
          <w:b/>
          <w:sz w:val="32"/>
          <w:lang w:val="en-US" w:eastAsia="zh-CN"/>
        </w:rPr>
      </w:pPr>
    </w:p>
    <w:p w14:paraId="47A17D59">
      <w:pPr>
        <w:snapToGrid w:val="0"/>
        <w:spacing w:before="120" w:line="312" w:lineRule="auto"/>
        <w:ind w:right="-341"/>
        <w:jc w:val="center"/>
        <w:rPr>
          <w:rFonts w:hint="eastAsia"/>
          <w:b/>
          <w:sz w:val="32"/>
          <w:lang w:val="en-US" w:eastAsia="zh-CN"/>
        </w:rPr>
      </w:pPr>
    </w:p>
    <w:p w14:paraId="66711E53">
      <w:pPr>
        <w:snapToGrid w:val="0"/>
        <w:spacing w:before="120" w:line="312" w:lineRule="auto"/>
        <w:ind w:right="-341"/>
        <w:jc w:val="center"/>
        <w:rPr>
          <w:rFonts w:hint="eastAsia"/>
          <w:b/>
          <w:sz w:val="32"/>
          <w:lang w:val="en-US" w:eastAsia="zh-CN"/>
        </w:rPr>
      </w:pPr>
    </w:p>
    <w:p w14:paraId="65853AB5">
      <w:pPr>
        <w:snapToGrid w:val="0"/>
        <w:spacing w:before="120" w:line="312" w:lineRule="auto"/>
        <w:ind w:right="-341"/>
        <w:jc w:val="center"/>
        <w:rPr>
          <w:b/>
          <w:sz w:val="32"/>
        </w:rPr>
      </w:pPr>
      <w:r>
        <w:rPr>
          <w:rFonts w:hint="eastAsia"/>
          <w:b/>
          <w:sz w:val="32"/>
          <w:lang w:val="en-US" w:eastAsia="zh-CN"/>
        </w:rPr>
        <w:t>五</w:t>
      </w:r>
      <w:r>
        <w:rPr>
          <w:rFonts w:hint="eastAsia"/>
          <w:b/>
          <w:sz w:val="32"/>
        </w:rPr>
        <w:t>、投标函</w:t>
      </w:r>
    </w:p>
    <w:p w14:paraId="432A0C6B">
      <w:pPr>
        <w:snapToGrid w:val="0"/>
        <w:spacing w:line="312" w:lineRule="auto"/>
        <w:ind w:right="-341"/>
      </w:pPr>
    </w:p>
    <w:p w14:paraId="3F2B3678">
      <w:pPr>
        <w:snapToGrid w:val="0"/>
        <w:spacing w:line="312" w:lineRule="auto"/>
        <w:ind w:right="-341"/>
      </w:pPr>
      <w:r>
        <w:rPr>
          <w:rFonts w:hint="eastAsia"/>
        </w:rPr>
        <w:t>致：</w:t>
      </w:r>
      <w:r>
        <w:t>_</w:t>
      </w:r>
      <w:r>
        <w:rPr>
          <w:rFonts w:hint="eastAsia"/>
          <w:u w:val="single"/>
        </w:rPr>
        <w:t>深圳市国信招标有限公司</w:t>
      </w:r>
      <w:r>
        <w:t>_</w:t>
      </w:r>
      <w:r>
        <w:rPr>
          <w:rFonts w:hint="eastAsia"/>
        </w:rPr>
        <w:t>：</w:t>
      </w:r>
    </w:p>
    <w:p w14:paraId="77D56C03">
      <w:pPr>
        <w:snapToGrid w:val="0"/>
        <w:spacing w:line="312" w:lineRule="auto"/>
        <w:ind w:right="-341" w:firstLine="480"/>
        <w:rPr>
          <w:szCs w:val="21"/>
        </w:rPr>
      </w:pPr>
      <w:r>
        <w:rPr>
          <w:rFonts w:hint="eastAsia"/>
        </w:rPr>
        <w:t>根据贵方为</w:t>
      </w:r>
      <w:r>
        <w:rPr>
          <w:rFonts w:hint="eastAsia"/>
          <w:u w:val="single"/>
          <w:lang w:val="en-US" w:eastAsia="zh-CN"/>
        </w:rPr>
        <w:t xml:space="preserve">    </w:t>
      </w:r>
      <w:r>
        <w:rPr>
          <w:rFonts w:hint="eastAsia"/>
        </w:rPr>
        <w:t>项目的招标公告（项目编号：</w:t>
      </w:r>
      <w:r>
        <w:t>____</w:t>
      </w:r>
      <w:r>
        <w:rPr>
          <w:u w:val="single"/>
        </w:rPr>
        <w:t>__</w:t>
      </w:r>
      <w:r>
        <w:t>_</w:t>
      </w:r>
      <w:r>
        <w:rPr>
          <w:rFonts w:hint="eastAsia"/>
        </w:rPr>
        <w:t>），</w:t>
      </w:r>
      <w:r>
        <w:rPr>
          <w:rFonts w:hint="eastAsia"/>
          <w:spacing w:val="-4"/>
          <w:kern w:val="0"/>
          <w:szCs w:val="21"/>
        </w:rPr>
        <w:t>同意如下：</w:t>
      </w:r>
    </w:p>
    <w:p w14:paraId="519DA7CC">
      <w:pPr>
        <w:widowControl/>
        <w:spacing w:line="360" w:lineRule="auto"/>
        <w:ind w:right="-341" w:firstLine="387" w:firstLineChars="192"/>
        <w:rPr>
          <w:spacing w:val="-4"/>
          <w:kern w:val="0"/>
          <w:szCs w:val="21"/>
        </w:rPr>
      </w:pPr>
      <w:r>
        <w:rPr>
          <w:spacing w:val="-4"/>
          <w:kern w:val="0"/>
          <w:szCs w:val="21"/>
        </w:rPr>
        <w:t>1.</w:t>
      </w:r>
      <w:r>
        <w:rPr>
          <w:rFonts w:hint="eastAsia"/>
          <w:spacing w:val="-4"/>
          <w:kern w:val="0"/>
          <w:szCs w:val="21"/>
        </w:rPr>
        <w:t>我方已详细审查了采购文件的全部内容及其相关补充文件</w:t>
      </w:r>
      <w:r>
        <w:rPr>
          <w:rFonts w:hint="eastAsia"/>
          <w:b/>
          <w:spacing w:val="-4"/>
          <w:kern w:val="0"/>
          <w:szCs w:val="21"/>
        </w:rPr>
        <w:t>（如有）</w:t>
      </w:r>
      <w:r>
        <w:rPr>
          <w:rFonts w:hint="eastAsia"/>
          <w:spacing w:val="-4"/>
          <w:kern w:val="0"/>
          <w:szCs w:val="21"/>
        </w:rPr>
        <w:t>，并完全清晰理解全部内容及相关的补充文件</w:t>
      </w:r>
      <w:r>
        <w:rPr>
          <w:rFonts w:hint="eastAsia"/>
          <w:b/>
          <w:spacing w:val="-4"/>
          <w:kern w:val="0"/>
          <w:szCs w:val="21"/>
        </w:rPr>
        <w:t>（如有）</w:t>
      </w:r>
      <w:r>
        <w:rPr>
          <w:rFonts w:hint="eastAsia"/>
          <w:spacing w:val="-4"/>
          <w:kern w:val="0"/>
          <w:szCs w:val="21"/>
        </w:rPr>
        <w:t>，不存在任何误解之处，同意放弃提出异议和质疑的权利。</w:t>
      </w:r>
    </w:p>
    <w:p w14:paraId="283B2EED">
      <w:pPr>
        <w:snapToGrid w:val="0"/>
        <w:spacing w:line="360" w:lineRule="auto"/>
        <w:ind w:right="-341" w:firstLine="404" w:firstLineChars="200"/>
        <w:rPr>
          <w:spacing w:val="-4"/>
          <w:szCs w:val="21"/>
        </w:rPr>
      </w:pPr>
      <w:r>
        <w:rPr>
          <w:spacing w:val="-4"/>
          <w:szCs w:val="21"/>
        </w:rPr>
        <w:t>2.</w:t>
      </w:r>
      <w:r>
        <w:rPr>
          <w:rFonts w:hint="eastAsia"/>
          <w:spacing w:val="-4"/>
          <w:szCs w:val="21"/>
        </w:rPr>
        <w:t>我方遵守《中华人民共和国政府采购法》及相关法律法规的规定。同意采购文件中所提到的无效标条款，并服从有关开标会议纪律。否则，同意被废除投标资格。</w:t>
      </w:r>
    </w:p>
    <w:p w14:paraId="01841092">
      <w:pPr>
        <w:spacing w:line="360" w:lineRule="auto"/>
        <w:ind w:right="-341" w:firstLine="404" w:firstLineChars="200"/>
        <w:rPr>
          <w:spacing w:val="-4"/>
          <w:szCs w:val="21"/>
        </w:rPr>
      </w:pPr>
      <w:r>
        <w:rPr>
          <w:spacing w:val="-4"/>
          <w:szCs w:val="21"/>
        </w:rPr>
        <w:t>3.</w:t>
      </w:r>
      <w:r>
        <w:rPr>
          <w:rFonts w:hint="eastAsia"/>
          <w:spacing w:val="-4"/>
          <w:szCs w:val="21"/>
        </w:rPr>
        <w:t>我方所提供的一次性投标产品报价均具充分的合理性和准确性，保证不存在低于成本的恶意报价行为，同时清楚理解到报价最低并非意味着必定获得合同授予资格。</w:t>
      </w:r>
    </w:p>
    <w:p w14:paraId="427C55AE">
      <w:pPr>
        <w:spacing w:line="360" w:lineRule="auto"/>
        <w:ind w:right="-341" w:firstLine="404" w:firstLineChars="200"/>
        <w:rPr>
          <w:spacing w:val="-4"/>
          <w:szCs w:val="21"/>
        </w:rPr>
      </w:pPr>
      <w:r>
        <w:rPr>
          <w:spacing w:val="-4"/>
          <w:szCs w:val="21"/>
        </w:rPr>
        <w:t>4.</w:t>
      </w:r>
      <w:r>
        <w:rPr>
          <w:rFonts w:hint="eastAsia"/>
          <w:spacing w:val="-4"/>
          <w:szCs w:val="21"/>
        </w:rPr>
        <w:t>投标有效期为自开标之日起</w:t>
      </w:r>
      <w:r>
        <w:rPr>
          <w:spacing w:val="-4"/>
          <w:szCs w:val="21"/>
        </w:rPr>
        <w:t>9</w:t>
      </w:r>
      <w:r>
        <w:rPr>
          <w:spacing w:val="-4"/>
          <w:szCs w:val="21"/>
          <w:u w:val="single"/>
        </w:rPr>
        <w:t>0</w:t>
      </w:r>
      <w:r>
        <w:rPr>
          <w:rFonts w:hint="eastAsia"/>
          <w:spacing w:val="-4"/>
          <w:szCs w:val="21"/>
        </w:rPr>
        <w:t>天内，如在投标有效期内撤回投标，我方同意被废除投标资格。</w:t>
      </w:r>
    </w:p>
    <w:p w14:paraId="36EFC73C">
      <w:pPr>
        <w:spacing w:line="360" w:lineRule="auto"/>
        <w:ind w:right="-341" w:firstLine="404" w:firstLineChars="200"/>
        <w:rPr>
          <w:spacing w:val="-4"/>
          <w:szCs w:val="21"/>
        </w:rPr>
      </w:pPr>
      <w:r>
        <w:rPr>
          <w:spacing w:val="-4"/>
          <w:szCs w:val="21"/>
        </w:rPr>
        <w:t>5.</w:t>
      </w:r>
      <w:r>
        <w:rPr>
          <w:rFonts w:hint="eastAsia"/>
          <w:spacing w:val="-4"/>
          <w:szCs w:val="21"/>
        </w:rPr>
        <w:t>我方承诺</w:t>
      </w:r>
      <w:r>
        <w:rPr>
          <w:rFonts w:hint="eastAsia"/>
          <w:szCs w:val="21"/>
        </w:rPr>
        <w:t>参加政府采购活动前</w:t>
      </w:r>
      <w:r>
        <w:rPr>
          <w:szCs w:val="21"/>
        </w:rPr>
        <w:t>3</w:t>
      </w:r>
      <w:r>
        <w:rPr>
          <w:rFonts w:hint="eastAsia"/>
          <w:szCs w:val="21"/>
        </w:rPr>
        <w:t>年内在经营活动中没有重大违法记录和依法缴纳了税收</w:t>
      </w:r>
      <w:r>
        <w:rPr>
          <w:rFonts w:hint="eastAsia"/>
          <w:spacing w:val="-4"/>
          <w:szCs w:val="21"/>
        </w:rPr>
        <w:t>（投标截止时间进行计算）。</w:t>
      </w:r>
    </w:p>
    <w:p w14:paraId="27BB11A1">
      <w:pPr>
        <w:spacing w:line="360" w:lineRule="auto"/>
        <w:ind w:right="-341" w:firstLine="404" w:firstLineChars="200"/>
        <w:rPr>
          <w:szCs w:val="21"/>
        </w:rPr>
      </w:pPr>
      <w:r>
        <w:rPr>
          <w:spacing w:val="-4"/>
          <w:szCs w:val="21"/>
        </w:rPr>
        <w:t>6.</w:t>
      </w:r>
      <w:r>
        <w:rPr>
          <w:rFonts w:hint="eastAsia"/>
          <w:spacing w:val="-4"/>
          <w:szCs w:val="21"/>
        </w:rPr>
        <w:t>我方承诺具备本项目</w:t>
      </w:r>
      <w:r>
        <w:rPr>
          <w:rFonts w:hint="eastAsia"/>
          <w:szCs w:val="21"/>
        </w:rPr>
        <w:t>履行合同所必需的设备和专业技术能力</w:t>
      </w:r>
    </w:p>
    <w:p w14:paraId="4EA0163E">
      <w:pPr>
        <w:spacing w:line="360" w:lineRule="auto"/>
        <w:ind w:right="-341" w:firstLine="404" w:firstLineChars="200"/>
        <w:rPr>
          <w:spacing w:val="-4"/>
          <w:szCs w:val="21"/>
        </w:rPr>
      </w:pPr>
      <w:r>
        <w:rPr>
          <w:spacing w:val="-4"/>
          <w:szCs w:val="21"/>
        </w:rPr>
        <w:t>7.</w:t>
      </w:r>
      <w:r>
        <w:rPr>
          <w:rFonts w:hint="eastAsia"/>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6E8230AC">
      <w:pPr>
        <w:spacing w:line="360" w:lineRule="auto"/>
        <w:ind w:right="-341" w:firstLine="404" w:firstLineChars="200"/>
        <w:rPr>
          <w:spacing w:val="-4"/>
          <w:szCs w:val="21"/>
        </w:rPr>
      </w:pPr>
      <w:r>
        <w:rPr>
          <w:spacing w:val="-4"/>
          <w:szCs w:val="21"/>
        </w:rPr>
        <w:t>8.</w:t>
      </w:r>
      <w:r>
        <w:rPr>
          <w:rFonts w:hint="eastAsia"/>
          <w:spacing w:val="-4"/>
          <w:szCs w:val="21"/>
        </w:rPr>
        <w:t>我方承诺至开标之日止，未被</w:t>
      </w:r>
      <w:r>
        <w:rPr>
          <w:spacing w:val="-4"/>
          <w:szCs w:val="21"/>
        </w:rPr>
        <w:t>“</w:t>
      </w:r>
      <w:r>
        <w:rPr>
          <w:rFonts w:hint="eastAsia"/>
          <w:spacing w:val="-4"/>
          <w:szCs w:val="21"/>
        </w:rPr>
        <w:t>信用中国</w:t>
      </w:r>
      <w:r>
        <w:rPr>
          <w:spacing w:val="-4"/>
          <w:szCs w:val="21"/>
        </w:rPr>
        <w:t>”</w:t>
      </w:r>
      <w:r>
        <w:rPr>
          <w:rFonts w:hint="eastAsia"/>
          <w:spacing w:val="-4"/>
          <w:szCs w:val="21"/>
        </w:rPr>
        <w:t>（</w:t>
      </w:r>
      <w:r>
        <w:rPr>
          <w:spacing w:val="-4"/>
          <w:szCs w:val="21"/>
        </w:rPr>
        <w:t>www.creditchina.gov.cn</w:t>
      </w:r>
      <w:r>
        <w:rPr>
          <w:rFonts w:hint="eastAsia"/>
          <w:spacing w:val="-4"/>
          <w:szCs w:val="21"/>
        </w:rPr>
        <w:t>）、中国政府采购网（</w:t>
      </w:r>
      <w:r>
        <w:rPr>
          <w:spacing w:val="-4"/>
          <w:szCs w:val="21"/>
        </w:rPr>
        <w:t>www.ccgp.gov.cn</w:t>
      </w:r>
      <w:r>
        <w:rPr>
          <w:rFonts w:hint="eastAsia"/>
          <w:spacing w:val="-4"/>
          <w:szCs w:val="21"/>
        </w:rPr>
        <w:t>）列入失信被执行人、重大税收违法案件当事人名单、政府采购严重违法失信行为记录名单。</w:t>
      </w:r>
    </w:p>
    <w:p w14:paraId="139222C2">
      <w:pPr>
        <w:snapToGrid w:val="0"/>
        <w:spacing w:line="360" w:lineRule="auto"/>
        <w:ind w:right="-341" w:firstLine="420" w:firstLineChars="200"/>
      </w:pPr>
      <w:r>
        <w:t>9.</w:t>
      </w:r>
      <w:r>
        <w:rPr>
          <w:rFonts w:hint="eastAsia"/>
        </w:rPr>
        <w:t>与本投标有关的一切正式往来信函请寄：</w:t>
      </w:r>
    </w:p>
    <w:p w14:paraId="684C3215">
      <w:pPr>
        <w:snapToGrid w:val="0"/>
        <w:spacing w:line="312" w:lineRule="auto"/>
        <w:ind w:right="-341"/>
      </w:pPr>
      <w:r>
        <w:rPr>
          <w:rFonts w:hint="eastAsia"/>
        </w:rPr>
        <w:t>地址：</w:t>
      </w:r>
      <w:r>
        <w:t>__________</w:t>
      </w:r>
      <w:r>
        <w:rPr>
          <w:u w:val="single"/>
        </w:rPr>
        <w:t>_</w:t>
      </w:r>
      <w:r>
        <w:t>____</w:t>
      </w:r>
      <w:r>
        <w:rPr>
          <w:rFonts w:hint="eastAsia"/>
        </w:rPr>
        <w:t>邮编：</w:t>
      </w:r>
      <w:r>
        <w:t>__________</w:t>
      </w:r>
      <w:r>
        <w:rPr>
          <w:rFonts w:hint="eastAsia"/>
        </w:rPr>
        <w:t>电话：</w:t>
      </w:r>
      <w:r>
        <w:t>______________</w:t>
      </w:r>
    </w:p>
    <w:p w14:paraId="4E2A4604">
      <w:pPr>
        <w:snapToGrid w:val="0"/>
        <w:spacing w:line="312" w:lineRule="auto"/>
        <w:ind w:right="-341"/>
      </w:pPr>
      <w:r>
        <w:rPr>
          <w:rFonts w:hint="eastAsia"/>
        </w:rPr>
        <w:t>传真：</w:t>
      </w:r>
      <w:r>
        <w:t>______________</w:t>
      </w:r>
      <w:r>
        <w:rPr>
          <w:rFonts w:hint="eastAsia"/>
        </w:rPr>
        <w:t>投标人代表姓名</w:t>
      </w:r>
      <w:r>
        <w:t>___________</w:t>
      </w:r>
      <w:r>
        <w:rPr>
          <w:rFonts w:hint="eastAsia"/>
        </w:rPr>
        <w:t>职务：</w:t>
      </w:r>
      <w:r>
        <w:t>_____________</w:t>
      </w:r>
    </w:p>
    <w:p w14:paraId="46CCE0FE">
      <w:pPr>
        <w:snapToGrid w:val="0"/>
        <w:spacing w:line="312" w:lineRule="auto"/>
        <w:ind w:right="-341"/>
      </w:pPr>
      <w:r>
        <w:rPr>
          <w:rFonts w:hint="eastAsia"/>
        </w:rPr>
        <w:t>投标人名称</w:t>
      </w:r>
      <w:r>
        <w:t>(</w:t>
      </w:r>
      <w:r>
        <w:rPr>
          <w:rFonts w:hint="eastAsia"/>
        </w:rPr>
        <w:t>公章</w:t>
      </w:r>
      <w:r>
        <w:t>):___________________</w:t>
      </w:r>
    </w:p>
    <w:p w14:paraId="3CE04C70">
      <w:pPr>
        <w:snapToGrid w:val="0"/>
        <w:spacing w:line="312" w:lineRule="auto"/>
        <w:ind w:right="-341"/>
      </w:pPr>
      <w:r>
        <w:rPr>
          <w:rFonts w:hint="eastAsia"/>
        </w:rPr>
        <w:t>开户银行：银行账号：</w:t>
      </w:r>
    </w:p>
    <w:p w14:paraId="03E12834">
      <w:pPr>
        <w:snapToGrid w:val="0"/>
        <w:ind w:right="-341"/>
      </w:pPr>
    </w:p>
    <w:p w14:paraId="6FCFF940">
      <w:pPr>
        <w:snapToGrid w:val="0"/>
        <w:spacing w:before="120" w:line="312" w:lineRule="auto"/>
        <w:ind w:right="-341" w:firstLine="2940" w:firstLineChars="1400"/>
      </w:pPr>
      <w:r>
        <w:rPr>
          <w:rFonts w:hint="eastAsia"/>
        </w:rPr>
        <w:t>日期</w:t>
      </w:r>
      <w:r>
        <w:t>:_____</w:t>
      </w:r>
      <w:r>
        <w:rPr>
          <w:rFonts w:hint="eastAsia"/>
        </w:rPr>
        <w:t>年</w:t>
      </w:r>
      <w:r>
        <w:t>___</w:t>
      </w:r>
      <w:r>
        <w:rPr>
          <w:rFonts w:hint="eastAsia"/>
        </w:rPr>
        <w:t>月</w:t>
      </w:r>
      <w:r>
        <w:t>___</w:t>
      </w:r>
      <w:r>
        <w:rPr>
          <w:rFonts w:hint="eastAsia"/>
        </w:rPr>
        <w:t>日</w:t>
      </w:r>
    </w:p>
    <w:p w14:paraId="189A0C74">
      <w:pPr>
        <w:snapToGrid w:val="0"/>
        <w:spacing w:line="312" w:lineRule="auto"/>
        <w:ind w:right="-341"/>
        <w:jc w:val="left"/>
        <w:rPr>
          <w:b/>
          <w:sz w:val="24"/>
        </w:rPr>
      </w:pPr>
      <w:r>
        <w:rPr>
          <w:kern w:val="0"/>
        </w:rPr>
        <w:br w:type="page"/>
      </w:r>
    </w:p>
    <w:p w14:paraId="68DC8FE3">
      <w:pPr>
        <w:snapToGrid w:val="0"/>
        <w:spacing w:before="120" w:line="312" w:lineRule="auto"/>
        <w:ind w:right="-341"/>
        <w:jc w:val="center"/>
        <w:rPr>
          <w:b/>
          <w:sz w:val="32"/>
        </w:rPr>
      </w:pPr>
    </w:p>
    <w:p w14:paraId="7088D7D2">
      <w:pPr>
        <w:snapToGrid w:val="0"/>
        <w:spacing w:before="120" w:beforeLines="50" w:after="50"/>
        <w:jc w:val="center"/>
        <w:rPr>
          <w:b/>
          <w:sz w:val="32"/>
          <w:szCs w:val="32"/>
        </w:rPr>
      </w:pPr>
      <w:r>
        <w:rPr>
          <w:rFonts w:hint="eastAsia"/>
          <w:b/>
          <w:sz w:val="32"/>
          <w:szCs w:val="32"/>
          <w:lang w:val="en-US" w:eastAsia="zh-CN"/>
        </w:rPr>
        <w:t>六</w:t>
      </w:r>
      <w:r>
        <w:rPr>
          <w:rFonts w:hint="eastAsia"/>
          <w:b/>
          <w:sz w:val="32"/>
          <w:szCs w:val="32"/>
        </w:rPr>
        <w:t>、声明函</w:t>
      </w:r>
    </w:p>
    <w:p w14:paraId="4CCC83C2">
      <w:pPr>
        <w:snapToGrid w:val="0"/>
        <w:spacing w:before="120" w:beforeLines="50" w:after="50" w:line="360" w:lineRule="auto"/>
        <w:rPr>
          <w:szCs w:val="21"/>
        </w:rPr>
      </w:pPr>
    </w:p>
    <w:p w14:paraId="5CE775AD">
      <w:pPr>
        <w:snapToGrid w:val="0"/>
        <w:spacing w:before="120" w:beforeLines="50" w:after="50" w:line="360" w:lineRule="auto"/>
        <w:rPr>
          <w:szCs w:val="21"/>
        </w:rPr>
      </w:pPr>
      <w:r>
        <w:rPr>
          <w:rFonts w:hint="eastAsia"/>
          <w:szCs w:val="21"/>
        </w:rPr>
        <w:t>致：</w:t>
      </w:r>
      <w:r>
        <w:rPr>
          <w:szCs w:val="21"/>
        </w:rPr>
        <w:t>_</w:t>
      </w:r>
      <w:r>
        <w:rPr>
          <w:rFonts w:hint="eastAsia"/>
          <w:u w:val="single"/>
        </w:rPr>
        <w:t>深圳市国信招标有限公司</w:t>
      </w:r>
      <w:r>
        <w:t>_</w:t>
      </w:r>
      <w:r>
        <w:rPr>
          <w:rFonts w:hint="eastAsia"/>
          <w:szCs w:val="21"/>
        </w:rPr>
        <w:t>：</w:t>
      </w:r>
    </w:p>
    <w:p w14:paraId="369A63A3">
      <w:pPr>
        <w:spacing w:after="120" w:line="360" w:lineRule="auto"/>
        <w:ind w:firstLine="480"/>
        <w:rPr>
          <w:szCs w:val="21"/>
        </w:rPr>
      </w:pPr>
      <w:r>
        <w:rPr>
          <w:rFonts w:hint="eastAsia"/>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szCs w:val="21"/>
        </w:rPr>
        <w:t>/</w:t>
      </w:r>
      <w:r>
        <w:rPr>
          <w:rFonts w:hint="eastAsia"/>
          <w:szCs w:val="21"/>
        </w:rPr>
        <w:t>中标</w:t>
      </w:r>
      <w:r>
        <w:rPr>
          <w:szCs w:val="21"/>
        </w:rPr>
        <w:t>/</w:t>
      </w:r>
      <w:r>
        <w:rPr>
          <w:rFonts w:hint="eastAsia"/>
          <w:szCs w:val="21"/>
        </w:rPr>
        <w:t>签订合同），我方对此无任何异议。</w:t>
      </w:r>
    </w:p>
    <w:p w14:paraId="5BED2C5F">
      <w:pPr>
        <w:spacing w:after="120" w:line="360" w:lineRule="auto"/>
        <w:ind w:firstLine="480"/>
        <w:rPr>
          <w:szCs w:val="21"/>
        </w:rPr>
      </w:pPr>
      <w:r>
        <w:rPr>
          <w:rFonts w:hint="eastAsia"/>
          <w:szCs w:val="21"/>
        </w:rPr>
        <w:t>特此声明！</w:t>
      </w:r>
    </w:p>
    <w:p w14:paraId="34CC0F48">
      <w:pPr>
        <w:spacing w:after="120"/>
        <w:ind w:firstLine="480"/>
      </w:pPr>
    </w:p>
    <w:p w14:paraId="1372FDAC">
      <w:pPr>
        <w:snapToGrid w:val="0"/>
        <w:spacing w:before="120" w:beforeLines="50"/>
        <w:ind w:firstLine="200"/>
      </w:pPr>
    </w:p>
    <w:p w14:paraId="3D7A7205">
      <w:pPr>
        <w:snapToGrid w:val="0"/>
        <w:spacing w:before="50" w:after="50"/>
      </w:pPr>
    </w:p>
    <w:p w14:paraId="1D750F0C">
      <w:pPr>
        <w:snapToGrid w:val="0"/>
        <w:ind w:left="2" w:right="-817" w:rightChars="-389"/>
      </w:pPr>
    </w:p>
    <w:p w14:paraId="2ECF020C">
      <w:pPr>
        <w:snapToGrid w:val="0"/>
        <w:spacing w:before="50" w:line="312" w:lineRule="auto"/>
        <w:jc w:val="left"/>
        <w:rPr>
          <w:b/>
          <w:spacing w:val="20"/>
          <w:sz w:val="28"/>
        </w:rPr>
      </w:pPr>
      <w:r>
        <w:rPr>
          <w:rFonts w:hint="eastAsia"/>
        </w:rPr>
        <w:t>投标人名称（盖章）：日期：</w:t>
      </w:r>
    </w:p>
    <w:p w14:paraId="568E5329">
      <w:pPr>
        <w:snapToGrid w:val="0"/>
        <w:spacing w:before="120" w:beforeLines="50"/>
        <w:ind w:firstLine="200"/>
        <w:jc w:val="right"/>
        <w:rPr>
          <w:szCs w:val="24"/>
        </w:rPr>
      </w:pPr>
    </w:p>
    <w:p w14:paraId="2D192CB4">
      <w:pPr>
        <w:snapToGrid w:val="0"/>
        <w:spacing w:before="120" w:beforeLines="50" w:after="50"/>
        <w:ind w:firstLine="482" w:firstLineChars="200"/>
        <w:jc w:val="left"/>
        <w:rPr>
          <w:b/>
          <w:bCs/>
          <w:sz w:val="24"/>
        </w:rPr>
      </w:pPr>
    </w:p>
    <w:p w14:paraId="39D4C2F1">
      <w:pPr>
        <w:snapToGrid w:val="0"/>
        <w:spacing w:before="120" w:beforeLines="50"/>
        <w:ind w:left="5250" w:firstLine="200"/>
        <w:jc w:val="right"/>
        <w:rPr>
          <w:szCs w:val="24"/>
        </w:rPr>
      </w:pPr>
    </w:p>
    <w:p w14:paraId="32477151">
      <w:pPr>
        <w:snapToGrid w:val="0"/>
        <w:spacing w:before="120" w:line="312" w:lineRule="auto"/>
        <w:ind w:right="-341"/>
        <w:jc w:val="center"/>
        <w:rPr>
          <w:b/>
          <w:sz w:val="32"/>
        </w:rPr>
      </w:pPr>
    </w:p>
    <w:p w14:paraId="79D2FB20">
      <w:pPr>
        <w:snapToGrid w:val="0"/>
        <w:spacing w:before="120" w:line="312" w:lineRule="auto"/>
        <w:ind w:right="-341"/>
        <w:jc w:val="center"/>
        <w:rPr>
          <w:b/>
          <w:sz w:val="32"/>
        </w:rPr>
      </w:pPr>
    </w:p>
    <w:p w14:paraId="2DF8FE80">
      <w:pPr>
        <w:snapToGrid w:val="0"/>
        <w:spacing w:before="120" w:line="312" w:lineRule="auto"/>
        <w:ind w:right="-341"/>
        <w:jc w:val="center"/>
        <w:rPr>
          <w:b/>
          <w:sz w:val="32"/>
        </w:rPr>
      </w:pPr>
    </w:p>
    <w:p w14:paraId="4448425A">
      <w:pPr>
        <w:snapToGrid w:val="0"/>
        <w:spacing w:before="120" w:line="312" w:lineRule="auto"/>
        <w:ind w:right="-341"/>
        <w:jc w:val="center"/>
        <w:rPr>
          <w:b/>
          <w:sz w:val="32"/>
        </w:rPr>
      </w:pPr>
    </w:p>
    <w:p w14:paraId="232645F9">
      <w:pPr>
        <w:snapToGrid w:val="0"/>
        <w:spacing w:line="312" w:lineRule="auto"/>
        <w:jc w:val="left"/>
        <w:rPr>
          <w:b/>
          <w:sz w:val="32"/>
        </w:rPr>
      </w:pPr>
    </w:p>
    <w:p w14:paraId="0E571BAE">
      <w:pPr>
        <w:snapToGrid w:val="0"/>
        <w:spacing w:line="312" w:lineRule="auto"/>
        <w:jc w:val="left"/>
        <w:rPr>
          <w:b/>
          <w:sz w:val="32"/>
        </w:rPr>
      </w:pPr>
    </w:p>
    <w:p w14:paraId="3ECD9ADB">
      <w:pPr>
        <w:snapToGrid w:val="0"/>
        <w:spacing w:line="312" w:lineRule="auto"/>
        <w:jc w:val="left"/>
        <w:rPr>
          <w:b/>
          <w:sz w:val="32"/>
        </w:rPr>
      </w:pPr>
    </w:p>
    <w:p w14:paraId="70BAA9AF">
      <w:pPr>
        <w:snapToGrid w:val="0"/>
        <w:spacing w:line="312" w:lineRule="auto"/>
        <w:jc w:val="left"/>
        <w:rPr>
          <w:b/>
          <w:sz w:val="32"/>
        </w:rPr>
      </w:pPr>
    </w:p>
    <w:p w14:paraId="440C8E84">
      <w:pPr>
        <w:snapToGrid w:val="0"/>
        <w:spacing w:line="312" w:lineRule="auto"/>
        <w:jc w:val="left"/>
        <w:rPr>
          <w:b/>
          <w:sz w:val="32"/>
        </w:rPr>
      </w:pPr>
    </w:p>
    <w:p w14:paraId="30C4462E">
      <w:pPr>
        <w:snapToGrid w:val="0"/>
        <w:spacing w:line="312" w:lineRule="auto"/>
        <w:jc w:val="left"/>
        <w:rPr>
          <w:b/>
          <w:sz w:val="32"/>
        </w:rPr>
      </w:pPr>
    </w:p>
    <w:p w14:paraId="74C51F96">
      <w:pPr>
        <w:snapToGrid w:val="0"/>
        <w:spacing w:line="312" w:lineRule="auto"/>
        <w:jc w:val="left"/>
        <w:rPr>
          <w:b/>
          <w:sz w:val="24"/>
        </w:rPr>
      </w:pPr>
    </w:p>
    <w:p w14:paraId="4959A545">
      <w:pPr>
        <w:snapToGrid w:val="0"/>
        <w:spacing w:line="312" w:lineRule="auto"/>
        <w:jc w:val="left"/>
        <w:rPr>
          <w:b/>
          <w:sz w:val="24"/>
        </w:rPr>
      </w:pPr>
    </w:p>
    <w:p w14:paraId="0F261193">
      <w:pPr>
        <w:jc w:val="center"/>
        <w:rPr>
          <w:b/>
          <w:spacing w:val="20"/>
          <w:sz w:val="28"/>
        </w:rPr>
      </w:pPr>
    </w:p>
    <w:p w14:paraId="427CEF25">
      <w:pPr>
        <w:jc w:val="center"/>
        <w:rPr>
          <w:sz w:val="30"/>
          <w:szCs w:val="30"/>
        </w:rPr>
      </w:pPr>
      <w:r>
        <w:rPr>
          <w:rFonts w:hint="eastAsia"/>
          <w:b/>
          <w:spacing w:val="20"/>
          <w:sz w:val="28"/>
          <w:lang w:val="en-US" w:eastAsia="zh-CN"/>
        </w:rPr>
        <w:t>七</w:t>
      </w:r>
      <w:r>
        <w:rPr>
          <w:rFonts w:hint="eastAsia"/>
          <w:b/>
          <w:spacing w:val="20"/>
          <w:sz w:val="28"/>
        </w:rPr>
        <w:t>、</w:t>
      </w:r>
      <w:r>
        <w:rPr>
          <w:rFonts w:hint="eastAsia"/>
          <w:b/>
          <w:bCs/>
          <w:sz w:val="30"/>
          <w:szCs w:val="30"/>
        </w:rPr>
        <w:t>廉政承诺书</w:t>
      </w:r>
    </w:p>
    <w:p w14:paraId="4DEF47DD">
      <w:pPr>
        <w:rPr>
          <w:b/>
          <w:bCs/>
          <w:sz w:val="28"/>
          <w:szCs w:val="28"/>
        </w:rPr>
      </w:pPr>
    </w:p>
    <w:p w14:paraId="6FA4D8ED">
      <w:pPr>
        <w:rPr>
          <w:b/>
          <w:bCs/>
          <w:szCs w:val="21"/>
        </w:rPr>
      </w:pPr>
      <w:r>
        <w:rPr>
          <w:rFonts w:hint="eastAsia"/>
          <w:b/>
          <w:bCs/>
          <w:szCs w:val="21"/>
        </w:rPr>
        <w:t>致：</w:t>
      </w:r>
      <w:r>
        <w:rPr>
          <w:rFonts w:hint="eastAsia"/>
          <w:b/>
          <w:bCs/>
          <w:szCs w:val="21"/>
          <w:u w:val="single"/>
        </w:rPr>
        <w:t>深圳市国信招标有限公司</w:t>
      </w:r>
      <w:r>
        <w:rPr>
          <w:rFonts w:hint="eastAsia"/>
          <w:b/>
          <w:bCs/>
          <w:szCs w:val="21"/>
        </w:rPr>
        <w:t>：</w:t>
      </w:r>
    </w:p>
    <w:p w14:paraId="2222EEAA">
      <w:pPr>
        <w:spacing w:line="360" w:lineRule="auto"/>
        <w:ind w:firstLine="420" w:firstLineChars="200"/>
        <w:rPr>
          <w:szCs w:val="21"/>
        </w:rPr>
      </w:pPr>
    </w:p>
    <w:p w14:paraId="312ABF42">
      <w:pPr>
        <w:spacing w:line="360" w:lineRule="auto"/>
        <w:ind w:firstLine="420" w:firstLineChars="200"/>
        <w:rPr>
          <w:szCs w:val="21"/>
        </w:rPr>
      </w:pPr>
      <w:r>
        <w:rPr>
          <w:rFonts w:hint="eastAsia"/>
          <w:szCs w:val="21"/>
        </w:rPr>
        <w:t>我单位响应你单位</w:t>
      </w:r>
      <w:r>
        <w:rPr>
          <w:rFonts w:hint="eastAsia"/>
          <w:szCs w:val="21"/>
          <w:u w:val="single"/>
          <w:lang w:val="en-US" w:eastAsia="zh-CN"/>
        </w:rPr>
        <w:t xml:space="preserve">    </w:t>
      </w:r>
      <w:r>
        <w:rPr>
          <w:rFonts w:hint="eastAsia"/>
          <w:szCs w:val="21"/>
        </w:rPr>
        <w:t>项目招标要求参加投标，在这次投标过程中和中标后，我们将严格遵守国家法律法规要求，并郑重承诺</w:t>
      </w:r>
      <w:r>
        <w:rPr>
          <w:szCs w:val="21"/>
        </w:rPr>
        <w:t>:</w:t>
      </w:r>
    </w:p>
    <w:p w14:paraId="4FF8161A">
      <w:pPr>
        <w:spacing w:line="360" w:lineRule="auto"/>
        <w:ind w:firstLine="420" w:firstLineChars="200"/>
        <w:rPr>
          <w:szCs w:val="21"/>
        </w:rPr>
      </w:pPr>
      <w:r>
        <w:rPr>
          <w:rFonts w:hint="eastAsia"/>
          <w:szCs w:val="21"/>
        </w:rPr>
        <w:t>一、不向项目有关人员及部门赠送礼金礼物、有价证券、回扣以及中介费、介绍费、咨询费等好处费。</w:t>
      </w:r>
    </w:p>
    <w:p w14:paraId="7B74B617">
      <w:pPr>
        <w:spacing w:line="360" w:lineRule="auto"/>
        <w:ind w:firstLine="420" w:firstLineChars="200"/>
        <w:rPr>
          <w:szCs w:val="21"/>
        </w:rPr>
      </w:pPr>
      <w:r>
        <w:rPr>
          <w:rFonts w:hint="eastAsia"/>
          <w:szCs w:val="21"/>
        </w:rPr>
        <w:t>二、不为项目有关人员及部门报销应由你方单位或个人支付的费用</w:t>
      </w:r>
      <w:r>
        <w:rPr>
          <w:szCs w:val="21"/>
        </w:rPr>
        <w:t>;</w:t>
      </w:r>
    </w:p>
    <w:p w14:paraId="477A779B">
      <w:pPr>
        <w:spacing w:line="360" w:lineRule="auto"/>
        <w:ind w:firstLine="420" w:firstLineChars="200"/>
        <w:rPr>
          <w:szCs w:val="21"/>
        </w:rPr>
      </w:pPr>
      <w:r>
        <w:rPr>
          <w:rFonts w:hint="eastAsia"/>
          <w:szCs w:val="21"/>
        </w:rPr>
        <w:t>三、不向项目有关人员及部门提供有可能影响公正的宴请和健身娱乐等活动</w:t>
      </w:r>
      <w:r>
        <w:rPr>
          <w:szCs w:val="21"/>
        </w:rPr>
        <w:t>;</w:t>
      </w:r>
    </w:p>
    <w:p w14:paraId="404B5AD6">
      <w:pPr>
        <w:spacing w:line="360" w:lineRule="auto"/>
        <w:ind w:firstLine="420" w:firstLineChars="200"/>
        <w:rPr>
          <w:szCs w:val="21"/>
        </w:rPr>
      </w:pPr>
      <w:r>
        <w:rPr>
          <w:rFonts w:hint="eastAsia"/>
          <w:szCs w:val="21"/>
        </w:rPr>
        <w:t>四、不为项目有关人员及部门出国</w:t>
      </w:r>
      <w:r>
        <w:rPr>
          <w:szCs w:val="21"/>
        </w:rPr>
        <w:t>(</w:t>
      </w:r>
      <w:r>
        <w:rPr>
          <w:rFonts w:hint="eastAsia"/>
          <w:szCs w:val="21"/>
        </w:rPr>
        <w:t>境</w:t>
      </w:r>
      <w:r>
        <w:rPr>
          <w:szCs w:val="21"/>
        </w:rPr>
        <w:t>)</w:t>
      </w:r>
      <w:r>
        <w:rPr>
          <w:rFonts w:hint="eastAsia"/>
          <w:szCs w:val="21"/>
        </w:rPr>
        <w:t>、旅游等提供方便；</w:t>
      </w:r>
    </w:p>
    <w:p w14:paraId="25E8A24E">
      <w:pPr>
        <w:spacing w:line="360" w:lineRule="auto"/>
        <w:ind w:firstLine="420" w:firstLineChars="200"/>
        <w:rPr>
          <w:szCs w:val="21"/>
        </w:rPr>
      </w:pPr>
      <w:r>
        <w:rPr>
          <w:rFonts w:hint="eastAsia"/>
          <w:szCs w:val="21"/>
        </w:rPr>
        <w:t>五、不为项目有关人员个人装修住房、婚丧嫁娶、配偶子女工作安排等提供好处</w:t>
      </w:r>
      <w:r>
        <w:rPr>
          <w:szCs w:val="21"/>
        </w:rPr>
        <w:t>;</w:t>
      </w:r>
    </w:p>
    <w:p w14:paraId="68A746A7">
      <w:pPr>
        <w:spacing w:line="360" w:lineRule="auto"/>
        <w:ind w:firstLine="420" w:firstLineChars="200"/>
        <w:rPr>
          <w:szCs w:val="21"/>
        </w:rPr>
      </w:pPr>
      <w:r>
        <w:rPr>
          <w:rFonts w:hint="eastAsia"/>
          <w:szCs w:val="21"/>
        </w:rPr>
        <w:t>六、严格遵守政府采购法、民法典等法律，诚实守信，合法经营，坚决抵制各种违法违纪行为。</w:t>
      </w:r>
    </w:p>
    <w:p w14:paraId="744E56F9">
      <w:pPr>
        <w:spacing w:line="360" w:lineRule="auto"/>
        <w:ind w:firstLine="420" w:firstLineChars="200"/>
        <w:rPr>
          <w:szCs w:val="21"/>
        </w:rPr>
      </w:pPr>
      <w:r>
        <w:rPr>
          <w:rFonts w:hint="eastAsia"/>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7C6B7448">
      <w:pPr>
        <w:rPr>
          <w:szCs w:val="21"/>
        </w:rPr>
      </w:pPr>
    </w:p>
    <w:p w14:paraId="4158E8AA">
      <w:pPr>
        <w:rPr>
          <w:szCs w:val="21"/>
        </w:rPr>
      </w:pPr>
    </w:p>
    <w:p w14:paraId="0AE29B00">
      <w:pPr>
        <w:rPr>
          <w:szCs w:val="21"/>
        </w:rPr>
      </w:pPr>
      <w:r>
        <w:rPr>
          <w:rFonts w:hint="eastAsia"/>
          <w:szCs w:val="21"/>
        </w:rPr>
        <w:t>投标人</w:t>
      </w:r>
      <w:r>
        <w:rPr>
          <w:szCs w:val="21"/>
        </w:rPr>
        <w:t>:(</w:t>
      </w:r>
      <w:r>
        <w:rPr>
          <w:rFonts w:hint="eastAsia"/>
          <w:szCs w:val="21"/>
        </w:rPr>
        <w:t>盖章</w:t>
      </w:r>
      <w:r>
        <w:rPr>
          <w:szCs w:val="21"/>
        </w:rPr>
        <w:t>)</w:t>
      </w:r>
    </w:p>
    <w:p w14:paraId="32610F4A">
      <w:pPr>
        <w:rPr>
          <w:szCs w:val="21"/>
        </w:rPr>
      </w:pPr>
    </w:p>
    <w:p w14:paraId="50945DE0">
      <w:pPr>
        <w:rPr>
          <w:szCs w:val="21"/>
        </w:rPr>
      </w:pPr>
    </w:p>
    <w:p w14:paraId="66E24BF7">
      <w:pPr>
        <w:rPr>
          <w:szCs w:val="21"/>
        </w:rPr>
      </w:pPr>
    </w:p>
    <w:p w14:paraId="12892AA9">
      <w:pPr>
        <w:rPr>
          <w:szCs w:val="21"/>
        </w:rPr>
      </w:pPr>
    </w:p>
    <w:p w14:paraId="33364666">
      <w:pPr>
        <w:rPr>
          <w:szCs w:val="21"/>
        </w:rPr>
      </w:pPr>
    </w:p>
    <w:p w14:paraId="443788F4">
      <w:pPr>
        <w:rPr>
          <w:szCs w:val="21"/>
        </w:rPr>
      </w:pPr>
      <w:r>
        <w:rPr>
          <w:rFonts w:hint="eastAsia"/>
          <w:szCs w:val="21"/>
        </w:rPr>
        <w:t>日期</w:t>
      </w:r>
      <w:r>
        <w:rPr>
          <w:szCs w:val="21"/>
        </w:rPr>
        <w:t>:</w:t>
      </w:r>
      <w:r>
        <w:rPr>
          <w:rFonts w:hint="eastAsia"/>
          <w:szCs w:val="21"/>
        </w:rPr>
        <w:t>年月日</w:t>
      </w:r>
    </w:p>
    <w:p w14:paraId="218DC093">
      <w:pPr>
        <w:snapToGrid w:val="0"/>
        <w:spacing w:before="50" w:line="312" w:lineRule="auto"/>
        <w:jc w:val="left"/>
        <w:rPr>
          <w:b/>
          <w:spacing w:val="20"/>
          <w:sz w:val="28"/>
        </w:rPr>
      </w:pPr>
    </w:p>
    <w:p w14:paraId="56218943">
      <w:pPr>
        <w:snapToGrid w:val="0"/>
        <w:spacing w:before="120" w:line="312" w:lineRule="auto"/>
        <w:ind w:right="-341"/>
        <w:rPr>
          <w:b/>
          <w:sz w:val="28"/>
          <w:szCs w:val="28"/>
        </w:rPr>
      </w:pPr>
    </w:p>
    <w:p w14:paraId="5F9BC294">
      <w:pPr>
        <w:snapToGrid w:val="0"/>
        <w:spacing w:before="120" w:line="312" w:lineRule="auto"/>
        <w:ind w:right="-341"/>
        <w:rPr>
          <w:b/>
          <w:sz w:val="28"/>
          <w:szCs w:val="28"/>
        </w:rPr>
      </w:pPr>
    </w:p>
    <w:p w14:paraId="75848F8A">
      <w:pPr>
        <w:snapToGrid w:val="0"/>
        <w:spacing w:before="120" w:line="312" w:lineRule="auto"/>
        <w:ind w:right="-341"/>
        <w:rPr>
          <w:b/>
          <w:sz w:val="28"/>
          <w:szCs w:val="28"/>
        </w:rPr>
      </w:pPr>
    </w:p>
    <w:p w14:paraId="798390EC">
      <w:pPr>
        <w:snapToGrid w:val="0"/>
        <w:spacing w:before="120" w:line="312" w:lineRule="auto"/>
        <w:ind w:right="-341"/>
        <w:rPr>
          <w:b/>
          <w:sz w:val="28"/>
          <w:szCs w:val="28"/>
        </w:rPr>
      </w:pPr>
    </w:p>
    <w:p w14:paraId="475BAE3C">
      <w:pPr>
        <w:snapToGrid w:val="0"/>
        <w:spacing w:before="120" w:line="312" w:lineRule="auto"/>
        <w:ind w:right="-341"/>
        <w:rPr>
          <w:b/>
          <w:sz w:val="28"/>
          <w:szCs w:val="28"/>
        </w:rPr>
      </w:pPr>
    </w:p>
    <w:p w14:paraId="2338216B">
      <w:pPr>
        <w:snapToGrid w:val="0"/>
        <w:spacing w:before="120" w:line="312" w:lineRule="auto"/>
        <w:ind w:right="-341"/>
        <w:rPr>
          <w:b/>
          <w:sz w:val="28"/>
          <w:szCs w:val="28"/>
        </w:rPr>
      </w:pPr>
    </w:p>
    <w:p w14:paraId="779A540D">
      <w:pPr>
        <w:snapToGrid w:val="0"/>
        <w:spacing w:before="120" w:line="312" w:lineRule="auto"/>
        <w:ind w:right="-341"/>
        <w:rPr>
          <w:rFonts w:hint="eastAsia"/>
          <w:b/>
          <w:sz w:val="28"/>
          <w:szCs w:val="28"/>
        </w:rPr>
      </w:pPr>
    </w:p>
    <w:p w14:paraId="13984C4C">
      <w:pPr>
        <w:snapToGrid w:val="0"/>
        <w:spacing w:before="50" w:line="312" w:lineRule="auto"/>
        <w:jc w:val="both"/>
        <w:rPr>
          <w:b/>
          <w:sz w:val="24"/>
        </w:rPr>
      </w:pPr>
    </w:p>
    <w:p w14:paraId="54B3C046">
      <w:pPr>
        <w:snapToGrid w:val="0"/>
        <w:spacing w:before="50" w:line="312" w:lineRule="auto"/>
        <w:rPr>
          <w:b/>
          <w:sz w:val="24"/>
        </w:rPr>
      </w:pPr>
    </w:p>
    <w:p w14:paraId="0EE40DE8">
      <w:pPr>
        <w:snapToGrid w:val="0"/>
        <w:spacing w:before="50" w:line="312" w:lineRule="auto"/>
        <w:jc w:val="center"/>
        <w:rPr>
          <w:b/>
          <w:sz w:val="24"/>
        </w:rPr>
      </w:pPr>
      <w:r>
        <w:rPr>
          <w:rFonts w:hint="eastAsia"/>
          <w:b/>
          <w:sz w:val="24"/>
          <w:lang w:val="en-US" w:eastAsia="zh-CN"/>
        </w:rPr>
        <w:t>八</w:t>
      </w:r>
      <w:r>
        <w:rPr>
          <w:rFonts w:hint="eastAsia"/>
          <w:b/>
          <w:sz w:val="24"/>
        </w:rPr>
        <w:t>、商务响应表：</w:t>
      </w:r>
    </w:p>
    <w:p w14:paraId="5DF633E7">
      <w:pPr>
        <w:snapToGrid w:val="0"/>
        <w:spacing w:before="50" w:line="312" w:lineRule="auto"/>
        <w:jc w:val="center"/>
        <w:rPr>
          <w:b/>
          <w:sz w:val="24"/>
        </w:rPr>
      </w:pPr>
    </w:p>
    <w:p w14:paraId="49320EB7">
      <w:pPr>
        <w:snapToGrid w:val="0"/>
        <w:spacing w:line="312" w:lineRule="auto"/>
      </w:pPr>
      <w:r>
        <w:rPr>
          <w:rFonts w:hint="eastAsia"/>
        </w:rPr>
        <w:t>项目名称：</w:t>
      </w:r>
    </w:p>
    <w:p w14:paraId="206B6E9B">
      <w:pPr>
        <w:snapToGrid w:val="0"/>
        <w:spacing w:line="312" w:lineRule="auto"/>
      </w:pPr>
      <w:r>
        <w:rPr>
          <w:rFonts w:hint="eastAsia"/>
        </w:rPr>
        <w:t>项目编号：</w:t>
      </w:r>
    </w:p>
    <w:tbl>
      <w:tblPr>
        <w:tblStyle w:val="61"/>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4BC06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547EE7E8">
            <w:pPr>
              <w:snapToGrid w:val="0"/>
              <w:spacing w:before="120" w:beforeLines="50" w:line="312" w:lineRule="auto"/>
              <w:jc w:val="center"/>
              <w:rPr>
                <w:b/>
              </w:rPr>
            </w:pPr>
            <w:r>
              <w:rPr>
                <w:rFonts w:hint="eastAsia"/>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23938095">
            <w:pPr>
              <w:snapToGrid w:val="0"/>
              <w:spacing w:before="120" w:beforeLines="50" w:line="312" w:lineRule="auto"/>
              <w:jc w:val="center"/>
              <w:rPr>
                <w:b/>
              </w:rPr>
            </w:pPr>
            <w:r>
              <w:rPr>
                <w:rFonts w:hint="eastAsia"/>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6CB88AAD">
            <w:pPr>
              <w:snapToGrid w:val="0"/>
              <w:spacing w:before="120" w:beforeLines="50" w:line="312" w:lineRule="auto"/>
              <w:jc w:val="center"/>
              <w:rPr>
                <w:b/>
              </w:rPr>
            </w:pPr>
            <w:r>
              <w:rPr>
                <w:rFonts w:hint="eastAsia"/>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7EACF1AD">
            <w:pPr>
              <w:snapToGrid w:val="0"/>
              <w:spacing w:before="120" w:beforeLines="50" w:line="312" w:lineRule="auto"/>
              <w:jc w:val="center"/>
              <w:rPr>
                <w:b/>
              </w:rPr>
            </w:pPr>
            <w:r>
              <w:rPr>
                <w:rFonts w:hint="eastAsia"/>
                <w:b/>
              </w:rPr>
              <w:t>投标人的承诺或说明</w:t>
            </w:r>
          </w:p>
        </w:tc>
      </w:tr>
      <w:tr w14:paraId="2BF5E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2FB5B1E3">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68762921">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1814C4C3">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6FCD2449">
            <w:pPr>
              <w:snapToGrid w:val="0"/>
              <w:spacing w:before="120" w:beforeLines="50" w:after="360" w:line="312" w:lineRule="auto"/>
              <w:rPr>
                <w:b/>
                <w:bCs/>
                <w:kern w:val="44"/>
                <w:sz w:val="24"/>
                <w:szCs w:val="20"/>
              </w:rPr>
            </w:pPr>
          </w:p>
        </w:tc>
      </w:tr>
      <w:tr w14:paraId="191E9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14C1A5C1">
            <w:pPr>
              <w:widowControl/>
              <w:tabs>
                <w:tab w:val="left" w:pos="420"/>
                <w:tab w:val="left" w:pos="1418"/>
              </w:tabs>
              <w:overflowPunct w:val="0"/>
              <w:autoSpaceDE w:val="0"/>
              <w:autoSpaceDN w:val="0"/>
              <w:adjustRightInd w:val="0"/>
              <w:snapToGrid w:val="0"/>
              <w:spacing w:line="312" w:lineRule="auto"/>
              <w:jc w:val="center"/>
              <w:textAlignment w:val="baseline"/>
              <w:rPr>
                <w:kern w:val="0"/>
                <w:sz w:val="24"/>
              </w:rPr>
            </w:pPr>
          </w:p>
        </w:tc>
        <w:tc>
          <w:tcPr>
            <w:tcW w:w="3240" w:type="dxa"/>
            <w:tcBorders>
              <w:top w:val="single" w:color="auto" w:sz="4" w:space="0"/>
              <w:left w:val="single" w:color="auto" w:sz="4" w:space="0"/>
              <w:bottom w:val="single" w:color="auto" w:sz="4" w:space="0"/>
              <w:right w:val="single" w:color="auto" w:sz="4" w:space="0"/>
            </w:tcBorders>
          </w:tcPr>
          <w:p w14:paraId="64009FCC">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06FF4847">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0A84863E">
            <w:pPr>
              <w:snapToGrid w:val="0"/>
              <w:spacing w:before="120" w:beforeLines="50" w:after="360" w:line="312" w:lineRule="auto"/>
              <w:rPr>
                <w:b/>
                <w:bCs/>
                <w:kern w:val="44"/>
                <w:sz w:val="24"/>
                <w:szCs w:val="20"/>
              </w:rPr>
            </w:pPr>
          </w:p>
        </w:tc>
      </w:tr>
      <w:tr w14:paraId="2B8E5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46E1E2E2">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14:paraId="62C9C2CE">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71433658">
            <w:pPr>
              <w:snapToGrid w:val="0"/>
              <w:spacing w:before="120" w:beforeLines="50" w:after="360" w:line="312" w:lineRule="auto"/>
              <w:ind w:left="43"/>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3A88C22F">
            <w:pPr>
              <w:snapToGrid w:val="0"/>
              <w:spacing w:before="120" w:beforeLines="50" w:after="360" w:line="312" w:lineRule="auto"/>
              <w:ind w:left="43"/>
              <w:rPr>
                <w:b/>
                <w:bCs/>
                <w:kern w:val="44"/>
                <w:sz w:val="24"/>
                <w:szCs w:val="20"/>
              </w:rPr>
            </w:pPr>
          </w:p>
        </w:tc>
      </w:tr>
      <w:tr w14:paraId="12FD1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0E499ACA">
            <w:pPr>
              <w:snapToGrid w:val="0"/>
              <w:spacing w:line="312" w:lineRule="auto"/>
              <w:jc w:val="center"/>
              <w:rPr>
                <w:sz w:val="24"/>
              </w:rPr>
            </w:pPr>
          </w:p>
        </w:tc>
        <w:tc>
          <w:tcPr>
            <w:tcW w:w="3240" w:type="dxa"/>
            <w:tcBorders>
              <w:top w:val="single" w:color="auto" w:sz="4" w:space="0"/>
              <w:left w:val="single" w:color="auto" w:sz="4" w:space="0"/>
              <w:bottom w:val="single" w:color="auto" w:sz="4" w:space="0"/>
              <w:right w:val="single" w:color="auto" w:sz="4" w:space="0"/>
            </w:tcBorders>
          </w:tcPr>
          <w:p w14:paraId="38C3EBE9">
            <w:pPr>
              <w:snapToGrid w:val="0"/>
              <w:spacing w:before="120" w:beforeLines="50" w:line="312" w:lineRule="auto"/>
              <w:rPr>
                <w:sz w:val="24"/>
              </w:rPr>
            </w:pPr>
          </w:p>
        </w:tc>
        <w:tc>
          <w:tcPr>
            <w:tcW w:w="1260" w:type="dxa"/>
            <w:tcBorders>
              <w:top w:val="single" w:color="auto" w:sz="4" w:space="0"/>
              <w:left w:val="single" w:color="auto" w:sz="4" w:space="0"/>
              <w:bottom w:val="single" w:color="auto" w:sz="4" w:space="0"/>
              <w:right w:val="single" w:color="auto" w:sz="4" w:space="0"/>
            </w:tcBorders>
          </w:tcPr>
          <w:p w14:paraId="4F3E09C8">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1A0A2A15">
            <w:pPr>
              <w:snapToGrid w:val="0"/>
              <w:spacing w:before="120" w:beforeLines="50" w:after="360" w:line="312" w:lineRule="auto"/>
              <w:rPr>
                <w:b/>
                <w:bCs/>
                <w:kern w:val="44"/>
                <w:sz w:val="24"/>
                <w:szCs w:val="20"/>
              </w:rPr>
            </w:pPr>
          </w:p>
        </w:tc>
      </w:tr>
      <w:tr w14:paraId="0EFBA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1211577A">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3E559B5E">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753639E4">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3C57CA60">
            <w:pPr>
              <w:snapToGrid w:val="0"/>
              <w:spacing w:before="120" w:beforeLines="50" w:after="360" w:line="312" w:lineRule="auto"/>
              <w:rPr>
                <w:b/>
                <w:bCs/>
                <w:kern w:val="44"/>
                <w:sz w:val="24"/>
                <w:szCs w:val="20"/>
              </w:rPr>
            </w:pPr>
          </w:p>
        </w:tc>
      </w:tr>
      <w:tr w14:paraId="58F60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tcPr>
          <w:p w14:paraId="67B9907E">
            <w:pPr>
              <w:snapToGrid w:val="0"/>
              <w:spacing w:before="120" w:beforeLines="50" w:line="312" w:lineRule="auto"/>
              <w:rPr>
                <w:sz w:val="24"/>
              </w:rPr>
            </w:pPr>
          </w:p>
        </w:tc>
        <w:tc>
          <w:tcPr>
            <w:tcW w:w="3240" w:type="dxa"/>
            <w:tcBorders>
              <w:top w:val="single" w:color="auto" w:sz="4" w:space="0"/>
              <w:left w:val="single" w:color="auto" w:sz="4" w:space="0"/>
              <w:bottom w:val="single" w:color="auto" w:sz="4" w:space="0"/>
              <w:right w:val="single" w:color="auto" w:sz="4" w:space="0"/>
            </w:tcBorders>
          </w:tcPr>
          <w:p w14:paraId="54E924F0">
            <w:pPr>
              <w:snapToGrid w:val="0"/>
              <w:spacing w:before="120" w:beforeLines="50" w:after="360" w:line="312" w:lineRule="auto"/>
              <w:rPr>
                <w:b/>
                <w:bCs/>
                <w:kern w:val="44"/>
                <w:sz w:val="24"/>
                <w:szCs w:val="20"/>
              </w:rPr>
            </w:pPr>
          </w:p>
        </w:tc>
        <w:tc>
          <w:tcPr>
            <w:tcW w:w="1260" w:type="dxa"/>
            <w:tcBorders>
              <w:top w:val="single" w:color="auto" w:sz="4" w:space="0"/>
              <w:left w:val="single" w:color="auto" w:sz="4" w:space="0"/>
              <w:bottom w:val="single" w:color="auto" w:sz="4" w:space="0"/>
              <w:right w:val="single" w:color="auto" w:sz="4" w:space="0"/>
            </w:tcBorders>
          </w:tcPr>
          <w:p w14:paraId="0F3AEC00">
            <w:pPr>
              <w:snapToGrid w:val="0"/>
              <w:spacing w:before="120" w:beforeLines="50" w:after="360" w:line="312" w:lineRule="auto"/>
              <w:rPr>
                <w:b/>
                <w:bCs/>
                <w:kern w:val="44"/>
                <w:sz w:val="24"/>
                <w:szCs w:val="20"/>
              </w:rPr>
            </w:pPr>
          </w:p>
        </w:tc>
        <w:tc>
          <w:tcPr>
            <w:tcW w:w="3020" w:type="dxa"/>
            <w:tcBorders>
              <w:top w:val="single" w:color="auto" w:sz="4" w:space="0"/>
              <w:left w:val="single" w:color="auto" w:sz="4" w:space="0"/>
              <w:bottom w:val="single" w:color="auto" w:sz="4" w:space="0"/>
              <w:right w:val="single" w:color="auto" w:sz="4" w:space="0"/>
            </w:tcBorders>
          </w:tcPr>
          <w:p w14:paraId="627C6330">
            <w:pPr>
              <w:snapToGrid w:val="0"/>
              <w:spacing w:before="120" w:beforeLines="50" w:after="360" w:line="312" w:lineRule="auto"/>
              <w:rPr>
                <w:b/>
                <w:bCs/>
                <w:kern w:val="44"/>
                <w:sz w:val="24"/>
                <w:szCs w:val="20"/>
              </w:rPr>
            </w:pPr>
          </w:p>
        </w:tc>
      </w:tr>
    </w:tbl>
    <w:p w14:paraId="70BF4F97">
      <w:pPr>
        <w:snapToGrid w:val="0"/>
        <w:spacing w:line="312" w:lineRule="auto"/>
        <w:ind w:left="642" w:hanging="642"/>
        <w:rPr>
          <w:b/>
          <w:spacing w:val="20"/>
          <w:kern w:val="0"/>
          <w:sz w:val="28"/>
          <w:szCs w:val="20"/>
        </w:rPr>
      </w:pPr>
    </w:p>
    <w:p w14:paraId="5C8C0261">
      <w:pPr>
        <w:widowControl/>
        <w:spacing w:line="312" w:lineRule="auto"/>
        <w:jc w:val="left"/>
        <w:rPr>
          <w:kern w:val="0"/>
          <w:sz w:val="24"/>
        </w:rPr>
        <w:sectPr>
          <w:pgSz w:w="11906" w:h="16838"/>
          <w:pgMar w:top="1304" w:right="1531" w:bottom="1304" w:left="1531" w:header="1304" w:footer="1304" w:gutter="0"/>
          <w:cols w:space="720" w:num="1"/>
        </w:sectPr>
      </w:pPr>
    </w:p>
    <w:p w14:paraId="75FB6EC8">
      <w:pPr>
        <w:snapToGrid w:val="0"/>
        <w:spacing w:before="50" w:after="120" w:afterLines="50" w:line="312" w:lineRule="auto"/>
        <w:jc w:val="left"/>
        <w:rPr>
          <w:sz w:val="24"/>
        </w:rPr>
      </w:pPr>
      <w:r>
        <w:rPr>
          <w:rFonts w:hint="eastAsia"/>
          <w:b/>
          <w:sz w:val="24"/>
          <w:lang w:val="en-US" w:eastAsia="zh-CN"/>
        </w:rPr>
        <w:t>九</w:t>
      </w:r>
      <w:r>
        <w:rPr>
          <w:rFonts w:hint="eastAsia"/>
          <w:b/>
          <w:sz w:val="24"/>
        </w:rPr>
        <w:t>、投标人的类似案例的业绩证明文件：</w:t>
      </w:r>
    </w:p>
    <w:p w14:paraId="49D5E45E">
      <w:pPr>
        <w:snapToGrid w:val="0"/>
        <w:spacing w:line="312" w:lineRule="auto"/>
        <w:ind w:left="420" w:hanging="420" w:hangingChars="200"/>
        <w:rPr>
          <w:sz w:val="24"/>
        </w:rPr>
      </w:pPr>
      <w:r>
        <w:rPr>
          <w:rFonts w:hint="eastAsia"/>
        </w:rPr>
        <w:t>投标人同类项目实施情况一览表格式：（投标人同类项目合同复印件</w:t>
      </w:r>
      <w:r>
        <w:rPr>
          <w:rFonts w:hint="eastAsia"/>
          <w:lang w:eastAsia="zh-CN"/>
        </w:rPr>
        <w:t>，</w:t>
      </w:r>
      <w:r>
        <w:rPr>
          <w:rFonts w:hint="eastAsia"/>
        </w:rPr>
        <w:t>格式</w:t>
      </w:r>
      <w:r>
        <w:rPr>
          <w:rFonts w:hint="eastAsia"/>
          <w:lang w:val="en-US" w:eastAsia="zh-CN"/>
        </w:rPr>
        <w:t>可</w:t>
      </w:r>
      <w:r>
        <w:rPr>
          <w:rFonts w:hint="eastAsia"/>
        </w:rPr>
        <w:t>自拟）</w:t>
      </w:r>
    </w:p>
    <w:tbl>
      <w:tblPr>
        <w:tblStyle w:val="61"/>
        <w:tblW w:w="144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23"/>
        <w:gridCol w:w="7128"/>
        <w:gridCol w:w="2604"/>
      </w:tblGrid>
      <w:tr w14:paraId="19E35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723" w:type="dxa"/>
            <w:vMerge w:val="restart"/>
            <w:tcBorders>
              <w:top w:val="single" w:color="auto" w:sz="4" w:space="0"/>
              <w:left w:val="single" w:color="auto" w:sz="4" w:space="0"/>
              <w:bottom w:val="single" w:color="auto" w:sz="4" w:space="0"/>
              <w:right w:val="single" w:color="auto" w:sz="4" w:space="0"/>
            </w:tcBorders>
            <w:vAlign w:val="center"/>
          </w:tcPr>
          <w:p w14:paraId="2DA6D1C7">
            <w:pPr>
              <w:snapToGrid w:val="0"/>
              <w:spacing w:line="312" w:lineRule="auto"/>
              <w:jc w:val="center"/>
              <w:rPr>
                <w:szCs w:val="21"/>
              </w:rPr>
            </w:pPr>
            <w:r>
              <w:rPr>
                <w:rFonts w:hint="eastAsia"/>
                <w:szCs w:val="21"/>
              </w:rPr>
              <w:t>采购单位名称</w:t>
            </w:r>
          </w:p>
        </w:tc>
        <w:tc>
          <w:tcPr>
            <w:tcW w:w="7128" w:type="dxa"/>
            <w:vMerge w:val="restart"/>
            <w:tcBorders>
              <w:top w:val="single" w:color="auto" w:sz="4" w:space="0"/>
              <w:left w:val="single" w:color="auto" w:sz="4" w:space="0"/>
              <w:bottom w:val="single" w:color="auto" w:sz="4" w:space="0"/>
              <w:right w:val="single" w:color="auto" w:sz="4" w:space="0"/>
            </w:tcBorders>
            <w:vAlign w:val="center"/>
          </w:tcPr>
          <w:p w14:paraId="73CA7AC8">
            <w:pPr>
              <w:snapToGrid w:val="0"/>
              <w:spacing w:line="312" w:lineRule="auto"/>
              <w:jc w:val="center"/>
              <w:rPr>
                <w:szCs w:val="21"/>
              </w:rPr>
            </w:pPr>
            <w:r>
              <w:rPr>
                <w:rFonts w:hint="eastAsia"/>
                <w:szCs w:val="21"/>
              </w:rPr>
              <w:t>项目名称</w:t>
            </w:r>
          </w:p>
        </w:tc>
        <w:tc>
          <w:tcPr>
            <w:tcW w:w="2604" w:type="dxa"/>
            <w:vMerge w:val="restart"/>
            <w:tcBorders>
              <w:top w:val="single" w:color="auto" w:sz="4" w:space="0"/>
              <w:left w:val="single" w:color="auto" w:sz="4" w:space="0"/>
              <w:bottom w:val="single" w:color="auto" w:sz="4" w:space="0"/>
              <w:right w:val="single" w:color="auto" w:sz="4" w:space="0"/>
            </w:tcBorders>
            <w:vAlign w:val="center"/>
          </w:tcPr>
          <w:p w14:paraId="0369B2E8">
            <w:pPr>
              <w:snapToGrid w:val="0"/>
              <w:spacing w:line="312" w:lineRule="auto"/>
              <w:jc w:val="center"/>
              <w:rPr>
                <w:szCs w:val="21"/>
              </w:rPr>
            </w:pPr>
            <w:r>
              <w:rPr>
                <w:rFonts w:hint="eastAsia"/>
                <w:szCs w:val="21"/>
              </w:rPr>
              <w:t>合同金额</w:t>
            </w:r>
          </w:p>
          <w:p w14:paraId="090128A7">
            <w:pPr>
              <w:snapToGrid w:val="0"/>
              <w:spacing w:line="312" w:lineRule="auto"/>
              <w:jc w:val="center"/>
              <w:rPr>
                <w:szCs w:val="21"/>
              </w:rPr>
            </w:pPr>
            <w:r>
              <w:rPr>
                <w:rFonts w:hint="eastAsia"/>
                <w:szCs w:val="21"/>
              </w:rPr>
              <w:t>（万元）</w:t>
            </w:r>
          </w:p>
        </w:tc>
      </w:tr>
      <w:tr w14:paraId="7B134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4723" w:type="dxa"/>
            <w:vMerge w:val="continue"/>
            <w:tcBorders>
              <w:top w:val="single" w:color="auto" w:sz="4" w:space="0"/>
              <w:left w:val="single" w:color="auto" w:sz="4" w:space="0"/>
              <w:bottom w:val="single" w:color="auto" w:sz="4" w:space="0"/>
              <w:right w:val="single" w:color="auto" w:sz="4" w:space="0"/>
            </w:tcBorders>
            <w:vAlign w:val="center"/>
          </w:tcPr>
          <w:p w14:paraId="40CEB913">
            <w:pPr>
              <w:widowControl/>
              <w:jc w:val="left"/>
              <w:rPr>
                <w:szCs w:val="21"/>
              </w:rPr>
            </w:pPr>
          </w:p>
        </w:tc>
        <w:tc>
          <w:tcPr>
            <w:tcW w:w="7128" w:type="dxa"/>
            <w:vMerge w:val="continue"/>
            <w:tcBorders>
              <w:top w:val="single" w:color="auto" w:sz="4" w:space="0"/>
              <w:left w:val="single" w:color="auto" w:sz="4" w:space="0"/>
              <w:bottom w:val="single" w:color="auto" w:sz="4" w:space="0"/>
              <w:right w:val="single" w:color="auto" w:sz="4" w:space="0"/>
            </w:tcBorders>
            <w:vAlign w:val="center"/>
          </w:tcPr>
          <w:p w14:paraId="559EE245">
            <w:pPr>
              <w:widowControl/>
              <w:jc w:val="left"/>
              <w:rPr>
                <w:szCs w:val="21"/>
              </w:rPr>
            </w:pPr>
          </w:p>
        </w:tc>
        <w:tc>
          <w:tcPr>
            <w:tcW w:w="2604" w:type="dxa"/>
            <w:vMerge w:val="continue"/>
            <w:tcBorders>
              <w:top w:val="single" w:color="auto" w:sz="4" w:space="0"/>
              <w:left w:val="single" w:color="auto" w:sz="4" w:space="0"/>
              <w:bottom w:val="single" w:color="auto" w:sz="4" w:space="0"/>
              <w:right w:val="single" w:color="auto" w:sz="4" w:space="0"/>
            </w:tcBorders>
            <w:vAlign w:val="center"/>
          </w:tcPr>
          <w:p w14:paraId="202B5383">
            <w:pPr>
              <w:widowControl/>
              <w:jc w:val="left"/>
              <w:rPr>
                <w:szCs w:val="21"/>
              </w:rPr>
            </w:pPr>
          </w:p>
        </w:tc>
      </w:tr>
      <w:tr w14:paraId="379D9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4723" w:type="dxa"/>
            <w:tcBorders>
              <w:top w:val="single" w:color="auto" w:sz="4" w:space="0"/>
              <w:left w:val="single" w:color="auto" w:sz="4" w:space="0"/>
              <w:bottom w:val="single" w:color="auto" w:sz="4" w:space="0"/>
              <w:right w:val="single" w:color="auto" w:sz="4" w:space="0"/>
            </w:tcBorders>
          </w:tcPr>
          <w:p w14:paraId="2E4AFDBF">
            <w:pPr>
              <w:snapToGrid w:val="0"/>
              <w:spacing w:line="312" w:lineRule="auto"/>
              <w:jc w:val="left"/>
              <w:rPr>
                <w:szCs w:val="21"/>
              </w:rPr>
            </w:pPr>
          </w:p>
        </w:tc>
        <w:tc>
          <w:tcPr>
            <w:tcW w:w="7128" w:type="dxa"/>
            <w:tcBorders>
              <w:top w:val="single" w:color="auto" w:sz="4" w:space="0"/>
              <w:left w:val="single" w:color="auto" w:sz="4" w:space="0"/>
              <w:bottom w:val="single" w:color="auto" w:sz="4" w:space="0"/>
              <w:right w:val="single" w:color="auto" w:sz="4" w:space="0"/>
            </w:tcBorders>
          </w:tcPr>
          <w:p w14:paraId="0DF55065">
            <w:pPr>
              <w:snapToGrid w:val="0"/>
              <w:spacing w:line="312" w:lineRule="auto"/>
              <w:jc w:val="left"/>
              <w:rPr>
                <w:szCs w:val="21"/>
              </w:rPr>
            </w:pPr>
          </w:p>
        </w:tc>
        <w:tc>
          <w:tcPr>
            <w:tcW w:w="2604" w:type="dxa"/>
            <w:tcBorders>
              <w:top w:val="single" w:color="auto" w:sz="4" w:space="0"/>
              <w:left w:val="single" w:color="auto" w:sz="4" w:space="0"/>
              <w:bottom w:val="single" w:color="auto" w:sz="4" w:space="0"/>
              <w:right w:val="single" w:color="auto" w:sz="4" w:space="0"/>
            </w:tcBorders>
          </w:tcPr>
          <w:p w14:paraId="6D90E679">
            <w:pPr>
              <w:snapToGrid w:val="0"/>
              <w:spacing w:line="312" w:lineRule="auto"/>
              <w:jc w:val="left"/>
              <w:rPr>
                <w:szCs w:val="21"/>
              </w:rPr>
            </w:pPr>
          </w:p>
        </w:tc>
      </w:tr>
      <w:tr w14:paraId="68810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23" w:type="dxa"/>
            <w:tcBorders>
              <w:top w:val="single" w:color="auto" w:sz="4" w:space="0"/>
              <w:left w:val="single" w:color="auto" w:sz="4" w:space="0"/>
              <w:bottom w:val="single" w:color="auto" w:sz="4" w:space="0"/>
              <w:right w:val="single" w:color="auto" w:sz="4" w:space="0"/>
            </w:tcBorders>
          </w:tcPr>
          <w:p w14:paraId="32D4C96C">
            <w:pPr>
              <w:snapToGrid w:val="0"/>
              <w:spacing w:before="50" w:after="120" w:afterLines="50" w:line="312" w:lineRule="auto"/>
              <w:jc w:val="left"/>
              <w:rPr>
                <w:sz w:val="24"/>
              </w:rPr>
            </w:pPr>
          </w:p>
        </w:tc>
        <w:tc>
          <w:tcPr>
            <w:tcW w:w="7128" w:type="dxa"/>
            <w:tcBorders>
              <w:top w:val="single" w:color="auto" w:sz="4" w:space="0"/>
              <w:left w:val="single" w:color="auto" w:sz="4" w:space="0"/>
              <w:bottom w:val="single" w:color="auto" w:sz="4" w:space="0"/>
              <w:right w:val="single" w:color="auto" w:sz="4" w:space="0"/>
            </w:tcBorders>
          </w:tcPr>
          <w:p w14:paraId="283FFD71">
            <w:pPr>
              <w:snapToGrid w:val="0"/>
              <w:spacing w:before="600" w:after="120" w:afterLines="50" w:line="312" w:lineRule="auto"/>
              <w:jc w:val="left"/>
              <w:rPr>
                <w:b/>
                <w:bCs/>
                <w:kern w:val="44"/>
                <w:sz w:val="24"/>
                <w:szCs w:val="20"/>
              </w:rPr>
            </w:pPr>
          </w:p>
        </w:tc>
        <w:tc>
          <w:tcPr>
            <w:tcW w:w="2604" w:type="dxa"/>
            <w:tcBorders>
              <w:top w:val="single" w:color="auto" w:sz="4" w:space="0"/>
              <w:left w:val="single" w:color="auto" w:sz="4" w:space="0"/>
              <w:bottom w:val="single" w:color="auto" w:sz="4" w:space="0"/>
              <w:right w:val="single" w:color="auto" w:sz="4" w:space="0"/>
            </w:tcBorders>
          </w:tcPr>
          <w:p w14:paraId="4BE7CCF5">
            <w:pPr>
              <w:snapToGrid w:val="0"/>
              <w:spacing w:before="600" w:after="120" w:afterLines="50" w:line="312" w:lineRule="auto"/>
              <w:jc w:val="left"/>
              <w:rPr>
                <w:b/>
                <w:bCs/>
                <w:kern w:val="44"/>
                <w:sz w:val="24"/>
                <w:szCs w:val="20"/>
              </w:rPr>
            </w:pPr>
          </w:p>
        </w:tc>
      </w:tr>
      <w:tr w14:paraId="09D21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723" w:type="dxa"/>
            <w:tcBorders>
              <w:top w:val="single" w:color="auto" w:sz="4" w:space="0"/>
              <w:left w:val="single" w:color="auto" w:sz="4" w:space="0"/>
              <w:bottom w:val="single" w:color="auto" w:sz="4" w:space="0"/>
              <w:right w:val="single" w:color="auto" w:sz="4" w:space="0"/>
            </w:tcBorders>
          </w:tcPr>
          <w:p w14:paraId="3A02B04D">
            <w:pPr>
              <w:snapToGrid w:val="0"/>
              <w:spacing w:before="50" w:after="120" w:afterLines="50" w:line="312" w:lineRule="auto"/>
              <w:jc w:val="left"/>
              <w:rPr>
                <w:sz w:val="24"/>
              </w:rPr>
            </w:pPr>
          </w:p>
        </w:tc>
        <w:tc>
          <w:tcPr>
            <w:tcW w:w="7128" w:type="dxa"/>
            <w:tcBorders>
              <w:top w:val="single" w:color="auto" w:sz="4" w:space="0"/>
              <w:left w:val="single" w:color="auto" w:sz="4" w:space="0"/>
              <w:bottom w:val="single" w:color="auto" w:sz="4" w:space="0"/>
              <w:right w:val="single" w:color="auto" w:sz="4" w:space="0"/>
            </w:tcBorders>
          </w:tcPr>
          <w:p w14:paraId="14324A73">
            <w:pPr>
              <w:snapToGrid w:val="0"/>
              <w:spacing w:before="600" w:after="120" w:afterLines="50" w:line="312" w:lineRule="auto"/>
              <w:jc w:val="left"/>
              <w:rPr>
                <w:b/>
                <w:bCs/>
                <w:kern w:val="44"/>
                <w:sz w:val="24"/>
                <w:szCs w:val="20"/>
              </w:rPr>
            </w:pPr>
          </w:p>
        </w:tc>
        <w:tc>
          <w:tcPr>
            <w:tcW w:w="2604" w:type="dxa"/>
            <w:tcBorders>
              <w:top w:val="single" w:color="auto" w:sz="4" w:space="0"/>
              <w:left w:val="single" w:color="auto" w:sz="4" w:space="0"/>
              <w:bottom w:val="single" w:color="auto" w:sz="4" w:space="0"/>
              <w:right w:val="single" w:color="auto" w:sz="4" w:space="0"/>
            </w:tcBorders>
          </w:tcPr>
          <w:p w14:paraId="44D03551">
            <w:pPr>
              <w:snapToGrid w:val="0"/>
              <w:spacing w:before="600" w:after="120" w:afterLines="50" w:line="312" w:lineRule="auto"/>
              <w:jc w:val="left"/>
              <w:rPr>
                <w:b/>
                <w:bCs/>
                <w:kern w:val="44"/>
                <w:sz w:val="24"/>
                <w:szCs w:val="20"/>
              </w:rPr>
            </w:pPr>
          </w:p>
        </w:tc>
      </w:tr>
      <w:tr w14:paraId="42125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23" w:type="dxa"/>
            <w:tcBorders>
              <w:top w:val="single" w:color="auto" w:sz="4" w:space="0"/>
              <w:left w:val="single" w:color="auto" w:sz="4" w:space="0"/>
              <w:bottom w:val="single" w:color="auto" w:sz="4" w:space="0"/>
              <w:right w:val="single" w:color="auto" w:sz="4" w:space="0"/>
            </w:tcBorders>
          </w:tcPr>
          <w:p w14:paraId="5CC95023">
            <w:pPr>
              <w:snapToGrid w:val="0"/>
              <w:spacing w:before="50" w:after="120" w:afterLines="50" w:line="312" w:lineRule="auto"/>
              <w:jc w:val="left"/>
              <w:rPr>
                <w:sz w:val="24"/>
              </w:rPr>
            </w:pPr>
          </w:p>
        </w:tc>
        <w:tc>
          <w:tcPr>
            <w:tcW w:w="7128" w:type="dxa"/>
            <w:tcBorders>
              <w:top w:val="single" w:color="auto" w:sz="4" w:space="0"/>
              <w:left w:val="single" w:color="auto" w:sz="4" w:space="0"/>
              <w:bottom w:val="single" w:color="auto" w:sz="4" w:space="0"/>
              <w:right w:val="single" w:color="auto" w:sz="4" w:space="0"/>
            </w:tcBorders>
          </w:tcPr>
          <w:p w14:paraId="321423D6">
            <w:pPr>
              <w:snapToGrid w:val="0"/>
              <w:spacing w:before="600" w:after="120" w:afterLines="50" w:line="312" w:lineRule="auto"/>
              <w:jc w:val="left"/>
              <w:rPr>
                <w:b/>
                <w:bCs/>
                <w:kern w:val="44"/>
                <w:sz w:val="24"/>
                <w:szCs w:val="20"/>
              </w:rPr>
            </w:pPr>
          </w:p>
        </w:tc>
        <w:tc>
          <w:tcPr>
            <w:tcW w:w="2604" w:type="dxa"/>
            <w:tcBorders>
              <w:top w:val="single" w:color="auto" w:sz="4" w:space="0"/>
              <w:left w:val="single" w:color="auto" w:sz="4" w:space="0"/>
              <w:bottom w:val="single" w:color="auto" w:sz="4" w:space="0"/>
              <w:right w:val="single" w:color="auto" w:sz="4" w:space="0"/>
            </w:tcBorders>
          </w:tcPr>
          <w:p w14:paraId="55833999">
            <w:pPr>
              <w:snapToGrid w:val="0"/>
              <w:spacing w:before="600" w:after="120" w:afterLines="50" w:line="312" w:lineRule="auto"/>
              <w:jc w:val="left"/>
              <w:rPr>
                <w:b/>
                <w:bCs/>
                <w:kern w:val="44"/>
                <w:sz w:val="24"/>
                <w:szCs w:val="20"/>
              </w:rPr>
            </w:pPr>
          </w:p>
        </w:tc>
      </w:tr>
      <w:tr w14:paraId="4CDF7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23" w:type="dxa"/>
            <w:tcBorders>
              <w:top w:val="single" w:color="auto" w:sz="4" w:space="0"/>
              <w:left w:val="single" w:color="auto" w:sz="4" w:space="0"/>
              <w:bottom w:val="single" w:color="auto" w:sz="4" w:space="0"/>
              <w:right w:val="single" w:color="auto" w:sz="4" w:space="0"/>
            </w:tcBorders>
          </w:tcPr>
          <w:p w14:paraId="55F362F7">
            <w:pPr>
              <w:snapToGrid w:val="0"/>
              <w:spacing w:before="50" w:after="120" w:afterLines="50" w:line="312" w:lineRule="auto"/>
              <w:jc w:val="left"/>
              <w:rPr>
                <w:sz w:val="24"/>
              </w:rPr>
            </w:pPr>
          </w:p>
        </w:tc>
        <w:tc>
          <w:tcPr>
            <w:tcW w:w="7128" w:type="dxa"/>
            <w:tcBorders>
              <w:top w:val="single" w:color="auto" w:sz="4" w:space="0"/>
              <w:left w:val="single" w:color="auto" w:sz="4" w:space="0"/>
              <w:bottom w:val="single" w:color="auto" w:sz="4" w:space="0"/>
              <w:right w:val="single" w:color="auto" w:sz="4" w:space="0"/>
            </w:tcBorders>
          </w:tcPr>
          <w:p w14:paraId="75288FD8">
            <w:pPr>
              <w:snapToGrid w:val="0"/>
              <w:spacing w:before="600" w:after="120" w:afterLines="50" w:line="312" w:lineRule="auto"/>
              <w:jc w:val="left"/>
              <w:rPr>
                <w:b/>
                <w:bCs/>
                <w:kern w:val="44"/>
                <w:sz w:val="24"/>
                <w:szCs w:val="20"/>
              </w:rPr>
            </w:pPr>
          </w:p>
        </w:tc>
        <w:tc>
          <w:tcPr>
            <w:tcW w:w="2604" w:type="dxa"/>
            <w:tcBorders>
              <w:top w:val="single" w:color="auto" w:sz="4" w:space="0"/>
              <w:left w:val="single" w:color="auto" w:sz="4" w:space="0"/>
              <w:bottom w:val="single" w:color="auto" w:sz="4" w:space="0"/>
              <w:right w:val="single" w:color="auto" w:sz="4" w:space="0"/>
            </w:tcBorders>
          </w:tcPr>
          <w:p w14:paraId="4F52E2E4">
            <w:pPr>
              <w:snapToGrid w:val="0"/>
              <w:spacing w:before="600" w:after="120" w:afterLines="50" w:line="312" w:lineRule="auto"/>
              <w:jc w:val="left"/>
              <w:rPr>
                <w:b/>
                <w:bCs/>
                <w:kern w:val="44"/>
                <w:sz w:val="24"/>
                <w:szCs w:val="20"/>
              </w:rPr>
            </w:pPr>
          </w:p>
        </w:tc>
      </w:tr>
    </w:tbl>
    <w:p w14:paraId="34F38AD8">
      <w:pPr>
        <w:snapToGrid w:val="0"/>
        <w:spacing w:before="152" w:after="160" w:line="312" w:lineRule="auto"/>
        <w:rPr>
          <w:kern w:val="0"/>
          <w:sz w:val="20"/>
          <w:szCs w:val="20"/>
        </w:rPr>
      </w:pPr>
    </w:p>
    <w:p w14:paraId="7E225D4D">
      <w:pPr>
        <w:snapToGrid w:val="0"/>
        <w:spacing w:before="50" w:after="50"/>
      </w:pPr>
    </w:p>
    <w:p w14:paraId="07625534">
      <w:pPr>
        <w:snapToGrid w:val="0"/>
        <w:ind w:left="2" w:right="-817" w:rightChars="-389"/>
      </w:pPr>
    </w:p>
    <w:p w14:paraId="2D901641">
      <w:pPr>
        <w:snapToGrid w:val="0"/>
        <w:spacing w:before="50" w:line="312" w:lineRule="auto"/>
        <w:jc w:val="left"/>
        <w:rPr>
          <w:kern w:val="0"/>
          <w:sz w:val="30"/>
        </w:rPr>
        <w:sectPr>
          <w:pgSz w:w="16838" w:h="11906" w:orient="landscape"/>
          <w:pgMar w:top="1418" w:right="1361" w:bottom="924" w:left="1134" w:header="851" w:footer="992" w:gutter="0"/>
          <w:cols w:space="720" w:num="1"/>
        </w:sectPr>
      </w:pPr>
      <w:r>
        <w:rPr>
          <w:rFonts w:hint="eastAsia"/>
        </w:rPr>
        <w:t>投标人名称（盖章）：年月日</w:t>
      </w:r>
    </w:p>
    <w:p w14:paraId="4A75FEFF">
      <w:pPr>
        <w:snapToGrid w:val="0"/>
        <w:spacing w:before="156" w:beforeLines="50" w:after="50" w:line="312" w:lineRule="auto"/>
        <w:rPr>
          <w:b/>
          <w:sz w:val="24"/>
        </w:rPr>
      </w:pPr>
      <w:r>
        <w:rPr>
          <w:rFonts w:hint="eastAsia"/>
          <w:b/>
          <w:sz w:val="24"/>
          <w:lang w:val="en-US" w:eastAsia="zh-CN"/>
        </w:rPr>
        <w:t>十</w:t>
      </w:r>
      <w:r>
        <w:rPr>
          <w:rFonts w:hint="eastAsia"/>
          <w:b/>
          <w:sz w:val="24"/>
        </w:rPr>
        <w:t>、</w:t>
      </w:r>
    </w:p>
    <w:p w14:paraId="2BC44CBD">
      <w:pPr>
        <w:snapToGrid w:val="0"/>
        <w:spacing w:before="156" w:beforeLines="50" w:after="50" w:line="312" w:lineRule="auto"/>
        <w:jc w:val="center"/>
        <w:rPr>
          <w:b/>
          <w:sz w:val="24"/>
        </w:rPr>
      </w:pPr>
      <w:r>
        <w:rPr>
          <w:rFonts w:hint="eastAsia"/>
          <w:b/>
          <w:sz w:val="24"/>
        </w:rPr>
        <w:t>项目实施人员（主要从业人员及其技术资格）一览表</w:t>
      </w:r>
    </w:p>
    <w:p w14:paraId="24C0A8CE">
      <w:pPr>
        <w:snapToGrid w:val="0"/>
        <w:spacing w:before="156" w:beforeLines="50" w:after="50" w:line="312" w:lineRule="auto"/>
      </w:pPr>
    </w:p>
    <w:p w14:paraId="0E18BEE1">
      <w:pPr>
        <w:snapToGrid w:val="0"/>
        <w:spacing w:line="312" w:lineRule="auto"/>
      </w:pPr>
      <w:r>
        <w:rPr>
          <w:rFonts w:hint="eastAsia"/>
        </w:rPr>
        <w:t>项目名称：</w:t>
      </w:r>
    </w:p>
    <w:p w14:paraId="665F819F">
      <w:pPr>
        <w:snapToGrid w:val="0"/>
        <w:spacing w:line="312" w:lineRule="auto"/>
      </w:pPr>
      <w:r>
        <w:rPr>
          <w:rFonts w:hint="eastAsia"/>
        </w:rPr>
        <w:t>项目编号：</w:t>
      </w:r>
    </w:p>
    <w:tbl>
      <w:tblPr>
        <w:tblStyle w:val="61"/>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549D5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78FCA054">
            <w:pPr>
              <w:snapToGrid w:val="0"/>
              <w:spacing w:before="156" w:beforeLines="50" w:after="50" w:line="312" w:lineRule="auto"/>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0E9FA21E">
            <w:pPr>
              <w:snapToGrid w:val="0"/>
              <w:spacing w:before="156" w:beforeLines="50" w:after="50" w:line="312" w:lineRule="auto"/>
            </w:pPr>
            <w:r>
              <w:rPr>
                <w:rFonts w:hint="eastAsia"/>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1D1B0615">
            <w:pPr>
              <w:snapToGrid w:val="0"/>
              <w:spacing w:before="156" w:beforeLines="50" w:after="50" w:line="312" w:lineRule="auto"/>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30C51B69">
            <w:pPr>
              <w:snapToGrid w:val="0"/>
              <w:spacing w:before="156" w:beforeLines="50" w:after="50" w:line="312" w:lineRule="auto"/>
            </w:pPr>
            <w:r>
              <w:rPr>
                <w:rFonts w:hint="eastAsia"/>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14B96570">
            <w:pPr>
              <w:snapToGrid w:val="0"/>
              <w:spacing w:before="156" w:beforeLines="50" w:after="50" w:line="312" w:lineRule="auto"/>
            </w:pPr>
            <w:r>
              <w:rPr>
                <w:rFonts w:hint="eastAsia"/>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27752872">
            <w:pPr>
              <w:snapToGrid w:val="0"/>
              <w:spacing w:before="156" w:beforeLines="50" w:after="50" w:line="312" w:lineRule="auto"/>
            </w:pPr>
            <w:r>
              <w:rPr>
                <w:rFonts w:hint="eastAsia"/>
              </w:rPr>
              <w:t>劳动合同编号</w:t>
            </w:r>
          </w:p>
        </w:tc>
      </w:tr>
      <w:tr w14:paraId="679AC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2EF5BD">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089630A6">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4D513BE">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D6325C7">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FAD479D">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5A149D9">
            <w:pPr>
              <w:snapToGrid w:val="0"/>
              <w:spacing w:before="156" w:beforeLines="50" w:after="120" w:line="312" w:lineRule="auto"/>
              <w:rPr>
                <w:b/>
                <w:bCs/>
                <w:sz w:val="24"/>
                <w:szCs w:val="36"/>
              </w:rPr>
            </w:pPr>
          </w:p>
        </w:tc>
      </w:tr>
      <w:tr w14:paraId="7ABFB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8E9D404">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7D776814">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8E0C42B">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1D29E09">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8056EC6">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37781E9">
            <w:pPr>
              <w:snapToGrid w:val="0"/>
              <w:spacing w:before="156" w:beforeLines="50" w:after="120" w:line="312" w:lineRule="auto"/>
              <w:rPr>
                <w:b/>
                <w:bCs/>
                <w:sz w:val="24"/>
                <w:szCs w:val="36"/>
              </w:rPr>
            </w:pPr>
          </w:p>
        </w:tc>
      </w:tr>
      <w:tr w14:paraId="4BE11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88E1696">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6E053F26">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A5479A8">
            <w:pPr>
              <w:snapToGrid w:val="0"/>
              <w:spacing w:before="156" w:beforeLines="50" w:after="120" w:line="312" w:lineRule="auto"/>
              <w:ind w:left="5250" w:leftChars="2500"/>
              <w:rPr>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5CC0EC0">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05ECB18">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FA22E90">
            <w:pPr>
              <w:snapToGrid w:val="0"/>
              <w:spacing w:before="156" w:beforeLines="50" w:after="120" w:line="312" w:lineRule="auto"/>
              <w:rPr>
                <w:b/>
                <w:bCs/>
                <w:sz w:val="24"/>
                <w:szCs w:val="36"/>
              </w:rPr>
            </w:pPr>
          </w:p>
        </w:tc>
      </w:tr>
      <w:tr w14:paraId="0A0FA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4747D87">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54006348">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DEDA6AF">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1206623">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2FB0909">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3965A37">
            <w:pPr>
              <w:snapToGrid w:val="0"/>
              <w:spacing w:before="156" w:beforeLines="50" w:after="120" w:line="312" w:lineRule="auto"/>
              <w:rPr>
                <w:b/>
                <w:bCs/>
                <w:sz w:val="24"/>
                <w:szCs w:val="36"/>
              </w:rPr>
            </w:pPr>
          </w:p>
        </w:tc>
      </w:tr>
      <w:tr w14:paraId="61F5C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6CA7C7D">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7116733E">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54FF555">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7836F41">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850055A">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70EA2762">
            <w:pPr>
              <w:snapToGrid w:val="0"/>
              <w:spacing w:before="156" w:beforeLines="50" w:after="120" w:line="312" w:lineRule="auto"/>
              <w:rPr>
                <w:b/>
                <w:bCs/>
                <w:sz w:val="24"/>
                <w:szCs w:val="36"/>
              </w:rPr>
            </w:pPr>
          </w:p>
        </w:tc>
      </w:tr>
      <w:tr w14:paraId="2ADCB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C87E8A9">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74F568DE">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5C505D0">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27CA519">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2D69430">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CFFC2B0">
            <w:pPr>
              <w:snapToGrid w:val="0"/>
              <w:spacing w:before="156" w:beforeLines="50" w:after="120" w:line="312" w:lineRule="auto"/>
              <w:rPr>
                <w:b/>
                <w:bCs/>
                <w:sz w:val="24"/>
                <w:szCs w:val="36"/>
              </w:rPr>
            </w:pPr>
          </w:p>
        </w:tc>
      </w:tr>
      <w:tr w14:paraId="00F36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1793923">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5291DDAA">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0F1969A">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F2B759A">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114B5EC1">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37EC25F">
            <w:pPr>
              <w:snapToGrid w:val="0"/>
              <w:spacing w:before="156" w:beforeLines="50" w:after="120" w:line="312" w:lineRule="auto"/>
              <w:rPr>
                <w:b/>
                <w:bCs/>
                <w:sz w:val="24"/>
                <w:szCs w:val="36"/>
              </w:rPr>
            </w:pPr>
          </w:p>
        </w:tc>
      </w:tr>
      <w:tr w14:paraId="03D36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5136223">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23A896D5">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5AF3E9D">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F01C4F7">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01EE3B92">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2B700743">
            <w:pPr>
              <w:snapToGrid w:val="0"/>
              <w:spacing w:before="156" w:beforeLines="50" w:after="120" w:line="312" w:lineRule="auto"/>
              <w:rPr>
                <w:b/>
                <w:bCs/>
                <w:sz w:val="24"/>
                <w:szCs w:val="36"/>
              </w:rPr>
            </w:pPr>
          </w:p>
        </w:tc>
      </w:tr>
      <w:tr w14:paraId="535FA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09C890D">
            <w:pPr>
              <w:snapToGrid w:val="0"/>
              <w:spacing w:before="156" w:beforeLines="50" w:after="50" w:line="312" w:lineRule="auto"/>
              <w:rPr>
                <w:sz w:val="24"/>
              </w:rPr>
            </w:pPr>
          </w:p>
        </w:tc>
        <w:tc>
          <w:tcPr>
            <w:tcW w:w="1004" w:type="dxa"/>
            <w:tcBorders>
              <w:top w:val="single" w:color="auto" w:sz="4" w:space="0"/>
              <w:left w:val="single" w:color="auto" w:sz="4" w:space="0"/>
              <w:bottom w:val="single" w:color="auto" w:sz="4" w:space="0"/>
              <w:right w:val="single" w:color="auto" w:sz="4" w:space="0"/>
            </w:tcBorders>
          </w:tcPr>
          <w:p w14:paraId="70428F9C">
            <w:pPr>
              <w:snapToGrid w:val="0"/>
              <w:spacing w:before="156" w:beforeLines="50" w:after="120" w:line="312" w:lineRule="auto"/>
              <w:rPr>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48C5659">
            <w:pPr>
              <w:snapToGrid w:val="0"/>
              <w:spacing w:before="156" w:beforeLines="50" w:after="120" w:line="312" w:lineRule="auto"/>
              <w:rPr>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56D965C7">
            <w:pPr>
              <w:snapToGrid w:val="0"/>
              <w:spacing w:before="156" w:beforeLines="50" w:after="120" w:line="312" w:lineRule="auto"/>
              <w:rPr>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6D226E23">
            <w:pPr>
              <w:snapToGrid w:val="0"/>
              <w:spacing w:before="156" w:beforeLines="50" w:after="120" w:line="312" w:lineRule="auto"/>
              <w:rPr>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CE835AA">
            <w:pPr>
              <w:snapToGrid w:val="0"/>
              <w:spacing w:before="156" w:beforeLines="50" w:after="120" w:line="312" w:lineRule="auto"/>
              <w:rPr>
                <w:b/>
                <w:bCs/>
                <w:sz w:val="24"/>
                <w:szCs w:val="36"/>
              </w:rPr>
            </w:pPr>
          </w:p>
        </w:tc>
      </w:tr>
    </w:tbl>
    <w:p w14:paraId="184F9B2A">
      <w:pPr>
        <w:snapToGrid w:val="0"/>
        <w:spacing w:before="50" w:after="156" w:afterLines="50" w:line="312" w:lineRule="auto"/>
        <w:jc w:val="left"/>
      </w:pPr>
      <w:r>
        <w:rPr>
          <w:rFonts w:hint="eastAsia"/>
        </w:rPr>
        <w:t>注：在填写时，如本表格不适合投标单位的实际情况，可根据本表格式自行划表填写。</w:t>
      </w:r>
    </w:p>
    <w:p w14:paraId="4100681C">
      <w:pPr>
        <w:snapToGrid w:val="0"/>
        <w:spacing w:before="50" w:after="50" w:line="312" w:lineRule="auto"/>
        <w:rPr>
          <w:spacing w:val="20"/>
          <w:sz w:val="24"/>
        </w:rPr>
      </w:pPr>
    </w:p>
    <w:p w14:paraId="47A6C972">
      <w:pPr>
        <w:snapToGrid w:val="0"/>
        <w:spacing w:before="50" w:after="50" w:line="312" w:lineRule="auto"/>
        <w:rPr>
          <w:spacing w:val="20"/>
          <w:sz w:val="24"/>
        </w:rPr>
      </w:pPr>
    </w:p>
    <w:p w14:paraId="648AFAFF">
      <w:pPr>
        <w:snapToGrid w:val="0"/>
        <w:ind w:left="2" w:right="-817" w:rightChars="-389"/>
      </w:pPr>
    </w:p>
    <w:p w14:paraId="42CBE7A5">
      <w:pPr>
        <w:snapToGrid w:val="0"/>
        <w:spacing w:before="50" w:after="156" w:afterLines="50" w:line="312" w:lineRule="auto"/>
        <w:jc w:val="left"/>
        <w:rPr>
          <w:spacing w:val="20"/>
          <w:sz w:val="24"/>
          <w:u w:val="single"/>
        </w:rPr>
      </w:pPr>
      <w:r>
        <w:rPr>
          <w:rFonts w:hint="eastAsia"/>
        </w:rPr>
        <w:t>投标人名称（盖章）：</w:t>
      </w:r>
      <w:r>
        <w:rPr>
          <w:rFonts w:hint="eastAsia"/>
          <w:spacing w:val="20"/>
          <w:sz w:val="24"/>
        </w:rPr>
        <w:t>日期：</w:t>
      </w:r>
    </w:p>
    <w:p w14:paraId="23828B12">
      <w:pPr>
        <w:snapToGrid w:val="0"/>
        <w:spacing w:before="50" w:after="156" w:afterLines="50" w:line="312" w:lineRule="auto"/>
        <w:jc w:val="left"/>
        <w:rPr>
          <w:sz w:val="24"/>
        </w:rPr>
      </w:pPr>
    </w:p>
    <w:p w14:paraId="621DFB1E">
      <w:pPr>
        <w:snapToGrid w:val="0"/>
        <w:spacing w:before="50" w:after="156" w:afterLines="50" w:line="312" w:lineRule="auto"/>
        <w:jc w:val="left"/>
        <w:rPr>
          <w:sz w:val="24"/>
        </w:rPr>
      </w:pPr>
    </w:p>
    <w:p w14:paraId="333795FA">
      <w:pPr>
        <w:snapToGrid w:val="0"/>
        <w:spacing w:before="50" w:after="156" w:afterLines="50" w:line="312" w:lineRule="auto"/>
        <w:jc w:val="left"/>
        <w:rPr>
          <w:sz w:val="24"/>
        </w:rPr>
      </w:pPr>
    </w:p>
    <w:p w14:paraId="768156C2">
      <w:pPr>
        <w:snapToGrid w:val="0"/>
        <w:spacing w:before="50" w:after="156" w:afterLines="50"/>
        <w:jc w:val="left"/>
        <w:rPr>
          <w:b/>
          <w:sz w:val="24"/>
        </w:rPr>
      </w:pPr>
    </w:p>
    <w:p w14:paraId="5AEA407E">
      <w:pPr>
        <w:snapToGrid w:val="0"/>
        <w:spacing w:before="50" w:after="156" w:afterLines="50"/>
        <w:jc w:val="left"/>
        <w:rPr>
          <w:b/>
          <w:sz w:val="24"/>
        </w:rPr>
      </w:pPr>
    </w:p>
    <w:p w14:paraId="67B910E4">
      <w:pPr>
        <w:snapToGrid w:val="0"/>
        <w:spacing w:before="50" w:after="156" w:afterLines="50"/>
        <w:jc w:val="left"/>
        <w:rPr>
          <w:rFonts w:hint="eastAsia" w:ascii="宋体" w:hAnsi="宋体"/>
          <w:b/>
          <w:sz w:val="28"/>
          <w:szCs w:val="28"/>
        </w:rPr>
      </w:pPr>
      <w:r>
        <w:rPr>
          <w:rFonts w:hint="eastAsia"/>
          <w:b/>
          <w:sz w:val="24"/>
        </w:rPr>
        <w:t>十</w:t>
      </w:r>
      <w:r>
        <w:rPr>
          <w:rFonts w:hint="eastAsia"/>
          <w:b/>
          <w:sz w:val="24"/>
          <w:lang w:val="en-US" w:eastAsia="zh-CN"/>
        </w:rPr>
        <w:t>一</w:t>
      </w:r>
      <w:r>
        <w:rPr>
          <w:rFonts w:hint="eastAsia"/>
          <w:b/>
          <w:sz w:val="24"/>
        </w:rPr>
        <w:t>、</w:t>
      </w:r>
      <w:r>
        <w:rPr>
          <w:rFonts w:hint="eastAsia" w:ascii="宋体" w:hAnsi="宋体"/>
          <w:b/>
          <w:sz w:val="28"/>
          <w:szCs w:val="28"/>
        </w:rPr>
        <w:t>组织实施方案</w:t>
      </w:r>
    </w:p>
    <w:p w14:paraId="41C9E2FB">
      <w:pPr>
        <w:snapToGrid w:val="0"/>
        <w:spacing w:before="50" w:after="156" w:afterLines="50"/>
        <w:jc w:val="left"/>
        <w:rPr>
          <w:rFonts w:hint="eastAsia" w:ascii="宋体" w:hAnsi="宋体"/>
          <w:b/>
          <w:sz w:val="24"/>
        </w:rPr>
      </w:pPr>
    </w:p>
    <w:p w14:paraId="79157D17">
      <w:pPr>
        <w:tabs>
          <w:tab w:val="left" w:pos="2790"/>
          <w:tab w:val="left" w:pos="4230"/>
        </w:tabs>
        <w:autoSpaceDE w:val="0"/>
        <w:autoSpaceDN w:val="0"/>
        <w:spacing w:line="440" w:lineRule="exact"/>
        <w:ind w:right="1400"/>
        <w:outlineLvl w:val="1"/>
        <w:rPr>
          <w:rFonts w:hint="eastAsia" w:ascii="宋体" w:hAnsi="宋体" w:cs="仿宋_GB2312"/>
          <w:b/>
          <w:bCs/>
          <w:kern w:val="0"/>
          <w:szCs w:val="21"/>
          <w:lang w:val="zh-CN"/>
        </w:rPr>
      </w:pPr>
      <w:r>
        <w:rPr>
          <w:rFonts w:hint="eastAsia" w:ascii="宋体" w:hAnsi="宋体" w:cs="仿宋_GB2312"/>
          <w:b/>
          <w:bCs/>
          <w:kern w:val="0"/>
          <w:szCs w:val="21"/>
          <w:lang w:val="zh-CN"/>
        </w:rPr>
        <w:t>附表:项目实施进度计划表</w:t>
      </w:r>
      <w:r>
        <w:rPr>
          <w:rFonts w:hint="eastAsia" w:ascii="宋体" w:hAnsi="宋体"/>
          <w:b/>
          <w:szCs w:val="21"/>
        </w:rPr>
        <w:t>(以生效日算起)</w:t>
      </w:r>
    </w:p>
    <w:tbl>
      <w:tblPr>
        <w:tblStyle w:val="61"/>
        <w:tblW w:w="988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516"/>
        <w:gridCol w:w="552"/>
        <w:gridCol w:w="552"/>
        <w:gridCol w:w="552"/>
        <w:gridCol w:w="552"/>
        <w:gridCol w:w="552"/>
        <w:gridCol w:w="553"/>
        <w:gridCol w:w="553"/>
        <w:gridCol w:w="553"/>
        <w:gridCol w:w="553"/>
        <w:gridCol w:w="553"/>
        <w:gridCol w:w="553"/>
        <w:gridCol w:w="553"/>
        <w:gridCol w:w="553"/>
        <w:gridCol w:w="553"/>
        <w:gridCol w:w="553"/>
      </w:tblGrid>
      <w:tr w14:paraId="473E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79" w:type="dxa"/>
            <w:tcBorders>
              <w:top w:val="single" w:color="auto" w:sz="4" w:space="0"/>
              <w:left w:val="single" w:color="auto" w:sz="4" w:space="0"/>
              <w:bottom w:val="single" w:color="auto" w:sz="4" w:space="0"/>
              <w:right w:val="single" w:color="auto" w:sz="4" w:space="0"/>
            </w:tcBorders>
            <w:vAlign w:val="center"/>
          </w:tcPr>
          <w:p w14:paraId="486CC741">
            <w:pPr>
              <w:spacing w:line="360" w:lineRule="auto"/>
              <w:rPr>
                <w:rFonts w:hint="eastAsia" w:ascii="宋体" w:hAnsi="宋体"/>
                <w:szCs w:val="21"/>
              </w:rPr>
            </w:pPr>
            <w:r>
              <w:rPr>
                <w:rFonts w:hint="eastAsia" w:ascii="Calibri" w:hAnsi="Calibri"/>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12700" t="6985" r="0" b="0"/>
                      <wp:wrapNone/>
                      <wp:docPr id="226048493" name="组合 1"/>
                      <wp:cNvGraphicFramePr/>
                      <a:graphic xmlns:a="http://schemas.openxmlformats.org/drawingml/2006/main">
                        <a:graphicData uri="http://schemas.microsoft.com/office/word/2010/wordprocessingGroup">
                          <wpg:wgp>
                            <wpg:cNvGrpSpPr/>
                            <wpg:grpSpPr>
                              <a:xfrm>
                                <a:off x="0" y="0"/>
                                <a:ext cx="748030" cy="1181100"/>
                                <a:chOff x="0" y="0"/>
                                <a:chExt cx="0" cy="203"/>
                              </a:xfrm>
                            </wpg:grpSpPr>
                            <wps:wsp>
                              <wps:cNvPr id="587705257" name="__TH_L2"/>
                              <wps:cNvCnPr>
                                <a:cxnSpLocks noChangeShapeType="1"/>
                              </wps:cNvCnPr>
                              <wps:spPr bwMode="auto">
                                <a:xfrm>
                                  <a:off x="0" y="0"/>
                                  <a:ext cx="11" cy="18"/>
                                </a:xfrm>
                                <a:prstGeom prst="line">
                                  <a:avLst/>
                                </a:prstGeom>
                                <a:noFill/>
                                <a:ln w="6350">
                                  <a:solidFill>
                                    <a:srgbClr val="000000"/>
                                  </a:solidFill>
                                  <a:round/>
                                </a:ln>
                              </wps:spPr>
                              <wps:bodyPr/>
                            </wps:wsp>
                            <wps:wsp>
                              <wps:cNvPr id="1051954026" name="__TH_B113"/>
                              <wps:cNvSpPr txBox="1">
                                <a:spLocks noChangeArrowheads="1"/>
                              </wps:cNvSpPr>
                              <wps:spPr bwMode="auto">
                                <a:xfrm>
                                  <a:off x="4" y="1"/>
                                  <a:ext cx="3" cy="2"/>
                                </a:xfrm>
                                <a:prstGeom prst="rect">
                                  <a:avLst/>
                                </a:prstGeom>
                                <a:noFill/>
                                <a:ln>
                                  <a:noFill/>
                                </a:ln>
                              </wps:spPr>
                              <wps:txbx>
                                <w:txbxContent>
                                  <w:p w14:paraId="3BDC60BF">
                                    <w:pPr>
                                      <w:snapToGrid w:val="0"/>
                                    </w:pPr>
                                    <w:r>
                                      <w:rPr>
                                        <w:rFonts w:hint="eastAsia"/>
                                      </w:rPr>
                                      <w:t>工</w:t>
                                    </w:r>
                                  </w:p>
                                </w:txbxContent>
                              </wps:txbx>
                              <wps:bodyPr rot="0" vert="horz" wrap="square" lIns="0" tIns="0" rIns="0" bIns="0" anchor="t" anchorCtr="0" upright="1">
                                <a:noAutofit/>
                              </wps:bodyPr>
                            </wps:wsp>
                            <wps:wsp>
                              <wps:cNvPr id="999448583" name="__TH_B124"/>
                              <wps:cNvSpPr txBox="1">
                                <a:spLocks noChangeArrowheads="1"/>
                              </wps:cNvSpPr>
                              <wps:spPr bwMode="auto">
                                <a:xfrm>
                                  <a:off x="6" y="4"/>
                                  <a:ext cx="2" cy="2"/>
                                </a:xfrm>
                                <a:prstGeom prst="rect">
                                  <a:avLst/>
                                </a:prstGeom>
                                <a:noFill/>
                                <a:ln>
                                  <a:noFill/>
                                </a:ln>
                              </wps:spPr>
                              <wps:txbx>
                                <w:txbxContent>
                                  <w:p w14:paraId="74D5AE4C">
                                    <w:pPr>
                                      <w:snapToGrid w:val="0"/>
                                    </w:pPr>
                                    <w:r>
                                      <w:rPr>
                                        <w:rFonts w:hint="eastAsia"/>
                                      </w:rPr>
                                      <w:t>作</w:t>
                                    </w:r>
                                  </w:p>
                                </w:txbxContent>
                              </wps:txbx>
                              <wps:bodyPr rot="0" vert="horz" wrap="square" lIns="0" tIns="0" rIns="0" bIns="0" anchor="t" anchorCtr="0" upright="1">
                                <a:noAutofit/>
                              </wps:bodyPr>
                            </wps:wsp>
                            <wps:wsp>
                              <wps:cNvPr id="1213533419" name="__TH_B135"/>
                              <wps:cNvSpPr txBox="1">
                                <a:spLocks noChangeArrowheads="1"/>
                              </wps:cNvSpPr>
                              <wps:spPr bwMode="auto">
                                <a:xfrm>
                                  <a:off x="8" y="7"/>
                                  <a:ext cx="2" cy="2"/>
                                </a:xfrm>
                                <a:prstGeom prst="rect">
                                  <a:avLst/>
                                </a:prstGeom>
                                <a:noFill/>
                                <a:ln>
                                  <a:noFill/>
                                </a:ln>
                              </wps:spPr>
                              <wps:txbx>
                                <w:txbxContent>
                                  <w:p w14:paraId="61CD28AF">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组合 1" o:spid="_x0000_s1026" o:spt="203" style="position:absolute;left:0pt;margin-left:-5.15pt;margin-top:0pt;height:93pt;width:58.9pt;z-index:251659264;mso-width-relative:page;mso-height-relative:page;" coordsize="0,203"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D1y1ye2AAAAAgBAAAPAAAA&#10;AAAAAAEAIAAAACIAAABkcnMvZG93bnJldi54bWxQSwECFAAUAAAACACHTuJAS1SdXzIDAAA6CwAA&#10;DgAAAAAAAAABACAAAAAnAQAAZHJzL2Uyb0RvYy54bWxQSwUGAAAAAAYABgBZAQAAywYAAAAA&#10;">
                      <o:lock v:ext="edit" aspectratio="f"/>
                      <v:line id="__TH_L2" o:spid="_x0000_s1026" o:spt="20" style="position:absolute;left:0;top:0;height:18;width:11;" filled="f" stroked="t" coordsize="21600,21600" o:gfxdata="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xto&#10;ZMEAAADiAAAADwAAAAAAAAABACAAAAAiAAAAZHJzL2Rvd25yZXYueG1sUEsBAhQAFAAAAAgAh07i&#10;QDMvBZ47AAAAOQAAABAAAAAAAAAAAQAgAAAAEAEAAGRycy9zaGFwZXhtbC54bWxQSwUGAAAAAAYA&#10;BgBbAQAAugMAAAAA&#10;">
                        <v:fill on="f" focussize="0,0"/>
                        <v:stroke weight="0.5pt" color="#000000" joinstyle="round"/>
                        <v:imagedata o:title=""/>
                        <o:lock v:ext="edit" aspectratio="f"/>
                      </v:line>
                      <v:shape id="__TH_B113" o:spid="_x0000_s1026" o:spt="202" type="#_x0000_t202" style="position:absolute;left:4;top:1;height:2;width:3;" filled="f" stroked="f" coordsize="21600,21600" o:gfxdata="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pTk&#10;LsEAAADj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3BDC60BF">
                              <w:pPr>
                                <w:snapToGrid w:val="0"/>
                              </w:pPr>
                              <w:r>
                                <w:rPr>
                                  <w:rFonts w:hint="eastAsia"/>
                                </w:rPr>
                                <w:t>工</w:t>
                              </w:r>
                            </w:p>
                          </w:txbxContent>
                        </v:textbox>
                      </v:shape>
                      <v:shape id="__TH_B124" o:spid="_x0000_s1026" o:spt="202" type="#_x0000_t202" style="position:absolute;left:6;top:4;height:2;width:2;" filled="f" stroked="f" coordsize="21600,21600" o:gfxdata="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CHYonFAAAA4g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14:paraId="74D5AE4C">
                              <w:pPr>
                                <w:snapToGrid w:val="0"/>
                              </w:pPr>
                              <w:r>
                                <w:rPr>
                                  <w:rFonts w:hint="eastAsia"/>
                                </w:rPr>
                                <w:t>作</w:t>
                              </w:r>
                            </w:p>
                          </w:txbxContent>
                        </v:textbox>
                      </v:shape>
                      <v:shape id="__TH_B135" o:spid="_x0000_s1026" o:spt="202" type="#_x0000_t202" style="position:absolute;left:8;top:7;height:2;width:2;" filled="f" stroked="f" coordsize="21600,21600" o:gfxdata="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j2&#10;7IP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61CD28AF">
                              <w:pPr>
                                <w:snapToGrid w:val="0"/>
                              </w:pPr>
                              <w:r>
                                <w:rPr>
                                  <w:rFonts w:hint="eastAsia"/>
                                </w:rPr>
                                <w:t>日</w:t>
                              </w:r>
                            </w:p>
                          </w:txbxContent>
                        </v:textbox>
                      </v:shape>
                    </v:group>
                  </w:pict>
                </mc:Fallback>
              </mc:AlternateContent>
            </w:r>
          </w:p>
          <w:p w14:paraId="1024D1AC">
            <w:pPr>
              <w:rPr>
                <w:rFonts w:hint="eastAsia" w:ascii="宋体" w:hAnsi="宋体"/>
                <w:szCs w:val="21"/>
              </w:rPr>
            </w:pPr>
          </w:p>
          <w:p w14:paraId="6F8C6AC7">
            <w:pPr>
              <w:rPr>
                <w:rFonts w:hint="eastAsia" w:ascii="宋体" w:hAnsi="宋体"/>
                <w:szCs w:val="21"/>
              </w:rPr>
            </w:pPr>
          </w:p>
          <w:p w14:paraId="78E95671">
            <w:pPr>
              <w:rPr>
                <w:rFonts w:hint="eastAsia" w:ascii="宋体" w:hAnsi="宋体"/>
                <w:szCs w:val="21"/>
              </w:rPr>
            </w:pPr>
            <w:r>
              <w:rPr>
                <w:rFonts w:hint="eastAsia" w:ascii="宋体" w:hAnsi="宋体"/>
                <w:szCs w:val="21"/>
              </w:rPr>
              <w:t>内容</w:t>
            </w:r>
          </w:p>
        </w:tc>
        <w:tc>
          <w:tcPr>
            <w:tcW w:w="516" w:type="dxa"/>
            <w:tcBorders>
              <w:top w:val="single" w:color="auto" w:sz="4" w:space="0"/>
              <w:left w:val="single" w:color="auto" w:sz="4" w:space="0"/>
              <w:bottom w:val="single" w:color="auto" w:sz="4" w:space="0"/>
              <w:right w:val="single" w:color="auto" w:sz="4" w:space="0"/>
            </w:tcBorders>
            <w:vAlign w:val="center"/>
          </w:tcPr>
          <w:p w14:paraId="2AA61A86">
            <w:pPr>
              <w:spacing w:line="360" w:lineRule="auto"/>
              <w:rPr>
                <w:rFonts w:hint="eastAsia" w:ascii="宋体" w:hAnsi="宋体"/>
                <w:szCs w:val="21"/>
              </w:rPr>
            </w:pPr>
            <w:r>
              <w:rPr>
                <w:rFonts w:hint="eastAsia" w:ascii="宋体" w:hAnsi="宋体"/>
                <w:szCs w:val="21"/>
              </w:rPr>
              <w:t>1</w:t>
            </w:r>
          </w:p>
        </w:tc>
        <w:tc>
          <w:tcPr>
            <w:tcW w:w="552" w:type="dxa"/>
            <w:tcBorders>
              <w:top w:val="single" w:color="auto" w:sz="4" w:space="0"/>
              <w:left w:val="single" w:color="auto" w:sz="4" w:space="0"/>
              <w:bottom w:val="single" w:color="auto" w:sz="4" w:space="0"/>
              <w:right w:val="single" w:color="auto" w:sz="4" w:space="0"/>
            </w:tcBorders>
            <w:vAlign w:val="center"/>
          </w:tcPr>
          <w:p w14:paraId="415448B1">
            <w:pPr>
              <w:spacing w:line="360" w:lineRule="auto"/>
              <w:rPr>
                <w:rFonts w:hint="eastAsia" w:ascii="宋体" w:hAnsi="宋体"/>
                <w:szCs w:val="21"/>
              </w:rPr>
            </w:pPr>
            <w:r>
              <w:rPr>
                <w:rFonts w:hint="eastAsia" w:ascii="宋体" w:hAnsi="宋体"/>
                <w:szCs w:val="21"/>
              </w:rPr>
              <w:t>2</w:t>
            </w:r>
          </w:p>
        </w:tc>
        <w:tc>
          <w:tcPr>
            <w:tcW w:w="552" w:type="dxa"/>
            <w:tcBorders>
              <w:top w:val="single" w:color="auto" w:sz="4" w:space="0"/>
              <w:left w:val="single" w:color="auto" w:sz="4" w:space="0"/>
              <w:bottom w:val="single" w:color="auto" w:sz="4" w:space="0"/>
              <w:right w:val="single" w:color="auto" w:sz="4" w:space="0"/>
            </w:tcBorders>
            <w:vAlign w:val="center"/>
          </w:tcPr>
          <w:p w14:paraId="5975891D">
            <w:pPr>
              <w:spacing w:line="360" w:lineRule="auto"/>
              <w:rPr>
                <w:rFonts w:hint="eastAsia" w:ascii="宋体" w:hAnsi="宋体"/>
                <w:szCs w:val="21"/>
              </w:rPr>
            </w:pPr>
            <w:r>
              <w:rPr>
                <w:rFonts w:hint="eastAsia" w:ascii="宋体" w:hAnsi="宋体"/>
                <w:szCs w:val="21"/>
              </w:rPr>
              <w:t>3</w:t>
            </w:r>
          </w:p>
        </w:tc>
        <w:tc>
          <w:tcPr>
            <w:tcW w:w="552" w:type="dxa"/>
            <w:tcBorders>
              <w:top w:val="single" w:color="auto" w:sz="4" w:space="0"/>
              <w:left w:val="single" w:color="auto" w:sz="4" w:space="0"/>
              <w:bottom w:val="single" w:color="auto" w:sz="4" w:space="0"/>
              <w:right w:val="single" w:color="auto" w:sz="4" w:space="0"/>
            </w:tcBorders>
            <w:vAlign w:val="center"/>
          </w:tcPr>
          <w:p w14:paraId="0D19FD12">
            <w:pPr>
              <w:spacing w:line="360" w:lineRule="auto"/>
              <w:rPr>
                <w:rFonts w:hint="eastAsia" w:ascii="宋体" w:hAnsi="宋体"/>
                <w:szCs w:val="21"/>
              </w:rPr>
            </w:pPr>
            <w:r>
              <w:rPr>
                <w:rFonts w:hint="eastAsia" w:ascii="宋体" w:hAnsi="宋体"/>
                <w:szCs w:val="21"/>
              </w:rPr>
              <w:t>4</w:t>
            </w:r>
          </w:p>
        </w:tc>
        <w:tc>
          <w:tcPr>
            <w:tcW w:w="552" w:type="dxa"/>
            <w:tcBorders>
              <w:top w:val="single" w:color="auto" w:sz="4" w:space="0"/>
              <w:left w:val="single" w:color="auto" w:sz="4" w:space="0"/>
              <w:bottom w:val="single" w:color="auto" w:sz="4" w:space="0"/>
              <w:right w:val="single" w:color="auto" w:sz="4" w:space="0"/>
            </w:tcBorders>
            <w:vAlign w:val="center"/>
          </w:tcPr>
          <w:p w14:paraId="390E65B8">
            <w:pPr>
              <w:spacing w:line="360" w:lineRule="auto"/>
              <w:rPr>
                <w:rFonts w:hint="eastAsia" w:ascii="宋体" w:hAnsi="宋体"/>
                <w:szCs w:val="21"/>
              </w:rPr>
            </w:pPr>
            <w:r>
              <w:rPr>
                <w:rFonts w:hint="eastAsia" w:ascii="宋体" w:hAnsi="宋体"/>
                <w:szCs w:val="21"/>
              </w:rPr>
              <w:t>5</w:t>
            </w:r>
          </w:p>
        </w:tc>
        <w:tc>
          <w:tcPr>
            <w:tcW w:w="552" w:type="dxa"/>
            <w:tcBorders>
              <w:top w:val="single" w:color="auto" w:sz="4" w:space="0"/>
              <w:left w:val="single" w:color="auto" w:sz="4" w:space="0"/>
              <w:bottom w:val="single" w:color="auto" w:sz="4" w:space="0"/>
              <w:right w:val="single" w:color="auto" w:sz="4" w:space="0"/>
            </w:tcBorders>
            <w:vAlign w:val="center"/>
          </w:tcPr>
          <w:p w14:paraId="786116F0">
            <w:pPr>
              <w:spacing w:line="360" w:lineRule="auto"/>
              <w:rPr>
                <w:rFonts w:hint="eastAsia" w:ascii="宋体" w:hAnsi="宋体"/>
                <w:szCs w:val="21"/>
              </w:rPr>
            </w:pPr>
            <w:r>
              <w:rPr>
                <w:rFonts w:hint="eastAsia" w:ascii="宋体" w:hAnsi="宋体"/>
                <w:szCs w:val="21"/>
              </w:rPr>
              <w:t>6</w:t>
            </w:r>
          </w:p>
        </w:tc>
        <w:tc>
          <w:tcPr>
            <w:tcW w:w="553" w:type="dxa"/>
            <w:tcBorders>
              <w:top w:val="single" w:color="auto" w:sz="4" w:space="0"/>
              <w:left w:val="single" w:color="auto" w:sz="4" w:space="0"/>
              <w:bottom w:val="single" w:color="auto" w:sz="4" w:space="0"/>
              <w:right w:val="single" w:color="auto" w:sz="4" w:space="0"/>
            </w:tcBorders>
            <w:vAlign w:val="center"/>
          </w:tcPr>
          <w:p w14:paraId="3FB9DFE3">
            <w:pPr>
              <w:spacing w:line="360" w:lineRule="auto"/>
              <w:rPr>
                <w:rFonts w:hint="eastAsia" w:ascii="宋体" w:hAnsi="宋体"/>
                <w:szCs w:val="21"/>
              </w:rPr>
            </w:pPr>
            <w:r>
              <w:rPr>
                <w:rFonts w:hint="eastAsia" w:ascii="宋体" w:hAnsi="宋体"/>
                <w:szCs w:val="21"/>
              </w:rPr>
              <w:t>7</w:t>
            </w:r>
          </w:p>
        </w:tc>
        <w:tc>
          <w:tcPr>
            <w:tcW w:w="553" w:type="dxa"/>
            <w:tcBorders>
              <w:top w:val="single" w:color="auto" w:sz="4" w:space="0"/>
              <w:left w:val="single" w:color="auto" w:sz="4" w:space="0"/>
              <w:bottom w:val="single" w:color="auto" w:sz="4" w:space="0"/>
              <w:right w:val="single" w:color="auto" w:sz="4" w:space="0"/>
            </w:tcBorders>
            <w:vAlign w:val="center"/>
          </w:tcPr>
          <w:p w14:paraId="58CED41E">
            <w:pPr>
              <w:spacing w:line="360" w:lineRule="auto"/>
              <w:rPr>
                <w:rFonts w:hint="eastAsia" w:ascii="宋体" w:hAnsi="宋体"/>
                <w:szCs w:val="21"/>
              </w:rPr>
            </w:pPr>
            <w:r>
              <w:rPr>
                <w:rFonts w:hint="eastAsia" w:ascii="宋体" w:hAnsi="宋体"/>
                <w:szCs w:val="21"/>
              </w:rPr>
              <w:t>8</w:t>
            </w:r>
          </w:p>
        </w:tc>
        <w:tc>
          <w:tcPr>
            <w:tcW w:w="553" w:type="dxa"/>
            <w:tcBorders>
              <w:top w:val="single" w:color="auto" w:sz="4" w:space="0"/>
              <w:left w:val="single" w:color="auto" w:sz="4" w:space="0"/>
              <w:bottom w:val="single" w:color="auto" w:sz="4" w:space="0"/>
              <w:right w:val="single" w:color="auto" w:sz="4" w:space="0"/>
            </w:tcBorders>
            <w:vAlign w:val="center"/>
          </w:tcPr>
          <w:p w14:paraId="11AC55C6">
            <w:pPr>
              <w:spacing w:line="360" w:lineRule="auto"/>
              <w:rPr>
                <w:rFonts w:hint="eastAsia" w:ascii="宋体" w:hAnsi="宋体"/>
                <w:szCs w:val="21"/>
              </w:rPr>
            </w:pPr>
            <w:r>
              <w:rPr>
                <w:rFonts w:hint="eastAsia" w:ascii="宋体" w:hAnsi="宋体"/>
                <w:szCs w:val="21"/>
              </w:rPr>
              <w:t>9</w:t>
            </w:r>
          </w:p>
        </w:tc>
        <w:tc>
          <w:tcPr>
            <w:tcW w:w="553" w:type="dxa"/>
            <w:tcBorders>
              <w:top w:val="single" w:color="auto" w:sz="4" w:space="0"/>
              <w:left w:val="single" w:color="auto" w:sz="4" w:space="0"/>
              <w:bottom w:val="single" w:color="auto" w:sz="4" w:space="0"/>
              <w:right w:val="single" w:color="auto" w:sz="4" w:space="0"/>
            </w:tcBorders>
            <w:vAlign w:val="center"/>
          </w:tcPr>
          <w:p w14:paraId="1B633C5D">
            <w:pPr>
              <w:spacing w:line="360" w:lineRule="auto"/>
              <w:rPr>
                <w:rFonts w:hint="eastAsia" w:ascii="宋体" w:hAnsi="宋体"/>
                <w:szCs w:val="21"/>
              </w:rPr>
            </w:pPr>
            <w:r>
              <w:rPr>
                <w:rFonts w:hint="eastAsia" w:ascii="宋体" w:hAnsi="宋体"/>
                <w:szCs w:val="21"/>
              </w:rPr>
              <w:t>10</w:t>
            </w:r>
          </w:p>
        </w:tc>
        <w:tc>
          <w:tcPr>
            <w:tcW w:w="553" w:type="dxa"/>
            <w:tcBorders>
              <w:top w:val="single" w:color="auto" w:sz="4" w:space="0"/>
              <w:left w:val="single" w:color="auto" w:sz="4" w:space="0"/>
              <w:bottom w:val="single" w:color="auto" w:sz="4" w:space="0"/>
              <w:right w:val="single" w:color="auto" w:sz="4" w:space="0"/>
            </w:tcBorders>
            <w:vAlign w:val="center"/>
          </w:tcPr>
          <w:p w14:paraId="490F6E70">
            <w:pPr>
              <w:spacing w:line="360" w:lineRule="auto"/>
              <w:rPr>
                <w:rFonts w:hint="eastAsia" w:ascii="宋体" w:hAnsi="宋体"/>
                <w:szCs w:val="21"/>
              </w:rPr>
            </w:pPr>
            <w:r>
              <w:rPr>
                <w:rFonts w:hint="eastAsia" w:ascii="宋体" w:hAnsi="宋体"/>
                <w:szCs w:val="21"/>
              </w:rPr>
              <w:t>11</w:t>
            </w:r>
          </w:p>
        </w:tc>
        <w:tc>
          <w:tcPr>
            <w:tcW w:w="553" w:type="dxa"/>
            <w:tcBorders>
              <w:top w:val="single" w:color="auto" w:sz="4" w:space="0"/>
              <w:left w:val="single" w:color="auto" w:sz="4" w:space="0"/>
              <w:bottom w:val="single" w:color="auto" w:sz="4" w:space="0"/>
              <w:right w:val="single" w:color="auto" w:sz="4" w:space="0"/>
            </w:tcBorders>
            <w:vAlign w:val="center"/>
          </w:tcPr>
          <w:p w14:paraId="700C906F">
            <w:pPr>
              <w:spacing w:line="360" w:lineRule="auto"/>
              <w:rPr>
                <w:rFonts w:hint="eastAsia" w:ascii="宋体" w:hAnsi="宋体"/>
                <w:szCs w:val="21"/>
              </w:rPr>
            </w:pPr>
            <w:r>
              <w:rPr>
                <w:rFonts w:hint="eastAsia" w:ascii="宋体" w:hAnsi="宋体"/>
                <w:szCs w:val="21"/>
              </w:rPr>
              <w:t>12</w:t>
            </w:r>
          </w:p>
        </w:tc>
        <w:tc>
          <w:tcPr>
            <w:tcW w:w="553" w:type="dxa"/>
            <w:tcBorders>
              <w:top w:val="single" w:color="auto" w:sz="4" w:space="0"/>
              <w:left w:val="single" w:color="auto" w:sz="4" w:space="0"/>
              <w:bottom w:val="single" w:color="auto" w:sz="4" w:space="0"/>
              <w:right w:val="single" w:color="auto" w:sz="4" w:space="0"/>
            </w:tcBorders>
            <w:vAlign w:val="center"/>
          </w:tcPr>
          <w:p w14:paraId="2D0DD2AF">
            <w:pPr>
              <w:spacing w:line="360" w:lineRule="auto"/>
              <w:rPr>
                <w:rFonts w:hint="eastAsia" w:ascii="宋体" w:hAnsi="宋体"/>
                <w:szCs w:val="21"/>
              </w:rPr>
            </w:pPr>
            <w:r>
              <w:rPr>
                <w:rFonts w:hint="eastAsia" w:ascii="宋体" w:hAnsi="宋体"/>
                <w:szCs w:val="21"/>
              </w:rPr>
              <w:t>13</w:t>
            </w:r>
          </w:p>
        </w:tc>
        <w:tc>
          <w:tcPr>
            <w:tcW w:w="553" w:type="dxa"/>
            <w:tcBorders>
              <w:top w:val="single" w:color="auto" w:sz="4" w:space="0"/>
              <w:left w:val="single" w:color="auto" w:sz="4" w:space="0"/>
              <w:bottom w:val="single" w:color="auto" w:sz="4" w:space="0"/>
              <w:right w:val="single" w:color="auto" w:sz="4" w:space="0"/>
            </w:tcBorders>
            <w:vAlign w:val="center"/>
          </w:tcPr>
          <w:p w14:paraId="06584DD5">
            <w:pPr>
              <w:spacing w:line="360" w:lineRule="auto"/>
              <w:rPr>
                <w:rFonts w:hint="eastAsia" w:ascii="宋体" w:hAnsi="宋体"/>
                <w:szCs w:val="21"/>
              </w:rPr>
            </w:pPr>
            <w:r>
              <w:rPr>
                <w:rFonts w:hint="eastAsia" w:ascii="宋体" w:hAnsi="宋体"/>
                <w:szCs w:val="21"/>
              </w:rPr>
              <w:t>14</w:t>
            </w:r>
          </w:p>
        </w:tc>
        <w:tc>
          <w:tcPr>
            <w:tcW w:w="553" w:type="dxa"/>
            <w:tcBorders>
              <w:top w:val="single" w:color="auto" w:sz="4" w:space="0"/>
              <w:left w:val="single" w:color="auto" w:sz="4" w:space="0"/>
              <w:bottom w:val="single" w:color="auto" w:sz="4" w:space="0"/>
              <w:right w:val="single" w:color="auto" w:sz="4" w:space="0"/>
            </w:tcBorders>
            <w:vAlign w:val="center"/>
          </w:tcPr>
          <w:p w14:paraId="04AE9815">
            <w:pPr>
              <w:spacing w:line="360" w:lineRule="auto"/>
              <w:rPr>
                <w:rFonts w:hint="eastAsia" w:ascii="宋体" w:hAnsi="宋体"/>
                <w:szCs w:val="21"/>
              </w:rPr>
            </w:pPr>
            <w:r>
              <w:rPr>
                <w:rFonts w:hint="eastAsia" w:ascii="宋体" w:hAnsi="宋体"/>
                <w:szCs w:val="21"/>
              </w:rPr>
              <w:t>15</w:t>
            </w:r>
          </w:p>
        </w:tc>
        <w:tc>
          <w:tcPr>
            <w:tcW w:w="553" w:type="dxa"/>
            <w:tcBorders>
              <w:top w:val="single" w:color="auto" w:sz="4" w:space="0"/>
              <w:left w:val="single" w:color="auto" w:sz="4" w:space="0"/>
              <w:bottom w:val="single" w:color="auto" w:sz="4" w:space="0"/>
              <w:right w:val="single" w:color="auto" w:sz="4" w:space="0"/>
            </w:tcBorders>
            <w:vAlign w:val="center"/>
          </w:tcPr>
          <w:p w14:paraId="390D1DD8">
            <w:pPr>
              <w:spacing w:line="360" w:lineRule="auto"/>
              <w:rPr>
                <w:rFonts w:hint="eastAsia" w:ascii="宋体" w:hAnsi="宋体"/>
                <w:szCs w:val="21"/>
              </w:rPr>
            </w:pPr>
            <w:r>
              <w:rPr>
                <w:rFonts w:hint="eastAsia" w:ascii="宋体" w:hAnsi="宋体"/>
                <w:szCs w:val="21"/>
              </w:rPr>
              <w:t>…</w:t>
            </w:r>
          </w:p>
        </w:tc>
      </w:tr>
      <w:tr w14:paraId="0B8B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4B9F3B7C">
            <w:pPr>
              <w:spacing w:line="360" w:lineRule="auto"/>
              <w:rPr>
                <w:rFonts w:hint="eastAsia" w:ascii="宋体" w:hAnsi="宋体"/>
                <w:szCs w:val="21"/>
              </w:rPr>
            </w:pPr>
          </w:p>
        </w:tc>
        <w:tc>
          <w:tcPr>
            <w:tcW w:w="516" w:type="dxa"/>
            <w:tcBorders>
              <w:top w:val="single" w:color="auto" w:sz="4" w:space="0"/>
              <w:left w:val="single" w:color="auto" w:sz="4" w:space="0"/>
              <w:bottom w:val="single" w:color="auto" w:sz="4" w:space="0"/>
              <w:right w:val="single" w:color="auto" w:sz="4" w:space="0"/>
            </w:tcBorders>
          </w:tcPr>
          <w:p w14:paraId="36B9EB99">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15902779">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56470D18">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7ECE3E23">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4932BE8C">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3AC4E830">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2F0C3F6C">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03E9DEBD">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3E12BD98">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70004E40">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56C6EBE1">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2853EFAE">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371EB0FE">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2F78BE64">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462CCC0F">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3F9D2B19">
            <w:pPr>
              <w:spacing w:line="360" w:lineRule="auto"/>
              <w:rPr>
                <w:rFonts w:hint="eastAsia" w:ascii="宋体" w:hAnsi="宋体"/>
                <w:szCs w:val="21"/>
              </w:rPr>
            </w:pPr>
          </w:p>
        </w:tc>
      </w:tr>
      <w:tr w14:paraId="1B67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7768C4D8">
            <w:pPr>
              <w:spacing w:line="360" w:lineRule="auto"/>
              <w:rPr>
                <w:rFonts w:hint="eastAsia" w:ascii="宋体" w:hAnsi="宋体"/>
                <w:szCs w:val="21"/>
              </w:rPr>
            </w:pPr>
          </w:p>
        </w:tc>
        <w:tc>
          <w:tcPr>
            <w:tcW w:w="516" w:type="dxa"/>
            <w:tcBorders>
              <w:top w:val="single" w:color="auto" w:sz="4" w:space="0"/>
              <w:left w:val="single" w:color="auto" w:sz="4" w:space="0"/>
              <w:bottom w:val="single" w:color="auto" w:sz="4" w:space="0"/>
              <w:right w:val="single" w:color="auto" w:sz="4" w:space="0"/>
            </w:tcBorders>
          </w:tcPr>
          <w:p w14:paraId="09547A79">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08EB2BEF">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4101173D">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61E54777">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33F384EF">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203FA376">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446EA927">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645C1B5A">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3C9231E6">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4F91151A">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0BE36A67">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2E75B0BC">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7409E26D">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3A407066">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5524DC2F">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021FDCD5">
            <w:pPr>
              <w:spacing w:line="360" w:lineRule="auto"/>
              <w:rPr>
                <w:rFonts w:hint="eastAsia" w:ascii="宋体" w:hAnsi="宋体"/>
                <w:szCs w:val="21"/>
              </w:rPr>
            </w:pPr>
          </w:p>
        </w:tc>
      </w:tr>
      <w:tr w14:paraId="2296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6C5E1B37">
            <w:pPr>
              <w:spacing w:line="360" w:lineRule="auto"/>
              <w:rPr>
                <w:rFonts w:hint="eastAsia" w:ascii="宋体" w:hAnsi="宋体"/>
                <w:szCs w:val="21"/>
              </w:rPr>
            </w:pPr>
          </w:p>
        </w:tc>
        <w:tc>
          <w:tcPr>
            <w:tcW w:w="516" w:type="dxa"/>
            <w:tcBorders>
              <w:top w:val="single" w:color="auto" w:sz="4" w:space="0"/>
              <w:left w:val="single" w:color="auto" w:sz="4" w:space="0"/>
              <w:bottom w:val="single" w:color="auto" w:sz="4" w:space="0"/>
              <w:right w:val="single" w:color="auto" w:sz="4" w:space="0"/>
            </w:tcBorders>
          </w:tcPr>
          <w:p w14:paraId="71470769">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4CF43FDB">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51428003">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7F35C98E">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4D823DF4">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188F8CBD">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5616F2FE">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4974ED4A">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25C002C1">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52367BE8">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0F3C4C4D">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1747D15C">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3937706B">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1EE082FA">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260D7CF3">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6E7F3EBB">
            <w:pPr>
              <w:spacing w:line="360" w:lineRule="auto"/>
              <w:rPr>
                <w:rFonts w:hint="eastAsia" w:ascii="宋体" w:hAnsi="宋体"/>
                <w:szCs w:val="21"/>
              </w:rPr>
            </w:pPr>
          </w:p>
        </w:tc>
      </w:tr>
      <w:tr w14:paraId="23F2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0282A3F3">
            <w:pPr>
              <w:spacing w:line="360" w:lineRule="auto"/>
              <w:rPr>
                <w:rFonts w:hint="eastAsia" w:ascii="宋体" w:hAnsi="宋体"/>
                <w:szCs w:val="21"/>
              </w:rPr>
            </w:pPr>
          </w:p>
        </w:tc>
        <w:tc>
          <w:tcPr>
            <w:tcW w:w="516" w:type="dxa"/>
            <w:tcBorders>
              <w:top w:val="single" w:color="auto" w:sz="4" w:space="0"/>
              <w:left w:val="single" w:color="auto" w:sz="4" w:space="0"/>
              <w:bottom w:val="single" w:color="auto" w:sz="4" w:space="0"/>
              <w:right w:val="single" w:color="auto" w:sz="4" w:space="0"/>
            </w:tcBorders>
          </w:tcPr>
          <w:p w14:paraId="68D84CE2">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4D0A6F5E">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245F3DE5">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74D63E60">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5A23CDF4">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2AA0E4D4">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79777506">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76D1697A">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5AC868BA">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556687B4">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5970DFF4">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5A4C6C21">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40DD1BAF">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7D7BDF6A">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1436D35B">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165708A0">
            <w:pPr>
              <w:spacing w:line="360" w:lineRule="auto"/>
              <w:rPr>
                <w:rFonts w:hint="eastAsia" w:ascii="宋体" w:hAnsi="宋体"/>
                <w:szCs w:val="21"/>
              </w:rPr>
            </w:pPr>
          </w:p>
        </w:tc>
      </w:tr>
      <w:tr w14:paraId="696E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303BFA42">
            <w:pPr>
              <w:spacing w:line="360" w:lineRule="auto"/>
              <w:rPr>
                <w:rFonts w:hint="eastAsia" w:ascii="宋体" w:hAnsi="宋体"/>
                <w:szCs w:val="21"/>
              </w:rPr>
            </w:pPr>
          </w:p>
        </w:tc>
        <w:tc>
          <w:tcPr>
            <w:tcW w:w="516" w:type="dxa"/>
            <w:tcBorders>
              <w:top w:val="single" w:color="auto" w:sz="4" w:space="0"/>
              <w:left w:val="single" w:color="auto" w:sz="4" w:space="0"/>
              <w:bottom w:val="single" w:color="auto" w:sz="4" w:space="0"/>
              <w:right w:val="single" w:color="auto" w:sz="4" w:space="0"/>
            </w:tcBorders>
          </w:tcPr>
          <w:p w14:paraId="07FC954A">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7FF7ED27">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6551F6FD">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147D31A3">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21E5F902">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0E8E7D73">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0B6F4F57">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484376AD">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5F2C9BEB">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4D6674BD">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6E9965DA">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0DE54B51">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3087244A">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4B87F7C2">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3A38B541">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2C8E480B">
            <w:pPr>
              <w:spacing w:line="360" w:lineRule="auto"/>
              <w:rPr>
                <w:rFonts w:hint="eastAsia" w:ascii="宋体" w:hAnsi="宋体"/>
                <w:szCs w:val="21"/>
              </w:rPr>
            </w:pPr>
          </w:p>
        </w:tc>
      </w:tr>
      <w:tr w14:paraId="61F1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55350DE5">
            <w:pPr>
              <w:spacing w:line="360" w:lineRule="auto"/>
              <w:rPr>
                <w:rFonts w:hint="eastAsia" w:ascii="宋体" w:hAnsi="宋体"/>
                <w:szCs w:val="21"/>
              </w:rPr>
            </w:pPr>
          </w:p>
        </w:tc>
        <w:tc>
          <w:tcPr>
            <w:tcW w:w="516" w:type="dxa"/>
            <w:tcBorders>
              <w:top w:val="single" w:color="auto" w:sz="4" w:space="0"/>
              <w:left w:val="single" w:color="auto" w:sz="4" w:space="0"/>
              <w:bottom w:val="single" w:color="auto" w:sz="4" w:space="0"/>
              <w:right w:val="single" w:color="auto" w:sz="4" w:space="0"/>
            </w:tcBorders>
          </w:tcPr>
          <w:p w14:paraId="6F62F975">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4308F397">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4975CBE2">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471B89BF">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06804CC4">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030DAFA8">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3F187934">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28EE8A13">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6233BEA3">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762554D8">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1134D650">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330E67A5">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4AAB01B4">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1D6D2B49">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002261A5">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4208AD6A">
            <w:pPr>
              <w:spacing w:line="360" w:lineRule="auto"/>
              <w:rPr>
                <w:rFonts w:hint="eastAsia" w:ascii="宋体" w:hAnsi="宋体"/>
                <w:szCs w:val="21"/>
              </w:rPr>
            </w:pPr>
          </w:p>
        </w:tc>
      </w:tr>
      <w:tr w14:paraId="4C95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0C48F3E7">
            <w:pPr>
              <w:spacing w:line="360" w:lineRule="auto"/>
              <w:rPr>
                <w:rFonts w:hint="eastAsia" w:ascii="宋体" w:hAnsi="宋体"/>
                <w:szCs w:val="21"/>
              </w:rPr>
            </w:pPr>
          </w:p>
        </w:tc>
        <w:tc>
          <w:tcPr>
            <w:tcW w:w="516" w:type="dxa"/>
            <w:tcBorders>
              <w:top w:val="single" w:color="auto" w:sz="4" w:space="0"/>
              <w:left w:val="single" w:color="auto" w:sz="4" w:space="0"/>
              <w:bottom w:val="single" w:color="auto" w:sz="4" w:space="0"/>
              <w:right w:val="single" w:color="auto" w:sz="4" w:space="0"/>
            </w:tcBorders>
          </w:tcPr>
          <w:p w14:paraId="65C196F8">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4EC98ED2">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2578E941">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2A9929B9">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50E26025">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178F3F4A">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6D7BB72C">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3E2F0327">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2C98C5DD">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7BEB68D4">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11217A0A">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4C539033">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3CCFC1B4">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0946F3AE">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01FF1329">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318EC12B">
            <w:pPr>
              <w:spacing w:line="360" w:lineRule="auto"/>
              <w:rPr>
                <w:rFonts w:hint="eastAsia" w:ascii="宋体" w:hAnsi="宋体"/>
                <w:szCs w:val="21"/>
              </w:rPr>
            </w:pPr>
          </w:p>
        </w:tc>
      </w:tr>
      <w:tr w14:paraId="6EA3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1BACF5D8">
            <w:pPr>
              <w:spacing w:line="360" w:lineRule="auto"/>
              <w:rPr>
                <w:rFonts w:hint="eastAsia" w:ascii="宋体" w:hAnsi="宋体"/>
                <w:szCs w:val="21"/>
              </w:rPr>
            </w:pPr>
          </w:p>
        </w:tc>
        <w:tc>
          <w:tcPr>
            <w:tcW w:w="516" w:type="dxa"/>
            <w:tcBorders>
              <w:top w:val="single" w:color="auto" w:sz="4" w:space="0"/>
              <w:left w:val="single" w:color="auto" w:sz="4" w:space="0"/>
              <w:bottom w:val="single" w:color="auto" w:sz="4" w:space="0"/>
              <w:right w:val="single" w:color="auto" w:sz="4" w:space="0"/>
            </w:tcBorders>
          </w:tcPr>
          <w:p w14:paraId="55602D9E">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65C2F18B">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02B957F6">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1B703284">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3A4EA3A2">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75E858BD">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6DA13129">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5BE7DE50">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69489CF8">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21BAC43E">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15073274">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50273AE5">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0C0B4A39">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282B16D2">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18172CEA">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4C22D071">
            <w:pPr>
              <w:spacing w:line="360" w:lineRule="auto"/>
              <w:rPr>
                <w:rFonts w:hint="eastAsia" w:ascii="宋体" w:hAnsi="宋体"/>
                <w:szCs w:val="21"/>
              </w:rPr>
            </w:pPr>
          </w:p>
        </w:tc>
      </w:tr>
      <w:tr w14:paraId="7849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0E5354F3">
            <w:pPr>
              <w:spacing w:line="360" w:lineRule="auto"/>
              <w:rPr>
                <w:rFonts w:hint="eastAsia" w:ascii="宋体" w:hAnsi="宋体"/>
                <w:szCs w:val="21"/>
              </w:rPr>
            </w:pPr>
          </w:p>
        </w:tc>
        <w:tc>
          <w:tcPr>
            <w:tcW w:w="516" w:type="dxa"/>
            <w:tcBorders>
              <w:top w:val="single" w:color="auto" w:sz="4" w:space="0"/>
              <w:left w:val="single" w:color="auto" w:sz="4" w:space="0"/>
              <w:bottom w:val="single" w:color="auto" w:sz="4" w:space="0"/>
              <w:right w:val="single" w:color="auto" w:sz="4" w:space="0"/>
            </w:tcBorders>
          </w:tcPr>
          <w:p w14:paraId="2DEE995D">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357E4945">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48CDB6A8">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16E515AA">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6D7CCAEF">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67822B28">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07BE92F3">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35181998">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789AA139">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5F281312">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1F70940D">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3CEC6986">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5499195D">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106EDCE7">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081D54C6">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6849F503">
            <w:pPr>
              <w:spacing w:line="360" w:lineRule="auto"/>
              <w:rPr>
                <w:rFonts w:hint="eastAsia" w:ascii="宋体" w:hAnsi="宋体"/>
                <w:szCs w:val="21"/>
              </w:rPr>
            </w:pPr>
          </w:p>
        </w:tc>
      </w:tr>
      <w:tr w14:paraId="02C0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31F715D6">
            <w:pPr>
              <w:spacing w:line="360" w:lineRule="auto"/>
              <w:rPr>
                <w:rFonts w:hint="eastAsia" w:ascii="宋体" w:hAnsi="宋体"/>
                <w:szCs w:val="21"/>
              </w:rPr>
            </w:pPr>
          </w:p>
        </w:tc>
        <w:tc>
          <w:tcPr>
            <w:tcW w:w="516" w:type="dxa"/>
            <w:tcBorders>
              <w:top w:val="single" w:color="auto" w:sz="4" w:space="0"/>
              <w:left w:val="single" w:color="auto" w:sz="4" w:space="0"/>
              <w:bottom w:val="single" w:color="auto" w:sz="4" w:space="0"/>
              <w:right w:val="single" w:color="auto" w:sz="4" w:space="0"/>
            </w:tcBorders>
          </w:tcPr>
          <w:p w14:paraId="6F0D8C47">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75CB8251">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1B534774">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64E8E183">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55205D84">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55B0859E">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7002D11E">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371D5A1E">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7C17123A">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1C233967">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0E5DE17D">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42A02D4F">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15F712AF">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42947507">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545A62E3">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2A907409">
            <w:pPr>
              <w:spacing w:line="360" w:lineRule="auto"/>
              <w:rPr>
                <w:rFonts w:hint="eastAsia" w:ascii="宋体" w:hAnsi="宋体"/>
                <w:szCs w:val="21"/>
              </w:rPr>
            </w:pPr>
          </w:p>
        </w:tc>
      </w:tr>
      <w:tr w14:paraId="4814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vAlign w:val="center"/>
          </w:tcPr>
          <w:p w14:paraId="2499045A">
            <w:pPr>
              <w:spacing w:line="360" w:lineRule="auto"/>
              <w:rPr>
                <w:rFonts w:hint="eastAsia" w:ascii="宋体" w:hAnsi="宋体"/>
                <w:szCs w:val="21"/>
              </w:rPr>
            </w:pPr>
          </w:p>
        </w:tc>
        <w:tc>
          <w:tcPr>
            <w:tcW w:w="516" w:type="dxa"/>
            <w:tcBorders>
              <w:top w:val="single" w:color="auto" w:sz="4" w:space="0"/>
              <w:left w:val="single" w:color="auto" w:sz="4" w:space="0"/>
              <w:bottom w:val="single" w:color="auto" w:sz="4" w:space="0"/>
              <w:right w:val="single" w:color="auto" w:sz="4" w:space="0"/>
            </w:tcBorders>
          </w:tcPr>
          <w:p w14:paraId="1D48A992">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079E0B5A">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55262FD8">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35065B7E">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4FF0CB70">
            <w:pPr>
              <w:spacing w:line="360" w:lineRule="auto"/>
              <w:rPr>
                <w:rFonts w:hint="eastAsia" w:ascii="宋体" w:hAnsi="宋体"/>
                <w:szCs w:val="21"/>
              </w:rPr>
            </w:pPr>
          </w:p>
        </w:tc>
        <w:tc>
          <w:tcPr>
            <w:tcW w:w="552" w:type="dxa"/>
            <w:tcBorders>
              <w:top w:val="single" w:color="auto" w:sz="4" w:space="0"/>
              <w:left w:val="single" w:color="auto" w:sz="4" w:space="0"/>
              <w:bottom w:val="single" w:color="auto" w:sz="4" w:space="0"/>
              <w:right w:val="single" w:color="auto" w:sz="4" w:space="0"/>
            </w:tcBorders>
          </w:tcPr>
          <w:p w14:paraId="63B95948">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58A317F1">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03DA4AE7">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687824EE">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642DB452">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486BA347">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6463AD70">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5F0188F0">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58EF4490">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6E263F4C">
            <w:pPr>
              <w:spacing w:line="360" w:lineRule="auto"/>
              <w:rPr>
                <w:rFonts w:hint="eastAsia" w:ascii="宋体" w:hAnsi="宋体"/>
                <w:szCs w:val="21"/>
              </w:rPr>
            </w:pPr>
          </w:p>
        </w:tc>
        <w:tc>
          <w:tcPr>
            <w:tcW w:w="553" w:type="dxa"/>
            <w:tcBorders>
              <w:top w:val="single" w:color="auto" w:sz="4" w:space="0"/>
              <w:left w:val="single" w:color="auto" w:sz="4" w:space="0"/>
              <w:bottom w:val="single" w:color="auto" w:sz="4" w:space="0"/>
              <w:right w:val="single" w:color="auto" w:sz="4" w:space="0"/>
            </w:tcBorders>
          </w:tcPr>
          <w:p w14:paraId="4C573188">
            <w:pPr>
              <w:spacing w:line="360" w:lineRule="auto"/>
              <w:rPr>
                <w:rFonts w:hint="eastAsia" w:ascii="宋体" w:hAnsi="宋体"/>
                <w:szCs w:val="21"/>
              </w:rPr>
            </w:pPr>
          </w:p>
        </w:tc>
      </w:tr>
    </w:tbl>
    <w:p w14:paraId="44B81D1C">
      <w:pPr>
        <w:autoSpaceDE w:val="0"/>
        <w:autoSpaceDN w:val="0"/>
        <w:spacing w:line="440" w:lineRule="exact"/>
        <w:rPr>
          <w:rFonts w:hint="eastAsia" w:ascii="宋体" w:hAnsi="宋体"/>
          <w:b/>
          <w:szCs w:val="21"/>
        </w:rPr>
      </w:pPr>
      <w:r>
        <w:rPr>
          <w:rFonts w:hint="eastAsia" w:ascii="宋体" w:hAnsi="宋体"/>
          <w:b/>
          <w:szCs w:val="21"/>
        </w:rPr>
        <w:t>注：投标人可按上述时间表的格式自行编制切合实际的具体时间表。</w:t>
      </w:r>
    </w:p>
    <w:p w14:paraId="66418DF7">
      <w:pPr>
        <w:autoSpaceDE w:val="0"/>
        <w:autoSpaceDN w:val="0"/>
        <w:spacing w:line="420" w:lineRule="exact"/>
        <w:rPr>
          <w:rFonts w:ascii="仿宋_GB2312" w:eastAsia="仿宋_GB2312"/>
          <w:kern w:val="0"/>
          <w:sz w:val="24"/>
        </w:rPr>
      </w:pPr>
    </w:p>
    <w:p w14:paraId="7BF031EA">
      <w:pPr>
        <w:snapToGrid w:val="0"/>
        <w:spacing w:before="50" w:after="50"/>
        <w:rPr>
          <w:rFonts w:hint="eastAsia" w:ascii="宋体" w:hAnsi="宋体"/>
        </w:rPr>
      </w:pPr>
    </w:p>
    <w:p w14:paraId="48B7E182">
      <w:pPr>
        <w:snapToGrid w:val="0"/>
        <w:ind w:left="2" w:right="-817" w:rightChars="-389"/>
        <w:rPr>
          <w:rFonts w:hint="eastAsia" w:ascii="宋体" w:hAnsi="宋体"/>
        </w:rPr>
      </w:pPr>
    </w:p>
    <w:p w14:paraId="515309AC">
      <w:pPr>
        <w:snapToGrid w:val="0"/>
        <w:spacing w:before="50" w:after="156" w:afterLines="50"/>
        <w:jc w:val="left"/>
        <w:rPr>
          <w:rFonts w:hint="eastAsia" w:ascii="宋体" w:hAnsi="宋体"/>
          <w:b/>
          <w:sz w:val="24"/>
        </w:rPr>
      </w:pPr>
      <w:r>
        <w:rPr>
          <w:rFonts w:hint="eastAsia" w:ascii="宋体" w:hAnsi="宋体"/>
        </w:rPr>
        <w:t>投标人名称（盖章）：</w:t>
      </w:r>
      <w:r>
        <w:rPr>
          <w:rFonts w:hint="eastAsia" w:ascii="宋体" w:hAnsi="宋体"/>
          <w:spacing w:val="20"/>
        </w:rPr>
        <w:t>日期：</w:t>
      </w:r>
      <w:r>
        <w:rPr>
          <w:rFonts w:hint="eastAsia" w:ascii="宋体" w:hAnsi="宋体"/>
        </w:rPr>
        <w:br w:type="page"/>
      </w:r>
      <w:r>
        <w:rPr>
          <w:rFonts w:hint="eastAsia" w:ascii="宋体" w:hAnsi="宋体"/>
          <w:b/>
          <w:sz w:val="24"/>
        </w:rPr>
        <w:t>十二、技术响应表格式：</w:t>
      </w:r>
    </w:p>
    <w:p w14:paraId="79A6F654">
      <w:pPr>
        <w:rPr>
          <w:rFonts w:hint="eastAsia" w:ascii="宋体" w:hAnsi="宋体"/>
        </w:rPr>
      </w:pPr>
      <w:r>
        <w:rPr>
          <w:rFonts w:hint="eastAsia" w:ascii="宋体" w:hAnsi="宋体"/>
        </w:rPr>
        <w:t>项目名称：</w:t>
      </w:r>
    </w:p>
    <w:p w14:paraId="1544F578">
      <w:pPr>
        <w:snapToGrid w:val="0"/>
        <w:spacing w:line="360" w:lineRule="auto"/>
        <w:rPr>
          <w:rFonts w:ascii="宋体"/>
        </w:rPr>
      </w:pPr>
      <w:r>
        <w:rPr>
          <w:rFonts w:hint="eastAsia" w:ascii="宋体" w:hAnsi="宋体"/>
        </w:rPr>
        <w:t>项目编号：</w:t>
      </w:r>
    </w:p>
    <w:tbl>
      <w:tblPr>
        <w:tblStyle w:val="61"/>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34AAD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1189C74D">
            <w:pPr>
              <w:snapToGrid w:val="0"/>
              <w:spacing w:after="295"/>
              <w:jc w:val="center"/>
              <w:outlineLvl w:val="0"/>
              <w:rPr>
                <w:rFonts w:hint="eastAsia" w:ascii="宋体" w:hAnsi="宋体"/>
                <w:sz w:val="24"/>
              </w:rPr>
            </w:pPr>
            <w:r>
              <w:rPr>
                <w:rFonts w:hint="eastAsia" w:ascii="宋体" w:hAnsi="宋体"/>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6DAF8C1E">
            <w:pPr>
              <w:snapToGrid w:val="0"/>
              <w:spacing w:after="295"/>
              <w:jc w:val="center"/>
              <w:outlineLvl w:val="0"/>
              <w:rPr>
                <w:rFonts w:hint="eastAsia" w:ascii="宋体" w:hAnsi="宋体"/>
                <w:sz w:val="24"/>
              </w:rPr>
            </w:pPr>
            <w:r>
              <w:rPr>
                <w:rFonts w:hint="eastAsia" w:ascii="宋体" w:hAnsi="宋体"/>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029F4F1E">
            <w:pPr>
              <w:snapToGrid w:val="0"/>
              <w:spacing w:after="295"/>
              <w:jc w:val="center"/>
              <w:outlineLvl w:val="0"/>
              <w:rPr>
                <w:rFonts w:hint="eastAsia" w:ascii="宋体" w:hAnsi="宋体"/>
                <w:sz w:val="24"/>
              </w:rPr>
            </w:pPr>
            <w:r>
              <w:rPr>
                <w:rFonts w:hint="eastAsia" w:ascii="宋体" w:hAnsi="宋体"/>
                <w:sz w:val="24"/>
              </w:rPr>
              <w:t>偏离情况</w:t>
            </w:r>
          </w:p>
        </w:tc>
      </w:tr>
      <w:tr w14:paraId="794A9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199BF7A8">
            <w:pPr>
              <w:snapToGrid w:val="0"/>
              <w:spacing w:after="295"/>
              <w:jc w:val="center"/>
              <w:outlineLvl w:val="0"/>
              <w:rPr>
                <w:rFonts w:hint="eastAsia" w:ascii="宋体" w:hAnsi="宋体"/>
                <w:sz w:val="24"/>
              </w:rPr>
            </w:pPr>
            <w:r>
              <w:rPr>
                <w:rFonts w:hint="eastAsia" w:ascii="宋体" w:hAnsi="宋体"/>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0F78B390">
            <w:pPr>
              <w:snapToGrid w:val="0"/>
              <w:spacing w:after="295"/>
              <w:jc w:val="center"/>
              <w:outlineLvl w:val="0"/>
              <w:rPr>
                <w:rFonts w:hint="eastAsia" w:ascii="宋体" w:hAnsi="宋体"/>
                <w:sz w:val="24"/>
              </w:rPr>
            </w:pPr>
            <w:r>
              <w:rPr>
                <w:rFonts w:hint="eastAsia" w:ascii="宋体" w:hAnsi="宋体"/>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248D5263">
            <w:pPr>
              <w:snapToGrid w:val="0"/>
              <w:spacing w:after="295"/>
              <w:jc w:val="center"/>
              <w:outlineLvl w:val="0"/>
              <w:rPr>
                <w:rFonts w:hint="eastAsia" w:ascii="宋体" w:hAnsi="宋体"/>
                <w:sz w:val="24"/>
              </w:rPr>
            </w:pPr>
            <w:r>
              <w:rPr>
                <w:rFonts w:hint="eastAsia" w:ascii="宋体" w:hAnsi="宋体"/>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5C9E66D8">
            <w:pPr>
              <w:snapToGrid w:val="0"/>
              <w:spacing w:after="295"/>
              <w:jc w:val="center"/>
              <w:outlineLvl w:val="0"/>
              <w:rPr>
                <w:rFonts w:hint="eastAsia" w:ascii="宋体" w:hAnsi="宋体"/>
                <w:sz w:val="24"/>
              </w:rPr>
            </w:pPr>
            <w:r>
              <w:rPr>
                <w:rFonts w:hint="eastAsia" w:ascii="宋体" w:hAnsi="宋体"/>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43DC663A">
            <w:pPr>
              <w:widowControl/>
              <w:jc w:val="left"/>
              <w:rPr>
                <w:rFonts w:hint="eastAsia" w:ascii="宋体" w:hAnsi="宋体"/>
                <w:sz w:val="24"/>
              </w:rPr>
            </w:pPr>
          </w:p>
        </w:tc>
      </w:tr>
      <w:tr w14:paraId="21EAE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3ECD4953">
            <w:pPr>
              <w:snapToGrid w:val="0"/>
              <w:spacing w:after="295"/>
              <w:jc w:val="center"/>
              <w:outlineLvl w:val="0"/>
              <w:rPr>
                <w:rFonts w:hint="eastAsia" w:ascii="宋体" w:hAnsi="宋体"/>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6482C998">
            <w:pPr>
              <w:snapToGrid w:val="0"/>
              <w:spacing w:after="295" w:line="120" w:lineRule="exact"/>
              <w:jc w:val="center"/>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087CC143">
            <w:pPr>
              <w:snapToGrid w:val="0"/>
              <w:spacing w:after="295" w:line="120" w:lineRule="exact"/>
              <w:jc w:val="center"/>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350ED02D">
            <w:pPr>
              <w:snapToGrid w:val="0"/>
              <w:spacing w:after="295" w:line="120" w:lineRule="exact"/>
              <w:jc w:val="center"/>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145527F7">
            <w:pPr>
              <w:snapToGrid w:val="0"/>
              <w:spacing w:after="295" w:line="120" w:lineRule="exact"/>
              <w:jc w:val="center"/>
              <w:outlineLvl w:val="0"/>
              <w:rPr>
                <w:rFonts w:hint="eastAsia" w:ascii="宋体" w:hAnsi="宋体"/>
                <w:sz w:val="24"/>
              </w:rPr>
            </w:pPr>
          </w:p>
        </w:tc>
      </w:tr>
      <w:tr w14:paraId="33244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4C594CE4">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18E793EF">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0722E7C8">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6122A0B9">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087CB479">
            <w:pPr>
              <w:snapToGrid w:val="0"/>
              <w:spacing w:after="295" w:line="120" w:lineRule="exact"/>
              <w:outlineLvl w:val="0"/>
              <w:rPr>
                <w:rFonts w:hint="eastAsia" w:ascii="宋体" w:hAnsi="宋体"/>
                <w:sz w:val="24"/>
              </w:rPr>
            </w:pPr>
          </w:p>
        </w:tc>
      </w:tr>
      <w:tr w14:paraId="0B956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111AD939">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4E0C0EB0">
            <w:pPr>
              <w:snapToGrid w:val="0"/>
              <w:spacing w:after="295" w:line="120" w:lineRule="exact"/>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3F9C4B82">
            <w:pPr>
              <w:snapToGrid w:val="0"/>
              <w:spacing w:after="295" w:line="120" w:lineRule="exact"/>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6A097E56">
            <w:pPr>
              <w:snapToGrid w:val="0"/>
              <w:spacing w:after="295" w:line="120" w:lineRule="exact"/>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0940875B">
            <w:pPr>
              <w:snapToGrid w:val="0"/>
              <w:spacing w:after="295" w:line="120" w:lineRule="exact"/>
              <w:rPr>
                <w:rFonts w:hint="eastAsia" w:ascii="宋体" w:hAnsi="宋体"/>
                <w:sz w:val="24"/>
              </w:rPr>
            </w:pPr>
          </w:p>
        </w:tc>
      </w:tr>
      <w:tr w14:paraId="25F85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D9A8D20">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2D250E92">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01ACB9F4">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5A6680FC">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296F17FF">
            <w:pPr>
              <w:snapToGrid w:val="0"/>
              <w:spacing w:after="295" w:line="120" w:lineRule="exact"/>
              <w:outlineLvl w:val="0"/>
              <w:rPr>
                <w:rFonts w:hint="eastAsia" w:ascii="宋体" w:hAnsi="宋体"/>
                <w:sz w:val="24"/>
              </w:rPr>
            </w:pPr>
          </w:p>
        </w:tc>
      </w:tr>
      <w:tr w14:paraId="1418F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24666C6">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21E1945F">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6605BD34">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053852AE">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5CC88812">
            <w:pPr>
              <w:snapToGrid w:val="0"/>
              <w:spacing w:after="295" w:line="120" w:lineRule="exact"/>
              <w:outlineLvl w:val="0"/>
              <w:rPr>
                <w:rFonts w:hint="eastAsia" w:ascii="宋体" w:hAnsi="宋体"/>
                <w:sz w:val="24"/>
              </w:rPr>
            </w:pPr>
          </w:p>
        </w:tc>
      </w:tr>
      <w:tr w14:paraId="2AFFA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BCE85A3">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5CE987B8">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06087EF4">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0EFB19B4">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5215D7AB">
            <w:pPr>
              <w:snapToGrid w:val="0"/>
              <w:spacing w:after="295" w:line="120" w:lineRule="exact"/>
              <w:outlineLvl w:val="0"/>
              <w:rPr>
                <w:rFonts w:hint="eastAsia" w:ascii="宋体" w:hAnsi="宋体"/>
                <w:sz w:val="24"/>
              </w:rPr>
            </w:pPr>
          </w:p>
        </w:tc>
      </w:tr>
      <w:tr w14:paraId="1C5E2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DB7085D">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61C89FF0">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68ACB751">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4501854D">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6663C3DF">
            <w:pPr>
              <w:snapToGrid w:val="0"/>
              <w:spacing w:after="295" w:line="120" w:lineRule="exact"/>
              <w:outlineLvl w:val="0"/>
              <w:rPr>
                <w:rFonts w:hint="eastAsia" w:ascii="宋体" w:hAnsi="宋体"/>
                <w:sz w:val="24"/>
              </w:rPr>
            </w:pPr>
          </w:p>
        </w:tc>
      </w:tr>
      <w:tr w14:paraId="2C38F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3143835">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19BD3C6C">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0BC3B5AF">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6E1DA1C2">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01D38F9C">
            <w:pPr>
              <w:snapToGrid w:val="0"/>
              <w:spacing w:after="295" w:line="120" w:lineRule="exact"/>
              <w:outlineLvl w:val="0"/>
              <w:rPr>
                <w:rFonts w:hint="eastAsia" w:ascii="宋体" w:hAnsi="宋体"/>
                <w:sz w:val="24"/>
              </w:rPr>
            </w:pPr>
          </w:p>
        </w:tc>
      </w:tr>
      <w:tr w14:paraId="1C9DC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0952859">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15399495">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5D05DF16">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454C295B">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15DB6426">
            <w:pPr>
              <w:snapToGrid w:val="0"/>
              <w:spacing w:after="295" w:line="120" w:lineRule="exact"/>
              <w:outlineLvl w:val="0"/>
              <w:rPr>
                <w:rFonts w:hint="eastAsia" w:ascii="宋体" w:hAnsi="宋体"/>
                <w:sz w:val="24"/>
              </w:rPr>
            </w:pPr>
          </w:p>
        </w:tc>
      </w:tr>
      <w:tr w14:paraId="73941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B35A12D">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03753B2E">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436C02B1">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21B015DF">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7B43D01E">
            <w:pPr>
              <w:snapToGrid w:val="0"/>
              <w:spacing w:after="295" w:line="120" w:lineRule="exact"/>
              <w:outlineLvl w:val="0"/>
              <w:rPr>
                <w:rFonts w:hint="eastAsia" w:ascii="宋体" w:hAnsi="宋体"/>
                <w:sz w:val="24"/>
              </w:rPr>
            </w:pPr>
          </w:p>
        </w:tc>
      </w:tr>
      <w:tr w14:paraId="404F4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2B802C0">
            <w:pPr>
              <w:rPr>
                <w:rFonts w:hint="eastAsia" w:ascii="宋体" w:hAnsi="宋体"/>
              </w:rPr>
            </w:pPr>
          </w:p>
        </w:tc>
        <w:tc>
          <w:tcPr>
            <w:tcW w:w="2280" w:type="dxa"/>
            <w:tcBorders>
              <w:top w:val="single" w:color="auto" w:sz="4" w:space="0"/>
              <w:left w:val="single" w:color="auto" w:sz="4" w:space="0"/>
              <w:bottom w:val="single" w:color="auto" w:sz="4" w:space="0"/>
              <w:right w:val="single" w:color="auto" w:sz="4" w:space="0"/>
            </w:tcBorders>
            <w:vAlign w:val="center"/>
          </w:tcPr>
          <w:p w14:paraId="384E2E22">
            <w:pPr>
              <w:snapToGrid w:val="0"/>
              <w:spacing w:after="295" w:line="120" w:lineRule="exact"/>
              <w:outlineLvl w:val="0"/>
              <w:rPr>
                <w:rFonts w:hint="eastAsia" w:ascii="宋体" w:hAnsi="宋体"/>
                <w:sz w:val="24"/>
              </w:rPr>
            </w:pPr>
          </w:p>
        </w:tc>
        <w:tc>
          <w:tcPr>
            <w:tcW w:w="2040" w:type="dxa"/>
            <w:tcBorders>
              <w:top w:val="single" w:color="auto" w:sz="4" w:space="0"/>
              <w:left w:val="single" w:color="auto" w:sz="4" w:space="0"/>
              <w:bottom w:val="single" w:color="auto" w:sz="4" w:space="0"/>
              <w:right w:val="single" w:color="auto" w:sz="4" w:space="0"/>
            </w:tcBorders>
          </w:tcPr>
          <w:p w14:paraId="2A4C928A">
            <w:pPr>
              <w:snapToGrid w:val="0"/>
              <w:spacing w:after="295" w:line="120" w:lineRule="exact"/>
              <w:outlineLvl w:val="0"/>
              <w:rPr>
                <w:rFonts w:hint="eastAsia" w:ascii="宋体" w:hAnsi="宋体"/>
                <w:sz w:val="24"/>
              </w:rPr>
            </w:pPr>
          </w:p>
        </w:tc>
        <w:tc>
          <w:tcPr>
            <w:tcW w:w="1604" w:type="dxa"/>
            <w:tcBorders>
              <w:top w:val="single" w:color="auto" w:sz="4" w:space="0"/>
              <w:left w:val="single" w:color="auto" w:sz="4" w:space="0"/>
              <w:bottom w:val="single" w:color="auto" w:sz="4" w:space="0"/>
              <w:right w:val="single" w:color="auto" w:sz="4" w:space="0"/>
            </w:tcBorders>
          </w:tcPr>
          <w:p w14:paraId="569E76D9">
            <w:pPr>
              <w:snapToGrid w:val="0"/>
              <w:spacing w:after="295" w:line="120" w:lineRule="exact"/>
              <w:outlineLvl w:val="0"/>
              <w:rPr>
                <w:rFonts w:hint="eastAsia" w:ascii="宋体" w:hAnsi="宋体"/>
                <w:sz w:val="24"/>
              </w:rPr>
            </w:pPr>
          </w:p>
        </w:tc>
        <w:tc>
          <w:tcPr>
            <w:tcW w:w="1423" w:type="dxa"/>
            <w:tcBorders>
              <w:top w:val="single" w:color="auto" w:sz="4" w:space="0"/>
              <w:left w:val="single" w:color="auto" w:sz="4" w:space="0"/>
              <w:bottom w:val="single" w:color="auto" w:sz="4" w:space="0"/>
              <w:right w:val="single" w:color="auto" w:sz="4" w:space="0"/>
            </w:tcBorders>
          </w:tcPr>
          <w:p w14:paraId="18423DF3">
            <w:pPr>
              <w:snapToGrid w:val="0"/>
              <w:spacing w:after="295" w:line="120" w:lineRule="exact"/>
              <w:outlineLvl w:val="0"/>
              <w:rPr>
                <w:rFonts w:hint="eastAsia" w:ascii="宋体" w:hAnsi="宋体"/>
                <w:sz w:val="24"/>
              </w:rPr>
            </w:pPr>
          </w:p>
        </w:tc>
      </w:tr>
    </w:tbl>
    <w:p w14:paraId="3BA23410">
      <w:pPr>
        <w:snapToGrid w:val="0"/>
        <w:spacing w:before="50" w:after="50"/>
        <w:rPr>
          <w:rFonts w:hint="eastAsia" w:ascii="宋体" w:hAnsi="宋体"/>
          <w:b/>
        </w:rPr>
      </w:pPr>
    </w:p>
    <w:p w14:paraId="58B41E68">
      <w:pPr>
        <w:snapToGrid w:val="0"/>
        <w:spacing w:before="50" w:after="50"/>
        <w:rPr>
          <w:rFonts w:hint="eastAsia" w:ascii="宋体" w:hAnsi="宋体"/>
          <w:b/>
          <w:spacing w:val="20"/>
          <w:sz w:val="24"/>
        </w:rPr>
      </w:pPr>
    </w:p>
    <w:p w14:paraId="10FF5865">
      <w:pPr>
        <w:snapToGrid w:val="0"/>
        <w:spacing w:before="50" w:after="50"/>
        <w:rPr>
          <w:rFonts w:hint="eastAsia" w:ascii="宋体" w:hAnsi="宋体"/>
        </w:rPr>
      </w:pPr>
    </w:p>
    <w:p w14:paraId="2EEEE1A6">
      <w:pPr>
        <w:snapToGrid w:val="0"/>
        <w:ind w:left="2" w:right="-817" w:rightChars="-389"/>
        <w:rPr>
          <w:rFonts w:hint="eastAsia" w:ascii="宋体" w:hAnsi="宋体"/>
        </w:rPr>
      </w:pPr>
    </w:p>
    <w:p w14:paraId="1D5377AC">
      <w:pPr>
        <w:snapToGrid w:val="0"/>
        <w:spacing w:before="50" w:after="50"/>
        <w:rPr>
          <w:rFonts w:hint="eastAsia" w:ascii="宋体" w:hAnsi="宋体"/>
          <w:sz w:val="24"/>
        </w:rPr>
      </w:pPr>
      <w:r>
        <w:rPr>
          <w:rFonts w:hint="eastAsia" w:ascii="宋体" w:hAnsi="宋体"/>
        </w:rPr>
        <w:t>投标人名称（盖章）：</w:t>
      </w:r>
      <w:r>
        <w:rPr>
          <w:rFonts w:hint="eastAsia" w:ascii="宋体" w:hAnsi="宋体"/>
          <w:spacing w:val="20"/>
        </w:rPr>
        <w:t>日期：</w:t>
      </w:r>
    </w:p>
    <w:p w14:paraId="2622B7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大黑简体">
    <w:altName w:val="黑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E67EC35">
        <w:pPr>
          <w:pStyle w:val="43"/>
          <w:ind w:left="5250"/>
          <w:jc w:val="right"/>
        </w:pPr>
        <w:r>
          <w:fldChar w:fldCharType="begin"/>
        </w:r>
        <w:r>
          <w:instrText xml:space="preserve">PAGE   \* MERGEFORMAT</w:instrText>
        </w:r>
        <w:r>
          <w:fldChar w:fldCharType="separate"/>
        </w:r>
        <w:r>
          <w:rPr>
            <w:lang w:val="zh-CN"/>
          </w:rPr>
          <w:t>33</w:t>
        </w:r>
        <w:r>
          <w:rPr>
            <w:lang w:val="zh-CN"/>
          </w:rPr>
          <w:fldChar w:fldCharType="end"/>
        </w:r>
      </w:p>
    </w:sdtContent>
  </w:sdt>
  <w:p w14:paraId="23DD9974">
    <w:pPr>
      <w:pStyle w:val="4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7"/>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140"/>
      <w:lvlText w:val=""/>
      <w:lvlJc w:val="left"/>
      <w:pPr>
        <w:tabs>
          <w:tab w:val="left" w:pos="360"/>
        </w:tabs>
        <w:ind w:left="360" w:hanging="360"/>
      </w:pPr>
      <w:rPr>
        <w:rFonts w:hint="default" w:ascii="Wingdings" w:hAnsi="Wingdings"/>
      </w:rPr>
    </w:lvl>
  </w:abstractNum>
  <w:abstractNum w:abstractNumId="2">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3">
    <w:nsid w:val="00000009"/>
    <w:multiLevelType w:val="multilevel"/>
    <w:tmpl w:val="00000009"/>
    <w:lvl w:ilvl="0" w:tentative="0">
      <w:start w:val="1"/>
      <w:numFmt w:val="japaneseCounting"/>
      <w:pStyle w:val="410"/>
      <w:suff w:val="nothing"/>
      <w:lvlText w:val="%1、"/>
      <w:lvlJc w:val="left"/>
      <w:pPr>
        <w:ind w:left="0" w:firstLine="0"/>
      </w:pPr>
      <w:rPr>
        <w:rFonts w:hint="eastAsia" w:ascii="宋体" w:eastAsia="宋体"/>
        <w:b/>
        <w:i w:val="0"/>
        <w:sz w:val="28"/>
      </w:rPr>
    </w:lvl>
    <w:lvl w:ilvl="1" w:tentative="0">
      <w:start w:val="1"/>
      <w:numFmt w:val="japaneseCounting"/>
      <w:pStyle w:val="408"/>
      <w:suff w:val="nothing"/>
      <w:lvlText w:val="（%2）"/>
      <w:lvlJc w:val="left"/>
      <w:pPr>
        <w:ind w:left="0" w:firstLine="0"/>
      </w:pPr>
      <w:rPr>
        <w:rFonts w:hint="eastAsia" w:ascii="宋体" w:eastAsia="宋体"/>
        <w:b/>
        <w:i w:val="0"/>
        <w:sz w:val="24"/>
      </w:rPr>
    </w:lvl>
    <w:lvl w:ilvl="2" w:tentative="0">
      <w:start w:val="1"/>
      <w:numFmt w:val="decimal"/>
      <w:pStyle w:val="406"/>
      <w:lvlText w:val="%1.%2.%3"/>
      <w:lvlJc w:val="left"/>
      <w:pPr>
        <w:ind w:left="0" w:firstLine="0"/>
      </w:pPr>
      <w:rPr>
        <w:rFonts w:hint="eastAsia" w:ascii="宋体" w:eastAsia="宋体"/>
        <w:b/>
        <w:i w:val="0"/>
        <w:sz w:val="24"/>
      </w:rPr>
    </w:lvl>
    <w:lvl w:ilvl="3" w:tentative="0">
      <w:start w:val="1"/>
      <w:numFmt w:val="decimal"/>
      <w:pStyle w:val="405"/>
      <w:lvlText w:val="%1.%2.%3.%4"/>
      <w:lvlJc w:val="left"/>
      <w:pPr>
        <w:ind w:left="0" w:firstLine="0"/>
      </w:pPr>
      <w:rPr>
        <w:rFonts w:hint="eastAsia" w:ascii="宋体" w:eastAsia="宋体"/>
        <w:b/>
        <w:i w:val="0"/>
        <w:sz w:val="21"/>
      </w:rPr>
    </w:lvl>
    <w:lvl w:ilvl="4" w:tentative="0">
      <w:start w:val="1"/>
      <w:numFmt w:val="lowerLetter"/>
      <w:pStyle w:val="714"/>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0000000A"/>
    <w:multiLevelType w:val="multilevel"/>
    <w:tmpl w:val="0000000A"/>
    <w:lvl w:ilvl="0" w:tentative="0">
      <w:start w:val="1"/>
      <w:numFmt w:val="decimal"/>
      <w:pStyle w:val="382"/>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8"/>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ADC6A9"/>
    <w:multiLevelType w:val="singleLevel"/>
    <w:tmpl w:val="0AADC6A9"/>
    <w:lvl w:ilvl="0" w:tentative="0">
      <w:start w:val="2"/>
      <w:numFmt w:val="chineseCounting"/>
      <w:suff w:val="space"/>
      <w:lvlText w:val="第%1章"/>
      <w:lvlJc w:val="left"/>
      <w:rPr>
        <w:rFonts w:hint="eastAsia"/>
      </w:rPr>
    </w:lvl>
  </w:abstractNum>
  <w:abstractNum w:abstractNumId="6">
    <w:nsid w:val="0C34DE15"/>
    <w:multiLevelType w:val="singleLevel"/>
    <w:tmpl w:val="0C34DE15"/>
    <w:lvl w:ilvl="0" w:tentative="0">
      <w:start w:val="1"/>
      <w:numFmt w:val="decimal"/>
      <w:lvlText w:val="%1."/>
      <w:lvlJc w:val="left"/>
      <w:pPr>
        <w:tabs>
          <w:tab w:val="left" w:pos="312"/>
        </w:tabs>
      </w:pPr>
    </w:lvl>
  </w:abstractNum>
  <w:abstractNum w:abstractNumId="7">
    <w:nsid w:val="225A8346"/>
    <w:multiLevelType w:val="singleLevel"/>
    <w:tmpl w:val="225A8346"/>
    <w:lvl w:ilvl="0" w:tentative="0">
      <w:start w:val="1"/>
      <w:numFmt w:val="decimal"/>
      <w:lvlText w:val="%1."/>
      <w:lvlJc w:val="left"/>
      <w:pPr>
        <w:tabs>
          <w:tab w:val="left" w:pos="312"/>
        </w:tabs>
      </w:pPr>
    </w:lvl>
  </w:abstractNum>
  <w:abstractNum w:abstractNumId="8">
    <w:nsid w:val="2811445A"/>
    <w:multiLevelType w:val="multilevel"/>
    <w:tmpl w:val="2811445A"/>
    <w:lvl w:ilvl="0" w:tentative="0">
      <w:start w:val="1"/>
      <w:numFmt w:val="decimalEnclosedCircle"/>
      <w:pStyle w:val="155"/>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9">
    <w:nsid w:val="4DD4552D"/>
    <w:multiLevelType w:val="singleLevel"/>
    <w:tmpl w:val="4DD4552D"/>
    <w:lvl w:ilvl="0" w:tentative="0">
      <w:start w:val="1"/>
      <w:numFmt w:val="decimal"/>
      <w:lvlText w:val="%1."/>
      <w:lvlJc w:val="left"/>
      <w:pPr>
        <w:tabs>
          <w:tab w:val="left" w:pos="312"/>
        </w:tabs>
      </w:pPr>
    </w:lvl>
  </w:abstractNum>
  <w:abstractNum w:abstractNumId="10">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AE"/>
    <w:rsid w:val="00117F0B"/>
    <w:rsid w:val="0016436C"/>
    <w:rsid w:val="00190CED"/>
    <w:rsid w:val="001A18FE"/>
    <w:rsid w:val="001D590A"/>
    <w:rsid w:val="002313FD"/>
    <w:rsid w:val="002324CD"/>
    <w:rsid w:val="002B0984"/>
    <w:rsid w:val="00317195"/>
    <w:rsid w:val="00361144"/>
    <w:rsid w:val="00386300"/>
    <w:rsid w:val="00391EBB"/>
    <w:rsid w:val="00414765"/>
    <w:rsid w:val="005065E3"/>
    <w:rsid w:val="00593528"/>
    <w:rsid w:val="005B4958"/>
    <w:rsid w:val="00604A49"/>
    <w:rsid w:val="0060644A"/>
    <w:rsid w:val="00645546"/>
    <w:rsid w:val="006741F0"/>
    <w:rsid w:val="006A09B5"/>
    <w:rsid w:val="006D01B5"/>
    <w:rsid w:val="006D2A98"/>
    <w:rsid w:val="00732951"/>
    <w:rsid w:val="00762C56"/>
    <w:rsid w:val="00774952"/>
    <w:rsid w:val="00780CAE"/>
    <w:rsid w:val="007B700F"/>
    <w:rsid w:val="008572B9"/>
    <w:rsid w:val="008C42AC"/>
    <w:rsid w:val="008F0856"/>
    <w:rsid w:val="009137E8"/>
    <w:rsid w:val="0094104F"/>
    <w:rsid w:val="00944583"/>
    <w:rsid w:val="00977A59"/>
    <w:rsid w:val="009D373B"/>
    <w:rsid w:val="00A102A3"/>
    <w:rsid w:val="00A13FC2"/>
    <w:rsid w:val="00A27E01"/>
    <w:rsid w:val="00A4309C"/>
    <w:rsid w:val="00A5335D"/>
    <w:rsid w:val="00AA3968"/>
    <w:rsid w:val="00AC0D40"/>
    <w:rsid w:val="00B27A30"/>
    <w:rsid w:val="00B47108"/>
    <w:rsid w:val="00BF5A71"/>
    <w:rsid w:val="00C130B7"/>
    <w:rsid w:val="00C61D75"/>
    <w:rsid w:val="00C62906"/>
    <w:rsid w:val="00D34D3A"/>
    <w:rsid w:val="00DB2845"/>
    <w:rsid w:val="00ED0039"/>
    <w:rsid w:val="00EE241A"/>
    <w:rsid w:val="00F10437"/>
    <w:rsid w:val="00F94E34"/>
    <w:rsid w:val="00FA0B5E"/>
    <w:rsid w:val="010E5E22"/>
    <w:rsid w:val="01A00C4B"/>
    <w:rsid w:val="02764B31"/>
    <w:rsid w:val="03451AAA"/>
    <w:rsid w:val="04083248"/>
    <w:rsid w:val="04BE356F"/>
    <w:rsid w:val="04D74983"/>
    <w:rsid w:val="04DF7408"/>
    <w:rsid w:val="04F70794"/>
    <w:rsid w:val="04FE63B4"/>
    <w:rsid w:val="05614B95"/>
    <w:rsid w:val="05C97AF6"/>
    <w:rsid w:val="062F07EF"/>
    <w:rsid w:val="06A44D39"/>
    <w:rsid w:val="07610E7C"/>
    <w:rsid w:val="07666493"/>
    <w:rsid w:val="07B2792A"/>
    <w:rsid w:val="07E61381"/>
    <w:rsid w:val="098704C5"/>
    <w:rsid w:val="09A52FB4"/>
    <w:rsid w:val="0C0129FE"/>
    <w:rsid w:val="0CE2480D"/>
    <w:rsid w:val="0F3E38A9"/>
    <w:rsid w:val="0FC9772D"/>
    <w:rsid w:val="107101A9"/>
    <w:rsid w:val="12771554"/>
    <w:rsid w:val="131B2827"/>
    <w:rsid w:val="151439D2"/>
    <w:rsid w:val="16890469"/>
    <w:rsid w:val="16D76A65"/>
    <w:rsid w:val="185F7A70"/>
    <w:rsid w:val="19A65B68"/>
    <w:rsid w:val="1A3172A5"/>
    <w:rsid w:val="1D4F5DD4"/>
    <w:rsid w:val="1EAA5BF4"/>
    <w:rsid w:val="1EBF4683"/>
    <w:rsid w:val="208512E0"/>
    <w:rsid w:val="211565FA"/>
    <w:rsid w:val="213571AA"/>
    <w:rsid w:val="22870692"/>
    <w:rsid w:val="23203542"/>
    <w:rsid w:val="239301B8"/>
    <w:rsid w:val="243D0E12"/>
    <w:rsid w:val="24687DF7"/>
    <w:rsid w:val="24C04FDC"/>
    <w:rsid w:val="27787109"/>
    <w:rsid w:val="27871DE1"/>
    <w:rsid w:val="27CA66CF"/>
    <w:rsid w:val="27DA0163"/>
    <w:rsid w:val="295647E3"/>
    <w:rsid w:val="2A1231D3"/>
    <w:rsid w:val="2A474B0A"/>
    <w:rsid w:val="2BD77E5E"/>
    <w:rsid w:val="2D2105E2"/>
    <w:rsid w:val="2DA37E25"/>
    <w:rsid w:val="2FD91648"/>
    <w:rsid w:val="2FE449F5"/>
    <w:rsid w:val="30EE1123"/>
    <w:rsid w:val="31BD2FCF"/>
    <w:rsid w:val="32772425"/>
    <w:rsid w:val="33C2102B"/>
    <w:rsid w:val="33D068BE"/>
    <w:rsid w:val="351A0DEA"/>
    <w:rsid w:val="353F5AA9"/>
    <w:rsid w:val="36B84A68"/>
    <w:rsid w:val="383218F5"/>
    <w:rsid w:val="38624A88"/>
    <w:rsid w:val="39770A30"/>
    <w:rsid w:val="39E76710"/>
    <w:rsid w:val="3AA97410"/>
    <w:rsid w:val="3BBA01ED"/>
    <w:rsid w:val="3C6F3118"/>
    <w:rsid w:val="3C73623A"/>
    <w:rsid w:val="3CBC2BBF"/>
    <w:rsid w:val="3D2739F3"/>
    <w:rsid w:val="3EBC7BBB"/>
    <w:rsid w:val="3ED15B4B"/>
    <w:rsid w:val="3F651486"/>
    <w:rsid w:val="4044147E"/>
    <w:rsid w:val="406063DD"/>
    <w:rsid w:val="407D48D6"/>
    <w:rsid w:val="41151DB4"/>
    <w:rsid w:val="417B7C89"/>
    <w:rsid w:val="41B8516E"/>
    <w:rsid w:val="42786A9F"/>
    <w:rsid w:val="436117D4"/>
    <w:rsid w:val="439537EF"/>
    <w:rsid w:val="45CC3389"/>
    <w:rsid w:val="465D0485"/>
    <w:rsid w:val="472B738B"/>
    <w:rsid w:val="47A4621C"/>
    <w:rsid w:val="47F62C14"/>
    <w:rsid w:val="485639BC"/>
    <w:rsid w:val="486C1D5E"/>
    <w:rsid w:val="487E46E3"/>
    <w:rsid w:val="4A2D127E"/>
    <w:rsid w:val="4AAC4BBB"/>
    <w:rsid w:val="4ABA7A6E"/>
    <w:rsid w:val="4C76404F"/>
    <w:rsid w:val="4C8809DD"/>
    <w:rsid w:val="4D6E2F78"/>
    <w:rsid w:val="4D7D0504"/>
    <w:rsid w:val="4DC80BAD"/>
    <w:rsid w:val="4E0C72D1"/>
    <w:rsid w:val="4EAC75CC"/>
    <w:rsid w:val="4EB0334D"/>
    <w:rsid w:val="5019366F"/>
    <w:rsid w:val="526F57C8"/>
    <w:rsid w:val="54772376"/>
    <w:rsid w:val="54BF230B"/>
    <w:rsid w:val="558E065B"/>
    <w:rsid w:val="55B31E70"/>
    <w:rsid w:val="55D343BA"/>
    <w:rsid w:val="562063D4"/>
    <w:rsid w:val="586756F1"/>
    <w:rsid w:val="5889510A"/>
    <w:rsid w:val="58E862D4"/>
    <w:rsid w:val="593A76C6"/>
    <w:rsid w:val="5B5E462C"/>
    <w:rsid w:val="5BD14DFE"/>
    <w:rsid w:val="5BF525A3"/>
    <w:rsid w:val="5C3D06E5"/>
    <w:rsid w:val="5D0E14C6"/>
    <w:rsid w:val="5E413D91"/>
    <w:rsid w:val="5E624433"/>
    <w:rsid w:val="5EC35314"/>
    <w:rsid w:val="5F93509B"/>
    <w:rsid w:val="60F02A07"/>
    <w:rsid w:val="613A3445"/>
    <w:rsid w:val="61741A87"/>
    <w:rsid w:val="61DF3FED"/>
    <w:rsid w:val="629E7A04"/>
    <w:rsid w:val="63007BDC"/>
    <w:rsid w:val="639718B7"/>
    <w:rsid w:val="63C41147"/>
    <w:rsid w:val="648275DD"/>
    <w:rsid w:val="64B61035"/>
    <w:rsid w:val="65C321BE"/>
    <w:rsid w:val="67696832"/>
    <w:rsid w:val="678A7C0D"/>
    <w:rsid w:val="678E2418"/>
    <w:rsid w:val="68BD65D2"/>
    <w:rsid w:val="68EF0FB9"/>
    <w:rsid w:val="69520C2E"/>
    <w:rsid w:val="69CB5582"/>
    <w:rsid w:val="6A9B5027"/>
    <w:rsid w:val="6BB4591A"/>
    <w:rsid w:val="6BD202AC"/>
    <w:rsid w:val="6C9F4AA4"/>
    <w:rsid w:val="6E296234"/>
    <w:rsid w:val="6E313F73"/>
    <w:rsid w:val="6F1352D6"/>
    <w:rsid w:val="6F224134"/>
    <w:rsid w:val="6F45570E"/>
    <w:rsid w:val="6F4920FA"/>
    <w:rsid w:val="702E2AE1"/>
    <w:rsid w:val="70441BEA"/>
    <w:rsid w:val="70DD1A5F"/>
    <w:rsid w:val="71B05B3D"/>
    <w:rsid w:val="71B7463E"/>
    <w:rsid w:val="721E7082"/>
    <w:rsid w:val="732F0F7A"/>
    <w:rsid w:val="73377F56"/>
    <w:rsid w:val="74E7156E"/>
    <w:rsid w:val="75271ADB"/>
    <w:rsid w:val="753E571C"/>
    <w:rsid w:val="76E317E0"/>
    <w:rsid w:val="77C736E5"/>
    <w:rsid w:val="77F7A225"/>
    <w:rsid w:val="77F923B9"/>
    <w:rsid w:val="78395DAD"/>
    <w:rsid w:val="7908577F"/>
    <w:rsid w:val="7AF5426A"/>
    <w:rsid w:val="7C035E38"/>
    <w:rsid w:val="7D6159C3"/>
    <w:rsid w:val="7F052B1C"/>
    <w:rsid w:val="7F16265E"/>
    <w:rsid w:val="7F2E2967"/>
    <w:rsid w:val="7F6F0306"/>
    <w:rsid w:val="7F937286"/>
    <w:rsid w:val="7FE60D0B"/>
    <w:rsid w:val="9DFBC5E6"/>
    <w:rsid w:val="FCFF1D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92"/>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88"/>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93"/>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94"/>
    <w:unhideWhenUsed/>
    <w:qFormat/>
    <w:uiPriority w:val="0"/>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8">
    <w:name w:val="heading 5"/>
    <w:basedOn w:val="1"/>
    <w:next w:val="1"/>
    <w:link w:val="95"/>
    <w:unhideWhenUsed/>
    <w:qFormat/>
    <w:uiPriority w:val="0"/>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9">
    <w:name w:val="heading 6"/>
    <w:basedOn w:val="1"/>
    <w:next w:val="1"/>
    <w:link w:val="96"/>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10">
    <w:name w:val="heading 7"/>
    <w:basedOn w:val="1"/>
    <w:next w:val="1"/>
    <w:link w:val="97"/>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98"/>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99"/>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70">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0"/>
    <w:unhideWhenUsed/>
    <w:qFormat/>
    <w:uiPriority w:val="99"/>
    <w:pPr>
      <w:ind w:firstLine="420" w:firstLineChars="200"/>
    </w:pPr>
  </w:style>
  <w:style w:type="paragraph" w:styleId="3">
    <w:name w:val="Body Text Indent"/>
    <w:basedOn w:val="1"/>
    <w:link w:val="89"/>
    <w:unhideWhenUsed/>
    <w:qFormat/>
    <w:uiPriority w:val="99"/>
    <w:pPr>
      <w:spacing w:after="120"/>
      <w:ind w:left="420" w:leftChars="200"/>
    </w:pPr>
  </w:style>
  <w:style w:type="paragraph" w:styleId="13">
    <w:name w:val="List 3"/>
    <w:basedOn w:val="1"/>
    <w:qFormat/>
    <w:uiPriority w:val="0"/>
    <w:pPr>
      <w:widowControl/>
      <w:ind w:left="100" w:leftChars="400" w:hanging="200" w:hangingChars="200"/>
      <w:jc w:val="left"/>
    </w:pPr>
    <w:rPr>
      <w:rFonts w:ascii="Calibri" w:hAnsi="Calibri"/>
      <w:szCs w:val="24"/>
    </w:rPr>
  </w:style>
  <w:style w:type="paragraph" w:styleId="14">
    <w:name w:val="toc 7"/>
    <w:basedOn w:val="1"/>
    <w:next w:val="1"/>
    <w:qFormat/>
    <w:uiPriority w:val="39"/>
    <w:pPr>
      <w:ind w:left="1260"/>
      <w:jc w:val="left"/>
    </w:pPr>
    <w:rPr>
      <w:rFonts w:ascii="Calibri" w:hAnsi="Calibri" w:cs="Calibri"/>
      <w:sz w:val="18"/>
      <w:szCs w:val="18"/>
    </w:rPr>
  </w:style>
  <w:style w:type="paragraph" w:styleId="15">
    <w:name w:val="List Number 2"/>
    <w:basedOn w:val="1"/>
    <w:qFormat/>
    <w:uiPriority w:val="0"/>
    <w:pPr>
      <w:widowControl/>
      <w:tabs>
        <w:tab w:val="left" w:pos="360"/>
      </w:tabs>
      <w:snapToGrid w:val="0"/>
      <w:ind w:left="360" w:right="709" w:hanging="360"/>
      <w:jc w:val="left"/>
    </w:pPr>
    <w:rPr>
      <w:rFonts w:ascii="Calibri" w:hAnsi="Calibri" w:eastAsia="2OcuAe"/>
      <w:spacing w:val="2"/>
      <w:kern w:val="0"/>
      <w:sz w:val="20"/>
      <w:szCs w:val="20"/>
      <w:lang w:eastAsia="zh-TW"/>
    </w:rPr>
  </w:style>
  <w:style w:type="paragraph" w:styleId="16">
    <w:name w:val="List Bullet 4"/>
    <w:basedOn w:val="1"/>
    <w:qFormat/>
    <w:uiPriority w:val="0"/>
    <w:pPr>
      <w:widowControl/>
      <w:tabs>
        <w:tab w:val="left" w:pos="885"/>
      </w:tabs>
      <w:snapToGrid w:val="0"/>
      <w:ind w:left="885" w:right="709" w:hanging="885"/>
      <w:jc w:val="left"/>
    </w:pPr>
    <w:rPr>
      <w:rFonts w:ascii="Calibri" w:hAnsi="Calibri" w:eastAsia="2OcuAe"/>
      <w:spacing w:val="2"/>
      <w:kern w:val="0"/>
      <w:sz w:val="20"/>
      <w:szCs w:val="20"/>
      <w:lang w:eastAsia="zh-TW"/>
    </w:rPr>
  </w:style>
  <w:style w:type="paragraph" w:styleId="17">
    <w:name w:val="List Number"/>
    <w:basedOn w:val="1"/>
    <w:qFormat/>
    <w:uiPriority w:val="0"/>
    <w:pPr>
      <w:tabs>
        <w:tab w:val="left" w:pos="360"/>
        <w:tab w:val="left" w:pos="454"/>
        <w:tab w:val="left" w:pos="720"/>
        <w:tab w:val="left" w:pos="900"/>
      </w:tabs>
      <w:snapToGrid w:val="0"/>
      <w:spacing w:line="336" w:lineRule="auto"/>
      <w:ind w:right="55"/>
    </w:pPr>
  </w:style>
  <w:style w:type="paragraph" w:styleId="18">
    <w:name w:val="Normal Indent"/>
    <w:basedOn w:val="1"/>
    <w:next w:val="3"/>
    <w:link w:val="125"/>
    <w:unhideWhenUsed/>
    <w:qFormat/>
    <w:uiPriority w:val="0"/>
    <w:pPr>
      <w:ind w:firstLine="420"/>
    </w:pPr>
    <w:rPr>
      <w:kern w:val="0"/>
      <w:sz w:val="20"/>
      <w:szCs w:val="20"/>
    </w:rPr>
  </w:style>
  <w:style w:type="paragraph" w:styleId="19">
    <w:name w:val="caption"/>
    <w:basedOn w:val="1"/>
    <w:next w:val="1"/>
    <w:link w:val="126"/>
    <w:unhideWhenUsed/>
    <w:qFormat/>
    <w:uiPriority w:val="0"/>
    <w:pPr>
      <w:spacing w:before="152" w:after="160"/>
    </w:pPr>
    <w:rPr>
      <w:rFonts w:ascii="Arial" w:hAnsi="Arial" w:eastAsia="黑体"/>
      <w:kern w:val="0"/>
      <w:sz w:val="20"/>
      <w:szCs w:val="20"/>
    </w:rPr>
  </w:style>
  <w:style w:type="paragraph" w:styleId="20">
    <w:name w:val="List Bullet"/>
    <w:basedOn w:val="1"/>
    <w:unhideWhenUsed/>
    <w:qFormat/>
    <w:uiPriority w:val="0"/>
    <w:pPr>
      <w:tabs>
        <w:tab w:val="left" w:pos="360"/>
      </w:tabs>
      <w:ind w:left="360" w:hanging="360"/>
    </w:pPr>
  </w:style>
  <w:style w:type="paragraph" w:styleId="21">
    <w:name w:val="Document Map"/>
    <w:basedOn w:val="1"/>
    <w:link w:val="111"/>
    <w:unhideWhenUsed/>
    <w:qFormat/>
    <w:uiPriority w:val="0"/>
    <w:pPr>
      <w:shd w:val="clear" w:color="auto" w:fill="000080"/>
    </w:pPr>
    <w:rPr>
      <w:rFonts w:cs="宋体"/>
    </w:rPr>
  </w:style>
  <w:style w:type="paragraph" w:styleId="22">
    <w:name w:val="annotation text"/>
    <w:basedOn w:val="1"/>
    <w:link w:val="112"/>
    <w:unhideWhenUsed/>
    <w:qFormat/>
    <w:uiPriority w:val="0"/>
    <w:pPr>
      <w:jc w:val="left"/>
    </w:pPr>
  </w:style>
  <w:style w:type="paragraph" w:styleId="23">
    <w:name w:val="Salutation"/>
    <w:basedOn w:val="1"/>
    <w:next w:val="1"/>
    <w:link w:val="113"/>
    <w:qFormat/>
    <w:uiPriority w:val="0"/>
    <w:pPr>
      <w:widowControl/>
      <w:jc w:val="left"/>
    </w:pPr>
    <w:rPr>
      <w:kern w:val="0"/>
      <w:sz w:val="20"/>
      <w:szCs w:val="24"/>
    </w:rPr>
  </w:style>
  <w:style w:type="paragraph" w:styleId="24">
    <w:name w:val="Body Text 3"/>
    <w:basedOn w:val="1"/>
    <w:link w:val="114"/>
    <w:unhideWhenUsed/>
    <w:qFormat/>
    <w:uiPriority w:val="0"/>
    <w:pPr>
      <w:snapToGrid w:val="0"/>
      <w:spacing w:before="50" w:after="50"/>
    </w:pPr>
    <w:rPr>
      <w:rFonts w:hAnsi="宋体" w:eastAsia="Times New Roman"/>
      <w:b/>
      <w:sz w:val="24"/>
    </w:rPr>
  </w:style>
  <w:style w:type="paragraph" w:styleId="25">
    <w:name w:val="List Bullet 3"/>
    <w:basedOn w:val="1"/>
    <w:qFormat/>
    <w:uiPriority w:val="0"/>
    <w:pPr>
      <w:widowControl/>
      <w:tabs>
        <w:tab w:val="left" w:pos="1800"/>
      </w:tabs>
      <w:snapToGrid w:val="0"/>
      <w:ind w:left="1800" w:right="709" w:hanging="420"/>
      <w:jc w:val="left"/>
    </w:pPr>
    <w:rPr>
      <w:rFonts w:ascii="Calibri" w:hAnsi="Calibri" w:eastAsia="2OcuAe"/>
      <w:spacing w:val="2"/>
      <w:kern w:val="0"/>
      <w:sz w:val="20"/>
      <w:szCs w:val="20"/>
      <w:lang w:eastAsia="zh-TW"/>
    </w:rPr>
  </w:style>
  <w:style w:type="paragraph" w:styleId="26">
    <w:name w:val="Body Text"/>
    <w:basedOn w:val="1"/>
    <w:next w:val="1"/>
    <w:link w:val="83"/>
    <w:unhideWhenUsed/>
    <w:qFormat/>
    <w:uiPriority w:val="1"/>
    <w:pPr>
      <w:spacing w:after="120"/>
    </w:pPr>
    <w:rPr>
      <w:sz w:val="22"/>
      <w:szCs w:val="24"/>
      <w14:ligatures w14:val="standardContextual"/>
    </w:rPr>
  </w:style>
  <w:style w:type="paragraph" w:styleId="27">
    <w:name w:val="List Number 3"/>
    <w:basedOn w:val="1"/>
    <w:unhideWhenUsed/>
    <w:qFormat/>
    <w:uiPriority w:val="0"/>
    <w:pPr>
      <w:numPr>
        <w:ilvl w:val="0"/>
        <w:numId w:val="1"/>
      </w:numPr>
    </w:pPr>
    <w:rPr>
      <w:szCs w:val="24"/>
    </w:rPr>
  </w:style>
  <w:style w:type="paragraph" w:styleId="28">
    <w:name w:val="List 2"/>
    <w:basedOn w:val="1"/>
    <w:unhideWhenUsed/>
    <w:qFormat/>
    <w:uiPriority w:val="0"/>
    <w:pPr>
      <w:ind w:left="100" w:leftChars="200" w:hanging="200" w:hangingChars="200"/>
    </w:pPr>
    <w:rPr>
      <w:sz w:val="28"/>
      <w:szCs w:val="24"/>
    </w:rPr>
  </w:style>
  <w:style w:type="paragraph" w:styleId="29">
    <w:name w:val="Block Text"/>
    <w:basedOn w:val="1"/>
    <w:next w:val="30"/>
    <w:qFormat/>
    <w:uiPriority w:val="0"/>
    <w:pPr>
      <w:widowControl/>
      <w:snapToGrid w:val="0"/>
      <w:spacing w:line="400" w:lineRule="exact"/>
      <w:ind w:left="2" w:right="105" w:firstLine="538"/>
      <w:jc w:val="left"/>
    </w:pPr>
    <w:rPr>
      <w:rFonts w:ascii="Calibri" w:hAnsi="Calibri"/>
      <w:b/>
      <w:szCs w:val="20"/>
    </w:rPr>
  </w:style>
  <w:style w:type="paragraph" w:styleId="30">
    <w:name w:val="index heading"/>
    <w:basedOn w:val="1"/>
    <w:next w:val="31"/>
    <w:unhideWhenUsed/>
    <w:qFormat/>
    <w:uiPriority w:val="99"/>
    <w:rPr>
      <w:rFonts w:ascii="等线 Light" w:hAnsi="等线 Light" w:eastAsia="等线 Light"/>
      <w:b/>
      <w:bCs/>
    </w:rPr>
  </w:style>
  <w:style w:type="paragraph" w:styleId="31">
    <w:name w:val="index 1"/>
    <w:basedOn w:val="1"/>
    <w:next w:val="1"/>
    <w:unhideWhenUsed/>
    <w:qFormat/>
    <w:uiPriority w:val="0"/>
  </w:style>
  <w:style w:type="paragraph" w:styleId="32">
    <w:name w:val="List Bullet 2"/>
    <w:basedOn w:val="1"/>
    <w:qFormat/>
    <w:uiPriority w:val="0"/>
    <w:pPr>
      <w:widowControl/>
      <w:tabs>
        <w:tab w:val="left" w:pos="780"/>
      </w:tabs>
      <w:spacing w:line="480" w:lineRule="exact"/>
      <w:ind w:left="680" w:leftChars="10" w:right="170" w:hanging="659" w:hangingChars="270"/>
      <w:jc w:val="left"/>
    </w:pPr>
    <w:rPr>
      <w:rFonts w:ascii="宋体" w:hAnsi="宋体"/>
      <w:b/>
      <w:color w:val="0000FF"/>
      <w:spacing w:val="2"/>
      <w:kern w:val="0"/>
      <w:sz w:val="24"/>
      <w:szCs w:val="24"/>
      <w:lang w:eastAsia="zh-TW"/>
    </w:rPr>
  </w:style>
  <w:style w:type="paragraph" w:styleId="33">
    <w:name w:val="toc 5"/>
    <w:basedOn w:val="1"/>
    <w:next w:val="1"/>
    <w:qFormat/>
    <w:uiPriority w:val="39"/>
    <w:pPr>
      <w:ind w:left="840"/>
      <w:jc w:val="left"/>
    </w:pPr>
    <w:rPr>
      <w:rFonts w:ascii="Calibri" w:hAnsi="Calibri" w:cs="Calibri"/>
      <w:sz w:val="18"/>
      <w:szCs w:val="18"/>
    </w:rPr>
  </w:style>
  <w:style w:type="paragraph" w:styleId="34">
    <w:name w:val="toc 3"/>
    <w:basedOn w:val="1"/>
    <w:next w:val="1"/>
    <w:qFormat/>
    <w:uiPriority w:val="39"/>
    <w:pPr>
      <w:ind w:left="420"/>
      <w:jc w:val="left"/>
    </w:pPr>
    <w:rPr>
      <w:rFonts w:ascii="Calibri" w:hAnsi="Calibri" w:cs="Calibri"/>
      <w:i/>
      <w:iCs/>
      <w:sz w:val="20"/>
      <w:szCs w:val="20"/>
    </w:rPr>
  </w:style>
  <w:style w:type="paragraph" w:styleId="35">
    <w:name w:val="Plain Text"/>
    <w:basedOn w:val="1"/>
    <w:link w:val="87"/>
    <w:qFormat/>
    <w:uiPriority w:val="0"/>
    <w:pPr>
      <w:spacing w:beforeLines="50" w:line="400" w:lineRule="exact"/>
    </w:pPr>
    <w:rPr>
      <w:rFonts w:ascii="宋体" w:hAnsi="Courier New"/>
      <w:kern w:val="0"/>
      <w:sz w:val="24"/>
      <w:szCs w:val="20"/>
      <w14:ligatures w14:val="standardContextual"/>
    </w:rPr>
  </w:style>
  <w:style w:type="paragraph" w:styleId="36">
    <w:name w:val="List Bullet 5"/>
    <w:basedOn w:val="1"/>
    <w:qFormat/>
    <w:uiPriority w:val="0"/>
    <w:pPr>
      <w:widowControl/>
      <w:tabs>
        <w:tab w:val="left" w:pos="2040"/>
      </w:tabs>
      <w:snapToGrid w:val="0"/>
      <w:ind w:left="2040" w:right="709" w:hanging="360"/>
      <w:jc w:val="left"/>
    </w:pPr>
    <w:rPr>
      <w:rFonts w:ascii="Calibri" w:hAnsi="Calibri" w:eastAsia="2OcuAe"/>
      <w:spacing w:val="2"/>
      <w:kern w:val="0"/>
      <w:sz w:val="20"/>
      <w:szCs w:val="20"/>
      <w:lang w:eastAsia="zh-TW"/>
    </w:rPr>
  </w:style>
  <w:style w:type="paragraph" w:styleId="37">
    <w:name w:val="List Number 4"/>
    <w:basedOn w:val="1"/>
    <w:qFormat/>
    <w:uiPriority w:val="0"/>
    <w:pPr>
      <w:tabs>
        <w:tab w:val="left" w:pos="840"/>
      </w:tabs>
      <w:autoSpaceDE w:val="0"/>
      <w:autoSpaceDN w:val="0"/>
      <w:adjustRightInd w:val="0"/>
      <w:spacing w:line="360" w:lineRule="atLeast"/>
      <w:ind w:left="840" w:hanging="420"/>
    </w:pPr>
    <w:rPr>
      <w:rFonts w:ascii="Calibri" w:hAnsi="Calibri"/>
      <w:kern w:val="0"/>
      <w:sz w:val="24"/>
      <w:szCs w:val="24"/>
    </w:rPr>
  </w:style>
  <w:style w:type="paragraph" w:styleId="38">
    <w:name w:val="toc 8"/>
    <w:basedOn w:val="1"/>
    <w:next w:val="1"/>
    <w:qFormat/>
    <w:uiPriority w:val="39"/>
    <w:pPr>
      <w:ind w:left="1470"/>
      <w:jc w:val="left"/>
    </w:pPr>
    <w:rPr>
      <w:rFonts w:ascii="Calibri" w:hAnsi="Calibri" w:cs="Calibri"/>
      <w:sz w:val="18"/>
      <w:szCs w:val="18"/>
    </w:rPr>
  </w:style>
  <w:style w:type="paragraph" w:styleId="39">
    <w:name w:val="Date"/>
    <w:basedOn w:val="1"/>
    <w:next w:val="1"/>
    <w:link w:val="115"/>
    <w:unhideWhenUsed/>
    <w:qFormat/>
    <w:uiPriority w:val="99"/>
    <w:pPr>
      <w:ind w:left="2500" w:leftChars="2500"/>
    </w:pPr>
    <w:rPr>
      <w:rFonts w:ascii="Calibri" w:hAnsi="Calibri" w:eastAsia="楷体_GB2312"/>
      <w:kern w:val="0"/>
      <w:sz w:val="32"/>
    </w:rPr>
  </w:style>
  <w:style w:type="paragraph" w:styleId="40">
    <w:name w:val="Body Text Indent 2"/>
    <w:basedOn w:val="1"/>
    <w:link w:val="116"/>
    <w:unhideWhenUsed/>
    <w:qFormat/>
    <w:uiPriority w:val="0"/>
    <w:pPr>
      <w:snapToGrid w:val="0"/>
      <w:ind w:firstLine="542" w:firstLineChars="225"/>
    </w:pPr>
    <w:rPr>
      <w:rFonts w:ascii="仿宋_GB2312" w:hAnsi="宋体"/>
      <w:b/>
      <w:color w:val="000000"/>
      <w:kern w:val="0"/>
      <w:sz w:val="24"/>
    </w:rPr>
  </w:style>
  <w:style w:type="paragraph" w:styleId="41">
    <w:name w:val="endnote text"/>
    <w:basedOn w:val="1"/>
    <w:link w:val="117"/>
    <w:qFormat/>
    <w:uiPriority w:val="0"/>
    <w:pPr>
      <w:widowControl/>
      <w:adjustRightInd w:val="0"/>
      <w:spacing w:line="360" w:lineRule="atLeast"/>
      <w:jc w:val="left"/>
      <w:textAlignment w:val="baseline"/>
    </w:pPr>
    <w:rPr>
      <w:kern w:val="0"/>
      <w:sz w:val="24"/>
      <w:szCs w:val="20"/>
    </w:rPr>
  </w:style>
  <w:style w:type="paragraph" w:styleId="42">
    <w:name w:val="Balloon Text"/>
    <w:basedOn w:val="1"/>
    <w:link w:val="118"/>
    <w:unhideWhenUsed/>
    <w:qFormat/>
    <w:uiPriority w:val="0"/>
    <w:rPr>
      <w:rFonts w:ascii="Calibri" w:hAnsi="Calibri"/>
      <w:sz w:val="18"/>
      <w:szCs w:val="18"/>
    </w:rPr>
  </w:style>
  <w:style w:type="paragraph" w:styleId="43">
    <w:name w:val="footer"/>
    <w:basedOn w:val="1"/>
    <w:link w:val="110"/>
    <w:unhideWhenUsed/>
    <w:qFormat/>
    <w:uiPriority w:val="99"/>
    <w:pPr>
      <w:tabs>
        <w:tab w:val="center" w:pos="4153"/>
        <w:tab w:val="right" w:pos="8306"/>
      </w:tabs>
      <w:snapToGrid w:val="0"/>
      <w:jc w:val="left"/>
    </w:pPr>
    <w:rPr>
      <w:sz w:val="18"/>
      <w:szCs w:val="18"/>
    </w:rPr>
  </w:style>
  <w:style w:type="paragraph" w:styleId="44">
    <w:name w:val="header"/>
    <w:basedOn w:val="1"/>
    <w:link w:val="109"/>
    <w:unhideWhenUsed/>
    <w:qFormat/>
    <w:uiPriority w:val="99"/>
    <w:pPr>
      <w:tabs>
        <w:tab w:val="center" w:pos="4153"/>
        <w:tab w:val="right" w:pos="8306"/>
      </w:tabs>
      <w:snapToGrid w:val="0"/>
      <w:jc w:val="center"/>
    </w:pPr>
    <w:rPr>
      <w:sz w:val="18"/>
      <w:szCs w:val="18"/>
    </w:rPr>
  </w:style>
  <w:style w:type="paragraph" w:styleId="45">
    <w:name w:val="toc 1"/>
    <w:basedOn w:val="1"/>
    <w:next w:val="1"/>
    <w:link w:val="376"/>
    <w:unhideWhenUsed/>
    <w:qFormat/>
    <w:uiPriority w:val="39"/>
  </w:style>
  <w:style w:type="paragraph" w:styleId="46">
    <w:name w:val="toc 4"/>
    <w:basedOn w:val="1"/>
    <w:next w:val="1"/>
    <w:qFormat/>
    <w:uiPriority w:val="39"/>
    <w:pPr>
      <w:ind w:left="630"/>
      <w:jc w:val="left"/>
    </w:pPr>
    <w:rPr>
      <w:rFonts w:ascii="Calibri" w:hAnsi="Calibri" w:cs="Calibri"/>
      <w:sz w:val="18"/>
      <w:szCs w:val="18"/>
    </w:rPr>
  </w:style>
  <w:style w:type="paragraph" w:styleId="47">
    <w:name w:val="Subtitle"/>
    <w:basedOn w:val="1"/>
    <w:next w:val="1"/>
    <w:link w:val="101"/>
    <w:qFormat/>
    <w:uiPriority w:val="0"/>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8">
    <w:name w:val="List Number 5"/>
    <w:basedOn w:val="1"/>
    <w:qFormat/>
    <w:uiPriority w:val="0"/>
    <w:pPr>
      <w:widowControl/>
      <w:tabs>
        <w:tab w:val="left" w:pos="420"/>
      </w:tabs>
      <w:snapToGrid w:val="0"/>
      <w:ind w:left="420" w:right="709" w:hanging="420"/>
      <w:jc w:val="left"/>
    </w:pPr>
    <w:rPr>
      <w:rFonts w:ascii="Calibri" w:hAnsi="Calibri" w:eastAsia="2OcuAe"/>
      <w:spacing w:val="2"/>
      <w:kern w:val="0"/>
      <w:sz w:val="20"/>
      <w:szCs w:val="20"/>
      <w:lang w:eastAsia="zh-TW"/>
    </w:rPr>
  </w:style>
  <w:style w:type="paragraph" w:styleId="49">
    <w:name w:val="List"/>
    <w:basedOn w:val="1"/>
    <w:semiHidden/>
    <w:unhideWhenUsed/>
    <w:qFormat/>
    <w:uiPriority w:val="99"/>
    <w:pPr>
      <w:ind w:left="200" w:hanging="200" w:hangingChars="200"/>
    </w:pPr>
    <w:rPr>
      <w:sz w:val="28"/>
    </w:rPr>
  </w:style>
  <w:style w:type="paragraph" w:styleId="50">
    <w:name w:val="footnote text"/>
    <w:basedOn w:val="1"/>
    <w:link w:val="119"/>
    <w:qFormat/>
    <w:uiPriority w:val="0"/>
    <w:pPr>
      <w:wordWrap w:val="0"/>
      <w:snapToGrid w:val="0"/>
      <w:spacing w:line="360" w:lineRule="auto"/>
      <w:ind w:firstLine="200" w:firstLineChars="200"/>
      <w:jc w:val="left"/>
    </w:pPr>
    <w:rPr>
      <w:rFonts w:ascii="宋体" w:hAnsi="Calibri" w:cs="宋体"/>
      <w:sz w:val="18"/>
      <w:szCs w:val="18"/>
    </w:rPr>
  </w:style>
  <w:style w:type="paragraph" w:styleId="51">
    <w:name w:val="toc 6"/>
    <w:basedOn w:val="1"/>
    <w:next w:val="1"/>
    <w:qFormat/>
    <w:uiPriority w:val="39"/>
    <w:pPr>
      <w:ind w:left="1050"/>
      <w:jc w:val="left"/>
    </w:pPr>
    <w:rPr>
      <w:rFonts w:ascii="Calibri" w:hAnsi="Calibri" w:cs="Calibri"/>
      <w:sz w:val="18"/>
      <w:szCs w:val="18"/>
    </w:rPr>
  </w:style>
  <w:style w:type="paragraph" w:styleId="52">
    <w:name w:val="Body Text Indent 3"/>
    <w:basedOn w:val="1"/>
    <w:link w:val="120"/>
    <w:unhideWhenUsed/>
    <w:qFormat/>
    <w:uiPriority w:val="0"/>
    <w:pPr>
      <w:snapToGrid w:val="0"/>
      <w:ind w:firstLine="480" w:firstLineChars="200"/>
      <w:jc w:val="left"/>
    </w:pPr>
    <w:rPr>
      <w:rFonts w:ascii="仿宋_GB2312" w:hAnsi="宋体" w:eastAsia="Times New Roman"/>
      <w:color w:val="000000"/>
      <w:kern w:val="0"/>
      <w:sz w:val="24"/>
    </w:rPr>
  </w:style>
  <w:style w:type="paragraph" w:styleId="53">
    <w:name w:val="toc 2"/>
    <w:basedOn w:val="1"/>
    <w:next w:val="1"/>
    <w:unhideWhenUsed/>
    <w:qFormat/>
    <w:uiPriority w:val="39"/>
    <w:pPr>
      <w:ind w:left="420" w:leftChars="200"/>
    </w:pPr>
  </w:style>
  <w:style w:type="paragraph" w:styleId="54">
    <w:name w:val="toc 9"/>
    <w:basedOn w:val="1"/>
    <w:next w:val="1"/>
    <w:qFormat/>
    <w:uiPriority w:val="39"/>
    <w:pPr>
      <w:ind w:left="1680"/>
      <w:jc w:val="left"/>
    </w:pPr>
    <w:rPr>
      <w:rFonts w:ascii="Calibri" w:hAnsi="Calibri" w:cs="Calibri"/>
      <w:sz w:val="18"/>
      <w:szCs w:val="18"/>
    </w:rPr>
  </w:style>
  <w:style w:type="paragraph" w:styleId="55">
    <w:name w:val="Body Text 2"/>
    <w:basedOn w:val="1"/>
    <w:link w:val="121"/>
    <w:unhideWhenUsed/>
    <w:qFormat/>
    <w:uiPriority w:val="0"/>
    <w:pPr>
      <w:widowControl/>
      <w:overflowPunct w:val="0"/>
      <w:autoSpaceDE w:val="0"/>
      <w:autoSpaceDN w:val="0"/>
      <w:adjustRightInd w:val="0"/>
      <w:spacing w:line="280" w:lineRule="exact"/>
      <w:jc w:val="center"/>
    </w:pPr>
    <w:rPr>
      <w:rFonts w:ascii="宋体" w:hAnsi="宋体" w:cs="宋体"/>
      <w:bCs/>
    </w:rPr>
  </w:style>
  <w:style w:type="paragraph" w:styleId="56">
    <w:name w:val="HTML Preformatted"/>
    <w:basedOn w:val="1"/>
    <w:link w:val="12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57">
    <w:name w:val="Normal (Web)"/>
    <w:basedOn w:val="1"/>
    <w:link w:val="729"/>
    <w:unhideWhenUsed/>
    <w:qFormat/>
    <w:uiPriority w:val="0"/>
    <w:pPr>
      <w:widowControl/>
      <w:spacing w:before="100" w:beforeAutospacing="1" w:after="100" w:afterAutospacing="1"/>
      <w:jc w:val="left"/>
    </w:pPr>
    <w:rPr>
      <w:rFonts w:ascii="(使用中文字体)" w:hAnsi="(使用中文字体)" w:cs="(使用中文字体)"/>
      <w:kern w:val="0"/>
      <w:sz w:val="24"/>
      <w:szCs w:val="24"/>
    </w:rPr>
  </w:style>
  <w:style w:type="paragraph" w:styleId="58">
    <w:name w:val="Title"/>
    <w:basedOn w:val="1"/>
    <w:next w:val="1"/>
    <w:link w:val="100"/>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59">
    <w:name w:val="annotation subject"/>
    <w:basedOn w:val="22"/>
    <w:next w:val="22"/>
    <w:link w:val="123"/>
    <w:unhideWhenUsed/>
    <w:qFormat/>
    <w:uiPriority w:val="0"/>
    <w:rPr>
      <w:rFonts w:cs="宋体"/>
      <w:b/>
      <w:bCs/>
    </w:rPr>
  </w:style>
  <w:style w:type="paragraph" w:styleId="60">
    <w:name w:val="Body Text First Indent"/>
    <w:basedOn w:val="26"/>
    <w:next w:val="1"/>
    <w:link w:val="84"/>
    <w:unhideWhenUsed/>
    <w:qFormat/>
    <w:uiPriority w:val="0"/>
    <w:pPr>
      <w:ind w:firstLine="420" w:firstLineChars="100"/>
    </w:pPr>
  </w:style>
  <w:style w:type="table" w:styleId="62">
    <w:name w:val="Table Grid"/>
    <w:basedOn w:val="6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3">
    <w:name w:val="Table Theme"/>
    <w:basedOn w:val="61"/>
    <w:semiHidden/>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Medium Shading 2 Accent 2"/>
    <w:basedOn w:val="61"/>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3"/>
    <w:basedOn w:val="61"/>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4"/>
    <w:basedOn w:val="61"/>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5"/>
    <w:basedOn w:val="61"/>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6"/>
    <w:basedOn w:val="61"/>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1">
    <w:name w:val="Strong"/>
    <w:basedOn w:val="70"/>
    <w:qFormat/>
    <w:uiPriority w:val="0"/>
    <w:rPr>
      <w:rFonts w:hint="default" w:ascii="Times New Roman" w:hAnsi="Times New Roman" w:cs="Times New Roman"/>
      <w:b/>
    </w:rPr>
  </w:style>
  <w:style w:type="character" w:styleId="72">
    <w:name w:val="page number"/>
    <w:basedOn w:val="70"/>
    <w:unhideWhenUsed/>
    <w:qFormat/>
    <w:uiPriority w:val="0"/>
    <w:rPr>
      <w:rFonts w:hint="default" w:ascii="Times New Roman" w:hAnsi="Times New Roman" w:cs="Times New Roman"/>
    </w:rPr>
  </w:style>
  <w:style w:type="character" w:styleId="73">
    <w:name w:val="FollowedHyperlink"/>
    <w:basedOn w:val="70"/>
    <w:unhideWhenUsed/>
    <w:qFormat/>
    <w:uiPriority w:val="0"/>
    <w:rPr>
      <w:rFonts w:hint="default" w:ascii="Times New Roman" w:hAnsi="Times New Roman" w:cs="Times New Roman"/>
      <w:color w:val="800080"/>
      <w:u w:val="single"/>
    </w:rPr>
  </w:style>
  <w:style w:type="character" w:styleId="74">
    <w:name w:val="Emphasis"/>
    <w:qFormat/>
    <w:uiPriority w:val="0"/>
    <w:rPr>
      <w:rFonts w:ascii="Calibri" w:hAnsi="Calibri" w:eastAsia="宋体" w:cs="Times New Roman"/>
    </w:rPr>
  </w:style>
  <w:style w:type="character" w:styleId="75">
    <w:name w:val="HTML Definition"/>
    <w:basedOn w:val="70"/>
    <w:semiHidden/>
    <w:unhideWhenUsed/>
    <w:qFormat/>
    <w:uiPriority w:val="0"/>
    <w:rPr>
      <w:rFonts w:hint="default" w:ascii="Times New Roman" w:hAnsi="Times New Roman" w:cs="Times New Roman"/>
      <w:i/>
    </w:rPr>
  </w:style>
  <w:style w:type="character" w:styleId="76">
    <w:name w:val="Hyperlink"/>
    <w:basedOn w:val="70"/>
    <w:unhideWhenUsed/>
    <w:qFormat/>
    <w:uiPriority w:val="99"/>
    <w:rPr>
      <w:rFonts w:hint="default" w:ascii="Times New Roman" w:hAnsi="Times New Roman" w:cs="Times New Roman"/>
      <w:color w:val="0000FF"/>
      <w:u w:val="single"/>
    </w:rPr>
  </w:style>
  <w:style w:type="character" w:styleId="77">
    <w:name w:val="HTML Code"/>
    <w:basedOn w:val="70"/>
    <w:semiHidden/>
    <w:unhideWhenUsed/>
    <w:qFormat/>
    <w:uiPriority w:val="0"/>
    <w:rPr>
      <w:rFonts w:hint="default" w:ascii="Marlett" w:hAnsi="Marlett" w:eastAsia="Times New Roman" w:cs="Times New Roman"/>
      <w:sz w:val="21"/>
      <w:szCs w:val="24"/>
    </w:rPr>
  </w:style>
  <w:style w:type="character" w:styleId="78">
    <w:name w:val="annotation reference"/>
    <w:basedOn w:val="70"/>
    <w:unhideWhenUsed/>
    <w:qFormat/>
    <w:uiPriority w:val="0"/>
    <w:rPr>
      <w:rFonts w:hint="default" w:ascii="Times New Roman" w:hAnsi="Times New Roman" w:cs="Times New Roman"/>
      <w:sz w:val="21"/>
    </w:rPr>
  </w:style>
  <w:style w:type="character" w:styleId="79">
    <w:name w:val="footnote reference"/>
    <w:basedOn w:val="70"/>
    <w:qFormat/>
    <w:uiPriority w:val="0"/>
    <w:rPr>
      <w:vertAlign w:val="superscript"/>
    </w:rPr>
  </w:style>
  <w:style w:type="character" w:styleId="80">
    <w:name w:val="HTML Keyboard"/>
    <w:basedOn w:val="70"/>
    <w:semiHidden/>
    <w:unhideWhenUsed/>
    <w:qFormat/>
    <w:uiPriority w:val="0"/>
    <w:rPr>
      <w:rFonts w:hint="default" w:ascii="Marlett" w:hAnsi="Marlett" w:eastAsia="Times New Roman" w:cs="Times New Roman"/>
      <w:sz w:val="21"/>
      <w:szCs w:val="24"/>
    </w:rPr>
  </w:style>
  <w:style w:type="character" w:styleId="81">
    <w:name w:val="HTML Sample"/>
    <w:basedOn w:val="70"/>
    <w:semiHidden/>
    <w:unhideWhenUsed/>
    <w:qFormat/>
    <w:uiPriority w:val="0"/>
    <w:rPr>
      <w:rFonts w:hint="default" w:ascii="Marlett" w:hAnsi="Marlett" w:eastAsia="Times New Roman" w:cs="Times New Roman"/>
      <w:sz w:val="21"/>
    </w:rPr>
  </w:style>
  <w:style w:type="paragraph" w:customStyle="1" w:styleId="82">
    <w:name w:val="普通(网站)11"/>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83">
    <w:name w:val="正文文本 字符"/>
    <w:basedOn w:val="70"/>
    <w:link w:val="26"/>
    <w:qFormat/>
    <w:uiPriority w:val="1"/>
  </w:style>
  <w:style w:type="character" w:customStyle="1" w:styleId="84">
    <w:name w:val="正文文本首行缩进 字符"/>
    <w:basedOn w:val="83"/>
    <w:link w:val="60"/>
    <w:qFormat/>
    <w:uiPriority w:val="0"/>
    <w:rPr>
      <w:rFonts w:ascii="Calibri" w:hAnsi="Calibri" w:eastAsia="宋体" w:cs="Times New Roman"/>
      <w:kern w:val="0"/>
      <w:sz w:val="21"/>
      <w:szCs w:val="22"/>
      <w14:ligatures w14:val="none"/>
    </w:rPr>
  </w:style>
  <w:style w:type="paragraph" w:customStyle="1" w:styleId="85">
    <w:name w:val="首行缩进"/>
    <w:basedOn w:val="1"/>
    <w:qFormat/>
    <w:uiPriority w:val="0"/>
    <w:pPr>
      <w:spacing w:line="360" w:lineRule="auto"/>
      <w:ind w:firstLine="480" w:firstLineChars="200"/>
      <w:jc w:val="left"/>
    </w:pPr>
    <w:rPr>
      <w:rFonts w:ascii="宋体" w:hAnsi="宋体"/>
      <w:sz w:val="24"/>
    </w:rPr>
  </w:style>
  <w:style w:type="paragraph" w:customStyle="1" w:styleId="86">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87">
    <w:name w:val="纯文本 字符"/>
    <w:basedOn w:val="70"/>
    <w:link w:val="35"/>
    <w:qFormat/>
    <w:uiPriority w:val="0"/>
    <w:rPr>
      <w:rFonts w:ascii="宋体" w:hAnsi="Courier New" w:eastAsia="宋体" w:cs="Times New Roman"/>
      <w:kern w:val="0"/>
      <w:sz w:val="24"/>
      <w:szCs w:val="20"/>
    </w:rPr>
  </w:style>
  <w:style w:type="character" w:customStyle="1" w:styleId="88">
    <w:name w:val="标题 2 字符"/>
    <w:basedOn w:val="70"/>
    <w:link w:val="5"/>
    <w:qFormat/>
    <w:uiPriority w:val="9"/>
    <w:rPr>
      <w:rFonts w:asciiTheme="majorHAnsi" w:hAnsiTheme="majorHAnsi" w:eastAsiaTheme="majorEastAsia" w:cstheme="majorBidi"/>
      <w:color w:val="104862" w:themeColor="accent1" w:themeShade="BF"/>
      <w:sz w:val="40"/>
      <w:szCs w:val="40"/>
      <w14:ligatures w14:val="none"/>
    </w:rPr>
  </w:style>
  <w:style w:type="character" w:customStyle="1" w:styleId="89">
    <w:name w:val="正文文本缩进 字符"/>
    <w:basedOn w:val="70"/>
    <w:link w:val="3"/>
    <w:qFormat/>
    <w:uiPriority w:val="99"/>
    <w:rPr>
      <w:sz w:val="21"/>
      <w:szCs w:val="22"/>
      <w14:ligatures w14:val="none"/>
    </w:rPr>
  </w:style>
  <w:style w:type="character" w:customStyle="1" w:styleId="90">
    <w:name w:val="正文文本首行缩进 2 字符"/>
    <w:basedOn w:val="89"/>
    <w:link w:val="2"/>
    <w:qFormat/>
    <w:uiPriority w:val="99"/>
    <w:rPr>
      <w:sz w:val="21"/>
      <w:szCs w:val="22"/>
      <w14:ligatures w14:val="none"/>
    </w:rPr>
  </w:style>
  <w:style w:type="paragraph" w:customStyle="1" w:styleId="91">
    <w:name w:val="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2">
    <w:name w:val="标题 1 字符"/>
    <w:basedOn w:val="70"/>
    <w:link w:val="4"/>
    <w:qFormat/>
    <w:uiPriority w:val="0"/>
    <w:rPr>
      <w:rFonts w:asciiTheme="majorHAnsi" w:hAnsiTheme="majorHAnsi" w:eastAsiaTheme="majorEastAsia" w:cstheme="majorBidi"/>
      <w:color w:val="104862" w:themeColor="accent1" w:themeShade="BF"/>
      <w:sz w:val="48"/>
      <w:szCs w:val="48"/>
      <w14:ligatures w14:val="none"/>
    </w:rPr>
  </w:style>
  <w:style w:type="character" w:customStyle="1" w:styleId="93">
    <w:name w:val="标题 3 字符"/>
    <w:basedOn w:val="70"/>
    <w:link w:val="6"/>
    <w:qFormat/>
    <w:uiPriority w:val="0"/>
    <w:rPr>
      <w:rFonts w:asciiTheme="majorHAnsi" w:hAnsiTheme="majorHAnsi" w:eastAsiaTheme="majorEastAsia" w:cstheme="majorBidi"/>
      <w:color w:val="104862" w:themeColor="accent1" w:themeShade="BF"/>
      <w:sz w:val="32"/>
      <w:szCs w:val="32"/>
      <w14:ligatures w14:val="none"/>
    </w:rPr>
  </w:style>
  <w:style w:type="character" w:customStyle="1" w:styleId="94">
    <w:name w:val="标题 4 字符"/>
    <w:basedOn w:val="70"/>
    <w:link w:val="7"/>
    <w:qFormat/>
    <w:uiPriority w:val="0"/>
    <w:rPr>
      <w:rFonts w:cstheme="majorBidi"/>
      <w:color w:val="104862" w:themeColor="accent1" w:themeShade="BF"/>
      <w:sz w:val="28"/>
      <w:szCs w:val="28"/>
      <w14:ligatures w14:val="none"/>
    </w:rPr>
  </w:style>
  <w:style w:type="character" w:customStyle="1" w:styleId="95">
    <w:name w:val="标题 5 字符"/>
    <w:basedOn w:val="70"/>
    <w:link w:val="8"/>
    <w:qFormat/>
    <w:uiPriority w:val="0"/>
    <w:rPr>
      <w:rFonts w:cstheme="majorBidi"/>
      <w:color w:val="104862" w:themeColor="accent1" w:themeShade="BF"/>
      <w:sz w:val="24"/>
      <w14:ligatures w14:val="none"/>
    </w:rPr>
  </w:style>
  <w:style w:type="character" w:customStyle="1" w:styleId="96">
    <w:name w:val="标题 6 字符"/>
    <w:basedOn w:val="70"/>
    <w:link w:val="9"/>
    <w:qFormat/>
    <w:uiPriority w:val="9"/>
    <w:rPr>
      <w:rFonts w:cstheme="majorBidi"/>
      <w:b/>
      <w:bCs/>
      <w:color w:val="104862" w:themeColor="accent1" w:themeShade="BF"/>
      <w:sz w:val="21"/>
      <w:szCs w:val="22"/>
      <w14:ligatures w14:val="none"/>
    </w:rPr>
  </w:style>
  <w:style w:type="character" w:customStyle="1" w:styleId="97">
    <w:name w:val="标题 7 字符"/>
    <w:basedOn w:val="70"/>
    <w:link w:val="10"/>
    <w:qFormat/>
    <w:uiPriority w:val="9"/>
    <w:rPr>
      <w:rFonts w:cstheme="majorBidi"/>
      <w:b/>
      <w:bCs/>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8">
    <w:name w:val="标题 8 字符"/>
    <w:basedOn w:val="70"/>
    <w:link w:val="11"/>
    <w:qFormat/>
    <w:uiPriority w:val="9"/>
    <w:rPr>
      <w:rFonts w:cstheme="majorBidi"/>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99">
    <w:name w:val="标题 9 字符"/>
    <w:basedOn w:val="70"/>
    <w:link w:val="12"/>
    <w:qFormat/>
    <w:uiPriority w:val="9"/>
    <w:rPr>
      <w:rFonts w:eastAsiaTheme="majorEastAsia" w:cstheme="majorBidi"/>
      <w:color w:val="595959" w:themeColor="text1" w:themeTint="A6"/>
      <w:sz w:val="21"/>
      <w:szCs w:val="22"/>
      <w14:textFill>
        <w14:solidFill>
          <w14:schemeClr w14:val="tx1">
            <w14:lumMod w14:val="65000"/>
            <w14:lumOff w14:val="35000"/>
          </w14:schemeClr>
        </w14:solidFill>
      </w14:textFill>
      <w14:ligatures w14:val="none"/>
    </w:rPr>
  </w:style>
  <w:style w:type="character" w:customStyle="1" w:styleId="100">
    <w:name w:val="标题 字符"/>
    <w:basedOn w:val="70"/>
    <w:link w:val="58"/>
    <w:qFormat/>
    <w:uiPriority w:val="0"/>
    <w:rPr>
      <w:rFonts w:asciiTheme="majorHAnsi" w:hAnsiTheme="majorHAnsi" w:eastAsiaTheme="majorEastAsia" w:cstheme="majorBidi"/>
      <w:spacing w:val="-10"/>
      <w:kern w:val="28"/>
      <w:sz w:val="56"/>
      <w:szCs w:val="56"/>
      <w14:ligatures w14:val="none"/>
    </w:rPr>
  </w:style>
  <w:style w:type="character" w:customStyle="1" w:styleId="101">
    <w:name w:val="副标题 字符"/>
    <w:basedOn w:val="70"/>
    <w:link w:val="47"/>
    <w:qFormat/>
    <w:uiPriority w:val="0"/>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none"/>
    </w:rPr>
  </w:style>
  <w:style w:type="paragraph" w:styleId="102">
    <w:name w:val="Quote"/>
    <w:basedOn w:val="1"/>
    <w:next w:val="1"/>
    <w:link w:val="10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103">
    <w:name w:val="引用 字符"/>
    <w:basedOn w:val="70"/>
    <w:link w:val="102"/>
    <w:qFormat/>
    <w:uiPriority w:val="29"/>
    <w:rPr>
      <w:rFonts w:ascii="Times New Roman" w:hAnsi="Times New Roman" w:eastAsia="宋体" w:cs="Times New Roman"/>
      <w:i/>
      <w:iCs/>
      <w:color w:val="404040" w:themeColor="text1" w:themeTint="BF"/>
      <w:sz w:val="21"/>
      <w:szCs w:val="22"/>
      <w14:textFill>
        <w14:solidFill>
          <w14:schemeClr w14:val="tx1">
            <w14:lumMod w14:val="75000"/>
            <w14:lumOff w14:val="25000"/>
          </w14:schemeClr>
        </w14:solidFill>
      </w14:textFill>
      <w14:ligatures w14:val="none"/>
    </w:rPr>
  </w:style>
  <w:style w:type="paragraph" w:styleId="104">
    <w:name w:val="List Paragraph"/>
    <w:basedOn w:val="1"/>
    <w:qFormat/>
    <w:uiPriority w:val="34"/>
    <w:pPr>
      <w:ind w:left="720"/>
      <w:contextualSpacing/>
    </w:pPr>
  </w:style>
  <w:style w:type="character" w:customStyle="1" w:styleId="105">
    <w:name w:val="明显强调1"/>
    <w:basedOn w:val="70"/>
    <w:qFormat/>
    <w:uiPriority w:val="21"/>
    <w:rPr>
      <w:i/>
      <w:iCs/>
      <w:color w:val="104862" w:themeColor="accent1" w:themeShade="BF"/>
    </w:rPr>
  </w:style>
  <w:style w:type="paragraph" w:styleId="106">
    <w:name w:val="Intense Quote"/>
    <w:basedOn w:val="1"/>
    <w:next w:val="1"/>
    <w:link w:val="10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107">
    <w:name w:val="明显引用 字符"/>
    <w:basedOn w:val="70"/>
    <w:link w:val="106"/>
    <w:qFormat/>
    <w:uiPriority w:val="30"/>
    <w:rPr>
      <w:rFonts w:ascii="Times New Roman" w:hAnsi="Times New Roman" w:eastAsia="宋体" w:cs="Times New Roman"/>
      <w:i/>
      <w:iCs/>
      <w:color w:val="104862" w:themeColor="accent1" w:themeShade="BF"/>
      <w:sz w:val="21"/>
      <w:szCs w:val="22"/>
      <w14:ligatures w14:val="none"/>
    </w:rPr>
  </w:style>
  <w:style w:type="character" w:customStyle="1" w:styleId="108">
    <w:name w:val="明显参考1"/>
    <w:basedOn w:val="70"/>
    <w:qFormat/>
    <w:uiPriority w:val="32"/>
    <w:rPr>
      <w:b/>
      <w:bCs/>
      <w:smallCaps/>
      <w:color w:val="104862" w:themeColor="accent1" w:themeShade="BF"/>
      <w:spacing w:val="5"/>
    </w:rPr>
  </w:style>
  <w:style w:type="character" w:customStyle="1" w:styleId="109">
    <w:name w:val="页眉 字符"/>
    <w:basedOn w:val="70"/>
    <w:link w:val="44"/>
    <w:qFormat/>
    <w:uiPriority w:val="99"/>
    <w:rPr>
      <w:rFonts w:ascii="Times New Roman" w:hAnsi="Times New Roman" w:eastAsia="宋体" w:cs="Times New Roman"/>
      <w:sz w:val="18"/>
      <w:szCs w:val="18"/>
      <w14:ligatures w14:val="none"/>
    </w:rPr>
  </w:style>
  <w:style w:type="character" w:customStyle="1" w:styleId="110">
    <w:name w:val="页脚 字符"/>
    <w:basedOn w:val="70"/>
    <w:link w:val="43"/>
    <w:qFormat/>
    <w:uiPriority w:val="99"/>
    <w:rPr>
      <w:rFonts w:ascii="Times New Roman" w:hAnsi="Times New Roman" w:eastAsia="宋体" w:cs="Times New Roman"/>
      <w:sz w:val="18"/>
      <w:szCs w:val="18"/>
      <w14:ligatures w14:val="none"/>
    </w:rPr>
  </w:style>
  <w:style w:type="character" w:customStyle="1" w:styleId="111">
    <w:name w:val="文档结构图 字符"/>
    <w:basedOn w:val="70"/>
    <w:link w:val="21"/>
    <w:qFormat/>
    <w:uiPriority w:val="0"/>
    <w:rPr>
      <w:rFonts w:ascii="Times New Roman" w:hAnsi="Times New Roman" w:eastAsia="宋体" w:cs="宋体"/>
      <w:sz w:val="21"/>
      <w:szCs w:val="22"/>
      <w:shd w:val="clear" w:color="auto" w:fill="000080"/>
      <w14:ligatures w14:val="none"/>
    </w:rPr>
  </w:style>
  <w:style w:type="character" w:customStyle="1" w:styleId="112">
    <w:name w:val="批注文字 字符"/>
    <w:basedOn w:val="70"/>
    <w:link w:val="22"/>
    <w:qFormat/>
    <w:uiPriority w:val="0"/>
    <w:rPr>
      <w:rFonts w:ascii="Times New Roman" w:hAnsi="Times New Roman" w:eastAsia="宋体" w:cs="Times New Roman"/>
      <w:sz w:val="21"/>
      <w:szCs w:val="22"/>
      <w14:ligatures w14:val="none"/>
    </w:rPr>
  </w:style>
  <w:style w:type="character" w:customStyle="1" w:styleId="113">
    <w:name w:val="称呼 字符"/>
    <w:basedOn w:val="70"/>
    <w:link w:val="23"/>
    <w:qFormat/>
    <w:uiPriority w:val="0"/>
    <w:rPr>
      <w:rFonts w:ascii="Times New Roman" w:hAnsi="Times New Roman" w:eastAsia="宋体" w:cs="Times New Roman"/>
      <w:kern w:val="0"/>
      <w:sz w:val="20"/>
      <w14:ligatures w14:val="none"/>
    </w:rPr>
  </w:style>
  <w:style w:type="character" w:customStyle="1" w:styleId="114">
    <w:name w:val="正文文本 3 字符"/>
    <w:basedOn w:val="70"/>
    <w:link w:val="24"/>
    <w:qFormat/>
    <w:uiPriority w:val="0"/>
    <w:rPr>
      <w:rFonts w:ascii="Times New Roman" w:hAnsi="宋体" w:eastAsia="Times New Roman" w:cs="Times New Roman"/>
      <w:b/>
      <w:sz w:val="24"/>
      <w:szCs w:val="22"/>
      <w14:ligatures w14:val="none"/>
    </w:rPr>
  </w:style>
  <w:style w:type="character" w:customStyle="1" w:styleId="115">
    <w:name w:val="日期 字符"/>
    <w:basedOn w:val="70"/>
    <w:link w:val="39"/>
    <w:qFormat/>
    <w:uiPriority w:val="99"/>
    <w:rPr>
      <w:rFonts w:ascii="Calibri" w:hAnsi="Calibri" w:eastAsia="楷体_GB2312" w:cs="Times New Roman"/>
      <w:kern w:val="0"/>
      <w:sz w:val="32"/>
      <w:szCs w:val="22"/>
      <w14:ligatures w14:val="none"/>
    </w:rPr>
  </w:style>
  <w:style w:type="character" w:customStyle="1" w:styleId="116">
    <w:name w:val="正文文本缩进 2 字符"/>
    <w:basedOn w:val="70"/>
    <w:link w:val="40"/>
    <w:qFormat/>
    <w:uiPriority w:val="0"/>
    <w:rPr>
      <w:rFonts w:ascii="仿宋_GB2312" w:hAnsi="宋体" w:eastAsia="宋体" w:cs="Times New Roman"/>
      <w:b/>
      <w:color w:val="000000"/>
      <w:kern w:val="0"/>
      <w:sz w:val="24"/>
      <w:szCs w:val="22"/>
      <w14:ligatures w14:val="none"/>
    </w:rPr>
  </w:style>
  <w:style w:type="character" w:customStyle="1" w:styleId="117">
    <w:name w:val="尾注文本 字符"/>
    <w:basedOn w:val="70"/>
    <w:link w:val="41"/>
    <w:qFormat/>
    <w:uiPriority w:val="0"/>
    <w:rPr>
      <w:rFonts w:ascii="Times New Roman" w:hAnsi="Times New Roman" w:eastAsia="宋体" w:cs="Times New Roman"/>
      <w:kern w:val="0"/>
      <w:sz w:val="24"/>
      <w:szCs w:val="20"/>
      <w14:ligatures w14:val="none"/>
    </w:rPr>
  </w:style>
  <w:style w:type="character" w:customStyle="1" w:styleId="118">
    <w:name w:val="批注框文本 字符"/>
    <w:basedOn w:val="70"/>
    <w:link w:val="42"/>
    <w:qFormat/>
    <w:uiPriority w:val="0"/>
    <w:rPr>
      <w:rFonts w:ascii="Calibri" w:hAnsi="Calibri" w:eastAsia="宋体" w:cs="Times New Roman"/>
      <w:sz w:val="18"/>
      <w:szCs w:val="18"/>
      <w14:ligatures w14:val="none"/>
    </w:rPr>
  </w:style>
  <w:style w:type="character" w:customStyle="1" w:styleId="119">
    <w:name w:val="脚注文本 字符"/>
    <w:basedOn w:val="70"/>
    <w:link w:val="50"/>
    <w:qFormat/>
    <w:uiPriority w:val="0"/>
    <w:rPr>
      <w:rFonts w:ascii="宋体" w:hAnsi="Calibri" w:eastAsia="宋体" w:cs="宋体"/>
      <w:sz w:val="18"/>
      <w:szCs w:val="18"/>
      <w14:ligatures w14:val="none"/>
    </w:rPr>
  </w:style>
  <w:style w:type="character" w:customStyle="1" w:styleId="120">
    <w:name w:val="正文文本缩进 3 字符"/>
    <w:basedOn w:val="70"/>
    <w:link w:val="52"/>
    <w:qFormat/>
    <w:uiPriority w:val="0"/>
    <w:rPr>
      <w:rFonts w:ascii="仿宋_GB2312" w:hAnsi="宋体" w:eastAsia="Times New Roman" w:cs="Times New Roman"/>
      <w:color w:val="000000"/>
      <w:kern w:val="0"/>
      <w:sz w:val="24"/>
      <w:szCs w:val="22"/>
      <w14:ligatures w14:val="none"/>
    </w:rPr>
  </w:style>
  <w:style w:type="character" w:customStyle="1" w:styleId="121">
    <w:name w:val="正文文本 2 字符"/>
    <w:basedOn w:val="70"/>
    <w:link w:val="55"/>
    <w:qFormat/>
    <w:uiPriority w:val="0"/>
    <w:rPr>
      <w:rFonts w:ascii="宋体" w:hAnsi="宋体" w:eastAsia="宋体" w:cs="宋体"/>
      <w:bCs/>
      <w:sz w:val="21"/>
      <w:szCs w:val="22"/>
      <w14:ligatures w14:val="none"/>
    </w:rPr>
  </w:style>
  <w:style w:type="character" w:customStyle="1" w:styleId="122">
    <w:name w:val="HTML 预设格式 字符"/>
    <w:basedOn w:val="70"/>
    <w:link w:val="56"/>
    <w:qFormat/>
    <w:uiPriority w:val="0"/>
    <w:rPr>
      <w:rFonts w:ascii="Courier New" w:hAnsi="Courier New" w:eastAsia="宋体" w:cs="Times New Roman"/>
      <w:kern w:val="0"/>
      <w:sz w:val="20"/>
      <w:szCs w:val="20"/>
      <w14:ligatures w14:val="none"/>
    </w:rPr>
  </w:style>
  <w:style w:type="character" w:customStyle="1" w:styleId="123">
    <w:name w:val="批注主题 字符"/>
    <w:basedOn w:val="112"/>
    <w:link w:val="59"/>
    <w:qFormat/>
    <w:uiPriority w:val="0"/>
    <w:rPr>
      <w:rFonts w:ascii="Times New Roman" w:hAnsi="Times New Roman" w:eastAsia="宋体" w:cs="宋体"/>
      <w:b/>
      <w:bCs/>
      <w:sz w:val="21"/>
      <w:szCs w:val="22"/>
      <w14:ligatures w14:val="none"/>
    </w:rPr>
  </w:style>
  <w:style w:type="paragraph" w:customStyle="1" w:styleId="12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125">
    <w:name w:val="正文缩进 字符"/>
    <w:link w:val="18"/>
    <w:qFormat/>
    <w:locked/>
    <w:uiPriority w:val="0"/>
    <w:rPr>
      <w:rFonts w:ascii="Times New Roman" w:hAnsi="Times New Roman" w:eastAsia="宋体" w:cs="Times New Roman"/>
      <w:kern w:val="0"/>
      <w:sz w:val="20"/>
      <w:szCs w:val="20"/>
      <w14:ligatures w14:val="none"/>
    </w:rPr>
  </w:style>
  <w:style w:type="character" w:customStyle="1" w:styleId="126">
    <w:name w:val="题注 字符"/>
    <w:link w:val="19"/>
    <w:qFormat/>
    <w:locked/>
    <w:uiPriority w:val="0"/>
    <w:rPr>
      <w:rFonts w:ascii="Arial" w:hAnsi="Arial" w:eastAsia="黑体" w:cs="Times New Roman"/>
      <w:kern w:val="0"/>
      <w:sz w:val="20"/>
      <w:szCs w:val="20"/>
      <w14:ligatures w14:val="none"/>
    </w:rPr>
  </w:style>
  <w:style w:type="character" w:customStyle="1" w:styleId="127">
    <w:name w:val="正文文本缩进 字符2"/>
    <w:basedOn w:val="70"/>
    <w:semiHidden/>
    <w:qFormat/>
    <w:uiPriority w:val="99"/>
    <w:rPr>
      <w:rFonts w:ascii="宋体" w:hAnsi="Courier New" w:eastAsia="宋体" w:cs="Times New Roman"/>
      <w:spacing w:val="-4"/>
      <w:kern w:val="0"/>
      <w:sz w:val="18"/>
    </w:rPr>
  </w:style>
  <w:style w:type="character" w:customStyle="1" w:styleId="128">
    <w:name w:val="纯文本 字符1"/>
    <w:basedOn w:val="70"/>
    <w:qFormat/>
    <w:uiPriority w:val="0"/>
    <w:rPr>
      <w:rFonts w:ascii="宋体" w:hAnsi="Courier New" w:eastAsia="宋体" w:cs="Times New Roman"/>
      <w:sz w:val="24"/>
    </w:rPr>
  </w:style>
  <w:style w:type="paragraph" w:customStyle="1" w:styleId="129">
    <w:name w:val="标题 71"/>
    <w:basedOn w:val="1"/>
    <w:next w:val="1"/>
    <w:qFormat/>
    <w:uiPriority w:val="9"/>
    <w:pPr>
      <w:keepNext/>
      <w:keepLines/>
      <w:spacing w:before="120" w:after="120"/>
      <w:outlineLvl w:val="6"/>
    </w:pPr>
    <w:rPr>
      <w:rFonts w:eastAsia="黑体"/>
      <w:sz w:val="24"/>
      <w:szCs w:val="21"/>
    </w:rPr>
  </w:style>
  <w:style w:type="paragraph" w:customStyle="1" w:styleId="130">
    <w:name w:val="标题 81"/>
    <w:basedOn w:val="1"/>
    <w:next w:val="1"/>
    <w:qFormat/>
    <w:uiPriority w:val="9"/>
    <w:pPr>
      <w:keepNext/>
      <w:keepLines/>
      <w:spacing w:before="120" w:after="120"/>
      <w:outlineLvl w:val="7"/>
    </w:pPr>
    <w:rPr>
      <w:rFonts w:eastAsia="黑体"/>
      <w:bCs/>
      <w:sz w:val="24"/>
      <w:szCs w:val="32"/>
    </w:rPr>
  </w:style>
  <w:style w:type="paragraph" w:customStyle="1" w:styleId="131">
    <w:name w:val="标题 91"/>
    <w:basedOn w:val="1"/>
    <w:next w:val="1"/>
    <w:qFormat/>
    <w:uiPriority w:val="9"/>
    <w:pPr>
      <w:keepNext/>
      <w:keepLines/>
      <w:spacing w:before="120" w:after="120"/>
      <w:outlineLvl w:val="8"/>
    </w:pPr>
    <w:rPr>
      <w:rFonts w:eastAsia="黑体"/>
      <w:sz w:val="24"/>
      <w:szCs w:val="21"/>
    </w:rPr>
  </w:style>
  <w:style w:type="paragraph" w:customStyle="1" w:styleId="132">
    <w:name w:val="表格文字"/>
    <w:basedOn w:val="1"/>
    <w:next w:val="26"/>
    <w:qFormat/>
    <w:uiPriority w:val="0"/>
    <w:rPr>
      <w:sz w:val="18"/>
      <w:szCs w:val="24"/>
    </w:rPr>
  </w:style>
  <w:style w:type="paragraph" w:customStyle="1" w:styleId="13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4">
    <w:name w:val="默认段落字体 Para Char Char Char Char Char Char Char Char Char1 Char Char Char Char"/>
    <w:basedOn w:val="1"/>
    <w:qFormat/>
    <w:uiPriority w:val="0"/>
    <w:rPr>
      <w:rFonts w:ascii="Tahoma" w:hAnsi="Tahoma"/>
      <w:sz w:val="24"/>
    </w:rPr>
  </w:style>
  <w:style w:type="paragraph" w:customStyle="1" w:styleId="135">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36">
    <w:name w:val="列出段落5"/>
    <w:basedOn w:val="1"/>
    <w:qFormat/>
    <w:uiPriority w:val="99"/>
    <w:pPr>
      <w:ind w:firstLine="420" w:firstLineChars="200"/>
    </w:pPr>
    <w:rPr>
      <w:rFonts w:ascii="Calibri" w:hAnsi="Calibri" w:eastAsia="等线"/>
      <w:sz w:val="24"/>
      <w:szCs w:val="24"/>
    </w:rPr>
  </w:style>
  <w:style w:type="paragraph" w:customStyle="1" w:styleId="137">
    <w:name w:val="Char Char Char Char Char Char"/>
    <w:basedOn w:val="1"/>
    <w:qFormat/>
    <w:uiPriority w:val="0"/>
    <w:pPr>
      <w:widowControl/>
      <w:spacing w:after="160" w:line="240" w:lineRule="exact"/>
      <w:jc w:val="left"/>
    </w:pPr>
    <w:rPr>
      <w:rFonts w:ascii="(使用中文字体)" w:hAnsi="(使用中文字体)"/>
      <w:kern w:val="0"/>
      <w:sz w:val="20"/>
      <w:szCs w:val="20"/>
      <w:lang w:eastAsia="en-US"/>
    </w:rPr>
  </w:style>
  <w:style w:type="paragraph" w:customStyle="1" w:styleId="138">
    <w:name w:val="图"/>
    <w:basedOn w:val="1"/>
    <w:qFormat/>
    <w:uiPriority w:val="99"/>
    <w:pPr>
      <w:keepNext/>
      <w:adjustRightInd w:val="0"/>
      <w:snapToGrid w:val="0"/>
      <w:spacing w:before="60" w:after="60" w:line="300" w:lineRule="auto"/>
      <w:jc w:val="center"/>
    </w:pPr>
    <w:rPr>
      <w:spacing w:val="20"/>
      <w:kern w:val="0"/>
      <w:sz w:val="24"/>
    </w:rPr>
  </w:style>
  <w:style w:type="paragraph" w:customStyle="1" w:styleId="139">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40">
    <w:name w:val="标准有序列表（L1）"/>
    <w:basedOn w:val="18"/>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41">
    <w:name w:val="f1"/>
    <w:basedOn w:val="1"/>
    <w:qFormat/>
    <w:uiPriority w:val="99"/>
    <w:pPr>
      <w:widowControl/>
      <w:spacing w:before="100" w:beforeAutospacing="1" w:after="100" w:afterAutospacing="1"/>
      <w:jc w:val="center"/>
    </w:pPr>
    <w:rPr>
      <w:rFonts w:ascii="Algerian" w:hAnsi="Algerian" w:cs="Algerian"/>
      <w:b/>
      <w:bCs/>
      <w:color w:val="FF8080"/>
      <w:spacing w:val="160"/>
      <w:kern w:val="0"/>
      <w:sz w:val="80"/>
      <w:szCs w:val="80"/>
    </w:rPr>
  </w:style>
  <w:style w:type="paragraph" w:customStyle="1" w:styleId="142">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43">
    <w:name w:val="GW-正文 Char"/>
    <w:link w:val="144"/>
    <w:qFormat/>
    <w:locked/>
    <w:uiPriority w:val="0"/>
    <w:rPr>
      <w:rFonts w:ascii="Arial Narrow" w:hAnsi="Arial Narrow" w:eastAsia="宋体" w:cs="Times New Roman"/>
      <w:kern w:val="0"/>
      <w:sz w:val="24"/>
      <w:szCs w:val="20"/>
    </w:rPr>
  </w:style>
  <w:style w:type="paragraph" w:customStyle="1" w:styleId="144">
    <w:name w:val="GW-正文"/>
    <w:basedOn w:val="1"/>
    <w:link w:val="143"/>
    <w:qFormat/>
    <w:uiPriority w:val="0"/>
    <w:pPr>
      <w:spacing w:line="360" w:lineRule="auto"/>
      <w:ind w:firstLine="200" w:firstLineChars="200"/>
      <w:contextualSpacing/>
    </w:pPr>
    <w:rPr>
      <w:rFonts w:ascii="Arial Narrow" w:hAnsi="Arial Narrow"/>
      <w:kern w:val="0"/>
      <w:sz w:val="24"/>
      <w:szCs w:val="20"/>
      <w14:ligatures w14:val="standardContextual"/>
    </w:rPr>
  </w:style>
  <w:style w:type="paragraph" w:customStyle="1" w:styleId="145">
    <w:name w:val="Char Char10"/>
    <w:basedOn w:val="1"/>
    <w:qFormat/>
    <w:uiPriority w:val="99"/>
    <w:pPr>
      <w:widowControl/>
      <w:spacing w:after="160" w:line="240" w:lineRule="exact"/>
      <w:jc w:val="left"/>
    </w:pPr>
    <w:rPr>
      <w:kern w:val="0"/>
      <w:sz w:val="20"/>
      <w:szCs w:val="24"/>
    </w:rPr>
  </w:style>
  <w:style w:type="paragraph" w:customStyle="1" w:styleId="146">
    <w:name w:val="正文文本缩进11"/>
    <w:basedOn w:val="1"/>
    <w:qFormat/>
    <w:uiPriority w:val="99"/>
    <w:pPr>
      <w:spacing w:line="200" w:lineRule="exact"/>
      <w:ind w:firstLine="301"/>
    </w:pPr>
    <w:rPr>
      <w:rFonts w:ascii="Calibri" w:hAnsi="Calibri"/>
      <w:szCs w:val="20"/>
    </w:rPr>
  </w:style>
  <w:style w:type="paragraph" w:customStyle="1" w:styleId="147">
    <w:name w:val="Char Char Char Char"/>
    <w:basedOn w:val="1"/>
    <w:qFormat/>
    <w:uiPriority w:val="0"/>
    <w:pPr>
      <w:widowControl/>
      <w:spacing w:after="160" w:line="240" w:lineRule="exact"/>
      <w:jc w:val="left"/>
    </w:pPr>
    <w:rPr>
      <w:rFonts w:ascii="Arial" w:hAnsi="Arial" w:cs="Verdana"/>
      <w:b/>
      <w:kern w:val="0"/>
      <w:sz w:val="24"/>
      <w:szCs w:val="20"/>
      <w:lang w:eastAsia="en-US"/>
    </w:rPr>
  </w:style>
  <w:style w:type="paragraph" w:customStyle="1" w:styleId="148">
    <w:name w:val="首行缩进2字符"/>
    <w:basedOn w:val="1"/>
    <w:qFormat/>
    <w:uiPriority w:val="99"/>
    <w:pPr>
      <w:spacing w:line="360" w:lineRule="auto"/>
      <w:ind w:firstLine="200" w:firstLineChars="200"/>
    </w:pPr>
    <w:rPr>
      <w:rFonts w:ascii="Calibri" w:hAnsi="Calibri"/>
      <w:sz w:val="24"/>
      <w:szCs w:val="21"/>
    </w:rPr>
  </w:style>
  <w:style w:type="paragraph" w:customStyle="1" w:styleId="149">
    <w:name w:val="默认段落字体 Para Char"/>
    <w:basedOn w:val="1"/>
    <w:qFormat/>
    <w:uiPriority w:val="0"/>
    <w:rPr>
      <w:szCs w:val="20"/>
    </w:rPr>
  </w:style>
  <w:style w:type="character" w:customStyle="1" w:styleId="150">
    <w:name w:val="Char Char3"/>
    <w:link w:val="151"/>
    <w:qFormat/>
    <w:locked/>
    <w:uiPriority w:val="0"/>
    <w:rPr>
      <w:rFonts w:ascii="Calibri" w:hAnsi="Calibri" w:eastAsia="宋体" w:cs="Times New Roman"/>
      <w:kern w:val="0"/>
      <w:sz w:val="24"/>
      <w:szCs w:val="20"/>
    </w:rPr>
  </w:style>
  <w:style w:type="paragraph" w:customStyle="1" w:styleId="151">
    <w:name w:val="Char"/>
    <w:basedOn w:val="1"/>
    <w:link w:val="150"/>
    <w:qFormat/>
    <w:uiPriority w:val="0"/>
    <w:rPr>
      <w:rFonts w:ascii="Calibri" w:hAnsi="Calibri"/>
      <w:kern w:val="0"/>
      <w:sz w:val="24"/>
      <w:szCs w:val="20"/>
      <w14:ligatures w14:val="standardContextual"/>
    </w:rPr>
  </w:style>
  <w:style w:type="paragraph" w:customStyle="1" w:styleId="152">
    <w:name w:val="正文段"/>
    <w:basedOn w:val="1"/>
    <w:qFormat/>
    <w:uiPriority w:val="0"/>
    <w:pPr>
      <w:widowControl/>
      <w:snapToGrid w:val="0"/>
      <w:ind w:firstLine="200" w:firstLineChars="200"/>
    </w:pPr>
    <w:rPr>
      <w:kern w:val="0"/>
      <w:sz w:val="24"/>
      <w:szCs w:val="20"/>
    </w:rPr>
  </w:style>
  <w:style w:type="character" w:customStyle="1" w:styleId="153">
    <w:name w:val="列出段落 Char"/>
    <w:link w:val="154"/>
    <w:qFormat/>
    <w:locked/>
    <w:uiPriority w:val="0"/>
    <w:rPr>
      <w:rFonts w:ascii="Calibri" w:hAnsi="Calibri" w:eastAsia="宋体" w:cs="Times New Roman"/>
      <w:kern w:val="0"/>
      <w:sz w:val="24"/>
      <w:szCs w:val="20"/>
    </w:rPr>
  </w:style>
  <w:style w:type="paragraph" w:customStyle="1" w:styleId="154">
    <w:name w:val="列出段落1"/>
    <w:basedOn w:val="1"/>
    <w:link w:val="153"/>
    <w:qFormat/>
    <w:uiPriority w:val="0"/>
    <w:pPr>
      <w:ind w:firstLine="420" w:firstLineChars="200"/>
    </w:pPr>
    <w:rPr>
      <w:rFonts w:ascii="Calibri" w:hAnsi="Calibri"/>
      <w:kern w:val="0"/>
      <w:sz w:val="24"/>
      <w:szCs w:val="20"/>
      <w14:ligatures w14:val="standardContextual"/>
    </w:rPr>
  </w:style>
  <w:style w:type="paragraph" w:customStyle="1" w:styleId="155">
    <w:name w:val="书籍标题1"/>
    <w:basedOn w:val="1"/>
    <w:next w:val="1"/>
    <w:qFormat/>
    <w:uiPriority w:val="99"/>
    <w:pPr>
      <w:pageBreakBefore/>
      <w:widowControl/>
      <w:numPr>
        <w:ilvl w:val="0"/>
        <w:numId w:val="3"/>
      </w:numPr>
      <w:spacing w:beforeLines="200"/>
      <w:ind w:left="2520"/>
      <w:jc w:val="center"/>
      <w:outlineLvl w:val="0"/>
    </w:pPr>
    <w:rPr>
      <w:rFonts w:eastAsia="黑体"/>
      <w:b/>
      <w:spacing w:val="20"/>
      <w:kern w:val="44"/>
      <w:sz w:val="44"/>
    </w:rPr>
  </w:style>
  <w:style w:type="paragraph" w:customStyle="1" w:styleId="156">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57">
    <w:name w:val="Table Paragraph"/>
    <w:basedOn w:val="1"/>
    <w:qFormat/>
    <w:uiPriority w:val="1"/>
    <w:pPr>
      <w:spacing w:before="119"/>
    </w:pPr>
    <w:rPr>
      <w:rFonts w:ascii="宋体" w:hAnsi="宋体" w:cs="宋体"/>
      <w:szCs w:val="24"/>
      <w:lang w:val="zh-CN"/>
    </w:rPr>
  </w:style>
  <w:style w:type="paragraph" w:customStyle="1" w:styleId="158">
    <w:name w:val="表内文字"/>
    <w:basedOn w:val="1"/>
    <w:qFormat/>
    <w:uiPriority w:val="0"/>
    <w:pPr>
      <w:tabs>
        <w:tab w:val="left" w:pos="1418"/>
      </w:tabs>
      <w:spacing w:line="360" w:lineRule="auto"/>
      <w:jc w:val="center"/>
    </w:pPr>
    <w:rPr>
      <w:rFonts w:ascii="仿宋_GB2312" w:eastAsia="Times New Roman"/>
      <w:spacing w:val="-20"/>
      <w:kern w:val="0"/>
      <w:sz w:val="24"/>
    </w:rPr>
  </w:style>
  <w:style w:type="paragraph" w:customStyle="1" w:styleId="159">
    <w:name w:val="样式2"/>
    <w:basedOn w:val="151"/>
    <w:qFormat/>
    <w:uiPriority w:val="99"/>
    <w:pPr>
      <w:tabs>
        <w:tab w:val="left" w:pos="432"/>
      </w:tabs>
      <w:spacing w:beforeLines="50"/>
      <w:ind w:left="432" w:hanging="432"/>
    </w:pPr>
    <w:rPr>
      <w:b/>
      <w:szCs w:val="21"/>
      <w:u w:val="thick"/>
    </w:rPr>
  </w:style>
  <w:style w:type="paragraph" w:customStyle="1" w:styleId="160">
    <w:name w:val="样式1"/>
    <w:basedOn w:val="151"/>
    <w:link w:val="422"/>
    <w:qFormat/>
    <w:uiPriority w:val="0"/>
    <w:pPr>
      <w:tabs>
        <w:tab w:val="left" w:pos="432"/>
      </w:tabs>
      <w:spacing w:beforeLines="50"/>
      <w:ind w:left="642" w:leftChars="100" w:right="100" w:rightChars="100" w:hanging="432"/>
      <w:jc w:val="right"/>
    </w:pPr>
    <w:rPr>
      <w:b/>
      <w:i/>
      <w:szCs w:val="21"/>
      <w:u w:val="thick"/>
    </w:rPr>
  </w:style>
  <w:style w:type="paragraph" w:customStyle="1" w:styleId="161">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正文首行缩进2字符 Char Char"/>
    <w:link w:val="163"/>
    <w:qFormat/>
    <w:locked/>
    <w:uiPriority w:val="0"/>
    <w:rPr>
      <w:rFonts w:ascii="Times New Roman" w:hAnsi="Times New Roman" w:eastAsia="宋体" w:cs="Times New Roman"/>
      <w:kern w:val="0"/>
      <w:sz w:val="24"/>
      <w:szCs w:val="20"/>
    </w:rPr>
  </w:style>
  <w:style w:type="paragraph" w:customStyle="1" w:styleId="163">
    <w:name w:val="正文首行缩进2字符"/>
    <w:basedOn w:val="1"/>
    <w:link w:val="162"/>
    <w:qFormat/>
    <w:uiPriority w:val="0"/>
    <w:pPr>
      <w:spacing w:line="360" w:lineRule="auto"/>
      <w:ind w:firstLine="200" w:firstLineChars="200"/>
    </w:pPr>
    <w:rPr>
      <w:kern w:val="0"/>
      <w:sz w:val="24"/>
      <w:szCs w:val="20"/>
      <w14:ligatures w14:val="standardContextual"/>
    </w:rPr>
  </w:style>
  <w:style w:type="paragraph" w:customStyle="1" w:styleId="164">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5">
    <w:name w:val="表格内容 字符"/>
    <w:link w:val="166"/>
    <w:qFormat/>
    <w:locked/>
    <w:uiPriority w:val="0"/>
    <w:rPr>
      <w:rFonts w:ascii="仿宋" w:hAnsi="仿宋" w:eastAsia="仿宋" w:cs="Times New Roman"/>
      <w:kern w:val="0"/>
      <w:sz w:val="24"/>
    </w:rPr>
  </w:style>
  <w:style w:type="paragraph" w:customStyle="1" w:styleId="166">
    <w:name w:val="表格内容"/>
    <w:next w:val="163"/>
    <w:link w:val="165"/>
    <w:qFormat/>
    <w:uiPriority w:val="0"/>
    <w:pPr>
      <w:jc w:val="center"/>
    </w:pPr>
    <w:rPr>
      <w:rFonts w:ascii="仿宋" w:hAnsi="仿宋" w:eastAsia="仿宋" w:cs="Times New Roman"/>
      <w:sz w:val="24"/>
      <w:szCs w:val="24"/>
      <w:lang w:val="en-US" w:eastAsia="zh-CN" w:bidi="ar-SA"/>
      <w14:ligatures w14:val="standardContextual"/>
    </w:rPr>
  </w:style>
  <w:style w:type="paragraph" w:customStyle="1" w:styleId="167">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68">
    <w:name w:val="列项中圆1"/>
    <w:basedOn w:val="1"/>
    <w:next w:val="1"/>
    <w:qFormat/>
    <w:uiPriority w:val="99"/>
    <w:pPr>
      <w:tabs>
        <w:tab w:val="left" w:pos="839"/>
      </w:tabs>
      <w:spacing w:line="300" w:lineRule="auto"/>
      <w:ind w:left="839" w:hanging="419"/>
    </w:pPr>
    <w:rPr>
      <w:kern w:val="21"/>
      <w:szCs w:val="20"/>
    </w:rPr>
  </w:style>
  <w:style w:type="paragraph" w:customStyle="1" w:styleId="169">
    <w:name w:val="xl30"/>
    <w:basedOn w:val="1"/>
    <w:qFormat/>
    <w:uiPriority w:val="0"/>
    <w:pPr>
      <w:widowControl/>
      <w:spacing w:before="100" w:beforeAutospacing="1" w:after="100" w:afterAutospacing="1"/>
      <w:jc w:val="center"/>
    </w:pPr>
    <w:rPr>
      <w:rFonts w:ascii="楷体_GB2312" w:hAnsi="宋体" w:eastAsia="楷体_GB2312"/>
      <w:b/>
      <w:kern w:val="0"/>
      <w:sz w:val="32"/>
    </w:rPr>
  </w:style>
  <w:style w:type="paragraph" w:customStyle="1" w:styleId="170">
    <w:name w:val="文档正文"/>
    <w:basedOn w:val="1"/>
    <w:qFormat/>
    <w:uiPriority w:val="0"/>
    <w:rPr>
      <w:rFonts w:ascii="宋体" w:hAnsi="宋体" w:cs="Arial"/>
      <w:bCs/>
      <w:szCs w:val="21"/>
    </w:rPr>
  </w:style>
  <w:style w:type="paragraph" w:customStyle="1" w:styleId="171">
    <w:name w:val="p15"/>
    <w:basedOn w:val="1"/>
    <w:qFormat/>
    <w:uiPriority w:val="0"/>
    <w:pPr>
      <w:widowControl/>
      <w:spacing w:line="200" w:lineRule="atLeast"/>
      <w:ind w:firstLine="301"/>
    </w:pPr>
    <w:rPr>
      <w:rFonts w:ascii="宋体" w:hAnsi="宋体" w:cs="宋体"/>
      <w:spacing w:val="-4"/>
      <w:kern w:val="0"/>
      <w:sz w:val="18"/>
      <w:szCs w:val="18"/>
    </w:rPr>
  </w:style>
  <w:style w:type="character" w:customStyle="1" w:styleId="172">
    <w:name w:val="无间隔 Char"/>
    <w:link w:val="173"/>
    <w:qFormat/>
    <w:locked/>
    <w:uiPriority w:val="0"/>
    <w:rPr>
      <w:rFonts w:ascii="Calibri" w:hAnsi="Calibri" w:eastAsia="宋体" w:cs="Times New Roman"/>
      <w:kern w:val="0"/>
    </w:rPr>
  </w:style>
  <w:style w:type="paragraph" w:customStyle="1" w:styleId="173">
    <w:name w:val="无间隔1"/>
    <w:link w:val="172"/>
    <w:qFormat/>
    <w:uiPriority w:val="0"/>
    <w:rPr>
      <w:rFonts w:ascii="Calibri" w:hAnsi="Calibri" w:eastAsia="宋体" w:cs="Times New Roman"/>
      <w:sz w:val="22"/>
      <w:szCs w:val="24"/>
      <w:lang w:val="en-US" w:eastAsia="zh-CN" w:bidi="ar-SA"/>
      <w14:ligatures w14:val="standardContextual"/>
    </w:rPr>
  </w:style>
  <w:style w:type="paragraph" w:customStyle="1" w:styleId="174">
    <w:name w:val="纯文本1"/>
    <w:basedOn w:val="1"/>
    <w:link w:val="385"/>
    <w:qFormat/>
    <w:uiPriority w:val="0"/>
    <w:pPr>
      <w:spacing w:beforeLines="50" w:line="400" w:lineRule="exact"/>
    </w:pPr>
    <w:rPr>
      <w:rFonts w:ascii="宋体" w:hAnsi="Courier New" w:eastAsia="Times New Roman"/>
      <w:sz w:val="30"/>
      <w:szCs w:val="24"/>
    </w:rPr>
  </w:style>
  <w:style w:type="paragraph" w:customStyle="1" w:styleId="175">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76">
    <w:name w:val="_Style 130"/>
    <w:basedOn w:val="1"/>
    <w:next w:val="154"/>
    <w:qFormat/>
    <w:uiPriority w:val="99"/>
    <w:pPr>
      <w:ind w:firstLine="420" w:firstLineChars="200"/>
    </w:pPr>
    <w:rPr>
      <w:szCs w:val="20"/>
    </w:rPr>
  </w:style>
  <w:style w:type="paragraph" w:customStyle="1" w:styleId="177">
    <w:name w:val="0正文"/>
    <w:basedOn w:val="1"/>
    <w:qFormat/>
    <w:uiPriority w:val="99"/>
    <w:pPr>
      <w:spacing w:line="560" w:lineRule="exact"/>
      <w:ind w:firstLine="200" w:firstLineChars="200"/>
    </w:pPr>
    <w:rPr>
      <w:rFonts w:ascii="Tahoma" w:hAnsi="Tahoma"/>
    </w:rPr>
  </w:style>
  <w:style w:type="paragraph" w:customStyle="1" w:styleId="178">
    <w:name w:val="正文（本文）"/>
    <w:basedOn w:val="1"/>
    <w:qFormat/>
    <w:uiPriority w:val="99"/>
    <w:pPr>
      <w:snapToGrid w:val="0"/>
      <w:spacing w:line="360" w:lineRule="auto"/>
      <w:ind w:firstLine="480" w:firstLineChars="200"/>
    </w:pPr>
    <w:rPr>
      <w:sz w:val="24"/>
      <w:szCs w:val="24"/>
    </w:rPr>
  </w:style>
  <w:style w:type="paragraph" w:customStyle="1" w:styleId="179">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80">
    <w:name w:val="_Style 4"/>
    <w:basedOn w:val="1"/>
    <w:qFormat/>
    <w:uiPriority w:val="99"/>
    <w:pPr>
      <w:ind w:firstLine="420" w:firstLineChars="200"/>
      <w:jc w:val="left"/>
    </w:pPr>
    <w:rPr>
      <w:rFonts w:ascii="Calibri" w:hAnsi="Calibri"/>
      <w:kern w:val="0"/>
      <w:sz w:val="18"/>
      <w:szCs w:val="24"/>
      <w:lang w:eastAsia="zh-TW"/>
    </w:rPr>
  </w:style>
  <w:style w:type="paragraph" w:customStyle="1" w:styleId="181">
    <w:name w:val="列出段落2"/>
    <w:basedOn w:val="1"/>
    <w:qFormat/>
    <w:uiPriority w:val="0"/>
    <w:pPr>
      <w:ind w:firstLine="420" w:firstLineChars="200"/>
    </w:pPr>
    <w:rPr>
      <w:rFonts w:ascii="Calibri" w:hAnsi="Calibri"/>
      <w:szCs w:val="24"/>
    </w:rPr>
  </w:style>
  <w:style w:type="paragraph" w:customStyle="1" w:styleId="182">
    <w:name w:val="正文1"/>
    <w:link w:val="524"/>
    <w:qFormat/>
    <w:uiPriority w:val="0"/>
    <w:pPr>
      <w:widowControl w:val="0"/>
      <w:jc w:val="both"/>
    </w:pPr>
    <w:rPr>
      <w:rFonts w:ascii="Calibri" w:hAnsi="Calibri" w:eastAsia="宋体" w:cs="Calibri"/>
      <w:kern w:val="2"/>
      <w:sz w:val="21"/>
      <w:szCs w:val="21"/>
      <w:lang w:val="en-US" w:eastAsia="zh-CN" w:bidi="ar-SA"/>
    </w:rPr>
  </w:style>
  <w:style w:type="paragraph" w:customStyle="1" w:styleId="183">
    <w:name w:val="WPSOffice手动目录 1"/>
    <w:qFormat/>
    <w:uiPriority w:val="0"/>
    <w:rPr>
      <w:rFonts w:ascii="Times New Roman" w:hAnsi="Times New Roman" w:eastAsia="宋体" w:cs="Times New Roman"/>
      <w:lang w:val="en-US" w:eastAsia="zh-CN" w:bidi="ar-SA"/>
    </w:rPr>
  </w:style>
  <w:style w:type="paragraph" w:customStyle="1" w:styleId="184">
    <w:name w:val="正文2"/>
    <w:basedOn w:val="1"/>
    <w:link w:val="417"/>
    <w:qFormat/>
    <w:uiPriority w:val="0"/>
    <w:pPr>
      <w:spacing w:before="156" w:line="360" w:lineRule="auto"/>
      <w:ind w:firstLine="510" w:firstLineChars="200"/>
    </w:pPr>
    <w:rPr>
      <w:sz w:val="24"/>
      <w:szCs w:val="20"/>
    </w:rPr>
  </w:style>
  <w:style w:type="character" w:customStyle="1" w:styleId="185">
    <w:name w:val="正文 首行缩进:  2 字符 Char Char Char"/>
    <w:link w:val="186"/>
    <w:qFormat/>
    <w:locked/>
    <w:uiPriority w:val="0"/>
    <w:rPr>
      <w:sz w:val="24"/>
    </w:rPr>
  </w:style>
  <w:style w:type="paragraph" w:customStyle="1" w:styleId="186">
    <w:name w:val="正文 首行缩进:  2 字符 Char"/>
    <w:basedOn w:val="1"/>
    <w:link w:val="185"/>
    <w:qFormat/>
    <w:uiPriority w:val="0"/>
    <w:pPr>
      <w:spacing w:line="360" w:lineRule="auto"/>
      <w:ind w:firstLine="480"/>
    </w:pPr>
    <w:rPr>
      <w:rFonts w:asciiTheme="minorHAnsi" w:hAnsiTheme="minorHAnsi" w:eastAsiaTheme="minorEastAsia" w:cstheme="minorBidi"/>
      <w:sz w:val="24"/>
      <w:szCs w:val="24"/>
      <w14:ligatures w14:val="standardContextual"/>
    </w:rPr>
  </w:style>
  <w:style w:type="character" w:customStyle="1" w:styleId="187">
    <w:name w:val="样式 首行缩进:  0 字符 Char"/>
    <w:link w:val="188"/>
    <w:qFormat/>
    <w:locked/>
    <w:uiPriority w:val="0"/>
    <w:rPr>
      <w:rFonts w:ascii="Arial" w:hAnsi="Arial" w:eastAsia="宋体" w:cs="Times New Roman"/>
      <w:kern w:val="0"/>
      <w:sz w:val="20"/>
      <w:szCs w:val="20"/>
    </w:rPr>
  </w:style>
  <w:style w:type="paragraph" w:customStyle="1" w:styleId="188">
    <w:name w:val="样式 首行缩进:  0 字符"/>
    <w:basedOn w:val="1"/>
    <w:link w:val="187"/>
    <w:qFormat/>
    <w:uiPriority w:val="0"/>
    <w:pPr>
      <w:spacing w:line="360" w:lineRule="auto"/>
      <w:ind w:firstLine="200" w:firstLineChars="200"/>
    </w:pPr>
    <w:rPr>
      <w:rFonts w:ascii="Arial" w:hAnsi="Arial"/>
      <w:kern w:val="0"/>
      <w:sz w:val="20"/>
      <w:szCs w:val="20"/>
      <w14:ligatures w14:val="standardContextual"/>
    </w:rPr>
  </w:style>
  <w:style w:type="paragraph" w:customStyle="1" w:styleId="189">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90">
    <w:name w:val="Proposals body"/>
    <w:basedOn w:val="1"/>
    <w:next w:val="1"/>
    <w:qFormat/>
    <w:uiPriority w:val="99"/>
    <w:pPr>
      <w:widowControl/>
      <w:spacing w:line="460" w:lineRule="exact"/>
      <w:jc w:val="left"/>
    </w:pPr>
    <w:rPr>
      <w:rFonts w:ascii="仿宋_GB2312" w:eastAsia="Times New Roman"/>
      <w:kern w:val="0"/>
      <w:sz w:val="24"/>
      <w:szCs w:val="24"/>
    </w:rPr>
  </w:style>
  <w:style w:type="paragraph" w:customStyle="1" w:styleId="191">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92">
    <w:name w:val="title11"/>
    <w:basedOn w:val="1"/>
    <w:qFormat/>
    <w:uiPriority w:val="99"/>
    <w:pPr>
      <w:spacing w:before="150"/>
      <w:jc w:val="left"/>
    </w:pPr>
    <w:rPr>
      <w:b/>
      <w:kern w:val="0"/>
      <w:sz w:val="28"/>
      <w:szCs w:val="24"/>
    </w:rPr>
  </w:style>
  <w:style w:type="paragraph" w:customStyle="1" w:styleId="193">
    <w:name w:val="标题 10"/>
    <w:basedOn w:val="5"/>
    <w:qFormat/>
    <w:uiPriority w:val="99"/>
    <w:pPr>
      <w:spacing w:before="0" w:after="0" w:line="360" w:lineRule="auto"/>
      <w:jc w:val="center"/>
    </w:pPr>
    <w:rPr>
      <w:rFonts w:ascii="Cambria" w:hAnsi="Cambria" w:eastAsia="宋体" w:cs="Times New Roman"/>
      <w:b/>
      <w:bCs/>
      <w:color w:val="auto"/>
      <w:sz w:val="21"/>
      <w:szCs w:val="32"/>
    </w:rPr>
  </w:style>
  <w:style w:type="paragraph" w:customStyle="1" w:styleId="19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95">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96">
    <w:name w:val="List Paragraph1"/>
    <w:basedOn w:val="1"/>
    <w:qFormat/>
    <w:uiPriority w:val="0"/>
    <w:pPr>
      <w:ind w:firstLine="420" w:firstLineChars="200"/>
    </w:pPr>
    <w:rPr>
      <w:szCs w:val="24"/>
    </w:rPr>
  </w:style>
  <w:style w:type="paragraph" w:customStyle="1" w:styleId="197">
    <w:name w:val="Char Char Char Char1"/>
    <w:basedOn w:val="1"/>
    <w:qFormat/>
    <w:uiPriority w:val="99"/>
    <w:rPr>
      <w:rFonts w:ascii="Tahoma" w:hAnsi="Tahoma"/>
      <w:sz w:val="24"/>
      <w:szCs w:val="20"/>
    </w:rPr>
  </w:style>
  <w:style w:type="paragraph" w:customStyle="1" w:styleId="198">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99">
    <w:name w:val="z-窗体顶端 Char"/>
    <w:link w:val="200"/>
    <w:qFormat/>
    <w:locked/>
    <w:uiPriority w:val="0"/>
    <w:rPr>
      <w:rFonts w:ascii="Arial" w:hAnsi="Arial" w:eastAsia="宋体" w:cs="Times New Roman"/>
      <w:vanish/>
      <w:kern w:val="0"/>
      <w:sz w:val="20"/>
      <w:szCs w:val="20"/>
    </w:rPr>
  </w:style>
  <w:style w:type="paragraph" w:customStyle="1" w:styleId="200">
    <w:name w:val="_Style 46"/>
    <w:basedOn w:val="1"/>
    <w:next w:val="1"/>
    <w:link w:val="199"/>
    <w:qFormat/>
    <w:uiPriority w:val="0"/>
    <w:pPr>
      <w:widowControl/>
      <w:pBdr>
        <w:bottom w:val="single" w:color="auto" w:sz="6" w:space="1"/>
      </w:pBdr>
      <w:jc w:val="center"/>
    </w:pPr>
    <w:rPr>
      <w:rFonts w:ascii="Arial" w:hAnsi="Arial"/>
      <w:vanish/>
      <w:kern w:val="0"/>
      <w:sz w:val="20"/>
      <w:szCs w:val="20"/>
      <w14:ligatures w14:val="standardContextual"/>
    </w:rPr>
  </w:style>
  <w:style w:type="paragraph" w:customStyle="1" w:styleId="201">
    <w:name w:val="此正文"/>
    <w:basedOn w:val="1"/>
    <w:qFormat/>
    <w:uiPriority w:val="99"/>
    <w:pPr>
      <w:spacing w:line="360" w:lineRule="auto"/>
      <w:ind w:firstLine="200" w:firstLineChars="200"/>
    </w:pPr>
    <w:rPr>
      <w:sz w:val="24"/>
      <w:szCs w:val="24"/>
    </w:rPr>
  </w:style>
  <w:style w:type="paragraph" w:customStyle="1" w:styleId="202">
    <w:name w:val="xl25"/>
    <w:basedOn w:val="1"/>
    <w:qFormat/>
    <w:uiPriority w:val="0"/>
    <w:pPr>
      <w:widowControl/>
      <w:spacing w:before="100" w:beforeAutospacing="1" w:after="100" w:afterAutospacing="1"/>
      <w:jc w:val="center"/>
    </w:pPr>
    <w:rPr>
      <w:rFonts w:ascii="楷体_GB2312" w:hAnsi="宋体" w:eastAsia="楷体_GB2312"/>
      <w:kern w:val="0"/>
      <w:sz w:val="24"/>
      <w:szCs w:val="24"/>
    </w:rPr>
  </w:style>
  <w:style w:type="paragraph" w:customStyle="1" w:styleId="203">
    <w:name w:val="彩色列表 - 强调文字颜色 11"/>
    <w:basedOn w:val="1"/>
    <w:link w:val="535"/>
    <w:qFormat/>
    <w:uiPriority w:val="0"/>
    <w:pPr>
      <w:ind w:firstLine="420" w:firstLineChars="200"/>
    </w:pPr>
    <w:rPr>
      <w:rFonts w:ascii="Calibri" w:hAnsi="Calibri"/>
    </w:rPr>
  </w:style>
  <w:style w:type="paragraph" w:customStyle="1" w:styleId="204">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05">
    <w:name w:val="z-窗体底端 Char"/>
    <w:link w:val="206"/>
    <w:qFormat/>
    <w:locked/>
    <w:uiPriority w:val="0"/>
    <w:rPr>
      <w:rFonts w:ascii="Arial" w:hAnsi="Arial" w:eastAsia="宋体" w:cs="Times New Roman"/>
      <w:vanish/>
      <w:kern w:val="0"/>
      <w:sz w:val="20"/>
      <w:szCs w:val="20"/>
    </w:rPr>
  </w:style>
  <w:style w:type="paragraph" w:customStyle="1" w:styleId="206">
    <w:name w:val="_Style 54"/>
    <w:basedOn w:val="1"/>
    <w:next w:val="1"/>
    <w:link w:val="205"/>
    <w:qFormat/>
    <w:uiPriority w:val="0"/>
    <w:pPr>
      <w:widowControl/>
      <w:pBdr>
        <w:top w:val="single" w:color="auto" w:sz="6" w:space="1"/>
      </w:pBdr>
      <w:jc w:val="center"/>
    </w:pPr>
    <w:rPr>
      <w:rFonts w:ascii="Arial" w:hAnsi="Arial"/>
      <w:vanish/>
      <w:kern w:val="0"/>
      <w:sz w:val="20"/>
      <w:szCs w:val="20"/>
      <w14:ligatures w14:val="standardContextual"/>
    </w:rPr>
  </w:style>
  <w:style w:type="paragraph" w:customStyle="1" w:styleId="207">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208">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209">
    <w:name w:val="纯文本_0"/>
    <w:basedOn w:val="1"/>
    <w:qFormat/>
    <w:uiPriority w:val="99"/>
    <w:pPr>
      <w:spacing w:line="440" w:lineRule="exact"/>
      <w:ind w:firstLine="100" w:firstLineChars="100"/>
    </w:pPr>
    <w:rPr>
      <w:rFonts w:ascii="宋体" w:hAnsi="Courier New"/>
      <w:szCs w:val="21"/>
    </w:rPr>
  </w:style>
  <w:style w:type="paragraph" w:customStyle="1" w:styleId="210">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1">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2">
    <w:name w:val="font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13">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14">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5">
    <w:name w:val="xl10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16">
    <w:name w:val="xl10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7">
    <w:name w:val="xl10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18">
    <w:name w:val="xl10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9">
    <w:name w:val="xl1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0">
    <w:name w:val="xl111"/>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21">
    <w:name w:val="xl11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222">
    <w:name w:val="xl113"/>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23">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24">
    <w:name w:val="xl115"/>
    <w:basedOn w:val="1"/>
    <w:qFormat/>
    <w:uiPriority w:val="99"/>
    <w:pPr>
      <w:widowControl/>
      <w:shd w:val="clear" w:color="auto" w:fill="FFFFFF"/>
      <w:spacing w:before="100" w:beforeAutospacing="1" w:after="100" w:afterAutospacing="1"/>
      <w:jc w:val="center"/>
    </w:pPr>
    <w:rPr>
      <w:rFonts w:ascii="宋体" w:hAnsi="宋体" w:cs="宋体"/>
      <w:b/>
      <w:bCs/>
      <w:color w:val="000000"/>
      <w:kern w:val="0"/>
      <w:sz w:val="32"/>
      <w:szCs w:val="32"/>
    </w:rPr>
  </w:style>
  <w:style w:type="paragraph" w:customStyle="1" w:styleId="225">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26">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27">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28">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29">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kern w:val="0"/>
      <w:sz w:val="20"/>
      <w:szCs w:val="20"/>
    </w:rPr>
  </w:style>
  <w:style w:type="paragraph" w:customStyle="1" w:styleId="230">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31">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32">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33">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34">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35">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6">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37">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8">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39">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40">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1">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42">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3">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4">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45">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47">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48">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49">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0">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1">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2">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3">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4">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255">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56">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257">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8">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59">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60">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261">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262">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63">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64">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65">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266">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kern w:val="0"/>
      <w:sz w:val="20"/>
      <w:szCs w:val="20"/>
    </w:rPr>
  </w:style>
  <w:style w:type="character" w:customStyle="1" w:styleId="267">
    <w:name w:val="列表段落 字符"/>
    <w:link w:val="268"/>
    <w:qFormat/>
    <w:locked/>
    <w:uiPriority w:val="34"/>
    <w:rPr>
      <w:rFonts w:ascii="宋体" w:hAnsi="宋体" w:eastAsia="宋体" w:cs="宋体"/>
      <w:kern w:val="0"/>
      <w:sz w:val="24"/>
    </w:rPr>
  </w:style>
  <w:style w:type="paragraph" w:customStyle="1" w:styleId="268">
    <w:name w:val="列表段落1"/>
    <w:basedOn w:val="1"/>
    <w:next w:val="104"/>
    <w:link w:val="267"/>
    <w:qFormat/>
    <w:uiPriority w:val="34"/>
    <w:pPr>
      <w:widowControl/>
      <w:ind w:firstLine="420" w:firstLineChars="200"/>
      <w:jc w:val="left"/>
    </w:pPr>
    <w:rPr>
      <w:rFonts w:ascii="宋体" w:hAnsi="宋体" w:cs="宋体"/>
      <w:kern w:val="0"/>
      <w:sz w:val="24"/>
      <w:szCs w:val="24"/>
      <w14:ligatures w14:val="standardContextual"/>
    </w:rPr>
  </w:style>
  <w:style w:type="paragraph" w:customStyle="1" w:styleId="269">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eastAsia="楷体_GB2312"/>
      <w:kern w:val="0"/>
      <w:sz w:val="24"/>
      <w:szCs w:val="24"/>
    </w:rPr>
  </w:style>
  <w:style w:type="paragraph" w:customStyle="1" w:styleId="270">
    <w:name w:val="图片居中"/>
    <w:basedOn w:val="1"/>
    <w:qFormat/>
    <w:uiPriority w:val="99"/>
    <w:pPr>
      <w:keepNext/>
      <w:jc w:val="center"/>
    </w:pPr>
  </w:style>
  <w:style w:type="paragraph" w:customStyle="1" w:styleId="271">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72">
    <w:name w:val="图片题注"/>
    <w:basedOn w:val="19"/>
    <w:qFormat/>
    <w:uiPriority w:val="99"/>
  </w:style>
  <w:style w:type="paragraph" w:customStyle="1" w:styleId="273">
    <w:name w:val="表格正文"/>
    <w:basedOn w:val="1"/>
    <w:qFormat/>
    <w:uiPriority w:val="99"/>
    <w:pPr>
      <w:widowControl/>
      <w:jc w:val="left"/>
    </w:pPr>
    <w:rPr>
      <w:rFonts w:ascii="宋体" w:hAnsi="宋体" w:cs="宋体"/>
      <w:szCs w:val="28"/>
    </w:rPr>
  </w:style>
  <w:style w:type="paragraph" w:customStyle="1" w:styleId="274">
    <w:name w:val="修订1"/>
    <w:qFormat/>
    <w:uiPriority w:val="99"/>
    <w:rPr>
      <w:rFonts w:ascii="Times New Roman" w:hAnsi="Times New Roman" w:eastAsia="宋体" w:cs="Times New Roman"/>
      <w:kern w:val="2"/>
      <w:sz w:val="21"/>
      <w:szCs w:val="22"/>
      <w:lang w:val="en-US" w:eastAsia="zh-CN" w:bidi="ar-SA"/>
    </w:rPr>
  </w:style>
  <w:style w:type="paragraph" w:customStyle="1" w:styleId="275">
    <w:name w:val="修订2"/>
    <w:qFormat/>
    <w:uiPriority w:val="99"/>
    <w:rPr>
      <w:rFonts w:ascii="Times New Roman" w:hAnsi="Times New Roman" w:eastAsia="宋体" w:cs="Times New Roman"/>
      <w:kern w:val="2"/>
      <w:sz w:val="21"/>
      <w:szCs w:val="22"/>
      <w:lang w:val="en-US" w:eastAsia="zh-CN" w:bidi="ar-SA"/>
    </w:rPr>
  </w:style>
  <w:style w:type="paragraph" w:customStyle="1" w:styleId="276">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77">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78">
    <w:name w:val="xl6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86">
    <w:name w:val="xl7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7">
    <w:name w:val="xl7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29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1">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2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4">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5">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6">
    <w:name w:val="xl8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7">
    <w:name w:val="xl8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8">
    <w:name w:val="xl8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9">
    <w:name w:val="xl8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00">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8"/>
      <w:szCs w:val="18"/>
    </w:rPr>
  </w:style>
  <w:style w:type="paragraph" w:customStyle="1" w:styleId="301">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2">
    <w:name w:val="xl92"/>
    <w:basedOn w:val="1"/>
    <w:qFormat/>
    <w:uiPriority w:val="0"/>
    <w:pPr>
      <w:widowControl/>
      <w:pBdr>
        <w:left w:val="single" w:color="auto" w:sz="4" w:space="0"/>
      </w:pBdr>
      <w:spacing w:before="100" w:beforeAutospacing="1" w:after="100" w:afterAutospacing="1"/>
      <w:jc w:val="center"/>
    </w:pPr>
    <w:rPr>
      <w:rFonts w:ascii="宋体" w:hAnsi="宋体" w:cs="宋体"/>
      <w:kern w:val="0"/>
      <w:sz w:val="18"/>
      <w:szCs w:val="18"/>
    </w:rPr>
  </w:style>
  <w:style w:type="paragraph" w:customStyle="1" w:styleId="303">
    <w:name w:val="xl93"/>
    <w:basedOn w:val="1"/>
    <w:qFormat/>
    <w:uiPriority w:val="0"/>
    <w:pPr>
      <w:widowControl/>
      <w:pBdr>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4">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305">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6">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07">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8">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9">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10">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1">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2">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3">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4">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16">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17">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8">
    <w:name w:val="修订4"/>
    <w:qFormat/>
    <w:uiPriority w:val="99"/>
    <w:rPr>
      <w:rFonts w:ascii="Times New Roman" w:hAnsi="Times New Roman" w:eastAsia="宋体" w:cs="Times New Roman"/>
      <w:kern w:val="2"/>
      <w:sz w:val="21"/>
      <w:szCs w:val="22"/>
      <w:lang w:val="en-US" w:eastAsia="zh-CN" w:bidi="ar-SA"/>
    </w:rPr>
  </w:style>
  <w:style w:type="character" w:customStyle="1" w:styleId="319">
    <w:name w:val="font21"/>
    <w:basedOn w:val="70"/>
    <w:qFormat/>
    <w:uiPriority w:val="0"/>
    <w:rPr>
      <w:rFonts w:hint="eastAsia" w:ascii="等线" w:hAnsi="等线" w:eastAsia="等线" w:cs="等线"/>
      <w:color w:val="000000"/>
      <w:sz w:val="22"/>
      <w:szCs w:val="22"/>
      <w:u w:val="none"/>
    </w:rPr>
  </w:style>
  <w:style w:type="character" w:customStyle="1" w:styleId="320">
    <w:name w:val="apple-converted-space"/>
    <w:qFormat/>
    <w:uiPriority w:val="0"/>
    <w:rPr>
      <w:rFonts w:hint="default" w:ascii="Times New Roman" w:hAnsi="Times New Roman" w:cs="Times New Roman"/>
    </w:rPr>
  </w:style>
  <w:style w:type="character" w:customStyle="1" w:styleId="321">
    <w:name w:val="正文文本缩进 3 Char1"/>
    <w:basedOn w:val="70"/>
    <w:qFormat/>
    <w:uiPriority w:val="0"/>
    <w:rPr>
      <w:rFonts w:hint="default" w:ascii="Times New Roman" w:hAnsi="Times New Roman" w:eastAsia="宋体" w:cs="Times New Roman"/>
      <w:sz w:val="16"/>
      <w:szCs w:val="16"/>
    </w:rPr>
  </w:style>
  <w:style w:type="character" w:customStyle="1" w:styleId="322">
    <w:name w:val="批注文字 Char1"/>
    <w:basedOn w:val="70"/>
    <w:qFormat/>
    <w:uiPriority w:val="0"/>
    <w:rPr>
      <w:rFonts w:hint="default" w:ascii="Times New Roman" w:hAnsi="Times New Roman" w:eastAsia="宋体" w:cs="Times New Roman"/>
    </w:rPr>
  </w:style>
  <w:style w:type="character" w:customStyle="1" w:styleId="323">
    <w:name w:val="apple-tab-span"/>
    <w:qFormat/>
    <w:uiPriority w:val="0"/>
    <w:rPr>
      <w:rFonts w:hint="default" w:ascii="Times New Roman" w:hAnsi="Times New Roman" w:cs="Times New Roman"/>
    </w:rPr>
  </w:style>
  <w:style w:type="character" w:customStyle="1" w:styleId="324">
    <w:name w:val="font11"/>
    <w:basedOn w:val="70"/>
    <w:qFormat/>
    <w:uiPriority w:val="0"/>
    <w:rPr>
      <w:rFonts w:hint="default" w:ascii="Times New Roman" w:hAnsi="Times New Roman" w:cs="Times New Roman"/>
      <w:color w:val="000000"/>
      <w:sz w:val="20"/>
      <w:szCs w:val="20"/>
      <w:u w:val="none"/>
    </w:rPr>
  </w:style>
  <w:style w:type="character" w:customStyle="1" w:styleId="325">
    <w:name w:val="font31"/>
    <w:basedOn w:val="70"/>
    <w:qFormat/>
    <w:uiPriority w:val="0"/>
    <w:rPr>
      <w:rFonts w:hint="eastAsia" w:ascii="等线" w:hAnsi="等线" w:eastAsia="等线" w:cs="等线"/>
      <w:color w:val="000000"/>
      <w:sz w:val="22"/>
      <w:szCs w:val="22"/>
      <w:u w:val="none"/>
    </w:rPr>
  </w:style>
  <w:style w:type="character" w:customStyle="1" w:styleId="326">
    <w:name w:val="正文文本缩进 Char1"/>
    <w:basedOn w:val="70"/>
    <w:qFormat/>
    <w:uiPriority w:val="0"/>
    <w:rPr>
      <w:rFonts w:hint="default" w:ascii="Times New Roman" w:hAnsi="Times New Roman" w:eastAsia="宋体" w:cs="Times New Roman"/>
    </w:rPr>
  </w:style>
  <w:style w:type="character" w:customStyle="1" w:styleId="327">
    <w:name w:val="正文文本 3 Char1"/>
    <w:basedOn w:val="70"/>
    <w:qFormat/>
    <w:uiPriority w:val="0"/>
    <w:rPr>
      <w:rFonts w:hint="default" w:ascii="Times New Roman" w:hAnsi="Times New Roman" w:eastAsia="宋体" w:cs="Times New Roman"/>
      <w:sz w:val="16"/>
      <w:szCs w:val="16"/>
    </w:rPr>
  </w:style>
  <w:style w:type="character" w:customStyle="1" w:styleId="328">
    <w:name w:val="正文文本 Char1"/>
    <w:basedOn w:val="70"/>
    <w:qFormat/>
    <w:uiPriority w:val="0"/>
    <w:rPr>
      <w:rFonts w:hint="default" w:ascii="Times New Roman" w:hAnsi="Times New Roman" w:eastAsia="宋体" w:cs="Times New Roman"/>
    </w:rPr>
  </w:style>
  <w:style w:type="character" w:customStyle="1" w:styleId="329">
    <w:name w:val="font01"/>
    <w:basedOn w:val="70"/>
    <w:qFormat/>
    <w:uiPriority w:val="0"/>
    <w:rPr>
      <w:rFonts w:hint="eastAsia" w:ascii="宋体" w:hAnsi="宋体" w:eastAsia="宋体" w:cs="宋体"/>
      <w:color w:val="000000"/>
      <w:sz w:val="20"/>
      <w:szCs w:val="20"/>
      <w:u w:val="none"/>
    </w:rPr>
  </w:style>
  <w:style w:type="character" w:customStyle="1" w:styleId="330">
    <w:name w:val="纯文本 Char2"/>
    <w:basedOn w:val="70"/>
    <w:qFormat/>
    <w:uiPriority w:val="0"/>
    <w:rPr>
      <w:rFonts w:hint="eastAsia" w:ascii="宋体" w:hAnsi="Courier New" w:eastAsia="宋体" w:cs="Courier New"/>
      <w:sz w:val="21"/>
      <w:szCs w:val="21"/>
    </w:rPr>
  </w:style>
  <w:style w:type="character" w:customStyle="1" w:styleId="331">
    <w:name w:val="文档结构图 Char1"/>
    <w:basedOn w:val="70"/>
    <w:qFormat/>
    <w:uiPriority w:val="0"/>
    <w:rPr>
      <w:rFonts w:hint="eastAsia" w:ascii="宋体" w:hAnsi="Times New Roman" w:eastAsia="宋体" w:cs="Times New Roman"/>
      <w:sz w:val="18"/>
      <w:szCs w:val="18"/>
    </w:rPr>
  </w:style>
  <w:style w:type="character" w:customStyle="1" w:styleId="332">
    <w:name w:val="纯文本 Char1"/>
    <w:qFormat/>
    <w:uiPriority w:val="0"/>
    <w:rPr>
      <w:rFonts w:hint="eastAsia" w:ascii="宋体" w:hAnsi="Courier New" w:eastAsia="宋体"/>
      <w:sz w:val="21"/>
    </w:rPr>
  </w:style>
  <w:style w:type="character" w:customStyle="1" w:styleId="333">
    <w:name w:val="日期 Char1"/>
    <w:basedOn w:val="70"/>
    <w:qFormat/>
    <w:uiPriority w:val="0"/>
    <w:rPr>
      <w:rFonts w:hint="default" w:ascii="Times New Roman" w:hAnsi="Times New Roman" w:eastAsia="宋体" w:cs="Times New Roman"/>
    </w:rPr>
  </w:style>
  <w:style w:type="character" w:customStyle="1" w:styleId="334">
    <w:name w:val="正文文本缩进 2 Char1"/>
    <w:basedOn w:val="70"/>
    <w:qFormat/>
    <w:uiPriority w:val="0"/>
    <w:rPr>
      <w:rFonts w:hint="default" w:ascii="Times New Roman" w:hAnsi="Times New Roman" w:eastAsia="宋体" w:cs="Times New Roman"/>
    </w:rPr>
  </w:style>
  <w:style w:type="character" w:customStyle="1" w:styleId="335">
    <w:name w:val="批注框文本 Char1"/>
    <w:basedOn w:val="70"/>
    <w:qFormat/>
    <w:uiPriority w:val="0"/>
    <w:rPr>
      <w:rFonts w:hint="default" w:ascii="Times New Roman" w:hAnsi="Times New Roman" w:eastAsia="宋体" w:cs="Times New Roman"/>
      <w:sz w:val="18"/>
      <w:szCs w:val="18"/>
    </w:rPr>
  </w:style>
  <w:style w:type="character" w:customStyle="1" w:styleId="336">
    <w:name w:val="正文文本 2 Char1"/>
    <w:basedOn w:val="70"/>
    <w:qFormat/>
    <w:uiPriority w:val="0"/>
    <w:rPr>
      <w:rFonts w:hint="default" w:ascii="Times New Roman" w:hAnsi="Times New Roman" w:eastAsia="宋体" w:cs="Times New Roman"/>
    </w:rPr>
  </w:style>
  <w:style w:type="character" w:customStyle="1" w:styleId="337">
    <w:name w:val="大黑10.5px"/>
    <w:qFormat/>
    <w:uiPriority w:val="0"/>
    <w:rPr>
      <w:rFonts w:hint="eastAsia" w:ascii="方正大黑简体" w:eastAsia="方正大黑简体"/>
      <w:sz w:val="21"/>
    </w:rPr>
  </w:style>
  <w:style w:type="character" w:customStyle="1" w:styleId="338">
    <w:name w:val="黑简10.5px"/>
    <w:qFormat/>
    <w:uiPriority w:val="0"/>
    <w:rPr>
      <w:rFonts w:hint="eastAsia" w:ascii="方正黑体简体" w:hAnsi="方正黑体简体" w:eastAsia="方正黑体简体"/>
      <w:sz w:val="21"/>
    </w:rPr>
  </w:style>
  <w:style w:type="character" w:customStyle="1" w:styleId="339">
    <w:name w:val="jbox-icon-warning"/>
    <w:basedOn w:val="70"/>
    <w:qFormat/>
    <w:uiPriority w:val="0"/>
    <w:rPr>
      <w:rFonts w:hint="default" w:ascii="Times New Roman" w:hAnsi="Times New Roman" w:cs="Times New Roman"/>
    </w:rPr>
  </w:style>
  <w:style w:type="character" w:customStyle="1" w:styleId="340">
    <w:name w:val="hover9"/>
    <w:qFormat/>
    <w:uiPriority w:val="0"/>
    <w:rPr>
      <w:shd w:val="clear" w:color="auto" w:fill="EEEEEE"/>
    </w:rPr>
  </w:style>
  <w:style w:type="character" w:customStyle="1" w:styleId="341">
    <w:name w:val="hour_pm"/>
    <w:basedOn w:val="70"/>
    <w:qFormat/>
    <w:uiPriority w:val="0"/>
    <w:rPr>
      <w:rFonts w:hint="default" w:ascii="Times New Roman" w:hAnsi="Times New Roman" w:cs="Times New Roman"/>
    </w:rPr>
  </w:style>
  <w:style w:type="character" w:customStyle="1" w:styleId="342">
    <w:name w:val="jbox-icon-info"/>
    <w:basedOn w:val="70"/>
    <w:qFormat/>
    <w:uiPriority w:val="0"/>
    <w:rPr>
      <w:rFonts w:hint="default" w:ascii="Times New Roman" w:hAnsi="Times New Roman" w:cs="Times New Roman"/>
    </w:rPr>
  </w:style>
  <w:style w:type="character" w:customStyle="1" w:styleId="343">
    <w:name w:val="black601"/>
    <w:qFormat/>
    <w:uiPriority w:val="0"/>
    <w:rPr>
      <w:color w:val="666666"/>
    </w:rPr>
  </w:style>
  <w:style w:type="character" w:customStyle="1" w:styleId="344">
    <w:name w:val="hour_am"/>
    <w:basedOn w:val="70"/>
    <w:qFormat/>
    <w:uiPriority w:val="0"/>
    <w:rPr>
      <w:rFonts w:hint="default" w:ascii="Times New Roman" w:hAnsi="Times New Roman" w:cs="Times New Roman"/>
    </w:rPr>
  </w:style>
  <w:style w:type="character" w:customStyle="1" w:styleId="345">
    <w:name w:val="jbox-icon-error"/>
    <w:basedOn w:val="70"/>
    <w:qFormat/>
    <w:uiPriority w:val="0"/>
    <w:rPr>
      <w:rFonts w:hint="default" w:ascii="Times New Roman" w:hAnsi="Times New Roman" w:cs="Times New Roman"/>
    </w:rPr>
  </w:style>
  <w:style w:type="character" w:customStyle="1" w:styleId="346">
    <w:name w:val="jbox-icon-success"/>
    <w:basedOn w:val="70"/>
    <w:qFormat/>
    <w:uiPriority w:val="0"/>
    <w:rPr>
      <w:rFonts w:hint="default" w:ascii="Times New Roman" w:hAnsi="Times New Roman" w:cs="Times New Roman"/>
    </w:rPr>
  </w:style>
  <w:style w:type="character" w:customStyle="1" w:styleId="347">
    <w:name w:val="maywed421"/>
    <w:qFormat/>
    <w:uiPriority w:val="0"/>
    <w:rPr>
      <w:color w:val="366FB6"/>
      <w:u w:val="none"/>
    </w:rPr>
  </w:style>
  <w:style w:type="character" w:customStyle="1" w:styleId="348">
    <w:name w:val="正文文本缩进 字符1"/>
    <w:qFormat/>
    <w:uiPriority w:val="0"/>
    <w:rPr>
      <w:rFonts w:hint="eastAsia" w:ascii="宋体" w:hAnsi="Courier New" w:eastAsia="宋体"/>
      <w:spacing w:val="-4"/>
      <w:kern w:val="2"/>
      <w:sz w:val="18"/>
    </w:rPr>
  </w:style>
  <w:style w:type="character" w:customStyle="1" w:styleId="349">
    <w:name w:val="jbox-icon-question"/>
    <w:basedOn w:val="70"/>
    <w:qFormat/>
    <w:uiPriority w:val="0"/>
    <w:rPr>
      <w:rFonts w:hint="default" w:ascii="Times New Roman" w:hAnsi="Times New Roman" w:cs="Times New Roman"/>
    </w:rPr>
  </w:style>
  <w:style w:type="character" w:customStyle="1" w:styleId="350">
    <w:name w:val="jbox-icon-loading"/>
    <w:basedOn w:val="70"/>
    <w:qFormat/>
    <w:uiPriority w:val="0"/>
    <w:rPr>
      <w:rFonts w:hint="default" w:ascii="Times New Roman" w:hAnsi="Times New Roman" w:cs="Times New Roman"/>
    </w:rPr>
  </w:style>
  <w:style w:type="character" w:customStyle="1" w:styleId="351">
    <w:name w:val="标题 1 Char Char"/>
    <w:qFormat/>
    <w:uiPriority w:val="0"/>
    <w:rPr>
      <w:rFonts w:hint="eastAsia" w:ascii="宋体" w:hAnsi="宋体" w:eastAsia="宋体"/>
      <w:b/>
      <w:spacing w:val="-2"/>
      <w:sz w:val="24"/>
      <w:lang w:val="en-US" w:eastAsia="zh-CN"/>
    </w:rPr>
  </w:style>
  <w:style w:type="character" w:customStyle="1" w:styleId="352">
    <w:name w:val="jbox-icon-none"/>
    <w:qFormat/>
    <w:uiPriority w:val="0"/>
    <w:rPr>
      <w:vanish/>
    </w:rPr>
  </w:style>
  <w:style w:type="character" w:customStyle="1" w:styleId="353">
    <w:name w:val="sub_title s0"/>
    <w:basedOn w:val="70"/>
    <w:qFormat/>
    <w:uiPriority w:val="0"/>
    <w:rPr>
      <w:rFonts w:hint="default" w:ascii="Times New Roman" w:hAnsi="Times New Roman" w:cs="Times New Roman"/>
    </w:rPr>
  </w:style>
  <w:style w:type="character" w:customStyle="1" w:styleId="354">
    <w:name w:val="纯文本 字符2"/>
    <w:qFormat/>
    <w:uiPriority w:val="0"/>
    <w:rPr>
      <w:rFonts w:hint="eastAsia" w:ascii="宋体" w:hAnsi="Courier New" w:eastAsia="宋体"/>
      <w:kern w:val="2"/>
      <w:sz w:val="24"/>
    </w:rPr>
  </w:style>
  <w:style w:type="character" w:customStyle="1" w:styleId="355">
    <w:name w:val="jbox-icon"/>
    <w:basedOn w:val="70"/>
    <w:qFormat/>
    <w:uiPriority w:val="0"/>
    <w:rPr>
      <w:rFonts w:hint="default" w:ascii="Times New Roman" w:hAnsi="Times New Roman" w:cs="Times New Roman"/>
    </w:rPr>
  </w:style>
  <w:style w:type="character" w:customStyle="1" w:styleId="356">
    <w:name w:val="old"/>
    <w:qFormat/>
    <w:uiPriority w:val="0"/>
    <w:rPr>
      <w:color w:val="999999"/>
    </w:rPr>
  </w:style>
  <w:style w:type="character" w:customStyle="1" w:styleId="357">
    <w:name w:val="font41"/>
    <w:basedOn w:val="70"/>
    <w:qFormat/>
    <w:uiPriority w:val="0"/>
    <w:rPr>
      <w:rFonts w:hint="eastAsia" w:ascii="宋体" w:hAnsi="宋体" w:eastAsia="宋体" w:cs="宋体"/>
      <w:b/>
      <w:bCs/>
      <w:color w:val="000000"/>
      <w:sz w:val="24"/>
      <w:szCs w:val="24"/>
      <w:u w:val="none"/>
    </w:rPr>
  </w:style>
  <w:style w:type="character" w:customStyle="1" w:styleId="358">
    <w:name w:val="font12"/>
    <w:basedOn w:val="70"/>
    <w:qFormat/>
    <w:uiPriority w:val="0"/>
    <w:rPr>
      <w:rFonts w:hint="default" w:ascii="Times New Roman" w:hAnsi="Times New Roman" w:cs="Times New Roman"/>
      <w:color w:val="000000"/>
      <w:sz w:val="24"/>
      <w:szCs w:val="24"/>
      <w:u w:val="none"/>
    </w:rPr>
  </w:style>
  <w:style w:type="character" w:customStyle="1" w:styleId="359">
    <w:name w:val="font111"/>
    <w:basedOn w:val="70"/>
    <w:qFormat/>
    <w:uiPriority w:val="0"/>
    <w:rPr>
      <w:rFonts w:hint="eastAsia" w:ascii="宋体" w:hAnsi="宋体" w:eastAsia="宋体" w:cs="宋体"/>
      <w:color w:val="000000"/>
      <w:sz w:val="22"/>
      <w:szCs w:val="22"/>
      <w:u w:val="none"/>
    </w:rPr>
  </w:style>
  <w:style w:type="character" w:customStyle="1" w:styleId="360">
    <w:name w:val="标题 7 字符1"/>
    <w:basedOn w:val="70"/>
    <w:semiHidden/>
    <w:qFormat/>
    <w:uiPriority w:val="9"/>
    <w:rPr>
      <w:b/>
      <w:bCs/>
      <w:sz w:val="24"/>
      <w:szCs w:val="24"/>
    </w:rPr>
  </w:style>
  <w:style w:type="character" w:customStyle="1" w:styleId="361">
    <w:name w:val="标题 8 字符1"/>
    <w:basedOn w:val="70"/>
    <w:semiHidden/>
    <w:qFormat/>
    <w:uiPriority w:val="9"/>
    <w:rPr>
      <w:rFonts w:hint="default" w:ascii="Cambria" w:hAnsi="Cambria" w:eastAsia="宋体" w:cs="Times New Roman"/>
      <w:sz w:val="24"/>
      <w:szCs w:val="24"/>
    </w:rPr>
  </w:style>
  <w:style w:type="character" w:customStyle="1" w:styleId="362">
    <w:name w:val="标题 9 字符1"/>
    <w:basedOn w:val="70"/>
    <w:semiHidden/>
    <w:qFormat/>
    <w:uiPriority w:val="9"/>
    <w:rPr>
      <w:rFonts w:hint="default" w:ascii="Cambria" w:hAnsi="Cambria" w:eastAsia="宋体" w:cs="Times New Roman"/>
      <w:szCs w:val="21"/>
    </w:rPr>
  </w:style>
  <w:style w:type="table" w:customStyle="1" w:styleId="363">
    <w:name w:val="Table Normal"/>
    <w:qFormat/>
    <w:uiPriority w:val="59"/>
    <w:rPr>
      <w:rFonts w:ascii="Times New Roman" w:hAnsi="Times New Roman" w:eastAsia="宋体" w:cs="Times New Roman"/>
    </w:rPr>
    <w:tblPr>
      <w:tblCellMar>
        <w:top w:w="0" w:type="dxa"/>
        <w:left w:w="108" w:type="dxa"/>
        <w:bottom w:w="0" w:type="dxa"/>
        <w:right w:w="108" w:type="dxa"/>
      </w:tblCellMar>
    </w:tblPr>
  </w:style>
  <w:style w:type="table" w:customStyle="1" w:styleId="364">
    <w:name w:val="华信表格(五号)"/>
    <w:basedOn w:val="63"/>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65">
    <w:name w:val="批注主题 Char1"/>
    <w:basedOn w:val="322"/>
    <w:qFormat/>
    <w:uiPriority w:val="0"/>
    <w:rPr>
      <w:rFonts w:hint="default" w:ascii="Times New Roman" w:hAnsi="Times New Roman" w:eastAsia="宋体" w:cs="Times New Roman"/>
      <w:b/>
      <w:bCs/>
    </w:rPr>
  </w:style>
  <w:style w:type="paragraph" w:customStyle="1" w:styleId="366">
    <w:name w:val="Body text|1"/>
    <w:basedOn w:val="1"/>
    <w:qFormat/>
    <w:uiPriority w:val="0"/>
    <w:rPr>
      <w:rFonts w:ascii="等线" w:hAnsi="等线" w:eastAsia="等线"/>
      <w:sz w:val="10"/>
      <w:szCs w:val="10"/>
    </w:rPr>
  </w:style>
  <w:style w:type="paragraph" w:customStyle="1" w:styleId="367">
    <w:name w:val="Picture caption|2"/>
    <w:basedOn w:val="1"/>
    <w:qFormat/>
    <w:uiPriority w:val="0"/>
    <w:rPr>
      <w:rFonts w:ascii="等线" w:hAnsi="等线" w:eastAsia="等线"/>
      <w:sz w:val="10"/>
      <w:szCs w:val="10"/>
      <w:lang w:val="zh-TW" w:eastAsia="zh-TW" w:bidi="zh-TW"/>
    </w:rPr>
  </w:style>
  <w:style w:type="paragraph" w:customStyle="1" w:styleId="368">
    <w:name w:val="Picture caption|1"/>
    <w:basedOn w:val="1"/>
    <w:qFormat/>
    <w:uiPriority w:val="0"/>
    <w:rPr>
      <w:rFonts w:ascii="宋体" w:hAnsi="宋体" w:cs="宋体"/>
      <w:sz w:val="9"/>
      <w:szCs w:val="9"/>
    </w:rPr>
  </w:style>
  <w:style w:type="paragraph" w:customStyle="1" w:styleId="369">
    <w:name w:val="Other|2"/>
    <w:basedOn w:val="1"/>
    <w:qFormat/>
    <w:uiPriority w:val="0"/>
    <w:rPr>
      <w:rFonts w:ascii="宋体" w:hAnsi="宋体" w:cs="宋体"/>
      <w:sz w:val="11"/>
      <w:szCs w:val="11"/>
      <w:lang w:val="zh-TW" w:eastAsia="zh-TW" w:bidi="zh-TW"/>
    </w:rPr>
  </w:style>
  <w:style w:type="paragraph" w:customStyle="1" w:styleId="370">
    <w:name w:val="Other|1"/>
    <w:basedOn w:val="1"/>
    <w:qFormat/>
    <w:uiPriority w:val="0"/>
    <w:rPr>
      <w:rFonts w:ascii="等线" w:hAnsi="等线" w:eastAsia="等线"/>
      <w:b/>
      <w:bCs/>
      <w:sz w:val="9"/>
      <w:szCs w:val="9"/>
      <w:lang w:val="zh-TW" w:eastAsia="zh-TW" w:bidi="zh-TW"/>
    </w:rPr>
  </w:style>
  <w:style w:type="character" w:customStyle="1" w:styleId="371">
    <w:name w:val="font51"/>
    <w:basedOn w:val="70"/>
    <w:qFormat/>
    <w:uiPriority w:val="0"/>
    <w:rPr>
      <w:rFonts w:hint="eastAsia" w:ascii="宋体" w:hAnsi="宋体" w:eastAsia="宋体" w:cs="宋体"/>
      <w:color w:val="000000"/>
      <w:sz w:val="20"/>
      <w:szCs w:val="20"/>
      <w:u w:val="none"/>
      <w:vertAlign w:val="superscript"/>
    </w:rPr>
  </w:style>
  <w:style w:type="paragraph" w:customStyle="1" w:styleId="372">
    <w:name w:val="cover"/>
    <w:link w:val="374"/>
    <w:qFormat/>
    <w:uiPriority w:val="0"/>
    <w:rPr>
      <w:rFonts w:ascii="宋体" w:hAnsi="Cambria" w:eastAsia="宋体" w:cs="宋体"/>
      <w:b/>
      <w:kern w:val="2"/>
      <w:sz w:val="52"/>
      <w:szCs w:val="22"/>
      <w:lang w:val="en-US" w:eastAsia="zh-CN" w:bidi="ar-SA"/>
    </w:rPr>
  </w:style>
  <w:style w:type="paragraph" w:customStyle="1" w:styleId="373">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74">
    <w:name w:val="cover 字符"/>
    <w:basedOn w:val="70"/>
    <w:link w:val="372"/>
    <w:qFormat/>
    <w:uiPriority w:val="0"/>
    <w:rPr>
      <w:rFonts w:ascii="宋体" w:hAnsi="Cambria" w:eastAsia="宋体" w:cs="宋体"/>
      <w:b/>
      <w:sz w:val="52"/>
      <w:szCs w:val="22"/>
      <w14:ligatures w14:val="none"/>
    </w:rPr>
  </w:style>
  <w:style w:type="paragraph" w:customStyle="1" w:styleId="375">
    <w:name w:val="index"/>
    <w:basedOn w:val="45"/>
    <w:link w:val="377"/>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6">
    <w:name w:val="TOC 1 字符"/>
    <w:basedOn w:val="70"/>
    <w:link w:val="45"/>
    <w:qFormat/>
    <w:uiPriority w:val="39"/>
    <w:rPr>
      <w:rFonts w:ascii="Times New Roman" w:hAnsi="Times New Roman" w:eastAsia="宋体" w:cs="Times New Roman"/>
      <w:sz w:val="21"/>
      <w:szCs w:val="22"/>
      <w14:ligatures w14:val="none"/>
    </w:rPr>
  </w:style>
  <w:style w:type="character" w:customStyle="1" w:styleId="377">
    <w:name w:val="index 字符"/>
    <w:basedOn w:val="376"/>
    <w:link w:val="375"/>
    <w:qFormat/>
    <w:uiPriority w:val="0"/>
    <w:rPr>
      <w:rFonts w:ascii="Times New Roman" w:hAnsi="Calibri" w:eastAsia="宋体" w:cs="宋体"/>
      <w:sz w:val="21"/>
      <w:szCs w:val="32"/>
      <w14:ligatures w14:val="none"/>
    </w:rPr>
  </w:style>
  <w:style w:type="paragraph" w:customStyle="1" w:styleId="378">
    <w:name w:val="form"/>
    <w:basedOn w:val="1"/>
    <w:link w:val="379"/>
    <w:qFormat/>
    <w:uiPriority w:val="0"/>
    <w:pPr>
      <w:wordWrap w:val="0"/>
      <w:snapToGrid w:val="0"/>
      <w:jc w:val="center"/>
    </w:pPr>
    <w:rPr>
      <w:rFonts w:ascii="宋体" w:hAnsi="Calibri" w:cs="宋体"/>
      <w:szCs w:val="21"/>
    </w:rPr>
  </w:style>
  <w:style w:type="character" w:customStyle="1" w:styleId="379">
    <w:name w:val="form 字符"/>
    <w:basedOn w:val="70"/>
    <w:link w:val="378"/>
    <w:qFormat/>
    <w:uiPriority w:val="0"/>
    <w:rPr>
      <w:rFonts w:ascii="宋体" w:hAnsi="Calibri" w:eastAsia="宋体" w:cs="宋体"/>
      <w:sz w:val="21"/>
      <w:szCs w:val="21"/>
      <w14:ligatures w14:val="none"/>
    </w:rPr>
  </w:style>
  <w:style w:type="paragraph" w:customStyle="1" w:styleId="380">
    <w:name w:val="序号列"/>
    <w:basedOn w:val="104"/>
    <w:link w:val="381"/>
    <w:qFormat/>
    <w:uiPriority w:val="0"/>
    <w:pPr>
      <w:wordWrap w:val="0"/>
      <w:spacing w:line="360" w:lineRule="auto"/>
      <w:ind w:left="0"/>
      <w:contextualSpacing w:val="0"/>
    </w:pPr>
    <w:rPr>
      <w:rFonts w:ascii="宋体" w:hAnsi="Calibri" w:cs="宋体"/>
      <w:kern w:val="0"/>
    </w:rPr>
  </w:style>
  <w:style w:type="character" w:customStyle="1" w:styleId="381">
    <w:name w:val="序号列 字符"/>
    <w:basedOn w:val="267"/>
    <w:link w:val="380"/>
    <w:qFormat/>
    <w:uiPriority w:val="0"/>
    <w:rPr>
      <w:rFonts w:ascii="宋体" w:hAnsi="Calibri" w:eastAsia="宋体" w:cs="宋体"/>
      <w:kern w:val="0"/>
      <w:sz w:val="21"/>
      <w:szCs w:val="22"/>
      <w14:ligatures w14:val="none"/>
    </w:rPr>
  </w:style>
  <w:style w:type="paragraph" w:customStyle="1" w:styleId="382">
    <w:name w:val="加粗子列表"/>
    <w:basedOn w:val="104"/>
    <w:link w:val="384"/>
    <w:qFormat/>
    <w:uiPriority w:val="0"/>
    <w:pPr>
      <w:numPr>
        <w:ilvl w:val="0"/>
        <w:numId w:val="4"/>
      </w:numPr>
      <w:wordWrap w:val="0"/>
      <w:spacing w:line="360" w:lineRule="auto"/>
      <w:ind w:firstLine="0"/>
      <w:contextualSpacing w:val="0"/>
    </w:pPr>
    <w:rPr>
      <w:rFonts w:ascii="宋体" w:hAnsi="Calibri" w:cs="宋体"/>
      <w:b/>
      <w:bCs/>
      <w:kern w:val="0"/>
    </w:rPr>
  </w:style>
  <w:style w:type="paragraph" w:customStyle="1" w:styleId="383">
    <w:name w:val="子列2"/>
    <w:basedOn w:val="382"/>
    <w:link w:val="386"/>
    <w:qFormat/>
    <w:uiPriority w:val="0"/>
    <w:pPr>
      <w:numPr>
        <w:ilvl w:val="1"/>
        <w:numId w:val="0"/>
      </w:numPr>
    </w:pPr>
    <w:rPr>
      <w:b w:val="0"/>
      <w:bCs w:val="0"/>
    </w:rPr>
  </w:style>
  <w:style w:type="character" w:customStyle="1" w:styleId="384">
    <w:name w:val="加粗子列表 字符"/>
    <w:basedOn w:val="267"/>
    <w:link w:val="382"/>
    <w:qFormat/>
    <w:uiPriority w:val="0"/>
    <w:rPr>
      <w:rFonts w:ascii="宋体" w:hAnsi="Calibri" w:eastAsia="宋体" w:cs="宋体"/>
      <w:b/>
      <w:bCs/>
      <w:kern w:val="0"/>
      <w:sz w:val="21"/>
      <w:szCs w:val="22"/>
      <w14:ligatures w14:val="none"/>
    </w:rPr>
  </w:style>
  <w:style w:type="character" w:customStyle="1" w:styleId="385">
    <w:name w:val="纯文本 Char"/>
    <w:link w:val="174"/>
    <w:qFormat/>
    <w:uiPriority w:val="0"/>
    <w:rPr>
      <w:rFonts w:ascii="宋体" w:hAnsi="Courier New" w:eastAsia="Times New Roman" w:cs="Times New Roman"/>
      <w:sz w:val="30"/>
      <w14:ligatures w14:val="none"/>
    </w:rPr>
  </w:style>
  <w:style w:type="character" w:customStyle="1" w:styleId="386">
    <w:name w:val="子列2 字符"/>
    <w:basedOn w:val="384"/>
    <w:link w:val="383"/>
    <w:qFormat/>
    <w:uiPriority w:val="0"/>
    <w:rPr>
      <w:rFonts w:ascii="宋体" w:hAnsi="Calibri" w:eastAsia="宋体" w:cs="宋体"/>
      <w:b w:val="0"/>
      <w:bCs w:val="0"/>
      <w:kern w:val="0"/>
      <w:sz w:val="21"/>
      <w:szCs w:val="22"/>
      <w14:ligatures w14:val="none"/>
    </w:rPr>
  </w:style>
  <w:style w:type="paragraph" w:customStyle="1" w:styleId="387">
    <w:name w:val="文本块2"/>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388">
    <w:name w:val="纯文本3"/>
    <w:basedOn w:val="1"/>
    <w:qFormat/>
    <w:uiPriority w:val="99"/>
    <w:pPr>
      <w:adjustRightInd w:val="0"/>
      <w:textAlignment w:val="baseline"/>
    </w:pPr>
    <w:rPr>
      <w:rFonts w:ascii="宋体" w:hAnsi="Courier New" w:eastAsia="楷体_GB2312"/>
      <w:sz w:val="26"/>
      <w:szCs w:val="20"/>
    </w:rPr>
  </w:style>
  <w:style w:type="paragraph" w:customStyle="1" w:styleId="389">
    <w:name w:val="纯文本2"/>
    <w:basedOn w:val="1"/>
    <w:qFormat/>
    <w:uiPriority w:val="0"/>
    <w:rPr>
      <w:rFonts w:ascii="宋体" w:hAnsi="Courier New" w:eastAsia="仿宋_GB2312"/>
      <w:sz w:val="30"/>
      <w:szCs w:val="24"/>
    </w:rPr>
  </w:style>
  <w:style w:type="paragraph" w:customStyle="1" w:styleId="390">
    <w:name w:val="Body Text Indent1"/>
    <w:basedOn w:val="1"/>
    <w:qFormat/>
    <w:uiPriority w:val="99"/>
    <w:pPr>
      <w:spacing w:line="200" w:lineRule="exact"/>
      <w:ind w:firstLine="301"/>
    </w:pPr>
    <w:rPr>
      <w:rFonts w:ascii="宋体" w:hAnsi="Courier New"/>
      <w:spacing w:val="-4"/>
      <w:kern w:val="0"/>
      <w:sz w:val="18"/>
      <w:szCs w:val="24"/>
    </w:rPr>
  </w:style>
  <w:style w:type="character" w:customStyle="1" w:styleId="391">
    <w:name w:val="批注框文本 Char"/>
    <w:basedOn w:val="70"/>
    <w:link w:val="392"/>
    <w:qFormat/>
    <w:uiPriority w:val="0"/>
    <w:rPr>
      <w:rFonts w:ascii="Calibri" w:hAnsi="Calibri"/>
      <w:sz w:val="18"/>
      <w:szCs w:val="18"/>
    </w:rPr>
  </w:style>
  <w:style w:type="paragraph" w:customStyle="1" w:styleId="392">
    <w:name w:val="批注框文本1"/>
    <w:basedOn w:val="1"/>
    <w:link w:val="391"/>
    <w:qFormat/>
    <w:uiPriority w:val="0"/>
    <w:rPr>
      <w:rFonts w:ascii="Calibri" w:hAnsi="Calibri" w:eastAsiaTheme="minorEastAsia" w:cstheme="minorBidi"/>
      <w:sz w:val="18"/>
      <w:szCs w:val="18"/>
      <w14:ligatures w14:val="standardContextual"/>
    </w:rPr>
  </w:style>
  <w:style w:type="paragraph" w:customStyle="1" w:styleId="393">
    <w:name w:val="纯文本5"/>
    <w:basedOn w:val="1"/>
    <w:qFormat/>
    <w:uiPriority w:val="0"/>
    <w:rPr>
      <w:rFonts w:ascii="宋体" w:hAnsi="Courier New" w:eastAsia="仿宋_GB2312"/>
      <w:sz w:val="30"/>
      <w:szCs w:val="24"/>
    </w:rPr>
  </w:style>
  <w:style w:type="paragraph" w:customStyle="1" w:styleId="394">
    <w:name w:val="附件格式"/>
    <w:basedOn w:val="1"/>
    <w:link w:val="395"/>
    <w:qFormat/>
    <w:uiPriority w:val="0"/>
    <w:pPr>
      <w:wordWrap w:val="0"/>
      <w:spacing w:line="360" w:lineRule="auto"/>
      <w:ind w:firstLine="200" w:firstLineChars="200"/>
    </w:pPr>
    <w:rPr>
      <w:rFonts w:ascii="宋体" w:hAnsi="Calibri" w:cs="宋体"/>
      <w:sz w:val="28"/>
    </w:rPr>
  </w:style>
  <w:style w:type="character" w:customStyle="1" w:styleId="395">
    <w:name w:val="附件格式 字符"/>
    <w:basedOn w:val="70"/>
    <w:link w:val="394"/>
    <w:qFormat/>
    <w:uiPriority w:val="0"/>
    <w:rPr>
      <w:rFonts w:ascii="宋体" w:hAnsi="Calibri" w:eastAsia="宋体" w:cs="宋体"/>
      <w:sz w:val="28"/>
      <w:szCs w:val="22"/>
      <w14:ligatures w14:val="none"/>
    </w:rPr>
  </w:style>
  <w:style w:type="paragraph" w:customStyle="1" w:styleId="396">
    <w:name w:val="大纲"/>
    <w:next w:val="1"/>
    <w:link w:val="397"/>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7">
    <w:name w:val="大纲 字符"/>
    <w:basedOn w:val="70"/>
    <w:link w:val="396"/>
    <w:qFormat/>
    <w:uiPriority w:val="0"/>
    <w:rPr>
      <w:rFonts w:ascii="宋体" w:hAnsi="Calibri" w:eastAsia="宋体" w:cs="宋体"/>
      <w:b/>
      <w:bCs/>
      <w:sz w:val="24"/>
      <w:szCs w:val="22"/>
      <w14:ligatures w14:val="none"/>
    </w:rPr>
  </w:style>
  <w:style w:type="character" w:customStyle="1" w:styleId="398">
    <w:name w:val="fontstyle01"/>
    <w:qFormat/>
    <w:uiPriority w:val="0"/>
    <w:rPr>
      <w:rFonts w:hint="eastAsia" w:ascii="宋体" w:hAnsi="宋体" w:eastAsia="宋体"/>
      <w:color w:val="000000"/>
      <w:sz w:val="44"/>
      <w:szCs w:val="44"/>
    </w:rPr>
  </w:style>
  <w:style w:type="character" w:customStyle="1" w:styleId="399">
    <w:name w:val="bookmark-item"/>
    <w:basedOn w:val="70"/>
    <w:qFormat/>
    <w:uiPriority w:val="0"/>
  </w:style>
  <w:style w:type="character" w:customStyle="1" w:styleId="400">
    <w:name w:val="Body Text Indent Char Char"/>
    <w:basedOn w:val="70"/>
    <w:link w:val="401"/>
    <w:qFormat/>
    <w:uiPriority w:val="0"/>
  </w:style>
  <w:style w:type="paragraph" w:customStyle="1" w:styleId="401">
    <w:name w:val="正文文本缩进1"/>
    <w:basedOn w:val="1"/>
    <w:link w:val="400"/>
    <w:qFormat/>
    <w:uiPriority w:val="0"/>
    <w:pPr>
      <w:spacing w:line="200" w:lineRule="exact"/>
      <w:ind w:firstLine="301"/>
    </w:pPr>
    <w:rPr>
      <w:rFonts w:asciiTheme="minorHAnsi" w:hAnsiTheme="minorHAnsi" w:eastAsiaTheme="minorEastAsia" w:cstheme="minorBidi"/>
      <w:sz w:val="22"/>
      <w:szCs w:val="24"/>
      <w14:ligatures w14:val="standardContextual"/>
    </w:rPr>
  </w:style>
  <w:style w:type="paragraph" w:customStyle="1" w:styleId="402">
    <w:name w:val="段"/>
    <w:link w:val="42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403">
    <w:name w:val="Placeholder Text"/>
    <w:basedOn w:val="70"/>
    <w:qFormat/>
    <w:uiPriority w:val="99"/>
    <w:rPr>
      <w:color w:val="808080"/>
    </w:rPr>
  </w:style>
  <w:style w:type="paragraph" w:customStyle="1" w:styleId="404">
    <w:name w:val="Char Char1"/>
    <w:basedOn w:val="1"/>
    <w:qFormat/>
    <w:uiPriority w:val="0"/>
    <w:pPr>
      <w:spacing w:line="360" w:lineRule="auto"/>
      <w:ind w:firstLine="200" w:firstLineChars="200"/>
    </w:pPr>
    <w:rPr>
      <w:rFonts w:ascii="宋体" w:hAnsi="宋体" w:cs="宋体"/>
      <w:sz w:val="24"/>
      <w:szCs w:val="24"/>
    </w:rPr>
  </w:style>
  <w:style w:type="paragraph" w:customStyle="1" w:styleId="405">
    <w:name w:val="4需求"/>
    <w:next w:val="1"/>
    <w:link w:val="407"/>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406">
    <w:name w:val="3需求"/>
    <w:next w:val="405"/>
    <w:link w:val="409"/>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7">
    <w:name w:val="4需求 字符"/>
    <w:basedOn w:val="70"/>
    <w:link w:val="405"/>
    <w:qFormat/>
    <w:uiPriority w:val="0"/>
    <w:rPr>
      <w:rFonts w:ascii="宋体" w:hAnsi="Calibri" w:eastAsia="宋体" w:cs="宋体"/>
      <w:b/>
      <w:bCs/>
      <w:sz w:val="21"/>
      <w:szCs w:val="22"/>
      <w14:ligatures w14:val="none"/>
    </w:rPr>
  </w:style>
  <w:style w:type="paragraph" w:customStyle="1" w:styleId="408">
    <w:name w:val="2需求"/>
    <w:next w:val="1"/>
    <w:link w:val="411"/>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9">
    <w:name w:val="3需求 字符"/>
    <w:basedOn w:val="70"/>
    <w:link w:val="406"/>
    <w:qFormat/>
    <w:uiPriority w:val="0"/>
    <w:rPr>
      <w:rFonts w:ascii="宋体" w:hAnsi="Calibri" w:eastAsia="宋体" w:cs="宋体"/>
      <w:b/>
      <w:bCs/>
      <w:sz w:val="24"/>
      <w:szCs w:val="22"/>
      <w14:ligatures w14:val="none"/>
    </w:rPr>
  </w:style>
  <w:style w:type="paragraph" w:customStyle="1" w:styleId="410">
    <w:name w:val="1需求"/>
    <w:next w:val="1"/>
    <w:link w:val="412"/>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11">
    <w:name w:val="2需求 字符"/>
    <w:basedOn w:val="70"/>
    <w:link w:val="408"/>
    <w:qFormat/>
    <w:uiPriority w:val="0"/>
    <w:rPr>
      <w:rFonts w:ascii="宋体" w:hAnsi="Calibri" w:eastAsia="宋体" w:cs="宋体"/>
      <w:b/>
      <w:bCs/>
      <w:sz w:val="24"/>
      <w:szCs w:val="22"/>
      <w14:ligatures w14:val="none"/>
    </w:rPr>
  </w:style>
  <w:style w:type="character" w:customStyle="1" w:styleId="412">
    <w:name w:val="1需求 字符"/>
    <w:basedOn w:val="70"/>
    <w:link w:val="410"/>
    <w:qFormat/>
    <w:uiPriority w:val="0"/>
    <w:rPr>
      <w:rFonts w:ascii="宋体" w:hAnsi="Calibri" w:eastAsia="宋体" w:cs="宋体"/>
      <w:b/>
      <w:bCs/>
      <w:sz w:val="28"/>
      <w:szCs w:val="22"/>
      <w14:ligatures w14:val="none"/>
    </w:rPr>
  </w:style>
  <w:style w:type="paragraph" w:customStyle="1" w:styleId="413">
    <w:name w:val="国普正文"/>
    <w:basedOn w:val="1"/>
    <w:qFormat/>
    <w:uiPriority w:val="0"/>
    <w:pPr>
      <w:spacing w:line="360" w:lineRule="auto"/>
      <w:ind w:firstLine="600" w:firstLineChars="200"/>
    </w:pPr>
    <w:rPr>
      <w:rFonts w:ascii="仿宋_GB2312" w:hAnsi="Calibri" w:eastAsia="仿宋_GB2312"/>
      <w:sz w:val="30"/>
      <w:szCs w:val="30"/>
    </w:rPr>
  </w:style>
  <w:style w:type="character" w:customStyle="1" w:styleId="414">
    <w:name w:val="批注框文本 字符1"/>
    <w:qFormat/>
    <w:uiPriority w:val="0"/>
    <w:rPr>
      <w:rFonts w:ascii="Times New Roman" w:hAnsi="Times New Roman" w:eastAsia="宋体" w:cs="Times New Roman"/>
      <w:sz w:val="18"/>
      <w:szCs w:val="18"/>
    </w:rPr>
  </w:style>
  <w:style w:type="character" w:customStyle="1" w:styleId="415">
    <w:name w:val="页眉 字符1"/>
    <w:qFormat/>
    <w:uiPriority w:val="99"/>
    <w:rPr>
      <w:rFonts w:ascii="Times New Roman" w:hAnsi="Times New Roman" w:eastAsia="宋体" w:cs="Times New Roman"/>
      <w:sz w:val="18"/>
      <w:szCs w:val="18"/>
    </w:rPr>
  </w:style>
  <w:style w:type="character" w:customStyle="1" w:styleId="416">
    <w:name w:val="v0066991"/>
    <w:qFormat/>
    <w:uiPriority w:val="0"/>
    <w:rPr>
      <w:rFonts w:ascii="Arial" w:hAnsi="Arial" w:eastAsia="宋体" w:cs="Times New Roman"/>
      <w:color w:val="000000"/>
      <w:sz w:val="26"/>
      <w:u w:val="none"/>
    </w:rPr>
  </w:style>
  <w:style w:type="character" w:customStyle="1" w:styleId="417">
    <w:name w:val="正文2 Char"/>
    <w:link w:val="184"/>
    <w:qFormat/>
    <w:uiPriority w:val="0"/>
    <w:rPr>
      <w:rFonts w:ascii="Times New Roman" w:hAnsi="Times New Roman" w:eastAsia="宋体" w:cs="Times New Roman"/>
      <w:sz w:val="24"/>
      <w:szCs w:val="20"/>
      <w14:ligatures w14:val="none"/>
    </w:rPr>
  </w:style>
  <w:style w:type="character" w:customStyle="1" w:styleId="418">
    <w:name w:val="Char Char7"/>
    <w:qFormat/>
    <w:uiPriority w:val="0"/>
    <w:rPr>
      <w:rFonts w:ascii="Cambria" w:hAnsi="Cambria" w:eastAsia="仿宋_GB2312" w:cs="Times New Roman"/>
      <w:b/>
      <w:kern w:val="2"/>
      <w:sz w:val="28"/>
    </w:rPr>
  </w:style>
  <w:style w:type="character" w:customStyle="1" w:styleId="419">
    <w:name w:val="Subtle Reference1"/>
    <w:qFormat/>
    <w:uiPriority w:val="0"/>
    <w:rPr>
      <w:rFonts w:ascii="Calibri" w:hAnsi="Calibri" w:eastAsia="宋体" w:cs="Times New Roman"/>
      <w:smallCaps/>
      <w:color w:val="C0504D"/>
      <w:u w:val="single"/>
    </w:rPr>
  </w:style>
  <w:style w:type="character" w:customStyle="1" w:styleId="420">
    <w:name w:val="正文首行缩进 Char"/>
    <w:qFormat/>
    <w:uiPriority w:val="0"/>
    <w:rPr>
      <w:rFonts w:ascii="Times New Roman" w:hAnsi="Times New Roman" w:eastAsia="仿宋_GB2312" w:cs="Times New Roman"/>
      <w:kern w:val="2"/>
      <w:sz w:val="21"/>
      <w:szCs w:val="24"/>
    </w:rPr>
  </w:style>
  <w:style w:type="character" w:customStyle="1" w:styleId="421">
    <w:name w:val="段 Char"/>
    <w:link w:val="402"/>
    <w:qFormat/>
    <w:uiPriority w:val="0"/>
    <w:rPr>
      <w:rFonts w:ascii="宋体" w:hAnsi="Times New Roman" w:eastAsia="宋体" w:cs="Times New Roman"/>
      <w:kern w:val="0"/>
      <w:sz w:val="21"/>
      <w:szCs w:val="20"/>
      <w14:ligatures w14:val="none"/>
    </w:rPr>
  </w:style>
  <w:style w:type="character" w:customStyle="1" w:styleId="422">
    <w:name w:val="样式1 Char Char"/>
    <w:link w:val="160"/>
    <w:qFormat/>
    <w:uiPriority w:val="0"/>
    <w:rPr>
      <w:rFonts w:ascii="Calibri" w:hAnsi="Calibri" w:eastAsia="宋体" w:cs="Times New Roman"/>
      <w:b/>
      <w:i/>
      <w:kern w:val="0"/>
      <w:sz w:val="24"/>
      <w:szCs w:val="21"/>
      <w:u w:val="thick"/>
    </w:rPr>
  </w:style>
  <w:style w:type="character" w:customStyle="1" w:styleId="423">
    <w:name w:val="17"/>
    <w:qFormat/>
    <w:uiPriority w:val="0"/>
    <w:rPr>
      <w:rFonts w:hint="default" w:ascii="Calibri" w:hAnsi="Calibri" w:eastAsia="宋体" w:cs="Times New Roman"/>
      <w:sz w:val="21"/>
      <w:szCs w:val="21"/>
    </w:rPr>
  </w:style>
  <w:style w:type="character" w:customStyle="1" w:styleId="424">
    <w:name w:val="标题 6 Char1"/>
    <w:qFormat/>
    <w:uiPriority w:val="0"/>
    <w:rPr>
      <w:rFonts w:ascii="Arial" w:hAnsi="Arial" w:eastAsia="黑体" w:cs="Times New Roman"/>
      <w:b/>
      <w:kern w:val="2"/>
      <w:sz w:val="24"/>
    </w:rPr>
  </w:style>
  <w:style w:type="character" w:customStyle="1" w:styleId="425">
    <w:name w:val="自定义正文 Char Char"/>
    <w:qFormat/>
    <w:uiPriority w:val="0"/>
    <w:rPr>
      <w:rFonts w:ascii="Calibri" w:hAnsi="Calibri" w:eastAsia="宋体" w:cs="Times New Roman"/>
      <w:sz w:val="24"/>
    </w:rPr>
  </w:style>
  <w:style w:type="character" w:customStyle="1" w:styleId="426">
    <w:name w:val="正文文本 Char3"/>
    <w:qFormat/>
    <w:uiPriority w:val="0"/>
    <w:rPr>
      <w:rFonts w:ascii="Times New Roman" w:hAnsi="Times New Roman" w:eastAsia="宋体" w:cs="Times New Roman"/>
      <w:sz w:val="20"/>
      <w:szCs w:val="20"/>
    </w:rPr>
  </w:style>
  <w:style w:type="character" w:customStyle="1" w:styleId="427">
    <w:name w:val="标题 2 Char1"/>
    <w:qFormat/>
    <w:uiPriority w:val="0"/>
    <w:rPr>
      <w:rFonts w:ascii="仿宋_GB2312" w:hAnsi="Calibri" w:eastAsia="仿宋_GB2312" w:cs="Times New Roman"/>
      <w:sz w:val="28"/>
    </w:rPr>
  </w:style>
  <w:style w:type="character" w:customStyle="1" w:styleId="428">
    <w:name w:val="批注引用111"/>
    <w:qFormat/>
    <w:uiPriority w:val="0"/>
    <w:rPr>
      <w:rFonts w:ascii="Calibri" w:hAnsi="Calibri" w:eastAsia="宋体" w:cs="Times New Roman"/>
      <w:sz w:val="21"/>
      <w:szCs w:val="21"/>
    </w:rPr>
  </w:style>
  <w:style w:type="character" w:customStyle="1" w:styleId="429">
    <w:name w:val="blue"/>
    <w:qFormat/>
    <w:uiPriority w:val="0"/>
    <w:rPr>
      <w:rFonts w:ascii="Calibri" w:hAnsi="Calibri" w:eastAsia="宋体" w:cs="Times New Roman"/>
    </w:rPr>
  </w:style>
  <w:style w:type="character" w:customStyle="1" w:styleId="430">
    <w:name w:val="段 Char Char"/>
    <w:qFormat/>
    <w:uiPriority w:val="0"/>
    <w:rPr>
      <w:rFonts w:ascii="宋体" w:hAnsi="Calibri" w:eastAsia="宋体" w:cs="Times New Roman"/>
      <w:lang w:val="en-US" w:eastAsia="zh-CN"/>
    </w:rPr>
  </w:style>
  <w:style w:type="character" w:customStyle="1" w:styleId="431">
    <w:name w:val="标题3 Char"/>
    <w:link w:val="432"/>
    <w:qFormat/>
    <w:uiPriority w:val="0"/>
    <w:rPr>
      <w:rFonts w:ascii="宋体" w:hAnsi="宋体" w:eastAsia="华文中宋" w:cs="Arial"/>
      <w:b/>
      <w:sz w:val="24"/>
    </w:rPr>
  </w:style>
  <w:style w:type="paragraph" w:customStyle="1" w:styleId="432">
    <w:name w:val="标题3"/>
    <w:basedOn w:val="1"/>
    <w:next w:val="1"/>
    <w:link w:val="431"/>
    <w:qFormat/>
    <w:uiPriority w:val="0"/>
    <w:pPr>
      <w:widowControl/>
      <w:jc w:val="left"/>
    </w:pPr>
    <w:rPr>
      <w:rFonts w:ascii="宋体" w:hAnsi="宋体" w:eastAsia="华文中宋" w:cs="Arial"/>
      <w:b/>
      <w:sz w:val="24"/>
      <w:szCs w:val="24"/>
      <w14:ligatures w14:val="standardContextual"/>
    </w:rPr>
  </w:style>
  <w:style w:type="character" w:customStyle="1" w:styleId="433">
    <w:name w:val="style17"/>
    <w:qFormat/>
    <w:uiPriority w:val="0"/>
    <w:rPr>
      <w:rFonts w:ascii="Calibri" w:hAnsi="Calibri" w:eastAsia="宋体" w:cs="Times New Roman"/>
    </w:rPr>
  </w:style>
  <w:style w:type="character" w:customStyle="1" w:styleId="434">
    <w:name w:val="g1"/>
    <w:qFormat/>
    <w:uiPriority w:val="0"/>
    <w:rPr>
      <w:rFonts w:ascii="Calibri" w:hAnsi="Calibri" w:eastAsia="宋体" w:cs="Times New Roman"/>
      <w:color w:val="008000"/>
    </w:rPr>
  </w:style>
  <w:style w:type="character" w:customStyle="1" w:styleId="435">
    <w:name w:val="Char Char9"/>
    <w:qFormat/>
    <w:uiPriority w:val="0"/>
    <w:rPr>
      <w:rFonts w:ascii="Calibri" w:hAnsi="Calibri" w:eastAsia="宋体" w:cs="Times New Roman"/>
      <w:b/>
      <w:kern w:val="44"/>
      <w:sz w:val="44"/>
    </w:rPr>
  </w:style>
  <w:style w:type="character" w:customStyle="1" w:styleId="436">
    <w:name w:val="页脚 Char3"/>
    <w:qFormat/>
    <w:uiPriority w:val="0"/>
    <w:rPr>
      <w:rFonts w:ascii="Times New Roman" w:hAnsi="Times New Roman" w:eastAsia="宋体" w:cs="Times New Roman"/>
      <w:sz w:val="20"/>
      <w:szCs w:val="20"/>
    </w:rPr>
  </w:style>
  <w:style w:type="character" w:customStyle="1" w:styleId="437">
    <w:name w:val="称呼 Char"/>
    <w:qFormat/>
    <w:uiPriority w:val="0"/>
    <w:rPr>
      <w:rFonts w:ascii="Times New Roman" w:hAnsi="Times New Roman" w:eastAsia="宋体" w:cs="Times New Roman"/>
      <w:kern w:val="2"/>
      <w:sz w:val="21"/>
      <w:szCs w:val="24"/>
    </w:rPr>
  </w:style>
  <w:style w:type="character" w:customStyle="1" w:styleId="438">
    <w:name w:val="●一级符号home Char Char1"/>
    <w:link w:val="439"/>
    <w:qFormat/>
    <w:uiPriority w:val="0"/>
    <w:rPr>
      <w:rFonts w:ascii="Verdana" w:hAnsi="Verdana"/>
      <w:sz w:val="21"/>
      <w:lang w:val="zh-CN"/>
    </w:rPr>
  </w:style>
  <w:style w:type="paragraph" w:customStyle="1" w:styleId="439">
    <w:name w:val="●一级符号home"/>
    <w:basedOn w:val="1"/>
    <w:link w:val="438"/>
    <w:qFormat/>
    <w:uiPriority w:val="0"/>
    <w:pPr>
      <w:tabs>
        <w:tab w:val="left" w:pos="901"/>
      </w:tabs>
      <w:spacing w:line="360" w:lineRule="auto"/>
    </w:pPr>
    <w:rPr>
      <w:rFonts w:ascii="Verdana" w:hAnsi="Verdana" w:eastAsiaTheme="minorEastAsia" w:cstheme="minorBidi"/>
      <w:szCs w:val="24"/>
      <w:lang w:val="zh-CN"/>
      <w14:ligatures w14:val="standardContextual"/>
    </w:rPr>
  </w:style>
  <w:style w:type="character" w:customStyle="1" w:styleId="440">
    <w:name w:val="15"/>
    <w:qFormat/>
    <w:uiPriority w:val="0"/>
    <w:rPr>
      <w:rFonts w:hint="default" w:ascii="Calibri" w:hAnsi="Calibri" w:eastAsia="宋体" w:cs="Times New Roman"/>
      <w:sz w:val="18"/>
      <w:szCs w:val="18"/>
    </w:rPr>
  </w:style>
  <w:style w:type="character" w:customStyle="1" w:styleId="441">
    <w:name w:val="font81"/>
    <w:qFormat/>
    <w:uiPriority w:val="0"/>
    <w:rPr>
      <w:rFonts w:hint="default" w:ascii="Times New Roman" w:hAnsi="Times New Roman" w:eastAsia="宋体" w:cs="Times New Roman"/>
      <w:color w:val="000000"/>
      <w:sz w:val="18"/>
      <w:szCs w:val="18"/>
      <w:u w:val="none"/>
    </w:rPr>
  </w:style>
  <w:style w:type="character" w:customStyle="1" w:styleId="442">
    <w:name w:val="16"/>
    <w:qFormat/>
    <w:uiPriority w:val="0"/>
    <w:rPr>
      <w:rFonts w:hint="default" w:ascii="Calibri" w:hAnsi="Calibri" w:eastAsia="宋体" w:cs="Times New Roman"/>
      <w:sz w:val="21"/>
      <w:szCs w:val="21"/>
    </w:rPr>
  </w:style>
  <w:style w:type="character" w:customStyle="1" w:styleId="443">
    <w:name w:val="lf3"/>
    <w:qFormat/>
    <w:uiPriority w:val="0"/>
    <w:rPr>
      <w:rFonts w:ascii="Calibri" w:hAnsi="Calibri" w:eastAsia="宋体" w:cs="Times New Roman"/>
    </w:rPr>
  </w:style>
  <w:style w:type="character" w:customStyle="1" w:styleId="444">
    <w:name w:val="正文文本缩进 Char2"/>
    <w:qFormat/>
    <w:uiPriority w:val="0"/>
    <w:rPr>
      <w:rFonts w:ascii="Calibri" w:hAnsi="Calibri" w:eastAsia="宋体" w:cs="Times New Roman"/>
      <w:kern w:val="2"/>
      <w:sz w:val="21"/>
    </w:rPr>
  </w:style>
  <w:style w:type="character" w:customStyle="1" w:styleId="445">
    <w:name w:val="自定义正文 Char"/>
    <w:link w:val="446"/>
    <w:qFormat/>
    <w:uiPriority w:val="0"/>
    <w:rPr>
      <w:sz w:val="24"/>
    </w:rPr>
  </w:style>
  <w:style w:type="paragraph" w:customStyle="1" w:styleId="446">
    <w:name w:val="自定义正文"/>
    <w:basedOn w:val="1"/>
    <w:link w:val="445"/>
    <w:qFormat/>
    <w:uiPriority w:val="0"/>
    <w:pPr>
      <w:spacing w:afterLines="50" w:line="360" w:lineRule="auto"/>
      <w:ind w:firstLine="200" w:firstLineChars="200"/>
      <w:jc w:val="left"/>
    </w:pPr>
    <w:rPr>
      <w:rFonts w:asciiTheme="minorHAnsi" w:hAnsiTheme="minorHAnsi" w:eastAsiaTheme="minorEastAsia" w:cstheme="minorBidi"/>
      <w:sz w:val="24"/>
      <w:szCs w:val="24"/>
      <w14:ligatures w14:val="standardContextual"/>
    </w:rPr>
  </w:style>
  <w:style w:type="character" w:customStyle="1" w:styleId="447">
    <w:name w:val="样式 黑体 二号"/>
    <w:qFormat/>
    <w:uiPriority w:val="0"/>
    <w:rPr>
      <w:rFonts w:ascii="Arial" w:hAnsi="Arial" w:eastAsia="黑体" w:cs="Times New Roman"/>
      <w:sz w:val="44"/>
    </w:rPr>
  </w:style>
  <w:style w:type="character" w:customStyle="1" w:styleId="448">
    <w:name w:val="标题 Char1"/>
    <w:qFormat/>
    <w:uiPriority w:val="0"/>
    <w:rPr>
      <w:rFonts w:ascii="Calibri" w:hAnsi="Calibri" w:eastAsia="黑体" w:cs="Times New Roman"/>
      <w:b/>
      <w:sz w:val="28"/>
    </w:rPr>
  </w:style>
  <w:style w:type="character" w:customStyle="1" w:styleId="449">
    <w:name w:val="textfont"/>
    <w:qFormat/>
    <w:uiPriority w:val="0"/>
    <w:rPr>
      <w:rFonts w:ascii="Calibri" w:hAnsi="Calibri" w:eastAsia="宋体" w:cs="Times New Roman"/>
    </w:rPr>
  </w:style>
  <w:style w:type="character" w:customStyle="1" w:styleId="450">
    <w:name w:val="r13"/>
    <w:qFormat/>
    <w:uiPriority w:val="0"/>
    <w:rPr>
      <w:rFonts w:ascii="Calibri" w:hAnsi="Calibri" w:eastAsia="宋体" w:cs="Times New Roman"/>
    </w:rPr>
  </w:style>
  <w:style w:type="character" w:customStyle="1" w:styleId="451">
    <w:name w:val="副标题 Char"/>
    <w:qFormat/>
    <w:uiPriority w:val="0"/>
    <w:rPr>
      <w:rFonts w:ascii="Cambria" w:hAnsi="Cambria" w:eastAsia="宋体" w:cs="Times New Roman"/>
      <w:b/>
      <w:bCs/>
      <w:kern w:val="28"/>
      <w:sz w:val="32"/>
      <w:szCs w:val="32"/>
    </w:rPr>
  </w:style>
  <w:style w:type="character" w:customStyle="1" w:styleId="452">
    <w:name w:val="style15"/>
    <w:qFormat/>
    <w:uiPriority w:val="0"/>
    <w:rPr>
      <w:rFonts w:ascii="Calibri" w:hAnsi="Calibri" w:eastAsia="宋体" w:cs="Times New Roman"/>
    </w:rPr>
  </w:style>
  <w:style w:type="character" w:customStyle="1" w:styleId="453">
    <w:name w:val="页眉 Char2"/>
    <w:qFormat/>
    <w:uiPriority w:val="0"/>
    <w:rPr>
      <w:rFonts w:ascii="Calibri" w:hAnsi="Calibri" w:eastAsia="宋体" w:cs="Times New Roman"/>
      <w:kern w:val="2"/>
      <w:sz w:val="18"/>
    </w:rPr>
  </w:style>
  <w:style w:type="character" w:customStyle="1" w:styleId="454">
    <w:name w:val="headline-content2"/>
    <w:qFormat/>
    <w:uiPriority w:val="0"/>
    <w:rPr>
      <w:rFonts w:ascii="Calibri" w:hAnsi="Calibri" w:eastAsia="宋体" w:cs="Times New Roman"/>
    </w:rPr>
  </w:style>
  <w:style w:type="character" w:customStyle="1" w:styleId="455">
    <w:name w:val="paramname"/>
    <w:qFormat/>
    <w:uiPriority w:val="0"/>
    <w:rPr>
      <w:rFonts w:ascii="Calibri" w:hAnsi="Calibri" w:eastAsia="宋体" w:cs="Times New Roman"/>
    </w:rPr>
  </w:style>
  <w:style w:type="character" w:customStyle="1" w:styleId="456">
    <w:name w:val="页眉 Char Char"/>
    <w:qFormat/>
    <w:uiPriority w:val="0"/>
    <w:rPr>
      <w:rFonts w:ascii="Calibri" w:hAnsi="Calibri" w:eastAsia="宋体" w:cs="Times New Roman"/>
      <w:kern w:val="2"/>
      <w:sz w:val="18"/>
      <w:lang w:val="en-US" w:eastAsia="zh-CN"/>
    </w:rPr>
  </w:style>
  <w:style w:type="character" w:customStyle="1" w:styleId="457">
    <w:name w:val="正文2 Char Char"/>
    <w:qFormat/>
    <w:uiPriority w:val="0"/>
    <w:rPr>
      <w:rFonts w:ascii="Calibri" w:hAnsi="Calibri" w:eastAsia="宋体" w:cs="Times New Roman"/>
      <w:sz w:val="24"/>
    </w:rPr>
  </w:style>
  <w:style w:type="character" w:customStyle="1" w:styleId="458">
    <w:name w:val="正文首行缩进 Char2"/>
    <w:qFormat/>
    <w:uiPriority w:val="0"/>
    <w:rPr>
      <w:rFonts w:ascii="Calibri" w:hAnsi="Calibri" w:eastAsia="宋体" w:cs="Times New Roman"/>
    </w:rPr>
  </w:style>
  <w:style w:type="paragraph" w:customStyle="1" w:styleId="459">
    <w:name w:val="z-Bottom of Form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460">
    <w:name w:val="批注引用10"/>
    <w:qFormat/>
    <w:uiPriority w:val="0"/>
    <w:rPr>
      <w:rFonts w:ascii="Calibri" w:hAnsi="Calibri" w:eastAsia="宋体" w:cs="Times New Roman"/>
      <w:sz w:val="21"/>
    </w:rPr>
  </w:style>
  <w:style w:type="character" w:customStyle="1" w:styleId="461">
    <w:name w:val="EmailStyle30"/>
    <w:qFormat/>
    <w:uiPriority w:val="0"/>
    <w:rPr>
      <w:rFonts w:ascii="Calibri" w:hAnsi="Calibri" w:eastAsia="宋体" w:cs="Times New Roman"/>
      <w:color w:val="000000"/>
    </w:rPr>
  </w:style>
  <w:style w:type="character" w:customStyle="1" w:styleId="462">
    <w:name w:val="批注引用5"/>
    <w:qFormat/>
    <w:uiPriority w:val="0"/>
    <w:rPr>
      <w:rFonts w:ascii="Calibri" w:hAnsi="Calibri" w:eastAsia="宋体" w:cs="Times New Roman"/>
      <w:sz w:val="21"/>
    </w:rPr>
  </w:style>
  <w:style w:type="character" w:customStyle="1" w:styleId="463">
    <w:name w:val="apple-style-span"/>
    <w:qFormat/>
    <w:uiPriority w:val="0"/>
    <w:rPr>
      <w:rFonts w:ascii="Calibri" w:hAnsi="Calibri" w:eastAsia="宋体" w:cs="Times New Roman"/>
    </w:rPr>
  </w:style>
  <w:style w:type="character" w:customStyle="1" w:styleId="464">
    <w:name w:val="无 A"/>
    <w:qFormat/>
    <w:uiPriority w:val="0"/>
    <w:rPr>
      <w:rFonts w:ascii="Calibri" w:hAnsi="Calibri" w:eastAsia="宋体" w:cs="Times New Roman"/>
      <w:lang w:val="en-US"/>
    </w:rPr>
  </w:style>
  <w:style w:type="character" w:customStyle="1" w:styleId="465">
    <w:name w:val="custbt1"/>
    <w:qFormat/>
    <w:uiPriority w:val="0"/>
    <w:rPr>
      <w:rFonts w:ascii="Calibri" w:hAnsi="Calibri" w:eastAsia="宋体" w:cs="Times New Roman"/>
      <w:color w:val="0066CC"/>
      <w:sz w:val="20"/>
    </w:rPr>
  </w:style>
  <w:style w:type="character" w:customStyle="1" w:styleId="466">
    <w:name w:val="日期 Char2"/>
    <w:qFormat/>
    <w:uiPriority w:val="0"/>
    <w:rPr>
      <w:rFonts w:ascii="Calibri" w:hAnsi="Calibri" w:eastAsia="宋体" w:cs="Times New Roman"/>
      <w:kern w:val="2"/>
      <w:sz w:val="21"/>
    </w:rPr>
  </w:style>
  <w:style w:type="character" w:customStyle="1" w:styleId="467">
    <w:name w:val="批注引用6"/>
    <w:qFormat/>
    <w:uiPriority w:val="0"/>
    <w:rPr>
      <w:rFonts w:ascii="Calibri" w:hAnsi="Calibri" w:eastAsia="宋体" w:cs="Times New Roman"/>
      <w:sz w:val="21"/>
    </w:rPr>
  </w:style>
  <w:style w:type="character" w:customStyle="1" w:styleId="468">
    <w:name w:val="font71"/>
    <w:qFormat/>
    <w:uiPriority w:val="0"/>
    <w:rPr>
      <w:rFonts w:hint="default" w:ascii="Times New Roman" w:hAnsi="Times New Roman" w:eastAsia="楷体_GB2312" w:cs="Times New Roman"/>
      <w:sz w:val="28"/>
      <w:szCs w:val="24"/>
    </w:rPr>
  </w:style>
  <w:style w:type="character" w:customStyle="1" w:styleId="469">
    <w:name w:val="正文首缩两字 Char1"/>
    <w:link w:val="470"/>
    <w:qFormat/>
    <w:uiPriority w:val="0"/>
    <w:rPr>
      <w:rFonts w:ascii="Verdana" w:hAnsi="Verdana"/>
      <w:sz w:val="24"/>
    </w:rPr>
  </w:style>
  <w:style w:type="paragraph" w:customStyle="1" w:styleId="470">
    <w:name w:val="正文首缩两字"/>
    <w:basedOn w:val="1"/>
    <w:link w:val="469"/>
    <w:qFormat/>
    <w:uiPriority w:val="0"/>
    <w:pPr>
      <w:spacing w:line="360" w:lineRule="auto"/>
      <w:ind w:firstLine="200" w:firstLineChars="200"/>
    </w:pPr>
    <w:rPr>
      <w:rFonts w:ascii="Verdana" w:hAnsi="Verdana" w:eastAsiaTheme="minorEastAsia" w:cstheme="minorBidi"/>
      <w:sz w:val="24"/>
      <w:szCs w:val="24"/>
      <w14:ligatures w14:val="standardContextual"/>
    </w:rPr>
  </w:style>
  <w:style w:type="character" w:customStyle="1" w:styleId="471">
    <w:name w:val="ss"/>
    <w:qFormat/>
    <w:uiPriority w:val="0"/>
    <w:rPr>
      <w:rFonts w:ascii="Calibri" w:hAnsi="Calibri" w:eastAsia="宋体" w:cs="Times New Roman"/>
    </w:rPr>
  </w:style>
  <w:style w:type="character" w:customStyle="1" w:styleId="472">
    <w:name w:val="Char Char6"/>
    <w:qFormat/>
    <w:uiPriority w:val="0"/>
    <w:rPr>
      <w:rFonts w:ascii="Calibri" w:hAnsi="Calibri" w:eastAsia="宋体" w:cs="Times New Roman"/>
      <w:sz w:val="24"/>
    </w:rPr>
  </w:style>
  <w:style w:type="character" w:customStyle="1" w:styleId="473">
    <w:name w:val="批注文字 Char2"/>
    <w:qFormat/>
    <w:uiPriority w:val="0"/>
    <w:rPr>
      <w:rFonts w:ascii="Calibri" w:hAnsi="Calibri" w:eastAsia="宋体" w:cs="Times New Roman"/>
      <w:kern w:val="2"/>
      <w:sz w:val="21"/>
    </w:rPr>
  </w:style>
  <w:style w:type="character" w:customStyle="1" w:styleId="474">
    <w:name w:val="font_8"/>
    <w:qFormat/>
    <w:uiPriority w:val="0"/>
    <w:rPr>
      <w:rFonts w:ascii="Calibri" w:hAnsi="Calibri" w:eastAsia="宋体" w:cs="Times New Roman"/>
    </w:rPr>
  </w:style>
  <w:style w:type="character" w:customStyle="1" w:styleId="475">
    <w:name w:val="批注主题 Char2"/>
    <w:qFormat/>
    <w:uiPriority w:val="0"/>
    <w:rPr>
      <w:rFonts w:ascii="Calibri" w:hAnsi="Calibri" w:eastAsia="宋体" w:cs="Times New Roman"/>
      <w:b/>
      <w:kern w:val="2"/>
      <w:sz w:val="21"/>
    </w:rPr>
  </w:style>
  <w:style w:type="character" w:customStyle="1" w:styleId="476">
    <w:name w:val="Char Char Char Char Char"/>
    <w:qFormat/>
    <w:uiPriority w:val="0"/>
    <w:rPr>
      <w:rFonts w:ascii="宋体" w:hAnsi="Courier New" w:cs="Times New Roman"/>
    </w:rPr>
  </w:style>
  <w:style w:type="character" w:customStyle="1" w:styleId="477">
    <w:name w:val="一级条标题 Char"/>
    <w:link w:val="478"/>
    <w:qFormat/>
    <w:uiPriority w:val="0"/>
    <w:rPr>
      <w:rFonts w:ascii="黑体" w:eastAsia="黑体"/>
      <w:sz w:val="21"/>
    </w:rPr>
  </w:style>
  <w:style w:type="paragraph" w:customStyle="1" w:styleId="478">
    <w:name w:val="一级条标题"/>
    <w:basedOn w:val="1"/>
    <w:next w:val="402"/>
    <w:link w:val="477"/>
    <w:qFormat/>
    <w:uiPriority w:val="0"/>
    <w:pPr>
      <w:widowControl/>
      <w:tabs>
        <w:tab w:val="left" w:pos="1200"/>
      </w:tabs>
      <w:ind w:left="1200" w:hanging="420"/>
      <w:outlineLvl w:val="2"/>
    </w:pPr>
    <w:rPr>
      <w:rFonts w:ascii="黑体" w:eastAsia="黑体" w:hAnsiTheme="minorHAnsi" w:cstheme="minorBidi"/>
      <w:szCs w:val="24"/>
      <w14:ligatures w14:val="standardContextual"/>
    </w:rPr>
  </w:style>
  <w:style w:type="character" w:customStyle="1" w:styleId="479">
    <w:name w:val="标题 Char3"/>
    <w:qFormat/>
    <w:uiPriority w:val="0"/>
    <w:rPr>
      <w:rFonts w:ascii="Cambria" w:hAnsi="Cambria" w:eastAsia="宋体" w:cs="黑体"/>
      <w:b/>
      <w:bCs/>
      <w:sz w:val="32"/>
      <w:szCs w:val="32"/>
    </w:rPr>
  </w:style>
  <w:style w:type="character" w:customStyle="1" w:styleId="480">
    <w:name w:val="List Paragraph Char Char"/>
    <w:qFormat/>
    <w:locked/>
    <w:uiPriority w:val="0"/>
    <w:rPr>
      <w:rFonts w:ascii="宋体" w:hAnsi="宋体" w:cs="Times New Roman"/>
      <w:kern w:val="2"/>
      <w:sz w:val="21"/>
      <w:szCs w:val="24"/>
    </w:rPr>
  </w:style>
  <w:style w:type="character" w:customStyle="1" w:styleId="481">
    <w:name w:val="wz1"/>
    <w:qFormat/>
    <w:uiPriority w:val="0"/>
    <w:rPr>
      <w:rFonts w:ascii="Calibri" w:hAnsi="Calibri" w:eastAsia="宋体" w:cs="Times New Roman"/>
      <w:color w:val="5A5A5A"/>
      <w:sz w:val="18"/>
      <w:u w:val="none"/>
    </w:rPr>
  </w:style>
  <w:style w:type="character" w:customStyle="1" w:styleId="482">
    <w:name w:val="aa1"/>
    <w:qFormat/>
    <w:uiPriority w:val="0"/>
    <w:rPr>
      <w:rFonts w:ascii="Calibri" w:hAnsi="Calibri" w:eastAsia="宋体" w:cs="Times New Roman"/>
      <w:sz w:val="20"/>
      <w:u w:val="none"/>
    </w:rPr>
  </w:style>
  <w:style w:type="character" w:customStyle="1" w:styleId="483">
    <w:name w:val="style14"/>
    <w:qFormat/>
    <w:uiPriority w:val="0"/>
    <w:rPr>
      <w:rFonts w:ascii="Calibri" w:hAnsi="Calibri" w:eastAsia="宋体" w:cs="Times New Roman"/>
    </w:rPr>
  </w:style>
  <w:style w:type="character" w:customStyle="1" w:styleId="484">
    <w:name w:val="正文首行缩进 Char1"/>
    <w:qFormat/>
    <w:uiPriority w:val="0"/>
    <w:rPr>
      <w:rFonts w:ascii="Calibri" w:hAnsi="Calibri" w:eastAsia="宋体" w:cs="Times New Roman"/>
      <w:kern w:val="2"/>
      <w:sz w:val="22"/>
      <w:lang w:val="en-US" w:eastAsia="zh-CN"/>
    </w:rPr>
  </w:style>
  <w:style w:type="character" w:customStyle="1" w:styleId="485">
    <w:name w:val="正文文本 2 Char2"/>
    <w:qFormat/>
    <w:uiPriority w:val="0"/>
    <w:rPr>
      <w:rFonts w:ascii="Calibri" w:hAnsi="Calibri" w:eastAsia="宋体" w:cs="Times New Roman"/>
      <w:kern w:val="2"/>
      <w:sz w:val="21"/>
    </w:rPr>
  </w:style>
  <w:style w:type="paragraph" w:customStyle="1" w:styleId="486">
    <w:name w:val="z-Top of Form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487">
    <w:name w:val="Char Char5"/>
    <w:qFormat/>
    <w:uiPriority w:val="0"/>
    <w:rPr>
      <w:rFonts w:ascii="Calibri" w:hAnsi="Calibri" w:eastAsia="宋体" w:cs="Times New Roman"/>
      <w:sz w:val="18"/>
    </w:rPr>
  </w:style>
  <w:style w:type="character" w:customStyle="1" w:styleId="488">
    <w:name w:val="正文2 Char Char Char"/>
    <w:qFormat/>
    <w:uiPriority w:val="0"/>
    <w:rPr>
      <w:rFonts w:ascii="Calibri" w:hAnsi="Calibri" w:eastAsia="宋体" w:cs="Times New Roman"/>
      <w:kern w:val="2"/>
      <w:sz w:val="24"/>
      <w:lang w:val="en-US" w:eastAsia="zh-CN"/>
    </w:rPr>
  </w:style>
  <w:style w:type="character" w:customStyle="1" w:styleId="489">
    <w:name w:val="标题 1 Char1"/>
    <w:qFormat/>
    <w:uiPriority w:val="0"/>
    <w:rPr>
      <w:rFonts w:ascii="仿宋_GB2312" w:hAnsi="Calibri" w:eastAsia="仿宋_GB2312" w:cs="Times New Roman"/>
      <w:b/>
      <w:color w:val="000000"/>
      <w:kern w:val="2"/>
      <w:sz w:val="36"/>
    </w:rPr>
  </w:style>
  <w:style w:type="character" w:customStyle="1" w:styleId="490">
    <w:name w:val="批注引用4"/>
    <w:qFormat/>
    <w:uiPriority w:val="0"/>
    <w:rPr>
      <w:rFonts w:ascii="Calibri" w:hAnsi="Calibri" w:eastAsia="宋体" w:cs="Times New Roman"/>
      <w:sz w:val="21"/>
    </w:rPr>
  </w:style>
  <w:style w:type="character" w:customStyle="1" w:styleId="491">
    <w:name w:val="style141"/>
    <w:qFormat/>
    <w:uiPriority w:val="0"/>
    <w:rPr>
      <w:rFonts w:ascii="Calibri" w:hAnsi="Calibri" w:eastAsia="宋体" w:cs="Times New Roman"/>
    </w:rPr>
  </w:style>
  <w:style w:type="character" w:customStyle="1" w:styleId="492">
    <w:name w:val="文档结构图 Char2"/>
    <w:qFormat/>
    <w:uiPriority w:val="0"/>
    <w:rPr>
      <w:rFonts w:ascii="宋体" w:hAnsi="Calibri" w:eastAsia="宋体" w:cs="Times New Roman"/>
      <w:kern w:val="2"/>
      <w:sz w:val="18"/>
    </w:rPr>
  </w:style>
  <w:style w:type="character" w:customStyle="1" w:styleId="493">
    <w:name w:val="批注框文本 Char2"/>
    <w:qFormat/>
    <w:uiPriority w:val="0"/>
    <w:rPr>
      <w:rFonts w:ascii="Calibri" w:hAnsi="Calibri" w:eastAsia="宋体" w:cs="Times New Roman"/>
      <w:kern w:val="2"/>
      <w:sz w:val="18"/>
    </w:rPr>
  </w:style>
  <w:style w:type="character" w:customStyle="1" w:styleId="494">
    <w:name w:val="font61"/>
    <w:basedOn w:val="70"/>
    <w:qFormat/>
    <w:uiPriority w:val="0"/>
    <w:rPr>
      <w:rFonts w:ascii="Arial" w:hAnsi="Arial" w:eastAsia="宋体" w:cs="Arial"/>
      <w:color w:val="000000"/>
      <w:sz w:val="20"/>
      <w:szCs w:val="20"/>
      <w:u w:val="none"/>
    </w:rPr>
  </w:style>
  <w:style w:type="character" w:customStyle="1" w:styleId="495">
    <w:name w:val="fontblank12"/>
    <w:qFormat/>
    <w:uiPriority w:val="0"/>
    <w:rPr>
      <w:rFonts w:ascii="Calibri" w:hAnsi="Calibri" w:eastAsia="宋体" w:cs="Times New Roman"/>
    </w:rPr>
  </w:style>
  <w:style w:type="character" w:customStyle="1" w:styleId="496">
    <w:name w:val="标题 9 Char1"/>
    <w:qFormat/>
    <w:uiPriority w:val="0"/>
    <w:rPr>
      <w:rFonts w:ascii="Arial" w:hAnsi="Arial" w:eastAsia="黑体" w:cs="Times New Roman"/>
      <w:kern w:val="2"/>
      <w:sz w:val="21"/>
    </w:rPr>
  </w:style>
  <w:style w:type="character" w:customStyle="1" w:styleId="497">
    <w:name w:val="high-light-bg4"/>
    <w:qFormat/>
    <w:uiPriority w:val="0"/>
    <w:rPr>
      <w:rFonts w:ascii="Calibri" w:hAnsi="Calibri" w:eastAsia="宋体" w:cs="Times New Roman"/>
    </w:rPr>
  </w:style>
  <w:style w:type="character" w:customStyle="1" w:styleId="498">
    <w:name w:val="正文文本 3 Char2"/>
    <w:qFormat/>
    <w:uiPriority w:val="0"/>
    <w:rPr>
      <w:rFonts w:ascii="Calibri" w:hAnsi="Calibri" w:eastAsia="宋体" w:cs="Times New Roman"/>
      <w:kern w:val="2"/>
      <w:sz w:val="16"/>
    </w:rPr>
  </w:style>
  <w:style w:type="character" w:customStyle="1" w:styleId="499">
    <w:name w:val="正文缩进 Char1"/>
    <w:qFormat/>
    <w:uiPriority w:val="0"/>
    <w:rPr>
      <w:rFonts w:ascii="Calibri" w:hAnsi="Calibri" w:eastAsia="宋体" w:cs="Times New Roman"/>
      <w:kern w:val="2"/>
      <w:sz w:val="21"/>
    </w:rPr>
  </w:style>
  <w:style w:type="character" w:customStyle="1" w:styleId="500">
    <w:name w:val="批注引用1"/>
    <w:qFormat/>
    <w:uiPriority w:val="0"/>
    <w:rPr>
      <w:rFonts w:ascii="Calibri" w:hAnsi="Calibri" w:eastAsia="宋体" w:cs="Times New Roman"/>
      <w:sz w:val="21"/>
      <w:szCs w:val="21"/>
    </w:rPr>
  </w:style>
  <w:style w:type="character" w:customStyle="1" w:styleId="501">
    <w:name w:val="正文文本 2 Char"/>
    <w:qFormat/>
    <w:uiPriority w:val="0"/>
    <w:rPr>
      <w:rFonts w:ascii="Times New Roman" w:hAnsi="Times New Roman" w:eastAsia="宋体" w:cs="Times New Roman"/>
      <w:kern w:val="2"/>
      <w:sz w:val="21"/>
      <w:szCs w:val="24"/>
    </w:rPr>
  </w:style>
  <w:style w:type="character" w:customStyle="1" w:styleId="502">
    <w:name w:val="Table Text Char Char"/>
    <w:link w:val="503"/>
    <w:qFormat/>
    <w:uiPriority w:val="0"/>
    <w:rPr>
      <w:rFonts w:ascii="Arial" w:hAnsi="Arial"/>
      <w:sz w:val="18"/>
    </w:rPr>
  </w:style>
  <w:style w:type="paragraph" w:customStyle="1" w:styleId="503">
    <w:name w:val="Table Text"/>
    <w:link w:val="502"/>
    <w:qFormat/>
    <w:uiPriority w:val="0"/>
    <w:pPr>
      <w:snapToGrid w:val="0"/>
      <w:spacing w:before="80" w:after="80"/>
    </w:pPr>
    <w:rPr>
      <w:rFonts w:ascii="Arial" w:hAnsi="Arial" w:eastAsiaTheme="minorEastAsia" w:cstheme="minorBidi"/>
      <w:kern w:val="2"/>
      <w:sz w:val="18"/>
      <w:szCs w:val="24"/>
      <w:lang w:val="en-US" w:eastAsia="zh-CN" w:bidi="ar-SA"/>
      <w14:ligatures w14:val="standardContextual"/>
    </w:rPr>
  </w:style>
  <w:style w:type="character" w:customStyle="1" w:styleId="504">
    <w:name w:val="批注文字 Char3"/>
    <w:qFormat/>
    <w:uiPriority w:val="0"/>
    <w:rPr>
      <w:rFonts w:ascii="Times New Roman" w:hAnsi="Times New Roman" w:eastAsia="宋体" w:cs="Times New Roman"/>
      <w:sz w:val="20"/>
      <w:szCs w:val="20"/>
    </w:rPr>
  </w:style>
  <w:style w:type="character" w:customStyle="1" w:styleId="505">
    <w:name w:val="普通文字 Char2"/>
    <w:qFormat/>
    <w:uiPriority w:val="0"/>
    <w:rPr>
      <w:rFonts w:ascii="宋体" w:hAnsi="Courier New" w:eastAsia="宋体" w:cs="Times New Roman"/>
      <w:kern w:val="2"/>
      <w:sz w:val="21"/>
      <w:lang w:val="en-US" w:eastAsia="zh-CN"/>
    </w:rPr>
  </w:style>
  <w:style w:type="character" w:customStyle="1" w:styleId="506">
    <w:name w:val="正文文本 3 Char"/>
    <w:qFormat/>
    <w:uiPriority w:val="0"/>
    <w:rPr>
      <w:rFonts w:ascii="Times New Roman" w:hAnsi="Times New Roman" w:eastAsia="宋体" w:cs="Times New Roman"/>
      <w:kern w:val="2"/>
      <w:sz w:val="16"/>
      <w:szCs w:val="16"/>
    </w:rPr>
  </w:style>
  <w:style w:type="character" w:customStyle="1" w:styleId="507">
    <w:name w:val="HTML 预设格式 Char"/>
    <w:qFormat/>
    <w:uiPriority w:val="0"/>
    <w:rPr>
      <w:rFonts w:ascii="Courier New" w:hAnsi="Courier New" w:eastAsia="宋体" w:cs="Courier New"/>
      <w:kern w:val="2"/>
    </w:rPr>
  </w:style>
  <w:style w:type="character" w:customStyle="1" w:styleId="508">
    <w:name w:val="页眉 Char1"/>
    <w:qFormat/>
    <w:uiPriority w:val="0"/>
    <w:rPr>
      <w:rFonts w:ascii="Calibri" w:hAnsi="Calibri" w:eastAsia="宋体" w:cs="Times New Roman"/>
      <w:kern w:val="2"/>
      <w:sz w:val="18"/>
    </w:rPr>
  </w:style>
  <w:style w:type="character" w:customStyle="1" w:styleId="509">
    <w:name w:val="标题 8 Char1"/>
    <w:qFormat/>
    <w:uiPriority w:val="0"/>
    <w:rPr>
      <w:rFonts w:ascii="Arial" w:hAnsi="Arial" w:eastAsia="黑体" w:cs="Times New Roman"/>
      <w:kern w:val="2"/>
      <w:sz w:val="24"/>
    </w:rPr>
  </w:style>
  <w:style w:type="character" w:customStyle="1" w:styleId="510">
    <w:name w:val="Char Char8"/>
    <w:qFormat/>
    <w:uiPriority w:val="0"/>
    <w:rPr>
      <w:rFonts w:ascii="Calibri" w:hAnsi="Calibri" w:eastAsia="仿宋_GB2312" w:cs="Times New Roman"/>
      <w:b/>
      <w:kern w:val="2"/>
      <w:sz w:val="32"/>
    </w:rPr>
  </w:style>
  <w:style w:type="character" w:customStyle="1" w:styleId="511">
    <w:name w:val="正文文本缩进 3 Char2"/>
    <w:qFormat/>
    <w:uiPriority w:val="0"/>
    <w:rPr>
      <w:rFonts w:ascii="Calibri" w:hAnsi="Calibri" w:eastAsia="宋体" w:cs="Times New Roman"/>
      <w:kern w:val="2"/>
      <w:sz w:val="16"/>
    </w:rPr>
  </w:style>
  <w:style w:type="character" w:customStyle="1" w:styleId="512">
    <w:name w:val="◆ 二级符号end Char Char"/>
    <w:link w:val="513"/>
    <w:qFormat/>
    <w:uiPriority w:val="0"/>
    <w:rPr>
      <w:rFonts w:ascii="Verdana" w:hAnsi="Verdana"/>
      <w:sz w:val="24"/>
    </w:rPr>
  </w:style>
  <w:style w:type="paragraph" w:customStyle="1" w:styleId="513">
    <w:name w:val="◆ 二级符号end"/>
    <w:basedOn w:val="1"/>
    <w:link w:val="512"/>
    <w:qFormat/>
    <w:uiPriority w:val="0"/>
    <w:pPr>
      <w:tabs>
        <w:tab w:val="left" w:pos="1320"/>
      </w:tabs>
      <w:spacing w:line="360" w:lineRule="auto"/>
      <w:ind w:left="1320" w:hanging="420"/>
    </w:pPr>
    <w:rPr>
      <w:rFonts w:ascii="Verdana" w:hAnsi="Verdana" w:eastAsiaTheme="minorEastAsia" w:cstheme="minorBidi"/>
      <w:sz w:val="24"/>
      <w:szCs w:val="24"/>
      <w14:ligatures w14:val="standardContextual"/>
    </w:rPr>
  </w:style>
  <w:style w:type="character" w:customStyle="1" w:styleId="514">
    <w:name w:val="正文文本 Char2"/>
    <w:qFormat/>
    <w:uiPriority w:val="0"/>
    <w:rPr>
      <w:rFonts w:ascii="Calibri" w:hAnsi="Calibri" w:eastAsia="宋体" w:cs="Times New Roman"/>
      <w:kern w:val="2"/>
      <w:sz w:val="21"/>
    </w:rPr>
  </w:style>
  <w:style w:type="character" w:customStyle="1" w:styleId="515">
    <w:name w:val="批注引用11"/>
    <w:qFormat/>
    <w:uiPriority w:val="0"/>
    <w:rPr>
      <w:rFonts w:ascii="Calibri" w:hAnsi="Calibri" w:eastAsia="宋体" w:cs="Times New Roman"/>
      <w:sz w:val="21"/>
    </w:rPr>
  </w:style>
  <w:style w:type="character" w:customStyle="1" w:styleId="516">
    <w:name w:val="标题 5 Char1"/>
    <w:qFormat/>
    <w:uiPriority w:val="0"/>
    <w:rPr>
      <w:rFonts w:ascii="Calibri" w:hAnsi="Calibri" w:eastAsia="宋体" w:cs="Times New Roman"/>
      <w:b/>
      <w:kern w:val="2"/>
      <w:sz w:val="28"/>
    </w:rPr>
  </w:style>
  <w:style w:type="character" w:customStyle="1" w:styleId="517">
    <w:name w:val="批注引用9"/>
    <w:qFormat/>
    <w:uiPriority w:val="0"/>
    <w:rPr>
      <w:rFonts w:ascii="Calibri" w:hAnsi="Calibri" w:eastAsia="宋体" w:cs="Times New Roman"/>
      <w:sz w:val="21"/>
    </w:rPr>
  </w:style>
  <w:style w:type="character" w:customStyle="1" w:styleId="518">
    <w:name w:val="标题 7 Char1"/>
    <w:qFormat/>
    <w:uiPriority w:val="0"/>
    <w:rPr>
      <w:rFonts w:ascii="Calibri" w:hAnsi="Calibri" w:eastAsia="宋体" w:cs="Times New Roman"/>
      <w:b/>
      <w:kern w:val="2"/>
      <w:sz w:val="24"/>
    </w:rPr>
  </w:style>
  <w:style w:type="character" w:customStyle="1" w:styleId="519">
    <w:name w:val="SANGFOR_6_正文 Char"/>
    <w:link w:val="520"/>
    <w:qFormat/>
    <w:uiPriority w:val="0"/>
    <w:rPr>
      <w:rFonts w:ascii="宋体" w:hAnsi="宋体"/>
      <w:sz w:val="28"/>
      <w:szCs w:val="28"/>
    </w:rPr>
  </w:style>
  <w:style w:type="paragraph" w:customStyle="1" w:styleId="520">
    <w:name w:val="SANGFOR_6_正文"/>
    <w:basedOn w:val="1"/>
    <w:link w:val="519"/>
    <w:qFormat/>
    <w:uiPriority w:val="0"/>
    <w:pPr>
      <w:spacing w:line="360" w:lineRule="auto"/>
      <w:ind w:left="420"/>
      <w:jc w:val="left"/>
    </w:pPr>
    <w:rPr>
      <w:rFonts w:ascii="宋体" w:hAnsi="宋体" w:eastAsiaTheme="minorEastAsia" w:cstheme="minorBidi"/>
      <w:sz w:val="28"/>
      <w:szCs w:val="28"/>
      <w14:ligatures w14:val="standardContextual"/>
    </w:rPr>
  </w:style>
  <w:style w:type="character" w:customStyle="1" w:styleId="521">
    <w:name w:val="标题 3 Char1"/>
    <w:qFormat/>
    <w:uiPriority w:val="0"/>
    <w:rPr>
      <w:rFonts w:ascii="Calibri" w:hAnsi="Calibri" w:eastAsia="宋体" w:cs="Times New Roman"/>
      <w:b/>
      <w:kern w:val="2"/>
      <w:sz w:val="32"/>
    </w:rPr>
  </w:style>
  <w:style w:type="character" w:customStyle="1" w:styleId="522">
    <w:name w:val="页脚 Char1"/>
    <w:qFormat/>
    <w:uiPriority w:val="0"/>
    <w:rPr>
      <w:rFonts w:ascii="Calibri" w:hAnsi="Calibri" w:eastAsia="宋体" w:cs="Times New Roman"/>
      <w:kern w:val="2"/>
      <w:sz w:val="18"/>
    </w:rPr>
  </w:style>
  <w:style w:type="character" w:customStyle="1" w:styleId="523">
    <w:name w:val="页脚 Char2"/>
    <w:qFormat/>
    <w:uiPriority w:val="0"/>
    <w:rPr>
      <w:rFonts w:ascii="Calibri" w:hAnsi="Calibri" w:eastAsia="宋体" w:cs="Times New Roman"/>
      <w:kern w:val="2"/>
      <w:sz w:val="18"/>
    </w:rPr>
  </w:style>
  <w:style w:type="character" w:customStyle="1" w:styleId="524">
    <w:name w:val="正文1 Char"/>
    <w:link w:val="182"/>
    <w:qFormat/>
    <w:uiPriority w:val="0"/>
    <w:rPr>
      <w:rFonts w:ascii="Calibri" w:hAnsi="Calibri" w:eastAsia="宋体" w:cs="Calibri"/>
      <w:sz w:val="21"/>
      <w:szCs w:val="21"/>
      <w14:ligatures w14:val="none"/>
    </w:rPr>
  </w:style>
  <w:style w:type="character" w:customStyle="1" w:styleId="525">
    <w:name w:val="批注引用2"/>
    <w:qFormat/>
    <w:uiPriority w:val="0"/>
    <w:rPr>
      <w:rFonts w:ascii="Calibri" w:hAnsi="Calibri" w:eastAsia="宋体" w:cs="Times New Roman"/>
      <w:sz w:val="21"/>
    </w:rPr>
  </w:style>
  <w:style w:type="character" w:customStyle="1" w:styleId="526">
    <w:name w:val="标题 Char2"/>
    <w:qFormat/>
    <w:uiPriority w:val="0"/>
    <w:rPr>
      <w:rFonts w:ascii="Cambria" w:hAnsi="Cambria" w:eastAsia="宋体" w:cs="Times New Roman"/>
      <w:b/>
      <w:kern w:val="2"/>
      <w:sz w:val="32"/>
    </w:rPr>
  </w:style>
  <w:style w:type="character" w:customStyle="1" w:styleId="527">
    <w:name w:val="c1"/>
    <w:qFormat/>
    <w:uiPriority w:val="0"/>
    <w:rPr>
      <w:rFonts w:ascii="Calibri" w:hAnsi="Calibri" w:eastAsia="宋体" w:cs="Times New Roman"/>
      <w:sz w:val="24"/>
    </w:rPr>
  </w:style>
  <w:style w:type="character" w:customStyle="1" w:styleId="528">
    <w:name w:val="font121"/>
    <w:qFormat/>
    <w:uiPriority w:val="0"/>
    <w:rPr>
      <w:rFonts w:hint="default" w:ascii="???" w:hAnsi="???" w:eastAsia="宋体" w:cs="Times New Roman"/>
      <w:color w:val="333333"/>
      <w:sz w:val="18"/>
      <w:szCs w:val="18"/>
      <w:u w:val="none"/>
    </w:rPr>
  </w:style>
  <w:style w:type="character" w:customStyle="1" w:styleId="529">
    <w:name w:val="标准文本 Char Char"/>
    <w:link w:val="530"/>
    <w:qFormat/>
    <w:uiPriority w:val="0"/>
  </w:style>
  <w:style w:type="paragraph" w:customStyle="1" w:styleId="530">
    <w:name w:val="标准文本"/>
    <w:basedOn w:val="1"/>
    <w:link w:val="529"/>
    <w:qFormat/>
    <w:uiPriority w:val="0"/>
    <w:pPr>
      <w:spacing w:line="360" w:lineRule="auto"/>
      <w:ind w:firstLine="480" w:firstLineChars="200"/>
    </w:pPr>
    <w:rPr>
      <w:rFonts w:asciiTheme="minorHAnsi" w:hAnsiTheme="minorHAnsi" w:eastAsiaTheme="minorEastAsia" w:cstheme="minorBidi"/>
      <w:sz w:val="22"/>
      <w:szCs w:val="24"/>
      <w14:ligatures w14:val="standardContextual"/>
    </w:rPr>
  </w:style>
  <w:style w:type="character" w:customStyle="1" w:styleId="531">
    <w:name w:val="尾注文本 Char"/>
    <w:qFormat/>
    <w:uiPriority w:val="0"/>
    <w:rPr>
      <w:rFonts w:ascii="Times New Roman" w:hAnsi="Times New Roman" w:eastAsia="宋体" w:cs="Times New Roman"/>
      <w:kern w:val="2"/>
      <w:sz w:val="21"/>
      <w:szCs w:val="24"/>
    </w:rPr>
  </w:style>
  <w:style w:type="character" w:customStyle="1" w:styleId="532">
    <w:name w:val="标题 4 Char1"/>
    <w:qFormat/>
    <w:uiPriority w:val="0"/>
    <w:rPr>
      <w:rFonts w:ascii="Arial" w:hAnsi="Arial" w:eastAsia="黑体" w:cs="Times New Roman"/>
      <w:b/>
      <w:kern w:val="2"/>
      <w:sz w:val="28"/>
    </w:rPr>
  </w:style>
  <w:style w:type="character" w:customStyle="1" w:styleId="533">
    <w:name w:val="批注文字 Char4"/>
    <w:qFormat/>
    <w:uiPriority w:val="0"/>
    <w:rPr>
      <w:rFonts w:ascii="Times New Roman" w:hAnsi="Times New Roman" w:eastAsia="宋体" w:cs="Times New Roman"/>
      <w:szCs w:val="20"/>
    </w:rPr>
  </w:style>
  <w:style w:type="character" w:customStyle="1" w:styleId="534">
    <w:name w:val="批注引用8"/>
    <w:qFormat/>
    <w:uiPriority w:val="0"/>
    <w:rPr>
      <w:rFonts w:ascii="Calibri" w:hAnsi="Calibri" w:eastAsia="宋体" w:cs="Times New Roman"/>
      <w:sz w:val="21"/>
    </w:rPr>
  </w:style>
  <w:style w:type="character" w:customStyle="1" w:styleId="535">
    <w:name w:val="彩色列表 - 强调文字颜色 1 Char"/>
    <w:link w:val="203"/>
    <w:qFormat/>
    <w:uiPriority w:val="0"/>
    <w:rPr>
      <w:rFonts w:ascii="Calibri" w:hAnsi="Calibri" w:eastAsia="宋体" w:cs="Times New Roman"/>
      <w:sz w:val="21"/>
      <w:szCs w:val="22"/>
      <w14:ligatures w14:val="none"/>
    </w:rPr>
  </w:style>
  <w:style w:type="character" w:customStyle="1" w:styleId="536">
    <w:name w:val="DH 正文 Char"/>
    <w:link w:val="537"/>
    <w:qFormat/>
    <w:uiPriority w:val="0"/>
    <w:rPr>
      <w:rFonts w:ascii="宋体"/>
      <w:sz w:val="24"/>
    </w:rPr>
  </w:style>
  <w:style w:type="paragraph" w:customStyle="1" w:styleId="537">
    <w:name w:val="DH 正文"/>
    <w:basedOn w:val="1"/>
    <w:link w:val="536"/>
    <w:qFormat/>
    <w:uiPriority w:val="0"/>
    <w:pPr>
      <w:spacing w:line="360" w:lineRule="auto"/>
      <w:ind w:firstLine="200" w:firstLineChars="200"/>
    </w:pPr>
    <w:rPr>
      <w:rFonts w:ascii="宋体" w:hAnsiTheme="minorHAnsi" w:eastAsiaTheme="minorEastAsia" w:cstheme="minorBidi"/>
      <w:sz w:val="24"/>
      <w:szCs w:val="24"/>
      <w14:ligatures w14:val="standardContextual"/>
    </w:rPr>
  </w:style>
  <w:style w:type="character" w:customStyle="1" w:styleId="538">
    <w:name w:val="unnamed21"/>
    <w:qFormat/>
    <w:uiPriority w:val="0"/>
    <w:rPr>
      <w:rFonts w:ascii="Calibri" w:hAnsi="Calibri" w:eastAsia="宋体" w:cs="Times New Roman"/>
      <w:color w:val="000000"/>
      <w:sz w:val="20"/>
    </w:rPr>
  </w:style>
  <w:style w:type="character" w:customStyle="1" w:styleId="539">
    <w:name w:val="news1"/>
    <w:qFormat/>
    <w:uiPriority w:val="0"/>
    <w:rPr>
      <w:rFonts w:ascii="Calibri" w:hAnsi="Calibri" w:eastAsia="宋体" w:cs="Times New Roman"/>
      <w:color w:val="4D4D4D"/>
      <w:sz w:val="18"/>
    </w:rPr>
  </w:style>
  <w:style w:type="character" w:customStyle="1" w:styleId="540">
    <w:name w:val="批注引用7"/>
    <w:qFormat/>
    <w:uiPriority w:val="0"/>
    <w:rPr>
      <w:rFonts w:ascii="Calibri" w:hAnsi="Calibri" w:eastAsia="宋体" w:cs="Times New Roman"/>
      <w:sz w:val="21"/>
    </w:rPr>
  </w:style>
  <w:style w:type="character" w:customStyle="1" w:styleId="541">
    <w:name w:val="line1"/>
    <w:qFormat/>
    <w:uiPriority w:val="0"/>
    <w:rPr>
      <w:rFonts w:ascii="Calibri" w:hAnsi="Calibri" w:eastAsia="宋体" w:cs="Times New Roman"/>
    </w:rPr>
  </w:style>
  <w:style w:type="character" w:customStyle="1" w:styleId="542">
    <w:name w:val="Char Char4"/>
    <w:qFormat/>
    <w:uiPriority w:val="0"/>
    <w:rPr>
      <w:rFonts w:ascii="Calibri" w:hAnsi="Calibri" w:eastAsia="宋体" w:cs="Times New Roman"/>
      <w:sz w:val="18"/>
    </w:rPr>
  </w:style>
  <w:style w:type="character" w:customStyle="1" w:styleId="543">
    <w:name w:val="批注引用3"/>
    <w:qFormat/>
    <w:uiPriority w:val="0"/>
    <w:rPr>
      <w:rFonts w:ascii="Calibri" w:hAnsi="Calibri" w:eastAsia="宋体" w:cs="Times New Roman"/>
      <w:sz w:val="21"/>
      <w:szCs w:val="21"/>
    </w:rPr>
  </w:style>
  <w:style w:type="character" w:customStyle="1" w:styleId="544">
    <w:name w:val="样式 8 磅"/>
    <w:qFormat/>
    <w:uiPriority w:val="0"/>
    <w:rPr>
      <w:rFonts w:ascii="Calibri" w:hAnsi="Calibri" w:eastAsia="宋体" w:cs="Times New Roman"/>
      <w:sz w:val="18"/>
    </w:rPr>
  </w:style>
  <w:style w:type="paragraph" w:customStyle="1" w:styleId="545">
    <w:name w:val="Char Char1 Char Char Char Char Char Char Char"/>
    <w:basedOn w:val="1"/>
    <w:qFormat/>
    <w:uiPriority w:val="0"/>
    <w:rPr>
      <w:rFonts w:ascii="Calibri" w:hAnsi="Calibri"/>
      <w:szCs w:val="24"/>
    </w:rPr>
  </w:style>
  <w:style w:type="paragraph" w:customStyle="1" w:styleId="546">
    <w:name w:val="默认段落字体 Para Char Char Char Char"/>
    <w:basedOn w:val="1"/>
    <w:qFormat/>
    <w:uiPriority w:val="0"/>
    <w:pPr>
      <w:widowControl/>
      <w:jc w:val="left"/>
    </w:pPr>
    <w:rPr>
      <w:rFonts w:ascii="Calibri" w:hAnsi="Calibri"/>
      <w:szCs w:val="24"/>
    </w:rPr>
  </w:style>
  <w:style w:type="paragraph" w:customStyle="1" w:styleId="547">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kern w:val="0"/>
      <w:sz w:val="24"/>
      <w:szCs w:val="24"/>
    </w:rPr>
  </w:style>
  <w:style w:type="paragraph" w:customStyle="1" w:styleId="548">
    <w:name w:val="Char Char Char Char Char Char Char Char Char1 Char"/>
    <w:basedOn w:val="1"/>
    <w:qFormat/>
    <w:uiPriority w:val="0"/>
    <w:pPr>
      <w:widowControl/>
      <w:jc w:val="left"/>
    </w:pPr>
    <w:rPr>
      <w:rFonts w:ascii="仿宋_GB2312" w:hAnsi="Calibri" w:eastAsia="仿宋_GB2312"/>
      <w:b/>
      <w:sz w:val="32"/>
      <w:szCs w:val="32"/>
    </w:rPr>
  </w:style>
  <w:style w:type="paragraph" w:customStyle="1" w:styleId="549">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0">
    <w:name w:val="L正文"/>
    <w:basedOn w:val="1"/>
    <w:qFormat/>
    <w:uiPriority w:val="0"/>
    <w:pPr>
      <w:spacing w:afterLines="50"/>
      <w:ind w:left="160" w:leftChars="160" w:firstLine="200" w:firstLineChars="200"/>
    </w:pPr>
    <w:rPr>
      <w:rFonts w:ascii="Calibri" w:hAnsi="Calibri"/>
      <w:b/>
      <w:szCs w:val="24"/>
    </w:rPr>
  </w:style>
  <w:style w:type="paragraph" w:customStyle="1" w:styleId="551">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552">
    <w:name w:val="需求正文"/>
    <w:basedOn w:val="1"/>
    <w:qFormat/>
    <w:uiPriority w:val="0"/>
    <w:pPr>
      <w:widowControl/>
      <w:spacing w:line="300" w:lineRule="auto"/>
      <w:ind w:firstLine="560" w:firstLineChars="200"/>
      <w:jc w:val="left"/>
    </w:pPr>
    <w:rPr>
      <w:rFonts w:ascii="Arial" w:hAnsi="Arial" w:eastAsia="仿宋_GB2312"/>
      <w:sz w:val="28"/>
      <w:szCs w:val="20"/>
    </w:rPr>
  </w:style>
  <w:style w:type="paragraph" w:customStyle="1" w:styleId="553">
    <w:name w:val="列出段落3"/>
    <w:basedOn w:val="1"/>
    <w:qFormat/>
    <w:uiPriority w:val="0"/>
    <w:pPr>
      <w:ind w:firstLine="420" w:firstLineChars="200"/>
    </w:pPr>
    <w:rPr>
      <w:rFonts w:ascii="Cambria" w:hAnsi="Cambria"/>
      <w:sz w:val="24"/>
      <w:szCs w:val="24"/>
    </w:rPr>
  </w:style>
  <w:style w:type="paragraph" w:customStyle="1" w:styleId="554">
    <w:name w:val="Char1"/>
    <w:basedOn w:val="1"/>
    <w:qFormat/>
    <w:uiPriority w:val="0"/>
    <w:pPr>
      <w:widowControl/>
      <w:jc w:val="left"/>
    </w:pPr>
    <w:rPr>
      <w:rFonts w:ascii="仿宋_GB2312" w:hAnsi="Calibri" w:eastAsia="仿宋_GB2312"/>
      <w:b/>
      <w:sz w:val="32"/>
      <w:szCs w:val="20"/>
    </w:rPr>
  </w:style>
  <w:style w:type="paragraph" w:customStyle="1" w:styleId="555">
    <w:name w:val="样式 宋体 小四 黑色 行距: 1.5 倍行距1"/>
    <w:basedOn w:val="1"/>
    <w:qFormat/>
    <w:uiPriority w:val="0"/>
    <w:pPr>
      <w:spacing w:line="360" w:lineRule="auto"/>
      <w:ind w:firstLine="480" w:firstLineChars="200"/>
    </w:pPr>
    <w:rPr>
      <w:rFonts w:ascii="宋体" w:hAnsi="宋体" w:cs="宋体"/>
      <w:color w:val="000000"/>
      <w:kern w:val="0"/>
      <w:szCs w:val="20"/>
    </w:rPr>
  </w:style>
  <w:style w:type="paragraph" w:customStyle="1" w:styleId="556">
    <w:name w:val="p1"/>
    <w:basedOn w:val="1"/>
    <w:qFormat/>
    <w:uiPriority w:val="0"/>
    <w:pPr>
      <w:widowControl/>
      <w:jc w:val="left"/>
    </w:pPr>
    <w:rPr>
      <w:rFonts w:ascii="Helvetica" w:hAnsi="Helvetica" w:eastAsia="等线"/>
      <w:kern w:val="0"/>
      <w:sz w:val="16"/>
      <w:szCs w:val="16"/>
    </w:rPr>
  </w:style>
  <w:style w:type="paragraph" w:customStyle="1" w:styleId="557">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kern w:val="0"/>
      <w:sz w:val="28"/>
      <w:szCs w:val="20"/>
    </w:rPr>
  </w:style>
  <w:style w:type="paragraph" w:customStyle="1" w:styleId="55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9">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olor w:val="000000"/>
      <w:sz w:val="31"/>
      <w:szCs w:val="28"/>
    </w:rPr>
  </w:style>
  <w:style w:type="paragraph" w:customStyle="1" w:styleId="56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56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24"/>
      <w:szCs w:val="24"/>
    </w:rPr>
  </w:style>
  <w:style w:type="paragraph" w:customStyle="1" w:styleId="562">
    <w:name w:val="TOC 标题1"/>
    <w:basedOn w:val="4"/>
    <w:next w:val="1"/>
    <w:qFormat/>
    <w:uiPriority w:val="0"/>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563">
    <w:name w:val="标准段落"/>
    <w:basedOn w:val="1"/>
    <w:qFormat/>
    <w:uiPriority w:val="0"/>
    <w:pPr>
      <w:widowControl/>
      <w:topLinePunct/>
      <w:autoSpaceDE w:val="0"/>
      <w:autoSpaceDN w:val="0"/>
      <w:spacing w:line="360" w:lineRule="auto"/>
      <w:ind w:firstLine="560" w:firstLineChars="200"/>
      <w:jc w:val="left"/>
    </w:pPr>
    <w:rPr>
      <w:rFonts w:ascii="Calibri" w:hAnsi="宋体"/>
      <w:color w:val="FF0000"/>
      <w:sz w:val="28"/>
      <w:szCs w:val="24"/>
    </w:rPr>
  </w:style>
  <w:style w:type="paragraph" w:customStyle="1" w:styleId="564">
    <w:name w:val="正文缩进1"/>
    <w:basedOn w:val="1"/>
    <w:next w:val="3"/>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sz w:val="24"/>
      <w:szCs w:val="20"/>
    </w:rPr>
  </w:style>
  <w:style w:type="paragraph" w:customStyle="1" w:styleId="565">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6">
    <w:name w:val="表文1"/>
    <w:basedOn w:val="1"/>
    <w:qFormat/>
    <w:uiPriority w:val="0"/>
    <w:pPr>
      <w:widowControl/>
      <w:spacing w:line="360" w:lineRule="auto"/>
      <w:ind w:left="-158" w:leftChars="-75" w:firstLine="471" w:firstLineChars="157"/>
      <w:jc w:val="left"/>
    </w:pPr>
    <w:rPr>
      <w:rFonts w:ascii="宋体" w:hAnsi="宋体"/>
      <w:color w:val="000000"/>
      <w:spacing w:val="10"/>
      <w:kern w:val="0"/>
      <w:sz w:val="28"/>
      <w:szCs w:val="18"/>
    </w:rPr>
  </w:style>
  <w:style w:type="paragraph" w:customStyle="1" w:styleId="567">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8">
    <w:name w:val="List Paragraph2"/>
    <w:basedOn w:val="1"/>
    <w:qFormat/>
    <w:uiPriority w:val="0"/>
    <w:pPr>
      <w:widowControl/>
      <w:ind w:firstLine="420" w:firstLineChars="200"/>
      <w:jc w:val="left"/>
    </w:pPr>
    <w:rPr>
      <w:rFonts w:ascii="Calibri" w:hAnsi="Calibri"/>
      <w:kern w:val="0"/>
      <w:sz w:val="20"/>
      <w:szCs w:val="20"/>
    </w:rPr>
  </w:style>
  <w:style w:type="paragraph" w:customStyle="1" w:styleId="569">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70">
    <w:name w:val="Pa9"/>
    <w:basedOn w:val="1"/>
    <w:next w:val="1"/>
    <w:qFormat/>
    <w:uiPriority w:val="0"/>
    <w:pPr>
      <w:widowControl/>
      <w:autoSpaceDE w:val="0"/>
      <w:autoSpaceDN w:val="0"/>
      <w:adjustRightInd w:val="0"/>
      <w:spacing w:before="40" w:line="146" w:lineRule="atLeast"/>
      <w:jc w:val="left"/>
    </w:pPr>
    <w:rPr>
      <w:rFonts w:ascii="Stone Sans" w:hAnsi="Stone Sans"/>
      <w:kern w:val="0"/>
      <w:sz w:val="24"/>
      <w:szCs w:val="24"/>
    </w:rPr>
  </w:style>
  <w:style w:type="paragraph" w:customStyle="1" w:styleId="571">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72">
    <w:name w:val="xl35"/>
    <w:basedOn w:val="1"/>
    <w:qFormat/>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573">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574">
    <w:name w:val="Char Char Char 字元 字元"/>
    <w:basedOn w:val="1"/>
    <w:qFormat/>
    <w:uiPriority w:val="0"/>
    <w:pPr>
      <w:widowControl/>
      <w:spacing w:line="360" w:lineRule="auto"/>
      <w:ind w:firstLine="200" w:firstLineChars="200"/>
      <w:jc w:val="left"/>
    </w:pPr>
    <w:rPr>
      <w:rFonts w:ascii="Calibri" w:hAnsi="Calibri"/>
      <w:szCs w:val="20"/>
    </w:rPr>
  </w:style>
  <w:style w:type="paragraph" w:customStyle="1" w:styleId="575">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kern w:val="0"/>
      <w:sz w:val="24"/>
      <w:szCs w:val="24"/>
    </w:rPr>
  </w:style>
  <w:style w:type="paragraph" w:customStyle="1" w:styleId="576">
    <w:name w:val="p16"/>
    <w:basedOn w:val="1"/>
    <w:qFormat/>
    <w:uiPriority w:val="0"/>
    <w:pPr>
      <w:widowControl/>
      <w:spacing w:before="80" w:after="80"/>
      <w:jc w:val="left"/>
    </w:pPr>
    <w:rPr>
      <w:rFonts w:ascii="Arial" w:hAnsi="Arial" w:cs="Arial"/>
      <w:kern w:val="0"/>
      <w:sz w:val="18"/>
      <w:szCs w:val="18"/>
    </w:rPr>
  </w:style>
  <w:style w:type="paragraph" w:customStyle="1" w:styleId="57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578">
    <w:name w:val="列出段落11"/>
    <w:basedOn w:val="1"/>
    <w:qFormat/>
    <w:uiPriority w:val="0"/>
    <w:pPr>
      <w:widowControl/>
      <w:ind w:firstLine="420" w:firstLineChars="200"/>
      <w:jc w:val="left"/>
    </w:pPr>
    <w:rPr>
      <w:rFonts w:ascii="Calibri" w:hAnsi="Calibri"/>
      <w:kern w:val="0"/>
      <w:sz w:val="24"/>
      <w:szCs w:val="20"/>
    </w:rPr>
  </w:style>
  <w:style w:type="paragraph" w:customStyle="1" w:styleId="579">
    <w:name w:val="正文段落"/>
    <w:basedOn w:val="1"/>
    <w:qFormat/>
    <w:uiPriority w:val="0"/>
    <w:pPr>
      <w:spacing w:line="360" w:lineRule="auto"/>
      <w:ind w:firstLine="440" w:firstLineChars="200"/>
    </w:pPr>
    <w:rPr>
      <w:rFonts w:ascii="宋体" w:hAnsi="宋体" w:cs="宋体"/>
      <w:kern w:val="0"/>
      <w:szCs w:val="20"/>
    </w:rPr>
  </w:style>
  <w:style w:type="paragraph" w:customStyle="1" w:styleId="580">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kern w:val="0"/>
      <w:sz w:val="22"/>
      <w:szCs w:val="20"/>
      <w:lang w:eastAsia="zh-TW"/>
    </w:rPr>
  </w:style>
  <w:style w:type="paragraph" w:customStyle="1" w:styleId="581">
    <w:name w:val="Char Char Char Char Char Char Char Char Char Char"/>
    <w:basedOn w:val="21"/>
    <w:qFormat/>
    <w:uiPriority w:val="0"/>
    <w:rPr>
      <w:rFonts w:ascii="Tahoma" w:hAnsi="Tahoma" w:cs="Times New Roman"/>
      <w:kern w:val="0"/>
      <w:sz w:val="24"/>
      <w:szCs w:val="24"/>
    </w:rPr>
  </w:style>
  <w:style w:type="paragraph" w:customStyle="1" w:styleId="582">
    <w:name w:val="4"/>
    <w:basedOn w:val="1"/>
    <w:next w:val="57"/>
    <w:qFormat/>
    <w:uiPriority w:val="0"/>
    <w:pPr>
      <w:widowControl/>
      <w:spacing w:before="100" w:beforeAutospacing="1" w:after="100" w:afterAutospacing="1"/>
      <w:jc w:val="left"/>
    </w:pPr>
    <w:rPr>
      <w:rFonts w:ascii="宋体" w:hAnsi="宋体"/>
      <w:kern w:val="0"/>
      <w:sz w:val="24"/>
      <w:szCs w:val="24"/>
    </w:rPr>
  </w:style>
  <w:style w:type="paragraph" w:customStyle="1" w:styleId="583">
    <w:name w:val="项目"/>
    <w:basedOn w:val="13"/>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84">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585">
    <w:name w:val="5"/>
    <w:basedOn w:val="1"/>
    <w:next w:val="26"/>
    <w:qFormat/>
    <w:uiPriority w:val="0"/>
    <w:pPr>
      <w:widowControl/>
      <w:ind w:right="26"/>
      <w:jc w:val="left"/>
    </w:pPr>
    <w:rPr>
      <w:rFonts w:ascii="楷体_GB2312" w:hAnsi="Calibri" w:eastAsia="楷体_GB2312"/>
      <w:spacing w:val="4"/>
      <w:kern w:val="0"/>
      <w:sz w:val="28"/>
      <w:szCs w:val="20"/>
    </w:rPr>
  </w:style>
  <w:style w:type="paragraph" w:customStyle="1" w:styleId="58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52"/>
      <w:szCs w:val="52"/>
    </w:rPr>
  </w:style>
  <w:style w:type="paragraph" w:customStyle="1" w:styleId="587">
    <w:name w:val="表格内文"/>
    <w:basedOn w:val="1"/>
    <w:qFormat/>
    <w:uiPriority w:val="0"/>
    <w:pPr>
      <w:widowControl/>
      <w:spacing w:line="360" w:lineRule="auto"/>
      <w:jc w:val="left"/>
    </w:pPr>
    <w:rPr>
      <w:rFonts w:ascii="宋体" w:hAnsi="宋体" w:cs="宋体"/>
      <w:color w:val="000000"/>
      <w:szCs w:val="21"/>
    </w:rPr>
  </w:style>
  <w:style w:type="paragraph" w:customStyle="1" w:styleId="588">
    <w:name w:val="Retrait 2"/>
    <w:basedOn w:val="1"/>
    <w:qFormat/>
    <w:uiPriority w:val="0"/>
    <w:pPr>
      <w:widowControl/>
      <w:spacing w:line="360" w:lineRule="auto"/>
      <w:ind w:left="1417" w:hanging="283"/>
      <w:jc w:val="left"/>
    </w:pPr>
    <w:rPr>
      <w:rFonts w:ascii="Calibri" w:hAnsi="Calibri" w:eastAsia="楷体_GB2312"/>
      <w:bCs/>
      <w:sz w:val="28"/>
      <w:szCs w:val="20"/>
    </w:rPr>
  </w:style>
  <w:style w:type="paragraph" w:customStyle="1" w:styleId="589">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52"/>
      <w:szCs w:val="52"/>
    </w:rPr>
  </w:style>
  <w:style w:type="paragraph" w:customStyle="1" w:styleId="590">
    <w:name w:val="默认段落字体 Para Char Char Char Char Char Char Char Char Char1"/>
    <w:basedOn w:val="1"/>
    <w:qFormat/>
    <w:uiPriority w:val="0"/>
    <w:pPr>
      <w:widowControl/>
      <w:jc w:val="left"/>
    </w:pPr>
    <w:rPr>
      <w:rFonts w:ascii="Calibri" w:hAnsi="Calibri"/>
      <w:szCs w:val="21"/>
    </w:rPr>
  </w:style>
  <w:style w:type="paragraph" w:customStyle="1" w:styleId="59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2">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93">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594">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5">
    <w:name w:val="小标题 1"/>
    <w:basedOn w:val="1"/>
    <w:qFormat/>
    <w:uiPriority w:val="0"/>
    <w:pPr>
      <w:widowControl/>
      <w:autoSpaceDE w:val="0"/>
      <w:autoSpaceDN w:val="0"/>
      <w:adjustRightInd w:val="0"/>
      <w:spacing w:line="360" w:lineRule="atLeast"/>
      <w:jc w:val="left"/>
    </w:pPr>
    <w:rPr>
      <w:rFonts w:ascii="文鼎粗黑" w:hAnsi="Calibri" w:eastAsia="文鼎粗黑"/>
      <w:kern w:val="0"/>
      <w:sz w:val="22"/>
      <w:szCs w:val="20"/>
    </w:rPr>
  </w:style>
  <w:style w:type="paragraph" w:customStyle="1" w:styleId="59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7">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cs="Arial"/>
      <w:b/>
      <w:bCs/>
      <w:kern w:val="0"/>
      <w:sz w:val="44"/>
      <w:szCs w:val="44"/>
    </w:rPr>
  </w:style>
  <w:style w:type="paragraph" w:customStyle="1" w:styleId="598">
    <w:name w:val="E 正文"/>
    <w:basedOn w:val="1"/>
    <w:qFormat/>
    <w:uiPriority w:val="0"/>
    <w:pPr>
      <w:widowControl/>
      <w:spacing w:line="360" w:lineRule="auto"/>
      <w:jc w:val="left"/>
    </w:pPr>
    <w:rPr>
      <w:rFonts w:cs="黑体"/>
      <w:color w:val="000000"/>
      <w:kern w:val="0"/>
      <w:sz w:val="24"/>
      <w:szCs w:val="24"/>
    </w:rPr>
  </w:style>
  <w:style w:type="paragraph" w:customStyle="1" w:styleId="599">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b/>
      <w:bCs/>
      <w:kern w:val="0"/>
      <w:sz w:val="24"/>
      <w:szCs w:val="24"/>
    </w:rPr>
  </w:style>
  <w:style w:type="paragraph" w:customStyle="1" w:styleId="600">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kern w:val="0"/>
      <w:sz w:val="24"/>
      <w:szCs w:val="24"/>
    </w:rPr>
  </w:style>
  <w:style w:type="paragraph" w:customStyle="1" w:styleId="601">
    <w:name w:val="Char1 Char Char Char"/>
    <w:basedOn w:val="1"/>
    <w:qFormat/>
    <w:uiPriority w:val="0"/>
    <w:pPr>
      <w:widowControl/>
      <w:jc w:val="left"/>
    </w:pPr>
    <w:rPr>
      <w:rFonts w:ascii="仿宋_GB2312" w:hAnsi="Calibri" w:eastAsia="仿宋_GB2312"/>
      <w:b/>
      <w:sz w:val="32"/>
      <w:szCs w:val="32"/>
    </w:rPr>
  </w:style>
  <w:style w:type="paragraph" w:customStyle="1" w:styleId="602">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603">
    <w:name w:val="straightmatter"/>
    <w:basedOn w:val="1"/>
    <w:qFormat/>
    <w:uiPriority w:val="0"/>
    <w:pPr>
      <w:widowControl/>
      <w:spacing w:before="120" w:after="120" w:line="288" w:lineRule="atLeast"/>
      <w:ind w:left="120" w:right="120"/>
      <w:jc w:val="left"/>
    </w:pPr>
    <w:rPr>
      <w:rFonts w:ascii="宋体" w:hAnsi="宋体"/>
      <w:color w:val="52987C"/>
      <w:kern w:val="0"/>
      <w:sz w:val="24"/>
      <w:szCs w:val="24"/>
    </w:rPr>
  </w:style>
  <w:style w:type="paragraph" w:customStyle="1" w:styleId="604">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kern w:val="0"/>
      <w:sz w:val="24"/>
      <w:szCs w:val="20"/>
      <w:lang w:eastAsia="zh-TW"/>
    </w:rPr>
  </w:style>
  <w:style w:type="paragraph" w:customStyle="1" w:styleId="605">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6">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kern w:val="0"/>
      <w:sz w:val="24"/>
      <w:szCs w:val="24"/>
    </w:rPr>
  </w:style>
  <w:style w:type="paragraph" w:customStyle="1" w:styleId="607">
    <w:name w:val="默认段落字体 Para Char Char Char Char Char Char Char Char Char"/>
    <w:basedOn w:val="1"/>
    <w:qFormat/>
    <w:uiPriority w:val="0"/>
    <w:pPr>
      <w:widowControl/>
      <w:jc w:val="left"/>
    </w:pPr>
    <w:rPr>
      <w:rFonts w:ascii="Tahoma" w:hAnsi="Tahoma" w:cs="Tahoma"/>
      <w:sz w:val="24"/>
      <w:szCs w:val="24"/>
    </w:rPr>
  </w:style>
  <w:style w:type="paragraph" w:customStyle="1" w:styleId="608">
    <w:name w:val="msolistparagraph"/>
    <w:basedOn w:val="1"/>
    <w:qFormat/>
    <w:uiPriority w:val="0"/>
    <w:pPr>
      <w:ind w:firstLine="420" w:firstLineChars="200"/>
    </w:pPr>
    <w:rPr>
      <w:rFonts w:ascii="Calibri" w:hAnsi="Calibri"/>
      <w:szCs w:val="20"/>
    </w:rPr>
  </w:style>
  <w:style w:type="paragraph" w:customStyle="1" w:styleId="609">
    <w:name w:val="txt"/>
    <w:basedOn w:val="1"/>
    <w:qFormat/>
    <w:uiPriority w:val="0"/>
    <w:pPr>
      <w:widowControl/>
      <w:spacing w:before="100" w:beforeAutospacing="1" w:after="100" w:afterAutospacing="1" w:line="500" w:lineRule="atLeast"/>
      <w:jc w:val="left"/>
    </w:pPr>
    <w:rPr>
      <w:rFonts w:ascii="宋体" w:hAnsi="宋体"/>
      <w:kern w:val="0"/>
      <w:sz w:val="24"/>
      <w:szCs w:val="24"/>
    </w:rPr>
  </w:style>
  <w:style w:type="paragraph" w:customStyle="1" w:styleId="610">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cs="Arial"/>
      <w:b/>
      <w:bCs/>
      <w:kern w:val="0"/>
      <w:sz w:val="24"/>
      <w:szCs w:val="24"/>
    </w:rPr>
  </w:style>
  <w:style w:type="paragraph" w:customStyle="1" w:styleId="611">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2">
    <w:name w:val="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3">
    <w:name w:val="五级条标题"/>
    <w:basedOn w:val="614"/>
    <w:next w:val="402"/>
    <w:qFormat/>
    <w:uiPriority w:val="0"/>
    <w:pPr>
      <w:tabs>
        <w:tab w:val="left" w:pos="1200"/>
      </w:tabs>
      <w:outlineLvl w:val="6"/>
    </w:pPr>
  </w:style>
  <w:style w:type="paragraph" w:customStyle="1" w:styleId="614">
    <w:name w:val="四级条标题"/>
    <w:basedOn w:val="615"/>
    <w:next w:val="402"/>
    <w:qFormat/>
    <w:uiPriority w:val="0"/>
    <w:pPr>
      <w:tabs>
        <w:tab w:val="left" w:pos="1200"/>
      </w:tabs>
      <w:outlineLvl w:val="5"/>
    </w:pPr>
  </w:style>
  <w:style w:type="paragraph" w:customStyle="1" w:styleId="615">
    <w:name w:val="三级条标题"/>
    <w:basedOn w:val="616"/>
    <w:next w:val="402"/>
    <w:qFormat/>
    <w:uiPriority w:val="0"/>
    <w:pPr>
      <w:tabs>
        <w:tab w:val="left" w:pos="1200"/>
      </w:tabs>
      <w:outlineLvl w:val="4"/>
    </w:pPr>
  </w:style>
  <w:style w:type="paragraph" w:customStyle="1" w:styleId="616">
    <w:name w:val="二级条标题"/>
    <w:basedOn w:val="478"/>
    <w:next w:val="402"/>
    <w:qFormat/>
    <w:uiPriority w:val="0"/>
    <w:pPr>
      <w:outlineLvl w:val="3"/>
    </w:pPr>
    <w:rPr>
      <w:rFonts w:ascii="Calibri" w:hAnsi="Calibri" w:eastAsia="宋体"/>
    </w:rPr>
  </w:style>
  <w:style w:type="paragraph" w:customStyle="1" w:styleId="617">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618">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9">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20">
    <w:name w:val="默认段落字体 Para Char Char Char Char Char Char Char Char Char Char Char Char Char Char Char Char Char Char Char"/>
    <w:basedOn w:val="1"/>
    <w:qFormat/>
    <w:uiPriority w:val="0"/>
    <w:pPr>
      <w:widowControl/>
      <w:jc w:val="left"/>
    </w:pPr>
    <w:rPr>
      <w:rFonts w:ascii="Tahoma" w:hAnsi="Tahoma"/>
      <w:sz w:val="24"/>
      <w:szCs w:val="20"/>
    </w:rPr>
  </w:style>
  <w:style w:type="paragraph" w:customStyle="1" w:styleId="621">
    <w:name w:val="默认段落字体 Para Char Char Char Char111"/>
    <w:basedOn w:val="1"/>
    <w:qFormat/>
    <w:uiPriority w:val="0"/>
    <w:pPr>
      <w:widowControl/>
      <w:jc w:val="left"/>
    </w:pPr>
    <w:rPr>
      <w:rFonts w:ascii="Calibri" w:hAnsi="Calibri" w:cs="Calibri"/>
      <w:kern w:val="0"/>
      <w:sz w:val="24"/>
      <w:szCs w:val="24"/>
      <w:lang w:eastAsia="en-US"/>
    </w:rPr>
  </w:style>
  <w:style w:type="paragraph" w:customStyle="1" w:styleId="622">
    <w:name w:val="Revision1"/>
    <w:qFormat/>
    <w:uiPriority w:val="0"/>
    <w:rPr>
      <w:rFonts w:ascii="Times New Roman" w:hAnsi="Times New Roman" w:eastAsia="宋体" w:cs="Times New Roman"/>
      <w:kern w:val="2"/>
      <w:sz w:val="21"/>
      <w:lang w:val="en-US" w:eastAsia="zh-CN" w:bidi="ar-SA"/>
    </w:rPr>
  </w:style>
  <w:style w:type="paragraph" w:customStyle="1" w:styleId="623">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cs="Arial"/>
      <w:kern w:val="0"/>
      <w:sz w:val="20"/>
      <w:szCs w:val="20"/>
    </w:rPr>
  </w:style>
  <w:style w:type="paragraph" w:customStyle="1" w:styleId="624">
    <w:name w:val="Char Char Char Char Char Char Char Char"/>
    <w:basedOn w:val="1"/>
    <w:qFormat/>
    <w:uiPriority w:val="0"/>
    <w:pPr>
      <w:widowControl/>
      <w:tabs>
        <w:tab w:val="left" w:pos="360"/>
      </w:tabs>
      <w:jc w:val="left"/>
    </w:pPr>
    <w:rPr>
      <w:rFonts w:ascii="Calibri" w:hAnsi="Calibri"/>
      <w:sz w:val="24"/>
      <w:szCs w:val="24"/>
    </w:rPr>
  </w:style>
  <w:style w:type="paragraph" w:customStyle="1" w:styleId="625">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spacing w:val="2"/>
      <w:kern w:val="0"/>
      <w:sz w:val="20"/>
      <w:szCs w:val="20"/>
      <w:lang w:eastAsia="zh-TW"/>
    </w:rPr>
  </w:style>
  <w:style w:type="paragraph" w:customStyle="1" w:styleId="626">
    <w:name w:val="默认段落字体 Para Char Char Char Char Char Char Char"/>
    <w:basedOn w:val="1"/>
    <w:qFormat/>
    <w:uiPriority w:val="0"/>
    <w:pPr>
      <w:widowControl/>
      <w:jc w:val="left"/>
    </w:pPr>
    <w:rPr>
      <w:rFonts w:ascii="Tahoma" w:hAnsi="Tahoma"/>
      <w:sz w:val="24"/>
      <w:szCs w:val="20"/>
    </w:rPr>
  </w:style>
  <w:style w:type="paragraph" w:customStyle="1" w:styleId="627">
    <w:name w:val="Char Char Char Char Char Char Char Char Char Char Char Char Char"/>
    <w:basedOn w:val="1"/>
    <w:qFormat/>
    <w:uiPriority w:val="0"/>
    <w:pPr>
      <w:tabs>
        <w:tab w:val="left" w:pos="432"/>
      </w:tabs>
      <w:ind w:left="432" w:hanging="432"/>
    </w:pPr>
    <w:rPr>
      <w:rFonts w:ascii="Calibri" w:hAnsi="Calibri"/>
    </w:rPr>
  </w:style>
  <w:style w:type="paragraph" w:customStyle="1" w:styleId="628">
    <w:name w:val="无间隔11"/>
    <w:basedOn w:val="1"/>
    <w:qFormat/>
    <w:uiPriority w:val="0"/>
    <w:pPr>
      <w:widowControl/>
    </w:pPr>
    <w:rPr>
      <w:rFonts w:ascii="Calibri" w:hAnsi="Calibri" w:cs="Calibri"/>
      <w:kern w:val="0"/>
      <w:szCs w:val="24"/>
      <w:lang w:eastAsia="en-US"/>
    </w:rPr>
  </w:style>
  <w:style w:type="paragraph" w:customStyle="1" w:styleId="629">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kern w:val="0"/>
      <w:sz w:val="24"/>
      <w:szCs w:val="24"/>
    </w:rPr>
  </w:style>
  <w:style w:type="paragraph" w:customStyle="1" w:styleId="630">
    <w:name w:val="p21"/>
    <w:basedOn w:val="1"/>
    <w:qFormat/>
    <w:uiPriority w:val="0"/>
    <w:pPr>
      <w:widowControl/>
      <w:ind w:firstLine="420"/>
    </w:pPr>
    <w:rPr>
      <w:rFonts w:ascii="Calibri" w:hAnsi="Calibri" w:cs="宋体"/>
      <w:kern w:val="0"/>
      <w:szCs w:val="21"/>
    </w:rPr>
  </w:style>
  <w:style w:type="paragraph" w:customStyle="1" w:styleId="631">
    <w:name w:val="Pa0"/>
    <w:basedOn w:val="1"/>
    <w:next w:val="1"/>
    <w:qFormat/>
    <w:uiPriority w:val="0"/>
    <w:pPr>
      <w:widowControl/>
      <w:autoSpaceDE w:val="0"/>
      <w:autoSpaceDN w:val="0"/>
      <w:adjustRightInd w:val="0"/>
      <w:spacing w:line="241" w:lineRule="atLeast"/>
      <w:jc w:val="left"/>
    </w:pPr>
    <w:rPr>
      <w:rFonts w:ascii="H Yg 2gj" w:hAnsi="Calibri" w:eastAsia="H Yg 2gj"/>
      <w:kern w:val="0"/>
      <w:sz w:val="24"/>
      <w:szCs w:val="24"/>
    </w:rPr>
  </w:style>
  <w:style w:type="paragraph" w:customStyle="1" w:styleId="632">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633">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b/>
      <w:bCs/>
      <w:kern w:val="0"/>
      <w:sz w:val="52"/>
      <w:szCs w:val="52"/>
    </w:rPr>
  </w:style>
  <w:style w:type="paragraph" w:customStyle="1" w:styleId="634">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cs="Arial"/>
      <w:kern w:val="0"/>
      <w:sz w:val="32"/>
      <w:szCs w:val="32"/>
    </w:rPr>
  </w:style>
  <w:style w:type="paragraph" w:customStyle="1" w:styleId="635">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6">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7">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638">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szCs w:val="24"/>
    </w:rPr>
  </w:style>
  <w:style w:type="paragraph" w:customStyle="1" w:styleId="639">
    <w:name w:val="缺省文本"/>
    <w:basedOn w:val="1"/>
    <w:qFormat/>
    <w:uiPriority w:val="0"/>
    <w:pPr>
      <w:autoSpaceDE w:val="0"/>
      <w:autoSpaceDN w:val="0"/>
      <w:adjustRightInd w:val="0"/>
      <w:jc w:val="left"/>
    </w:pPr>
    <w:rPr>
      <w:rFonts w:ascii="Calibri" w:hAnsi="Calibri"/>
      <w:kern w:val="0"/>
      <w:sz w:val="24"/>
      <w:szCs w:val="24"/>
    </w:rPr>
  </w:style>
  <w:style w:type="paragraph" w:customStyle="1" w:styleId="640">
    <w:name w:val="Char Char1 Char"/>
    <w:basedOn w:val="1"/>
    <w:qFormat/>
    <w:uiPriority w:val="0"/>
    <w:pPr>
      <w:widowControl/>
      <w:jc w:val="left"/>
    </w:pPr>
    <w:rPr>
      <w:rFonts w:ascii="仿宋_GB2312" w:hAnsi="Calibri" w:eastAsia="仿宋_GB2312"/>
      <w:b/>
      <w:sz w:val="32"/>
      <w:szCs w:val="20"/>
    </w:rPr>
  </w:style>
  <w:style w:type="paragraph" w:customStyle="1" w:styleId="641">
    <w:name w:val="章标题"/>
    <w:next w:val="402"/>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42">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643">
    <w:name w:val="List Paragraph3"/>
    <w:basedOn w:val="1"/>
    <w:qFormat/>
    <w:uiPriority w:val="0"/>
    <w:pPr>
      <w:ind w:firstLine="420" w:firstLineChars="200"/>
    </w:pPr>
    <w:rPr>
      <w:rFonts w:ascii="Calibri" w:hAnsi="Calibri"/>
    </w:rPr>
  </w:style>
  <w:style w:type="paragraph" w:customStyle="1" w:styleId="644">
    <w:name w:val="a2"/>
    <w:basedOn w:val="1"/>
    <w:qFormat/>
    <w:uiPriority w:val="0"/>
    <w:pPr>
      <w:widowControl/>
      <w:spacing w:before="100" w:beforeAutospacing="1" w:after="100" w:afterAutospacing="1"/>
      <w:jc w:val="left"/>
    </w:pPr>
    <w:rPr>
      <w:rFonts w:ascii="Arial Unicode MS" w:hAnsi="Arial Unicode MS"/>
      <w:kern w:val="0"/>
      <w:sz w:val="24"/>
      <w:szCs w:val="24"/>
    </w:rPr>
  </w:style>
  <w:style w:type="paragraph" w:customStyle="1" w:styleId="645">
    <w:name w:val="樣式1"/>
    <w:basedOn w:val="646"/>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6">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spacing w:val="2"/>
      <w:kern w:val="0"/>
      <w:sz w:val="20"/>
      <w:szCs w:val="20"/>
      <w:lang w:eastAsia="zh-TW"/>
    </w:rPr>
  </w:style>
  <w:style w:type="paragraph" w:customStyle="1" w:styleId="64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48">
    <w:name w:val="Char Char2 Char"/>
    <w:basedOn w:val="1"/>
    <w:qFormat/>
    <w:uiPriority w:val="0"/>
    <w:pPr>
      <w:keepNext/>
      <w:keepLines/>
      <w:pageBreakBefore/>
      <w:widowControl/>
      <w:tabs>
        <w:tab w:val="left" w:pos="845"/>
      </w:tabs>
      <w:ind w:left="845" w:hanging="420"/>
      <w:jc w:val="left"/>
    </w:pPr>
    <w:rPr>
      <w:rFonts w:ascii="Tahoma" w:hAnsi="Tahoma"/>
      <w:sz w:val="24"/>
      <w:szCs w:val="20"/>
    </w:rPr>
  </w:style>
  <w:style w:type="paragraph" w:customStyle="1" w:styleId="649">
    <w:name w:val="部分1"/>
    <w:basedOn w:val="1"/>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650">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51">
    <w:name w:val="Char2"/>
    <w:basedOn w:val="1"/>
    <w:qFormat/>
    <w:uiPriority w:val="0"/>
    <w:pPr>
      <w:widowControl/>
      <w:jc w:val="left"/>
    </w:pPr>
    <w:rPr>
      <w:rFonts w:ascii="Calibri" w:hAnsi="Calibri" w:eastAsia="仿宋_GB2312"/>
      <w:sz w:val="28"/>
      <w:szCs w:val="20"/>
    </w:rPr>
  </w:style>
  <w:style w:type="paragraph" w:customStyle="1" w:styleId="652">
    <w:name w:val="b"/>
    <w:basedOn w:val="1"/>
    <w:qFormat/>
    <w:uiPriority w:val="0"/>
    <w:pPr>
      <w:widowControl/>
      <w:adjustRightInd w:val="0"/>
      <w:snapToGrid w:val="0"/>
      <w:jc w:val="center"/>
    </w:pPr>
    <w:rPr>
      <w:rFonts w:ascii="仿宋_GB2312" w:hAnsi="Calibri" w:eastAsia="仿宋_GB2312"/>
      <w:sz w:val="24"/>
      <w:szCs w:val="24"/>
    </w:rPr>
  </w:style>
  <w:style w:type="paragraph" w:customStyle="1" w:styleId="653">
    <w:name w:val="正文文本缩进2"/>
    <w:basedOn w:val="1"/>
    <w:qFormat/>
    <w:uiPriority w:val="0"/>
    <w:pPr>
      <w:widowControl/>
      <w:spacing w:line="200" w:lineRule="atLeast"/>
      <w:ind w:firstLine="301"/>
      <w:jc w:val="left"/>
    </w:pPr>
    <w:rPr>
      <w:rFonts w:ascii="宋体" w:hAnsi="Courier New"/>
      <w:spacing w:val="-4"/>
      <w:sz w:val="18"/>
      <w:szCs w:val="20"/>
    </w:rPr>
  </w:style>
  <w:style w:type="paragraph" w:customStyle="1" w:styleId="654">
    <w:name w:val="content"/>
    <w:basedOn w:val="1"/>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655">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b/>
      <w:bCs/>
      <w:kern w:val="0"/>
      <w:sz w:val="24"/>
      <w:szCs w:val="24"/>
    </w:rPr>
  </w:style>
  <w:style w:type="paragraph" w:customStyle="1" w:styleId="656">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52"/>
      <w:szCs w:val="52"/>
    </w:rPr>
  </w:style>
  <w:style w:type="paragraph" w:customStyle="1" w:styleId="657">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cs="Arial"/>
      <w:kern w:val="0"/>
      <w:sz w:val="32"/>
      <w:szCs w:val="32"/>
    </w:rPr>
  </w:style>
  <w:style w:type="paragraph" w:customStyle="1" w:styleId="658">
    <w:name w:val="中等深浅网格 1 - 强调文字颜色 21"/>
    <w:basedOn w:val="1"/>
    <w:qFormat/>
    <w:uiPriority w:val="0"/>
    <w:pPr>
      <w:widowControl/>
      <w:spacing w:after="200" w:line="276" w:lineRule="auto"/>
      <w:ind w:left="720"/>
      <w:contextualSpacing/>
      <w:jc w:val="left"/>
    </w:pPr>
    <w:rPr>
      <w:rFonts w:ascii="Calibri" w:hAnsi="Calibri"/>
      <w:kern w:val="0"/>
      <w:sz w:val="22"/>
      <w:lang w:eastAsia="en-US"/>
    </w:rPr>
  </w:style>
  <w:style w:type="paragraph" w:customStyle="1" w:styleId="659">
    <w:name w:val="表身"/>
    <w:basedOn w:val="1"/>
    <w:qFormat/>
    <w:uiPriority w:val="0"/>
    <w:pPr>
      <w:autoSpaceDE w:val="0"/>
      <w:autoSpaceDN w:val="0"/>
      <w:adjustRightInd w:val="0"/>
      <w:jc w:val="left"/>
    </w:pPr>
    <w:rPr>
      <w:rFonts w:ascii="Calibri" w:hAnsi="Calibri"/>
      <w:kern w:val="0"/>
      <w:sz w:val="18"/>
      <w:szCs w:val="20"/>
    </w:rPr>
  </w:style>
  <w:style w:type="paragraph" w:customStyle="1" w:styleId="660">
    <w:name w:val="font10"/>
    <w:basedOn w:val="1"/>
    <w:qFormat/>
    <w:uiPriority w:val="0"/>
    <w:pPr>
      <w:widowControl/>
      <w:spacing w:before="100" w:beforeAutospacing="1" w:after="100" w:afterAutospacing="1"/>
      <w:jc w:val="left"/>
    </w:pPr>
    <w:rPr>
      <w:rFonts w:ascii="Calibri" w:hAnsi="Calibri"/>
      <w:color w:val="FF0000"/>
      <w:kern w:val="0"/>
      <w:sz w:val="16"/>
      <w:szCs w:val="16"/>
    </w:rPr>
  </w:style>
  <w:style w:type="paragraph" w:customStyle="1" w:styleId="661">
    <w:name w:val="说明书3级标题"/>
    <w:basedOn w:val="1"/>
    <w:next w:val="1"/>
    <w:qFormat/>
    <w:uiPriority w:val="0"/>
    <w:pPr>
      <w:tabs>
        <w:tab w:val="left" w:pos="1572"/>
      </w:tabs>
      <w:spacing w:line="360" w:lineRule="auto"/>
      <w:ind w:left="1572" w:hanging="720"/>
    </w:pPr>
    <w:rPr>
      <w:rFonts w:ascii="Calibri" w:hAnsi="Calibri" w:eastAsia="黑体"/>
      <w:sz w:val="24"/>
      <w:szCs w:val="24"/>
    </w:rPr>
  </w:style>
  <w:style w:type="paragraph" w:customStyle="1" w:styleId="662">
    <w:name w:val="pchart_body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3">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32"/>
      <w:szCs w:val="32"/>
    </w:rPr>
  </w:style>
  <w:style w:type="paragraph" w:customStyle="1" w:styleId="664">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5">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b/>
      <w:bCs/>
      <w:kern w:val="0"/>
      <w:sz w:val="52"/>
      <w:szCs w:val="52"/>
    </w:rPr>
  </w:style>
  <w:style w:type="paragraph" w:customStyle="1" w:styleId="666">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7">
    <w:name w:val="Pa10"/>
    <w:basedOn w:val="1"/>
    <w:next w:val="1"/>
    <w:qFormat/>
    <w:uiPriority w:val="0"/>
    <w:pPr>
      <w:widowControl/>
      <w:autoSpaceDE w:val="0"/>
      <w:autoSpaceDN w:val="0"/>
      <w:adjustRightInd w:val="0"/>
      <w:spacing w:before="20" w:line="136" w:lineRule="atLeast"/>
      <w:jc w:val="left"/>
    </w:pPr>
    <w:rPr>
      <w:rFonts w:ascii="Stone Sans" w:hAnsi="Stone Sans"/>
      <w:kern w:val="0"/>
      <w:sz w:val="24"/>
      <w:szCs w:val="24"/>
    </w:rPr>
  </w:style>
  <w:style w:type="paragraph" w:customStyle="1" w:styleId="668">
    <w:name w:val="标题3级"/>
    <w:basedOn w:val="6"/>
    <w:qFormat/>
    <w:uiPriority w:val="0"/>
    <w:pPr>
      <w:widowControl/>
      <w:numPr>
        <w:ilvl w:val="2"/>
        <w:numId w:val="4"/>
      </w:numPr>
      <w:tabs>
        <w:tab w:val="left" w:pos="425"/>
        <w:tab w:val="left" w:pos="851"/>
        <w:tab w:val="left" w:pos="902"/>
      </w:tabs>
      <w:spacing w:before="0" w:after="0" w:line="360" w:lineRule="auto"/>
      <w:ind w:firstLine="100" w:firstLineChars="100"/>
      <w:jc w:val="left"/>
    </w:pPr>
    <w:rPr>
      <w:rFonts w:ascii="Times New Roman" w:hAnsi="Times New Roman" w:eastAsia="宋体" w:cs="Times New Roman"/>
      <w:b/>
      <w:color w:val="000000"/>
      <w:szCs w:val="20"/>
    </w:rPr>
  </w:style>
  <w:style w:type="paragraph" w:customStyle="1" w:styleId="669">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kern w:val="0"/>
      <w:sz w:val="24"/>
      <w:szCs w:val="24"/>
    </w:rPr>
  </w:style>
  <w:style w:type="paragraph" w:customStyle="1" w:styleId="670">
    <w:name w:val="TOC Heading1"/>
    <w:basedOn w:val="4"/>
    <w:next w:val="1"/>
    <w:qFormat/>
    <w:uiPriority w:val="0"/>
    <w:pPr>
      <w:widowControl/>
      <w:spacing w:before="0" w:after="0" w:line="276" w:lineRule="auto"/>
      <w:jc w:val="left"/>
      <w:outlineLvl w:val="9"/>
    </w:pPr>
    <w:rPr>
      <w:rFonts w:ascii="Cambria" w:hAnsi="Cambria" w:eastAsia="宋体" w:cs="Times New Roman"/>
      <w:b/>
      <w:bCs/>
      <w:color w:val="365F91"/>
      <w:kern w:val="0"/>
      <w:sz w:val="28"/>
      <w:szCs w:val="28"/>
    </w:rPr>
  </w:style>
  <w:style w:type="paragraph" w:customStyle="1" w:styleId="671">
    <w:name w:val="xl39"/>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672">
    <w:name w:val="表项"/>
    <w:basedOn w:val="1"/>
    <w:qFormat/>
    <w:uiPriority w:val="0"/>
    <w:pPr>
      <w:autoSpaceDE w:val="0"/>
      <w:autoSpaceDN w:val="0"/>
      <w:adjustRightInd w:val="0"/>
      <w:spacing w:line="300" w:lineRule="auto"/>
      <w:jc w:val="center"/>
    </w:pPr>
    <w:rPr>
      <w:rFonts w:ascii="Arial" w:hAnsi="Arial" w:eastAsia="黑体"/>
      <w:kern w:val="0"/>
      <w:sz w:val="18"/>
      <w:szCs w:val="20"/>
    </w:rPr>
  </w:style>
  <w:style w:type="paragraph" w:customStyle="1" w:styleId="673">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4">
    <w:name w:val="b13"/>
    <w:basedOn w:val="1"/>
    <w:qFormat/>
    <w:uiPriority w:val="0"/>
    <w:pPr>
      <w:widowControl/>
      <w:autoSpaceDE w:val="0"/>
      <w:autoSpaceDN w:val="0"/>
      <w:adjustRightInd w:val="0"/>
      <w:spacing w:after="120"/>
      <w:jc w:val="left"/>
      <w:textAlignment w:val="bottom"/>
    </w:pPr>
    <w:rPr>
      <w:rFonts w:ascii="Calibri" w:hAnsi="Calibri" w:eastAsia="華康粗圓體"/>
      <w:kern w:val="0"/>
      <w:sz w:val="26"/>
      <w:szCs w:val="20"/>
      <w:lang w:eastAsia="zh-TW"/>
    </w:rPr>
  </w:style>
  <w:style w:type="paragraph" w:customStyle="1" w:styleId="675">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kern w:val="0"/>
      <w:sz w:val="52"/>
      <w:szCs w:val="52"/>
    </w:rPr>
  </w:style>
  <w:style w:type="paragraph" w:customStyle="1" w:styleId="676">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677">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8">
    <w:name w:val="Char Char Char"/>
    <w:basedOn w:val="1"/>
    <w:qFormat/>
    <w:uiPriority w:val="0"/>
    <w:pPr>
      <w:widowControl/>
      <w:jc w:val="left"/>
    </w:pPr>
    <w:rPr>
      <w:rFonts w:ascii="Tahoma" w:hAnsi="Tahoma"/>
      <w:sz w:val="24"/>
      <w:szCs w:val="20"/>
    </w:rPr>
  </w:style>
  <w:style w:type="paragraph" w:customStyle="1" w:styleId="679">
    <w:name w:val="小四 段落 宋体 Char Char Char"/>
    <w:basedOn w:val="17"/>
    <w:qFormat/>
    <w:uiPriority w:val="0"/>
    <w:pPr>
      <w:tabs>
        <w:tab w:val="left" w:pos="1320"/>
        <w:tab w:val="clear" w:pos="454"/>
        <w:tab w:val="clear" w:pos="720"/>
        <w:tab w:val="clear" w:pos="900"/>
      </w:tabs>
      <w:snapToGrid/>
      <w:spacing w:line="360" w:lineRule="auto"/>
      <w:ind w:right="-33" w:firstLine="480" w:firstLineChars="200"/>
      <w:jc w:val="left"/>
    </w:pPr>
    <w:rPr>
      <w:sz w:val="24"/>
      <w:szCs w:val="24"/>
    </w:rPr>
  </w:style>
  <w:style w:type="paragraph" w:customStyle="1" w:styleId="680">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kern w:val="0"/>
      <w:sz w:val="24"/>
      <w:szCs w:val="24"/>
    </w:rPr>
  </w:style>
  <w:style w:type="paragraph" w:customStyle="1" w:styleId="681">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2">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683">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84">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685">
    <w:name w:val="Char1 Char Char Char Char Char Char"/>
    <w:basedOn w:val="1"/>
    <w:qFormat/>
    <w:uiPriority w:val="0"/>
    <w:rPr>
      <w:rFonts w:ascii="Calibri" w:hAnsi="Calibri"/>
      <w:szCs w:val="20"/>
    </w:rPr>
  </w:style>
  <w:style w:type="paragraph" w:customStyle="1" w:styleId="686">
    <w:name w:val="正文文本1"/>
    <w:basedOn w:val="1"/>
    <w:qFormat/>
    <w:uiPriority w:val="0"/>
    <w:pPr>
      <w:spacing w:after="120"/>
    </w:pPr>
    <w:rPr>
      <w:rFonts w:ascii="Calibri" w:hAnsi="Calibri"/>
      <w:kern w:val="0"/>
      <w:sz w:val="20"/>
      <w:szCs w:val="24"/>
    </w:rPr>
  </w:style>
  <w:style w:type="paragraph" w:customStyle="1" w:styleId="687">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8">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kern w:val="0"/>
      <w:sz w:val="24"/>
      <w:szCs w:val="20"/>
    </w:rPr>
  </w:style>
  <w:style w:type="paragraph" w:customStyle="1" w:styleId="689">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b/>
      <w:bCs/>
      <w:kern w:val="0"/>
      <w:sz w:val="44"/>
      <w:szCs w:val="44"/>
    </w:rPr>
  </w:style>
  <w:style w:type="paragraph" w:customStyle="1" w:styleId="690">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b/>
      <w:spacing w:val="-5"/>
      <w:sz w:val="28"/>
      <w:szCs w:val="20"/>
    </w:rPr>
  </w:style>
  <w:style w:type="paragraph" w:customStyle="1" w:styleId="691">
    <w:name w:val="Char Char19"/>
    <w:basedOn w:val="1"/>
    <w:qFormat/>
    <w:uiPriority w:val="0"/>
    <w:pPr>
      <w:widowControl/>
      <w:jc w:val="left"/>
    </w:pPr>
    <w:rPr>
      <w:rFonts w:ascii="Tahoma" w:hAnsi="Tahoma"/>
      <w:sz w:val="24"/>
      <w:szCs w:val="20"/>
    </w:rPr>
  </w:style>
  <w:style w:type="paragraph" w:customStyle="1" w:styleId="692">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693">
    <w:name w:val="样式 首行缩进:  2 字符"/>
    <w:basedOn w:val="1"/>
    <w:qFormat/>
    <w:uiPriority w:val="0"/>
    <w:pPr>
      <w:spacing w:line="400" w:lineRule="exact"/>
      <w:ind w:firstLine="200" w:firstLineChars="200"/>
    </w:pPr>
    <w:rPr>
      <w:rFonts w:cs="宋体"/>
      <w:sz w:val="24"/>
      <w:szCs w:val="24"/>
    </w:rPr>
  </w:style>
  <w:style w:type="paragraph" w:customStyle="1" w:styleId="694">
    <w:name w:val="10号线正文"/>
    <w:basedOn w:val="1"/>
    <w:qFormat/>
    <w:uiPriority w:val="0"/>
    <w:pPr>
      <w:widowControl/>
      <w:spacing w:line="360" w:lineRule="auto"/>
      <w:ind w:firstLine="482" w:firstLineChars="200"/>
      <w:jc w:val="left"/>
    </w:pPr>
    <w:rPr>
      <w:rFonts w:ascii="宋体" w:hAnsi="Calibri" w:cs="宋体"/>
      <w:sz w:val="24"/>
      <w:szCs w:val="24"/>
    </w:rPr>
  </w:style>
  <w:style w:type="paragraph" w:customStyle="1" w:styleId="695">
    <w:name w:val="TOC 标题2"/>
    <w:basedOn w:val="4"/>
    <w:next w:val="1"/>
    <w:qFormat/>
    <w:uiPriority w:val="0"/>
    <w:pPr>
      <w:widowControl/>
      <w:spacing w:before="0" w:after="0" w:line="276" w:lineRule="auto"/>
      <w:jc w:val="left"/>
      <w:outlineLvl w:val="9"/>
    </w:pPr>
    <w:rPr>
      <w:rFonts w:ascii="Cambria" w:hAnsi="Cambria" w:eastAsia="宋体" w:cs="Times New Roman"/>
      <w:b/>
      <w:bCs/>
      <w:color w:val="365F90"/>
      <w:kern w:val="0"/>
      <w:sz w:val="28"/>
      <w:szCs w:val="28"/>
    </w:rPr>
  </w:style>
  <w:style w:type="paragraph" w:customStyle="1" w:styleId="696">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697">
    <w:name w:val="样式 Verdana 首行缩进:  0.74 厘米"/>
    <w:basedOn w:val="1"/>
    <w:qFormat/>
    <w:uiPriority w:val="0"/>
    <w:pPr>
      <w:widowControl/>
      <w:jc w:val="left"/>
    </w:pPr>
    <w:rPr>
      <w:rFonts w:ascii="Verdana" w:hAnsi="Verdana"/>
      <w:szCs w:val="20"/>
    </w:rPr>
  </w:style>
  <w:style w:type="paragraph" w:customStyle="1" w:styleId="698">
    <w:name w:val="集群正文"/>
    <w:basedOn w:val="1"/>
    <w:qFormat/>
    <w:uiPriority w:val="0"/>
    <w:pPr>
      <w:spacing w:beforeLines="50" w:line="312" w:lineRule="auto"/>
      <w:ind w:firstLine="480" w:firstLineChars="200"/>
    </w:pPr>
    <w:rPr>
      <w:rFonts w:ascii="Calibri" w:hAnsi="Calibri"/>
      <w:sz w:val="28"/>
      <w:szCs w:val="20"/>
    </w:rPr>
  </w:style>
  <w:style w:type="paragraph" w:customStyle="1" w:styleId="699">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700">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b/>
      <w:bCs/>
      <w:kern w:val="0"/>
      <w:sz w:val="22"/>
    </w:rPr>
  </w:style>
  <w:style w:type="paragraph" w:customStyle="1" w:styleId="701">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b/>
      <w:bCs/>
      <w:kern w:val="0"/>
      <w:sz w:val="52"/>
      <w:szCs w:val="52"/>
    </w:rPr>
  </w:style>
  <w:style w:type="paragraph" w:customStyle="1" w:styleId="702">
    <w:name w:val="font9"/>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703">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704">
    <w:name w:val="Char Char Char Char Char Char Char"/>
    <w:basedOn w:val="1"/>
    <w:qFormat/>
    <w:uiPriority w:val="0"/>
    <w:pPr>
      <w:widowControl/>
      <w:tabs>
        <w:tab w:val="left" w:pos="432"/>
      </w:tabs>
      <w:ind w:left="432" w:hanging="432"/>
      <w:jc w:val="left"/>
    </w:pPr>
    <w:rPr>
      <w:rFonts w:ascii="Tahoma" w:hAnsi="Tahoma"/>
      <w:sz w:val="24"/>
      <w:szCs w:val="20"/>
    </w:rPr>
  </w:style>
  <w:style w:type="paragraph" w:customStyle="1" w:styleId="705">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06">
    <w:name w:val="Char11"/>
    <w:basedOn w:val="1"/>
    <w:qFormat/>
    <w:uiPriority w:val="0"/>
    <w:pPr>
      <w:widowControl/>
      <w:jc w:val="left"/>
    </w:pPr>
    <w:rPr>
      <w:rFonts w:ascii="仿宋_GB2312" w:hAnsi="Calibri" w:eastAsia="仿宋_GB2312"/>
      <w:b/>
      <w:sz w:val="32"/>
      <w:szCs w:val="20"/>
    </w:rPr>
  </w:style>
  <w:style w:type="paragraph" w:customStyle="1" w:styleId="707">
    <w:name w:val="无间隔3"/>
    <w:basedOn w:val="1"/>
    <w:qFormat/>
    <w:uiPriority w:val="0"/>
    <w:pPr>
      <w:snapToGrid w:val="0"/>
    </w:pPr>
    <w:rPr>
      <w:rFonts w:ascii="仿宋_GB2312" w:hAnsi="Calibri" w:eastAsia="仿宋_GB2312"/>
      <w:b/>
      <w:kern w:val="0"/>
      <w:sz w:val="30"/>
      <w:szCs w:val="24"/>
    </w:rPr>
  </w:style>
  <w:style w:type="paragraph" w:customStyle="1" w:styleId="708">
    <w:name w:val="彩色列表 - 强调文字颜色 111"/>
    <w:basedOn w:val="1"/>
    <w:qFormat/>
    <w:uiPriority w:val="34"/>
    <w:pPr>
      <w:ind w:firstLine="420" w:firstLineChars="200"/>
    </w:pPr>
    <w:rPr>
      <w:rFonts w:ascii="Calibri" w:hAnsi="Calibri"/>
    </w:rPr>
  </w:style>
  <w:style w:type="paragraph" w:customStyle="1" w:styleId="709">
    <w:name w:val="小四 段落 宋体 Char Char"/>
    <w:basedOn w:val="1"/>
    <w:qFormat/>
    <w:uiPriority w:val="0"/>
    <w:pPr>
      <w:widowControl/>
      <w:spacing w:line="360" w:lineRule="auto"/>
      <w:ind w:firstLine="480" w:firstLineChars="200"/>
      <w:jc w:val="left"/>
    </w:pPr>
    <w:rPr>
      <w:rFonts w:ascii="宋体" w:hAnsi="宋体"/>
      <w:sz w:val="24"/>
      <w:szCs w:val="24"/>
    </w:rPr>
  </w:style>
  <w:style w:type="table" w:customStyle="1" w:styleId="710">
    <w:name w:val="中等深浅网格 31"/>
    <w:basedOn w:val="61"/>
    <w:qFormat/>
    <w:uiPriority w:val="0"/>
    <w:rPr>
      <w:rFonts w:ascii="Times New Roman" w:hAnsi="Times New Roman" w:eastAsia="宋体" w:cs="Times New Roman"/>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11">
    <w:name w:val="题注1"/>
    <w:basedOn w:val="1"/>
    <w:next w:val="1"/>
    <w:unhideWhenUsed/>
    <w:qFormat/>
    <w:uiPriority w:val="99"/>
    <w:rPr>
      <w:rFonts w:ascii="Calibri Light" w:hAnsi="Calibri Light" w:eastAsia="黑体"/>
      <w:sz w:val="20"/>
      <w:szCs w:val="20"/>
    </w:rPr>
  </w:style>
  <w:style w:type="table" w:customStyle="1" w:styleId="712">
    <w:name w:val="网格型1"/>
    <w:basedOn w:val="6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3">
    <w:name w:val="批注文字 Char"/>
    <w:basedOn w:val="70"/>
    <w:qFormat/>
    <w:uiPriority w:val="99"/>
    <w:rPr>
      <w:rFonts w:ascii="Calibri" w:hAnsi="Calibri" w:eastAsia="宋体" w:cs="Times New Roman"/>
    </w:rPr>
  </w:style>
  <w:style w:type="paragraph" w:customStyle="1" w:styleId="714">
    <w:name w:val="ZJGIS-五级标题"/>
    <w:basedOn w:val="1"/>
    <w:qFormat/>
    <w:uiPriority w:val="0"/>
    <w:pPr>
      <w:numPr>
        <w:ilvl w:val="4"/>
        <w:numId w:val="5"/>
      </w:numPr>
      <w:spacing w:line="360" w:lineRule="auto"/>
      <w:ind w:firstLine="482" w:firstLineChars="200"/>
    </w:pPr>
    <w:rPr>
      <w:rFonts w:ascii="仿宋" w:hAnsi="仿宋" w:eastAsia="仿宋"/>
      <w:b/>
      <w:sz w:val="24"/>
      <w:szCs w:val="24"/>
    </w:rPr>
  </w:style>
  <w:style w:type="paragraph" w:customStyle="1" w:styleId="715">
    <w:name w:val="标题2"/>
    <w:basedOn w:val="5"/>
    <w:qFormat/>
    <w:uiPriority w:val="0"/>
    <w:pPr>
      <w:tabs>
        <w:tab w:val="left" w:pos="840"/>
      </w:tabs>
      <w:spacing w:before="260" w:after="260" w:line="416" w:lineRule="auto"/>
      <w:ind w:left="567" w:hanging="420"/>
    </w:pPr>
    <w:rPr>
      <w:rFonts w:ascii="Cambria" w:hAnsi="Cambria" w:eastAsia="宋体" w:cs="Times New Roman"/>
      <w:b/>
      <w:bCs/>
      <w:color w:val="000000"/>
      <w:sz w:val="32"/>
      <w:szCs w:val="32"/>
    </w:rPr>
  </w:style>
  <w:style w:type="paragraph" w:customStyle="1" w:styleId="716">
    <w:name w:val="z-窗体底端1"/>
    <w:basedOn w:val="1"/>
    <w:next w:val="1"/>
    <w:qFormat/>
    <w:uiPriority w:val="0"/>
    <w:pPr>
      <w:pBdr>
        <w:top w:val="single" w:color="auto" w:sz="6" w:space="1"/>
      </w:pBdr>
      <w:jc w:val="center"/>
    </w:pPr>
    <w:rPr>
      <w:rFonts w:ascii="Arial" w:hAnsi="Arial"/>
      <w:vanish/>
      <w:sz w:val="16"/>
      <w:szCs w:val="16"/>
      <w:lang w:val="zh-CN"/>
    </w:rPr>
  </w:style>
  <w:style w:type="paragraph" w:customStyle="1" w:styleId="717">
    <w:name w:val="文章正文"/>
    <w:basedOn w:val="135"/>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8">
    <w:name w:val="_Style 31"/>
    <w:basedOn w:val="1"/>
    <w:next w:val="104"/>
    <w:qFormat/>
    <w:uiPriority w:val="34"/>
    <w:pPr>
      <w:widowControl/>
      <w:adjustRightInd w:val="0"/>
      <w:spacing w:afterLines="50" w:line="360" w:lineRule="auto"/>
      <w:ind w:firstLine="420" w:firstLineChars="200"/>
      <w:jc w:val="left"/>
      <w:textAlignment w:val="baseline"/>
    </w:pPr>
    <w:rPr>
      <w:rFonts w:ascii="等线" w:hAnsi="等线" w:eastAsia="等线"/>
      <w:kern w:val="0"/>
      <w:sz w:val="28"/>
      <w:szCs w:val="20"/>
    </w:rPr>
  </w:style>
  <w:style w:type="paragraph" w:customStyle="1" w:styleId="719">
    <w:name w:val="列表段落11"/>
    <w:basedOn w:val="1"/>
    <w:qFormat/>
    <w:uiPriority w:val="34"/>
    <w:pPr>
      <w:ind w:firstLine="420" w:firstLineChars="200"/>
    </w:pPr>
    <w:rPr>
      <w:rFonts w:ascii="Calibri" w:hAnsi="Calibri"/>
    </w:rPr>
  </w:style>
  <w:style w:type="paragraph" w:customStyle="1" w:styleId="720">
    <w:name w:val="_Style 45"/>
    <w:basedOn w:val="1"/>
    <w:next w:val="104"/>
    <w:qFormat/>
    <w:uiPriority w:val="34"/>
    <w:pPr>
      <w:ind w:firstLine="420" w:firstLineChars="200"/>
    </w:pPr>
  </w:style>
  <w:style w:type="paragraph" w:customStyle="1" w:styleId="72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2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23">
    <w:name w:val="无间隔4"/>
    <w:next w:val="724"/>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5">
    <w:name w:val="A_表格头"/>
    <w:basedOn w:val="1"/>
    <w:qFormat/>
    <w:uiPriority w:val="0"/>
    <w:pPr>
      <w:jc w:val="center"/>
    </w:pPr>
    <w:rPr>
      <w:rFonts w:eastAsia="黑体"/>
      <w:bCs/>
      <w:kern w:val="0"/>
      <w:szCs w:val="20"/>
    </w:rPr>
  </w:style>
  <w:style w:type="paragraph" w:customStyle="1" w:styleId="726">
    <w:name w:val="A_表格正文（居中）"/>
    <w:basedOn w:val="1"/>
    <w:qFormat/>
    <w:uiPriority w:val="0"/>
    <w:pPr>
      <w:jc w:val="center"/>
    </w:pPr>
    <w:rPr>
      <w:rFonts w:eastAsia="仿宋"/>
      <w:kern w:val="0"/>
      <w:szCs w:val="20"/>
    </w:rPr>
  </w:style>
  <w:style w:type="paragraph" w:customStyle="1" w:styleId="727">
    <w:name w:val="A_表格正文（加黑）"/>
    <w:basedOn w:val="726"/>
    <w:qFormat/>
    <w:uiPriority w:val="0"/>
    <w:rPr>
      <w:b/>
      <w:color w:val="000000"/>
    </w:rPr>
  </w:style>
  <w:style w:type="character" w:customStyle="1" w:styleId="728">
    <w:name w:val="标题 Char"/>
    <w:qFormat/>
    <w:uiPriority w:val="0"/>
    <w:rPr>
      <w:rFonts w:ascii="宋体" w:hAnsi="Courier New" w:eastAsia="宋体" w:cs="Courier New"/>
      <w:kern w:val="2"/>
      <w:sz w:val="21"/>
      <w:szCs w:val="21"/>
      <w:lang w:val="en-US" w:eastAsia="zh-CN" w:bidi="ar-SA"/>
    </w:rPr>
  </w:style>
  <w:style w:type="character" w:customStyle="1" w:styleId="729">
    <w:name w:val="普通(网站) 字符"/>
    <w:link w:val="57"/>
    <w:qFormat/>
    <w:locked/>
    <w:uiPriority w:val="0"/>
    <w:rPr>
      <w:rFonts w:ascii="(使用中文字体)" w:hAnsi="(使用中文字体)" w:eastAsia="宋体" w:cs="(使用中文字体)"/>
      <w:kern w:val="0"/>
      <w:sz w:val="24"/>
      <w14:ligatures w14:val="none"/>
    </w:rPr>
  </w:style>
  <w:style w:type="paragraph" w:customStyle="1" w:styleId="730">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1">
    <w:name w:val="正文（首行缩进2字符）"/>
    <w:basedOn w:val="1"/>
    <w:qFormat/>
    <w:uiPriority w:val="0"/>
    <w:pPr>
      <w:wordWrap w:val="0"/>
      <w:spacing w:line="360" w:lineRule="auto"/>
      <w:ind w:firstLine="420" w:firstLineChars="200"/>
    </w:pPr>
    <w:rPr>
      <w:rFonts w:ascii="宋体" w:hAnsi="Calibri" w:cs="宋体"/>
      <w:szCs w:val="21"/>
    </w:rPr>
  </w:style>
  <w:style w:type="paragraph" w:customStyle="1" w:styleId="732">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33">
    <w:name w:val="[Normal]"/>
    <w:qFormat/>
    <w:uiPriority w:val="0"/>
    <w:rPr>
      <w:rFonts w:ascii="宋体" w:hAnsi="宋体" w:eastAsia="宋体" w:cs="Times New Roman"/>
      <w:sz w:val="24"/>
      <w:szCs w:val="22"/>
      <w:lang w:val="zh-CN" w:eastAsia="zh-CN" w:bidi="ar-SA"/>
    </w:rPr>
  </w:style>
  <w:style w:type="paragraph" w:customStyle="1" w:styleId="734">
    <w:name w:val="正文首行缩进 21"/>
    <w:basedOn w:val="401"/>
    <w:qFormat/>
    <w:uiPriority w:val="0"/>
    <w:pPr>
      <w:ind w:firstLine="420"/>
    </w:pPr>
  </w:style>
  <w:style w:type="paragraph" w:customStyle="1" w:styleId="735">
    <w:name w:val="_Style 3"/>
    <w:basedOn w:val="1"/>
    <w:qFormat/>
    <w:uiPriority w:val="34"/>
    <w:pPr>
      <w:widowControl/>
      <w:spacing w:after="200" w:line="276" w:lineRule="auto"/>
      <w:ind w:left="720"/>
      <w:contextualSpacing/>
      <w:jc w:val="left"/>
    </w:pPr>
    <w:rPr>
      <w:rFonts w:ascii="Calibri" w:hAnsi="Calibri" w:eastAsia="等线"/>
      <w:kern w:val="0"/>
      <w:sz w:val="22"/>
    </w:rPr>
  </w:style>
  <w:style w:type="paragraph" w:customStyle="1" w:styleId="736">
    <w:name w:val="修订5"/>
    <w:next w:val="73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37">
    <w:name w:val="修订6"/>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22289</Words>
  <Characters>23668</Characters>
  <Lines>237</Lines>
  <Paragraphs>66</Paragraphs>
  <TotalTime>1</TotalTime>
  <ScaleCrop>false</ScaleCrop>
  <LinksUpToDate>false</LinksUpToDate>
  <CharactersWithSpaces>24030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2024-09-25T10:20:00Z</dcterms:created>
  <dc:creator>晓 黄</dc:creator>
  <cp:lastModifiedBy>小朋友要去上学了</cp:lastModifiedBy>
  <cp:lastPrinted>2025-06-05T08:57:00Z</cp:lastPrinted>
  <dcterms:modified xsi:type="dcterms:W3CDTF">2025-06-17T09:12:19Z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eyJoZGlkIjoiOTVlZDNiNjc4N2Y5YzJiNWY0NjQxMTBmZmRlYWU5ZTMiLCJ1c2VySWQiOiI1MzgwNTcwNjcifQ==</vt:lpwstr>
  </property>
  <property fmtid="{D5CDD505-2E9C-101B-9397-08002B2CF9AE}" pid="4" name="ICV">
    <vt:lpwstr>FAB96B8E3E3E4BD6B8F3632BA35CFD41_13</vt:lpwstr>
  </property>
</Properties>
</file>