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FC8FC">
      <w:pPr>
        <w:spacing w:before="120" w:beforeLines="50"/>
        <w:jc w:val="center"/>
        <w:rPr>
          <w:rFonts w:hint="eastAsia" w:ascii="华文新魏" w:hAnsi="宋体" w:eastAsia="华文新魏"/>
          <w:b/>
          <w:sz w:val="52"/>
          <w:szCs w:val="52"/>
          <w:u w:val="none" w:color="auto"/>
        </w:rPr>
      </w:pPr>
    </w:p>
    <w:p w14:paraId="4999A9BC">
      <w:pPr>
        <w:spacing w:before="120" w:beforeLines="50"/>
        <w:jc w:val="center"/>
        <w:rPr>
          <w:rFonts w:hint="eastAsia" w:ascii="华文新魏" w:hAnsi="宋体" w:eastAsia="华文新魏"/>
          <w:b/>
          <w:sz w:val="52"/>
          <w:szCs w:val="52"/>
          <w:u w:val="none" w:color="auto"/>
          <w:lang w:eastAsia="zh-CN"/>
        </w:rPr>
      </w:pPr>
      <w:r>
        <w:rPr>
          <w:rFonts w:hint="eastAsia" w:ascii="华文新魏" w:hAnsi="宋体" w:eastAsia="华文新魏"/>
          <w:b/>
          <w:sz w:val="52"/>
          <w:szCs w:val="52"/>
          <w:u w:val="none" w:color="auto"/>
          <w:lang w:eastAsia="zh-CN"/>
        </w:rPr>
        <w:t xml:space="preserve">舟山市涉海涉渔社区矫正对象联合管控应用2.0迭代升级项目 </w:t>
      </w:r>
    </w:p>
    <w:p w14:paraId="55BAEF92">
      <w:pPr>
        <w:spacing w:after="156"/>
        <w:outlineLvl w:val="0"/>
        <w:rPr>
          <w:rFonts w:hint="eastAsia" w:ascii="华文新魏" w:hAnsi="宋体" w:eastAsia="华文新魏"/>
          <w:b/>
          <w:spacing w:val="12"/>
          <w:sz w:val="44"/>
          <w:szCs w:val="44"/>
          <w:u w:val="none" w:color="auto"/>
        </w:rPr>
      </w:pPr>
    </w:p>
    <w:p w14:paraId="70BC51C3">
      <w:pPr>
        <w:spacing w:before="120" w:beforeLines="50"/>
        <w:jc w:val="center"/>
        <w:rPr>
          <w:rFonts w:hint="eastAsia" w:ascii="华文新魏" w:hAnsi="宋体" w:eastAsia="华文新魏"/>
          <w:b/>
          <w:sz w:val="52"/>
          <w:szCs w:val="52"/>
          <w:u w:val="none" w:color="auto"/>
        </w:rPr>
      </w:pPr>
      <w:r>
        <w:rPr>
          <w:rFonts w:hint="eastAsia" w:ascii="华文新魏" w:hAnsi="宋体" w:eastAsia="华文新魏"/>
          <w:b/>
          <w:sz w:val="52"/>
          <w:szCs w:val="52"/>
          <w:u w:val="none" w:color="auto"/>
        </w:rPr>
        <w:t>竞争性磋商文件</w:t>
      </w:r>
    </w:p>
    <w:p w14:paraId="05192FBC">
      <w:pPr>
        <w:pStyle w:val="12"/>
        <w:snapToGrid w:val="0"/>
        <w:spacing w:before="120" w:line="360" w:lineRule="auto"/>
        <w:rPr>
          <w:rFonts w:hint="eastAsia" w:ascii="华文新魏" w:hAnsi="华文新魏" w:eastAsia="华文新魏"/>
          <w:b/>
          <w:sz w:val="32"/>
          <w:u w:val="none" w:color="auto"/>
        </w:rPr>
      </w:pPr>
    </w:p>
    <w:p w14:paraId="7F0F6CD4">
      <w:pPr>
        <w:pStyle w:val="12"/>
        <w:snapToGrid w:val="0"/>
        <w:spacing w:before="156"/>
        <w:ind w:left="1602" w:hanging="1602" w:hangingChars="500"/>
        <w:jc w:val="left"/>
        <w:rPr>
          <w:rFonts w:hint="eastAsia" w:ascii="华文新魏" w:hAnsi="华文新魏" w:eastAsia="华文新魏"/>
          <w:b/>
          <w:sz w:val="32"/>
          <w:u w:val="none" w:color="auto"/>
        </w:rPr>
      </w:pPr>
    </w:p>
    <w:p w14:paraId="0E35408F">
      <w:pPr>
        <w:pStyle w:val="12"/>
        <w:snapToGrid w:val="0"/>
        <w:spacing w:before="156"/>
        <w:ind w:left="1602" w:hanging="1602" w:hangingChars="500"/>
        <w:jc w:val="left"/>
        <w:rPr>
          <w:rFonts w:hint="eastAsia" w:ascii="华文新魏" w:hAnsi="华文新魏" w:eastAsia="华文新魏" w:cs="华文新魏"/>
          <w:b/>
          <w:sz w:val="32"/>
          <w:u w:val="none" w:color="auto"/>
          <w:lang w:val="zh-CN"/>
        </w:rPr>
      </w:pPr>
      <w:r>
        <w:rPr>
          <w:rFonts w:hint="eastAsia" w:ascii="华文新魏" w:hAnsi="华文新魏" w:eastAsia="华文新魏"/>
          <w:b/>
          <w:sz w:val="32"/>
          <w:u w:val="none" w:color="auto"/>
        </w:rPr>
        <w:t>项目名称</w:t>
      </w:r>
      <w:r>
        <w:rPr>
          <w:rFonts w:hint="eastAsia" w:ascii="华文新魏" w:hAnsi="华文新魏" w:eastAsia="华文新魏"/>
          <w:sz w:val="32"/>
          <w:u w:val="none" w:color="auto"/>
        </w:rPr>
        <w:t>：</w:t>
      </w:r>
      <w:r>
        <w:rPr>
          <w:rFonts w:hint="eastAsia" w:ascii="华文新魏" w:hAnsi="华文新魏" w:eastAsia="华文新魏"/>
          <w:b/>
          <w:sz w:val="32"/>
          <w:u w:val="none" w:color="auto"/>
          <w:lang w:val="zh-CN"/>
        </w:rPr>
        <w:t xml:space="preserve">舟山市涉海涉渔社区矫正对象联合管控应用2.0迭代升级项目 </w:t>
      </w:r>
    </w:p>
    <w:p w14:paraId="15F8C8AF">
      <w:pPr>
        <w:pStyle w:val="12"/>
        <w:snapToGrid w:val="0"/>
        <w:spacing w:before="156"/>
        <w:ind w:left="1602" w:hanging="1602" w:hangingChars="500"/>
        <w:jc w:val="left"/>
        <w:rPr>
          <w:rFonts w:hint="eastAsia" w:ascii="华文新魏" w:hAnsi="华文新魏" w:eastAsia="华文新魏" w:cs="华文新魏"/>
          <w:b/>
          <w:sz w:val="32"/>
          <w:u w:val="none" w:color="auto"/>
          <w:lang w:val="zh-CN"/>
        </w:rPr>
      </w:pPr>
    </w:p>
    <w:p w14:paraId="3BE4892C">
      <w:pPr>
        <w:pStyle w:val="12"/>
        <w:snapToGrid w:val="0"/>
        <w:spacing w:before="156"/>
        <w:ind w:left="1602" w:hanging="1602" w:hangingChars="500"/>
        <w:jc w:val="left"/>
        <w:rPr>
          <w:rFonts w:hint="eastAsia" w:ascii="华文新魏" w:hAnsi="华文新魏" w:eastAsia="华文新魏"/>
          <w:b/>
          <w:sz w:val="32"/>
          <w:u w:val="none" w:color="auto"/>
        </w:rPr>
      </w:pPr>
      <w:r>
        <w:rPr>
          <w:rFonts w:hint="eastAsia" w:ascii="华文新魏" w:hAnsi="华文新魏" w:eastAsia="华文新魏" w:cs="华文新魏"/>
          <w:b/>
          <w:sz w:val="32"/>
          <w:u w:val="none" w:color="auto"/>
          <w:lang w:val="zh-CN"/>
        </w:rPr>
        <w:t>项目编号：SZGXZS2025144</w:t>
      </w:r>
    </w:p>
    <w:p w14:paraId="2C09418E">
      <w:pPr>
        <w:pStyle w:val="12"/>
        <w:snapToGrid w:val="0"/>
        <w:spacing w:before="156"/>
        <w:ind w:left="1602" w:hanging="1602" w:hangingChars="500"/>
        <w:jc w:val="left"/>
        <w:rPr>
          <w:rFonts w:hint="eastAsia" w:ascii="华文新魏" w:hAnsi="华文新魏" w:eastAsia="华文新魏"/>
          <w:b/>
          <w:sz w:val="32"/>
          <w:u w:val="none" w:color="auto"/>
          <w:lang w:val="zh-CN"/>
        </w:rPr>
      </w:pPr>
    </w:p>
    <w:p w14:paraId="17EADDFB">
      <w:pPr>
        <w:pStyle w:val="12"/>
        <w:snapToGrid w:val="0"/>
        <w:spacing w:before="156"/>
        <w:ind w:left="1602" w:hanging="1602" w:hangingChars="500"/>
        <w:jc w:val="left"/>
        <w:rPr>
          <w:rFonts w:hint="eastAsia" w:ascii="华文新魏" w:hAnsi="华文新魏" w:eastAsia="华文新魏"/>
          <w:b/>
          <w:sz w:val="32"/>
          <w:u w:val="none" w:color="auto"/>
          <w:lang w:val="zh-CN"/>
        </w:rPr>
      </w:pPr>
      <w:r>
        <w:rPr>
          <w:rFonts w:hint="eastAsia" w:ascii="华文新魏" w:hAnsi="华文新魏" w:eastAsia="华文新魏"/>
          <w:b/>
          <w:sz w:val="32"/>
          <w:u w:val="none" w:color="auto"/>
          <w:lang w:val="zh-CN"/>
        </w:rPr>
        <w:t>采购单位：舟山市司法局</w:t>
      </w:r>
    </w:p>
    <w:p w14:paraId="5D5F7B13">
      <w:pPr>
        <w:pStyle w:val="12"/>
        <w:snapToGrid w:val="0"/>
        <w:spacing w:before="156"/>
        <w:ind w:left="1596" w:leftChars="760"/>
        <w:jc w:val="left"/>
        <w:rPr>
          <w:rFonts w:hint="eastAsia" w:ascii="华文新魏" w:hAnsi="华文新魏" w:eastAsia="华文新魏"/>
          <w:b/>
          <w:sz w:val="32"/>
          <w:u w:val="none" w:color="auto"/>
        </w:rPr>
      </w:pPr>
    </w:p>
    <w:p w14:paraId="0E003DF8">
      <w:pPr>
        <w:pStyle w:val="12"/>
        <w:snapToGrid w:val="0"/>
        <w:spacing w:before="156"/>
        <w:rPr>
          <w:rFonts w:hint="eastAsia" w:ascii="华文新魏" w:hAnsi="华文新魏" w:eastAsia="华文新魏"/>
          <w:b/>
          <w:w w:val="95"/>
          <w:sz w:val="32"/>
          <w:u w:val="none" w:color="auto"/>
        </w:rPr>
      </w:pPr>
      <w:r>
        <w:rPr>
          <w:rFonts w:hint="eastAsia" w:ascii="华文新魏" w:hAnsi="华文新魏" w:eastAsia="华文新魏"/>
          <w:b/>
          <w:w w:val="95"/>
          <w:sz w:val="32"/>
          <w:u w:val="none" w:color="auto"/>
        </w:rPr>
        <w:t>代理机构： 深圳市国信招标有限公司</w:t>
      </w:r>
    </w:p>
    <w:p w14:paraId="3EFF97C2">
      <w:pPr>
        <w:pStyle w:val="12"/>
        <w:snapToGrid w:val="0"/>
        <w:spacing w:before="156" w:line="360" w:lineRule="auto"/>
        <w:ind w:right="608"/>
        <w:rPr>
          <w:rFonts w:hint="eastAsia" w:ascii="华文新魏" w:hAnsi="华文新魏" w:eastAsia="华文新魏"/>
          <w:b/>
          <w:w w:val="95"/>
          <w:sz w:val="32"/>
          <w:u w:val="none" w:color="auto"/>
        </w:rPr>
      </w:pPr>
    </w:p>
    <w:p w14:paraId="5D269943">
      <w:pPr>
        <w:pStyle w:val="12"/>
        <w:snapToGrid w:val="0"/>
        <w:spacing w:before="156" w:line="360" w:lineRule="auto"/>
        <w:ind w:right="608"/>
        <w:rPr>
          <w:rFonts w:hint="eastAsia" w:ascii="华文新魏" w:hAnsi="华文新魏" w:eastAsia="华文新魏"/>
          <w:b/>
          <w:w w:val="95"/>
          <w:sz w:val="32"/>
          <w:u w:val="none" w:color="auto"/>
        </w:rPr>
      </w:pPr>
    </w:p>
    <w:p w14:paraId="6BE780B4">
      <w:pPr>
        <w:pStyle w:val="12"/>
        <w:snapToGrid w:val="0"/>
        <w:spacing w:before="156" w:line="360" w:lineRule="auto"/>
        <w:ind w:left="5961" w:right="608" w:hanging="5968" w:hangingChars="1961"/>
        <w:rPr>
          <w:rFonts w:hint="eastAsia" w:ascii="华文新魏" w:hAnsi="华文新魏" w:eastAsia="华文新魏"/>
          <w:b/>
          <w:w w:val="95"/>
          <w:sz w:val="32"/>
          <w:u w:val="none" w:color="auto"/>
        </w:rPr>
      </w:pPr>
      <w:r>
        <w:rPr>
          <w:rFonts w:hint="eastAsia" w:ascii="华文新魏" w:hAnsi="华文新魏" w:eastAsia="华文新魏"/>
          <w:b/>
          <w:w w:val="95"/>
          <w:sz w:val="32"/>
          <w:u w:val="none" w:color="auto"/>
        </w:rPr>
        <w:t xml:space="preserve">                                   202</w:t>
      </w:r>
      <w:r>
        <w:rPr>
          <w:rFonts w:hint="eastAsia" w:ascii="华文新魏" w:hAnsi="华文新魏" w:eastAsia="华文新魏"/>
          <w:b/>
          <w:w w:val="95"/>
          <w:sz w:val="32"/>
          <w:u w:val="none" w:color="auto"/>
          <w:lang w:val="en-US" w:eastAsia="zh-CN"/>
        </w:rPr>
        <w:t>5</w:t>
      </w:r>
      <w:r>
        <w:rPr>
          <w:rFonts w:hint="eastAsia" w:ascii="华文新魏" w:hAnsi="华文新魏" w:eastAsia="华文新魏"/>
          <w:b/>
          <w:w w:val="95"/>
          <w:sz w:val="32"/>
          <w:u w:val="none" w:color="auto"/>
        </w:rPr>
        <w:t>年0</w:t>
      </w:r>
      <w:r>
        <w:rPr>
          <w:rFonts w:hint="eastAsia" w:ascii="华文新魏" w:hAnsi="华文新魏" w:eastAsia="华文新魏"/>
          <w:b/>
          <w:w w:val="95"/>
          <w:sz w:val="32"/>
          <w:u w:val="none" w:color="auto"/>
          <w:lang w:val="en-US" w:eastAsia="zh-CN"/>
        </w:rPr>
        <w:t>6</w:t>
      </w:r>
      <w:r>
        <w:rPr>
          <w:rFonts w:hint="eastAsia" w:ascii="华文新魏" w:hAnsi="华文新魏" w:eastAsia="华文新魏"/>
          <w:b/>
          <w:w w:val="95"/>
          <w:sz w:val="32"/>
          <w:u w:val="none" w:color="auto"/>
        </w:rPr>
        <w:t>月</w:t>
      </w:r>
      <w:r>
        <w:rPr>
          <w:rFonts w:hint="eastAsia" w:ascii="华文新魏" w:hAnsi="华文新魏" w:eastAsia="华文新魏"/>
          <w:b/>
          <w:w w:val="95"/>
          <w:sz w:val="32"/>
          <w:u w:val="none" w:color="auto"/>
          <w:lang w:val="en-US" w:eastAsia="zh-CN"/>
        </w:rPr>
        <w:t>16</w:t>
      </w:r>
      <w:r>
        <w:rPr>
          <w:rFonts w:hint="eastAsia" w:ascii="华文新魏" w:hAnsi="华文新魏" w:eastAsia="华文新魏"/>
          <w:b/>
          <w:w w:val="95"/>
          <w:sz w:val="32"/>
          <w:u w:val="none" w:color="auto"/>
        </w:rPr>
        <w:t>日</w:t>
      </w:r>
    </w:p>
    <w:p w14:paraId="4C9F6E45">
      <w:pPr>
        <w:pStyle w:val="44"/>
        <w:spacing w:before="120" w:after="120" w:line="360" w:lineRule="auto"/>
        <w:jc w:val="center"/>
        <w:rPr>
          <w:u w:val="none" w:color="auto"/>
        </w:rPr>
        <w:sectPr>
          <w:footerReference r:id="rId3" w:type="default"/>
          <w:pgSz w:w="11906" w:h="16838"/>
          <w:pgMar w:top="1304" w:right="1106" w:bottom="1304" w:left="1531" w:header="1304" w:footer="1304" w:gutter="0"/>
          <w:pgNumType w:start="1"/>
          <w:cols w:space="720" w:num="1"/>
        </w:sectPr>
      </w:pPr>
    </w:p>
    <w:p w14:paraId="2BDA88B4">
      <w:pPr>
        <w:pStyle w:val="44"/>
        <w:spacing w:before="156" w:after="156" w:line="360" w:lineRule="auto"/>
        <w:rPr>
          <w:rFonts w:hint="eastAsia" w:hAnsi="宋体"/>
          <w:sz w:val="32"/>
          <w:szCs w:val="32"/>
          <w:u w:val="none" w:color="auto"/>
        </w:rPr>
      </w:pPr>
    </w:p>
    <w:p w14:paraId="64AAB366">
      <w:pPr>
        <w:pStyle w:val="44"/>
        <w:spacing w:before="156" w:after="156" w:line="360" w:lineRule="auto"/>
        <w:jc w:val="center"/>
        <w:rPr>
          <w:rFonts w:hint="eastAsia" w:hAnsi="宋体"/>
          <w:b/>
          <w:snapToGrid w:val="0"/>
          <w:kern w:val="0"/>
          <w:sz w:val="48"/>
          <w:szCs w:val="48"/>
          <w:u w:val="none" w:color="auto"/>
        </w:rPr>
      </w:pPr>
      <w:r>
        <w:rPr>
          <w:rFonts w:hAnsi="宋体"/>
          <w:b/>
          <w:snapToGrid w:val="0"/>
          <w:kern w:val="0"/>
          <w:sz w:val="48"/>
          <w:szCs w:val="48"/>
          <w:u w:val="none" w:color="auto"/>
        </w:rPr>
        <w:t>目    录</w:t>
      </w:r>
    </w:p>
    <w:p w14:paraId="1730F21A">
      <w:pPr>
        <w:spacing w:line="360" w:lineRule="auto"/>
        <w:rPr>
          <w:rFonts w:hint="eastAsia" w:ascii="宋体" w:hAnsi="宋体"/>
          <w:sz w:val="24"/>
          <w:u w:val="none" w:color="auto"/>
        </w:rPr>
      </w:pPr>
    </w:p>
    <w:p w14:paraId="27231053">
      <w:pPr>
        <w:spacing w:line="360" w:lineRule="auto"/>
        <w:rPr>
          <w:rFonts w:hint="eastAsia" w:ascii="宋体" w:hAnsi="宋体"/>
          <w:sz w:val="24"/>
          <w:u w:val="none" w:color="auto"/>
        </w:rPr>
      </w:pPr>
      <w:r>
        <w:rPr>
          <w:rFonts w:ascii="宋体" w:hAnsi="宋体"/>
          <w:sz w:val="24"/>
          <w:u w:val="none" w:color="auto"/>
        </w:rPr>
        <w:t xml:space="preserve">第一章  </w:t>
      </w:r>
      <w:r>
        <w:rPr>
          <w:rFonts w:hint="eastAsia" w:ascii="宋体" w:hAnsi="宋体"/>
          <w:sz w:val="24"/>
          <w:u w:val="none" w:color="auto"/>
        </w:rPr>
        <w:t>竞争性磋商采购公告</w:t>
      </w:r>
    </w:p>
    <w:p w14:paraId="6D0F514D">
      <w:pPr>
        <w:spacing w:line="360" w:lineRule="auto"/>
        <w:rPr>
          <w:rFonts w:hint="eastAsia" w:ascii="宋体" w:hAnsi="宋体"/>
          <w:sz w:val="24"/>
          <w:u w:val="none" w:color="auto"/>
        </w:rPr>
      </w:pPr>
      <w:r>
        <w:rPr>
          <w:rFonts w:ascii="宋体" w:hAnsi="宋体"/>
          <w:sz w:val="24"/>
          <w:u w:val="none" w:color="auto"/>
        </w:rPr>
        <w:t>第二章  采购需求</w:t>
      </w:r>
    </w:p>
    <w:p w14:paraId="6BF79AFA">
      <w:pPr>
        <w:spacing w:line="360" w:lineRule="auto"/>
        <w:rPr>
          <w:rFonts w:hint="eastAsia" w:ascii="宋体" w:hAnsi="宋体"/>
          <w:sz w:val="24"/>
          <w:u w:val="none" w:color="auto"/>
        </w:rPr>
      </w:pPr>
      <w:r>
        <w:rPr>
          <w:rFonts w:ascii="宋体" w:hAnsi="宋体"/>
          <w:sz w:val="24"/>
          <w:u w:val="none" w:color="auto"/>
        </w:rPr>
        <w:t xml:space="preserve">第三章  </w:t>
      </w:r>
      <w:r>
        <w:rPr>
          <w:rFonts w:hint="eastAsia" w:ascii="宋体" w:hAnsi="宋体"/>
          <w:sz w:val="24"/>
          <w:u w:val="none" w:color="auto"/>
        </w:rPr>
        <w:t>投标人</w:t>
      </w:r>
      <w:r>
        <w:rPr>
          <w:rFonts w:ascii="宋体" w:hAnsi="宋体"/>
          <w:sz w:val="24"/>
          <w:u w:val="none" w:color="auto"/>
        </w:rPr>
        <w:t>须知</w:t>
      </w:r>
    </w:p>
    <w:p w14:paraId="2C6C02C4">
      <w:pPr>
        <w:spacing w:before="120" w:line="360" w:lineRule="auto"/>
        <w:ind w:firstLine="960" w:firstLineChars="400"/>
        <w:rPr>
          <w:rFonts w:hint="eastAsia" w:ascii="宋体" w:hAnsi="宋体"/>
          <w:sz w:val="24"/>
          <w:u w:val="none" w:color="auto"/>
        </w:rPr>
      </w:pPr>
      <w:r>
        <w:rPr>
          <w:rFonts w:ascii="宋体" w:hAnsi="宋体"/>
          <w:sz w:val="24"/>
          <w:u w:val="none" w:color="auto"/>
        </w:rPr>
        <w:t>前附表</w:t>
      </w:r>
    </w:p>
    <w:p w14:paraId="65B8C774">
      <w:pPr>
        <w:spacing w:before="120" w:line="360" w:lineRule="auto"/>
        <w:ind w:firstLine="480" w:firstLineChars="200"/>
        <w:rPr>
          <w:rFonts w:hint="eastAsia" w:ascii="宋体" w:hAnsi="宋体"/>
          <w:sz w:val="24"/>
          <w:u w:val="none" w:color="auto"/>
        </w:rPr>
      </w:pPr>
      <w:r>
        <w:rPr>
          <w:rFonts w:ascii="宋体" w:hAnsi="宋体"/>
          <w:sz w:val="24"/>
          <w:u w:val="none" w:color="auto"/>
        </w:rPr>
        <w:t>一、总 则</w:t>
      </w:r>
    </w:p>
    <w:p w14:paraId="607FA1A1">
      <w:pPr>
        <w:spacing w:before="120" w:line="360" w:lineRule="auto"/>
        <w:ind w:firstLine="480" w:firstLineChars="200"/>
        <w:rPr>
          <w:rFonts w:hint="eastAsia" w:ascii="宋体" w:hAnsi="宋体"/>
          <w:sz w:val="24"/>
          <w:u w:val="none" w:color="auto"/>
        </w:rPr>
      </w:pPr>
      <w:r>
        <w:rPr>
          <w:rFonts w:ascii="宋体" w:hAnsi="宋体"/>
          <w:sz w:val="24"/>
          <w:u w:val="none" w:color="auto"/>
        </w:rPr>
        <w:t>二、</w:t>
      </w:r>
      <w:r>
        <w:rPr>
          <w:rFonts w:hint="eastAsia" w:ascii="宋体" w:hAnsi="宋体"/>
          <w:sz w:val="24"/>
          <w:u w:val="none" w:color="auto"/>
        </w:rPr>
        <w:t>投标</w:t>
      </w:r>
      <w:r>
        <w:rPr>
          <w:rFonts w:ascii="宋体" w:hAnsi="宋体"/>
          <w:sz w:val="24"/>
          <w:u w:val="none" w:color="auto"/>
        </w:rPr>
        <w:t>文件</w:t>
      </w:r>
    </w:p>
    <w:p w14:paraId="16472E40">
      <w:pPr>
        <w:spacing w:before="120" w:line="360" w:lineRule="auto"/>
        <w:ind w:firstLine="480" w:firstLineChars="200"/>
        <w:rPr>
          <w:rFonts w:hint="eastAsia" w:ascii="宋体" w:hAnsi="宋体"/>
          <w:sz w:val="24"/>
          <w:u w:val="none" w:color="auto"/>
        </w:rPr>
      </w:pPr>
      <w:r>
        <w:rPr>
          <w:rFonts w:ascii="宋体" w:hAnsi="宋体"/>
          <w:sz w:val="24"/>
          <w:u w:val="none" w:color="auto"/>
        </w:rPr>
        <w:t>三、</w:t>
      </w:r>
      <w:r>
        <w:rPr>
          <w:rFonts w:hint="eastAsia" w:ascii="宋体" w:hAnsi="宋体"/>
          <w:sz w:val="24"/>
          <w:u w:val="none" w:color="auto"/>
        </w:rPr>
        <w:t>投标</w:t>
      </w:r>
      <w:r>
        <w:rPr>
          <w:rFonts w:ascii="宋体" w:hAnsi="宋体"/>
          <w:sz w:val="24"/>
          <w:u w:val="none" w:color="auto"/>
        </w:rPr>
        <w:t>文件的编制</w:t>
      </w:r>
    </w:p>
    <w:p w14:paraId="542E67FA">
      <w:pPr>
        <w:spacing w:before="120" w:line="360" w:lineRule="auto"/>
        <w:ind w:firstLine="480" w:firstLineChars="200"/>
        <w:rPr>
          <w:rFonts w:hint="eastAsia" w:ascii="宋体" w:hAnsi="宋体"/>
          <w:sz w:val="24"/>
          <w:u w:val="none" w:color="auto"/>
        </w:rPr>
      </w:pPr>
      <w:r>
        <w:rPr>
          <w:rFonts w:ascii="宋体" w:hAnsi="宋体"/>
          <w:sz w:val="24"/>
          <w:u w:val="none" w:color="auto"/>
        </w:rPr>
        <w:t>四、</w:t>
      </w:r>
      <w:r>
        <w:rPr>
          <w:rFonts w:hint="eastAsia" w:ascii="宋体" w:hAnsi="宋体"/>
          <w:sz w:val="24"/>
          <w:u w:val="none" w:color="auto"/>
        </w:rPr>
        <w:t>开标</w:t>
      </w:r>
    </w:p>
    <w:p w14:paraId="510CDB74">
      <w:pPr>
        <w:spacing w:before="120" w:line="360" w:lineRule="auto"/>
        <w:ind w:firstLine="480" w:firstLineChars="200"/>
        <w:rPr>
          <w:rFonts w:hint="eastAsia" w:ascii="宋体" w:hAnsi="宋体"/>
          <w:sz w:val="24"/>
          <w:u w:val="none" w:color="auto"/>
        </w:rPr>
      </w:pPr>
      <w:r>
        <w:rPr>
          <w:rFonts w:ascii="宋体" w:hAnsi="宋体"/>
          <w:sz w:val="24"/>
          <w:u w:val="none" w:color="auto"/>
        </w:rPr>
        <w:t>五、评</w:t>
      </w:r>
      <w:r>
        <w:rPr>
          <w:rFonts w:hint="eastAsia" w:ascii="宋体" w:hAnsi="宋体"/>
          <w:sz w:val="24"/>
          <w:u w:val="none" w:color="auto"/>
        </w:rPr>
        <w:t>标</w:t>
      </w:r>
    </w:p>
    <w:p w14:paraId="2E54ABBA">
      <w:pPr>
        <w:spacing w:before="120" w:line="360" w:lineRule="auto"/>
        <w:ind w:firstLine="480" w:firstLineChars="200"/>
        <w:rPr>
          <w:rFonts w:hint="eastAsia" w:ascii="宋体" w:hAnsi="宋体"/>
          <w:sz w:val="24"/>
          <w:u w:val="none" w:color="auto"/>
        </w:rPr>
      </w:pPr>
      <w:r>
        <w:rPr>
          <w:rFonts w:ascii="宋体" w:hAnsi="宋体"/>
          <w:sz w:val="24"/>
          <w:u w:val="none" w:color="auto"/>
        </w:rPr>
        <w:t>六、定标</w:t>
      </w:r>
    </w:p>
    <w:p w14:paraId="0BCCC3B8">
      <w:pPr>
        <w:spacing w:line="360" w:lineRule="auto"/>
        <w:rPr>
          <w:rFonts w:hint="eastAsia" w:ascii="宋体" w:hAnsi="宋体"/>
          <w:sz w:val="24"/>
          <w:u w:val="none" w:color="auto"/>
        </w:rPr>
      </w:pPr>
      <w:r>
        <w:rPr>
          <w:rFonts w:ascii="宋体" w:hAnsi="宋体"/>
          <w:sz w:val="24"/>
          <w:u w:val="none" w:color="auto"/>
        </w:rPr>
        <w:t xml:space="preserve">第四章  </w:t>
      </w:r>
      <w:r>
        <w:rPr>
          <w:rFonts w:hint="eastAsia" w:ascii="宋体" w:hAnsi="宋体"/>
          <w:sz w:val="24"/>
          <w:u w:val="none" w:color="auto"/>
          <w:lang w:eastAsia="zh-CN"/>
        </w:rPr>
        <w:t>评标方法</w:t>
      </w:r>
      <w:r>
        <w:rPr>
          <w:rFonts w:ascii="宋体" w:hAnsi="宋体"/>
          <w:sz w:val="24"/>
          <w:u w:val="none" w:color="auto"/>
        </w:rPr>
        <w:t>及</w:t>
      </w:r>
      <w:r>
        <w:rPr>
          <w:rFonts w:hint="eastAsia" w:ascii="宋体" w:hAnsi="宋体"/>
          <w:sz w:val="24"/>
          <w:u w:val="none" w:color="auto"/>
        </w:rPr>
        <w:t>评分</w:t>
      </w:r>
      <w:r>
        <w:rPr>
          <w:rFonts w:ascii="宋体" w:hAnsi="宋体"/>
          <w:sz w:val="24"/>
          <w:u w:val="none" w:color="auto"/>
        </w:rPr>
        <w:t>标准</w:t>
      </w:r>
    </w:p>
    <w:p w14:paraId="26413C1E">
      <w:pPr>
        <w:spacing w:line="360" w:lineRule="auto"/>
        <w:rPr>
          <w:rFonts w:hint="eastAsia" w:ascii="宋体" w:hAnsi="宋体"/>
          <w:sz w:val="24"/>
          <w:u w:val="none" w:color="auto"/>
        </w:rPr>
      </w:pPr>
      <w:r>
        <w:rPr>
          <w:rFonts w:ascii="宋体" w:hAnsi="宋体"/>
          <w:sz w:val="24"/>
          <w:u w:val="none" w:color="auto"/>
        </w:rPr>
        <w:t>第五章  合同主要条款</w:t>
      </w:r>
    </w:p>
    <w:p w14:paraId="65AEAE84">
      <w:pPr>
        <w:spacing w:line="360" w:lineRule="auto"/>
        <w:rPr>
          <w:rFonts w:hint="eastAsia" w:ascii="宋体" w:hAnsi="宋体"/>
          <w:sz w:val="24"/>
          <w:u w:val="none" w:color="auto"/>
        </w:rPr>
      </w:pPr>
      <w:r>
        <w:rPr>
          <w:rFonts w:ascii="宋体" w:hAnsi="宋体"/>
          <w:sz w:val="24"/>
          <w:u w:val="none" w:color="auto"/>
        </w:rPr>
        <w:t xml:space="preserve">第六章  </w:t>
      </w:r>
      <w:r>
        <w:rPr>
          <w:rFonts w:hint="eastAsia" w:ascii="宋体" w:hAnsi="宋体"/>
          <w:sz w:val="24"/>
          <w:u w:val="none" w:color="auto"/>
        </w:rPr>
        <w:t>投标</w:t>
      </w:r>
      <w:r>
        <w:rPr>
          <w:rFonts w:ascii="宋体" w:hAnsi="宋体"/>
          <w:sz w:val="24"/>
          <w:u w:val="none" w:color="auto"/>
        </w:rPr>
        <w:t>文件</w:t>
      </w:r>
      <w:r>
        <w:rPr>
          <w:rFonts w:hint="eastAsia" w:ascii="宋体" w:hAnsi="宋体"/>
          <w:sz w:val="24"/>
          <w:u w:val="none" w:color="auto"/>
        </w:rPr>
        <w:t>相关</w:t>
      </w:r>
      <w:r>
        <w:rPr>
          <w:rFonts w:ascii="宋体" w:hAnsi="宋体"/>
          <w:sz w:val="24"/>
          <w:u w:val="none" w:color="auto"/>
        </w:rPr>
        <w:t>格式</w:t>
      </w:r>
    </w:p>
    <w:p w14:paraId="7569B6D9">
      <w:pPr>
        <w:rPr>
          <w:sz w:val="24"/>
          <w:u w:val="none" w:color="auto"/>
        </w:rPr>
      </w:pPr>
    </w:p>
    <w:p w14:paraId="53C551DB">
      <w:pPr>
        <w:pStyle w:val="2"/>
        <w:rPr>
          <w:u w:val="none" w:color="auto"/>
        </w:rPr>
      </w:pPr>
    </w:p>
    <w:p w14:paraId="14099003">
      <w:pPr>
        <w:pStyle w:val="2"/>
        <w:rPr>
          <w:u w:val="none" w:color="auto"/>
        </w:rPr>
      </w:pPr>
    </w:p>
    <w:p w14:paraId="565B197E">
      <w:pPr>
        <w:pStyle w:val="2"/>
        <w:rPr>
          <w:u w:val="none" w:color="auto"/>
        </w:rPr>
      </w:pPr>
    </w:p>
    <w:p w14:paraId="7DE8CBA1">
      <w:pPr>
        <w:pStyle w:val="2"/>
        <w:rPr>
          <w:u w:val="none" w:color="auto"/>
        </w:rPr>
      </w:pPr>
    </w:p>
    <w:p w14:paraId="55BD92BC">
      <w:pPr>
        <w:pStyle w:val="2"/>
        <w:rPr>
          <w:u w:val="none" w:color="auto"/>
        </w:rPr>
      </w:pPr>
    </w:p>
    <w:p w14:paraId="44A22836">
      <w:pPr>
        <w:pStyle w:val="2"/>
        <w:rPr>
          <w:u w:val="none" w:color="auto"/>
        </w:rPr>
      </w:pPr>
    </w:p>
    <w:p w14:paraId="005A1260">
      <w:pPr>
        <w:pStyle w:val="2"/>
        <w:rPr>
          <w:u w:val="none" w:color="auto"/>
        </w:rPr>
      </w:pPr>
    </w:p>
    <w:p w14:paraId="79C7F2E2">
      <w:pPr>
        <w:pStyle w:val="2"/>
        <w:rPr>
          <w:u w:val="none" w:color="auto"/>
        </w:rPr>
      </w:pPr>
    </w:p>
    <w:p w14:paraId="7C1F73F4">
      <w:pPr>
        <w:pStyle w:val="2"/>
        <w:rPr>
          <w:u w:val="none" w:color="auto"/>
        </w:rPr>
      </w:pPr>
    </w:p>
    <w:p w14:paraId="2E4677C9">
      <w:pPr>
        <w:pStyle w:val="2"/>
        <w:rPr>
          <w:u w:val="none" w:color="auto"/>
        </w:rPr>
      </w:pPr>
    </w:p>
    <w:p w14:paraId="7F135E74">
      <w:pPr>
        <w:pStyle w:val="2"/>
        <w:rPr>
          <w:u w:val="none" w:color="auto"/>
        </w:rPr>
      </w:pPr>
    </w:p>
    <w:p w14:paraId="1B8E3B4C">
      <w:pPr>
        <w:numPr>
          <w:ilvl w:val="0"/>
          <w:numId w:val="2"/>
        </w:numPr>
        <w:spacing w:line="360" w:lineRule="auto"/>
        <w:jc w:val="center"/>
        <w:rPr>
          <w:rFonts w:hint="eastAsia" w:ascii="宋体" w:hAnsi="宋体"/>
          <w:b/>
          <w:sz w:val="30"/>
          <w:szCs w:val="30"/>
          <w:u w:val="none" w:color="auto"/>
        </w:rPr>
      </w:pPr>
      <w:bookmarkStart w:id="0" w:name="OLE_LINK1"/>
      <w:r>
        <w:rPr>
          <w:rFonts w:hint="eastAsia" w:ascii="宋体" w:hAnsi="宋体"/>
          <w:b/>
          <w:sz w:val="30"/>
          <w:szCs w:val="30"/>
          <w:u w:val="none" w:color="auto"/>
        </w:rPr>
        <w:t>竞争性磋商</w:t>
      </w:r>
      <w:r>
        <w:rPr>
          <w:rFonts w:ascii="宋体" w:hAnsi="宋体"/>
          <w:b/>
          <w:sz w:val="30"/>
          <w:szCs w:val="30"/>
          <w:u w:val="none" w:color="auto"/>
        </w:rPr>
        <w:t>公告</w:t>
      </w:r>
      <w:bookmarkEnd w:id="0"/>
    </w:p>
    <w:p w14:paraId="432A16C3">
      <w:pPr>
        <w:pStyle w:val="67"/>
        <w:spacing w:beforeAutospacing="0" w:afterAutospacing="0" w:line="312" w:lineRule="auto"/>
        <w:ind w:firstLine="420" w:firstLineChars="200"/>
        <w:jc w:val="both"/>
        <w:rPr>
          <w:rFonts w:hint="eastAsia"/>
          <w:sz w:val="21"/>
          <w:szCs w:val="21"/>
          <w:u w:val="none" w:color="auto"/>
          <w:shd w:val="clear" w:color="auto" w:fill="FFFFFF"/>
        </w:rPr>
      </w:pPr>
    </w:p>
    <w:p w14:paraId="6A5108EA">
      <w:pPr>
        <w:pStyle w:val="67"/>
        <w:keepNext w:val="0"/>
        <w:keepLines w:val="0"/>
        <w:pageBreakBefore w:val="0"/>
        <w:kinsoku/>
        <w:wordWrap/>
        <w:overflowPunct/>
        <w:topLinePunct w:val="0"/>
        <w:autoSpaceDE/>
        <w:autoSpaceDN/>
        <w:bidi w:val="0"/>
        <w:adjustRightInd/>
        <w:spacing w:beforeAutospacing="0" w:afterAutospacing="0" w:line="312" w:lineRule="auto"/>
        <w:ind w:left="0" w:firstLine="420" w:firstLineChars="200"/>
        <w:jc w:val="both"/>
        <w:textAlignment w:val="auto"/>
        <w:rPr>
          <w:rFonts w:hint="eastAsia" w:asciiTheme="minorEastAsia" w:hAnsiTheme="minorEastAsia" w:eastAsiaTheme="minorEastAsia"/>
          <w:sz w:val="21"/>
          <w:szCs w:val="21"/>
          <w:u w:val="none" w:color="auto"/>
          <w:shd w:val="clear" w:color="auto" w:fill="FFFFFF"/>
        </w:rPr>
      </w:pPr>
      <w:r>
        <w:rPr>
          <w:sz w:val="21"/>
          <w:szCs w:val="21"/>
          <w:u w:val="none" w:color="auto"/>
          <w:shd w:val="clear" w:color="auto" w:fill="FFFFFF"/>
        </w:rPr>
        <w:t>根据《中华人民共和国政府采购法》等规定，</w:t>
      </w:r>
      <w:r>
        <w:rPr>
          <w:rFonts w:hint="eastAsia"/>
          <w:sz w:val="21"/>
          <w:szCs w:val="21"/>
          <w:u w:val="none" w:color="auto"/>
          <w:shd w:val="clear" w:color="auto" w:fill="FFFFFF"/>
        </w:rPr>
        <w:t>深圳市国信招标有限公司</w:t>
      </w:r>
      <w:r>
        <w:rPr>
          <w:sz w:val="21"/>
          <w:szCs w:val="21"/>
          <w:u w:val="none" w:color="auto"/>
          <w:shd w:val="clear" w:color="auto" w:fill="FFFFFF"/>
        </w:rPr>
        <w:t>受</w:t>
      </w:r>
      <w:r>
        <w:rPr>
          <w:rFonts w:hint="eastAsia"/>
          <w:sz w:val="21"/>
          <w:szCs w:val="21"/>
          <w:u w:val="none" w:color="auto"/>
          <w:shd w:val="clear" w:color="auto" w:fill="FFFFFF"/>
        </w:rPr>
        <w:t>舟山市司法局</w:t>
      </w:r>
      <w:r>
        <w:rPr>
          <w:sz w:val="21"/>
          <w:szCs w:val="21"/>
          <w:u w:val="none" w:color="auto"/>
          <w:shd w:val="clear" w:color="auto" w:fill="FFFFFF"/>
        </w:rPr>
        <w:t>委托，就</w:t>
      </w:r>
      <w:r>
        <w:rPr>
          <w:rFonts w:hint="eastAsia"/>
          <w:sz w:val="21"/>
          <w:szCs w:val="21"/>
          <w:u w:val="none" w:color="auto"/>
          <w:shd w:val="clear" w:color="auto" w:fill="FFFFFF"/>
          <w:lang w:eastAsia="zh-CN"/>
        </w:rPr>
        <w:t>舟山市涉海涉渔社区矫正对象联合管控应用2.0迭代升级项目</w:t>
      </w:r>
      <w:r>
        <w:rPr>
          <w:sz w:val="21"/>
          <w:szCs w:val="21"/>
          <w:u w:val="none" w:color="auto"/>
          <w:shd w:val="clear" w:color="auto" w:fill="FFFFFF"/>
        </w:rPr>
        <w:t>进行</w:t>
      </w:r>
      <w:r>
        <w:rPr>
          <w:rFonts w:hint="eastAsia"/>
          <w:sz w:val="21"/>
          <w:szCs w:val="21"/>
          <w:u w:val="none" w:color="auto"/>
          <w:shd w:val="clear" w:color="auto" w:fill="FFFFFF"/>
        </w:rPr>
        <w:t>竞争性磋商</w:t>
      </w:r>
      <w:r>
        <w:rPr>
          <w:sz w:val="21"/>
          <w:szCs w:val="21"/>
          <w:u w:val="none" w:color="auto"/>
          <w:shd w:val="clear" w:color="auto" w:fill="FFFFFF"/>
        </w:rPr>
        <w:t>，欢迎国内合格的</w:t>
      </w:r>
      <w:r>
        <w:rPr>
          <w:rFonts w:hint="eastAsia"/>
          <w:sz w:val="21"/>
          <w:szCs w:val="21"/>
          <w:u w:val="none" w:color="auto"/>
          <w:shd w:val="clear" w:color="auto" w:fill="FFFFFF"/>
        </w:rPr>
        <w:t>投标人</w:t>
      </w:r>
      <w:r>
        <w:rPr>
          <w:rFonts w:asciiTheme="minorEastAsia" w:hAnsiTheme="minorEastAsia" w:eastAsiaTheme="minorEastAsia"/>
          <w:sz w:val="21"/>
          <w:szCs w:val="21"/>
          <w:u w:val="none" w:color="auto"/>
          <w:shd w:val="clear" w:color="auto" w:fill="FFFFFF"/>
        </w:rPr>
        <w:t>前来投标</w:t>
      </w:r>
      <w:r>
        <w:rPr>
          <w:rFonts w:hint="eastAsia" w:asciiTheme="minorEastAsia" w:hAnsiTheme="minorEastAsia" w:eastAsiaTheme="minorEastAsia"/>
          <w:sz w:val="21"/>
          <w:szCs w:val="21"/>
          <w:u w:val="none" w:color="auto"/>
          <w:shd w:val="clear" w:color="auto" w:fill="FFFFFF"/>
        </w:rPr>
        <w:t>。</w:t>
      </w:r>
    </w:p>
    <w:p w14:paraId="64B72C85">
      <w:pPr>
        <w:keepNext w:val="0"/>
        <w:keepLines w:val="0"/>
        <w:pageBreakBefore w:val="0"/>
        <w:widowControl/>
        <w:kinsoku/>
        <w:wordWrap/>
        <w:overflowPunct/>
        <w:topLinePunct w:val="0"/>
        <w:autoSpaceDE/>
        <w:autoSpaceDN/>
        <w:bidi w:val="0"/>
        <w:adjustRightInd/>
        <w:spacing w:line="360" w:lineRule="auto"/>
        <w:ind w:left="0"/>
        <w:jc w:val="left"/>
        <w:textAlignment w:val="auto"/>
        <w:rPr>
          <w:rStyle w:val="32"/>
          <w:rFonts w:hint="eastAsia" w:asciiTheme="minorEastAsia" w:hAnsiTheme="minorEastAsia" w:eastAsiaTheme="minorEastAsia"/>
          <w:b/>
          <w:bCs/>
          <w:szCs w:val="21"/>
          <w:u w:val="none" w:color="auto"/>
          <w:lang w:eastAsia="zh-CN"/>
        </w:rPr>
      </w:pPr>
      <w:r>
        <w:rPr>
          <w:rStyle w:val="32"/>
          <w:rFonts w:asciiTheme="minorEastAsia" w:hAnsiTheme="minorEastAsia" w:eastAsiaTheme="minorEastAsia"/>
          <w:b/>
          <w:bCs/>
          <w:szCs w:val="21"/>
          <w:u w:val="none" w:color="auto"/>
        </w:rPr>
        <w:t>一</w:t>
      </w:r>
      <w:r>
        <w:rPr>
          <w:rStyle w:val="32"/>
          <w:rFonts w:hint="eastAsia" w:asciiTheme="minorEastAsia" w:hAnsiTheme="minorEastAsia" w:eastAsiaTheme="minorEastAsia"/>
          <w:b/>
          <w:bCs/>
          <w:szCs w:val="21"/>
          <w:u w:val="none" w:color="auto"/>
        </w:rPr>
        <w:t>、项目名称：</w:t>
      </w:r>
      <w:r>
        <w:rPr>
          <w:rStyle w:val="32"/>
          <w:rFonts w:hint="eastAsia" w:asciiTheme="minorEastAsia" w:hAnsiTheme="minorEastAsia" w:eastAsiaTheme="minorEastAsia"/>
          <w:szCs w:val="21"/>
          <w:u w:val="none" w:color="auto"/>
          <w:lang w:eastAsia="zh-CN"/>
        </w:rPr>
        <w:t xml:space="preserve">舟山市涉海涉渔社区矫正对象联合管控应用2.0迭代升级项目 </w:t>
      </w:r>
    </w:p>
    <w:p w14:paraId="60C6249B">
      <w:pPr>
        <w:keepNext w:val="0"/>
        <w:keepLines w:val="0"/>
        <w:pageBreakBefore w:val="0"/>
        <w:widowControl/>
        <w:kinsoku/>
        <w:wordWrap/>
        <w:overflowPunct/>
        <w:topLinePunct w:val="0"/>
        <w:autoSpaceDE/>
        <w:autoSpaceDN/>
        <w:bidi w:val="0"/>
        <w:adjustRightInd/>
        <w:spacing w:line="360" w:lineRule="auto"/>
        <w:ind w:left="0"/>
        <w:jc w:val="left"/>
        <w:textAlignment w:val="auto"/>
        <w:rPr>
          <w:rFonts w:hint="eastAsia" w:asciiTheme="minorEastAsia" w:hAnsiTheme="minorEastAsia" w:eastAsiaTheme="minorEastAsia"/>
          <w:b/>
          <w:bCs/>
          <w:szCs w:val="21"/>
          <w:u w:val="none" w:color="auto"/>
          <w:lang w:eastAsia="zh-CN"/>
        </w:rPr>
      </w:pPr>
      <w:r>
        <w:rPr>
          <w:rStyle w:val="32"/>
          <w:rFonts w:hint="eastAsia" w:asciiTheme="minorEastAsia" w:hAnsiTheme="minorEastAsia" w:eastAsiaTheme="minorEastAsia"/>
          <w:b/>
          <w:bCs/>
          <w:szCs w:val="21"/>
          <w:u w:val="none" w:color="auto"/>
        </w:rPr>
        <w:t>二、</w:t>
      </w:r>
      <w:r>
        <w:rPr>
          <w:rStyle w:val="32"/>
          <w:rFonts w:asciiTheme="minorEastAsia" w:hAnsiTheme="minorEastAsia" w:eastAsiaTheme="minorEastAsia"/>
          <w:b/>
          <w:bCs/>
          <w:szCs w:val="21"/>
          <w:u w:val="none" w:color="auto"/>
        </w:rPr>
        <w:t>项目编号</w:t>
      </w:r>
      <w:r>
        <w:rPr>
          <w:rStyle w:val="32"/>
          <w:rFonts w:asciiTheme="minorEastAsia" w:hAnsiTheme="minorEastAsia" w:eastAsiaTheme="minorEastAsia"/>
          <w:szCs w:val="21"/>
          <w:u w:val="none" w:color="auto"/>
        </w:rPr>
        <w:t>：</w:t>
      </w:r>
      <w:r>
        <w:rPr>
          <w:rStyle w:val="32"/>
          <w:rFonts w:hint="eastAsia" w:asciiTheme="minorEastAsia" w:hAnsiTheme="minorEastAsia" w:eastAsiaTheme="minorEastAsia"/>
          <w:szCs w:val="21"/>
          <w:u w:val="none" w:color="auto"/>
          <w:lang w:eastAsia="zh-CN"/>
        </w:rPr>
        <w:t>SZGXZS2025144</w:t>
      </w:r>
    </w:p>
    <w:p w14:paraId="11E4626B">
      <w:pPr>
        <w:pStyle w:val="67"/>
        <w:keepNext w:val="0"/>
        <w:keepLines w:val="0"/>
        <w:pageBreakBefore w:val="0"/>
        <w:kinsoku/>
        <w:wordWrap/>
        <w:overflowPunct/>
        <w:topLinePunct w:val="0"/>
        <w:autoSpaceDE/>
        <w:autoSpaceDN/>
        <w:bidi w:val="0"/>
        <w:adjustRightInd/>
        <w:spacing w:beforeAutospacing="0" w:afterAutospacing="0" w:line="360" w:lineRule="auto"/>
        <w:ind w:left="0"/>
        <w:jc w:val="both"/>
        <w:textAlignment w:val="auto"/>
        <w:rPr>
          <w:rFonts w:hint="eastAsia" w:asciiTheme="minorEastAsia" w:hAnsiTheme="minorEastAsia" w:eastAsiaTheme="minorEastAsia"/>
          <w:sz w:val="21"/>
          <w:szCs w:val="21"/>
          <w:u w:val="none" w:color="auto"/>
          <w:shd w:val="clear" w:color="auto" w:fill="FFFFFF"/>
        </w:rPr>
      </w:pPr>
      <w:r>
        <w:rPr>
          <w:rStyle w:val="32"/>
          <w:rFonts w:hint="eastAsia" w:asciiTheme="minorEastAsia" w:hAnsiTheme="minorEastAsia" w:eastAsiaTheme="minorEastAsia"/>
          <w:b/>
          <w:bCs/>
          <w:sz w:val="21"/>
          <w:szCs w:val="21"/>
          <w:u w:val="none" w:color="auto"/>
        </w:rPr>
        <w:t>三、</w:t>
      </w:r>
      <w:r>
        <w:rPr>
          <w:rStyle w:val="32"/>
          <w:rFonts w:asciiTheme="minorEastAsia" w:hAnsiTheme="minorEastAsia" w:eastAsiaTheme="minorEastAsia"/>
          <w:b/>
          <w:bCs/>
          <w:sz w:val="21"/>
          <w:szCs w:val="21"/>
          <w:u w:val="none" w:color="auto"/>
        </w:rPr>
        <w:t>采购组织类型</w:t>
      </w:r>
      <w:r>
        <w:rPr>
          <w:rStyle w:val="32"/>
          <w:rFonts w:asciiTheme="minorEastAsia" w:hAnsiTheme="minorEastAsia" w:eastAsiaTheme="minorEastAsia"/>
          <w:sz w:val="21"/>
          <w:szCs w:val="21"/>
          <w:u w:val="none" w:color="auto"/>
        </w:rPr>
        <w:t>：</w:t>
      </w:r>
      <w:r>
        <w:rPr>
          <w:rFonts w:asciiTheme="minorEastAsia" w:hAnsiTheme="minorEastAsia" w:eastAsiaTheme="minorEastAsia"/>
          <w:sz w:val="21"/>
          <w:szCs w:val="21"/>
          <w:u w:val="none" w:color="auto"/>
          <w:shd w:val="clear" w:color="auto" w:fill="FFFFFF"/>
        </w:rPr>
        <w:t>分散采购委托代理</w:t>
      </w:r>
    </w:p>
    <w:p w14:paraId="40DEF114">
      <w:pPr>
        <w:pStyle w:val="67"/>
        <w:keepNext w:val="0"/>
        <w:keepLines w:val="0"/>
        <w:pageBreakBefore w:val="0"/>
        <w:kinsoku/>
        <w:wordWrap/>
        <w:overflowPunct/>
        <w:topLinePunct w:val="0"/>
        <w:autoSpaceDE/>
        <w:autoSpaceDN/>
        <w:bidi w:val="0"/>
        <w:adjustRightInd/>
        <w:spacing w:beforeAutospacing="0" w:afterAutospacing="0" w:line="360" w:lineRule="auto"/>
        <w:ind w:left="0"/>
        <w:jc w:val="both"/>
        <w:textAlignment w:val="auto"/>
        <w:rPr>
          <w:rFonts w:hint="eastAsia" w:asciiTheme="minorEastAsia" w:hAnsiTheme="minorEastAsia" w:eastAsiaTheme="minorEastAsia"/>
          <w:b/>
          <w:bCs/>
          <w:sz w:val="21"/>
          <w:szCs w:val="21"/>
          <w:u w:val="none" w:color="auto"/>
        </w:rPr>
      </w:pPr>
      <w:r>
        <w:rPr>
          <w:rStyle w:val="32"/>
          <w:rFonts w:hint="eastAsia" w:asciiTheme="minorEastAsia" w:hAnsiTheme="minorEastAsia" w:eastAsiaTheme="minorEastAsia"/>
          <w:sz w:val="21"/>
          <w:szCs w:val="21"/>
          <w:u w:val="none" w:color="auto"/>
        </w:rPr>
        <w:t>四、</w:t>
      </w:r>
      <w:r>
        <w:rPr>
          <w:rStyle w:val="32"/>
          <w:rFonts w:asciiTheme="minorEastAsia" w:hAnsiTheme="minorEastAsia" w:eastAsiaTheme="minorEastAsia"/>
          <w:b/>
          <w:bCs/>
          <w:sz w:val="21"/>
          <w:szCs w:val="21"/>
          <w:u w:val="none" w:color="auto"/>
        </w:rPr>
        <w:t>项目概况（内容、用途、数量、简要技术要求等）:</w:t>
      </w:r>
    </w:p>
    <w:tbl>
      <w:tblPr>
        <w:tblStyle w:val="30"/>
        <w:tblpPr w:leftFromText="180" w:rightFromText="180" w:vertAnchor="text" w:horzAnchor="page" w:tblpX="1792" w:tblpY="207"/>
        <w:tblOverlap w:val="never"/>
        <w:tblW w:w="86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0"/>
        <w:gridCol w:w="5004"/>
        <w:gridCol w:w="2256"/>
        <w:gridCol w:w="720"/>
      </w:tblGrid>
      <w:tr w14:paraId="71D60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0" w:type="dxa"/>
            <w:tcBorders>
              <w:top w:val="single" w:color="000000" w:sz="4" w:space="0"/>
              <w:left w:val="single" w:color="000000" w:sz="4" w:space="0"/>
              <w:bottom w:val="single" w:color="000000" w:sz="4" w:space="0"/>
              <w:right w:val="single" w:color="000000" w:sz="4" w:space="0"/>
            </w:tcBorders>
            <w:vAlign w:val="center"/>
          </w:tcPr>
          <w:p w14:paraId="53422718">
            <w:pPr>
              <w:keepNext w:val="0"/>
              <w:keepLines w:val="0"/>
              <w:pageBreakBefore w:val="0"/>
              <w:widowControl/>
              <w:kinsoku/>
              <w:wordWrap/>
              <w:overflowPunct/>
              <w:topLinePunct w:val="0"/>
              <w:autoSpaceDE/>
              <w:autoSpaceDN/>
              <w:bidi w:val="0"/>
              <w:adjustRightInd/>
              <w:spacing w:line="360" w:lineRule="auto"/>
              <w:ind w:left="0"/>
              <w:jc w:val="center"/>
              <w:textAlignment w:val="auto"/>
              <w:rPr>
                <w:rFonts w:hint="eastAsia" w:ascii="宋体" w:hAnsi="宋体" w:cs="宋体"/>
                <w:kern w:val="0"/>
                <w:szCs w:val="21"/>
                <w:u w:val="none" w:color="auto"/>
              </w:rPr>
            </w:pPr>
            <w:r>
              <w:rPr>
                <w:rFonts w:hint="eastAsia" w:ascii="宋体" w:hAnsi="宋体" w:cs="宋体"/>
                <w:kern w:val="0"/>
                <w:szCs w:val="21"/>
                <w:u w:val="none" w:color="auto"/>
              </w:rPr>
              <w:t>序号</w:t>
            </w:r>
          </w:p>
        </w:tc>
        <w:tc>
          <w:tcPr>
            <w:tcW w:w="5004" w:type="dxa"/>
            <w:tcBorders>
              <w:top w:val="single" w:color="000000" w:sz="4" w:space="0"/>
              <w:left w:val="single" w:color="000000" w:sz="4" w:space="0"/>
              <w:bottom w:val="single" w:color="000000" w:sz="4" w:space="0"/>
              <w:right w:val="single" w:color="000000" w:sz="4" w:space="0"/>
            </w:tcBorders>
            <w:vAlign w:val="center"/>
          </w:tcPr>
          <w:p w14:paraId="5571B22D">
            <w:pPr>
              <w:keepNext w:val="0"/>
              <w:keepLines w:val="0"/>
              <w:pageBreakBefore w:val="0"/>
              <w:widowControl/>
              <w:kinsoku/>
              <w:wordWrap/>
              <w:overflowPunct/>
              <w:topLinePunct w:val="0"/>
              <w:autoSpaceDE/>
              <w:autoSpaceDN/>
              <w:bidi w:val="0"/>
              <w:adjustRightInd/>
              <w:spacing w:line="360" w:lineRule="auto"/>
              <w:ind w:left="0" w:hanging="420"/>
              <w:jc w:val="center"/>
              <w:textAlignment w:val="auto"/>
              <w:rPr>
                <w:rFonts w:hint="eastAsia" w:ascii="宋体" w:hAnsi="宋体" w:cs="宋体"/>
                <w:kern w:val="0"/>
                <w:szCs w:val="21"/>
                <w:u w:val="none" w:color="auto"/>
              </w:rPr>
            </w:pPr>
            <w:r>
              <w:rPr>
                <w:rFonts w:hint="eastAsia" w:ascii="宋体" w:hAnsi="宋体" w:cs="宋体"/>
                <w:kern w:val="0"/>
                <w:szCs w:val="21"/>
                <w:u w:val="none" w:color="auto"/>
              </w:rPr>
              <w:t>项目名称及内容</w:t>
            </w:r>
          </w:p>
        </w:tc>
        <w:tc>
          <w:tcPr>
            <w:tcW w:w="2256" w:type="dxa"/>
            <w:tcBorders>
              <w:top w:val="single" w:color="000000" w:sz="4" w:space="0"/>
              <w:left w:val="single" w:color="auto" w:sz="4" w:space="0"/>
              <w:bottom w:val="single" w:color="000000" w:sz="4" w:space="0"/>
              <w:right w:val="single" w:color="000000" w:sz="4" w:space="0"/>
            </w:tcBorders>
            <w:vAlign w:val="center"/>
          </w:tcPr>
          <w:p w14:paraId="593DDDE6">
            <w:pPr>
              <w:keepNext w:val="0"/>
              <w:keepLines w:val="0"/>
              <w:pageBreakBefore w:val="0"/>
              <w:widowControl/>
              <w:kinsoku/>
              <w:wordWrap/>
              <w:overflowPunct/>
              <w:topLinePunct w:val="0"/>
              <w:autoSpaceDE/>
              <w:autoSpaceDN/>
              <w:bidi w:val="0"/>
              <w:adjustRightInd/>
              <w:spacing w:line="360" w:lineRule="auto"/>
              <w:ind w:left="0"/>
              <w:jc w:val="center"/>
              <w:textAlignment w:val="auto"/>
              <w:rPr>
                <w:rFonts w:hint="eastAsia" w:ascii="宋体" w:hAnsi="宋体" w:cs="宋体"/>
                <w:kern w:val="0"/>
                <w:szCs w:val="21"/>
                <w:u w:val="none" w:color="auto"/>
              </w:rPr>
            </w:pPr>
            <w:r>
              <w:rPr>
                <w:rFonts w:hint="eastAsia" w:ascii="宋体" w:hAnsi="宋体" w:cs="宋体"/>
                <w:kern w:val="0"/>
                <w:szCs w:val="21"/>
                <w:u w:val="none" w:color="auto"/>
              </w:rPr>
              <w:t>预算金额（万元）</w:t>
            </w:r>
          </w:p>
        </w:tc>
        <w:tc>
          <w:tcPr>
            <w:tcW w:w="720" w:type="dxa"/>
            <w:tcBorders>
              <w:top w:val="single" w:color="000000" w:sz="4" w:space="0"/>
              <w:left w:val="single" w:color="000000" w:sz="4" w:space="0"/>
              <w:bottom w:val="single" w:color="000000" w:sz="4" w:space="0"/>
              <w:right w:val="single" w:color="000000" w:sz="4" w:space="0"/>
            </w:tcBorders>
            <w:vAlign w:val="center"/>
          </w:tcPr>
          <w:p w14:paraId="5F0BBB51">
            <w:pPr>
              <w:keepNext w:val="0"/>
              <w:keepLines w:val="0"/>
              <w:pageBreakBefore w:val="0"/>
              <w:widowControl/>
              <w:kinsoku/>
              <w:wordWrap/>
              <w:overflowPunct/>
              <w:topLinePunct w:val="0"/>
              <w:autoSpaceDE/>
              <w:autoSpaceDN/>
              <w:bidi w:val="0"/>
              <w:adjustRightInd/>
              <w:spacing w:line="360" w:lineRule="auto"/>
              <w:ind w:left="0"/>
              <w:jc w:val="center"/>
              <w:textAlignment w:val="auto"/>
              <w:rPr>
                <w:rFonts w:hint="eastAsia" w:ascii="宋体" w:hAnsi="宋体" w:cs="宋体"/>
                <w:kern w:val="0"/>
                <w:szCs w:val="21"/>
                <w:u w:val="none" w:color="auto"/>
              </w:rPr>
            </w:pPr>
            <w:r>
              <w:rPr>
                <w:rFonts w:hint="eastAsia" w:ascii="宋体" w:hAnsi="宋体" w:cs="宋体"/>
                <w:kern w:val="0"/>
                <w:szCs w:val="21"/>
                <w:u w:val="none" w:color="auto"/>
              </w:rPr>
              <w:t>备注</w:t>
            </w:r>
          </w:p>
        </w:tc>
      </w:tr>
      <w:tr w14:paraId="048FE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0" w:type="dxa"/>
            <w:tcBorders>
              <w:top w:val="single" w:color="000000" w:sz="4" w:space="0"/>
              <w:left w:val="single" w:color="000000" w:sz="4" w:space="0"/>
              <w:bottom w:val="single" w:color="000000" w:sz="4" w:space="0"/>
              <w:right w:val="single" w:color="000000" w:sz="4" w:space="0"/>
            </w:tcBorders>
            <w:vAlign w:val="center"/>
          </w:tcPr>
          <w:p w14:paraId="6094574B">
            <w:pPr>
              <w:keepNext w:val="0"/>
              <w:keepLines w:val="0"/>
              <w:pageBreakBefore w:val="0"/>
              <w:widowControl/>
              <w:kinsoku/>
              <w:wordWrap/>
              <w:overflowPunct/>
              <w:topLinePunct w:val="0"/>
              <w:autoSpaceDE/>
              <w:autoSpaceDN/>
              <w:bidi w:val="0"/>
              <w:adjustRightInd/>
              <w:spacing w:line="360" w:lineRule="auto"/>
              <w:ind w:left="0"/>
              <w:jc w:val="center"/>
              <w:textAlignment w:val="auto"/>
              <w:rPr>
                <w:rFonts w:hint="eastAsia" w:ascii="宋体" w:hAnsi="宋体" w:cs="宋体"/>
                <w:kern w:val="0"/>
                <w:szCs w:val="21"/>
                <w:u w:val="none" w:color="auto"/>
              </w:rPr>
            </w:pPr>
            <w:r>
              <w:rPr>
                <w:rFonts w:hint="eastAsia" w:ascii="宋体" w:hAnsi="宋体" w:cs="宋体"/>
                <w:kern w:val="0"/>
                <w:szCs w:val="21"/>
                <w:u w:val="none" w:color="auto"/>
              </w:rPr>
              <w:t>1</w:t>
            </w:r>
          </w:p>
        </w:tc>
        <w:tc>
          <w:tcPr>
            <w:tcW w:w="5004" w:type="dxa"/>
            <w:tcBorders>
              <w:top w:val="single" w:color="000000" w:sz="4" w:space="0"/>
              <w:left w:val="single" w:color="000000" w:sz="4" w:space="0"/>
              <w:bottom w:val="single" w:color="000000" w:sz="4" w:space="0"/>
              <w:right w:val="single" w:color="000000" w:sz="4" w:space="0"/>
            </w:tcBorders>
            <w:vAlign w:val="center"/>
          </w:tcPr>
          <w:p w14:paraId="5ED6EA3E">
            <w:pPr>
              <w:keepNext w:val="0"/>
              <w:keepLines w:val="0"/>
              <w:pageBreakBefore w:val="0"/>
              <w:widowControl/>
              <w:kinsoku/>
              <w:wordWrap/>
              <w:overflowPunct/>
              <w:topLinePunct w:val="0"/>
              <w:autoSpaceDE/>
              <w:autoSpaceDN/>
              <w:bidi w:val="0"/>
              <w:adjustRightInd/>
              <w:ind w:left="0"/>
              <w:jc w:val="center"/>
              <w:textAlignment w:val="auto"/>
              <w:rPr>
                <w:rFonts w:hint="eastAsia" w:ascii="宋体" w:hAnsi="宋体" w:eastAsia="宋体" w:cs="宋体"/>
                <w:kern w:val="0"/>
                <w:szCs w:val="21"/>
                <w:u w:val="none" w:color="auto"/>
                <w:lang w:eastAsia="zh-CN"/>
              </w:rPr>
            </w:pPr>
            <w:r>
              <w:rPr>
                <w:rFonts w:hint="eastAsia" w:ascii="宋体" w:hAnsi="宋体" w:cs="宋体"/>
                <w:kern w:val="0"/>
                <w:szCs w:val="21"/>
                <w:u w:val="none" w:color="auto"/>
                <w:lang w:eastAsia="zh-CN"/>
              </w:rPr>
              <w:t xml:space="preserve">舟山市涉海涉渔社区矫正对象联合管控应用2.0迭代升级项目 </w:t>
            </w:r>
          </w:p>
        </w:tc>
        <w:tc>
          <w:tcPr>
            <w:tcW w:w="2256" w:type="dxa"/>
            <w:tcBorders>
              <w:top w:val="single" w:color="000000" w:sz="4" w:space="0"/>
              <w:left w:val="single" w:color="auto" w:sz="4" w:space="0"/>
              <w:bottom w:val="single" w:color="000000" w:sz="4" w:space="0"/>
              <w:right w:val="single" w:color="000000" w:sz="4" w:space="0"/>
            </w:tcBorders>
            <w:vAlign w:val="center"/>
          </w:tcPr>
          <w:p w14:paraId="0B065A25">
            <w:pPr>
              <w:keepNext w:val="0"/>
              <w:keepLines w:val="0"/>
              <w:pageBreakBefore w:val="0"/>
              <w:widowControl/>
              <w:kinsoku/>
              <w:wordWrap/>
              <w:overflowPunct/>
              <w:topLinePunct w:val="0"/>
              <w:autoSpaceDE/>
              <w:autoSpaceDN/>
              <w:bidi w:val="0"/>
              <w:adjustRightInd/>
              <w:spacing w:line="360" w:lineRule="auto"/>
              <w:ind w:left="0"/>
              <w:jc w:val="center"/>
              <w:textAlignment w:val="auto"/>
              <w:rPr>
                <w:rFonts w:hint="default" w:ascii="宋体" w:hAnsi="宋体" w:eastAsia="宋体" w:cs="宋体"/>
                <w:kern w:val="0"/>
                <w:szCs w:val="21"/>
                <w:u w:val="none" w:color="auto"/>
                <w:lang w:val="en-US" w:eastAsia="zh-CN"/>
              </w:rPr>
            </w:pPr>
            <w:r>
              <w:rPr>
                <w:rFonts w:hint="eastAsia" w:ascii="宋体" w:hAnsi="宋体" w:cs="宋体"/>
                <w:kern w:val="0"/>
                <w:szCs w:val="21"/>
                <w:u w:val="none" w:color="auto"/>
                <w:lang w:val="en-US" w:eastAsia="zh-CN"/>
              </w:rPr>
              <w:t>60</w:t>
            </w:r>
          </w:p>
        </w:tc>
        <w:tc>
          <w:tcPr>
            <w:tcW w:w="720" w:type="dxa"/>
            <w:tcBorders>
              <w:top w:val="single" w:color="000000" w:sz="4" w:space="0"/>
              <w:left w:val="single" w:color="000000" w:sz="4" w:space="0"/>
              <w:bottom w:val="single" w:color="000000" w:sz="4" w:space="0"/>
              <w:right w:val="single" w:color="000000" w:sz="4" w:space="0"/>
            </w:tcBorders>
            <w:vAlign w:val="center"/>
          </w:tcPr>
          <w:p w14:paraId="2DE6D5FB">
            <w:pPr>
              <w:keepNext w:val="0"/>
              <w:keepLines w:val="0"/>
              <w:pageBreakBefore w:val="0"/>
              <w:widowControl/>
              <w:kinsoku/>
              <w:wordWrap/>
              <w:overflowPunct/>
              <w:topLinePunct w:val="0"/>
              <w:autoSpaceDE/>
              <w:autoSpaceDN/>
              <w:bidi w:val="0"/>
              <w:adjustRightInd/>
              <w:ind w:left="0"/>
              <w:textAlignment w:val="auto"/>
              <w:rPr>
                <w:rFonts w:hint="eastAsia" w:ascii="宋体" w:hAnsi="宋体" w:cs="宋体"/>
                <w:kern w:val="0"/>
                <w:szCs w:val="21"/>
                <w:u w:val="none" w:color="auto"/>
              </w:rPr>
            </w:pPr>
          </w:p>
        </w:tc>
      </w:tr>
    </w:tbl>
    <w:p w14:paraId="63BA032B">
      <w:pPr>
        <w:pStyle w:val="67"/>
        <w:keepNext w:val="0"/>
        <w:keepLines w:val="0"/>
        <w:pageBreakBefore w:val="0"/>
        <w:kinsoku/>
        <w:wordWrap/>
        <w:overflowPunct/>
        <w:topLinePunct w:val="0"/>
        <w:autoSpaceDE/>
        <w:autoSpaceDN/>
        <w:bidi w:val="0"/>
        <w:adjustRightInd/>
        <w:spacing w:beforeAutospacing="0" w:afterAutospacing="0" w:line="360" w:lineRule="auto"/>
        <w:ind w:left="0"/>
        <w:jc w:val="both"/>
        <w:textAlignment w:val="auto"/>
        <w:rPr>
          <w:rStyle w:val="32"/>
          <w:rFonts w:hint="eastAsia"/>
          <w:b/>
          <w:bCs/>
          <w:sz w:val="21"/>
          <w:u w:val="none" w:color="auto"/>
        </w:rPr>
      </w:pPr>
      <w:r>
        <w:rPr>
          <w:rStyle w:val="32"/>
          <w:rFonts w:hint="eastAsia"/>
          <w:b/>
          <w:bCs/>
          <w:sz w:val="21"/>
          <w:u w:val="none" w:color="auto"/>
        </w:rPr>
        <w:t>五、</w:t>
      </w:r>
      <w:r>
        <w:rPr>
          <w:rStyle w:val="32"/>
          <w:b/>
          <w:bCs/>
          <w:sz w:val="21"/>
          <w:u w:val="none" w:color="auto"/>
        </w:rPr>
        <w:t>投标供应商资格要求:</w:t>
      </w:r>
    </w:p>
    <w:p w14:paraId="4E85C190">
      <w:pPr>
        <w:pStyle w:val="67"/>
        <w:keepNext w:val="0"/>
        <w:keepLines w:val="0"/>
        <w:pageBreakBefore w:val="0"/>
        <w:shd w:val="clear" w:color="auto" w:fill="FFFFFF"/>
        <w:kinsoku/>
        <w:wordWrap/>
        <w:overflowPunct/>
        <w:topLinePunct w:val="0"/>
        <w:autoSpaceDE/>
        <w:autoSpaceDN/>
        <w:bidi w:val="0"/>
        <w:adjustRightInd/>
        <w:spacing w:beforeAutospacing="0" w:afterAutospacing="0" w:line="360" w:lineRule="auto"/>
        <w:ind w:left="0" w:firstLine="420" w:firstLineChars="200"/>
        <w:textAlignment w:val="auto"/>
        <w:rPr>
          <w:rFonts w:ascii="Times New Roman" w:hAnsi="Times New Roman"/>
          <w:color w:val="auto"/>
          <w:sz w:val="21"/>
          <w:szCs w:val="21"/>
          <w:u w:val="none" w:color="auto"/>
        </w:rPr>
      </w:pPr>
      <w:r>
        <w:rPr>
          <w:rFonts w:hint="eastAsia" w:ascii="Times New Roman" w:hAnsi="Times New Roman"/>
          <w:sz w:val="21"/>
          <w:szCs w:val="21"/>
          <w:u w:val="none" w:color="auto"/>
        </w:rPr>
        <w:t>1.</w:t>
      </w:r>
      <w:r>
        <w:rPr>
          <w:rFonts w:hint="eastAsia" w:cs="宋体"/>
          <w:sz w:val="21"/>
          <w:szCs w:val="21"/>
          <w:u w:val="none" w:color="auto"/>
        </w:rPr>
        <w:t>①</w:t>
      </w:r>
      <w:r>
        <w:rPr>
          <w:rFonts w:ascii="Times New Roman" w:hAnsi="Times New Roman"/>
          <w:sz w:val="21"/>
          <w:szCs w:val="21"/>
          <w:u w:val="none" w:color="auto"/>
        </w:rPr>
        <w:t>具有独立承担民事责任的能力；</w:t>
      </w:r>
      <w:r>
        <w:rPr>
          <w:rFonts w:hint="eastAsia" w:cs="宋体"/>
          <w:sz w:val="21"/>
          <w:szCs w:val="21"/>
          <w:u w:val="none" w:color="auto"/>
        </w:rPr>
        <w:t>②</w:t>
      </w:r>
      <w:r>
        <w:rPr>
          <w:rFonts w:ascii="Times New Roman" w:hAnsi="Times New Roman"/>
          <w:sz w:val="21"/>
          <w:szCs w:val="21"/>
          <w:u w:val="none" w:color="auto"/>
        </w:rPr>
        <w:t>具有良好的商业信誉和健全的财务会计制度；</w:t>
      </w:r>
      <w:r>
        <w:rPr>
          <w:rFonts w:hint="eastAsia" w:cs="宋体"/>
          <w:sz w:val="21"/>
          <w:szCs w:val="21"/>
          <w:u w:val="none" w:color="auto"/>
        </w:rPr>
        <w:t>③</w:t>
      </w:r>
      <w:r>
        <w:rPr>
          <w:rFonts w:ascii="Times New Roman" w:hAnsi="Times New Roman"/>
          <w:sz w:val="21"/>
          <w:szCs w:val="21"/>
          <w:u w:val="none" w:color="auto"/>
        </w:rPr>
        <w:t>具有履行合同所必需的设备和专业技术能力；</w:t>
      </w:r>
      <w:r>
        <w:rPr>
          <w:rFonts w:hint="eastAsia" w:cs="宋体"/>
          <w:sz w:val="21"/>
          <w:szCs w:val="21"/>
          <w:u w:val="none" w:color="auto"/>
        </w:rPr>
        <w:t>④</w:t>
      </w:r>
      <w:r>
        <w:rPr>
          <w:rFonts w:ascii="Times New Roman" w:hAnsi="Times New Roman"/>
          <w:sz w:val="21"/>
          <w:szCs w:val="21"/>
          <w:u w:val="none" w:color="auto"/>
        </w:rPr>
        <w:t>参加政府采购活动前三年内，无依法缴纳税收</w:t>
      </w:r>
      <w:r>
        <w:rPr>
          <w:rFonts w:ascii="Times New Roman" w:hAnsi="Times New Roman"/>
          <w:color w:val="auto"/>
          <w:sz w:val="21"/>
          <w:szCs w:val="21"/>
          <w:u w:val="none" w:color="auto"/>
        </w:rPr>
        <w:t>和社会保障资金的不良记录；</w:t>
      </w:r>
      <w:r>
        <w:rPr>
          <w:rFonts w:hint="eastAsia" w:cs="宋体"/>
          <w:color w:val="auto"/>
          <w:sz w:val="21"/>
          <w:szCs w:val="21"/>
          <w:u w:val="none" w:color="auto"/>
        </w:rPr>
        <w:t>⑤</w:t>
      </w:r>
      <w:r>
        <w:rPr>
          <w:rFonts w:ascii="Times New Roman" w:hAnsi="Times New Roman"/>
          <w:color w:val="auto"/>
          <w:sz w:val="21"/>
          <w:szCs w:val="21"/>
          <w:u w:val="none" w:color="auto"/>
        </w:rPr>
        <w:t>参加政府采购活动前三年内，在经营活动中没有重大违法记录；</w:t>
      </w:r>
      <w:r>
        <w:rPr>
          <w:rFonts w:hint="eastAsia" w:cs="宋体"/>
          <w:color w:val="auto"/>
          <w:sz w:val="21"/>
          <w:szCs w:val="21"/>
          <w:u w:val="none" w:color="auto"/>
        </w:rPr>
        <w:t>⑥</w:t>
      </w:r>
      <w:r>
        <w:rPr>
          <w:rFonts w:ascii="Times New Roman" w:hAnsi="Times New Roman"/>
          <w:color w:val="auto"/>
          <w:sz w:val="21"/>
          <w:szCs w:val="21"/>
          <w:u w:val="none" w:color="auto"/>
        </w:rPr>
        <w:t>法律、行政法规规定的其他条件。</w:t>
      </w:r>
    </w:p>
    <w:p w14:paraId="1D5D0D6F">
      <w:pPr>
        <w:pStyle w:val="67"/>
        <w:keepNext w:val="0"/>
        <w:keepLines w:val="0"/>
        <w:pageBreakBefore w:val="0"/>
        <w:shd w:val="clear" w:color="auto" w:fill="FFFFFF"/>
        <w:kinsoku/>
        <w:wordWrap/>
        <w:overflowPunct/>
        <w:topLinePunct w:val="0"/>
        <w:autoSpaceDE/>
        <w:autoSpaceDN/>
        <w:bidi w:val="0"/>
        <w:adjustRightInd/>
        <w:spacing w:beforeAutospacing="0" w:afterAutospacing="0" w:line="360" w:lineRule="auto"/>
        <w:ind w:left="0" w:firstLine="420" w:firstLineChars="200"/>
        <w:textAlignment w:val="auto"/>
        <w:rPr>
          <w:rFonts w:ascii="Times New Roman" w:hAnsi="Times New Roman"/>
          <w:color w:val="auto"/>
          <w:sz w:val="21"/>
          <w:szCs w:val="21"/>
          <w:u w:val="none" w:color="auto"/>
        </w:rPr>
      </w:pPr>
      <w:r>
        <w:rPr>
          <w:rFonts w:hint="eastAsia" w:ascii="Times New Roman" w:hAnsi="Times New Roman"/>
          <w:color w:val="auto"/>
          <w:sz w:val="21"/>
          <w:szCs w:val="21"/>
          <w:u w:val="none" w:color="auto"/>
        </w:rPr>
        <w:t>2.</w:t>
      </w:r>
      <w:r>
        <w:rPr>
          <w:rFonts w:ascii="Times New Roman" w:hAnsi="Times New Roman"/>
          <w:color w:val="auto"/>
          <w:sz w:val="21"/>
          <w:szCs w:val="21"/>
          <w:u w:val="none" w:color="auto"/>
        </w:rPr>
        <w:t>未被“信用中国”（www.creditchina.gov.cn）、中国政府采购网（www.ccgp.gov.cn）列入失信被执行人、重大税收违法案件当事人名单、政府采购严重违法失信行为记录名单。</w:t>
      </w:r>
    </w:p>
    <w:p w14:paraId="4B9DA6A1">
      <w:pPr>
        <w:keepNext w:val="0"/>
        <w:keepLines w:val="0"/>
        <w:pageBreakBefore w:val="0"/>
        <w:widowControl/>
        <w:shd w:val="clear" w:color="auto" w:fill="FFFFFF"/>
        <w:kinsoku/>
        <w:wordWrap/>
        <w:overflowPunct/>
        <w:topLinePunct w:val="0"/>
        <w:autoSpaceDE/>
        <w:autoSpaceDN/>
        <w:bidi w:val="0"/>
        <w:adjustRightInd/>
        <w:spacing w:line="360" w:lineRule="auto"/>
        <w:ind w:left="0" w:firstLine="420" w:firstLineChars="200"/>
        <w:jc w:val="left"/>
        <w:textAlignment w:val="auto"/>
        <w:rPr>
          <w:rFonts w:ascii="Times New Roman" w:hAnsi="Times New Roman"/>
          <w:b/>
          <w:bCs/>
          <w:color w:val="auto"/>
          <w:kern w:val="0"/>
          <w:szCs w:val="21"/>
          <w:u w:val="none" w:color="auto"/>
        </w:rPr>
      </w:pPr>
      <w:r>
        <w:rPr>
          <w:rFonts w:hint="eastAsia" w:ascii="Times New Roman" w:hAnsi="Times New Roman"/>
          <w:color w:val="auto"/>
          <w:kern w:val="0"/>
          <w:szCs w:val="21"/>
          <w:u w:val="none" w:color="auto"/>
        </w:rPr>
        <w:t>3.本项目专门面向中小企业。本项目对应的中小企业划分标准所属行业：</w:t>
      </w:r>
      <w:r>
        <w:rPr>
          <w:rFonts w:hint="eastAsia" w:ascii="Times New Roman" w:hAnsi="Times New Roman"/>
          <w:b/>
          <w:bCs/>
          <w:color w:val="auto"/>
          <w:kern w:val="0"/>
          <w:szCs w:val="21"/>
          <w:u w:val="none" w:color="auto"/>
        </w:rPr>
        <w:t>软件和信息技术服务业。</w:t>
      </w:r>
    </w:p>
    <w:p w14:paraId="1D193254">
      <w:pPr>
        <w:pStyle w:val="67"/>
        <w:keepNext w:val="0"/>
        <w:keepLines w:val="0"/>
        <w:pageBreakBefore w:val="0"/>
        <w:shd w:val="clear" w:color="auto" w:fill="FFFFFF"/>
        <w:kinsoku/>
        <w:wordWrap/>
        <w:overflowPunct/>
        <w:topLinePunct w:val="0"/>
        <w:autoSpaceDE/>
        <w:autoSpaceDN/>
        <w:bidi w:val="0"/>
        <w:adjustRightInd/>
        <w:spacing w:beforeAutospacing="0" w:afterAutospacing="0" w:line="360" w:lineRule="auto"/>
        <w:ind w:left="0"/>
        <w:textAlignment w:val="auto"/>
        <w:rPr>
          <w:rStyle w:val="32"/>
          <w:rFonts w:hint="eastAsia"/>
          <w:b/>
          <w:bCs/>
          <w:sz w:val="21"/>
          <w:u w:val="none" w:color="auto"/>
        </w:rPr>
      </w:pPr>
      <w:r>
        <w:rPr>
          <w:rStyle w:val="32"/>
          <w:rFonts w:hint="eastAsia"/>
          <w:b/>
          <w:bCs/>
          <w:color w:val="auto"/>
          <w:sz w:val="21"/>
          <w:u w:val="none" w:color="auto"/>
        </w:rPr>
        <w:t>六、</w:t>
      </w:r>
      <w:r>
        <w:rPr>
          <w:rFonts w:hint="eastAsia" w:cs="宋体"/>
          <w:b/>
          <w:color w:val="auto"/>
          <w:sz w:val="21"/>
          <w:szCs w:val="21"/>
          <w:u w:val="none" w:color="auto"/>
        </w:rPr>
        <w:t xml:space="preserve">公告期限： 自公告发布之日起5个工作日 </w:t>
      </w:r>
    </w:p>
    <w:p w14:paraId="6563623C">
      <w:pPr>
        <w:keepNext w:val="0"/>
        <w:keepLines w:val="0"/>
        <w:pageBreakBefore w:val="0"/>
        <w:kinsoku/>
        <w:wordWrap/>
        <w:overflowPunct/>
        <w:topLinePunct w:val="0"/>
        <w:autoSpaceDE/>
        <w:autoSpaceDN/>
        <w:bidi w:val="0"/>
        <w:adjustRightInd/>
        <w:snapToGrid w:val="0"/>
        <w:spacing w:line="360" w:lineRule="auto"/>
        <w:ind w:left="0"/>
        <w:textAlignment w:val="auto"/>
        <w:rPr>
          <w:rFonts w:hint="eastAsia" w:ascii="宋体" w:hAnsi="宋体" w:cs="宋体"/>
          <w:szCs w:val="21"/>
          <w:u w:val="none" w:color="auto"/>
        </w:rPr>
      </w:pPr>
      <w:r>
        <w:rPr>
          <w:rFonts w:hint="eastAsia" w:ascii="宋体" w:hAnsi="宋体" w:cs="宋体"/>
          <w:b/>
          <w:bCs/>
          <w:szCs w:val="21"/>
          <w:u w:val="none" w:color="auto"/>
        </w:rPr>
        <w:t>七、注册及磋商文件的获取</w:t>
      </w:r>
      <w:r>
        <w:rPr>
          <w:rFonts w:hint="eastAsia" w:ascii="宋体" w:hAnsi="宋体" w:cs="宋体"/>
          <w:szCs w:val="21"/>
          <w:u w:val="none" w:color="auto"/>
        </w:rPr>
        <w:t>：</w:t>
      </w:r>
    </w:p>
    <w:p w14:paraId="52DB052C">
      <w:pPr>
        <w:pStyle w:val="67"/>
        <w:keepNext w:val="0"/>
        <w:keepLines w:val="0"/>
        <w:pageBreakBefore w:val="0"/>
        <w:shd w:val="clear" w:color="auto" w:fill="FFFFFF"/>
        <w:kinsoku/>
        <w:wordWrap/>
        <w:overflowPunct/>
        <w:topLinePunct w:val="0"/>
        <w:autoSpaceDE/>
        <w:autoSpaceDN/>
        <w:bidi w:val="0"/>
        <w:adjustRightInd/>
        <w:spacing w:beforeAutospacing="0" w:afterAutospacing="0" w:line="360" w:lineRule="auto"/>
        <w:ind w:left="0" w:firstLine="417" w:firstLineChars="198"/>
        <w:textAlignment w:val="auto"/>
        <w:rPr>
          <w:rFonts w:hint="eastAsia" w:cs="宋体"/>
          <w:b/>
          <w:bCs/>
          <w:sz w:val="21"/>
          <w:szCs w:val="21"/>
          <w:u w:val="none" w:color="auto"/>
          <w:shd w:val="clear" w:color="auto" w:fill="FFFFFF"/>
        </w:rPr>
      </w:pPr>
      <w:r>
        <w:rPr>
          <w:rFonts w:hint="eastAsia" w:cs="宋体"/>
          <w:b/>
          <w:bCs/>
          <w:sz w:val="21"/>
          <w:szCs w:val="21"/>
          <w:u w:val="none" w:color="auto"/>
          <w:shd w:val="clear" w:color="auto" w:fill="FFFFFF"/>
        </w:rPr>
        <w:t>1.本项目只实行网上获取磋商文件。</w:t>
      </w:r>
    </w:p>
    <w:p w14:paraId="3101E399">
      <w:pPr>
        <w:pStyle w:val="67"/>
        <w:keepNext w:val="0"/>
        <w:keepLines w:val="0"/>
        <w:pageBreakBefore w:val="0"/>
        <w:shd w:val="clear" w:color="auto" w:fill="FFFFFF"/>
        <w:kinsoku/>
        <w:wordWrap/>
        <w:overflowPunct/>
        <w:topLinePunct w:val="0"/>
        <w:autoSpaceDE/>
        <w:autoSpaceDN/>
        <w:bidi w:val="0"/>
        <w:adjustRightInd/>
        <w:spacing w:beforeAutospacing="0" w:afterAutospacing="0" w:line="360" w:lineRule="auto"/>
        <w:ind w:left="0" w:firstLine="417" w:firstLineChars="198"/>
        <w:textAlignment w:val="auto"/>
        <w:rPr>
          <w:rFonts w:hint="eastAsia" w:cs="宋体"/>
          <w:b/>
          <w:bCs/>
          <w:sz w:val="21"/>
          <w:szCs w:val="21"/>
          <w:u w:val="none" w:color="auto"/>
          <w:shd w:val="clear" w:color="auto" w:fill="FFFFFF"/>
        </w:rPr>
      </w:pPr>
      <w:r>
        <w:rPr>
          <w:rFonts w:hint="eastAsia" w:cs="宋体"/>
          <w:b/>
          <w:bCs/>
          <w:sz w:val="21"/>
          <w:szCs w:val="21"/>
          <w:u w:val="none" w:color="auto"/>
          <w:shd w:val="clear" w:color="auto" w:fill="FFFFFF"/>
        </w:rPr>
        <w:t>2.获取磋商文件网址</w:t>
      </w:r>
      <w:r>
        <w:rPr>
          <w:rFonts w:hint="eastAsia" w:cs="宋体"/>
          <w:sz w:val="21"/>
          <w:szCs w:val="21"/>
          <w:u w:val="none" w:color="auto"/>
          <w:shd w:val="clear" w:color="auto" w:fill="FFFFFF"/>
        </w:rPr>
        <w:t>：浙江省政府采购网</w:t>
      </w:r>
      <w:r>
        <w:rPr>
          <w:u w:val="none" w:color="auto"/>
        </w:rPr>
        <w:fldChar w:fldCharType="begin"/>
      </w:r>
      <w:r>
        <w:rPr>
          <w:u w:val="none" w:color="auto"/>
        </w:rPr>
        <w:instrText xml:space="preserve"> HYPERLINK "http://www.zjzfcg.gov.cn" </w:instrText>
      </w:r>
      <w:r>
        <w:rPr>
          <w:u w:val="none" w:color="auto"/>
        </w:rPr>
        <w:fldChar w:fldCharType="separate"/>
      </w:r>
      <w:r>
        <w:rPr>
          <w:rFonts w:hint="eastAsia" w:cs="宋体"/>
          <w:sz w:val="21"/>
          <w:szCs w:val="21"/>
          <w:u w:val="none" w:color="auto"/>
          <w:shd w:val="clear" w:color="auto" w:fill="FFFFFF"/>
        </w:rPr>
        <w:t>www.zjzfcg.gov.cn</w:t>
      </w:r>
      <w:r>
        <w:rPr>
          <w:rFonts w:hint="eastAsia" w:cs="宋体"/>
          <w:sz w:val="21"/>
          <w:szCs w:val="21"/>
          <w:u w:val="none" w:color="auto"/>
          <w:shd w:val="clear" w:color="auto" w:fill="FFFFFF"/>
        </w:rPr>
        <w:fldChar w:fldCharType="end"/>
      </w:r>
      <w:r>
        <w:rPr>
          <w:rFonts w:hint="eastAsia" w:cs="宋体"/>
          <w:sz w:val="21"/>
          <w:szCs w:val="21"/>
          <w:u w:val="none" w:color="auto"/>
          <w:shd w:val="clear" w:color="auto" w:fill="FFFFFF"/>
        </w:rPr>
        <w:t>（用“政采云”注册账号、密码登录系统后获取磋商文件）</w:t>
      </w:r>
    </w:p>
    <w:p w14:paraId="392A4A9D">
      <w:pPr>
        <w:pStyle w:val="67"/>
        <w:keepNext w:val="0"/>
        <w:keepLines w:val="0"/>
        <w:pageBreakBefore w:val="0"/>
        <w:shd w:val="clear" w:color="auto" w:fill="FFFFFF"/>
        <w:kinsoku/>
        <w:wordWrap/>
        <w:overflowPunct/>
        <w:topLinePunct w:val="0"/>
        <w:autoSpaceDE/>
        <w:autoSpaceDN/>
        <w:bidi w:val="0"/>
        <w:adjustRightInd/>
        <w:spacing w:beforeAutospacing="0" w:afterAutospacing="0" w:line="360" w:lineRule="auto"/>
        <w:ind w:left="0" w:firstLine="413" w:firstLineChars="196"/>
        <w:textAlignment w:val="auto"/>
        <w:rPr>
          <w:rFonts w:hint="eastAsia" w:cs="宋体"/>
          <w:sz w:val="21"/>
          <w:szCs w:val="21"/>
          <w:u w:val="none" w:color="auto"/>
          <w:shd w:val="clear" w:color="auto" w:fill="FFFFFF"/>
        </w:rPr>
      </w:pPr>
      <w:r>
        <w:rPr>
          <w:rFonts w:hint="eastAsia" w:cs="宋体"/>
          <w:b/>
          <w:bCs/>
          <w:sz w:val="21"/>
          <w:szCs w:val="21"/>
          <w:u w:val="none" w:color="auto"/>
          <w:shd w:val="clear" w:color="auto" w:fill="FFFFFF"/>
        </w:rPr>
        <w:t>3.免费注册网址：浙江政府采购网（供应商注册页面）：</w:t>
      </w:r>
      <w:r>
        <w:rPr>
          <w:rFonts w:hint="eastAsia" w:cs="宋体"/>
          <w:sz w:val="21"/>
          <w:szCs w:val="21"/>
          <w:u w:val="none" w:color="auto"/>
          <w:shd w:val="clear" w:color="auto" w:fill="FFFFFF"/>
        </w:rPr>
        <w:t>https://middle.zcygov.cn/settle-front/#/registry“政采云”，咨询电话：95763。</w:t>
      </w:r>
    </w:p>
    <w:p w14:paraId="276B8A2C">
      <w:pPr>
        <w:pStyle w:val="67"/>
        <w:keepNext w:val="0"/>
        <w:keepLines w:val="0"/>
        <w:pageBreakBefore w:val="0"/>
        <w:shd w:val="clear" w:color="auto" w:fill="FFFFFF"/>
        <w:kinsoku/>
        <w:wordWrap/>
        <w:overflowPunct/>
        <w:topLinePunct w:val="0"/>
        <w:autoSpaceDE/>
        <w:autoSpaceDN/>
        <w:bidi w:val="0"/>
        <w:adjustRightInd/>
        <w:spacing w:beforeAutospacing="0" w:afterAutospacing="0" w:line="360" w:lineRule="auto"/>
        <w:ind w:left="0"/>
        <w:textAlignment w:val="auto"/>
        <w:rPr>
          <w:rFonts w:hint="eastAsia" w:cs="宋体"/>
          <w:sz w:val="21"/>
          <w:szCs w:val="21"/>
          <w:u w:val="none" w:color="auto"/>
          <w:shd w:val="clear" w:color="auto" w:fill="FFFFFF"/>
        </w:rPr>
      </w:pPr>
      <w:r>
        <w:rPr>
          <w:rFonts w:hint="eastAsia" w:cs="宋体"/>
          <w:sz w:val="21"/>
          <w:szCs w:val="21"/>
          <w:u w:val="none" w:color="auto"/>
          <w:shd w:val="clear" w:color="auto" w:fill="FFFFFF"/>
        </w:rPr>
        <w:t>已经注册成功的供应商无需重复注册。</w:t>
      </w:r>
    </w:p>
    <w:p w14:paraId="4E16DD6C">
      <w:pPr>
        <w:pStyle w:val="67"/>
        <w:keepNext w:val="0"/>
        <w:keepLines w:val="0"/>
        <w:pageBreakBefore w:val="0"/>
        <w:shd w:val="clear" w:color="auto" w:fill="FFFFFF"/>
        <w:kinsoku/>
        <w:wordWrap/>
        <w:overflowPunct/>
        <w:topLinePunct w:val="0"/>
        <w:autoSpaceDE/>
        <w:autoSpaceDN/>
        <w:bidi w:val="0"/>
        <w:adjustRightInd/>
        <w:spacing w:beforeAutospacing="0" w:afterAutospacing="0" w:line="360" w:lineRule="auto"/>
        <w:ind w:left="0"/>
        <w:textAlignment w:val="auto"/>
        <w:rPr>
          <w:rFonts w:hint="eastAsia" w:cs="宋体"/>
          <w:sz w:val="21"/>
          <w:szCs w:val="21"/>
          <w:u w:val="none" w:color="auto"/>
          <w:shd w:val="clear" w:color="auto" w:fill="FFFFFF"/>
        </w:rPr>
      </w:pPr>
      <w:r>
        <w:rPr>
          <w:rFonts w:hint="eastAsia" w:cs="宋体"/>
          <w:b/>
          <w:bCs/>
          <w:sz w:val="21"/>
          <w:szCs w:val="21"/>
          <w:u w:val="none" w:color="auto"/>
          <w:shd w:val="clear" w:color="auto" w:fill="FFFFFF"/>
          <w:lang w:val="en-US" w:eastAsia="zh-CN"/>
        </w:rPr>
        <w:t xml:space="preserve">   4</w:t>
      </w:r>
      <w:r>
        <w:rPr>
          <w:rFonts w:hint="eastAsia" w:cs="宋体"/>
          <w:b/>
          <w:bCs/>
          <w:sz w:val="21"/>
          <w:szCs w:val="21"/>
          <w:u w:val="none" w:color="auto"/>
          <w:shd w:val="clear" w:color="auto" w:fill="FFFFFF"/>
        </w:rPr>
        <w:t>.获取磋商文件时间：</w:t>
      </w:r>
      <w:r>
        <w:rPr>
          <w:rFonts w:hint="eastAsia" w:cs="宋体"/>
          <w:sz w:val="21"/>
          <w:szCs w:val="21"/>
          <w:u w:val="none" w:color="auto"/>
          <w:shd w:val="clear" w:color="auto" w:fill="FFFFFF"/>
        </w:rPr>
        <w:t>公告发布之日至投标截止时间。</w:t>
      </w:r>
    </w:p>
    <w:p w14:paraId="72DDDA32">
      <w:pPr>
        <w:pStyle w:val="6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textAlignment w:val="auto"/>
        <w:rPr>
          <w:rFonts w:hint="eastAsia" w:cs="宋体"/>
          <w:b/>
          <w:bCs/>
          <w:kern w:val="2"/>
          <w:sz w:val="21"/>
          <w:szCs w:val="21"/>
          <w:u w:val="none" w:color="auto"/>
        </w:rPr>
      </w:pPr>
      <w:r>
        <w:rPr>
          <w:rFonts w:hint="eastAsia" w:cs="宋体"/>
          <w:b/>
          <w:bCs/>
          <w:kern w:val="2"/>
          <w:sz w:val="21"/>
          <w:szCs w:val="21"/>
          <w:u w:val="none" w:color="auto"/>
        </w:rPr>
        <w:t>八、投标文件的制作及递交：</w:t>
      </w:r>
    </w:p>
    <w:p w14:paraId="2F1374ED">
      <w:pPr>
        <w:pStyle w:val="6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0" w:firstLineChars="200"/>
        <w:textAlignment w:val="auto"/>
        <w:rPr>
          <w:rFonts w:cs="宋体"/>
          <w:color w:val="auto"/>
          <w:sz w:val="21"/>
          <w:szCs w:val="21"/>
          <w:shd w:val="clear" w:color="auto" w:fill="FFFFFF"/>
        </w:rPr>
      </w:pPr>
      <w:r>
        <w:rPr>
          <w:rFonts w:hint="eastAsia" w:cs="宋体"/>
          <w:color w:val="auto"/>
          <w:sz w:val="21"/>
          <w:szCs w:val="21"/>
          <w:shd w:val="clear" w:color="auto" w:fill="FFFFFF"/>
        </w:rPr>
        <w:t>1.供应商须</w:t>
      </w:r>
      <w:r>
        <w:rPr>
          <w:rFonts w:hint="eastAsia" w:cs="宋体"/>
          <w:b/>
          <w:bCs/>
          <w:color w:val="auto"/>
          <w:sz w:val="21"/>
          <w:szCs w:val="21"/>
          <w:shd w:val="clear" w:color="auto" w:fill="FFFFFF"/>
        </w:rPr>
        <w:t>在线获取CA数字证书</w:t>
      </w:r>
      <w:r>
        <w:rPr>
          <w:rFonts w:hint="eastAsia" w:cs="宋体"/>
          <w:color w:val="auto"/>
          <w:sz w:val="21"/>
          <w:szCs w:val="21"/>
          <w:shd w:val="clear" w:color="auto" w:fill="FFFFFF"/>
        </w:rPr>
        <w:t>（完成CA数字证书办理预计一周左右，建议各投标人自行把握时间）</w:t>
      </w:r>
      <w:r>
        <w:rPr>
          <w:rFonts w:hint="eastAsia" w:cs="宋体"/>
          <w:b/>
          <w:bCs/>
          <w:color w:val="auto"/>
          <w:sz w:val="21"/>
          <w:szCs w:val="21"/>
          <w:shd w:val="clear" w:color="auto" w:fill="FFFFFF"/>
        </w:rPr>
        <w:t>，</w:t>
      </w:r>
      <w:r>
        <w:rPr>
          <w:rFonts w:hint="eastAsia" w:cs="宋体"/>
          <w:color w:val="auto"/>
          <w:sz w:val="21"/>
          <w:szCs w:val="21"/>
          <w:shd w:val="clear" w:color="auto" w:fill="FFFFFF"/>
        </w:rPr>
        <w:t>并登录“浙江省政府采购网”（</w:t>
      </w:r>
      <w:r>
        <w:rPr>
          <w:color w:val="auto"/>
        </w:rPr>
        <w:fldChar w:fldCharType="begin"/>
      </w:r>
      <w:r>
        <w:rPr>
          <w:color w:val="auto"/>
        </w:rPr>
        <w:instrText xml:space="preserve"> HYPERLINK "http://www.zjzfcg.gov.cn" </w:instrText>
      </w:r>
      <w:r>
        <w:rPr>
          <w:color w:val="auto"/>
        </w:rPr>
        <w:fldChar w:fldCharType="separate"/>
      </w:r>
      <w:r>
        <w:rPr>
          <w:rFonts w:hint="eastAsia" w:cs="宋体"/>
          <w:color w:val="auto"/>
          <w:sz w:val="21"/>
          <w:szCs w:val="21"/>
          <w:shd w:val="clear" w:color="auto" w:fill="FFFFFF"/>
        </w:rPr>
        <w:t>www.zjzfcg.gov.cn</w:t>
      </w:r>
      <w:r>
        <w:rPr>
          <w:rFonts w:hint="eastAsia" w:cs="宋体"/>
          <w:color w:val="auto"/>
          <w:sz w:val="21"/>
          <w:szCs w:val="21"/>
          <w:shd w:val="clear" w:color="auto" w:fill="FFFFFF"/>
        </w:rPr>
        <w:fldChar w:fldCharType="end"/>
      </w:r>
      <w:r>
        <w:rPr>
          <w:rFonts w:hint="eastAsia" w:cs="宋体"/>
          <w:color w:val="auto"/>
          <w:sz w:val="21"/>
          <w:szCs w:val="21"/>
          <w:shd w:val="clear" w:color="auto" w:fill="FFFFFF"/>
        </w:rPr>
        <w:t xml:space="preserve"> ），进入“下载专区”下载“电子交易客户端”，制作投标文件。</w:t>
      </w:r>
    </w:p>
    <w:p w14:paraId="0B3B6B19">
      <w:pPr>
        <w:pStyle w:val="67"/>
        <w:keepNext w:val="0"/>
        <w:keepLines w:val="0"/>
        <w:pageBreakBefore w:val="0"/>
        <w:widowControl/>
        <w:kinsoku/>
        <w:wordWrap/>
        <w:overflowPunct/>
        <w:topLinePunct w:val="0"/>
        <w:autoSpaceDE/>
        <w:autoSpaceDN/>
        <w:bidi w:val="0"/>
        <w:adjustRightInd/>
        <w:snapToGrid/>
        <w:spacing w:beforeAutospacing="0" w:afterAutospacing="0" w:line="360" w:lineRule="auto"/>
        <w:ind w:firstLine="525" w:firstLineChars="250"/>
        <w:jc w:val="both"/>
        <w:textAlignment w:val="auto"/>
        <w:rPr>
          <w:rFonts w:cs="宋体"/>
          <w:color w:val="auto"/>
          <w:sz w:val="21"/>
          <w:szCs w:val="21"/>
          <w:shd w:val="clear" w:color="auto" w:fill="FFFFFF"/>
        </w:rPr>
      </w:pPr>
      <w:r>
        <w:rPr>
          <w:rFonts w:hint="eastAsia" w:cs="宋体"/>
          <w:color w:val="auto"/>
          <w:sz w:val="21"/>
          <w:szCs w:val="21"/>
          <w:shd w:val="clear" w:color="auto" w:fill="FFFFFF"/>
        </w:rPr>
        <w:t>2.投标人将加密的电子版投标文件于投标截止时间前上传到政采云系统中。</w:t>
      </w:r>
    </w:p>
    <w:p w14:paraId="769F0748">
      <w:pPr>
        <w:pStyle w:val="6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cs="宋体"/>
          <w:sz w:val="21"/>
          <w:szCs w:val="21"/>
          <w:u w:val="none" w:color="auto"/>
          <w:shd w:val="clear" w:color="auto" w:fill="FFFFFF"/>
        </w:rPr>
      </w:pPr>
      <w:r>
        <w:rPr>
          <w:rFonts w:hint="eastAsia" w:cs="宋体"/>
          <w:color w:val="auto"/>
          <w:sz w:val="21"/>
          <w:szCs w:val="21"/>
          <w:shd w:val="clear" w:color="auto" w:fill="FFFFFF"/>
        </w:rPr>
        <w:t>3.具体的投标文件加密上传等操作详见政采云平台操作指南。</w:t>
      </w:r>
      <w:r>
        <w:rPr>
          <w:color w:val="auto"/>
        </w:rPr>
        <w:fldChar w:fldCharType="begin"/>
      </w:r>
      <w:r>
        <w:rPr>
          <w:color w:val="auto"/>
        </w:rPr>
        <w:instrText xml:space="preserve"> HYPERLINK "https://edu.zcygov.cn/luban/e-biding?utm=a0004.2ef5001f.0001.0109.da8b35e0da8611e98d8937b7ef8a3544" </w:instrText>
      </w:r>
      <w:r>
        <w:rPr>
          <w:color w:val="auto"/>
        </w:rPr>
        <w:fldChar w:fldCharType="separate"/>
      </w:r>
      <w:r>
        <w:rPr>
          <w:rFonts w:hint="eastAsia" w:cs="宋体"/>
          <w:color w:val="auto"/>
          <w:sz w:val="21"/>
          <w:szCs w:val="21"/>
          <w:u w:val="single"/>
          <w:shd w:val="clear" w:color="auto" w:fill="FFFFFF"/>
        </w:rPr>
        <w:t>https://edu.zcygov.cn/luban/e-biding?utm=a0004.2ef5001f.0001.0109.da8b35e0da8611e98d8937b7ef8a3544</w:t>
      </w:r>
      <w:r>
        <w:rPr>
          <w:rFonts w:hint="eastAsia" w:cs="宋体"/>
          <w:color w:val="auto"/>
          <w:sz w:val="21"/>
          <w:szCs w:val="21"/>
          <w:u w:val="single"/>
          <w:shd w:val="clear" w:color="auto" w:fill="FFFFFF"/>
        </w:rPr>
        <w:fldChar w:fldCharType="end"/>
      </w:r>
    </w:p>
    <w:p w14:paraId="67211C87">
      <w:pPr>
        <w:pStyle w:val="67"/>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rPr>
          <w:rStyle w:val="32"/>
          <w:rFonts w:hint="eastAsia"/>
          <w:sz w:val="21"/>
          <w:u w:val="none" w:color="auto"/>
        </w:rPr>
      </w:pPr>
      <w:r>
        <w:rPr>
          <w:rStyle w:val="32"/>
          <w:rFonts w:hint="eastAsia"/>
          <w:b/>
          <w:bCs/>
          <w:sz w:val="21"/>
          <w:u w:val="none" w:color="auto"/>
        </w:rPr>
        <w:t>九、</w:t>
      </w:r>
      <w:r>
        <w:rPr>
          <w:rStyle w:val="32"/>
          <w:b/>
          <w:bCs/>
          <w:sz w:val="21"/>
          <w:u w:val="none" w:color="auto"/>
        </w:rPr>
        <w:t>投标截止时间</w:t>
      </w:r>
      <w:r>
        <w:rPr>
          <w:rStyle w:val="32"/>
          <w:rFonts w:hint="eastAsia"/>
          <w:b/>
          <w:bCs/>
          <w:sz w:val="21"/>
          <w:u w:val="none" w:color="auto"/>
        </w:rPr>
        <w:t>和地址</w:t>
      </w:r>
      <w:r>
        <w:rPr>
          <w:rStyle w:val="32"/>
          <w:sz w:val="21"/>
          <w:u w:val="none" w:color="auto"/>
        </w:rPr>
        <w:t>：</w:t>
      </w:r>
    </w:p>
    <w:p w14:paraId="3AF96F8C">
      <w:pPr>
        <w:spacing w:line="312" w:lineRule="auto"/>
        <w:rPr>
          <w:rFonts w:hint="eastAsia" w:asciiTheme="minorEastAsia" w:hAnsiTheme="minorEastAsia" w:eastAsiaTheme="minorEastAsia"/>
          <w:szCs w:val="21"/>
          <w:u w:val="none" w:color="auto"/>
        </w:rPr>
      </w:pPr>
      <w:r>
        <w:rPr>
          <w:rFonts w:hint="eastAsia" w:asciiTheme="minorEastAsia" w:hAnsiTheme="minorEastAsia" w:eastAsiaTheme="minorEastAsia"/>
          <w:szCs w:val="21"/>
          <w:u w:val="none" w:color="auto"/>
        </w:rPr>
        <w:t>1.本项目实行电子投标。</w:t>
      </w:r>
    </w:p>
    <w:p w14:paraId="189DFF47">
      <w:pPr>
        <w:spacing w:line="312" w:lineRule="auto"/>
        <w:ind w:firstLine="420" w:firstLineChars="200"/>
        <w:rPr>
          <w:rFonts w:hint="eastAsia" w:asciiTheme="minorEastAsia" w:hAnsiTheme="minorEastAsia" w:eastAsiaTheme="minorEastAsia"/>
          <w:szCs w:val="21"/>
          <w:u w:val="none" w:color="auto"/>
        </w:rPr>
      </w:pPr>
      <w:r>
        <w:rPr>
          <w:rFonts w:hint="eastAsia" w:asciiTheme="minorEastAsia" w:hAnsiTheme="minorEastAsia" w:eastAsiaTheme="minorEastAsia"/>
          <w:szCs w:val="21"/>
          <w:u w:val="none" w:color="auto"/>
        </w:rPr>
        <w:t>投标人应准备电子投标文件、以介质存储的数据电文形式的备份投标文件：</w:t>
      </w:r>
    </w:p>
    <w:p w14:paraId="34F19EC2">
      <w:pPr>
        <w:spacing w:line="312" w:lineRule="auto"/>
        <w:rPr>
          <w:rFonts w:hint="eastAsia" w:asciiTheme="minorEastAsia" w:hAnsiTheme="minorEastAsia" w:eastAsiaTheme="minorEastAsia"/>
          <w:szCs w:val="21"/>
          <w:u w:val="none" w:color="auto"/>
        </w:rPr>
      </w:pPr>
      <w:r>
        <w:rPr>
          <w:rFonts w:hint="eastAsia" w:asciiTheme="minorEastAsia" w:hAnsiTheme="minorEastAsia" w:eastAsiaTheme="minorEastAsia"/>
          <w:szCs w:val="21"/>
          <w:u w:val="none" w:color="auto"/>
        </w:rPr>
        <w:t xml:space="preserve">    （1）电子投标文件，按政采云平台项目采购-电子交易操作指南及本磋商文件要求递交。</w:t>
      </w:r>
      <w:r>
        <w:rPr>
          <w:rFonts w:hint="eastAsia" w:cs="宋体" w:asciiTheme="minorEastAsia" w:hAnsiTheme="minorEastAsia" w:eastAsiaTheme="minorEastAsia"/>
          <w:szCs w:val="21"/>
          <w:u w:val="none" w:color="auto"/>
          <w:shd w:val="clear" w:color="auto" w:fill="FFFFFF"/>
        </w:rPr>
        <w:t>投标人应于</w:t>
      </w:r>
      <w:r>
        <w:rPr>
          <w:rFonts w:hint="eastAsia" w:cs="宋体" w:asciiTheme="minorEastAsia" w:hAnsiTheme="minorEastAsia" w:eastAsiaTheme="minorEastAsia"/>
          <w:szCs w:val="21"/>
          <w:u w:val="none" w:color="auto"/>
          <w:shd w:val="clear" w:color="auto" w:fill="FFFFFF"/>
          <w:lang w:eastAsia="zh-CN"/>
        </w:rPr>
        <w:t>2025年</w:t>
      </w:r>
      <w:r>
        <w:rPr>
          <w:rFonts w:hint="eastAsia" w:cs="宋体" w:asciiTheme="minorEastAsia" w:hAnsiTheme="minorEastAsia" w:eastAsiaTheme="minorEastAsia"/>
          <w:szCs w:val="21"/>
          <w:u w:val="none" w:color="auto"/>
          <w:shd w:val="clear" w:color="auto" w:fill="FFFFFF"/>
          <w:lang w:val="en-US" w:eastAsia="zh-CN"/>
        </w:rPr>
        <w:t>0</w:t>
      </w:r>
      <w:r>
        <w:rPr>
          <w:rFonts w:hint="default" w:cs="宋体" w:asciiTheme="minorEastAsia" w:hAnsiTheme="minorEastAsia" w:eastAsiaTheme="minorEastAsia"/>
          <w:szCs w:val="21"/>
          <w:u w:val="none" w:color="auto"/>
          <w:shd w:val="clear" w:color="auto" w:fill="FFFFFF"/>
          <w:lang w:eastAsia="zh-CN"/>
          <w:woUserID w:val="1"/>
        </w:rPr>
        <w:t>7</w:t>
      </w:r>
      <w:r>
        <w:rPr>
          <w:rFonts w:hint="eastAsia" w:cs="宋体" w:asciiTheme="minorEastAsia" w:hAnsiTheme="minorEastAsia" w:eastAsiaTheme="minorEastAsia"/>
          <w:szCs w:val="21"/>
          <w:u w:val="none" w:color="auto"/>
          <w:shd w:val="clear" w:color="auto" w:fill="FFFFFF"/>
        </w:rPr>
        <w:t>月</w:t>
      </w:r>
      <w:r>
        <w:rPr>
          <w:rFonts w:hint="default" w:cs="宋体" w:asciiTheme="minorEastAsia" w:hAnsiTheme="minorEastAsia" w:eastAsiaTheme="minorEastAsia"/>
          <w:szCs w:val="21"/>
          <w:u w:val="none" w:color="auto"/>
          <w:shd w:val="clear" w:color="auto" w:fill="FFFFFF"/>
          <w:woUserID w:val="1"/>
        </w:rPr>
        <w:t>01</w:t>
      </w:r>
      <w:r>
        <w:rPr>
          <w:rFonts w:hint="eastAsia" w:cs="宋体" w:asciiTheme="minorEastAsia" w:hAnsiTheme="minorEastAsia" w:eastAsiaTheme="minorEastAsia"/>
          <w:szCs w:val="21"/>
          <w:u w:val="none" w:color="auto"/>
          <w:shd w:val="clear" w:color="auto" w:fill="FFFFFF"/>
        </w:rPr>
        <w:t>日09：15（北京时间）前将加密的电子版投标文件上传到政采云系统中（不准时上传视为无效标）。</w:t>
      </w:r>
      <w:r>
        <w:rPr>
          <w:rFonts w:hint="eastAsia" w:cs="宋体" w:asciiTheme="minorEastAsia" w:hAnsiTheme="minorEastAsia" w:eastAsiaTheme="minorEastAsia"/>
          <w:b/>
          <w:szCs w:val="21"/>
          <w:u w:val="none" w:color="auto"/>
          <w:shd w:val="clear" w:color="auto" w:fill="FFFFFF"/>
        </w:rPr>
        <w:t>CA数字证书随身携带或准时解码。</w:t>
      </w:r>
    </w:p>
    <w:p w14:paraId="0F4A3111">
      <w:pPr>
        <w:spacing w:line="312" w:lineRule="auto"/>
        <w:rPr>
          <w:rFonts w:hint="eastAsia" w:asciiTheme="minorEastAsia" w:hAnsiTheme="minorEastAsia" w:eastAsiaTheme="minorEastAsia"/>
          <w:szCs w:val="21"/>
          <w:u w:val="none" w:color="auto"/>
        </w:rPr>
      </w:pPr>
      <w:r>
        <w:rPr>
          <w:rFonts w:hint="eastAsia" w:asciiTheme="minorEastAsia" w:hAnsiTheme="minorEastAsia" w:eastAsiaTheme="minorEastAsia"/>
          <w:szCs w:val="21"/>
          <w:u w:val="none" w:color="auto"/>
        </w:rPr>
        <w:t xml:space="preserve">    （2）以介质存储的数据电文形式的备份投标文件，按政采云平台项目采购-电子交易操作指南中上传的电子投标文件格式，以U盘形式存储提供。数量为1份。</w:t>
      </w:r>
    </w:p>
    <w:p w14:paraId="2478409C">
      <w:pPr>
        <w:spacing w:line="360" w:lineRule="auto"/>
        <w:ind w:firstLine="422" w:firstLineChars="200"/>
        <w:rPr>
          <w:rFonts w:hint="default"/>
          <w:lang w:val="en-US" w:eastAsia="zh-CN"/>
        </w:rPr>
      </w:pPr>
      <w:r>
        <w:rPr>
          <w:rFonts w:hint="eastAsia" w:ascii="Times New Roman" w:hAnsi="Times New Roman" w:eastAsia="宋体" w:cs="Times New Roman"/>
          <w:b/>
          <w:bCs/>
          <w:kern w:val="0"/>
          <w:szCs w:val="21"/>
        </w:rPr>
        <w:t>投标人可于2025年</w:t>
      </w:r>
      <w:r>
        <w:rPr>
          <w:rFonts w:hint="eastAsia" w:ascii="Times New Roman" w:hAnsi="Times New Roman" w:cs="Times New Roman"/>
          <w:b/>
          <w:bCs/>
          <w:kern w:val="0"/>
          <w:szCs w:val="21"/>
          <w:lang w:val="en-US" w:eastAsia="zh-CN"/>
        </w:rPr>
        <w:t>06</w:t>
      </w:r>
      <w:r>
        <w:rPr>
          <w:rFonts w:hint="eastAsia" w:ascii="Times New Roman" w:hAnsi="Times New Roman" w:eastAsia="宋体" w:cs="Times New Roman"/>
          <w:b/>
          <w:bCs/>
          <w:kern w:val="0"/>
          <w:szCs w:val="21"/>
        </w:rPr>
        <w:t>月</w:t>
      </w:r>
      <w:r>
        <w:rPr>
          <w:rFonts w:hint="default" w:ascii="Times New Roman" w:hAnsi="Times New Roman" w:cs="Times New Roman"/>
          <w:b/>
          <w:bCs/>
          <w:kern w:val="0"/>
          <w:szCs w:val="21"/>
          <w:woUserID w:val="1"/>
        </w:rPr>
        <w:t>30</w:t>
      </w:r>
      <w:r>
        <w:rPr>
          <w:rFonts w:hint="eastAsia" w:ascii="Times New Roman" w:hAnsi="Times New Roman" w:eastAsia="宋体" w:cs="Times New Roman"/>
          <w:b/>
          <w:bCs/>
          <w:kern w:val="0"/>
          <w:szCs w:val="21"/>
        </w:rPr>
        <w:t>日11：30（北京时间）前将密封的投标文件寄到或送达采购代理公司。地址：舟山市定海区昌国路232号中楼202  深圳市国信招标有限公司舟山分公司(收件人：任女士，联系电话：13567673203）。寄错地址或未按时寄到的自行承担风险。也可开标会现场递交，递交截止时间2025年0</w:t>
      </w:r>
      <w:r>
        <w:rPr>
          <w:rFonts w:hint="default" w:ascii="Times New Roman" w:hAnsi="Times New Roman" w:cs="Times New Roman"/>
          <w:b/>
          <w:bCs/>
          <w:kern w:val="0"/>
          <w:szCs w:val="21"/>
          <w:woUserID w:val="1"/>
        </w:rPr>
        <w:t>7</w:t>
      </w:r>
      <w:r>
        <w:rPr>
          <w:rFonts w:hint="eastAsia" w:ascii="Times New Roman" w:hAnsi="Times New Roman" w:eastAsia="宋体" w:cs="Times New Roman"/>
          <w:b/>
          <w:bCs/>
          <w:kern w:val="0"/>
          <w:szCs w:val="21"/>
        </w:rPr>
        <w:t>月</w:t>
      </w:r>
      <w:r>
        <w:rPr>
          <w:rFonts w:hint="default" w:ascii="Times New Roman" w:hAnsi="Times New Roman" w:cs="Times New Roman"/>
          <w:b/>
          <w:bCs/>
          <w:kern w:val="0"/>
          <w:szCs w:val="21"/>
          <w:woUserID w:val="1"/>
        </w:rPr>
        <w:t>01</w:t>
      </w:r>
      <w:r>
        <w:rPr>
          <w:rFonts w:hint="eastAsia" w:ascii="Times New Roman" w:hAnsi="Times New Roman" w:eastAsia="宋体" w:cs="Times New Roman"/>
          <w:b/>
          <w:bCs/>
          <w:kern w:val="0"/>
          <w:szCs w:val="21"/>
        </w:rPr>
        <w:t>日09：15</w:t>
      </w:r>
    </w:p>
    <w:p w14:paraId="36A50704">
      <w:pPr>
        <w:pStyle w:val="67"/>
        <w:shd w:val="clear" w:color="auto" w:fill="FFFFFF"/>
        <w:spacing w:beforeAutospacing="0" w:afterAutospacing="0" w:line="360" w:lineRule="auto"/>
        <w:ind w:firstLine="519" w:firstLineChars="246"/>
        <w:rPr>
          <w:rFonts w:hint="eastAsia" w:cs="(使用中文字体)"/>
          <w:b/>
          <w:sz w:val="21"/>
          <w:szCs w:val="21"/>
          <w:u w:val="none" w:color="auto"/>
        </w:rPr>
      </w:pPr>
      <w:r>
        <w:rPr>
          <w:rFonts w:hint="eastAsia" w:cs="(使用中文字体)"/>
          <w:b/>
          <w:sz w:val="21"/>
          <w:szCs w:val="21"/>
          <w:u w:val="none" w:color="auto"/>
        </w:rPr>
        <w:t>投标人可以不提供备份投标文件，造成项目开评标活动无法进行下去的，投标无效，相关风险由投标人自行承担。</w:t>
      </w:r>
    </w:p>
    <w:p w14:paraId="270BCBB7">
      <w:pPr>
        <w:pStyle w:val="67"/>
        <w:shd w:val="clear" w:color="auto" w:fill="FFFFFF"/>
        <w:spacing w:beforeAutospacing="0" w:afterAutospacing="0" w:line="336" w:lineRule="auto"/>
        <w:ind w:firstLine="422" w:firstLineChars="200"/>
        <w:rPr>
          <w:rFonts w:hint="eastAsia" w:cs="宋体" w:asciiTheme="minorEastAsia" w:hAnsiTheme="minorEastAsia" w:eastAsiaTheme="minorEastAsia"/>
          <w:bCs/>
          <w:kern w:val="2"/>
          <w:sz w:val="21"/>
          <w:szCs w:val="21"/>
          <w:u w:val="none" w:color="auto"/>
        </w:rPr>
      </w:pPr>
      <w:r>
        <w:rPr>
          <w:rFonts w:hint="eastAsia" w:cs="宋体" w:asciiTheme="minorEastAsia" w:hAnsiTheme="minorEastAsia" w:eastAsiaTheme="minorEastAsia"/>
          <w:b/>
          <w:bCs/>
          <w:kern w:val="2"/>
          <w:sz w:val="21"/>
          <w:szCs w:val="21"/>
          <w:u w:val="none" w:color="auto"/>
        </w:rPr>
        <w:t>2.开标时间：</w:t>
      </w:r>
      <w:r>
        <w:rPr>
          <w:rFonts w:hint="eastAsia" w:cs="宋体" w:asciiTheme="minorEastAsia" w:hAnsiTheme="minorEastAsia" w:eastAsiaTheme="minorEastAsia"/>
          <w:bCs/>
          <w:kern w:val="2"/>
          <w:sz w:val="21"/>
          <w:szCs w:val="21"/>
          <w:u w:val="none" w:color="auto"/>
          <w:lang w:eastAsia="zh-CN"/>
        </w:rPr>
        <w:t>2025年0</w:t>
      </w:r>
      <w:r>
        <w:rPr>
          <w:rFonts w:hint="default" w:cs="宋体" w:asciiTheme="minorEastAsia" w:hAnsiTheme="minorEastAsia" w:eastAsiaTheme="minorEastAsia"/>
          <w:bCs/>
          <w:kern w:val="2"/>
          <w:sz w:val="21"/>
          <w:szCs w:val="21"/>
          <w:u w:val="none" w:color="auto"/>
          <w:lang w:eastAsia="zh-CN"/>
          <w:woUserID w:val="1"/>
        </w:rPr>
        <w:t>7</w:t>
      </w:r>
      <w:r>
        <w:rPr>
          <w:rFonts w:hint="eastAsia" w:cs="宋体" w:asciiTheme="minorEastAsia" w:hAnsiTheme="minorEastAsia" w:eastAsiaTheme="minorEastAsia"/>
          <w:bCs/>
          <w:kern w:val="2"/>
          <w:sz w:val="21"/>
          <w:szCs w:val="21"/>
          <w:u w:val="none" w:color="auto"/>
          <w:lang w:eastAsia="zh-CN"/>
        </w:rPr>
        <w:t>月</w:t>
      </w:r>
      <w:r>
        <w:rPr>
          <w:rFonts w:hint="default" w:cs="宋体" w:asciiTheme="minorEastAsia" w:hAnsiTheme="minorEastAsia" w:eastAsiaTheme="minorEastAsia"/>
          <w:bCs/>
          <w:kern w:val="2"/>
          <w:sz w:val="21"/>
          <w:szCs w:val="21"/>
          <w:u w:val="none" w:color="auto"/>
          <w:lang w:eastAsia="zh-CN"/>
          <w:woUserID w:val="1"/>
        </w:rPr>
        <w:t>01</w:t>
      </w:r>
      <w:r>
        <w:rPr>
          <w:rFonts w:hint="eastAsia" w:cs="宋体" w:asciiTheme="minorEastAsia" w:hAnsiTheme="minorEastAsia" w:eastAsiaTheme="minorEastAsia"/>
          <w:bCs/>
          <w:kern w:val="2"/>
          <w:sz w:val="21"/>
          <w:szCs w:val="21"/>
          <w:u w:val="none" w:color="auto"/>
          <w:lang w:eastAsia="zh-CN"/>
        </w:rPr>
        <w:t>日09：15</w:t>
      </w:r>
      <w:r>
        <w:rPr>
          <w:rFonts w:hint="eastAsia" w:cs="宋体" w:asciiTheme="minorEastAsia" w:hAnsiTheme="minorEastAsia" w:eastAsiaTheme="minorEastAsia"/>
          <w:bCs/>
          <w:kern w:val="2"/>
          <w:sz w:val="21"/>
          <w:szCs w:val="21"/>
          <w:u w:val="none" w:color="auto"/>
        </w:rPr>
        <w:t>（北京时间）</w:t>
      </w:r>
    </w:p>
    <w:p w14:paraId="2887F937">
      <w:pPr>
        <w:widowControl/>
        <w:shd w:val="clear" w:color="auto" w:fill="FFFFFF"/>
        <w:spacing w:line="360" w:lineRule="auto"/>
        <w:ind w:firstLine="410"/>
        <w:jc w:val="left"/>
        <w:rPr>
          <w:rFonts w:ascii="Times New Roman" w:hAnsi="Times New Roman"/>
          <w:kern w:val="0"/>
          <w:szCs w:val="21"/>
          <w:u w:val="none" w:color="auto"/>
        </w:rPr>
      </w:pPr>
      <w:r>
        <w:rPr>
          <w:rFonts w:hint="eastAsia" w:cs="宋体" w:asciiTheme="minorEastAsia" w:hAnsiTheme="minorEastAsia" w:eastAsiaTheme="minorEastAsia"/>
          <w:b/>
          <w:bCs/>
          <w:szCs w:val="21"/>
          <w:u w:val="none" w:color="auto"/>
        </w:rPr>
        <w:t>3.开标地点：</w:t>
      </w:r>
      <w:r>
        <w:rPr>
          <w:rFonts w:hint="eastAsia" w:ascii="Times New Roman" w:hAnsi="Times New Roman"/>
          <w:kern w:val="0"/>
          <w:szCs w:val="21"/>
          <w:u w:val="none" w:color="auto"/>
        </w:rPr>
        <w:t>舟山市公共资源交易中心（舟山市新城翁山路555号四楼（大宗商品交易中心同幢西边））开标室</w:t>
      </w:r>
    </w:p>
    <w:p w14:paraId="7DE85754">
      <w:pPr>
        <w:pStyle w:val="67"/>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textAlignment w:val="auto"/>
        <w:rPr>
          <w:rStyle w:val="32"/>
          <w:rFonts w:hint="eastAsia"/>
          <w:b/>
          <w:bCs/>
          <w:sz w:val="21"/>
          <w:u w:val="none" w:color="auto"/>
        </w:rPr>
      </w:pPr>
      <w:r>
        <w:rPr>
          <w:rStyle w:val="32"/>
          <w:rFonts w:hint="eastAsia"/>
          <w:b/>
          <w:bCs/>
          <w:sz w:val="21"/>
          <w:u w:val="none" w:color="auto"/>
        </w:rPr>
        <w:t>十、</w:t>
      </w:r>
      <w:r>
        <w:rPr>
          <w:rStyle w:val="32"/>
          <w:b/>
          <w:bCs/>
          <w:sz w:val="21"/>
          <w:u w:val="none" w:color="auto"/>
        </w:rPr>
        <w:t>其他事项：</w:t>
      </w:r>
    </w:p>
    <w:p w14:paraId="5264141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u w:val="none" w:color="auto"/>
        </w:rPr>
      </w:pPr>
      <w:r>
        <w:rPr>
          <w:rFonts w:hint="eastAsia" w:ascii="宋体" w:hAnsi="宋体" w:cs="宋体"/>
          <w:szCs w:val="21"/>
          <w:u w:val="none" w:color="auto"/>
        </w:rPr>
        <w:t>1.投标人</w:t>
      </w:r>
      <w:r>
        <w:rPr>
          <w:rFonts w:ascii="宋体" w:hAnsi="宋体" w:cs="宋体"/>
          <w:szCs w:val="21"/>
          <w:u w:val="none" w:color="auto"/>
        </w:rPr>
        <w:t>认为</w:t>
      </w:r>
      <w:r>
        <w:rPr>
          <w:rFonts w:hint="eastAsia" w:ascii="宋体" w:hAnsi="宋体" w:cs="宋体"/>
          <w:szCs w:val="21"/>
          <w:u w:val="none" w:color="auto"/>
        </w:rPr>
        <w:t>磋商</w:t>
      </w:r>
      <w:r>
        <w:rPr>
          <w:rFonts w:ascii="宋体" w:hAnsi="宋体" w:cs="宋体"/>
          <w:szCs w:val="21"/>
          <w:u w:val="none" w:color="auto"/>
        </w:rPr>
        <w:t>文件使自己的权益受到损害的，可以自收到</w:t>
      </w:r>
      <w:r>
        <w:rPr>
          <w:rFonts w:hint="eastAsia" w:ascii="宋体" w:hAnsi="宋体" w:cs="宋体"/>
          <w:szCs w:val="21"/>
          <w:u w:val="none" w:color="auto"/>
        </w:rPr>
        <w:t>采购</w:t>
      </w:r>
      <w:r>
        <w:rPr>
          <w:rFonts w:ascii="宋体" w:hAnsi="宋体" w:cs="宋体"/>
          <w:szCs w:val="21"/>
          <w:u w:val="none" w:color="auto"/>
        </w:rPr>
        <w:t>文件之日（发售截止日之后收到</w:t>
      </w:r>
      <w:r>
        <w:rPr>
          <w:rFonts w:hint="eastAsia" w:ascii="宋体" w:hAnsi="宋体" w:cs="宋体"/>
          <w:szCs w:val="21"/>
          <w:u w:val="none" w:color="auto"/>
        </w:rPr>
        <w:t>磋商</w:t>
      </w:r>
      <w:r>
        <w:rPr>
          <w:rFonts w:ascii="宋体" w:hAnsi="宋体" w:cs="宋体"/>
          <w:szCs w:val="21"/>
          <w:u w:val="none" w:color="auto"/>
        </w:rPr>
        <w:t>文件的，以发售截止日为准）或者</w:t>
      </w:r>
      <w:r>
        <w:rPr>
          <w:rFonts w:hint="eastAsia" w:ascii="宋体" w:hAnsi="宋体" w:cs="宋体"/>
          <w:szCs w:val="21"/>
          <w:u w:val="none" w:color="auto"/>
        </w:rPr>
        <w:t>磋商</w:t>
      </w:r>
      <w:r>
        <w:rPr>
          <w:rFonts w:ascii="宋体" w:hAnsi="宋体" w:cs="宋体"/>
          <w:szCs w:val="21"/>
          <w:u w:val="none" w:color="auto"/>
        </w:rPr>
        <w:t>文件公告期限届满之日（招标公告为公告发布后的第6个工作日）起7个工作日内，以书面形式一次性向采购人和采购代理机构提出质疑。质疑</w:t>
      </w:r>
      <w:r>
        <w:rPr>
          <w:rFonts w:hint="eastAsia" w:ascii="宋体" w:hAnsi="宋体" w:cs="宋体"/>
          <w:szCs w:val="21"/>
          <w:u w:val="none" w:color="auto"/>
        </w:rPr>
        <w:t>投标人</w:t>
      </w:r>
      <w:r>
        <w:rPr>
          <w:rFonts w:ascii="宋体" w:hAnsi="宋体" w:cs="宋体"/>
          <w:szCs w:val="21"/>
          <w:u w:val="none" w:color="auto"/>
        </w:rPr>
        <w:t>对采购人、采购代理机构的答复不满意或者采购人、采购代理机构未在规定的时间内作</w:t>
      </w:r>
      <w:r>
        <w:rPr>
          <w:rFonts w:hint="eastAsia" w:ascii="宋体" w:hAnsi="宋体" w:cs="宋体"/>
          <w:szCs w:val="21"/>
          <w:u w:val="none" w:color="auto"/>
        </w:rPr>
        <w:t>出答复的，可以在答复期满后十五个工作日内向监督管理部门投诉。质疑函范本、投诉书范本请到浙江政府采购网下载专区下载。</w:t>
      </w:r>
    </w:p>
    <w:p w14:paraId="7B4B637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u w:val="none" w:color="auto"/>
        </w:rPr>
      </w:pPr>
      <w:r>
        <w:rPr>
          <w:rFonts w:hint="eastAsia" w:ascii="宋体" w:hAnsi="宋体" w:cs="宋体"/>
          <w:szCs w:val="21"/>
          <w:u w:val="none" w:color="auto"/>
        </w:rPr>
        <w:t>2.投标人应在合同签订前成为浙江政府采购网正式注册供应商。</w:t>
      </w:r>
    </w:p>
    <w:p w14:paraId="25A9C188">
      <w:pPr>
        <w:pStyle w:val="67"/>
        <w:keepNext w:val="0"/>
        <w:keepLines w:val="0"/>
        <w:pageBreakBefore w:val="0"/>
        <w:kinsoku/>
        <w:wordWrap/>
        <w:overflowPunct/>
        <w:topLinePunct w:val="0"/>
        <w:autoSpaceDE/>
        <w:autoSpaceDN/>
        <w:bidi w:val="0"/>
        <w:adjustRightInd/>
        <w:snapToGrid/>
        <w:spacing w:beforeAutospacing="0" w:afterAutospacing="0" w:line="312" w:lineRule="auto"/>
        <w:jc w:val="both"/>
        <w:textAlignment w:val="auto"/>
        <w:rPr>
          <w:rStyle w:val="32"/>
          <w:rFonts w:hint="eastAsia" w:asciiTheme="minorEastAsia" w:hAnsiTheme="minorEastAsia" w:eastAsiaTheme="minorEastAsia"/>
          <w:b/>
          <w:bCs/>
          <w:sz w:val="21"/>
          <w:u w:val="none" w:color="auto"/>
        </w:rPr>
      </w:pPr>
      <w:r>
        <w:rPr>
          <w:rStyle w:val="32"/>
          <w:rFonts w:asciiTheme="minorEastAsia" w:hAnsiTheme="minorEastAsia" w:eastAsiaTheme="minorEastAsia"/>
          <w:b/>
          <w:bCs/>
          <w:sz w:val="21"/>
          <w:u w:val="none" w:color="auto"/>
        </w:rPr>
        <w:t>十</w:t>
      </w:r>
      <w:r>
        <w:rPr>
          <w:rStyle w:val="32"/>
          <w:rFonts w:hint="eastAsia" w:asciiTheme="minorEastAsia" w:hAnsiTheme="minorEastAsia" w:eastAsiaTheme="minorEastAsia"/>
          <w:b/>
          <w:bCs/>
          <w:sz w:val="21"/>
          <w:u w:val="none" w:color="auto"/>
        </w:rPr>
        <w:t>一、</w:t>
      </w:r>
      <w:r>
        <w:rPr>
          <w:rStyle w:val="32"/>
          <w:rFonts w:asciiTheme="minorEastAsia" w:hAnsiTheme="minorEastAsia" w:eastAsiaTheme="minorEastAsia"/>
          <w:b/>
          <w:bCs/>
          <w:sz w:val="21"/>
          <w:u w:val="none" w:color="auto"/>
        </w:rPr>
        <w:t>联系方式：</w:t>
      </w:r>
    </w:p>
    <w:p w14:paraId="4781C303">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jc w:val="both"/>
        <w:textAlignment w:val="auto"/>
        <w:rPr>
          <w:rFonts w:hint="eastAsia" w:asciiTheme="minorEastAsia" w:hAnsiTheme="minorEastAsia" w:eastAsiaTheme="minorEastAsia"/>
          <w:sz w:val="21"/>
          <w:szCs w:val="21"/>
          <w:u w:val="none" w:color="auto"/>
          <w:shd w:val="clear" w:color="auto" w:fill="FFFFFF"/>
        </w:rPr>
      </w:pPr>
      <w:r>
        <w:rPr>
          <w:rFonts w:hint="eastAsia" w:asciiTheme="minorEastAsia" w:hAnsiTheme="minorEastAsia" w:eastAsiaTheme="minorEastAsia"/>
          <w:sz w:val="21"/>
          <w:szCs w:val="21"/>
          <w:u w:val="none" w:color="auto"/>
          <w:shd w:val="clear" w:color="auto" w:fill="FFFFFF"/>
        </w:rPr>
        <w:t>1.代理机构：深圳市国信招标有限公司舟山分公司</w:t>
      </w:r>
    </w:p>
    <w:p w14:paraId="2F5A8B21">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jc w:val="both"/>
        <w:textAlignment w:val="auto"/>
        <w:rPr>
          <w:rFonts w:hint="eastAsia" w:asciiTheme="minorEastAsia" w:hAnsiTheme="minorEastAsia" w:eastAsiaTheme="minorEastAsia"/>
          <w:sz w:val="21"/>
          <w:szCs w:val="21"/>
          <w:u w:val="none" w:color="auto"/>
          <w:shd w:val="clear" w:color="auto" w:fill="FFFFFF"/>
        </w:rPr>
      </w:pPr>
      <w:r>
        <w:rPr>
          <w:rFonts w:hint="eastAsia" w:asciiTheme="minorEastAsia" w:hAnsiTheme="minorEastAsia" w:eastAsiaTheme="minorEastAsia"/>
          <w:sz w:val="21"/>
          <w:szCs w:val="21"/>
          <w:u w:val="none" w:color="auto"/>
          <w:shd w:val="clear" w:color="auto" w:fill="FFFFFF"/>
        </w:rPr>
        <w:t>联系人：朱女士、任女士</w:t>
      </w:r>
    </w:p>
    <w:p w14:paraId="64E13DDD">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jc w:val="both"/>
        <w:textAlignment w:val="auto"/>
        <w:rPr>
          <w:rFonts w:hint="eastAsia" w:asciiTheme="minorEastAsia" w:hAnsiTheme="minorEastAsia" w:eastAsiaTheme="minorEastAsia"/>
          <w:sz w:val="21"/>
          <w:szCs w:val="21"/>
          <w:u w:val="none" w:color="auto"/>
          <w:shd w:val="clear" w:color="auto" w:fill="FFFFFF"/>
        </w:rPr>
      </w:pPr>
      <w:r>
        <w:rPr>
          <w:rFonts w:hint="eastAsia" w:asciiTheme="minorEastAsia" w:hAnsiTheme="minorEastAsia" w:eastAsiaTheme="minorEastAsia"/>
          <w:sz w:val="21"/>
          <w:szCs w:val="21"/>
          <w:u w:val="none" w:color="auto"/>
          <w:shd w:val="clear" w:color="auto" w:fill="FFFFFF"/>
        </w:rPr>
        <w:t xml:space="preserve">联系电话：0580-2054476，13857236444，13567673203 </w:t>
      </w:r>
    </w:p>
    <w:p w14:paraId="555D0933">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jc w:val="both"/>
        <w:textAlignment w:val="auto"/>
        <w:rPr>
          <w:rFonts w:hint="eastAsia" w:asciiTheme="minorEastAsia" w:hAnsiTheme="minorEastAsia" w:eastAsiaTheme="minorEastAsia"/>
          <w:sz w:val="21"/>
          <w:szCs w:val="21"/>
          <w:u w:val="none" w:color="auto"/>
          <w:shd w:val="clear" w:color="auto" w:fill="FFFFFF"/>
        </w:rPr>
      </w:pPr>
      <w:r>
        <w:rPr>
          <w:rFonts w:hint="eastAsia" w:asciiTheme="minorEastAsia" w:hAnsiTheme="minorEastAsia" w:eastAsiaTheme="minorEastAsia"/>
          <w:sz w:val="21"/>
          <w:szCs w:val="21"/>
          <w:u w:val="none" w:color="auto"/>
          <w:shd w:val="clear" w:color="auto" w:fill="FFFFFF"/>
        </w:rPr>
        <w:t>质疑答复联系人：王女士</w:t>
      </w:r>
    </w:p>
    <w:p w14:paraId="443D28F6">
      <w:pPr>
        <w:pStyle w:val="25"/>
        <w:widowControl/>
        <w:spacing w:before="0" w:beforeAutospacing="0" w:after="0" w:afterAutospacing="0" w:line="360" w:lineRule="auto"/>
        <w:ind w:firstLine="420"/>
        <w:jc w:val="both"/>
        <w:rPr>
          <w:rFonts w:hint="eastAsia" w:asciiTheme="minorEastAsia" w:hAnsiTheme="minorEastAsia" w:eastAsiaTheme="minorEastAsia"/>
          <w:sz w:val="21"/>
          <w:szCs w:val="21"/>
          <w:u w:val="none" w:color="auto"/>
          <w:shd w:val="clear" w:color="auto" w:fill="FFFFFF"/>
        </w:rPr>
      </w:pPr>
      <w:r>
        <w:rPr>
          <w:rFonts w:hint="eastAsia" w:asciiTheme="minorEastAsia" w:hAnsiTheme="minorEastAsia" w:eastAsiaTheme="minorEastAsia"/>
          <w:sz w:val="21"/>
          <w:szCs w:val="21"/>
          <w:u w:val="none" w:color="auto"/>
          <w:shd w:val="clear" w:color="auto" w:fill="FFFFFF"/>
        </w:rPr>
        <w:t>联系电话：0580-2054476，13587045176</w:t>
      </w:r>
    </w:p>
    <w:p w14:paraId="7027869D">
      <w:pPr>
        <w:pStyle w:val="25"/>
        <w:widowControl/>
        <w:spacing w:before="0" w:beforeAutospacing="0" w:after="0" w:afterAutospacing="0" w:line="360" w:lineRule="auto"/>
        <w:ind w:firstLine="420"/>
        <w:jc w:val="both"/>
        <w:rPr>
          <w:rFonts w:hint="eastAsia" w:asciiTheme="minorEastAsia" w:hAnsiTheme="minorEastAsia" w:eastAsiaTheme="minorEastAsia"/>
          <w:sz w:val="21"/>
          <w:szCs w:val="21"/>
          <w:u w:val="none" w:color="auto"/>
          <w:shd w:val="clear" w:color="auto" w:fill="FFFFFF"/>
        </w:rPr>
      </w:pPr>
      <w:r>
        <w:rPr>
          <w:rFonts w:hint="eastAsia" w:asciiTheme="minorEastAsia" w:hAnsiTheme="minorEastAsia" w:eastAsiaTheme="minorEastAsia"/>
          <w:sz w:val="21"/>
          <w:szCs w:val="21"/>
          <w:u w:val="none" w:color="auto"/>
          <w:shd w:val="clear" w:color="auto" w:fill="FFFFFF"/>
        </w:rPr>
        <w:t>传真：0580-2054476</w:t>
      </w:r>
    </w:p>
    <w:p w14:paraId="2559E5BC">
      <w:pPr>
        <w:pStyle w:val="25"/>
        <w:widowControl/>
        <w:spacing w:before="0" w:beforeAutospacing="0" w:after="0" w:afterAutospacing="0" w:line="360" w:lineRule="auto"/>
        <w:ind w:firstLine="420"/>
        <w:jc w:val="both"/>
        <w:rPr>
          <w:rFonts w:hint="eastAsia" w:asciiTheme="minorEastAsia" w:hAnsiTheme="minorEastAsia" w:eastAsiaTheme="minorEastAsia"/>
          <w:sz w:val="21"/>
          <w:szCs w:val="21"/>
          <w:u w:val="none" w:color="auto"/>
          <w:shd w:val="clear" w:color="auto" w:fill="FFFFFF"/>
        </w:rPr>
      </w:pPr>
      <w:r>
        <w:rPr>
          <w:rFonts w:hint="eastAsia" w:asciiTheme="minorEastAsia" w:hAnsiTheme="minorEastAsia" w:eastAsiaTheme="minorEastAsia"/>
          <w:sz w:val="21"/>
          <w:szCs w:val="21"/>
          <w:u w:val="none" w:color="auto"/>
          <w:shd w:val="clear" w:color="auto" w:fill="FFFFFF"/>
        </w:rPr>
        <w:t>地点：舟山市定海区昌国路232号中楼202</w:t>
      </w:r>
    </w:p>
    <w:p w14:paraId="676F2EDD">
      <w:pPr>
        <w:spacing w:line="360" w:lineRule="auto"/>
        <w:ind w:firstLine="472" w:firstLineChars="225"/>
        <w:rPr>
          <w:rFonts w:hint="eastAsia" w:ascii="Times New Roman" w:hAnsi="Times New Roman"/>
          <w:kern w:val="0"/>
          <w:szCs w:val="21"/>
          <w:u w:val="none" w:color="auto"/>
          <w:shd w:val="clear" w:color="auto" w:fill="FFFFFF"/>
        </w:rPr>
      </w:pPr>
      <w:r>
        <w:rPr>
          <w:rFonts w:hint="eastAsia" w:ascii="Times New Roman" w:hAnsi="Times New Roman"/>
          <w:kern w:val="0"/>
          <w:szCs w:val="21"/>
          <w:u w:val="none" w:color="auto"/>
          <w:shd w:val="clear" w:color="auto" w:fill="FFFFFF"/>
        </w:rPr>
        <w:t>2.采购人：舟山市司法局</w:t>
      </w:r>
    </w:p>
    <w:p w14:paraId="15EDE6B1">
      <w:pPr>
        <w:spacing w:line="360" w:lineRule="auto"/>
        <w:ind w:firstLine="472" w:firstLineChars="225"/>
        <w:rPr>
          <w:rFonts w:hint="default" w:ascii="Times New Roman" w:hAnsi="Times New Roman" w:eastAsia="宋体"/>
          <w:color w:val="auto"/>
          <w:kern w:val="0"/>
          <w:szCs w:val="21"/>
          <w:u w:val="none" w:color="auto"/>
          <w:shd w:val="clear" w:color="auto" w:fill="FFFFFF"/>
          <w:lang w:val="en-US" w:eastAsia="zh-CN"/>
        </w:rPr>
      </w:pPr>
      <w:r>
        <w:rPr>
          <w:rFonts w:hint="eastAsia" w:ascii="Times New Roman" w:hAnsi="Times New Roman"/>
          <w:color w:val="auto"/>
          <w:kern w:val="0"/>
          <w:szCs w:val="21"/>
          <w:u w:val="none" w:color="auto"/>
          <w:shd w:val="clear" w:color="auto" w:fill="FFFFFF"/>
        </w:rPr>
        <w:t>联系人：</w:t>
      </w:r>
      <w:r>
        <w:rPr>
          <w:rFonts w:hint="eastAsia" w:ascii="Times New Roman" w:hAnsi="Times New Roman"/>
          <w:color w:val="auto"/>
          <w:kern w:val="0"/>
          <w:szCs w:val="21"/>
          <w:u w:val="none" w:color="auto"/>
          <w:shd w:val="clear" w:color="auto" w:fill="FFFFFF"/>
          <w:lang w:val="en-US" w:eastAsia="zh-CN"/>
        </w:rPr>
        <w:t>郭先生</w:t>
      </w:r>
    </w:p>
    <w:p w14:paraId="7AD10EB5">
      <w:pPr>
        <w:spacing w:line="360" w:lineRule="auto"/>
        <w:ind w:firstLine="472" w:firstLineChars="225"/>
        <w:rPr>
          <w:rFonts w:hint="eastAsia" w:ascii="Times New Roman" w:hAnsi="Times New Roman" w:eastAsia="宋体"/>
          <w:color w:val="auto"/>
          <w:kern w:val="0"/>
          <w:szCs w:val="21"/>
          <w:u w:val="none" w:color="auto"/>
          <w:shd w:val="clear" w:color="auto" w:fill="FFFFFF"/>
          <w:lang w:eastAsia="zh-CN"/>
        </w:rPr>
      </w:pPr>
      <w:r>
        <w:rPr>
          <w:rFonts w:hint="eastAsia" w:ascii="Times New Roman" w:hAnsi="Times New Roman"/>
          <w:color w:val="auto"/>
          <w:kern w:val="0"/>
          <w:szCs w:val="21"/>
          <w:u w:val="none" w:color="auto"/>
          <w:shd w:val="clear" w:color="auto" w:fill="FFFFFF"/>
        </w:rPr>
        <w:t>联系电话</w:t>
      </w:r>
      <w:r>
        <w:rPr>
          <w:rFonts w:hint="eastAsia" w:ascii="Times New Roman" w:hAnsi="Times New Roman"/>
          <w:color w:val="auto"/>
          <w:kern w:val="0"/>
          <w:szCs w:val="21"/>
          <w:u w:val="none" w:color="auto"/>
          <w:shd w:val="clear" w:color="auto" w:fill="FFFFFF"/>
          <w:lang w:eastAsia="zh-CN"/>
        </w:rPr>
        <w:t>：0580-2021340</w:t>
      </w:r>
    </w:p>
    <w:p w14:paraId="0753B262">
      <w:pPr>
        <w:spacing w:line="360" w:lineRule="auto"/>
        <w:ind w:firstLine="472" w:firstLineChars="225"/>
        <w:rPr>
          <w:rFonts w:hint="default" w:ascii="Times New Roman" w:hAnsi="Times New Roman" w:eastAsia="宋体"/>
          <w:color w:val="auto"/>
          <w:kern w:val="0"/>
          <w:szCs w:val="21"/>
          <w:u w:val="none" w:color="auto"/>
          <w:shd w:val="clear" w:color="auto" w:fill="FFFFFF"/>
          <w:lang w:val="en-US" w:eastAsia="zh-CN"/>
        </w:rPr>
      </w:pPr>
      <w:r>
        <w:rPr>
          <w:rFonts w:hint="eastAsia" w:ascii="Times New Roman" w:hAnsi="Times New Roman"/>
          <w:color w:val="auto"/>
          <w:kern w:val="0"/>
          <w:szCs w:val="21"/>
          <w:u w:val="none" w:color="auto"/>
          <w:shd w:val="clear" w:color="auto" w:fill="FFFFFF"/>
        </w:rPr>
        <w:t>质疑答复联系人：</w:t>
      </w:r>
      <w:r>
        <w:rPr>
          <w:rFonts w:hint="eastAsia" w:ascii="Times New Roman" w:hAnsi="Times New Roman"/>
          <w:color w:val="auto"/>
          <w:kern w:val="0"/>
          <w:szCs w:val="21"/>
          <w:u w:val="none" w:color="auto"/>
          <w:shd w:val="clear" w:color="auto" w:fill="FFFFFF"/>
          <w:lang w:val="en-US" w:eastAsia="zh-CN"/>
        </w:rPr>
        <w:t>乐小姐</w:t>
      </w:r>
    </w:p>
    <w:p w14:paraId="6D757CB7">
      <w:pPr>
        <w:spacing w:line="360" w:lineRule="auto"/>
        <w:ind w:firstLine="472" w:firstLineChars="225"/>
        <w:rPr>
          <w:rFonts w:hint="eastAsia" w:ascii="Times New Roman" w:hAnsi="Times New Roman" w:eastAsia="宋体"/>
          <w:color w:val="auto"/>
          <w:kern w:val="0"/>
          <w:szCs w:val="21"/>
          <w:u w:val="none" w:color="auto"/>
          <w:shd w:val="clear" w:color="auto" w:fill="FFFFFF"/>
          <w:lang w:eastAsia="zh-CN"/>
        </w:rPr>
      </w:pPr>
      <w:r>
        <w:rPr>
          <w:rFonts w:hint="eastAsia" w:ascii="Times New Roman" w:hAnsi="Times New Roman"/>
          <w:color w:val="auto"/>
          <w:kern w:val="0"/>
          <w:szCs w:val="21"/>
          <w:u w:val="none" w:color="auto"/>
          <w:shd w:val="clear" w:color="auto" w:fill="FFFFFF"/>
        </w:rPr>
        <w:t>联系电话：</w:t>
      </w:r>
      <w:r>
        <w:rPr>
          <w:rFonts w:hint="eastAsia" w:ascii="Times New Roman" w:hAnsi="Times New Roman"/>
          <w:color w:val="auto"/>
          <w:kern w:val="0"/>
          <w:szCs w:val="21"/>
          <w:u w:val="none" w:color="auto"/>
          <w:shd w:val="clear" w:color="auto" w:fill="FFFFFF"/>
          <w:lang w:val="en-US" w:eastAsia="zh-CN"/>
        </w:rPr>
        <w:t xml:space="preserve"> 0580-2382700</w:t>
      </w:r>
    </w:p>
    <w:p w14:paraId="6B22BCE7">
      <w:pPr>
        <w:spacing w:line="360" w:lineRule="auto"/>
        <w:ind w:firstLine="472" w:firstLineChars="225"/>
        <w:rPr>
          <w:rFonts w:ascii="Times New Roman" w:hAnsi="Times New Roman"/>
          <w:kern w:val="0"/>
          <w:szCs w:val="21"/>
          <w:u w:val="none" w:color="auto"/>
          <w:shd w:val="clear" w:color="auto" w:fill="FFFFFF"/>
        </w:rPr>
      </w:pPr>
      <w:r>
        <w:rPr>
          <w:rFonts w:hint="eastAsia" w:ascii="Times New Roman" w:hAnsi="Times New Roman"/>
          <w:kern w:val="0"/>
          <w:szCs w:val="21"/>
          <w:u w:val="none" w:color="auto"/>
          <w:shd w:val="clear" w:color="auto" w:fill="FFFFFF"/>
        </w:rPr>
        <w:t>地址：浙江省舟山市临城海天大道681号市行政中心2号楼</w:t>
      </w:r>
    </w:p>
    <w:p w14:paraId="6A69AC5B">
      <w:pPr>
        <w:spacing w:line="360" w:lineRule="auto"/>
        <w:ind w:firstLine="472" w:firstLineChars="225"/>
        <w:rPr>
          <w:rFonts w:hint="eastAsia" w:ascii="宋体" w:hAnsi="宋体"/>
          <w:szCs w:val="21"/>
          <w:u w:val="none" w:color="auto"/>
        </w:rPr>
      </w:pPr>
      <w:r>
        <w:rPr>
          <w:rFonts w:hint="eastAsia" w:ascii="宋体" w:hAnsi="宋体"/>
          <w:szCs w:val="21"/>
          <w:u w:val="none" w:color="auto"/>
        </w:rPr>
        <w:t>3.同级政府采购监督管理部门名称：</w:t>
      </w:r>
      <w:r>
        <w:rPr>
          <w:rFonts w:hint="eastAsia" w:ascii="宋体" w:hAnsi="宋体" w:cs="宋体"/>
          <w:szCs w:val="21"/>
          <w:u w:val="none" w:color="auto"/>
        </w:rPr>
        <w:t>舟山市财政局（政府采购监管处）</w:t>
      </w:r>
    </w:p>
    <w:p w14:paraId="639BFFDB">
      <w:pPr>
        <w:spacing w:line="360" w:lineRule="auto"/>
        <w:ind w:firstLine="472" w:firstLineChars="225"/>
        <w:rPr>
          <w:rFonts w:hint="eastAsia" w:ascii="宋体" w:hAnsi="宋体"/>
          <w:b/>
          <w:sz w:val="30"/>
          <w:szCs w:val="22"/>
          <w:u w:val="none" w:color="auto"/>
        </w:rPr>
      </w:pPr>
      <w:r>
        <w:rPr>
          <w:rFonts w:hint="eastAsia" w:ascii="宋体" w:hAnsi="宋体"/>
          <w:szCs w:val="21"/>
          <w:u w:val="none" w:color="auto"/>
        </w:rPr>
        <w:t>监督投诉电话：</w:t>
      </w:r>
      <w:r>
        <w:rPr>
          <w:rFonts w:hint="eastAsia" w:ascii="宋体" w:hAnsi="宋体" w:cs="宋体"/>
          <w:kern w:val="0"/>
          <w:szCs w:val="21"/>
          <w:u w:val="none" w:color="auto"/>
        </w:rPr>
        <w:t>0580-2282591</w:t>
      </w:r>
    </w:p>
    <w:p w14:paraId="59F4DE10">
      <w:pPr>
        <w:spacing w:line="312" w:lineRule="auto"/>
        <w:ind w:firstLine="472" w:firstLineChars="225"/>
        <w:rPr>
          <w:rFonts w:hint="eastAsia" w:ascii="宋体" w:hAnsi="宋体"/>
          <w:szCs w:val="21"/>
          <w:u w:val="none" w:color="auto"/>
        </w:rPr>
      </w:pPr>
    </w:p>
    <w:p w14:paraId="77CFD543">
      <w:pPr>
        <w:spacing w:line="312" w:lineRule="auto"/>
        <w:ind w:firstLine="472" w:firstLineChars="225"/>
        <w:rPr>
          <w:rFonts w:hint="eastAsia" w:ascii="宋体" w:hAnsi="宋体"/>
          <w:szCs w:val="21"/>
          <w:u w:val="none" w:color="auto"/>
        </w:rPr>
      </w:pPr>
    </w:p>
    <w:p w14:paraId="360B9D47">
      <w:pPr>
        <w:spacing w:line="312" w:lineRule="auto"/>
        <w:ind w:firstLine="472" w:firstLineChars="225"/>
        <w:rPr>
          <w:rFonts w:hint="eastAsia" w:ascii="宋体" w:hAnsi="宋体"/>
          <w:szCs w:val="21"/>
          <w:u w:val="none" w:color="auto"/>
        </w:rPr>
      </w:pPr>
    </w:p>
    <w:p w14:paraId="30D5EE78">
      <w:pPr>
        <w:spacing w:line="312" w:lineRule="auto"/>
        <w:ind w:firstLine="472" w:firstLineChars="225"/>
        <w:rPr>
          <w:rFonts w:hint="eastAsia" w:ascii="宋体" w:hAnsi="宋体"/>
          <w:szCs w:val="21"/>
          <w:u w:val="none" w:color="auto"/>
        </w:rPr>
      </w:pPr>
    </w:p>
    <w:p w14:paraId="49565505">
      <w:pPr>
        <w:spacing w:line="312" w:lineRule="auto"/>
        <w:ind w:firstLine="472" w:firstLineChars="225"/>
        <w:rPr>
          <w:rFonts w:hint="eastAsia" w:ascii="宋体" w:hAnsi="宋体"/>
          <w:szCs w:val="21"/>
          <w:u w:val="none" w:color="auto"/>
        </w:rPr>
      </w:pPr>
    </w:p>
    <w:p w14:paraId="76249E08">
      <w:pPr>
        <w:spacing w:line="312" w:lineRule="auto"/>
        <w:ind w:firstLine="472" w:firstLineChars="225"/>
        <w:rPr>
          <w:rFonts w:hint="eastAsia" w:ascii="宋体" w:hAnsi="宋体"/>
          <w:szCs w:val="21"/>
          <w:u w:val="none" w:color="auto"/>
        </w:rPr>
      </w:pPr>
    </w:p>
    <w:p w14:paraId="5507A8CA">
      <w:pPr>
        <w:spacing w:line="312" w:lineRule="auto"/>
        <w:ind w:firstLine="472" w:firstLineChars="225"/>
        <w:rPr>
          <w:rFonts w:hint="eastAsia" w:ascii="宋体" w:hAnsi="宋体"/>
          <w:szCs w:val="21"/>
          <w:u w:val="none" w:color="auto"/>
        </w:rPr>
      </w:pPr>
    </w:p>
    <w:p w14:paraId="6D7DDBB9">
      <w:pPr>
        <w:spacing w:line="312" w:lineRule="auto"/>
        <w:ind w:firstLine="472" w:firstLineChars="225"/>
        <w:rPr>
          <w:rFonts w:hint="eastAsia" w:ascii="宋体" w:hAnsi="宋体"/>
          <w:szCs w:val="21"/>
          <w:u w:val="none" w:color="auto"/>
        </w:rPr>
      </w:pPr>
    </w:p>
    <w:p w14:paraId="2911092F">
      <w:pPr>
        <w:spacing w:line="312" w:lineRule="auto"/>
        <w:ind w:firstLine="472" w:firstLineChars="225"/>
        <w:rPr>
          <w:rFonts w:hint="eastAsia" w:ascii="宋体" w:hAnsi="宋体"/>
          <w:szCs w:val="21"/>
          <w:u w:val="none" w:color="auto"/>
        </w:rPr>
      </w:pPr>
    </w:p>
    <w:p w14:paraId="231F881E">
      <w:pPr>
        <w:spacing w:line="312" w:lineRule="auto"/>
        <w:ind w:firstLine="472" w:firstLineChars="225"/>
        <w:rPr>
          <w:rFonts w:hint="eastAsia" w:ascii="宋体" w:hAnsi="宋体"/>
          <w:szCs w:val="21"/>
          <w:u w:val="none" w:color="auto"/>
        </w:rPr>
      </w:pPr>
    </w:p>
    <w:p w14:paraId="11A212F9">
      <w:pPr>
        <w:rPr>
          <w:u w:val="none" w:color="auto"/>
        </w:rPr>
      </w:pPr>
    </w:p>
    <w:p w14:paraId="188FAC3F">
      <w:pPr>
        <w:spacing w:line="312" w:lineRule="auto"/>
        <w:jc w:val="center"/>
        <w:rPr>
          <w:rFonts w:hint="eastAsia" w:ascii="宋体" w:hAnsi="宋体"/>
          <w:b/>
          <w:sz w:val="28"/>
          <w:szCs w:val="28"/>
          <w:u w:val="none" w:color="auto"/>
        </w:rPr>
      </w:pPr>
    </w:p>
    <w:p w14:paraId="07918D78">
      <w:pPr>
        <w:spacing w:line="312" w:lineRule="auto"/>
        <w:jc w:val="center"/>
        <w:rPr>
          <w:rFonts w:hint="eastAsia" w:ascii="宋体" w:hAnsi="宋体"/>
          <w:b/>
          <w:sz w:val="28"/>
          <w:szCs w:val="28"/>
          <w:u w:val="none" w:color="auto"/>
        </w:rPr>
      </w:pPr>
    </w:p>
    <w:p w14:paraId="29FD96F4">
      <w:pPr>
        <w:spacing w:line="312" w:lineRule="auto"/>
        <w:jc w:val="center"/>
        <w:rPr>
          <w:b/>
          <w:sz w:val="28"/>
          <w:szCs w:val="28"/>
          <w:u w:val="none" w:color="auto"/>
        </w:rPr>
      </w:pPr>
      <w:r>
        <w:rPr>
          <w:rFonts w:hint="eastAsia" w:ascii="宋体" w:hAnsi="宋体"/>
          <w:b/>
          <w:sz w:val="28"/>
          <w:szCs w:val="28"/>
          <w:u w:val="none" w:color="auto"/>
        </w:rPr>
        <w:t xml:space="preserve">第二章   </w:t>
      </w:r>
      <w:r>
        <w:rPr>
          <w:rFonts w:hint="eastAsia"/>
          <w:b/>
          <w:sz w:val="28"/>
          <w:szCs w:val="28"/>
          <w:u w:val="none" w:color="auto"/>
        </w:rPr>
        <w:t>采购需求</w:t>
      </w:r>
    </w:p>
    <w:p w14:paraId="19D4EC8D">
      <w:pPr>
        <w:spacing w:line="312" w:lineRule="auto"/>
        <w:outlineLvl w:val="0"/>
        <w:rPr>
          <w:rFonts w:hint="eastAsia" w:asciiTheme="minorEastAsia" w:hAnsiTheme="minorEastAsia" w:eastAsiaTheme="minorEastAsia"/>
          <w:b/>
          <w:szCs w:val="21"/>
          <w:u w:val="none" w:color="auto"/>
        </w:rPr>
      </w:pPr>
    </w:p>
    <w:p w14:paraId="2ADD7C79">
      <w:pPr>
        <w:widowControl/>
        <w:spacing w:line="312" w:lineRule="auto"/>
        <w:rPr>
          <w:rFonts w:hint="eastAsia" w:ascii="宋体" w:hAnsi="宋体"/>
          <w:b/>
          <w:bCs/>
          <w:szCs w:val="22"/>
          <w:u w:val="none" w:color="auto"/>
        </w:rPr>
      </w:pPr>
      <w:r>
        <w:rPr>
          <w:rFonts w:hint="eastAsia" w:ascii="宋体" w:hAnsi="宋体" w:cs="宋体"/>
          <w:b/>
          <w:bCs/>
          <w:sz w:val="24"/>
          <w:u w:val="none" w:color="auto"/>
        </w:rPr>
        <w:t>一、项目概述</w:t>
      </w:r>
    </w:p>
    <w:p w14:paraId="19E0259B">
      <w:pPr>
        <w:spacing w:line="312" w:lineRule="auto"/>
        <w:ind w:firstLine="420" w:firstLineChars="200"/>
        <w:rPr>
          <w:rFonts w:ascii="宋体" w:hAnsi="宋体" w:cs="宋体"/>
          <w:b/>
          <w:bCs/>
          <w:color w:val="auto"/>
          <w:kern w:val="0"/>
          <w:sz w:val="24"/>
          <w:u w:val="none" w:color="auto"/>
        </w:rPr>
      </w:pPr>
      <w:r>
        <w:rPr>
          <w:rFonts w:hint="eastAsia" w:ascii="宋体" w:hAnsi="宋体" w:cs="宋体"/>
          <w:color w:val="auto"/>
          <w:kern w:val="0"/>
          <w:szCs w:val="21"/>
          <w:u w:val="none" w:color="auto"/>
          <w:lang w:val="zh-CN"/>
        </w:rPr>
        <w:t>为全面贯彻落实司法部《关于加快推进全国“智慧矫正”建设的实施意见》（司办通〔2019〕3号）、《浙江省涉海涉渔社区矫正对象外出活动监督管理办法（试行）》（浙检发办字 【2022】127号）、《关于涉海涉渔社区矫正对象监管监督的若干意见》（舟检发办字〔2021〕40号）、舟山市司法局关于印发《舟山市社区矫正对象涉海涉渔外出活动监管监督办法（试行）》的通知的相关指导精神，在更高起点、更高层次、更高目标上全面深化“智慧矫正”建设及涉海涉渔社区矫正对象有效监管，舟山市司法局将在舟山市涉海涉渔社区矫正对象联合管控应用1.0的基础上迭代开发优化，并整合于我市智慧矫正中心创建，极大地推动“智慧矫正舟山特色”建设向纵深发展，为社区矫正工作服务区域治理现代化提供舟山经验</w:t>
      </w:r>
      <w:r>
        <w:rPr>
          <w:rFonts w:hint="eastAsia" w:ascii="宋体" w:hAnsi="宋体" w:cs="宋体"/>
          <w:color w:val="auto"/>
          <w:kern w:val="0"/>
          <w:szCs w:val="21"/>
          <w:u w:val="none" w:color="auto"/>
        </w:rPr>
        <w:t>。</w:t>
      </w:r>
    </w:p>
    <w:p w14:paraId="3A3E7773">
      <w:pPr>
        <w:spacing w:line="312" w:lineRule="auto"/>
        <w:rPr>
          <w:rFonts w:ascii="宋体" w:hAnsi="宋体" w:cs="宋体"/>
          <w:b/>
          <w:bCs/>
          <w:kern w:val="0"/>
          <w:sz w:val="24"/>
          <w:u w:val="none" w:color="auto"/>
        </w:rPr>
      </w:pPr>
    </w:p>
    <w:p w14:paraId="6FDF8E22">
      <w:pPr>
        <w:spacing w:line="312" w:lineRule="auto"/>
        <w:rPr>
          <w:rFonts w:hint="default" w:ascii="宋体" w:hAnsi="宋体" w:eastAsia="宋体" w:cs="宋体"/>
          <w:b/>
          <w:bCs/>
          <w:kern w:val="0"/>
          <w:sz w:val="24"/>
          <w:u w:val="none" w:color="auto"/>
          <w:lang w:val="en-US" w:eastAsia="zh-CN"/>
        </w:rPr>
      </w:pPr>
      <w:r>
        <w:rPr>
          <w:rFonts w:hint="eastAsia" w:ascii="宋体" w:hAnsi="宋体" w:cs="宋体"/>
          <w:b/>
          <w:bCs/>
          <w:kern w:val="0"/>
          <w:sz w:val="24"/>
          <w:u w:val="none" w:color="auto"/>
        </w:rPr>
        <w:t>二、</w:t>
      </w:r>
      <w:r>
        <w:rPr>
          <w:rFonts w:hint="eastAsia" w:ascii="宋体" w:hAnsi="宋体" w:cs="宋体"/>
          <w:b/>
          <w:bCs/>
          <w:kern w:val="0"/>
          <w:sz w:val="24"/>
          <w:u w:val="none" w:color="auto"/>
          <w:lang w:val="en-US" w:eastAsia="zh-CN"/>
        </w:rPr>
        <w:t>需求清单</w:t>
      </w:r>
    </w:p>
    <w:p w14:paraId="7A3AD189">
      <w:pPr>
        <w:snapToGrid w:val="0"/>
        <w:spacing w:line="360" w:lineRule="auto"/>
        <w:ind w:firstLine="420" w:firstLineChars="200"/>
        <w:rPr>
          <w:rFonts w:hint="eastAsia"/>
          <w:lang w:val="en-US" w:eastAsia="zh-CN"/>
        </w:rPr>
      </w:pPr>
      <w:r>
        <w:rPr>
          <w:rFonts w:hint="eastAsia" w:ascii="宋体" w:hAnsi="宋体"/>
          <w:szCs w:val="21"/>
        </w:rPr>
        <w:t>舟山市涉海涉渔社区矫正对象联合管控应用2.0升级改造</w:t>
      </w:r>
      <w:r>
        <w:rPr>
          <w:rFonts w:hint="eastAsia" w:ascii="宋体" w:hAnsi="宋体"/>
          <w:szCs w:val="21"/>
          <w:lang w:val="en-US" w:eastAsia="zh-CN"/>
        </w:rPr>
        <w:t>主要</w:t>
      </w:r>
      <w:r>
        <w:rPr>
          <w:rFonts w:hint="eastAsia"/>
          <w:lang w:val="en-US" w:eastAsia="zh-CN"/>
        </w:rPr>
        <w:t>完善浙里办功能，增加浙政钉移动端应用内容，升级优化日常监管、警务处置、多跨协同、教育帮扶等模块，建立涉海涉渔社区矫正数据中心（虚拟中心）。重点优化舟山地方特色功能，实现北斗定位日常核查，打通卫健委就医数据、住宿出行等数据，建立公安视频数据智能分析模型，通过智能分析形成社区矫正对象风险安全预警，做到监管流程全闭环。</w:t>
      </w:r>
    </w:p>
    <w:tbl>
      <w:tblPr>
        <w:tblStyle w:val="29"/>
        <w:tblpPr w:leftFromText="180" w:rightFromText="180" w:vertAnchor="text" w:horzAnchor="page" w:tblpXSpec="center" w:tblpY="184"/>
        <w:tblOverlap w:val="never"/>
        <w:tblW w:w="5250" w:type="pct"/>
        <w:tblInd w:w="337" w:type="dxa"/>
        <w:tblLayout w:type="fixed"/>
        <w:tblCellMar>
          <w:top w:w="0" w:type="dxa"/>
          <w:left w:w="108" w:type="dxa"/>
          <w:bottom w:w="0" w:type="dxa"/>
          <w:right w:w="108" w:type="dxa"/>
        </w:tblCellMar>
      </w:tblPr>
      <w:tblGrid>
        <w:gridCol w:w="703"/>
        <w:gridCol w:w="2968"/>
        <w:gridCol w:w="4705"/>
        <w:gridCol w:w="780"/>
      </w:tblGrid>
      <w:tr w14:paraId="3DCD8BBB">
        <w:tblPrEx>
          <w:tblCellMar>
            <w:top w:w="0" w:type="dxa"/>
            <w:left w:w="108" w:type="dxa"/>
            <w:bottom w:w="0" w:type="dxa"/>
            <w:right w:w="108" w:type="dxa"/>
          </w:tblCellMar>
        </w:tblPrEx>
        <w:trPr>
          <w:trHeight w:val="256" w:hRule="atLeast"/>
        </w:trPr>
        <w:tc>
          <w:tcPr>
            <w:tcW w:w="383" w:type="pct"/>
            <w:tcBorders>
              <w:top w:val="single" w:color="auto" w:sz="4" w:space="0"/>
              <w:left w:val="single" w:color="auto" w:sz="8" w:space="0"/>
              <w:bottom w:val="single" w:color="auto" w:sz="4" w:space="0"/>
              <w:right w:val="single" w:color="auto" w:sz="4" w:space="0"/>
            </w:tcBorders>
            <w:noWrap/>
            <w:vAlign w:val="center"/>
          </w:tcPr>
          <w:p w14:paraId="17107D0A">
            <w:pPr>
              <w:widowControl/>
              <w:spacing w:line="360" w:lineRule="auto"/>
              <w:jc w:val="center"/>
              <w:rPr>
                <w:rFonts w:hint="eastAsia" w:ascii="宋体" w:hAnsi="宋体" w:cs="宋体"/>
                <w:b/>
                <w:kern w:val="0"/>
                <w:szCs w:val="21"/>
              </w:rPr>
            </w:pPr>
            <w:r>
              <w:rPr>
                <w:rFonts w:hint="eastAsia" w:ascii="宋体" w:hAnsi="宋体" w:cs="宋体"/>
                <w:b/>
                <w:kern w:val="0"/>
                <w:szCs w:val="21"/>
              </w:rPr>
              <w:t>序号</w:t>
            </w:r>
          </w:p>
        </w:tc>
        <w:tc>
          <w:tcPr>
            <w:tcW w:w="1620" w:type="pct"/>
            <w:tcBorders>
              <w:top w:val="single" w:color="auto" w:sz="4" w:space="0"/>
              <w:left w:val="nil"/>
              <w:bottom w:val="single" w:color="auto" w:sz="4" w:space="0"/>
              <w:right w:val="single" w:color="auto" w:sz="4" w:space="0"/>
            </w:tcBorders>
            <w:noWrap/>
            <w:vAlign w:val="center"/>
          </w:tcPr>
          <w:p w14:paraId="68157F60">
            <w:pPr>
              <w:widowControl/>
              <w:spacing w:line="360" w:lineRule="auto"/>
              <w:jc w:val="center"/>
              <w:rPr>
                <w:rFonts w:hint="eastAsia" w:ascii="宋体" w:hAnsi="宋体" w:cs="宋体"/>
                <w:b/>
                <w:kern w:val="0"/>
                <w:szCs w:val="21"/>
              </w:rPr>
            </w:pPr>
            <w:r>
              <w:rPr>
                <w:rFonts w:hint="eastAsia" w:ascii="宋体" w:hAnsi="宋体" w:cs="宋体"/>
                <w:b/>
                <w:kern w:val="0"/>
                <w:szCs w:val="21"/>
              </w:rPr>
              <w:t>需求内容</w:t>
            </w:r>
          </w:p>
        </w:tc>
        <w:tc>
          <w:tcPr>
            <w:tcW w:w="2569" w:type="pct"/>
            <w:tcBorders>
              <w:top w:val="single" w:color="auto" w:sz="4" w:space="0"/>
              <w:left w:val="nil"/>
              <w:bottom w:val="single" w:color="auto" w:sz="4" w:space="0"/>
              <w:right w:val="single" w:color="auto" w:sz="4" w:space="0"/>
            </w:tcBorders>
            <w:vAlign w:val="center"/>
          </w:tcPr>
          <w:p w14:paraId="4B324A6A">
            <w:pPr>
              <w:widowControl/>
              <w:spacing w:line="360" w:lineRule="auto"/>
              <w:jc w:val="center"/>
              <w:rPr>
                <w:rFonts w:hint="eastAsia" w:ascii="宋体" w:hAnsi="宋体" w:cs="宋体"/>
                <w:b/>
                <w:kern w:val="0"/>
                <w:szCs w:val="21"/>
              </w:rPr>
            </w:pPr>
            <w:r>
              <w:rPr>
                <w:rFonts w:hint="eastAsia" w:ascii="宋体" w:hAnsi="宋体" w:cs="宋体"/>
                <w:b/>
                <w:kern w:val="0"/>
                <w:szCs w:val="21"/>
              </w:rPr>
              <w:t>具体内容</w:t>
            </w:r>
          </w:p>
        </w:tc>
        <w:tc>
          <w:tcPr>
            <w:tcW w:w="425" w:type="pct"/>
            <w:tcBorders>
              <w:top w:val="single" w:color="auto" w:sz="4" w:space="0"/>
              <w:left w:val="single" w:color="auto" w:sz="4" w:space="0"/>
              <w:bottom w:val="single" w:color="auto" w:sz="4" w:space="0"/>
              <w:right w:val="single" w:color="auto" w:sz="8" w:space="0"/>
            </w:tcBorders>
            <w:vAlign w:val="center"/>
          </w:tcPr>
          <w:p w14:paraId="49A2A191">
            <w:pPr>
              <w:widowControl/>
              <w:spacing w:line="360" w:lineRule="auto"/>
              <w:jc w:val="center"/>
              <w:rPr>
                <w:rFonts w:hint="eastAsia" w:ascii="宋体" w:hAnsi="宋体" w:cs="宋体"/>
                <w:b/>
                <w:kern w:val="0"/>
                <w:szCs w:val="21"/>
              </w:rPr>
            </w:pPr>
            <w:r>
              <w:rPr>
                <w:rFonts w:hint="eastAsia" w:ascii="宋体" w:hAnsi="宋体" w:cs="宋体"/>
                <w:b/>
                <w:kern w:val="0"/>
                <w:szCs w:val="21"/>
              </w:rPr>
              <w:t>数量</w:t>
            </w:r>
          </w:p>
        </w:tc>
      </w:tr>
      <w:tr w14:paraId="0F59AA62">
        <w:tblPrEx>
          <w:tblCellMar>
            <w:top w:w="0" w:type="dxa"/>
            <w:left w:w="108" w:type="dxa"/>
            <w:bottom w:w="0" w:type="dxa"/>
            <w:right w:w="108" w:type="dxa"/>
          </w:tblCellMar>
        </w:tblPrEx>
        <w:trPr>
          <w:trHeight w:val="586" w:hRule="atLeast"/>
        </w:trPr>
        <w:tc>
          <w:tcPr>
            <w:tcW w:w="383" w:type="pct"/>
            <w:tcBorders>
              <w:top w:val="nil"/>
              <w:left w:val="single" w:color="auto" w:sz="8" w:space="0"/>
              <w:bottom w:val="single" w:color="auto" w:sz="4" w:space="0"/>
              <w:right w:val="single" w:color="auto" w:sz="4" w:space="0"/>
            </w:tcBorders>
            <w:noWrap/>
            <w:vAlign w:val="center"/>
          </w:tcPr>
          <w:p w14:paraId="25C083E6">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1620" w:type="pct"/>
            <w:tcBorders>
              <w:top w:val="nil"/>
              <w:left w:val="nil"/>
              <w:bottom w:val="single" w:color="auto" w:sz="4" w:space="0"/>
              <w:right w:val="single" w:color="auto" w:sz="4" w:space="0"/>
            </w:tcBorders>
            <w:noWrap/>
            <w:vAlign w:val="center"/>
          </w:tcPr>
          <w:p w14:paraId="4F30197F">
            <w:pPr>
              <w:rPr>
                <w:rFonts w:hint="eastAsia" w:ascii="宋体" w:hAnsi="宋体" w:eastAsia="宋体" w:cs="宋体"/>
                <w:szCs w:val="21"/>
                <w:lang w:eastAsia="zh-CN"/>
              </w:rPr>
            </w:pPr>
            <w:r>
              <w:rPr>
                <w:rFonts w:hint="eastAsia" w:ascii="宋体" w:hAnsi="宋体" w:cs="宋体"/>
                <w:szCs w:val="21"/>
              </w:rPr>
              <w:t>共性基础功能</w:t>
            </w:r>
            <w:r>
              <w:rPr>
                <w:rFonts w:hint="eastAsia" w:ascii="宋体" w:hAnsi="宋体" w:cs="宋体"/>
                <w:szCs w:val="21"/>
                <w:lang w:val="en-US" w:eastAsia="zh-CN"/>
              </w:rPr>
              <w:t>数据推送</w:t>
            </w:r>
          </w:p>
        </w:tc>
        <w:tc>
          <w:tcPr>
            <w:tcW w:w="2569" w:type="pct"/>
            <w:tcBorders>
              <w:top w:val="nil"/>
              <w:left w:val="nil"/>
              <w:bottom w:val="single" w:color="auto" w:sz="4" w:space="0"/>
              <w:right w:val="single" w:color="auto" w:sz="4" w:space="0"/>
            </w:tcBorders>
            <w:vAlign w:val="center"/>
          </w:tcPr>
          <w:p w14:paraId="53BBE3DA">
            <w:pPr>
              <w:jc w:val="left"/>
              <w:rPr>
                <w:rFonts w:hint="eastAsia" w:ascii="宋体" w:hAnsi="宋体" w:cs="宋体"/>
                <w:kern w:val="0"/>
                <w:szCs w:val="21"/>
              </w:rPr>
            </w:pPr>
            <w:r>
              <w:rPr>
                <w:rFonts w:hint="eastAsia" w:ascii="宋体" w:hAnsi="宋体" w:cs="宋体"/>
                <w:kern w:val="0"/>
                <w:szCs w:val="21"/>
              </w:rPr>
              <w:t>主要</w:t>
            </w:r>
            <w:r>
              <w:rPr>
                <w:rFonts w:hint="eastAsia" w:ascii="宋体" w:hAnsi="宋体" w:cs="宋体"/>
                <w:kern w:val="0"/>
                <w:szCs w:val="21"/>
                <w:lang w:val="en-US" w:eastAsia="zh-CN"/>
              </w:rPr>
              <w:t>配合</w:t>
            </w:r>
            <w:r>
              <w:rPr>
                <w:rFonts w:hint="eastAsia" w:ascii="宋体" w:hAnsi="宋体" w:cs="宋体"/>
                <w:kern w:val="0"/>
                <w:szCs w:val="21"/>
              </w:rPr>
              <w:t>省司法厅</w:t>
            </w:r>
            <w:r>
              <w:rPr>
                <w:rFonts w:hint="eastAsia" w:ascii="宋体" w:hAnsi="宋体" w:cs="宋体"/>
                <w:kern w:val="0"/>
                <w:szCs w:val="21"/>
                <w:lang w:val="en-US" w:eastAsia="zh-CN"/>
              </w:rPr>
              <w:t>对涉海涉渔社区矫正对象的外出申请数据和监控中心数据接入省平台</w:t>
            </w:r>
          </w:p>
        </w:tc>
        <w:tc>
          <w:tcPr>
            <w:tcW w:w="425" w:type="pct"/>
            <w:tcBorders>
              <w:top w:val="nil"/>
              <w:left w:val="single" w:color="auto" w:sz="4" w:space="0"/>
              <w:bottom w:val="single" w:color="auto" w:sz="4" w:space="0"/>
              <w:right w:val="single" w:color="auto" w:sz="8" w:space="0"/>
            </w:tcBorders>
            <w:vAlign w:val="center"/>
          </w:tcPr>
          <w:p w14:paraId="3BB8B1B4">
            <w:pPr>
              <w:widowControl/>
              <w:spacing w:line="360" w:lineRule="auto"/>
              <w:jc w:val="center"/>
              <w:rPr>
                <w:rFonts w:hint="eastAsia" w:ascii="宋体" w:hAnsi="宋体" w:cs="宋体"/>
                <w:kern w:val="0"/>
                <w:szCs w:val="21"/>
              </w:rPr>
            </w:pPr>
            <w:r>
              <w:rPr>
                <w:rFonts w:hint="eastAsia" w:ascii="宋体" w:hAnsi="宋体" w:cs="宋体"/>
                <w:szCs w:val="21"/>
              </w:rPr>
              <w:t>1</w:t>
            </w:r>
          </w:p>
        </w:tc>
      </w:tr>
      <w:tr w14:paraId="7919D3FE">
        <w:tblPrEx>
          <w:tblCellMar>
            <w:top w:w="0" w:type="dxa"/>
            <w:left w:w="108" w:type="dxa"/>
            <w:bottom w:w="0" w:type="dxa"/>
            <w:right w:w="108" w:type="dxa"/>
          </w:tblCellMar>
        </w:tblPrEx>
        <w:trPr>
          <w:trHeight w:val="90" w:hRule="atLeast"/>
        </w:trPr>
        <w:tc>
          <w:tcPr>
            <w:tcW w:w="383" w:type="pct"/>
            <w:tcBorders>
              <w:top w:val="single" w:color="auto" w:sz="4" w:space="0"/>
              <w:left w:val="single" w:color="auto" w:sz="8" w:space="0"/>
              <w:bottom w:val="single" w:color="auto" w:sz="4" w:space="0"/>
              <w:right w:val="single" w:color="auto" w:sz="4" w:space="0"/>
            </w:tcBorders>
            <w:noWrap/>
            <w:vAlign w:val="center"/>
          </w:tcPr>
          <w:p w14:paraId="6251C743">
            <w:pPr>
              <w:spacing w:line="360" w:lineRule="auto"/>
              <w:jc w:val="center"/>
              <w:rPr>
                <w:rFonts w:hint="eastAsia" w:ascii="宋体" w:hAnsi="宋体" w:cs="宋体"/>
                <w:szCs w:val="21"/>
              </w:rPr>
            </w:pPr>
            <w:r>
              <w:rPr>
                <w:rFonts w:hint="eastAsia" w:ascii="宋体" w:hAnsi="宋体" w:cs="宋体"/>
                <w:szCs w:val="21"/>
              </w:rPr>
              <w:t>2</w:t>
            </w:r>
          </w:p>
        </w:tc>
        <w:tc>
          <w:tcPr>
            <w:tcW w:w="1620" w:type="pct"/>
            <w:tcBorders>
              <w:top w:val="single" w:color="auto" w:sz="4" w:space="0"/>
              <w:left w:val="nil"/>
              <w:bottom w:val="single" w:color="auto" w:sz="4" w:space="0"/>
              <w:right w:val="single" w:color="auto" w:sz="4" w:space="0"/>
            </w:tcBorders>
            <w:noWrap/>
            <w:vAlign w:val="center"/>
          </w:tcPr>
          <w:p w14:paraId="592CBC9B">
            <w:pPr>
              <w:rPr>
                <w:rFonts w:hint="eastAsia" w:ascii="宋体" w:hAnsi="宋体" w:cs="宋体"/>
                <w:szCs w:val="21"/>
              </w:rPr>
            </w:pPr>
            <w:r>
              <w:rPr>
                <w:rFonts w:hint="eastAsia" w:ascii="宋体" w:hAnsi="宋体" w:cs="宋体"/>
                <w:szCs w:val="21"/>
              </w:rPr>
              <w:t>浙政钉对接及应用</w:t>
            </w:r>
          </w:p>
        </w:tc>
        <w:tc>
          <w:tcPr>
            <w:tcW w:w="2569" w:type="pct"/>
            <w:tcBorders>
              <w:top w:val="single" w:color="auto" w:sz="4" w:space="0"/>
              <w:left w:val="nil"/>
              <w:bottom w:val="single" w:color="auto" w:sz="4" w:space="0"/>
              <w:right w:val="single" w:color="auto" w:sz="4" w:space="0"/>
            </w:tcBorders>
            <w:vAlign w:val="center"/>
          </w:tcPr>
          <w:p w14:paraId="46207E7E">
            <w:pPr>
              <w:widowControl/>
              <w:jc w:val="left"/>
              <w:rPr>
                <w:rFonts w:hint="eastAsia" w:ascii="宋体" w:hAnsi="宋体" w:cs="宋体"/>
                <w:kern w:val="0"/>
                <w:szCs w:val="21"/>
              </w:rPr>
            </w:pPr>
            <w:r>
              <w:rPr>
                <w:rFonts w:hint="eastAsia" w:ascii="宋体" w:hAnsi="宋体" w:cs="宋体"/>
                <w:kern w:val="0"/>
                <w:szCs w:val="21"/>
              </w:rPr>
              <w:t>包含“海之矫”钉应用、扫码登录及消息通知等</w:t>
            </w:r>
          </w:p>
        </w:tc>
        <w:tc>
          <w:tcPr>
            <w:tcW w:w="425" w:type="pct"/>
            <w:tcBorders>
              <w:top w:val="single" w:color="auto" w:sz="4" w:space="0"/>
              <w:left w:val="single" w:color="auto" w:sz="4" w:space="0"/>
              <w:bottom w:val="single" w:color="auto" w:sz="4" w:space="0"/>
              <w:right w:val="single" w:color="auto" w:sz="8" w:space="0"/>
            </w:tcBorders>
            <w:vAlign w:val="center"/>
          </w:tcPr>
          <w:p w14:paraId="250BB3E7">
            <w:pPr>
              <w:widowControl/>
              <w:spacing w:line="360" w:lineRule="auto"/>
              <w:jc w:val="center"/>
              <w:rPr>
                <w:rFonts w:hint="eastAsia" w:ascii="宋体" w:hAnsi="宋体" w:cs="宋体"/>
                <w:kern w:val="0"/>
                <w:szCs w:val="21"/>
              </w:rPr>
            </w:pPr>
            <w:r>
              <w:rPr>
                <w:rFonts w:hint="eastAsia" w:ascii="宋体" w:hAnsi="宋体" w:cs="宋体"/>
                <w:kern w:val="0"/>
                <w:szCs w:val="21"/>
              </w:rPr>
              <w:t>1</w:t>
            </w:r>
          </w:p>
        </w:tc>
      </w:tr>
      <w:tr w14:paraId="0C81ED77">
        <w:tblPrEx>
          <w:tblCellMar>
            <w:top w:w="0" w:type="dxa"/>
            <w:left w:w="108" w:type="dxa"/>
            <w:bottom w:w="0" w:type="dxa"/>
            <w:right w:w="108" w:type="dxa"/>
          </w:tblCellMar>
        </w:tblPrEx>
        <w:trPr>
          <w:trHeight w:val="472" w:hRule="atLeast"/>
        </w:trPr>
        <w:tc>
          <w:tcPr>
            <w:tcW w:w="383" w:type="pct"/>
            <w:tcBorders>
              <w:top w:val="single" w:color="auto" w:sz="4" w:space="0"/>
              <w:left w:val="single" w:color="auto" w:sz="8" w:space="0"/>
              <w:bottom w:val="single" w:color="auto" w:sz="4" w:space="0"/>
              <w:right w:val="single" w:color="auto" w:sz="4" w:space="0"/>
            </w:tcBorders>
            <w:noWrap/>
            <w:vAlign w:val="center"/>
          </w:tcPr>
          <w:p w14:paraId="229EE79D">
            <w:pPr>
              <w:spacing w:line="360" w:lineRule="auto"/>
              <w:jc w:val="center"/>
              <w:rPr>
                <w:rFonts w:hint="eastAsia" w:ascii="宋体" w:hAnsi="宋体" w:cs="宋体"/>
                <w:szCs w:val="21"/>
              </w:rPr>
            </w:pPr>
            <w:r>
              <w:rPr>
                <w:rFonts w:hint="eastAsia" w:ascii="宋体" w:hAnsi="宋体" w:cs="宋体"/>
                <w:szCs w:val="21"/>
              </w:rPr>
              <w:t>3</w:t>
            </w:r>
          </w:p>
        </w:tc>
        <w:tc>
          <w:tcPr>
            <w:tcW w:w="1620" w:type="pct"/>
            <w:tcBorders>
              <w:top w:val="single" w:color="auto" w:sz="4" w:space="0"/>
              <w:left w:val="nil"/>
              <w:bottom w:val="single" w:color="auto" w:sz="4" w:space="0"/>
              <w:right w:val="single" w:color="auto" w:sz="4" w:space="0"/>
            </w:tcBorders>
            <w:noWrap/>
            <w:vAlign w:val="center"/>
          </w:tcPr>
          <w:p w14:paraId="2B5E08B6">
            <w:pPr>
              <w:widowControl/>
              <w:jc w:val="left"/>
              <w:rPr>
                <w:rFonts w:hint="eastAsia" w:ascii="宋体" w:hAnsi="宋体" w:cs="宋体"/>
                <w:kern w:val="0"/>
                <w:szCs w:val="21"/>
              </w:rPr>
            </w:pPr>
            <w:r>
              <w:rPr>
                <w:rFonts w:hint="eastAsia" w:ascii="宋体" w:hAnsi="宋体" w:cs="宋体"/>
                <w:kern w:val="0"/>
                <w:szCs w:val="21"/>
              </w:rPr>
              <w:t>“海之矫”浙里办</w:t>
            </w:r>
          </w:p>
        </w:tc>
        <w:tc>
          <w:tcPr>
            <w:tcW w:w="2569" w:type="pct"/>
            <w:tcBorders>
              <w:top w:val="single" w:color="auto" w:sz="4" w:space="0"/>
              <w:left w:val="nil"/>
              <w:bottom w:val="single" w:color="auto" w:sz="4" w:space="0"/>
              <w:right w:val="single" w:color="auto" w:sz="4" w:space="0"/>
            </w:tcBorders>
            <w:vAlign w:val="center"/>
          </w:tcPr>
          <w:p w14:paraId="0BDB8AB9">
            <w:pPr>
              <w:widowControl/>
              <w:jc w:val="left"/>
              <w:rPr>
                <w:rFonts w:hint="eastAsia" w:ascii="宋体" w:hAnsi="宋体" w:cs="宋体"/>
                <w:kern w:val="0"/>
                <w:szCs w:val="21"/>
              </w:rPr>
            </w:pPr>
            <w:r>
              <w:rPr>
                <w:rFonts w:hint="eastAsia" w:ascii="宋体" w:hAnsi="宋体" w:cs="宋体"/>
                <w:kern w:val="0"/>
                <w:szCs w:val="21"/>
                <w:lang w:val="en-US" w:eastAsia="zh-CN"/>
              </w:rPr>
              <w:t>增加</w:t>
            </w:r>
            <w:r>
              <w:rPr>
                <w:rFonts w:hint="eastAsia" w:ascii="宋体" w:hAnsi="宋体" w:cs="宋体"/>
                <w:kern w:val="0"/>
                <w:szCs w:val="21"/>
              </w:rPr>
              <w:t>视频学习、在线签到、进离港申报、权益申诉、低保申请、就业广场</w:t>
            </w:r>
          </w:p>
        </w:tc>
        <w:tc>
          <w:tcPr>
            <w:tcW w:w="425" w:type="pct"/>
            <w:tcBorders>
              <w:top w:val="single" w:color="auto" w:sz="4" w:space="0"/>
              <w:left w:val="single" w:color="auto" w:sz="4" w:space="0"/>
              <w:bottom w:val="single" w:color="auto" w:sz="4" w:space="0"/>
              <w:right w:val="single" w:color="auto" w:sz="8" w:space="0"/>
            </w:tcBorders>
            <w:vAlign w:val="center"/>
          </w:tcPr>
          <w:p w14:paraId="3041D621">
            <w:pPr>
              <w:widowControl/>
              <w:spacing w:line="360" w:lineRule="auto"/>
              <w:jc w:val="center"/>
              <w:rPr>
                <w:rFonts w:hint="eastAsia" w:ascii="宋体" w:hAnsi="宋体" w:cs="宋体"/>
                <w:kern w:val="0"/>
                <w:szCs w:val="21"/>
              </w:rPr>
            </w:pPr>
            <w:r>
              <w:rPr>
                <w:rFonts w:hint="eastAsia" w:ascii="宋体" w:hAnsi="宋体" w:cs="宋体"/>
                <w:szCs w:val="21"/>
              </w:rPr>
              <w:t>1</w:t>
            </w:r>
          </w:p>
        </w:tc>
      </w:tr>
      <w:tr w14:paraId="019C4C34">
        <w:tblPrEx>
          <w:tblCellMar>
            <w:top w:w="0" w:type="dxa"/>
            <w:left w:w="108" w:type="dxa"/>
            <w:bottom w:w="0" w:type="dxa"/>
            <w:right w:w="108" w:type="dxa"/>
          </w:tblCellMar>
        </w:tblPrEx>
        <w:trPr>
          <w:trHeight w:val="543" w:hRule="atLeast"/>
        </w:trPr>
        <w:tc>
          <w:tcPr>
            <w:tcW w:w="383" w:type="pct"/>
            <w:tcBorders>
              <w:top w:val="single" w:color="auto" w:sz="4" w:space="0"/>
              <w:left w:val="single" w:color="auto" w:sz="8" w:space="0"/>
              <w:bottom w:val="single" w:color="auto" w:sz="4" w:space="0"/>
              <w:right w:val="single" w:color="auto" w:sz="4" w:space="0"/>
            </w:tcBorders>
            <w:noWrap/>
            <w:vAlign w:val="center"/>
          </w:tcPr>
          <w:p w14:paraId="25AA1EDB">
            <w:pPr>
              <w:spacing w:line="360" w:lineRule="auto"/>
              <w:jc w:val="center"/>
              <w:rPr>
                <w:rFonts w:hint="eastAsia" w:ascii="宋体" w:hAnsi="宋体" w:cs="宋体"/>
                <w:szCs w:val="21"/>
              </w:rPr>
            </w:pPr>
            <w:r>
              <w:rPr>
                <w:rFonts w:hint="eastAsia" w:ascii="宋体" w:hAnsi="宋体" w:cs="宋体"/>
                <w:szCs w:val="21"/>
              </w:rPr>
              <w:t>4</w:t>
            </w:r>
          </w:p>
        </w:tc>
        <w:tc>
          <w:tcPr>
            <w:tcW w:w="1620" w:type="pct"/>
            <w:tcBorders>
              <w:top w:val="single" w:color="auto" w:sz="4" w:space="0"/>
              <w:left w:val="nil"/>
              <w:bottom w:val="single" w:color="auto" w:sz="4" w:space="0"/>
              <w:right w:val="single" w:color="auto" w:sz="4" w:space="0"/>
            </w:tcBorders>
            <w:noWrap/>
            <w:vAlign w:val="center"/>
          </w:tcPr>
          <w:p w14:paraId="056755EC">
            <w:pPr>
              <w:widowControl/>
              <w:jc w:val="left"/>
              <w:rPr>
                <w:rFonts w:hint="eastAsia" w:ascii="宋体" w:hAnsi="宋体" w:cs="宋体"/>
                <w:szCs w:val="21"/>
              </w:rPr>
            </w:pPr>
            <w:r>
              <w:rPr>
                <w:rFonts w:hint="eastAsia" w:ascii="宋体" w:hAnsi="宋体" w:cs="宋体"/>
                <w:kern w:val="0"/>
                <w:szCs w:val="21"/>
              </w:rPr>
              <w:t>日常监管模块</w:t>
            </w:r>
          </w:p>
        </w:tc>
        <w:tc>
          <w:tcPr>
            <w:tcW w:w="2569" w:type="pct"/>
            <w:tcBorders>
              <w:top w:val="single" w:color="auto" w:sz="4" w:space="0"/>
              <w:left w:val="nil"/>
              <w:bottom w:val="single" w:color="auto" w:sz="4" w:space="0"/>
              <w:right w:val="single" w:color="auto" w:sz="4" w:space="0"/>
            </w:tcBorders>
            <w:shd w:val="clear" w:color="auto" w:fill="auto"/>
            <w:vAlign w:val="center"/>
          </w:tcPr>
          <w:p w14:paraId="3ECCB351">
            <w:pPr>
              <w:widowControl/>
              <w:jc w:val="left"/>
              <w:rPr>
                <w:rFonts w:hint="eastAsia" w:ascii="宋体" w:hAnsi="宋体" w:cs="宋体"/>
                <w:kern w:val="0"/>
                <w:szCs w:val="21"/>
              </w:rPr>
            </w:pPr>
            <w:r>
              <w:rPr>
                <w:rFonts w:hint="eastAsia" w:ascii="宋体" w:hAnsi="宋体" w:cs="宋体"/>
                <w:kern w:val="0"/>
                <w:szCs w:val="21"/>
                <w:lang w:val="en-US" w:eastAsia="zh-CN"/>
              </w:rPr>
              <w:t>增加</w:t>
            </w:r>
            <w:r>
              <w:rPr>
                <w:rFonts w:hint="eastAsia" w:ascii="宋体" w:hAnsi="宋体" w:cs="宋体"/>
                <w:kern w:val="0"/>
                <w:szCs w:val="21"/>
              </w:rPr>
              <w:t>包含音视频核查、卫星电话复核、智能语服务、北斗定位服务</w:t>
            </w:r>
          </w:p>
        </w:tc>
        <w:tc>
          <w:tcPr>
            <w:tcW w:w="425" w:type="pct"/>
            <w:tcBorders>
              <w:top w:val="single" w:color="auto" w:sz="4" w:space="0"/>
              <w:left w:val="single" w:color="auto" w:sz="4" w:space="0"/>
              <w:bottom w:val="single" w:color="auto" w:sz="4" w:space="0"/>
              <w:right w:val="single" w:color="auto" w:sz="8" w:space="0"/>
            </w:tcBorders>
            <w:vAlign w:val="center"/>
          </w:tcPr>
          <w:p w14:paraId="2076A899">
            <w:pPr>
              <w:widowControl/>
              <w:spacing w:line="360" w:lineRule="auto"/>
              <w:jc w:val="center"/>
              <w:rPr>
                <w:rFonts w:hint="eastAsia" w:ascii="宋体" w:hAnsi="宋体" w:cs="宋体"/>
                <w:kern w:val="0"/>
                <w:szCs w:val="21"/>
              </w:rPr>
            </w:pPr>
            <w:r>
              <w:rPr>
                <w:rFonts w:hint="eastAsia" w:ascii="宋体" w:hAnsi="宋体" w:cs="宋体"/>
                <w:kern w:val="0"/>
                <w:szCs w:val="21"/>
              </w:rPr>
              <w:t>1</w:t>
            </w:r>
          </w:p>
        </w:tc>
      </w:tr>
      <w:tr w14:paraId="52124B24">
        <w:tblPrEx>
          <w:tblCellMar>
            <w:top w:w="0" w:type="dxa"/>
            <w:left w:w="108" w:type="dxa"/>
            <w:bottom w:w="0" w:type="dxa"/>
            <w:right w:w="108" w:type="dxa"/>
          </w:tblCellMar>
        </w:tblPrEx>
        <w:trPr>
          <w:trHeight w:val="638" w:hRule="atLeast"/>
        </w:trPr>
        <w:tc>
          <w:tcPr>
            <w:tcW w:w="383" w:type="pct"/>
            <w:tcBorders>
              <w:top w:val="single" w:color="auto" w:sz="4" w:space="0"/>
              <w:left w:val="single" w:color="auto" w:sz="8" w:space="0"/>
              <w:bottom w:val="single" w:color="auto" w:sz="4" w:space="0"/>
              <w:right w:val="single" w:color="auto" w:sz="4" w:space="0"/>
            </w:tcBorders>
            <w:noWrap/>
            <w:vAlign w:val="center"/>
          </w:tcPr>
          <w:p w14:paraId="5E05E233">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620" w:type="pct"/>
            <w:tcBorders>
              <w:top w:val="single" w:color="auto" w:sz="4" w:space="0"/>
              <w:left w:val="nil"/>
              <w:bottom w:val="single" w:color="auto" w:sz="4" w:space="0"/>
              <w:right w:val="single" w:color="auto" w:sz="4" w:space="0"/>
            </w:tcBorders>
            <w:noWrap/>
            <w:vAlign w:val="center"/>
          </w:tcPr>
          <w:p w14:paraId="5C9667F3">
            <w:pPr>
              <w:widowControl/>
              <w:jc w:val="left"/>
              <w:rPr>
                <w:rFonts w:hint="eastAsia" w:ascii="宋体" w:hAnsi="宋体" w:cs="宋体"/>
                <w:szCs w:val="21"/>
              </w:rPr>
            </w:pPr>
            <w:r>
              <w:rPr>
                <w:rFonts w:hint="eastAsia" w:ascii="宋体" w:hAnsi="宋体" w:cs="宋体"/>
                <w:szCs w:val="21"/>
              </w:rPr>
              <w:t>警务处置模块</w:t>
            </w:r>
          </w:p>
        </w:tc>
        <w:tc>
          <w:tcPr>
            <w:tcW w:w="2569" w:type="pct"/>
            <w:tcBorders>
              <w:top w:val="single" w:color="auto" w:sz="4" w:space="0"/>
              <w:left w:val="nil"/>
              <w:bottom w:val="single" w:color="auto" w:sz="4" w:space="0"/>
              <w:right w:val="single" w:color="auto" w:sz="4" w:space="0"/>
            </w:tcBorders>
            <w:shd w:val="clear" w:color="auto" w:fill="auto"/>
            <w:vAlign w:val="center"/>
          </w:tcPr>
          <w:p w14:paraId="75348B2D">
            <w:pPr>
              <w:widowControl/>
              <w:jc w:val="left"/>
              <w:rPr>
                <w:rFonts w:hint="eastAsia" w:ascii="宋体" w:hAnsi="宋体" w:cs="宋体"/>
                <w:kern w:val="0"/>
                <w:szCs w:val="21"/>
              </w:rPr>
            </w:pPr>
            <w:r>
              <w:rPr>
                <w:rFonts w:hint="eastAsia" w:ascii="宋体" w:hAnsi="宋体" w:cs="宋体"/>
                <w:kern w:val="0"/>
                <w:szCs w:val="21"/>
                <w:lang w:val="en-US" w:eastAsia="zh-CN"/>
              </w:rPr>
              <w:t>增加</w:t>
            </w:r>
            <w:r>
              <w:rPr>
                <w:rFonts w:hint="eastAsia" w:ascii="宋体" w:hAnsi="宋体" w:cs="宋体"/>
                <w:kern w:val="0"/>
                <w:szCs w:val="21"/>
              </w:rPr>
              <w:t>包含车船票出现数据、公安视频数据AI智能模型</w:t>
            </w:r>
          </w:p>
        </w:tc>
        <w:tc>
          <w:tcPr>
            <w:tcW w:w="425" w:type="pct"/>
            <w:tcBorders>
              <w:top w:val="single" w:color="auto" w:sz="4" w:space="0"/>
              <w:left w:val="single" w:color="auto" w:sz="4" w:space="0"/>
              <w:bottom w:val="single" w:color="auto" w:sz="4" w:space="0"/>
              <w:right w:val="single" w:color="auto" w:sz="8" w:space="0"/>
            </w:tcBorders>
            <w:vAlign w:val="center"/>
          </w:tcPr>
          <w:p w14:paraId="7F51B80E">
            <w:pPr>
              <w:widowControl/>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r>
      <w:tr w14:paraId="6EE75BA0">
        <w:tblPrEx>
          <w:tblCellMar>
            <w:top w:w="0" w:type="dxa"/>
            <w:left w:w="108" w:type="dxa"/>
            <w:bottom w:w="0" w:type="dxa"/>
            <w:right w:w="108" w:type="dxa"/>
          </w:tblCellMar>
        </w:tblPrEx>
        <w:trPr>
          <w:trHeight w:val="590" w:hRule="atLeast"/>
        </w:trPr>
        <w:tc>
          <w:tcPr>
            <w:tcW w:w="383" w:type="pct"/>
            <w:tcBorders>
              <w:top w:val="single" w:color="auto" w:sz="4" w:space="0"/>
              <w:left w:val="single" w:color="auto" w:sz="8" w:space="0"/>
              <w:bottom w:val="single" w:color="auto" w:sz="4" w:space="0"/>
              <w:right w:val="single" w:color="auto" w:sz="4" w:space="0"/>
            </w:tcBorders>
            <w:noWrap/>
            <w:vAlign w:val="center"/>
          </w:tcPr>
          <w:p w14:paraId="5CADA1FA">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1620" w:type="pct"/>
            <w:tcBorders>
              <w:top w:val="single" w:color="auto" w:sz="4" w:space="0"/>
              <w:left w:val="nil"/>
              <w:bottom w:val="single" w:color="auto" w:sz="4" w:space="0"/>
              <w:right w:val="single" w:color="auto" w:sz="4" w:space="0"/>
            </w:tcBorders>
            <w:noWrap/>
            <w:vAlign w:val="center"/>
          </w:tcPr>
          <w:p w14:paraId="1DDA1300">
            <w:pPr>
              <w:widowControl/>
              <w:jc w:val="left"/>
              <w:rPr>
                <w:rFonts w:hint="eastAsia" w:ascii="宋体" w:hAnsi="宋体" w:cs="宋体"/>
                <w:szCs w:val="21"/>
              </w:rPr>
            </w:pPr>
            <w:r>
              <w:rPr>
                <w:rFonts w:hint="eastAsia" w:ascii="宋体" w:hAnsi="宋体" w:cs="宋体"/>
                <w:szCs w:val="21"/>
              </w:rPr>
              <w:t>多跨协同模块</w:t>
            </w:r>
          </w:p>
        </w:tc>
        <w:tc>
          <w:tcPr>
            <w:tcW w:w="2569" w:type="pct"/>
            <w:tcBorders>
              <w:top w:val="single" w:color="auto" w:sz="4" w:space="0"/>
              <w:left w:val="nil"/>
              <w:bottom w:val="single" w:color="auto" w:sz="4" w:space="0"/>
              <w:right w:val="single" w:color="auto" w:sz="4" w:space="0"/>
            </w:tcBorders>
            <w:shd w:val="clear" w:color="auto" w:fill="auto"/>
            <w:vAlign w:val="center"/>
          </w:tcPr>
          <w:p w14:paraId="4F42C473">
            <w:pPr>
              <w:widowControl/>
              <w:jc w:val="left"/>
              <w:rPr>
                <w:rFonts w:hint="eastAsia" w:ascii="宋体" w:hAnsi="宋体" w:cs="宋体"/>
                <w:kern w:val="0"/>
                <w:szCs w:val="21"/>
              </w:rPr>
            </w:pPr>
            <w:r>
              <w:rPr>
                <w:rFonts w:hint="eastAsia" w:ascii="宋体" w:hAnsi="宋体" w:cs="宋体"/>
                <w:kern w:val="0"/>
                <w:szCs w:val="21"/>
                <w:lang w:val="en-US" w:eastAsia="zh-CN"/>
              </w:rPr>
              <w:t>增加</w:t>
            </w:r>
            <w:r>
              <w:rPr>
                <w:rFonts w:hint="eastAsia" w:ascii="宋体" w:hAnsi="宋体" w:cs="宋体"/>
                <w:kern w:val="0"/>
                <w:szCs w:val="21"/>
              </w:rPr>
              <w:t>卫健委、民政局、人社局、市场监督局等单位对接</w:t>
            </w:r>
          </w:p>
        </w:tc>
        <w:tc>
          <w:tcPr>
            <w:tcW w:w="425" w:type="pct"/>
            <w:tcBorders>
              <w:top w:val="single" w:color="auto" w:sz="4" w:space="0"/>
              <w:left w:val="single" w:color="auto" w:sz="4" w:space="0"/>
              <w:bottom w:val="single" w:color="auto" w:sz="4" w:space="0"/>
              <w:right w:val="single" w:color="auto" w:sz="8" w:space="0"/>
            </w:tcBorders>
            <w:vAlign w:val="center"/>
          </w:tcPr>
          <w:p w14:paraId="16CEEC2C">
            <w:pPr>
              <w:widowControl/>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r>
      <w:tr w14:paraId="47AACF3B">
        <w:tblPrEx>
          <w:tblCellMar>
            <w:top w:w="0" w:type="dxa"/>
            <w:left w:w="108" w:type="dxa"/>
            <w:bottom w:w="0" w:type="dxa"/>
            <w:right w:w="108" w:type="dxa"/>
          </w:tblCellMar>
        </w:tblPrEx>
        <w:trPr>
          <w:trHeight w:val="650" w:hRule="atLeast"/>
        </w:trPr>
        <w:tc>
          <w:tcPr>
            <w:tcW w:w="383" w:type="pct"/>
            <w:tcBorders>
              <w:top w:val="single" w:color="auto" w:sz="4" w:space="0"/>
              <w:left w:val="single" w:color="auto" w:sz="8" w:space="0"/>
              <w:bottom w:val="single" w:color="auto" w:sz="4" w:space="0"/>
              <w:right w:val="single" w:color="auto" w:sz="4" w:space="0"/>
            </w:tcBorders>
            <w:noWrap/>
            <w:vAlign w:val="center"/>
          </w:tcPr>
          <w:p w14:paraId="2023E24C">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1620" w:type="pct"/>
            <w:tcBorders>
              <w:top w:val="single" w:color="auto" w:sz="4" w:space="0"/>
              <w:left w:val="nil"/>
              <w:bottom w:val="single" w:color="auto" w:sz="4" w:space="0"/>
              <w:right w:val="single" w:color="auto" w:sz="4" w:space="0"/>
            </w:tcBorders>
            <w:noWrap/>
            <w:vAlign w:val="center"/>
          </w:tcPr>
          <w:p w14:paraId="1C2A4475">
            <w:pPr>
              <w:widowControl/>
              <w:jc w:val="left"/>
              <w:rPr>
                <w:rFonts w:hint="eastAsia" w:ascii="宋体" w:hAnsi="宋体" w:cs="宋体"/>
                <w:szCs w:val="21"/>
              </w:rPr>
            </w:pPr>
            <w:r>
              <w:rPr>
                <w:rFonts w:hint="eastAsia" w:ascii="宋体" w:hAnsi="宋体" w:cs="宋体"/>
                <w:szCs w:val="21"/>
              </w:rPr>
              <w:t>教育帮扶模块</w:t>
            </w:r>
          </w:p>
        </w:tc>
        <w:tc>
          <w:tcPr>
            <w:tcW w:w="2569" w:type="pct"/>
            <w:tcBorders>
              <w:top w:val="single" w:color="auto" w:sz="4" w:space="0"/>
              <w:left w:val="nil"/>
              <w:bottom w:val="single" w:color="auto" w:sz="4" w:space="0"/>
              <w:right w:val="single" w:color="auto" w:sz="4" w:space="0"/>
            </w:tcBorders>
            <w:shd w:val="clear" w:color="auto" w:fill="auto"/>
            <w:vAlign w:val="center"/>
          </w:tcPr>
          <w:p w14:paraId="33A50DBC">
            <w:pPr>
              <w:widowControl/>
              <w:jc w:val="left"/>
              <w:rPr>
                <w:rFonts w:hint="eastAsia" w:ascii="宋体" w:hAnsi="宋体" w:cs="宋体"/>
                <w:kern w:val="0"/>
                <w:szCs w:val="21"/>
              </w:rPr>
            </w:pPr>
            <w:r>
              <w:rPr>
                <w:rFonts w:hint="eastAsia" w:ascii="宋体" w:hAnsi="宋体" w:cs="宋体"/>
                <w:kern w:val="0"/>
                <w:szCs w:val="21"/>
              </w:rPr>
              <w:t>新增个性矫正方案、志愿帮教、再犯罪风险评估、矫务公开</w:t>
            </w:r>
          </w:p>
        </w:tc>
        <w:tc>
          <w:tcPr>
            <w:tcW w:w="425" w:type="pct"/>
            <w:tcBorders>
              <w:top w:val="single" w:color="auto" w:sz="4" w:space="0"/>
              <w:left w:val="single" w:color="auto" w:sz="4" w:space="0"/>
              <w:bottom w:val="single" w:color="auto" w:sz="4" w:space="0"/>
              <w:right w:val="single" w:color="auto" w:sz="8" w:space="0"/>
            </w:tcBorders>
            <w:vAlign w:val="center"/>
          </w:tcPr>
          <w:p w14:paraId="5C5BE9AF">
            <w:pPr>
              <w:widowControl/>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r>
      <w:tr w14:paraId="10E6E40A">
        <w:tblPrEx>
          <w:tblCellMar>
            <w:top w:w="0" w:type="dxa"/>
            <w:left w:w="108" w:type="dxa"/>
            <w:bottom w:w="0" w:type="dxa"/>
            <w:right w:w="108" w:type="dxa"/>
          </w:tblCellMar>
        </w:tblPrEx>
        <w:trPr>
          <w:trHeight w:val="590" w:hRule="atLeast"/>
        </w:trPr>
        <w:tc>
          <w:tcPr>
            <w:tcW w:w="383" w:type="pct"/>
            <w:tcBorders>
              <w:top w:val="single" w:color="auto" w:sz="4" w:space="0"/>
              <w:left w:val="single" w:color="auto" w:sz="8" w:space="0"/>
              <w:bottom w:val="single" w:color="auto" w:sz="4" w:space="0"/>
              <w:right w:val="single" w:color="auto" w:sz="4" w:space="0"/>
            </w:tcBorders>
            <w:noWrap/>
            <w:vAlign w:val="center"/>
          </w:tcPr>
          <w:p w14:paraId="0C0E9977">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1620" w:type="pct"/>
            <w:tcBorders>
              <w:top w:val="single" w:color="auto" w:sz="4" w:space="0"/>
              <w:left w:val="nil"/>
              <w:bottom w:val="single" w:color="auto" w:sz="4" w:space="0"/>
              <w:right w:val="single" w:color="auto" w:sz="4" w:space="0"/>
            </w:tcBorders>
            <w:noWrap/>
            <w:vAlign w:val="center"/>
          </w:tcPr>
          <w:p w14:paraId="5CC66873">
            <w:pPr>
              <w:widowControl/>
              <w:jc w:val="left"/>
              <w:rPr>
                <w:rFonts w:hint="eastAsia" w:ascii="宋体" w:hAnsi="宋体" w:eastAsia="宋体" w:cs="宋体"/>
                <w:szCs w:val="21"/>
                <w:lang w:eastAsia="zh-CN"/>
              </w:rPr>
            </w:pPr>
            <w:r>
              <w:rPr>
                <w:rFonts w:hint="eastAsia" w:ascii="宋体" w:hAnsi="宋体" w:cs="宋体"/>
                <w:szCs w:val="21"/>
              </w:rPr>
              <w:t>涉海涉渔矫正数据交换中心</w:t>
            </w:r>
            <w:r>
              <w:rPr>
                <w:rFonts w:hint="eastAsia" w:ascii="宋体" w:hAnsi="宋体" w:cs="宋体"/>
                <w:szCs w:val="21"/>
                <w:lang w:eastAsia="zh-CN"/>
              </w:rPr>
              <w:t>（</w:t>
            </w:r>
            <w:r>
              <w:rPr>
                <w:rFonts w:hint="eastAsia" w:ascii="宋体" w:hAnsi="宋体" w:cs="宋体"/>
                <w:szCs w:val="21"/>
                <w:lang w:val="en-US" w:eastAsia="zh-CN"/>
              </w:rPr>
              <w:t>虚拟中心</w:t>
            </w:r>
            <w:r>
              <w:rPr>
                <w:rFonts w:hint="eastAsia" w:ascii="宋体" w:hAnsi="宋体" w:cs="宋体"/>
                <w:szCs w:val="21"/>
                <w:lang w:eastAsia="zh-CN"/>
              </w:rPr>
              <w:t>）</w:t>
            </w:r>
          </w:p>
        </w:tc>
        <w:tc>
          <w:tcPr>
            <w:tcW w:w="2569" w:type="pct"/>
            <w:tcBorders>
              <w:top w:val="single" w:color="auto" w:sz="4" w:space="0"/>
              <w:left w:val="nil"/>
              <w:bottom w:val="single" w:color="auto" w:sz="4" w:space="0"/>
              <w:right w:val="single" w:color="auto" w:sz="4" w:space="0"/>
            </w:tcBorders>
            <w:shd w:val="clear" w:color="auto" w:fill="auto"/>
            <w:vAlign w:val="center"/>
          </w:tcPr>
          <w:p w14:paraId="7BAF65B6">
            <w:pPr>
              <w:widowControl/>
              <w:jc w:val="left"/>
              <w:rPr>
                <w:rFonts w:hint="eastAsia" w:ascii="宋体" w:hAnsi="宋体" w:cs="宋体"/>
                <w:kern w:val="0"/>
                <w:szCs w:val="21"/>
              </w:rPr>
            </w:pPr>
            <w:r>
              <w:rPr>
                <w:rFonts w:hint="eastAsia" w:ascii="宋体" w:hAnsi="宋体" w:cs="宋体"/>
                <w:kern w:val="0"/>
                <w:szCs w:val="21"/>
              </w:rPr>
              <w:t>建立涉海涉渔矫正数据中心，实现省内及各省之间的数据交换</w:t>
            </w:r>
          </w:p>
        </w:tc>
        <w:tc>
          <w:tcPr>
            <w:tcW w:w="425" w:type="pct"/>
            <w:tcBorders>
              <w:top w:val="single" w:color="auto" w:sz="4" w:space="0"/>
              <w:left w:val="single" w:color="auto" w:sz="4" w:space="0"/>
              <w:bottom w:val="single" w:color="auto" w:sz="4" w:space="0"/>
              <w:right w:val="single" w:color="auto" w:sz="8" w:space="0"/>
            </w:tcBorders>
            <w:vAlign w:val="center"/>
          </w:tcPr>
          <w:p w14:paraId="1D2DB52B">
            <w:pPr>
              <w:widowControl/>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r>
      <w:tr w14:paraId="35AC4A3C">
        <w:tblPrEx>
          <w:tblCellMar>
            <w:top w:w="0" w:type="dxa"/>
            <w:left w:w="108" w:type="dxa"/>
            <w:bottom w:w="0" w:type="dxa"/>
            <w:right w:w="108" w:type="dxa"/>
          </w:tblCellMar>
        </w:tblPrEx>
        <w:trPr>
          <w:trHeight w:val="470" w:hRule="atLeast"/>
        </w:trPr>
        <w:tc>
          <w:tcPr>
            <w:tcW w:w="383" w:type="pct"/>
            <w:tcBorders>
              <w:top w:val="single" w:color="auto" w:sz="4" w:space="0"/>
              <w:left w:val="single" w:color="auto" w:sz="8" w:space="0"/>
              <w:bottom w:val="single" w:color="auto" w:sz="4" w:space="0"/>
              <w:right w:val="single" w:color="auto" w:sz="4" w:space="0"/>
            </w:tcBorders>
            <w:noWrap/>
            <w:vAlign w:val="center"/>
          </w:tcPr>
          <w:p w14:paraId="69CF6BD2">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1620" w:type="pct"/>
            <w:tcBorders>
              <w:top w:val="single" w:color="auto" w:sz="4" w:space="0"/>
              <w:left w:val="nil"/>
              <w:bottom w:val="single" w:color="auto" w:sz="4" w:space="0"/>
              <w:right w:val="single" w:color="auto" w:sz="4" w:space="0"/>
            </w:tcBorders>
            <w:noWrap/>
            <w:vAlign w:val="center"/>
          </w:tcPr>
          <w:p w14:paraId="5E89A2EF">
            <w:pPr>
              <w:widowControl/>
              <w:jc w:val="left"/>
              <w:rPr>
                <w:rFonts w:hint="eastAsia" w:ascii="宋体" w:hAnsi="宋体" w:cs="宋体"/>
                <w:szCs w:val="21"/>
              </w:rPr>
            </w:pPr>
            <w:r>
              <w:rPr>
                <w:rFonts w:hint="eastAsia" w:ascii="宋体" w:hAnsi="宋体" w:cs="宋体"/>
                <w:szCs w:val="21"/>
              </w:rPr>
              <w:t>新增部分代码检测及等保复测</w:t>
            </w:r>
          </w:p>
        </w:tc>
        <w:tc>
          <w:tcPr>
            <w:tcW w:w="2569" w:type="pct"/>
            <w:tcBorders>
              <w:top w:val="single" w:color="auto" w:sz="4" w:space="0"/>
              <w:left w:val="nil"/>
              <w:bottom w:val="single" w:color="auto" w:sz="4" w:space="0"/>
              <w:right w:val="single" w:color="auto" w:sz="4" w:space="0"/>
            </w:tcBorders>
            <w:shd w:val="clear" w:color="auto" w:fill="auto"/>
            <w:vAlign w:val="center"/>
          </w:tcPr>
          <w:p w14:paraId="50CE40E0">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新增部分代码检测及二级等保复测</w:t>
            </w:r>
          </w:p>
        </w:tc>
        <w:tc>
          <w:tcPr>
            <w:tcW w:w="425" w:type="pct"/>
            <w:tcBorders>
              <w:top w:val="single" w:color="auto" w:sz="4" w:space="0"/>
              <w:left w:val="single" w:color="auto" w:sz="4" w:space="0"/>
              <w:bottom w:val="single" w:color="auto" w:sz="4" w:space="0"/>
              <w:right w:val="single" w:color="auto" w:sz="8" w:space="0"/>
            </w:tcBorders>
            <w:vAlign w:val="center"/>
          </w:tcPr>
          <w:p w14:paraId="7F5DD632">
            <w:pPr>
              <w:widowControl/>
              <w:spacing w:line="360" w:lineRule="auto"/>
              <w:jc w:val="center"/>
              <w:rPr>
                <w:rFonts w:hint="eastAsia" w:ascii="宋体" w:hAnsi="宋体" w:cs="宋体"/>
                <w:kern w:val="0"/>
                <w:szCs w:val="21"/>
              </w:rPr>
            </w:pPr>
            <w:r>
              <w:rPr>
                <w:rFonts w:hint="eastAsia" w:ascii="宋体" w:hAnsi="宋体" w:cs="宋体"/>
                <w:szCs w:val="21"/>
              </w:rPr>
              <w:t>1</w:t>
            </w:r>
          </w:p>
        </w:tc>
      </w:tr>
    </w:tbl>
    <w:p w14:paraId="53269421">
      <w:pPr>
        <w:tabs>
          <w:tab w:val="left" w:pos="-113"/>
        </w:tabs>
        <w:spacing w:line="312" w:lineRule="auto"/>
        <w:ind w:left="-113"/>
        <w:outlineLvl w:val="0"/>
        <w:rPr>
          <w:rFonts w:hint="eastAsia" w:ascii="宋体" w:hAnsi="宋体" w:cs="仿宋"/>
          <w:b/>
          <w:bCs/>
          <w:kern w:val="44"/>
          <w:sz w:val="24"/>
          <w:u w:val="none" w:color="auto"/>
        </w:rPr>
      </w:pPr>
      <w:r>
        <w:rPr>
          <w:rFonts w:hint="eastAsia" w:ascii="宋体" w:hAnsi="宋体" w:cs="仿宋"/>
          <w:b/>
          <w:bCs/>
          <w:kern w:val="44"/>
          <w:sz w:val="24"/>
          <w:u w:val="none" w:color="auto"/>
        </w:rPr>
        <w:t>三、主要内容</w:t>
      </w:r>
    </w:p>
    <w:p w14:paraId="68414734">
      <w:pPr>
        <w:spacing w:line="312" w:lineRule="auto"/>
        <w:ind w:firstLine="420" w:firstLineChars="200"/>
        <w:rPr>
          <w:rFonts w:hint="eastAsia" w:ascii="宋体" w:hAnsi="宋体" w:cs="仿宋"/>
          <w:color w:val="000000"/>
          <w:kern w:val="0"/>
          <w:szCs w:val="21"/>
          <w:u w:val="none" w:color="auto"/>
        </w:rPr>
      </w:pPr>
      <w:r>
        <w:rPr>
          <w:rFonts w:hint="eastAsia" w:ascii="宋体" w:hAnsi="宋体" w:cs="仿宋"/>
          <w:color w:val="000000"/>
          <w:kern w:val="0"/>
          <w:szCs w:val="21"/>
          <w:u w:val="none" w:color="auto"/>
        </w:rPr>
        <w:t>根据</w:t>
      </w:r>
      <w:r>
        <w:rPr>
          <w:rFonts w:hint="eastAsia" w:ascii="宋体" w:hAnsi="宋体" w:cs="仿宋"/>
          <w:color w:val="000000"/>
          <w:kern w:val="0"/>
          <w:szCs w:val="21"/>
          <w:u w:val="none" w:color="auto"/>
          <w:lang w:val="en-US" w:eastAsia="zh-CN"/>
        </w:rPr>
        <w:t>舟山市</w:t>
      </w:r>
      <w:r>
        <w:rPr>
          <w:rFonts w:hint="eastAsia" w:ascii="宋体" w:hAnsi="宋体" w:cs="仿宋"/>
          <w:color w:val="000000"/>
          <w:kern w:val="0"/>
          <w:szCs w:val="21"/>
          <w:u w:val="none" w:color="auto"/>
        </w:rPr>
        <w:t>涉海涉渔社区矫正对象联合管控应用的整体架构设计需求，把涉海涉渔矫正对象审批核验和监控中心模块提及至省司法厅浙里矫正应用，迭代具有舟山特色的功能模块，继续完善浙里办功能，增加浙政钉应用移动端内容，升级日常监管、警务处置、多跨协同、教育帮扶等模块，建设涉海涉渔社区矫正数据中心</w:t>
      </w:r>
      <w:r>
        <w:rPr>
          <w:rFonts w:hint="eastAsia" w:ascii="宋体" w:hAnsi="宋体" w:cs="仿宋"/>
          <w:color w:val="000000"/>
          <w:kern w:val="0"/>
          <w:szCs w:val="21"/>
          <w:u w:val="none" w:color="auto"/>
          <w:lang w:eastAsia="zh-CN"/>
        </w:rPr>
        <w:t>（</w:t>
      </w:r>
      <w:r>
        <w:rPr>
          <w:rFonts w:hint="eastAsia" w:ascii="宋体" w:hAnsi="宋体" w:cs="仿宋"/>
          <w:color w:val="000000"/>
          <w:kern w:val="0"/>
          <w:szCs w:val="21"/>
          <w:u w:val="none" w:color="auto"/>
          <w:lang w:val="en-US" w:eastAsia="zh-CN"/>
        </w:rPr>
        <w:t>虚拟中心</w:t>
      </w:r>
      <w:r>
        <w:rPr>
          <w:rFonts w:hint="eastAsia" w:ascii="宋体" w:hAnsi="宋体" w:cs="仿宋"/>
          <w:color w:val="000000"/>
          <w:kern w:val="0"/>
          <w:szCs w:val="21"/>
          <w:u w:val="none" w:color="auto"/>
          <w:lang w:eastAsia="zh-CN"/>
        </w:rPr>
        <w:t>），</w:t>
      </w:r>
      <w:r>
        <w:rPr>
          <w:rFonts w:hint="eastAsia" w:ascii="宋体" w:hAnsi="宋体" w:cs="仿宋"/>
          <w:color w:val="000000"/>
          <w:kern w:val="0"/>
          <w:szCs w:val="21"/>
          <w:u w:val="none" w:color="auto"/>
          <w:lang w:val="en-US" w:eastAsia="zh-CN"/>
        </w:rPr>
        <w:t>并对其进行全面国产化适配改造</w:t>
      </w:r>
      <w:r>
        <w:rPr>
          <w:rFonts w:hint="eastAsia" w:ascii="宋体" w:hAnsi="宋体" w:cs="仿宋"/>
          <w:color w:val="000000"/>
          <w:kern w:val="0"/>
          <w:szCs w:val="21"/>
          <w:u w:val="none" w:color="auto"/>
        </w:rPr>
        <w:t>。其中，本应用涉及到新增内容及部分优化内容如下：</w:t>
      </w:r>
    </w:p>
    <w:p w14:paraId="08A6478B">
      <w:pPr>
        <w:spacing w:line="312" w:lineRule="auto"/>
        <w:ind w:firstLine="420" w:firstLineChars="200"/>
        <w:rPr>
          <w:rFonts w:hint="eastAsia" w:ascii="宋体" w:hAnsi="宋体" w:cs="仿宋"/>
          <w:color w:val="000000"/>
          <w:kern w:val="0"/>
          <w:szCs w:val="21"/>
          <w:u w:val="none" w:color="auto"/>
          <w:lang w:val="en-US" w:eastAsia="zh-CN"/>
        </w:rPr>
      </w:pPr>
      <w:r>
        <w:rPr>
          <w:rFonts w:hint="eastAsia" w:ascii="宋体" w:hAnsi="宋体" w:cs="仿宋"/>
          <w:color w:val="000000"/>
          <w:kern w:val="0"/>
          <w:szCs w:val="21"/>
          <w:u w:val="none" w:color="auto"/>
        </w:rPr>
        <w:t>1</w:t>
      </w:r>
      <w:r>
        <w:rPr>
          <w:rFonts w:hint="eastAsia" w:ascii="宋体" w:hAnsi="宋体" w:cs="仿宋"/>
          <w:color w:val="000000"/>
          <w:kern w:val="0"/>
          <w:szCs w:val="21"/>
          <w:u w:val="none" w:color="auto"/>
          <w:lang w:eastAsia="zh-CN"/>
        </w:rPr>
        <w:t>.</w:t>
      </w:r>
      <w:r>
        <w:rPr>
          <w:rFonts w:hint="eastAsia" w:ascii="宋体" w:hAnsi="宋体" w:cs="仿宋"/>
          <w:color w:val="000000"/>
          <w:kern w:val="0"/>
          <w:szCs w:val="21"/>
          <w:u w:val="none" w:color="auto"/>
        </w:rPr>
        <w:t>共性基础</w:t>
      </w:r>
      <w:r>
        <w:rPr>
          <w:rFonts w:hint="eastAsia" w:ascii="宋体" w:hAnsi="宋体" w:cs="仿宋"/>
          <w:color w:val="000000"/>
          <w:kern w:val="0"/>
          <w:szCs w:val="21"/>
          <w:u w:val="none" w:color="auto"/>
          <w:lang w:val="en-US" w:eastAsia="zh-CN"/>
        </w:rPr>
        <w:t>数据推送</w:t>
      </w:r>
    </w:p>
    <w:p w14:paraId="18E69CB2">
      <w:pPr>
        <w:spacing w:line="312" w:lineRule="auto"/>
        <w:ind w:firstLine="420" w:firstLineChars="200"/>
        <w:rPr>
          <w:rFonts w:hint="eastAsia" w:ascii="宋体" w:hAnsi="宋体" w:cs="仿宋"/>
          <w:color w:val="000000"/>
          <w:kern w:val="0"/>
          <w:szCs w:val="21"/>
          <w:u w:val="none" w:color="auto"/>
        </w:rPr>
      </w:pPr>
      <w:r>
        <w:rPr>
          <w:rFonts w:hint="eastAsia" w:ascii="宋体" w:hAnsi="宋体" w:cs="仿宋"/>
          <w:color w:val="000000"/>
          <w:kern w:val="0"/>
          <w:szCs w:val="21"/>
          <w:u w:val="none" w:color="auto"/>
          <w:lang w:val="en-US" w:eastAsia="zh-CN"/>
        </w:rPr>
        <w:t>涉海涉渔社区矫正对象</w:t>
      </w:r>
      <w:r>
        <w:rPr>
          <w:rFonts w:hint="eastAsia" w:ascii="宋体" w:hAnsi="宋体" w:cs="仿宋"/>
          <w:color w:val="000000"/>
          <w:kern w:val="0"/>
          <w:szCs w:val="21"/>
          <w:u w:val="none" w:color="auto"/>
        </w:rPr>
        <w:t>外出作业申请</w:t>
      </w:r>
      <w:r>
        <w:rPr>
          <w:rFonts w:hint="eastAsia" w:ascii="宋体" w:hAnsi="宋体" w:cs="仿宋"/>
          <w:color w:val="000000"/>
          <w:kern w:val="0"/>
          <w:szCs w:val="21"/>
          <w:u w:val="none" w:color="auto"/>
          <w:lang w:val="en-US" w:eastAsia="zh-CN"/>
        </w:rPr>
        <w:t>时的船员信息核验、船只信息核验数据以及监控中心的船舶定位轨迹数据、预警信息数据推送至省司法厅，便于统一管理。</w:t>
      </w:r>
    </w:p>
    <w:p w14:paraId="623A4B27">
      <w:pPr>
        <w:spacing w:line="312" w:lineRule="auto"/>
        <w:ind w:firstLine="420" w:firstLineChars="200"/>
        <w:rPr>
          <w:rFonts w:hint="eastAsia" w:ascii="宋体" w:hAnsi="宋体" w:cs="仿宋"/>
          <w:color w:val="000000"/>
          <w:kern w:val="0"/>
          <w:szCs w:val="21"/>
          <w:u w:val="none" w:color="auto"/>
        </w:rPr>
      </w:pPr>
      <w:r>
        <w:rPr>
          <w:rFonts w:hint="eastAsia" w:ascii="宋体" w:hAnsi="宋体" w:cs="仿宋"/>
          <w:color w:val="000000"/>
          <w:kern w:val="0"/>
          <w:szCs w:val="21"/>
          <w:u w:val="none" w:color="auto"/>
          <w:lang w:val="en-US" w:eastAsia="zh-CN"/>
        </w:rPr>
        <w:t>2.</w:t>
      </w:r>
      <w:r>
        <w:rPr>
          <w:rFonts w:hint="eastAsia" w:ascii="宋体" w:hAnsi="宋体" w:cs="仿宋"/>
          <w:color w:val="000000"/>
          <w:kern w:val="0"/>
          <w:szCs w:val="21"/>
          <w:u w:val="none" w:color="auto"/>
        </w:rPr>
        <w:t>“海之矫”钉应用</w:t>
      </w:r>
    </w:p>
    <w:p w14:paraId="31CC3FED">
      <w:pPr>
        <w:spacing w:line="312" w:lineRule="auto"/>
        <w:ind w:firstLine="420" w:firstLineChars="200"/>
        <w:rPr>
          <w:rFonts w:hint="eastAsia" w:ascii="宋体" w:hAnsi="宋体" w:cs="仿宋"/>
          <w:color w:val="000000"/>
          <w:kern w:val="0"/>
          <w:szCs w:val="21"/>
          <w:u w:val="none" w:color="auto"/>
        </w:rPr>
      </w:pPr>
      <w:r>
        <w:rPr>
          <w:rFonts w:hint="eastAsia" w:ascii="宋体" w:hAnsi="宋体" w:cs="仿宋"/>
          <w:color w:val="000000"/>
          <w:kern w:val="0"/>
          <w:szCs w:val="21"/>
          <w:u w:val="none" w:color="auto"/>
        </w:rPr>
        <w:t>基于浙政钉扫码登录和通讯录等组件功能，建设完成“海之矫”浙政钉PC和移动端应用，便于司法行政人员对涉海涉渔业务移动端上的管理，</w:t>
      </w:r>
      <w:r>
        <w:rPr>
          <w:rFonts w:hint="eastAsia" w:ascii="宋体" w:hAnsi="宋体" w:cs="仿宋"/>
          <w:color w:val="000000"/>
          <w:kern w:val="0"/>
          <w:szCs w:val="21"/>
          <w:u w:val="none" w:color="auto"/>
          <w:lang w:val="en-US" w:eastAsia="zh-CN"/>
        </w:rPr>
        <w:t>通过消息通知</w:t>
      </w:r>
      <w:r>
        <w:rPr>
          <w:rFonts w:hint="eastAsia" w:ascii="宋体" w:hAnsi="宋体" w:cs="仿宋"/>
          <w:color w:val="000000"/>
          <w:kern w:val="0"/>
          <w:szCs w:val="21"/>
          <w:u w:val="none" w:color="auto"/>
        </w:rPr>
        <w:t>及时处理相关审核与预警。</w:t>
      </w:r>
    </w:p>
    <w:p w14:paraId="41848ADD">
      <w:pPr>
        <w:spacing w:line="312" w:lineRule="auto"/>
        <w:ind w:firstLine="420" w:firstLineChars="200"/>
        <w:rPr>
          <w:rFonts w:hint="eastAsia" w:ascii="宋体" w:hAnsi="宋体" w:cs="仿宋"/>
          <w:color w:val="000000"/>
          <w:kern w:val="0"/>
          <w:szCs w:val="21"/>
          <w:u w:val="none" w:color="auto"/>
        </w:rPr>
      </w:pPr>
      <w:r>
        <w:rPr>
          <w:rFonts w:hint="eastAsia" w:ascii="宋体" w:hAnsi="宋体" w:cs="仿宋"/>
          <w:color w:val="000000"/>
          <w:kern w:val="0"/>
          <w:szCs w:val="21"/>
          <w:u w:val="none" w:color="auto"/>
          <w:lang w:val="en-US" w:eastAsia="zh-CN"/>
        </w:rPr>
        <w:t>3</w:t>
      </w:r>
      <w:r>
        <w:rPr>
          <w:rFonts w:hint="eastAsia" w:ascii="宋体" w:hAnsi="宋体" w:cs="仿宋"/>
          <w:color w:val="000000"/>
          <w:kern w:val="0"/>
          <w:szCs w:val="21"/>
          <w:u w:val="none" w:color="auto"/>
        </w:rPr>
        <w:t>.“海之矫”浙里办</w:t>
      </w:r>
    </w:p>
    <w:p w14:paraId="7C75E991">
      <w:pPr>
        <w:spacing w:line="312" w:lineRule="auto"/>
        <w:ind w:firstLine="420" w:firstLineChars="200"/>
        <w:rPr>
          <w:rFonts w:hint="eastAsia" w:ascii="宋体" w:hAnsi="宋体" w:cs="仿宋"/>
          <w:color w:val="auto"/>
          <w:kern w:val="0"/>
          <w:szCs w:val="21"/>
          <w:u w:val="none" w:color="auto"/>
        </w:rPr>
      </w:pPr>
      <w:r>
        <w:rPr>
          <w:rFonts w:hint="eastAsia" w:ascii="宋体" w:hAnsi="宋体" w:cs="仿宋"/>
          <w:color w:val="000000"/>
          <w:kern w:val="0"/>
          <w:szCs w:val="21"/>
          <w:u w:val="none" w:color="auto"/>
          <w:lang w:val="en-US" w:eastAsia="zh-CN"/>
        </w:rPr>
        <w:t>▲</w:t>
      </w:r>
      <w:r>
        <w:rPr>
          <w:rFonts w:hint="eastAsia" w:ascii="宋体" w:hAnsi="宋体" w:cs="仿宋"/>
          <w:color w:val="000000"/>
          <w:kern w:val="0"/>
          <w:szCs w:val="21"/>
          <w:u w:val="none" w:color="auto"/>
        </w:rPr>
        <w:t>在“海之矫”应用1.0建设内容基础上，新增视频学习、权益申诉、低保申报、就业广场内容，优化在线签到、上下船</w:t>
      </w:r>
      <w:r>
        <w:rPr>
          <w:rFonts w:hint="eastAsia" w:ascii="宋体" w:hAnsi="宋体" w:cs="仿宋"/>
          <w:color w:val="000000"/>
          <w:kern w:val="0"/>
          <w:szCs w:val="21"/>
          <w:u w:val="none" w:color="auto"/>
          <w:lang w:val="en-US" w:eastAsia="zh-CN"/>
        </w:rPr>
        <w:t>进离港申报等</w:t>
      </w:r>
      <w:r>
        <w:rPr>
          <w:rFonts w:hint="eastAsia" w:ascii="宋体" w:hAnsi="宋体" w:cs="仿宋"/>
          <w:color w:val="000000"/>
          <w:kern w:val="0"/>
          <w:szCs w:val="21"/>
          <w:u w:val="none" w:color="auto"/>
        </w:rPr>
        <w:t>功能，方便涉海涉渔社区矫正对象能及时完成各项事务</w:t>
      </w:r>
      <w:r>
        <w:rPr>
          <w:rFonts w:hint="eastAsia" w:ascii="宋体" w:hAnsi="宋体" w:cs="仿宋"/>
          <w:color w:val="auto"/>
          <w:kern w:val="0"/>
          <w:szCs w:val="21"/>
          <w:u w:val="none" w:color="auto"/>
        </w:rPr>
        <w:t>处理。</w:t>
      </w:r>
      <w:r>
        <w:rPr>
          <w:rFonts w:hint="eastAsia" w:ascii="宋体" w:hAnsi="宋体" w:cs="仿宋"/>
          <w:color w:val="auto"/>
          <w:kern w:val="0"/>
          <w:szCs w:val="21"/>
          <w:u w:val="none" w:color="auto"/>
          <w:lang w:eastAsia="zh-CN"/>
        </w:rPr>
        <w:t>（</w:t>
      </w:r>
      <w:r>
        <w:rPr>
          <w:rFonts w:hint="eastAsia" w:cs="Times New Roman"/>
          <w:color w:val="auto"/>
          <w:lang w:val="en-US" w:eastAsia="zh-CN"/>
        </w:rPr>
        <w:t>提供相关设计截图或功能实现详述）</w:t>
      </w:r>
    </w:p>
    <w:p w14:paraId="1E678E87">
      <w:pPr>
        <w:spacing w:line="312" w:lineRule="auto"/>
        <w:ind w:firstLine="420" w:firstLineChars="200"/>
        <w:rPr>
          <w:rFonts w:hint="eastAsia" w:ascii="宋体" w:hAnsi="宋体" w:cs="仿宋"/>
          <w:color w:val="auto"/>
          <w:kern w:val="0"/>
          <w:szCs w:val="21"/>
          <w:u w:val="none" w:color="auto"/>
        </w:rPr>
      </w:pPr>
      <w:r>
        <w:rPr>
          <w:rFonts w:hint="eastAsia" w:ascii="宋体" w:hAnsi="宋体" w:cs="仿宋"/>
          <w:color w:val="auto"/>
          <w:kern w:val="0"/>
          <w:szCs w:val="21"/>
          <w:u w:val="none" w:color="auto"/>
          <w:lang w:val="en-US" w:eastAsia="zh-CN"/>
        </w:rPr>
        <w:t>4</w:t>
      </w:r>
      <w:r>
        <w:rPr>
          <w:rFonts w:hint="eastAsia" w:ascii="宋体" w:hAnsi="宋体" w:cs="仿宋"/>
          <w:color w:val="auto"/>
          <w:kern w:val="0"/>
          <w:szCs w:val="21"/>
          <w:u w:val="none" w:color="auto"/>
        </w:rPr>
        <w:t>.日常监管</w:t>
      </w:r>
    </w:p>
    <w:p w14:paraId="26A5371B">
      <w:pPr>
        <w:spacing w:line="312" w:lineRule="auto"/>
        <w:ind w:firstLine="420" w:firstLineChars="200"/>
        <w:rPr>
          <w:rFonts w:hint="eastAsia" w:ascii="宋体" w:hAnsi="宋体" w:cs="仿宋"/>
          <w:color w:val="auto"/>
          <w:kern w:val="0"/>
          <w:szCs w:val="21"/>
          <w:u w:val="none" w:color="auto"/>
        </w:rPr>
      </w:pPr>
      <w:r>
        <w:rPr>
          <w:rFonts w:hint="eastAsia" w:ascii="宋体" w:hAnsi="宋体" w:cs="仿宋"/>
          <w:color w:val="auto"/>
          <w:kern w:val="0"/>
          <w:szCs w:val="21"/>
          <w:u w:val="none" w:color="auto"/>
        </w:rPr>
        <w:t>随着应用的建设深入，海上的突发状况也比较多，需要更多融合的手段来监管我们的涉海涉渔的矫正对象，则需要新增</w:t>
      </w:r>
      <w:r>
        <w:rPr>
          <w:rFonts w:hint="eastAsia" w:ascii="宋体" w:hAnsi="宋体" w:cs="仿宋"/>
          <w:color w:val="auto"/>
          <w:kern w:val="0"/>
          <w:szCs w:val="21"/>
          <w:u w:val="none" w:color="auto"/>
          <w:lang w:val="en-US" w:eastAsia="zh-CN"/>
        </w:rPr>
        <w:t>北斗定位服务、智能语音服务、</w:t>
      </w:r>
      <w:r>
        <w:rPr>
          <w:rFonts w:hint="eastAsia" w:ascii="宋体" w:hAnsi="宋体" w:cs="仿宋"/>
          <w:color w:val="auto"/>
          <w:kern w:val="0"/>
          <w:szCs w:val="21"/>
          <w:u w:val="none" w:color="auto"/>
        </w:rPr>
        <w:t>卫星电话核查</w:t>
      </w:r>
      <w:r>
        <w:rPr>
          <w:rFonts w:hint="eastAsia" w:ascii="宋体" w:hAnsi="宋体" w:cs="仿宋"/>
          <w:color w:val="auto"/>
          <w:kern w:val="0"/>
          <w:szCs w:val="21"/>
          <w:u w:val="none" w:color="auto"/>
          <w:lang w:val="en-US" w:eastAsia="zh-CN"/>
        </w:rPr>
        <w:t>等功能，</w:t>
      </w:r>
      <w:r>
        <w:rPr>
          <w:rFonts w:hint="eastAsia" w:ascii="宋体" w:hAnsi="宋体" w:cs="仿宋"/>
          <w:color w:val="auto"/>
          <w:kern w:val="0"/>
          <w:szCs w:val="21"/>
          <w:u w:val="none" w:color="auto"/>
        </w:rPr>
        <w:t>实现海上活动全过程监督。</w:t>
      </w:r>
    </w:p>
    <w:p w14:paraId="019B44E4">
      <w:pPr>
        <w:spacing w:line="312" w:lineRule="auto"/>
        <w:ind w:firstLine="420" w:firstLineChars="200"/>
        <w:rPr>
          <w:rFonts w:hint="eastAsia" w:ascii="宋体" w:hAnsi="宋体" w:cs="仿宋"/>
          <w:color w:val="auto"/>
          <w:kern w:val="0"/>
          <w:szCs w:val="21"/>
          <w:u w:val="none" w:color="auto"/>
        </w:rPr>
      </w:pPr>
      <w:r>
        <w:rPr>
          <w:rFonts w:hint="eastAsia" w:ascii="宋体" w:hAnsi="宋体" w:cs="仿宋"/>
          <w:color w:val="auto"/>
          <w:kern w:val="0"/>
          <w:szCs w:val="21"/>
          <w:u w:val="none" w:color="auto"/>
          <w:lang w:val="en-US" w:eastAsia="zh-CN"/>
        </w:rPr>
        <w:t>5.</w:t>
      </w:r>
      <w:r>
        <w:rPr>
          <w:rFonts w:hint="eastAsia" w:ascii="宋体" w:hAnsi="宋体" w:cs="仿宋"/>
          <w:color w:val="auto"/>
          <w:kern w:val="0"/>
          <w:szCs w:val="21"/>
          <w:u w:val="none" w:color="auto"/>
        </w:rPr>
        <w:t>警务处置</w:t>
      </w:r>
    </w:p>
    <w:p w14:paraId="6A6C9180">
      <w:pPr>
        <w:spacing w:line="312" w:lineRule="auto"/>
        <w:ind w:firstLine="420" w:firstLineChars="200"/>
        <w:rPr>
          <w:rFonts w:hint="eastAsia" w:ascii="宋体" w:hAnsi="宋体" w:cs="仿宋"/>
          <w:color w:val="auto"/>
          <w:kern w:val="0"/>
          <w:szCs w:val="21"/>
          <w:u w:val="none" w:color="auto"/>
        </w:rPr>
      </w:pPr>
      <w:r>
        <w:rPr>
          <w:rFonts w:hint="eastAsia" w:ascii="宋体" w:hAnsi="宋体" w:cs="仿宋"/>
          <w:color w:val="auto"/>
          <w:kern w:val="0"/>
          <w:szCs w:val="21"/>
          <w:u w:val="none" w:color="auto"/>
          <w:lang w:val="en-US" w:eastAsia="zh-CN"/>
        </w:rPr>
        <w:t>▲</w:t>
      </w:r>
      <w:r>
        <w:rPr>
          <w:rFonts w:hint="eastAsia" w:ascii="宋体" w:hAnsi="宋体" w:cs="仿宋"/>
          <w:color w:val="auto"/>
          <w:kern w:val="0"/>
          <w:szCs w:val="21"/>
          <w:u w:val="none" w:color="auto"/>
        </w:rPr>
        <w:t>与公安打通全量视频数据，通过AI建模分析比对社矫对象活动轨迹情况以及利用车船票信息及时掌握社矫对象活动情况，以便更加精准清晰的了解活动情况，给予风险提示预警。同时加强与海警之间的点对点传输通知功能。</w:t>
      </w:r>
      <w:r>
        <w:rPr>
          <w:rFonts w:hint="eastAsia" w:ascii="宋体" w:hAnsi="宋体" w:cs="仿宋"/>
          <w:color w:val="auto"/>
          <w:kern w:val="0"/>
          <w:szCs w:val="21"/>
          <w:u w:val="none" w:color="auto"/>
          <w:lang w:eastAsia="zh-CN"/>
        </w:rPr>
        <w:t>（</w:t>
      </w:r>
      <w:r>
        <w:rPr>
          <w:rFonts w:hint="eastAsia" w:cs="Times New Roman"/>
          <w:color w:val="auto"/>
          <w:lang w:val="en-US" w:eastAsia="zh-CN"/>
        </w:rPr>
        <w:t>提供相关设计截图或功能实现详述）</w:t>
      </w:r>
    </w:p>
    <w:p w14:paraId="10262642">
      <w:pPr>
        <w:spacing w:line="312" w:lineRule="auto"/>
        <w:ind w:firstLine="420" w:firstLineChars="200"/>
        <w:rPr>
          <w:rFonts w:hint="eastAsia" w:ascii="宋体" w:hAnsi="宋体" w:cs="仿宋"/>
          <w:color w:val="auto"/>
          <w:kern w:val="0"/>
          <w:szCs w:val="21"/>
          <w:u w:val="none" w:color="auto"/>
          <w:lang w:val="en-US" w:eastAsia="zh-CN"/>
        </w:rPr>
      </w:pPr>
      <w:r>
        <w:rPr>
          <w:rFonts w:hint="eastAsia" w:ascii="宋体" w:hAnsi="宋体" w:cs="仿宋"/>
          <w:color w:val="auto"/>
          <w:kern w:val="0"/>
          <w:szCs w:val="21"/>
          <w:u w:val="none" w:color="auto"/>
          <w:lang w:val="en-US" w:eastAsia="zh-CN"/>
        </w:rPr>
        <w:t>6.多跨协同</w:t>
      </w:r>
    </w:p>
    <w:p w14:paraId="67A5A08E">
      <w:pPr>
        <w:spacing w:line="312" w:lineRule="auto"/>
        <w:ind w:firstLine="420" w:firstLineChars="200"/>
        <w:rPr>
          <w:rFonts w:hint="eastAsia" w:ascii="宋体" w:hAnsi="宋体" w:cs="仿宋"/>
          <w:color w:val="auto"/>
          <w:kern w:val="0"/>
          <w:szCs w:val="21"/>
          <w:u w:val="none" w:color="auto"/>
          <w:lang w:val="en-US" w:eastAsia="zh-CN"/>
        </w:rPr>
      </w:pPr>
      <w:r>
        <w:rPr>
          <w:rFonts w:hint="eastAsia" w:ascii="宋体" w:hAnsi="宋体" w:cs="仿宋"/>
          <w:color w:val="auto"/>
          <w:kern w:val="0"/>
          <w:szCs w:val="21"/>
          <w:u w:val="none" w:color="auto"/>
          <w:lang w:val="en-US" w:eastAsia="zh-CN"/>
        </w:rPr>
        <w:t>▲在现有联合管控应用的模块上新增对接卫健委、民政局、人社局、市场监管局，获取社矫人员就医相关情况以便核查；实现数字化低保申报通道，在线核查低保数据实现社会救助；实现数字化劳动申诉、欠薪申请以及通过人才网自助为涉海涉渔社区矫正对象精准提供就业信息；以浙政钉或电脑端OA提醒方式推送市场监管所需的禁止令数据。</w:t>
      </w:r>
      <w:r>
        <w:rPr>
          <w:rFonts w:hint="eastAsia" w:ascii="宋体" w:hAnsi="宋体" w:cs="仿宋"/>
          <w:color w:val="auto"/>
          <w:kern w:val="0"/>
          <w:szCs w:val="21"/>
          <w:u w:val="none" w:color="auto"/>
          <w:lang w:eastAsia="zh-CN"/>
        </w:rPr>
        <w:t>（</w:t>
      </w:r>
      <w:r>
        <w:rPr>
          <w:rFonts w:hint="eastAsia" w:cs="Times New Roman"/>
          <w:color w:val="auto"/>
          <w:lang w:val="en-US" w:eastAsia="zh-CN"/>
        </w:rPr>
        <w:t>提供相关设计截图或功能实现详述）</w:t>
      </w:r>
    </w:p>
    <w:p w14:paraId="408F9460">
      <w:pPr>
        <w:spacing w:line="312" w:lineRule="auto"/>
        <w:ind w:firstLine="420" w:firstLineChars="200"/>
        <w:rPr>
          <w:rFonts w:hint="eastAsia" w:ascii="宋体" w:hAnsi="宋体" w:cs="仿宋"/>
          <w:color w:val="000000"/>
          <w:kern w:val="0"/>
          <w:szCs w:val="21"/>
          <w:u w:val="none" w:color="auto"/>
          <w:lang w:val="en-US" w:eastAsia="zh-CN"/>
        </w:rPr>
      </w:pPr>
      <w:r>
        <w:rPr>
          <w:rFonts w:hint="eastAsia" w:ascii="宋体" w:hAnsi="宋体" w:cs="仿宋"/>
          <w:color w:val="000000"/>
          <w:kern w:val="0"/>
          <w:szCs w:val="21"/>
          <w:u w:val="none" w:color="auto"/>
          <w:lang w:val="en-US" w:eastAsia="zh-CN"/>
        </w:rPr>
        <w:t>7.教育帮扶</w:t>
      </w:r>
    </w:p>
    <w:p w14:paraId="623AC49B">
      <w:pPr>
        <w:spacing w:line="312" w:lineRule="auto"/>
        <w:ind w:firstLine="420" w:firstLineChars="200"/>
        <w:rPr>
          <w:rFonts w:hint="eastAsia" w:ascii="宋体" w:hAnsi="宋体" w:cs="仿宋"/>
          <w:color w:val="000000"/>
          <w:kern w:val="0"/>
          <w:szCs w:val="21"/>
          <w:u w:val="none" w:color="auto"/>
          <w:lang w:val="en-US" w:eastAsia="zh-CN"/>
        </w:rPr>
      </w:pPr>
      <w:r>
        <w:rPr>
          <w:rFonts w:hint="eastAsia" w:ascii="宋体" w:hAnsi="宋体" w:cs="仿宋"/>
          <w:color w:val="000000"/>
          <w:kern w:val="0"/>
          <w:szCs w:val="21"/>
          <w:u w:val="none" w:color="auto"/>
          <w:lang w:val="en-US" w:eastAsia="zh-CN"/>
        </w:rPr>
        <w:t>新增个性矫正方案、志愿帮教、再犯罪风险评估、矫务公开等功能，能及时掌握社区矫正对象情况。</w:t>
      </w:r>
    </w:p>
    <w:p w14:paraId="75586143">
      <w:pPr>
        <w:spacing w:line="312" w:lineRule="auto"/>
        <w:ind w:firstLine="420" w:firstLineChars="200"/>
        <w:rPr>
          <w:rFonts w:hint="eastAsia" w:ascii="宋体" w:hAnsi="宋体" w:cs="仿宋"/>
          <w:color w:val="000000"/>
          <w:kern w:val="0"/>
          <w:szCs w:val="21"/>
          <w:u w:val="none" w:color="auto"/>
          <w:lang w:val="en-US" w:eastAsia="zh-CN"/>
        </w:rPr>
      </w:pPr>
      <w:r>
        <w:rPr>
          <w:rFonts w:hint="eastAsia" w:ascii="宋体" w:hAnsi="宋体" w:cs="仿宋"/>
          <w:color w:val="000000"/>
          <w:kern w:val="0"/>
          <w:szCs w:val="21"/>
          <w:u w:val="none" w:color="auto"/>
          <w:lang w:val="en-US" w:eastAsia="zh-CN"/>
        </w:rPr>
        <w:t>8.涉海涉渔社区矫正数据中心（虚拟中心）</w:t>
      </w:r>
    </w:p>
    <w:p w14:paraId="3EBD8DE7">
      <w:pPr>
        <w:spacing w:line="312" w:lineRule="auto"/>
        <w:ind w:firstLine="420" w:firstLineChars="200"/>
        <w:rPr>
          <w:rFonts w:hint="eastAsia" w:ascii="宋体" w:hAnsi="宋体" w:cs="仿宋"/>
          <w:color w:val="000000"/>
          <w:kern w:val="0"/>
          <w:szCs w:val="21"/>
          <w:u w:val="none" w:color="auto"/>
          <w:lang w:val="en-US" w:eastAsia="zh-CN"/>
        </w:rPr>
      </w:pPr>
      <w:r>
        <w:rPr>
          <w:rFonts w:hint="eastAsia" w:ascii="宋体" w:hAnsi="宋体" w:cs="仿宋"/>
          <w:color w:val="000000"/>
          <w:kern w:val="0"/>
          <w:szCs w:val="21"/>
          <w:u w:val="none" w:color="auto"/>
          <w:lang w:val="en-US" w:eastAsia="zh-CN"/>
        </w:rPr>
        <w:t>提供涉海涉渔社区矫正数据交换服务，对数据进行清洗、处理形成涉海涉渔社区矫正共享交换数据，保障各地之间的数据共享互通，提升项目应用的实战时效性。</w:t>
      </w:r>
    </w:p>
    <w:p w14:paraId="2A93DFE0">
      <w:pPr>
        <w:spacing w:line="312" w:lineRule="auto"/>
        <w:ind w:firstLine="420" w:firstLineChars="200"/>
        <w:rPr>
          <w:rFonts w:hint="eastAsia" w:ascii="宋体" w:hAnsi="宋体" w:cs="仿宋"/>
          <w:color w:val="000000"/>
          <w:kern w:val="0"/>
          <w:szCs w:val="21"/>
          <w:u w:val="none" w:color="auto"/>
        </w:rPr>
      </w:pPr>
      <w:r>
        <w:rPr>
          <w:rFonts w:hint="eastAsia" w:ascii="宋体" w:hAnsi="宋体" w:cs="仿宋"/>
          <w:color w:val="000000"/>
          <w:kern w:val="0"/>
          <w:szCs w:val="21"/>
          <w:u w:val="none" w:color="auto"/>
          <w:lang w:val="en-US" w:eastAsia="zh-CN"/>
        </w:rPr>
        <w:t>9.</w:t>
      </w:r>
      <w:r>
        <w:rPr>
          <w:rFonts w:hint="eastAsia" w:ascii="宋体" w:hAnsi="宋体" w:cs="仿宋"/>
          <w:color w:val="000000"/>
          <w:kern w:val="0"/>
          <w:szCs w:val="21"/>
          <w:u w:val="none" w:color="auto"/>
        </w:rPr>
        <w:t>部分</w:t>
      </w:r>
      <w:r>
        <w:rPr>
          <w:rFonts w:hint="eastAsia" w:ascii="宋体" w:hAnsi="宋体" w:cs="仿宋"/>
          <w:color w:val="000000"/>
          <w:kern w:val="0"/>
          <w:szCs w:val="21"/>
          <w:u w:val="none" w:color="auto"/>
          <w:lang w:val="en-US" w:eastAsia="zh-CN"/>
        </w:rPr>
        <w:t>新增</w:t>
      </w:r>
      <w:r>
        <w:rPr>
          <w:rFonts w:hint="eastAsia" w:ascii="宋体" w:hAnsi="宋体" w:cs="仿宋"/>
          <w:color w:val="000000"/>
          <w:kern w:val="0"/>
          <w:szCs w:val="21"/>
          <w:u w:val="none" w:color="auto"/>
        </w:rPr>
        <w:t>代码检测及等保复测</w:t>
      </w:r>
    </w:p>
    <w:p w14:paraId="47F82C8B">
      <w:pPr>
        <w:spacing w:line="312" w:lineRule="auto"/>
        <w:ind w:firstLine="420" w:firstLineChars="200"/>
        <w:rPr>
          <w:rFonts w:hint="eastAsia" w:ascii="宋体" w:hAnsi="宋体"/>
          <w:b/>
          <w:bCs/>
          <w:color w:val="FF0000"/>
          <w:szCs w:val="21"/>
          <w:u w:val="none" w:color="auto"/>
        </w:rPr>
      </w:pPr>
      <w:r>
        <w:rPr>
          <w:rFonts w:hint="eastAsia" w:ascii="宋体" w:hAnsi="宋体" w:cs="仿宋"/>
          <w:color w:val="000000"/>
          <w:kern w:val="0"/>
          <w:szCs w:val="21"/>
          <w:u w:val="none" w:color="auto"/>
          <w:lang w:val="en-US" w:eastAsia="zh-CN"/>
        </w:rPr>
        <w:t>对舟山市涉海涉渔社区矫正对象联合管控系统2.0新增部分内容进行代码的检测及二级等保的复测</w:t>
      </w:r>
      <w:r>
        <w:rPr>
          <w:rFonts w:hint="eastAsia" w:ascii="宋体" w:hAnsi="宋体" w:cs="仿宋"/>
          <w:color w:val="000000"/>
          <w:kern w:val="0"/>
          <w:szCs w:val="21"/>
          <w:u w:val="none" w:color="auto"/>
        </w:rPr>
        <w:t>。</w:t>
      </w:r>
    </w:p>
    <w:p w14:paraId="5492E20B">
      <w:pPr>
        <w:adjustRightInd w:val="0"/>
        <w:snapToGrid w:val="0"/>
        <w:spacing w:line="360" w:lineRule="auto"/>
        <w:ind w:firstLine="422" w:firstLineChars="200"/>
        <w:rPr>
          <w:rFonts w:hint="eastAsia" w:ascii="宋体" w:hAnsi="宋体"/>
          <w:b/>
          <w:bCs/>
          <w:color w:val="FF0000"/>
          <w:szCs w:val="21"/>
          <w:u w:val="none" w:color="auto"/>
        </w:rPr>
      </w:pPr>
    </w:p>
    <w:p w14:paraId="629438F6">
      <w:pPr>
        <w:spacing w:line="312" w:lineRule="auto"/>
        <w:ind w:firstLine="420"/>
        <w:rPr>
          <w:rFonts w:ascii="宋体" w:hAnsi="宋体" w:cs="宋体"/>
          <w:color w:val="auto"/>
          <w:kern w:val="0"/>
          <w:szCs w:val="21"/>
          <w:u w:val="none" w:color="auto"/>
        </w:rPr>
      </w:pPr>
      <w:r>
        <w:rPr>
          <w:rFonts w:hint="eastAsia" w:ascii="宋体" w:hAnsi="宋体" w:cs="宋体"/>
          <w:color w:val="auto"/>
          <w:kern w:val="0"/>
          <w:szCs w:val="21"/>
          <w:u w:val="none" w:color="auto"/>
        </w:rPr>
        <w:t>提供DEMO演示或已有案例的类似软件功能演示的方式进行演示，演示文件可以是视频或PPT，演示时间不超过15分钟。</w:t>
      </w:r>
    </w:p>
    <w:p w14:paraId="0155BF6E">
      <w:pPr>
        <w:spacing w:line="312" w:lineRule="auto"/>
        <w:ind w:firstLine="420" w:firstLineChars="200"/>
        <w:rPr>
          <w:rFonts w:hint="eastAsia" w:ascii="宋体" w:hAnsi="宋体" w:cs="宋体"/>
          <w:color w:val="auto"/>
          <w:kern w:val="0"/>
          <w:szCs w:val="21"/>
          <w:u w:val="none" w:color="auto"/>
        </w:rPr>
      </w:pPr>
      <w:r>
        <w:rPr>
          <w:rFonts w:hint="eastAsia" w:ascii="宋体" w:hAnsi="宋体" w:cs="宋体"/>
          <w:color w:val="auto"/>
          <w:kern w:val="0"/>
          <w:szCs w:val="21"/>
          <w:u w:val="none" w:color="auto"/>
        </w:rPr>
        <w:t>线上演示：</w:t>
      </w:r>
    </w:p>
    <w:p w14:paraId="3360FB7E">
      <w:pPr>
        <w:spacing w:line="312" w:lineRule="auto"/>
        <w:ind w:firstLine="420" w:firstLineChars="200"/>
        <w:rPr>
          <w:rFonts w:ascii="宋体" w:hAnsi="宋体" w:cs="宋体"/>
          <w:color w:val="auto"/>
          <w:kern w:val="0"/>
          <w:szCs w:val="21"/>
          <w:u w:val="none" w:color="auto"/>
        </w:rPr>
      </w:pPr>
      <w:r>
        <w:rPr>
          <w:rFonts w:hint="eastAsia" w:ascii="宋体" w:hAnsi="宋体" w:cs="宋体"/>
          <w:color w:val="auto"/>
          <w:kern w:val="0"/>
          <w:szCs w:val="21"/>
          <w:u w:val="none" w:color="auto"/>
        </w:rPr>
        <w:t>①本项目线上演示通过“政采云视频讲标系统”进行，供应商登录政采云系统-----进入开标大厅---进入本项目进行操作。政采云视频讲标系统在线上视频演示时需要供应商电脑配置有摄像头、音箱和必要的网络带宽（浏览器建议用谷歌浏览器，网络带宽不少于50兆，请勿用无线，以免出现卡顿现象。摄像头建议用中档及以上摄像头，以利于演示时的画面质量；音箱、耳机、话筒请提前予以调试，以避免演示时出现没有声音现象）。“政采云视频讲标系统”评审委员会可以看见和听见供应商的画面和声音，供应商只能听见评审委员会声音，看不见评审委员会的画面。</w:t>
      </w:r>
    </w:p>
    <w:p w14:paraId="097A59C6">
      <w:pPr>
        <w:spacing w:line="312" w:lineRule="auto"/>
        <w:ind w:firstLine="420" w:firstLineChars="200"/>
        <w:rPr>
          <w:rFonts w:ascii="宋体" w:hAnsi="宋体" w:cs="宋体"/>
          <w:b/>
          <w:bCs/>
          <w:color w:val="auto"/>
          <w:kern w:val="0"/>
          <w:sz w:val="24"/>
          <w:u w:val="none" w:color="auto"/>
        </w:rPr>
      </w:pPr>
      <w:r>
        <w:rPr>
          <w:rFonts w:hint="eastAsia" w:ascii="宋体" w:hAnsi="宋体" w:cs="宋体"/>
          <w:color w:val="auto"/>
          <w:kern w:val="0"/>
          <w:szCs w:val="21"/>
          <w:u w:val="none" w:color="auto"/>
        </w:rPr>
        <w:t>②政采云视频讲标系统目前不支持手机端。线上演示时供应商通过视频方式与评审委员会进行沟通，请供应商提前予以模拟演示准备，以免开标时由于各种情况而造成线上视频演示不顺畅。</w:t>
      </w:r>
    </w:p>
    <w:p w14:paraId="7ECDC6B4">
      <w:pPr>
        <w:spacing w:line="312" w:lineRule="auto"/>
        <w:ind w:firstLine="420" w:firstLineChars="200"/>
        <w:rPr>
          <w:rFonts w:hint="eastAsia" w:ascii="宋体" w:hAnsi="宋体" w:cs="宋体"/>
          <w:kern w:val="0"/>
          <w:szCs w:val="21"/>
          <w:u w:val="none" w:color="auto"/>
        </w:rPr>
      </w:pPr>
    </w:p>
    <w:p w14:paraId="322EF6F4">
      <w:pPr>
        <w:tabs>
          <w:tab w:val="left" w:pos="-113"/>
        </w:tabs>
        <w:spacing w:line="312" w:lineRule="auto"/>
        <w:outlineLvl w:val="0"/>
        <w:rPr>
          <w:rFonts w:hint="eastAsia" w:ascii="宋体" w:hAnsi="宋体" w:cs="仿宋"/>
          <w:b/>
          <w:bCs/>
          <w:color w:val="000000"/>
          <w:kern w:val="0"/>
          <w:sz w:val="24"/>
          <w:u w:val="none" w:color="auto"/>
        </w:rPr>
      </w:pPr>
      <w:r>
        <w:rPr>
          <w:rFonts w:hint="eastAsia" w:ascii="宋体" w:hAnsi="宋体" w:cs="仿宋"/>
          <w:b/>
          <w:bCs/>
          <w:color w:val="000000"/>
          <w:kern w:val="0"/>
          <w:sz w:val="24"/>
          <w:u w:val="none" w:color="auto"/>
        </w:rPr>
        <w:t xml:space="preserve">四、项目实施要求 </w:t>
      </w:r>
    </w:p>
    <w:p w14:paraId="5382E64D">
      <w:pPr>
        <w:spacing w:line="312" w:lineRule="auto"/>
        <w:ind w:firstLine="420" w:firstLineChars="200"/>
        <w:rPr>
          <w:rFonts w:hint="eastAsia" w:ascii="宋体" w:hAnsi="宋体" w:eastAsia="宋体" w:cs="仿宋"/>
          <w:color w:val="000000"/>
          <w:kern w:val="0"/>
          <w:szCs w:val="21"/>
          <w:u w:val="none" w:color="auto"/>
        </w:rPr>
      </w:pPr>
      <w:r>
        <w:rPr>
          <w:rFonts w:hint="eastAsia" w:ascii="宋体" w:hAnsi="宋体" w:eastAsia="宋体" w:cs="仿宋"/>
          <w:color w:val="000000"/>
          <w:kern w:val="0"/>
          <w:szCs w:val="21"/>
          <w:u w:val="none" w:color="auto"/>
        </w:rPr>
        <w:t>1.实施工期</w:t>
      </w:r>
      <w:r>
        <w:rPr>
          <w:rFonts w:hint="eastAsia" w:ascii="宋体" w:hAnsi="宋体" w:eastAsia="宋体" w:cs="仿宋"/>
          <w:color w:val="000000"/>
          <w:kern w:val="0"/>
          <w:szCs w:val="21"/>
          <w:u w:val="none" w:color="auto"/>
          <w:lang w:eastAsia="zh-CN"/>
        </w:rPr>
        <w:t>：</w:t>
      </w:r>
      <w:r>
        <w:rPr>
          <w:rFonts w:hint="eastAsia" w:ascii="宋体" w:hAnsi="宋体" w:eastAsia="宋体" w:cs="仿宋"/>
          <w:color w:val="000000"/>
          <w:kern w:val="0"/>
          <w:szCs w:val="21"/>
          <w:u w:val="none" w:color="auto"/>
        </w:rPr>
        <w:t>项目须在合同签订后</w:t>
      </w:r>
      <w:r>
        <w:rPr>
          <w:rFonts w:hint="eastAsia" w:ascii="宋体" w:hAnsi="宋体" w:eastAsia="宋体" w:cs="仿宋"/>
          <w:color w:val="000000"/>
          <w:kern w:val="0"/>
          <w:szCs w:val="21"/>
          <w:u w:val="none" w:color="auto"/>
          <w:lang w:val="en-US" w:eastAsia="zh-CN"/>
        </w:rPr>
        <w:t>3</w:t>
      </w:r>
      <w:r>
        <w:rPr>
          <w:rFonts w:hint="eastAsia" w:ascii="宋体" w:hAnsi="宋体" w:eastAsia="宋体" w:cs="仿宋"/>
          <w:color w:val="000000"/>
          <w:kern w:val="0"/>
          <w:szCs w:val="21"/>
          <w:u w:val="none" w:color="auto"/>
        </w:rPr>
        <w:t>个月内交付使用，投标人需提供详细项目进度计划。</w:t>
      </w:r>
    </w:p>
    <w:p w14:paraId="6DB9537A">
      <w:pPr>
        <w:spacing w:line="312" w:lineRule="auto"/>
        <w:ind w:firstLine="420" w:firstLineChars="200"/>
        <w:rPr>
          <w:rFonts w:hint="eastAsia" w:ascii="宋体" w:hAnsi="宋体" w:eastAsia="宋体" w:cs="仿宋"/>
          <w:color w:val="000000"/>
          <w:kern w:val="0"/>
          <w:szCs w:val="21"/>
          <w:u w:val="none" w:color="auto"/>
        </w:rPr>
      </w:pPr>
      <w:r>
        <w:rPr>
          <w:rFonts w:hint="eastAsia" w:ascii="宋体" w:hAnsi="宋体" w:eastAsia="宋体" w:cs="仿宋"/>
          <w:color w:val="000000"/>
          <w:kern w:val="0"/>
          <w:szCs w:val="21"/>
          <w:u w:val="none" w:color="auto"/>
        </w:rPr>
        <w:t>2.实施地点：采购</w:t>
      </w:r>
      <w:r>
        <w:rPr>
          <w:rFonts w:hint="eastAsia" w:ascii="宋体" w:hAnsi="宋体" w:eastAsia="宋体" w:cs="仿宋"/>
          <w:color w:val="000000"/>
          <w:kern w:val="0"/>
          <w:szCs w:val="21"/>
          <w:u w:val="none" w:color="auto"/>
          <w:lang w:val="en-US" w:eastAsia="zh-CN"/>
        </w:rPr>
        <w:t>人</w:t>
      </w:r>
      <w:r>
        <w:rPr>
          <w:rFonts w:hint="eastAsia" w:ascii="宋体" w:hAnsi="宋体" w:eastAsia="宋体" w:cs="仿宋"/>
          <w:color w:val="000000"/>
          <w:kern w:val="0"/>
          <w:szCs w:val="21"/>
          <w:u w:val="none" w:color="auto"/>
        </w:rPr>
        <w:t>指定地点。</w:t>
      </w:r>
    </w:p>
    <w:p w14:paraId="1FBD36D1">
      <w:pPr>
        <w:spacing w:line="312" w:lineRule="auto"/>
        <w:ind w:firstLine="420" w:firstLineChars="200"/>
        <w:rPr>
          <w:rFonts w:hint="eastAsia" w:ascii="宋体" w:hAnsi="宋体" w:eastAsia="宋体" w:cs="仿宋"/>
          <w:color w:val="000000"/>
          <w:kern w:val="0"/>
          <w:szCs w:val="21"/>
          <w:u w:val="none" w:color="auto"/>
        </w:rPr>
      </w:pPr>
      <w:r>
        <w:rPr>
          <w:rFonts w:hint="eastAsia" w:ascii="宋体" w:hAnsi="宋体" w:eastAsia="宋体" w:cs="仿宋"/>
          <w:color w:val="000000"/>
          <w:kern w:val="0"/>
          <w:szCs w:val="21"/>
          <w:u w:val="none" w:color="auto"/>
        </w:rPr>
        <w:t>3.项目组织管理要求</w:t>
      </w:r>
    </w:p>
    <w:p w14:paraId="329CF594">
      <w:pPr>
        <w:spacing w:line="312" w:lineRule="auto"/>
        <w:ind w:firstLine="420" w:firstLineChars="200"/>
        <w:rPr>
          <w:rFonts w:hint="eastAsia" w:ascii="宋体" w:hAnsi="宋体" w:eastAsia="宋体" w:cs="仿宋"/>
          <w:color w:val="000000"/>
          <w:kern w:val="0"/>
          <w:szCs w:val="21"/>
          <w:u w:val="none" w:color="auto"/>
        </w:rPr>
      </w:pPr>
      <w:r>
        <w:rPr>
          <w:rFonts w:hint="eastAsia" w:ascii="宋体" w:hAnsi="宋体" w:eastAsia="宋体" w:cs="仿宋"/>
          <w:color w:val="000000"/>
          <w:kern w:val="0"/>
          <w:szCs w:val="21"/>
          <w:u w:val="none" w:color="auto"/>
        </w:rPr>
        <w:t>（1）项目管理要求</w:t>
      </w:r>
    </w:p>
    <w:p w14:paraId="72265A9E">
      <w:pPr>
        <w:spacing w:line="312" w:lineRule="auto"/>
        <w:ind w:firstLine="420" w:firstLineChars="200"/>
        <w:rPr>
          <w:rFonts w:hint="eastAsia" w:ascii="宋体" w:hAnsi="宋体" w:eastAsia="宋体" w:cs="仿宋"/>
          <w:color w:val="000000"/>
          <w:kern w:val="0"/>
          <w:szCs w:val="21"/>
          <w:u w:val="none" w:color="auto"/>
        </w:rPr>
      </w:pPr>
      <w:r>
        <w:rPr>
          <w:rFonts w:hint="eastAsia" w:ascii="宋体" w:hAnsi="宋体" w:eastAsia="宋体" w:cs="仿宋"/>
          <w:color w:val="000000"/>
          <w:kern w:val="0"/>
          <w:szCs w:val="21"/>
          <w:u w:val="none" w:color="auto"/>
        </w:rPr>
        <w:t>投标人必须明确陈述应用系统开发的组织与管理结构，包括下述内容：对本次项目管理的规划、调研、实施、培训等安排；准确列出项目的进度安排，将工作分解量化，注明不同阶段投入的人力情况并提供项目经理和技术负责人的详细情况说明（含技术专长、组织／开发项目的经历和业绩）。</w:t>
      </w:r>
    </w:p>
    <w:p w14:paraId="0BDF5B07">
      <w:pPr>
        <w:spacing w:line="312" w:lineRule="auto"/>
        <w:ind w:firstLine="420" w:firstLineChars="200"/>
        <w:rPr>
          <w:rFonts w:hint="eastAsia" w:ascii="宋体" w:hAnsi="宋体" w:eastAsia="宋体" w:cs="仿宋"/>
          <w:color w:val="000000"/>
          <w:kern w:val="0"/>
          <w:szCs w:val="21"/>
          <w:u w:val="none" w:color="auto"/>
        </w:rPr>
      </w:pPr>
      <w:r>
        <w:rPr>
          <w:rFonts w:hint="eastAsia" w:ascii="宋体" w:hAnsi="宋体" w:eastAsia="宋体" w:cs="仿宋"/>
          <w:color w:val="000000"/>
          <w:kern w:val="0"/>
          <w:szCs w:val="21"/>
          <w:u w:val="none" w:color="auto"/>
        </w:rPr>
        <w:t>投标人要提高整个系统设计、开发、实施、管理的工具化程度。尽可能提前完成开发工作，留出充裕的测试时间。</w:t>
      </w:r>
    </w:p>
    <w:p w14:paraId="0B52150C">
      <w:pPr>
        <w:spacing w:line="312" w:lineRule="auto"/>
        <w:ind w:firstLine="420" w:firstLineChars="200"/>
        <w:rPr>
          <w:rFonts w:hint="eastAsia" w:ascii="宋体" w:hAnsi="宋体" w:eastAsia="宋体" w:cs="仿宋"/>
          <w:color w:val="000000"/>
          <w:kern w:val="0"/>
          <w:szCs w:val="21"/>
          <w:u w:val="none" w:color="auto"/>
        </w:rPr>
      </w:pPr>
      <w:r>
        <w:rPr>
          <w:rFonts w:hint="eastAsia" w:ascii="宋体" w:hAnsi="宋体" w:eastAsia="宋体" w:cs="仿宋"/>
          <w:color w:val="000000"/>
          <w:kern w:val="0"/>
          <w:szCs w:val="21"/>
          <w:u w:val="none" w:color="auto"/>
        </w:rPr>
        <w:t>（2）项目测试要求</w:t>
      </w:r>
    </w:p>
    <w:p w14:paraId="142E3022">
      <w:pPr>
        <w:spacing w:line="312" w:lineRule="auto"/>
        <w:ind w:firstLine="420" w:firstLineChars="200"/>
        <w:rPr>
          <w:rFonts w:hint="eastAsia" w:ascii="宋体" w:hAnsi="宋体" w:eastAsia="宋体" w:cs="仿宋"/>
          <w:color w:val="000000"/>
          <w:kern w:val="0"/>
          <w:szCs w:val="21"/>
          <w:u w:val="none" w:color="auto"/>
        </w:rPr>
      </w:pPr>
      <w:r>
        <w:rPr>
          <w:rFonts w:hint="eastAsia" w:ascii="宋体" w:hAnsi="宋体" w:eastAsia="宋体" w:cs="仿宋"/>
          <w:color w:val="000000"/>
          <w:kern w:val="0"/>
          <w:szCs w:val="21"/>
          <w:u w:val="none" w:color="auto"/>
        </w:rPr>
        <w:t>在实施过程中必须制定系统的整体测试方案，保证各系统联接正确，数据传送正常。测试方案要明确测试关键点，分单元测试、边缘测试、整体测试等。测试内容必须包括功能要求、可靠性、安全性、可扩充性、可维护性、平台移植性、整体性能、与其他平台接口等。</w:t>
      </w:r>
    </w:p>
    <w:p w14:paraId="49946E9B">
      <w:pPr>
        <w:spacing w:line="312" w:lineRule="auto"/>
        <w:ind w:firstLine="420" w:firstLineChars="200"/>
        <w:rPr>
          <w:rFonts w:hint="eastAsia" w:ascii="宋体" w:hAnsi="宋体" w:eastAsia="宋体" w:cs="仿宋"/>
          <w:color w:val="000000"/>
          <w:kern w:val="0"/>
          <w:szCs w:val="21"/>
          <w:u w:val="none" w:color="auto"/>
        </w:rPr>
      </w:pPr>
      <w:r>
        <w:rPr>
          <w:rFonts w:hint="eastAsia" w:ascii="宋体" w:hAnsi="宋体" w:eastAsia="宋体" w:cs="仿宋"/>
          <w:color w:val="000000"/>
          <w:kern w:val="0"/>
          <w:szCs w:val="21"/>
          <w:u w:val="none" w:color="auto"/>
        </w:rPr>
        <w:t>（3）项目验收要求</w:t>
      </w:r>
    </w:p>
    <w:p w14:paraId="46537A80">
      <w:pPr>
        <w:spacing w:line="312" w:lineRule="auto"/>
        <w:ind w:firstLine="420" w:firstLineChars="200"/>
        <w:rPr>
          <w:rFonts w:hint="eastAsia" w:ascii="宋体" w:hAnsi="宋体" w:eastAsia="宋体" w:cs="仿宋"/>
          <w:color w:val="000000"/>
          <w:kern w:val="0"/>
          <w:szCs w:val="21"/>
          <w:u w:val="none" w:color="auto"/>
        </w:rPr>
      </w:pPr>
      <w:r>
        <w:rPr>
          <w:rFonts w:hint="eastAsia" w:ascii="宋体" w:hAnsi="宋体" w:eastAsia="宋体" w:cs="仿宋"/>
          <w:color w:val="000000"/>
          <w:kern w:val="0"/>
          <w:szCs w:val="21"/>
          <w:u w:val="none" w:color="auto"/>
        </w:rPr>
        <w:t>采购人根据采购文件和投标人提供的采购响应文件及投标人和采购人签订的采购合同为标准进行验收。</w:t>
      </w:r>
    </w:p>
    <w:p w14:paraId="6C892799">
      <w:pPr>
        <w:spacing w:line="312" w:lineRule="auto"/>
        <w:ind w:firstLine="420" w:firstLineChars="200"/>
        <w:rPr>
          <w:rFonts w:hint="eastAsia" w:ascii="宋体" w:hAnsi="宋体" w:eastAsia="宋体" w:cs="仿宋"/>
          <w:color w:val="000000"/>
          <w:kern w:val="0"/>
          <w:szCs w:val="21"/>
          <w:u w:val="none" w:color="auto"/>
        </w:rPr>
      </w:pPr>
      <w:r>
        <w:rPr>
          <w:rFonts w:hint="eastAsia" w:ascii="宋体" w:hAnsi="宋体" w:eastAsia="宋体" w:cs="仿宋"/>
          <w:color w:val="000000"/>
          <w:kern w:val="0"/>
          <w:szCs w:val="21"/>
          <w:u w:val="none" w:color="auto"/>
        </w:rPr>
        <w:t>（4）培训承诺</w:t>
      </w:r>
    </w:p>
    <w:p w14:paraId="3C2360A5">
      <w:pPr>
        <w:spacing w:line="312" w:lineRule="auto"/>
        <w:ind w:firstLine="420" w:firstLineChars="200"/>
        <w:rPr>
          <w:rFonts w:hint="eastAsia" w:ascii="宋体" w:hAnsi="宋体" w:cs="仿宋"/>
          <w:color w:val="auto"/>
          <w:kern w:val="0"/>
          <w:szCs w:val="21"/>
          <w:u w:val="none" w:color="auto"/>
        </w:rPr>
      </w:pPr>
      <w:r>
        <w:rPr>
          <w:rFonts w:hint="eastAsia" w:ascii="宋体" w:hAnsi="宋体" w:eastAsia="宋体" w:cs="仿宋"/>
          <w:color w:val="000000"/>
          <w:kern w:val="0"/>
          <w:szCs w:val="21"/>
          <w:u w:val="none" w:color="auto"/>
        </w:rPr>
        <w:t>投标人技术培训及相关系统的基础培训，内容包括软件安装调试及初始化、使用等的基本操作培训。投标人须制定出详细完整的培训方案，包括培训的具体内容、培训方式（现场培训或集中培训）、人数、日程安排、资料、培训费等。应能使采购人相关人员独立操作、维护、管理，确保系统能正常安全运</w:t>
      </w:r>
      <w:r>
        <w:rPr>
          <w:rFonts w:hint="eastAsia" w:ascii="宋体" w:hAnsi="宋体" w:eastAsia="宋体" w:cs="仿宋"/>
          <w:color w:val="000000"/>
          <w:kern w:val="0"/>
          <w:szCs w:val="21"/>
          <w:u w:val="none" w:color="auto"/>
          <w:lang w:val="en-US" w:eastAsia="zh-CN"/>
        </w:rPr>
        <w:t>行</w:t>
      </w:r>
      <w:r>
        <w:rPr>
          <w:rFonts w:hint="eastAsia" w:ascii="宋体" w:hAnsi="宋体" w:cs="仿宋"/>
          <w:color w:val="auto"/>
          <w:kern w:val="0"/>
          <w:szCs w:val="21"/>
          <w:u w:val="none" w:color="auto"/>
        </w:rPr>
        <w:t>。</w:t>
      </w:r>
    </w:p>
    <w:p w14:paraId="1EFEEB82">
      <w:pPr>
        <w:tabs>
          <w:tab w:val="left" w:pos="-113"/>
        </w:tabs>
        <w:spacing w:line="312" w:lineRule="auto"/>
        <w:outlineLvl w:val="0"/>
        <w:rPr>
          <w:rFonts w:hint="eastAsia" w:ascii="宋体" w:hAnsi="宋体" w:cs="仿宋"/>
          <w:b/>
          <w:bCs/>
          <w:color w:val="000000"/>
          <w:kern w:val="0"/>
          <w:sz w:val="24"/>
          <w:u w:val="none" w:color="auto"/>
        </w:rPr>
      </w:pPr>
    </w:p>
    <w:p w14:paraId="40666EF1">
      <w:pPr>
        <w:tabs>
          <w:tab w:val="left" w:pos="-113"/>
        </w:tabs>
        <w:spacing w:line="312" w:lineRule="auto"/>
        <w:outlineLvl w:val="0"/>
        <w:rPr>
          <w:rFonts w:hint="eastAsia" w:ascii="宋体" w:hAnsi="宋体" w:cs="仿宋"/>
          <w:b/>
          <w:bCs/>
          <w:color w:val="000000"/>
          <w:kern w:val="44"/>
          <w:sz w:val="24"/>
          <w:u w:val="none" w:color="auto"/>
        </w:rPr>
      </w:pPr>
      <w:r>
        <w:rPr>
          <w:rFonts w:hint="eastAsia" w:ascii="宋体" w:hAnsi="宋体" w:cs="仿宋"/>
          <w:b/>
          <w:bCs/>
          <w:color w:val="000000"/>
          <w:kern w:val="0"/>
          <w:sz w:val="24"/>
          <w:u w:val="none" w:color="auto"/>
        </w:rPr>
        <w:t>五</w:t>
      </w:r>
      <w:r>
        <w:rPr>
          <w:rFonts w:hint="eastAsia" w:ascii="宋体" w:hAnsi="宋体" w:cs="仿宋"/>
          <w:b/>
          <w:bCs/>
          <w:color w:val="000000"/>
          <w:kern w:val="44"/>
          <w:sz w:val="24"/>
          <w:u w:val="none" w:color="auto"/>
        </w:rPr>
        <w:t>、售后服务要求</w:t>
      </w:r>
    </w:p>
    <w:p w14:paraId="6682F470">
      <w:pPr>
        <w:spacing w:line="312" w:lineRule="auto"/>
        <w:ind w:firstLine="420" w:firstLineChars="200"/>
        <w:rPr>
          <w:rFonts w:hint="eastAsia" w:ascii="宋体" w:hAnsi="宋体" w:cs="宋体"/>
          <w:kern w:val="0"/>
          <w:szCs w:val="21"/>
          <w:u w:val="none" w:color="auto"/>
        </w:rPr>
      </w:pPr>
      <w:bookmarkStart w:id="1" w:name="5.1项目考核方式"/>
      <w:bookmarkEnd w:id="1"/>
      <w:r>
        <w:rPr>
          <w:rFonts w:hint="eastAsia" w:ascii="宋体" w:hAnsi="宋体" w:cs="仿宋"/>
          <w:color w:val="000000"/>
          <w:kern w:val="0"/>
          <w:szCs w:val="21"/>
          <w:u w:val="none" w:color="auto"/>
        </w:rPr>
        <w:t>自项目验收之日起，针对本项目提供1年免费售后技术服务。服务期内，服务内容包括网站错误修复、产品性能优化、产品BUG排除、宕机处理等，服务方式包括日常相应服务、远程在线解答、技术诊断、电话回访、必要时现场问题处理等。</w:t>
      </w:r>
    </w:p>
    <w:p w14:paraId="7FA5AC92">
      <w:pPr>
        <w:spacing w:line="312" w:lineRule="auto"/>
        <w:rPr>
          <w:rFonts w:hint="eastAsia" w:ascii="宋体" w:hAnsi="宋体"/>
          <w:b/>
          <w:bCs/>
          <w:sz w:val="24"/>
          <w:u w:val="none" w:color="auto"/>
          <w:lang w:val="en-US" w:eastAsia="zh-CN"/>
        </w:rPr>
      </w:pPr>
    </w:p>
    <w:p w14:paraId="30747A85">
      <w:pPr>
        <w:spacing w:line="312" w:lineRule="auto"/>
        <w:rPr>
          <w:rFonts w:hint="eastAsia" w:ascii="宋体" w:hAnsi="宋体"/>
          <w:b/>
          <w:bCs/>
          <w:sz w:val="24"/>
          <w:u w:val="none" w:color="auto"/>
        </w:rPr>
      </w:pPr>
      <w:r>
        <w:rPr>
          <w:rFonts w:hint="eastAsia" w:ascii="宋体" w:hAnsi="宋体"/>
          <w:b/>
          <w:bCs/>
          <w:sz w:val="24"/>
          <w:u w:val="none" w:color="auto"/>
          <w:lang w:val="en-US" w:eastAsia="zh-CN"/>
        </w:rPr>
        <w:t>六</w:t>
      </w:r>
      <w:r>
        <w:rPr>
          <w:rFonts w:hint="eastAsia" w:ascii="宋体" w:hAnsi="宋体"/>
          <w:b/>
          <w:bCs/>
          <w:sz w:val="24"/>
          <w:u w:val="none" w:color="auto"/>
        </w:rPr>
        <w:t>、付款方式：</w:t>
      </w:r>
    </w:p>
    <w:p w14:paraId="0F7AAD74">
      <w:pPr>
        <w:spacing w:line="312" w:lineRule="auto"/>
        <w:ind w:firstLine="420" w:firstLineChars="200"/>
        <w:outlineLvl w:val="0"/>
        <w:rPr>
          <w:rFonts w:ascii="Times New Roman" w:hAnsi="Times New Roman"/>
          <w:b w:val="0"/>
          <w:bCs w:val="0"/>
          <w:color w:val="000000"/>
          <w:szCs w:val="21"/>
          <w:highlight w:val="none"/>
          <w:u w:val="none" w:color="auto"/>
        </w:rPr>
      </w:pPr>
      <w:r>
        <w:rPr>
          <w:rFonts w:hint="eastAsia" w:ascii="Times New Roman" w:hAnsi="Times New Roman"/>
          <w:szCs w:val="21"/>
          <w:u w:val="none" w:color="auto"/>
        </w:rPr>
        <w:t>合同生效以及具备实施条件，自收到发票后7个工作日内，</w:t>
      </w:r>
      <w:r>
        <w:rPr>
          <w:rFonts w:hint="eastAsia" w:ascii="Times New Roman" w:hAnsi="Times New Roman"/>
          <w:b w:val="0"/>
          <w:bCs w:val="0"/>
          <w:color w:val="000000"/>
          <w:szCs w:val="21"/>
          <w:highlight w:val="none"/>
          <w:u w:val="none" w:color="auto"/>
        </w:rPr>
        <w:t>支付合同金额的</w:t>
      </w:r>
      <w:r>
        <w:rPr>
          <w:rFonts w:hint="eastAsia" w:ascii="Times New Roman" w:hAnsi="Times New Roman"/>
          <w:b w:val="0"/>
          <w:bCs w:val="0"/>
          <w:color w:val="000000"/>
          <w:szCs w:val="21"/>
          <w:highlight w:val="none"/>
          <w:u w:val="none" w:color="auto"/>
          <w:lang w:val="en-US" w:eastAsia="zh-CN"/>
        </w:rPr>
        <w:t>5</w:t>
      </w:r>
      <w:r>
        <w:rPr>
          <w:rFonts w:hint="eastAsia" w:ascii="Times New Roman" w:hAnsi="Times New Roman"/>
          <w:b w:val="0"/>
          <w:bCs w:val="0"/>
          <w:color w:val="000000"/>
          <w:szCs w:val="21"/>
          <w:highlight w:val="none"/>
          <w:u w:val="none" w:color="auto"/>
        </w:rPr>
        <w:t>0%作为预付款，项目实施完成并通过验收合格后，自收到发票后7个工作日内，支付剩余款项。</w:t>
      </w:r>
    </w:p>
    <w:p w14:paraId="1BCD3AE1">
      <w:pPr>
        <w:spacing w:line="312" w:lineRule="auto"/>
        <w:outlineLvl w:val="0"/>
        <w:rPr>
          <w:rFonts w:ascii="Times New Roman" w:hAnsi="Times New Roman"/>
          <w:b w:val="0"/>
          <w:bCs w:val="0"/>
          <w:color w:val="000000"/>
          <w:sz w:val="24"/>
          <w:szCs w:val="22"/>
          <w:highlight w:val="none"/>
          <w:u w:val="none" w:color="auto"/>
        </w:rPr>
      </w:pPr>
    </w:p>
    <w:p w14:paraId="27C7946D">
      <w:pPr>
        <w:spacing w:line="312" w:lineRule="auto"/>
        <w:outlineLvl w:val="0"/>
        <w:rPr>
          <w:rFonts w:ascii="Times New Roman" w:hAnsi="Times New Roman"/>
          <w:b w:val="0"/>
          <w:bCs w:val="0"/>
          <w:color w:val="000000"/>
          <w:sz w:val="24"/>
          <w:szCs w:val="22"/>
          <w:highlight w:val="none"/>
          <w:u w:val="none" w:color="auto"/>
        </w:rPr>
      </w:pPr>
      <w:r>
        <w:rPr>
          <w:rFonts w:hint="eastAsia" w:ascii="Times New Roman" w:hAnsi="Times New Roman"/>
          <w:b w:val="0"/>
          <w:bCs w:val="0"/>
          <w:color w:val="000000"/>
          <w:sz w:val="24"/>
          <w:szCs w:val="22"/>
          <w:highlight w:val="none"/>
          <w:u w:val="none" w:color="auto"/>
          <w:lang w:val="en-US" w:eastAsia="zh-CN"/>
        </w:rPr>
        <w:t>七</w:t>
      </w:r>
      <w:r>
        <w:rPr>
          <w:rFonts w:hint="eastAsia" w:ascii="Times New Roman" w:hAnsi="Times New Roman"/>
          <w:b w:val="0"/>
          <w:bCs w:val="0"/>
          <w:color w:val="000000"/>
          <w:sz w:val="24"/>
          <w:szCs w:val="22"/>
          <w:highlight w:val="none"/>
          <w:u w:val="none" w:color="auto"/>
        </w:rPr>
        <w:t>、报价要求</w:t>
      </w:r>
    </w:p>
    <w:p w14:paraId="03FAF058">
      <w:pPr>
        <w:spacing w:line="312" w:lineRule="auto"/>
        <w:ind w:firstLine="420" w:firstLineChars="200"/>
        <w:rPr>
          <w:rFonts w:hint="eastAsia" w:ascii="宋体" w:hAnsi="宋体"/>
          <w:szCs w:val="21"/>
          <w:u w:val="none" w:color="auto"/>
        </w:rPr>
      </w:pPr>
      <w:r>
        <w:rPr>
          <w:rFonts w:hint="eastAsia" w:ascii="宋体" w:hAnsi="宋体"/>
          <w:szCs w:val="21"/>
          <w:u w:val="none" w:color="auto"/>
        </w:rPr>
        <w:t>1.投标人应根据招标文件进行报价。投标报价一旦核实确认，不得再做更改。对投标人漏报致使项目未能达到需求的功能和效果，其费用和后果由投标人自行负责。</w:t>
      </w:r>
    </w:p>
    <w:p w14:paraId="26BDD38A">
      <w:pPr>
        <w:spacing w:line="312" w:lineRule="auto"/>
        <w:ind w:firstLine="420" w:firstLineChars="200"/>
        <w:rPr>
          <w:rFonts w:hint="eastAsia" w:ascii="宋体" w:hAnsi="宋体"/>
          <w:b/>
          <w:bCs/>
          <w:szCs w:val="21"/>
          <w:u w:val="none" w:color="auto"/>
        </w:rPr>
      </w:pPr>
      <w:r>
        <w:rPr>
          <w:rFonts w:hint="eastAsia" w:ascii="宋体" w:hAnsi="宋体"/>
          <w:szCs w:val="21"/>
          <w:u w:val="none" w:color="auto"/>
        </w:rPr>
        <w:t>2.所有报价均应已包含国家规定的所有税费。</w:t>
      </w:r>
    </w:p>
    <w:p w14:paraId="4B0E4548">
      <w:pPr>
        <w:spacing w:line="312" w:lineRule="auto"/>
        <w:ind w:firstLine="420" w:firstLineChars="200"/>
        <w:rPr>
          <w:rFonts w:hint="eastAsia" w:ascii="宋体" w:hAnsi="宋体"/>
          <w:szCs w:val="21"/>
          <w:u w:val="none" w:color="auto"/>
        </w:rPr>
      </w:pPr>
      <w:r>
        <w:rPr>
          <w:rFonts w:hint="eastAsia" w:ascii="宋体" w:hAnsi="宋体"/>
          <w:szCs w:val="21"/>
          <w:u w:val="none" w:color="auto"/>
        </w:rPr>
        <w:t>3.投标总报价应包含完成项目的所有报价，不能在投标报价之外还有其他费用出现。</w:t>
      </w:r>
    </w:p>
    <w:p w14:paraId="2CBF1C77">
      <w:pPr>
        <w:tabs>
          <w:tab w:val="left" w:pos="0"/>
        </w:tabs>
        <w:adjustRightInd w:val="0"/>
        <w:snapToGrid w:val="0"/>
        <w:spacing w:line="312" w:lineRule="auto"/>
        <w:ind w:firstLine="420" w:firstLineChars="200"/>
        <w:jc w:val="left"/>
        <w:rPr>
          <w:rFonts w:hint="eastAsia" w:ascii="宋体" w:hAnsi="宋体"/>
          <w:bCs/>
          <w:szCs w:val="21"/>
          <w:u w:val="none" w:color="auto"/>
        </w:rPr>
      </w:pPr>
      <w:r>
        <w:rPr>
          <w:rFonts w:hint="eastAsia" w:ascii="宋体" w:hAnsi="宋体"/>
          <w:szCs w:val="22"/>
          <w:u w:val="none" w:color="auto"/>
        </w:rPr>
        <w:t>4.</w:t>
      </w:r>
      <w:r>
        <w:rPr>
          <w:rFonts w:hint="eastAsia" w:ascii="宋体" w:hAnsi="宋体"/>
          <w:bCs/>
          <w:szCs w:val="21"/>
          <w:u w:val="none" w:color="auto"/>
        </w:rPr>
        <w:t>扶持政策说明：</w:t>
      </w:r>
    </w:p>
    <w:p w14:paraId="1F4C2533">
      <w:pPr>
        <w:spacing w:line="312" w:lineRule="auto"/>
        <w:ind w:firstLine="420" w:firstLineChars="200"/>
        <w:rPr>
          <w:rFonts w:hint="eastAsia" w:ascii="宋体" w:hAnsi="宋体"/>
          <w:szCs w:val="22"/>
          <w:u w:val="none" w:color="auto"/>
        </w:rPr>
      </w:pPr>
      <w:r>
        <w:rPr>
          <w:rFonts w:hint="eastAsia" w:ascii="宋体" w:hAnsi="宋体"/>
          <w:szCs w:val="22"/>
          <w:u w:val="none" w:color="auto"/>
        </w:rPr>
        <w:t>（1）中小企业预留份额情况：根据《政府采购促进中小企业发展管理办法》（财库〔2020〕46号），本项目专门面向中小企业。本项目对应的中小企业划分标准所属行业：软件和信息技术服务业。</w:t>
      </w:r>
    </w:p>
    <w:p w14:paraId="1302FF1A">
      <w:pPr>
        <w:spacing w:line="312" w:lineRule="auto"/>
        <w:ind w:firstLine="420" w:firstLineChars="200"/>
        <w:rPr>
          <w:rFonts w:hint="eastAsia" w:ascii="宋体" w:hAnsi="宋体"/>
          <w:szCs w:val="22"/>
          <w:u w:val="none" w:color="auto"/>
        </w:rPr>
      </w:pPr>
      <w:r>
        <w:rPr>
          <w:rFonts w:hint="eastAsia" w:ascii="宋体" w:hAnsi="宋体"/>
          <w:szCs w:val="22"/>
          <w:u w:val="none" w:color="auto"/>
        </w:rPr>
        <w:t>（2）在政府采购活动中，供应商提供的货物、工程或者服务符合下列情形的，享受本办法规定的中小企业扶持政策：</w:t>
      </w:r>
    </w:p>
    <w:p w14:paraId="42D9FDED">
      <w:pPr>
        <w:spacing w:line="312" w:lineRule="auto"/>
        <w:ind w:firstLine="420" w:firstLineChars="200"/>
        <w:rPr>
          <w:rFonts w:hint="eastAsia" w:ascii="宋体" w:hAnsi="宋体"/>
          <w:szCs w:val="22"/>
          <w:u w:val="none" w:color="auto"/>
        </w:rPr>
      </w:pPr>
      <w:r>
        <w:rPr>
          <w:rFonts w:hint="eastAsia" w:ascii="宋体" w:hAnsi="宋体"/>
          <w:szCs w:val="22"/>
          <w:u w:val="none" w:color="auto"/>
        </w:rPr>
        <w:t>①在货物采购项目中，货物由中小企业制造，即货物由中小企业生产且使用该中小企业商号或者注册商标；</w:t>
      </w:r>
    </w:p>
    <w:p w14:paraId="40251207">
      <w:pPr>
        <w:spacing w:line="312" w:lineRule="auto"/>
        <w:ind w:firstLine="420" w:firstLineChars="200"/>
        <w:rPr>
          <w:rFonts w:hint="eastAsia" w:ascii="宋体" w:hAnsi="宋体"/>
          <w:szCs w:val="22"/>
          <w:u w:val="none" w:color="auto"/>
        </w:rPr>
      </w:pPr>
      <w:r>
        <w:rPr>
          <w:rFonts w:hint="eastAsia" w:ascii="宋体" w:hAnsi="宋体"/>
          <w:szCs w:val="22"/>
          <w:u w:val="none" w:color="auto"/>
        </w:rPr>
        <w:t>②在工程采购项目中，工程由中小企业承建，即工程施工单位为中小企业；</w:t>
      </w:r>
    </w:p>
    <w:p w14:paraId="5FA0C61F">
      <w:pPr>
        <w:spacing w:line="312" w:lineRule="auto"/>
        <w:ind w:firstLine="420" w:firstLineChars="200"/>
        <w:rPr>
          <w:rFonts w:hint="eastAsia" w:ascii="宋体" w:hAnsi="宋体"/>
          <w:szCs w:val="22"/>
          <w:u w:val="none" w:color="auto"/>
        </w:rPr>
      </w:pPr>
      <w:r>
        <w:rPr>
          <w:rFonts w:hint="eastAsia" w:ascii="宋体" w:hAnsi="宋体"/>
          <w:szCs w:val="22"/>
          <w:u w:val="none" w:color="auto"/>
        </w:rPr>
        <w:t>③在服务采购项目中，服务由中小企业承接，即提供服务的人员为中小企业依照《中华人民共和国劳动合同法》订立劳动合同的从业人员。</w:t>
      </w:r>
    </w:p>
    <w:p w14:paraId="1786200D">
      <w:pPr>
        <w:spacing w:line="312" w:lineRule="auto"/>
        <w:ind w:firstLine="420" w:firstLineChars="200"/>
        <w:rPr>
          <w:rFonts w:hint="eastAsia" w:ascii="宋体" w:hAnsi="宋体"/>
          <w:szCs w:val="22"/>
          <w:u w:val="none" w:color="auto"/>
        </w:rPr>
      </w:pPr>
      <w:r>
        <w:rPr>
          <w:rFonts w:hint="eastAsia" w:ascii="宋体" w:hAnsi="宋体"/>
          <w:szCs w:val="22"/>
          <w:u w:val="none" w:color="auto"/>
        </w:rPr>
        <w:t>在货物采购项目中，供应商提供的货物既有中小企业制造货物，也有大型企业制造货物的，不享受本办法规定的中小企业扶持政策。</w:t>
      </w:r>
    </w:p>
    <w:p w14:paraId="09B8D5D5">
      <w:pPr>
        <w:spacing w:line="312" w:lineRule="auto"/>
        <w:ind w:firstLine="420" w:firstLineChars="200"/>
        <w:rPr>
          <w:rFonts w:hint="eastAsia" w:ascii="宋体" w:hAnsi="宋体"/>
          <w:szCs w:val="22"/>
          <w:u w:val="none" w:color="auto"/>
        </w:rPr>
      </w:pPr>
      <w:r>
        <w:rPr>
          <w:rFonts w:hint="eastAsia" w:ascii="宋体" w:hAnsi="宋体"/>
          <w:szCs w:val="22"/>
          <w:u w:val="none" w:color="auto"/>
        </w:rPr>
        <w:t>以联合体形式参加政府采购活动，联合体各方均为中小企业的，联合体视同中小企业。其中，联合体各方均为小微企业的，联合体视同小微企业。</w:t>
      </w:r>
    </w:p>
    <w:p w14:paraId="038BCAC9">
      <w:pPr>
        <w:spacing w:line="312" w:lineRule="auto"/>
        <w:ind w:firstLine="420" w:firstLineChars="200"/>
        <w:rPr>
          <w:rFonts w:hint="eastAsia" w:ascii="宋体" w:hAnsi="宋体"/>
          <w:szCs w:val="22"/>
          <w:u w:val="none" w:color="auto"/>
        </w:rPr>
      </w:pPr>
      <w:r>
        <w:rPr>
          <w:rFonts w:hint="eastAsia" w:ascii="宋体" w:hAnsi="宋体"/>
          <w:szCs w:val="22"/>
          <w:u w:val="none" w:color="auto"/>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571EB14C">
      <w:pPr>
        <w:spacing w:line="312" w:lineRule="auto"/>
        <w:ind w:firstLine="420" w:firstLineChars="200"/>
        <w:rPr>
          <w:rFonts w:hint="eastAsia" w:ascii="宋体" w:hAnsi="宋体"/>
          <w:szCs w:val="22"/>
          <w:u w:val="none" w:color="auto"/>
        </w:rPr>
      </w:pPr>
      <w:r>
        <w:rPr>
          <w:rFonts w:hint="eastAsia" w:ascii="宋体" w:hAnsi="宋体"/>
          <w:szCs w:val="22"/>
          <w:u w:val="none" w:color="auto"/>
        </w:rPr>
        <w:t>（4）投标人符合《三部门联合发布关于促进残疾人就业政府采购政策的通知》（财库〔2017〕141号）文件要求，并提供《残疾人福利性单位声明函》的，则视同小型、微型企业。</w:t>
      </w:r>
    </w:p>
    <w:p w14:paraId="54C313B0">
      <w:pPr>
        <w:spacing w:line="312" w:lineRule="auto"/>
        <w:ind w:firstLine="420" w:firstLineChars="200"/>
        <w:rPr>
          <w:rFonts w:hint="eastAsia" w:ascii="宋体" w:hAnsi="宋体"/>
          <w:szCs w:val="22"/>
          <w:u w:val="none" w:color="auto"/>
        </w:rPr>
      </w:pPr>
      <w:r>
        <w:rPr>
          <w:rFonts w:hint="eastAsia" w:ascii="宋体" w:hAnsi="宋体"/>
          <w:szCs w:val="22"/>
          <w:u w:val="none" w:color="auto"/>
        </w:rPr>
        <w:t>本项目专门面向中小企业采购（参加投标供应商须出具《中小企业声明函》，未提供不认定为中小企业，此次投标无效）。</w:t>
      </w:r>
    </w:p>
    <w:p w14:paraId="0A517D9C">
      <w:pPr>
        <w:spacing w:line="312" w:lineRule="auto"/>
        <w:ind w:firstLine="422" w:firstLineChars="200"/>
        <w:rPr>
          <w:rFonts w:ascii="Times New Roman" w:hAnsi="Times New Roman"/>
          <w:szCs w:val="22"/>
          <w:u w:val="none" w:color="auto"/>
        </w:rPr>
      </w:pPr>
      <w:r>
        <w:rPr>
          <w:rFonts w:hint="eastAsia" w:ascii="宋体" w:hAnsi="宋体"/>
          <w:b/>
          <w:bCs/>
          <w:szCs w:val="21"/>
          <w:u w:val="none" w:color="auto"/>
        </w:rPr>
        <w:t>5.本次项</w:t>
      </w:r>
      <w:r>
        <w:rPr>
          <w:rFonts w:hint="eastAsia" w:ascii="宋体" w:hAnsi="宋体"/>
          <w:b/>
          <w:szCs w:val="21"/>
          <w:u w:val="none" w:color="auto"/>
        </w:rPr>
        <w:t>目的预算金额为</w:t>
      </w:r>
      <w:r>
        <w:rPr>
          <w:rFonts w:hint="eastAsia" w:ascii="宋体" w:hAnsi="宋体"/>
          <w:b/>
          <w:bCs/>
          <w:szCs w:val="22"/>
          <w:u w:val="none" w:color="auto"/>
        </w:rPr>
        <w:t>：</w:t>
      </w:r>
      <w:r>
        <w:rPr>
          <w:rFonts w:hint="eastAsia" w:ascii="宋体" w:hAnsi="宋体"/>
          <w:b/>
          <w:szCs w:val="21"/>
          <w:u w:val="none" w:color="auto"/>
        </w:rPr>
        <w:t>人民币</w:t>
      </w:r>
      <w:r>
        <w:rPr>
          <w:rFonts w:hint="eastAsia" w:ascii="宋体" w:hAnsi="宋体"/>
          <w:b/>
          <w:szCs w:val="21"/>
          <w:u w:val="none" w:color="auto"/>
          <w:lang w:val="en-US" w:eastAsia="zh-CN"/>
        </w:rPr>
        <w:t>陆</w:t>
      </w:r>
      <w:r>
        <w:rPr>
          <w:rFonts w:hint="eastAsia" w:ascii="宋体" w:hAnsi="宋体"/>
          <w:b/>
          <w:szCs w:val="21"/>
          <w:u w:val="none" w:color="auto"/>
        </w:rPr>
        <w:t>拾万元整（</w:t>
      </w:r>
      <w:r>
        <w:rPr>
          <w:rFonts w:hint="eastAsia" w:ascii="宋体" w:hAnsi="宋体"/>
          <w:b/>
          <w:szCs w:val="21"/>
          <w:u w:val="none" w:color="auto"/>
          <w:lang w:val="en-US" w:eastAsia="zh-CN"/>
        </w:rPr>
        <w:t>6</w:t>
      </w:r>
      <w:r>
        <w:rPr>
          <w:rFonts w:hint="eastAsia" w:ascii="宋体" w:hAnsi="宋体"/>
          <w:b/>
          <w:szCs w:val="21"/>
          <w:u w:val="none" w:color="auto"/>
        </w:rPr>
        <w:t>00</w:t>
      </w:r>
      <w:r>
        <w:rPr>
          <w:rFonts w:ascii="宋体" w:hAnsi="宋体"/>
          <w:b/>
          <w:szCs w:val="21"/>
          <w:u w:val="none" w:color="auto"/>
        </w:rPr>
        <w:t>,000.00元）。</w:t>
      </w:r>
    </w:p>
    <w:p w14:paraId="47093F7A">
      <w:pPr>
        <w:pageBreakBefore/>
        <w:snapToGrid w:val="0"/>
        <w:jc w:val="center"/>
        <w:rPr>
          <w:rFonts w:ascii="Times New Roman" w:hAnsi="Times New Roman"/>
          <w:sz w:val="28"/>
          <w:u w:val="none" w:color="auto"/>
        </w:rPr>
      </w:pPr>
      <w:r>
        <w:rPr>
          <w:rFonts w:hint="eastAsia" w:ascii="Times New Roman" w:hAnsi="Times New Roman"/>
          <w:b/>
          <w:sz w:val="32"/>
          <w:u w:val="none" w:color="auto"/>
        </w:rPr>
        <w:t>第三章  投标人须知</w:t>
      </w:r>
    </w:p>
    <w:p w14:paraId="661F9BE5">
      <w:pPr>
        <w:snapToGrid w:val="0"/>
        <w:ind w:firstLine="4340" w:firstLineChars="1550"/>
        <w:rPr>
          <w:rFonts w:ascii="Times New Roman" w:hAnsi="Times New Roman"/>
          <w:sz w:val="28"/>
          <w:u w:val="none" w:color="auto"/>
        </w:rPr>
      </w:pPr>
    </w:p>
    <w:p w14:paraId="3F38ABE6">
      <w:pPr>
        <w:snapToGrid w:val="0"/>
        <w:ind w:firstLine="4340" w:firstLineChars="1550"/>
        <w:rPr>
          <w:rFonts w:ascii="Times New Roman" w:hAnsi="Times New Roman"/>
          <w:sz w:val="28"/>
          <w:u w:val="none" w:color="auto"/>
        </w:rPr>
      </w:pPr>
      <w:r>
        <w:rPr>
          <w:rFonts w:hint="eastAsia" w:ascii="Times New Roman" w:hAnsi="Times New Roman"/>
          <w:sz w:val="28"/>
          <w:u w:val="none" w:color="auto"/>
        </w:rPr>
        <w:t>前附表</w:t>
      </w:r>
    </w:p>
    <w:tbl>
      <w:tblPr>
        <w:tblStyle w:val="29"/>
        <w:tblW w:w="10344"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381"/>
        <w:gridCol w:w="5339"/>
        <w:gridCol w:w="1128"/>
        <w:gridCol w:w="1842"/>
      </w:tblGrid>
      <w:tr w14:paraId="4AD6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72A04CF">
            <w:pPr>
              <w:snapToGrid w:val="0"/>
              <w:spacing w:line="240" w:lineRule="exact"/>
              <w:jc w:val="center"/>
              <w:rPr>
                <w:rFonts w:ascii="Times New Roman" w:hAnsi="Times New Roman"/>
                <w:b/>
                <w:u w:val="none" w:color="auto"/>
              </w:rPr>
            </w:pPr>
            <w:r>
              <w:rPr>
                <w:rFonts w:hint="eastAsia" w:ascii="Times New Roman" w:hAnsi="Times New Roman"/>
                <w:b/>
                <w:u w:val="none" w:color="auto"/>
              </w:rPr>
              <w:t>序号</w:t>
            </w:r>
          </w:p>
        </w:tc>
        <w:tc>
          <w:tcPr>
            <w:tcW w:w="9669"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03E84C0">
            <w:pPr>
              <w:snapToGrid w:val="0"/>
              <w:spacing w:line="240" w:lineRule="exact"/>
              <w:jc w:val="center"/>
              <w:rPr>
                <w:rFonts w:ascii="Times New Roman" w:hAnsi="Times New Roman"/>
                <w:b/>
                <w:u w:val="none" w:color="auto"/>
              </w:rPr>
            </w:pPr>
            <w:r>
              <w:rPr>
                <w:rFonts w:hint="eastAsia" w:ascii="Times New Roman" w:hAnsi="Times New Roman"/>
                <w:b/>
                <w:u w:val="none" w:color="auto"/>
              </w:rPr>
              <w:t>内容说明及要求</w:t>
            </w:r>
          </w:p>
        </w:tc>
      </w:tr>
      <w:tr w14:paraId="338A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409206">
            <w:pPr>
              <w:snapToGrid w:val="0"/>
              <w:spacing w:line="240" w:lineRule="exact"/>
              <w:jc w:val="center"/>
              <w:rPr>
                <w:rFonts w:ascii="Times New Roman" w:hAnsi="Times New Roman"/>
                <w:b/>
                <w:u w:val="none" w:color="auto"/>
              </w:rPr>
            </w:pPr>
            <w:r>
              <w:rPr>
                <w:rFonts w:ascii="Times New Roman" w:hAnsi="Times New Roman"/>
                <w:b/>
                <w:u w:val="none" w:color="auto"/>
              </w:rPr>
              <w:t>1</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D3B1B8">
            <w:pPr>
              <w:spacing w:line="240" w:lineRule="exact"/>
              <w:jc w:val="center"/>
              <w:rPr>
                <w:rFonts w:ascii="Times New Roman" w:hAnsi="Times New Roman"/>
                <w:b/>
                <w:u w:val="none" w:color="auto"/>
              </w:rPr>
            </w:pPr>
            <w:r>
              <w:rPr>
                <w:rFonts w:hint="eastAsia" w:ascii="Times New Roman" w:hAnsi="Times New Roman"/>
                <w:b/>
                <w:u w:val="none" w:color="auto"/>
              </w:rPr>
              <w:t>项目名称</w:t>
            </w:r>
          </w:p>
        </w:tc>
        <w:tc>
          <w:tcPr>
            <w:tcW w:w="53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C9C3BF5">
            <w:pPr>
              <w:spacing w:line="240" w:lineRule="exact"/>
              <w:rPr>
                <w:rFonts w:hint="eastAsia" w:ascii="Times New Roman" w:hAnsi="Times New Roman" w:eastAsia="宋体"/>
                <w:bCs/>
                <w:u w:val="none" w:color="auto"/>
                <w:lang w:val="zh-CN" w:eastAsia="zh-CN"/>
              </w:rPr>
            </w:pPr>
            <w:r>
              <w:rPr>
                <w:rFonts w:hint="eastAsia" w:ascii="Times New Roman" w:hAnsi="Times New Roman"/>
                <w:u w:val="none" w:color="auto"/>
                <w:lang w:eastAsia="zh-CN"/>
              </w:rPr>
              <w:t xml:space="preserve">舟山市涉海涉渔社区矫正对象联合管控应用2.0迭代升级项目 </w:t>
            </w:r>
          </w:p>
        </w:tc>
        <w:tc>
          <w:tcPr>
            <w:tcW w:w="111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2F026D2">
            <w:pPr>
              <w:spacing w:line="240" w:lineRule="exact"/>
              <w:jc w:val="center"/>
              <w:rPr>
                <w:rFonts w:ascii="Times New Roman" w:hAnsi="Times New Roman"/>
                <w:bCs/>
                <w:u w:val="none" w:color="auto"/>
              </w:rPr>
            </w:pPr>
            <w:r>
              <w:rPr>
                <w:rFonts w:hint="eastAsia" w:ascii="Times New Roman" w:hAnsi="Times New Roman"/>
                <w:b/>
                <w:u w:val="none" w:color="auto"/>
              </w:rPr>
              <w:t>项目编号</w:t>
            </w:r>
          </w:p>
        </w:tc>
        <w:tc>
          <w:tcPr>
            <w:tcW w:w="182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3A784A4">
            <w:pPr>
              <w:spacing w:line="240" w:lineRule="exact"/>
              <w:rPr>
                <w:rFonts w:hint="eastAsia" w:ascii="Times New Roman" w:hAnsi="Times New Roman" w:eastAsia="宋体"/>
                <w:bCs/>
                <w:u w:val="none" w:color="auto"/>
                <w:lang w:eastAsia="zh-CN"/>
              </w:rPr>
            </w:pPr>
            <w:r>
              <w:rPr>
                <w:rFonts w:hint="eastAsia" w:ascii="Times New Roman" w:hAnsi="Times New Roman"/>
                <w:u w:val="none" w:color="auto"/>
                <w:lang w:eastAsia="zh-CN"/>
              </w:rPr>
              <w:t>SZGXZS2025144</w:t>
            </w:r>
          </w:p>
        </w:tc>
      </w:tr>
      <w:tr w14:paraId="1605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741EF52">
            <w:pPr>
              <w:snapToGrid w:val="0"/>
              <w:spacing w:line="240" w:lineRule="exact"/>
              <w:jc w:val="center"/>
              <w:rPr>
                <w:rFonts w:ascii="Times New Roman" w:hAnsi="Times New Roman"/>
                <w:b/>
                <w:u w:val="none" w:color="auto"/>
              </w:rPr>
            </w:pPr>
            <w:r>
              <w:rPr>
                <w:rFonts w:ascii="Times New Roman" w:hAnsi="Times New Roman"/>
                <w:b/>
                <w:u w:val="none" w:color="auto"/>
              </w:rPr>
              <w:t>2</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CDA8FD">
            <w:pPr>
              <w:spacing w:line="240" w:lineRule="exact"/>
              <w:jc w:val="center"/>
              <w:rPr>
                <w:rFonts w:ascii="Times New Roman" w:hAnsi="Times New Roman"/>
                <w:b/>
                <w:u w:val="none" w:color="auto"/>
              </w:rPr>
            </w:pPr>
            <w:r>
              <w:rPr>
                <w:rFonts w:hint="eastAsia" w:ascii="Times New Roman" w:hAnsi="Times New Roman"/>
                <w:b/>
                <w:u w:val="none" w:color="auto"/>
              </w:rPr>
              <w:t>采购单位名称</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6B2B882">
            <w:pPr>
              <w:spacing w:line="240" w:lineRule="exact"/>
              <w:rPr>
                <w:rFonts w:ascii="Times New Roman" w:hAnsi="Times New Roman"/>
                <w:bCs/>
                <w:u w:val="none" w:color="auto"/>
              </w:rPr>
            </w:pPr>
            <w:r>
              <w:rPr>
                <w:rFonts w:hint="eastAsia" w:ascii="Times New Roman" w:hAnsi="Times New Roman"/>
                <w:u w:val="none" w:color="auto"/>
              </w:rPr>
              <w:t>舟山市司法局</w:t>
            </w:r>
          </w:p>
        </w:tc>
      </w:tr>
      <w:tr w14:paraId="5CD1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0734307">
            <w:pPr>
              <w:snapToGrid w:val="0"/>
              <w:spacing w:line="240" w:lineRule="exact"/>
              <w:jc w:val="center"/>
              <w:rPr>
                <w:rFonts w:ascii="Times New Roman" w:hAnsi="Times New Roman"/>
                <w:b/>
                <w:u w:val="none" w:color="auto"/>
              </w:rPr>
            </w:pPr>
            <w:r>
              <w:rPr>
                <w:rFonts w:ascii="Times New Roman" w:hAnsi="Times New Roman"/>
                <w:b/>
                <w:u w:val="none" w:color="auto"/>
              </w:rPr>
              <w:t>3</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52A626F">
            <w:pPr>
              <w:spacing w:line="240" w:lineRule="exact"/>
              <w:jc w:val="center"/>
              <w:rPr>
                <w:rFonts w:ascii="Times New Roman" w:hAnsi="Times New Roman"/>
                <w:b/>
                <w:u w:val="none" w:color="auto"/>
              </w:rPr>
            </w:pPr>
            <w:r>
              <w:rPr>
                <w:rFonts w:hint="eastAsia" w:ascii="Times New Roman" w:hAnsi="Times New Roman"/>
                <w:b/>
                <w:u w:val="none" w:color="auto"/>
              </w:rPr>
              <w:t>采购内容</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30"/>
              <w:tblpPr w:leftFromText="180" w:rightFromText="180" w:vertAnchor="text" w:horzAnchor="page" w:tblpX="27" w:tblpY="125"/>
              <w:tblOverlap w:val="never"/>
              <w:tblW w:w="80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5557"/>
              <w:gridCol w:w="1105"/>
              <w:gridCol w:w="709"/>
            </w:tblGrid>
            <w:tr w14:paraId="74712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3644CEC8">
                  <w:pPr>
                    <w:widowControl/>
                    <w:jc w:val="center"/>
                    <w:rPr>
                      <w:rFonts w:hint="eastAsia" w:ascii="宋体" w:hAnsi="宋体" w:cs="宋体"/>
                      <w:kern w:val="0"/>
                      <w:szCs w:val="21"/>
                      <w:u w:val="none" w:color="auto"/>
                    </w:rPr>
                  </w:pPr>
                  <w:r>
                    <w:rPr>
                      <w:rFonts w:hint="eastAsia" w:ascii="宋体" w:hAnsi="宋体" w:cs="宋体"/>
                      <w:kern w:val="0"/>
                      <w:szCs w:val="21"/>
                      <w:u w:val="none" w:color="auto"/>
                    </w:rPr>
                    <w:t>序号</w:t>
                  </w:r>
                </w:p>
              </w:tc>
              <w:tc>
                <w:tcPr>
                  <w:tcW w:w="5557" w:type="dxa"/>
                  <w:tcBorders>
                    <w:top w:val="single" w:color="000000" w:sz="4" w:space="0"/>
                    <w:left w:val="single" w:color="000000" w:sz="4" w:space="0"/>
                    <w:bottom w:val="single" w:color="000000" w:sz="4" w:space="0"/>
                    <w:right w:val="single" w:color="auto" w:sz="4" w:space="0"/>
                  </w:tcBorders>
                  <w:vAlign w:val="center"/>
                </w:tcPr>
                <w:p w14:paraId="6FA8D7C2">
                  <w:pPr>
                    <w:widowControl/>
                    <w:ind w:left="840" w:hanging="420"/>
                    <w:jc w:val="center"/>
                    <w:rPr>
                      <w:rFonts w:hint="eastAsia" w:ascii="宋体" w:hAnsi="宋体" w:cs="宋体"/>
                      <w:kern w:val="0"/>
                      <w:szCs w:val="21"/>
                      <w:u w:val="none" w:color="auto"/>
                    </w:rPr>
                  </w:pPr>
                  <w:r>
                    <w:rPr>
                      <w:rFonts w:hint="eastAsia" w:ascii="宋体" w:hAnsi="宋体" w:cs="宋体"/>
                      <w:kern w:val="0"/>
                      <w:szCs w:val="21"/>
                      <w:u w:val="none" w:color="auto"/>
                    </w:rPr>
                    <w:t>项目名称及内容</w:t>
                  </w:r>
                </w:p>
              </w:tc>
              <w:tc>
                <w:tcPr>
                  <w:tcW w:w="1105" w:type="dxa"/>
                  <w:tcBorders>
                    <w:top w:val="single" w:color="000000" w:sz="4" w:space="0"/>
                    <w:left w:val="single" w:color="000000" w:sz="4" w:space="0"/>
                    <w:bottom w:val="single" w:color="000000" w:sz="4" w:space="0"/>
                    <w:right w:val="single" w:color="000000" w:sz="4" w:space="0"/>
                  </w:tcBorders>
                  <w:vAlign w:val="center"/>
                </w:tcPr>
                <w:p w14:paraId="78742471">
                  <w:pPr>
                    <w:widowControl/>
                    <w:jc w:val="center"/>
                    <w:rPr>
                      <w:rFonts w:hint="eastAsia" w:ascii="宋体" w:hAnsi="宋体" w:cs="宋体"/>
                      <w:kern w:val="0"/>
                      <w:szCs w:val="21"/>
                      <w:u w:val="none" w:color="auto"/>
                    </w:rPr>
                  </w:pPr>
                  <w:r>
                    <w:rPr>
                      <w:rFonts w:hint="eastAsia" w:ascii="宋体" w:hAnsi="宋体" w:cs="宋体"/>
                      <w:kern w:val="0"/>
                      <w:szCs w:val="21"/>
                      <w:u w:val="none" w:color="auto"/>
                    </w:rPr>
                    <w:t>预算金额</w:t>
                  </w:r>
                </w:p>
              </w:tc>
              <w:tc>
                <w:tcPr>
                  <w:tcW w:w="709" w:type="dxa"/>
                  <w:tcBorders>
                    <w:top w:val="single" w:color="000000" w:sz="4" w:space="0"/>
                    <w:left w:val="single" w:color="000000" w:sz="4" w:space="0"/>
                    <w:bottom w:val="single" w:color="000000" w:sz="4" w:space="0"/>
                    <w:right w:val="single" w:color="000000" w:sz="4" w:space="0"/>
                  </w:tcBorders>
                  <w:vAlign w:val="center"/>
                </w:tcPr>
                <w:p w14:paraId="72FC1B4B">
                  <w:pPr>
                    <w:widowControl/>
                    <w:jc w:val="center"/>
                    <w:rPr>
                      <w:rFonts w:hint="eastAsia" w:ascii="宋体" w:hAnsi="宋体" w:cs="宋体"/>
                      <w:b/>
                      <w:bCs/>
                      <w:kern w:val="0"/>
                      <w:szCs w:val="21"/>
                      <w:u w:val="none" w:color="auto"/>
                    </w:rPr>
                  </w:pPr>
                  <w:r>
                    <w:rPr>
                      <w:rFonts w:hint="eastAsia" w:ascii="宋体" w:hAnsi="宋体" w:cs="宋体"/>
                      <w:b/>
                      <w:bCs/>
                      <w:kern w:val="0"/>
                      <w:szCs w:val="21"/>
                      <w:u w:val="none" w:color="auto"/>
                    </w:rPr>
                    <w:t>备注</w:t>
                  </w:r>
                </w:p>
              </w:tc>
            </w:tr>
            <w:tr w14:paraId="0D581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1359C699">
                  <w:pPr>
                    <w:widowControl/>
                    <w:jc w:val="center"/>
                    <w:rPr>
                      <w:rFonts w:hint="eastAsia" w:ascii="宋体" w:hAnsi="宋体" w:cs="宋体"/>
                      <w:kern w:val="0"/>
                      <w:szCs w:val="21"/>
                      <w:u w:val="none" w:color="auto"/>
                    </w:rPr>
                  </w:pPr>
                  <w:r>
                    <w:rPr>
                      <w:rFonts w:hint="eastAsia" w:ascii="宋体" w:hAnsi="宋体" w:cs="宋体"/>
                      <w:kern w:val="0"/>
                      <w:szCs w:val="21"/>
                      <w:u w:val="none" w:color="auto"/>
                    </w:rPr>
                    <w:t>1</w:t>
                  </w:r>
                </w:p>
              </w:tc>
              <w:tc>
                <w:tcPr>
                  <w:tcW w:w="5557" w:type="dxa"/>
                  <w:tcBorders>
                    <w:top w:val="single" w:color="000000" w:sz="4" w:space="0"/>
                    <w:left w:val="single" w:color="000000" w:sz="4" w:space="0"/>
                    <w:bottom w:val="single" w:color="000000" w:sz="4" w:space="0"/>
                    <w:right w:val="single" w:color="auto" w:sz="4" w:space="0"/>
                  </w:tcBorders>
                  <w:vAlign w:val="center"/>
                </w:tcPr>
                <w:p w14:paraId="313E9E69">
                  <w:pPr>
                    <w:widowControl/>
                    <w:jc w:val="center"/>
                    <w:rPr>
                      <w:rFonts w:hint="eastAsia" w:ascii="宋体" w:hAnsi="宋体" w:eastAsia="宋体" w:cs="宋体"/>
                      <w:kern w:val="0"/>
                      <w:szCs w:val="21"/>
                      <w:u w:val="none" w:color="auto"/>
                      <w:lang w:eastAsia="zh-CN"/>
                    </w:rPr>
                  </w:pPr>
                  <w:r>
                    <w:rPr>
                      <w:rFonts w:hint="eastAsia" w:ascii="宋体" w:hAnsi="宋体" w:cs="宋体"/>
                      <w:kern w:val="0"/>
                      <w:szCs w:val="21"/>
                      <w:u w:val="none" w:color="auto"/>
                      <w:lang w:eastAsia="zh-CN"/>
                    </w:rPr>
                    <w:t xml:space="preserve">舟山市涉海涉渔社区矫正对象联合管控应用2.0迭代升级项目 </w:t>
                  </w:r>
                </w:p>
              </w:tc>
              <w:tc>
                <w:tcPr>
                  <w:tcW w:w="1105" w:type="dxa"/>
                  <w:tcBorders>
                    <w:top w:val="single" w:color="000000" w:sz="4" w:space="0"/>
                    <w:left w:val="single" w:color="000000" w:sz="4" w:space="0"/>
                    <w:bottom w:val="single" w:color="000000" w:sz="4" w:space="0"/>
                    <w:right w:val="single" w:color="000000" w:sz="4" w:space="0"/>
                  </w:tcBorders>
                  <w:vAlign w:val="center"/>
                </w:tcPr>
                <w:p w14:paraId="692B68F5">
                  <w:pPr>
                    <w:widowControl/>
                    <w:jc w:val="center"/>
                    <w:rPr>
                      <w:rFonts w:hint="eastAsia" w:ascii="宋体" w:hAnsi="宋体" w:cs="宋体"/>
                      <w:kern w:val="0"/>
                      <w:szCs w:val="21"/>
                      <w:u w:val="none" w:color="auto"/>
                    </w:rPr>
                  </w:pPr>
                  <w:r>
                    <w:rPr>
                      <w:rFonts w:hint="eastAsia" w:ascii="宋体" w:hAnsi="宋体" w:cs="宋体"/>
                      <w:kern w:val="0"/>
                      <w:szCs w:val="21"/>
                      <w:u w:val="none" w:color="auto"/>
                      <w:lang w:val="en-US" w:eastAsia="zh-CN"/>
                    </w:rPr>
                    <w:t>6</w:t>
                  </w:r>
                  <w:r>
                    <w:rPr>
                      <w:rFonts w:hint="eastAsia" w:ascii="宋体" w:hAnsi="宋体" w:cs="宋体"/>
                      <w:kern w:val="0"/>
                      <w:szCs w:val="21"/>
                      <w:u w:val="none" w:color="auto"/>
                    </w:rPr>
                    <w:t>0万元</w:t>
                  </w:r>
                </w:p>
              </w:tc>
              <w:tc>
                <w:tcPr>
                  <w:tcW w:w="709" w:type="dxa"/>
                  <w:tcBorders>
                    <w:top w:val="single" w:color="000000" w:sz="4" w:space="0"/>
                    <w:left w:val="single" w:color="000000" w:sz="4" w:space="0"/>
                    <w:bottom w:val="single" w:color="000000" w:sz="4" w:space="0"/>
                    <w:right w:val="single" w:color="000000" w:sz="4" w:space="0"/>
                  </w:tcBorders>
                  <w:vAlign w:val="center"/>
                </w:tcPr>
                <w:p w14:paraId="50C1B247">
                  <w:pPr>
                    <w:widowControl/>
                    <w:rPr>
                      <w:rFonts w:hint="eastAsia" w:ascii="宋体" w:hAnsi="宋体" w:cs="宋体"/>
                      <w:kern w:val="0"/>
                      <w:szCs w:val="21"/>
                      <w:u w:val="none" w:color="auto"/>
                    </w:rPr>
                  </w:pPr>
                  <w:r>
                    <w:rPr>
                      <w:rFonts w:hint="eastAsia" w:ascii="宋体" w:hAnsi="宋体" w:cs="宋体"/>
                      <w:kern w:val="0"/>
                      <w:szCs w:val="21"/>
                      <w:u w:val="none" w:color="auto"/>
                    </w:rPr>
                    <w:t xml:space="preserve"> </w:t>
                  </w:r>
                </w:p>
              </w:tc>
            </w:tr>
          </w:tbl>
          <w:p w14:paraId="209CD1EA">
            <w:pPr>
              <w:spacing w:after="120"/>
              <w:rPr>
                <w:rFonts w:ascii="Times New Roman" w:hAnsi="Times New Roman"/>
                <w:kern w:val="0"/>
                <w:u w:val="none" w:color="auto"/>
              </w:rPr>
            </w:pPr>
          </w:p>
        </w:tc>
      </w:tr>
      <w:tr w14:paraId="38EB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172E89">
            <w:pPr>
              <w:snapToGrid w:val="0"/>
              <w:spacing w:line="240" w:lineRule="exact"/>
              <w:jc w:val="center"/>
              <w:rPr>
                <w:rFonts w:ascii="Times New Roman" w:hAnsi="Times New Roman"/>
                <w:b/>
                <w:u w:val="none" w:color="auto"/>
              </w:rPr>
            </w:pPr>
            <w:r>
              <w:rPr>
                <w:rFonts w:ascii="Times New Roman" w:hAnsi="Times New Roman"/>
                <w:b/>
                <w:u w:val="none" w:color="auto"/>
              </w:rPr>
              <w:t>4</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16B337E">
            <w:pPr>
              <w:spacing w:line="240" w:lineRule="exact"/>
              <w:jc w:val="center"/>
              <w:rPr>
                <w:rFonts w:ascii="Times New Roman" w:hAnsi="Times New Roman"/>
                <w:b/>
                <w:u w:val="none" w:color="auto"/>
              </w:rPr>
            </w:pPr>
            <w:r>
              <w:rPr>
                <w:rFonts w:hint="eastAsia" w:ascii="Times New Roman" w:hAnsi="Times New Roman"/>
                <w:b/>
                <w:u w:val="none" w:color="auto"/>
              </w:rPr>
              <w:t>本项目预算</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53DA05C">
            <w:pPr>
              <w:spacing w:line="240" w:lineRule="exact"/>
              <w:jc w:val="left"/>
              <w:rPr>
                <w:rFonts w:ascii="Times New Roman" w:hAnsi="Times New Roman"/>
                <w:bCs/>
                <w:szCs w:val="21"/>
                <w:u w:val="none" w:color="auto"/>
              </w:rPr>
            </w:pPr>
            <w:r>
              <w:rPr>
                <w:rFonts w:hint="eastAsia" w:ascii="宋体" w:hAnsi="宋体"/>
                <w:b/>
                <w:szCs w:val="21"/>
                <w:u w:val="none" w:color="auto"/>
              </w:rPr>
              <w:t>人民币</w:t>
            </w:r>
            <w:r>
              <w:rPr>
                <w:rFonts w:hint="eastAsia" w:ascii="宋体" w:hAnsi="宋体"/>
                <w:b/>
                <w:szCs w:val="21"/>
                <w:u w:val="none" w:color="auto"/>
                <w:lang w:val="en-US" w:eastAsia="zh-CN"/>
              </w:rPr>
              <w:t>陆</w:t>
            </w:r>
            <w:r>
              <w:rPr>
                <w:rFonts w:hint="eastAsia" w:ascii="宋体" w:hAnsi="宋体"/>
                <w:b/>
                <w:szCs w:val="21"/>
                <w:u w:val="none" w:color="auto"/>
              </w:rPr>
              <w:t>拾万元整（</w:t>
            </w:r>
            <w:r>
              <w:rPr>
                <w:rFonts w:hint="eastAsia" w:ascii="宋体" w:hAnsi="宋体"/>
                <w:b/>
                <w:szCs w:val="21"/>
                <w:u w:val="none" w:color="auto"/>
                <w:lang w:val="en-US" w:eastAsia="zh-CN"/>
              </w:rPr>
              <w:t>6</w:t>
            </w:r>
            <w:r>
              <w:rPr>
                <w:rFonts w:hint="eastAsia" w:ascii="宋体" w:hAnsi="宋体"/>
                <w:b/>
                <w:szCs w:val="21"/>
                <w:u w:val="none" w:color="auto"/>
              </w:rPr>
              <w:t>00,000.00元）</w:t>
            </w:r>
          </w:p>
        </w:tc>
      </w:tr>
      <w:tr w14:paraId="6EE2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AAD1AA">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u w:val="none" w:color="auto"/>
              </w:rPr>
            </w:pPr>
            <w:r>
              <w:rPr>
                <w:rFonts w:ascii="Times New Roman" w:hAnsi="Times New Roman"/>
                <w:b/>
                <w:u w:val="none" w:color="auto"/>
              </w:rPr>
              <w:t>5</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B13449">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宋体" w:hAnsi="宋体"/>
                <w:b/>
                <w:color w:val="auto"/>
                <w:u w:val="none" w:color="auto"/>
              </w:rPr>
            </w:pPr>
            <w:r>
              <w:rPr>
                <w:rFonts w:hint="eastAsia" w:ascii="宋体" w:hAnsi="宋体"/>
                <w:b/>
                <w:color w:val="auto"/>
                <w:u w:val="none" w:color="auto"/>
              </w:rPr>
              <w:t>时间要求</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2DEE008">
            <w:pPr>
              <w:keepNext w:val="0"/>
              <w:keepLines w:val="0"/>
              <w:pageBreakBefore w:val="0"/>
              <w:widowControl w:val="0"/>
              <w:kinsoku/>
              <w:wordWrap/>
              <w:overflowPunct/>
              <w:topLinePunct w:val="0"/>
              <w:autoSpaceDE/>
              <w:autoSpaceDN/>
              <w:bidi w:val="0"/>
              <w:adjustRightInd/>
              <w:spacing w:line="240" w:lineRule="exact"/>
              <w:textAlignment w:val="auto"/>
              <w:rPr>
                <w:rFonts w:ascii="Times New Roman" w:hAnsi="Times New Roman"/>
                <w:color w:val="auto"/>
                <w:szCs w:val="21"/>
                <w:u w:val="none" w:color="auto"/>
              </w:rPr>
            </w:pPr>
            <w:r>
              <w:rPr>
                <w:rFonts w:hint="eastAsia" w:ascii="宋体" w:hAnsi="宋体" w:eastAsia="宋体" w:cs="仿宋"/>
                <w:color w:val="000000"/>
                <w:kern w:val="0"/>
                <w:szCs w:val="21"/>
                <w:u w:val="none" w:color="auto"/>
              </w:rPr>
              <w:t>项目须在合同签订后</w:t>
            </w:r>
            <w:r>
              <w:rPr>
                <w:rFonts w:hint="eastAsia" w:ascii="宋体" w:hAnsi="宋体" w:eastAsia="宋体" w:cs="仿宋"/>
                <w:color w:val="000000"/>
                <w:kern w:val="0"/>
                <w:szCs w:val="21"/>
                <w:u w:val="none" w:color="auto"/>
                <w:lang w:val="en-US" w:eastAsia="zh-CN"/>
              </w:rPr>
              <w:t>3</w:t>
            </w:r>
            <w:r>
              <w:rPr>
                <w:rFonts w:hint="eastAsia" w:ascii="宋体" w:hAnsi="宋体" w:eastAsia="宋体" w:cs="仿宋"/>
                <w:color w:val="000000"/>
                <w:kern w:val="0"/>
                <w:szCs w:val="21"/>
                <w:u w:val="none" w:color="auto"/>
              </w:rPr>
              <w:t>个月内交付使用，投标人需提供详细的项目进度计划。</w:t>
            </w:r>
          </w:p>
        </w:tc>
      </w:tr>
      <w:tr w14:paraId="53DE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7A32C0F">
            <w:pPr>
              <w:snapToGrid w:val="0"/>
              <w:spacing w:line="240" w:lineRule="exact"/>
              <w:jc w:val="center"/>
              <w:rPr>
                <w:rFonts w:ascii="Times New Roman" w:hAnsi="Times New Roman"/>
                <w:b/>
                <w:u w:val="none" w:color="auto"/>
              </w:rPr>
            </w:pPr>
            <w:r>
              <w:rPr>
                <w:rFonts w:ascii="Times New Roman" w:hAnsi="Times New Roman"/>
                <w:b/>
                <w:u w:val="none" w:color="auto"/>
              </w:rPr>
              <w:t>6</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184AA6F">
            <w:pPr>
              <w:spacing w:line="240" w:lineRule="exact"/>
              <w:jc w:val="center"/>
              <w:rPr>
                <w:rFonts w:ascii="Times New Roman" w:hAnsi="Times New Roman"/>
                <w:b/>
                <w:szCs w:val="21"/>
                <w:u w:val="none" w:color="auto"/>
              </w:rPr>
            </w:pPr>
            <w:r>
              <w:rPr>
                <w:rFonts w:hint="eastAsia" w:ascii="Times New Roman" w:hAnsi="Times New Roman"/>
                <w:b/>
                <w:szCs w:val="21"/>
                <w:u w:val="none" w:color="auto"/>
              </w:rPr>
              <w:t>投标有效期</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0101CD">
            <w:pPr>
              <w:spacing w:line="240" w:lineRule="exact"/>
              <w:rPr>
                <w:rFonts w:ascii="Times New Roman" w:hAnsi="Times New Roman"/>
                <w:szCs w:val="21"/>
                <w:u w:val="none" w:color="auto"/>
              </w:rPr>
            </w:pPr>
            <w:r>
              <w:rPr>
                <w:rFonts w:ascii="Times New Roman" w:hAnsi="Times New Roman"/>
                <w:szCs w:val="21"/>
                <w:u w:val="none" w:color="auto"/>
              </w:rPr>
              <w:t>90</w:t>
            </w:r>
            <w:r>
              <w:rPr>
                <w:rFonts w:hint="eastAsia" w:ascii="Times New Roman" w:hAnsi="Times New Roman"/>
                <w:szCs w:val="21"/>
                <w:u w:val="none" w:color="auto"/>
              </w:rPr>
              <w:t>日历天。（从投标截止之日算起）</w:t>
            </w:r>
          </w:p>
        </w:tc>
      </w:tr>
      <w:tr w14:paraId="6A46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89B213">
            <w:pPr>
              <w:snapToGrid w:val="0"/>
              <w:spacing w:line="240" w:lineRule="exact"/>
              <w:jc w:val="center"/>
              <w:rPr>
                <w:rFonts w:ascii="Times New Roman" w:hAnsi="Times New Roman"/>
                <w:b/>
                <w:u w:val="none" w:color="auto"/>
              </w:rPr>
            </w:pPr>
            <w:r>
              <w:rPr>
                <w:rFonts w:ascii="Times New Roman" w:hAnsi="Times New Roman"/>
                <w:b/>
                <w:u w:val="none" w:color="auto"/>
              </w:rPr>
              <w:t>7</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5323AD9">
            <w:pPr>
              <w:spacing w:line="240" w:lineRule="exact"/>
              <w:jc w:val="center"/>
              <w:rPr>
                <w:rFonts w:hint="eastAsia" w:ascii="Times New Roman" w:hAnsi="Times New Roman" w:eastAsia="宋体"/>
                <w:b/>
                <w:szCs w:val="21"/>
                <w:u w:val="none" w:color="auto"/>
                <w:lang w:eastAsia="zh-CN"/>
              </w:rPr>
            </w:pPr>
            <w:r>
              <w:rPr>
                <w:rFonts w:hint="eastAsia" w:ascii="Times New Roman" w:hAnsi="Times New Roman"/>
                <w:b/>
                <w:szCs w:val="21"/>
                <w:u w:val="none" w:color="auto"/>
                <w:lang w:eastAsia="zh-CN"/>
              </w:rPr>
              <w:t>评标方法</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8ECF7ED">
            <w:pPr>
              <w:spacing w:line="240" w:lineRule="exact"/>
              <w:rPr>
                <w:rFonts w:ascii="Times New Roman" w:hAnsi="Times New Roman"/>
                <w:szCs w:val="21"/>
                <w:u w:val="none" w:color="auto"/>
              </w:rPr>
            </w:pPr>
            <w:r>
              <w:rPr>
                <w:rFonts w:hint="eastAsia" w:ascii="Times New Roman" w:hAnsi="Times New Roman"/>
                <w:szCs w:val="21"/>
                <w:u w:val="none" w:color="auto"/>
              </w:rPr>
              <w:t>综合评分法</w:t>
            </w:r>
          </w:p>
        </w:tc>
      </w:tr>
      <w:tr w14:paraId="0970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45657F9">
            <w:pPr>
              <w:snapToGrid w:val="0"/>
              <w:spacing w:line="240" w:lineRule="exact"/>
              <w:jc w:val="center"/>
              <w:rPr>
                <w:rFonts w:ascii="Times New Roman" w:hAnsi="Times New Roman"/>
                <w:b/>
                <w:u w:val="none" w:color="auto"/>
              </w:rPr>
            </w:pPr>
            <w:r>
              <w:rPr>
                <w:rFonts w:ascii="Times New Roman" w:hAnsi="Times New Roman"/>
                <w:b/>
                <w:u w:val="none" w:color="auto"/>
              </w:rPr>
              <w:t>8</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189537">
            <w:pPr>
              <w:spacing w:line="240" w:lineRule="exact"/>
              <w:jc w:val="center"/>
              <w:rPr>
                <w:rFonts w:ascii="Times New Roman" w:hAnsi="Times New Roman"/>
                <w:b/>
                <w:szCs w:val="21"/>
                <w:u w:val="none" w:color="auto"/>
              </w:rPr>
            </w:pPr>
            <w:r>
              <w:rPr>
                <w:rFonts w:hint="eastAsia" w:ascii="Times New Roman" w:hAnsi="Times New Roman"/>
                <w:b/>
                <w:szCs w:val="21"/>
                <w:u w:val="none" w:color="auto"/>
              </w:rPr>
              <w:t>签订合同</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743494">
            <w:pPr>
              <w:spacing w:line="240" w:lineRule="exact"/>
              <w:rPr>
                <w:rFonts w:ascii="Times New Roman" w:hAnsi="Times New Roman"/>
                <w:szCs w:val="21"/>
                <w:u w:val="none" w:color="auto"/>
              </w:rPr>
            </w:pPr>
            <w:r>
              <w:rPr>
                <w:rFonts w:hint="eastAsia" w:ascii="Times New Roman" w:hAnsi="Times New Roman"/>
                <w:szCs w:val="21"/>
                <w:u w:val="none" w:color="auto"/>
              </w:rPr>
              <w:t>中标通知书发出后</w:t>
            </w:r>
            <w:r>
              <w:rPr>
                <w:rFonts w:ascii="Times New Roman" w:hAnsi="Times New Roman"/>
                <w:szCs w:val="21"/>
                <w:u w:val="none" w:color="auto"/>
              </w:rPr>
              <w:t>30</w:t>
            </w:r>
            <w:r>
              <w:rPr>
                <w:rFonts w:hint="eastAsia" w:ascii="Times New Roman" w:hAnsi="Times New Roman"/>
                <w:szCs w:val="21"/>
                <w:u w:val="none" w:color="auto"/>
              </w:rPr>
              <w:t>天内。</w:t>
            </w:r>
          </w:p>
        </w:tc>
      </w:tr>
      <w:tr w14:paraId="2FFC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C31A1BB">
            <w:pPr>
              <w:snapToGrid w:val="0"/>
              <w:spacing w:line="240" w:lineRule="exact"/>
              <w:jc w:val="center"/>
              <w:rPr>
                <w:rFonts w:ascii="Times New Roman" w:hAnsi="Times New Roman"/>
                <w:b/>
                <w:u w:val="none" w:color="auto"/>
              </w:rPr>
            </w:pPr>
            <w:r>
              <w:rPr>
                <w:rFonts w:ascii="Times New Roman" w:hAnsi="Times New Roman"/>
                <w:b/>
                <w:u w:val="none" w:color="auto"/>
              </w:rPr>
              <w:t>9</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FF7C215">
            <w:pPr>
              <w:spacing w:line="240" w:lineRule="exact"/>
              <w:jc w:val="center"/>
              <w:rPr>
                <w:rFonts w:ascii="Times New Roman" w:hAnsi="Times New Roman"/>
                <w:b/>
                <w:color w:val="auto"/>
                <w:szCs w:val="21"/>
                <w:u w:val="none" w:color="auto"/>
              </w:rPr>
            </w:pPr>
            <w:r>
              <w:rPr>
                <w:rFonts w:hint="eastAsia" w:ascii="Times New Roman" w:hAnsi="Times New Roman"/>
                <w:b/>
                <w:color w:val="auto"/>
                <w:szCs w:val="21"/>
                <w:u w:val="none" w:color="auto"/>
              </w:rPr>
              <w:t>资金结算</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D8AC940">
            <w:pPr>
              <w:snapToGrid w:val="0"/>
              <w:textAlignment w:val="baseline"/>
              <w:rPr>
                <w:rFonts w:hint="eastAsia" w:ascii="宋体" w:hAnsi="宋体"/>
                <w:bCs/>
                <w:color w:val="auto"/>
                <w:szCs w:val="21"/>
                <w:u w:val="none" w:color="auto"/>
              </w:rPr>
            </w:pPr>
            <w:r>
              <w:rPr>
                <w:rFonts w:hint="eastAsia" w:ascii="宋体" w:hAnsi="宋体"/>
                <w:color w:val="auto"/>
                <w:u w:val="none" w:color="auto"/>
              </w:rPr>
              <w:t>合同生效以及具备实施条件，自收到发票后7个工作日内，支付合同金额的</w:t>
            </w:r>
            <w:r>
              <w:rPr>
                <w:rFonts w:hint="eastAsia" w:ascii="宋体" w:hAnsi="宋体"/>
                <w:color w:val="auto"/>
                <w:u w:val="none" w:color="auto"/>
                <w:lang w:val="en-US" w:eastAsia="zh-CN"/>
              </w:rPr>
              <w:t>5</w:t>
            </w:r>
            <w:r>
              <w:rPr>
                <w:rFonts w:hint="eastAsia" w:ascii="宋体" w:hAnsi="宋体"/>
                <w:color w:val="auto"/>
                <w:u w:val="none" w:color="auto"/>
              </w:rPr>
              <w:t>0%作为预付款，项目实施完成并通过验收合格后，自收到发票后7个工作日内，支付剩余款项。</w:t>
            </w:r>
          </w:p>
        </w:tc>
      </w:tr>
      <w:tr w14:paraId="637D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A0AD558">
            <w:pPr>
              <w:snapToGrid w:val="0"/>
              <w:spacing w:line="240" w:lineRule="exact"/>
              <w:jc w:val="center"/>
              <w:rPr>
                <w:rFonts w:ascii="Times New Roman" w:hAnsi="Times New Roman"/>
                <w:b/>
                <w:u w:val="none" w:color="auto"/>
              </w:rPr>
            </w:pPr>
            <w:r>
              <w:rPr>
                <w:rFonts w:ascii="Times New Roman" w:hAnsi="Times New Roman"/>
                <w:b/>
                <w:u w:val="none" w:color="auto"/>
              </w:rPr>
              <w:t>10</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2636334">
            <w:pPr>
              <w:spacing w:line="240" w:lineRule="exact"/>
              <w:jc w:val="center"/>
              <w:rPr>
                <w:rFonts w:ascii="Times New Roman" w:hAnsi="Times New Roman"/>
                <w:b/>
                <w:szCs w:val="21"/>
                <w:u w:val="none" w:color="auto"/>
              </w:rPr>
            </w:pPr>
            <w:r>
              <w:rPr>
                <w:rFonts w:hint="eastAsia" w:ascii="Times New Roman" w:hAnsi="Times New Roman"/>
                <w:b/>
                <w:szCs w:val="21"/>
                <w:u w:val="none" w:color="auto"/>
              </w:rPr>
              <w:t>投标报价</w:t>
            </w:r>
          </w:p>
          <w:p w14:paraId="709BA1F8">
            <w:pPr>
              <w:spacing w:line="240" w:lineRule="exact"/>
              <w:jc w:val="center"/>
              <w:rPr>
                <w:rFonts w:ascii="Times New Roman" w:hAnsi="Times New Roman"/>
                <w:b/>
                <w:szCs w:val="21"/>
                <w:u w:val="none" w:color="auto"/>
              </w:rPr>
            </w:pPr>
            <w:r>
              <w:rPr>
                <w:rFonts w:hint="eastAsia" w:ascii="Times New Roman" w:hAnsi="Times New Roman"/>
                <w:b/>
                <w:szCs w:val="21"/>
                <w:u w:val="none" w:color="auto"/>
              </w:rPr>
              <w:t>与费用</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1F9B6E">
            <w:pPr>
              <w:spacing w:line="240" w:lineRule="exact"/>
              <w:rPr>
                <w:rFonts w:ascii="Times New Roman" w:hAnsi="Times New Roman"/>
                <w:szCs w:val="21"/>
                <w:u w:val="none" w:color="auto"/>
              </w:rPr>
            </w:pPr>
            <w:r>
              <w:rPr>
                <w:rFonts w:ascii="Times New Roman" w:hAnsi="Times New Roman"/>
                <w:szCs w:val="21"/>
                <w:u w:val="none" w:color="auto"/>
              </w:rPr>
              <w:t>1.</w:t>
            </w:r>
            <w:r>
              <w:rPr>
                <w:rFonts w:hint="eastAsia" w:ascii="Times New Roman" w:hAnsi="Times New Roman"/>
                <w:szCs w:val="21"/>
                <w:u w:val="none" w:color="auto"/>
              </w:rPr>
              <w:t>本项目的投标应以人民币报价，投标报价应包括所有费用。</w:t>
            </w:r>
          </w:p>
          <w:p w14:paraId="0D7CA0B4">
            <w:pPr>
              <w:spacing w:line="240" w:lineRule="exact"/>
              <w:rPr>
                <w:rFonts w:ascii="Times New Roman" w:hAnsi="Times New Roman"/>
                <w:bCs/>
                <w:szCs w:val="21"/>
                <w:u w:val="none" w:color="auto"/>
              </w:rPr>
            </w:pPr>
            <w:r>
              <w:rPr>
                <w:rFonts w:ascii="Times New Roman" w:hAnsi="Times New Roman"/>
                <w:szCs w:val="21"/>
                <w:u w:val="none" w:color="auto"/>
              </w:rPr>
              <w:t>2.</w:t>
            </w:r>
            <w:r>
              <w:rPr>
                <w:rFonts w:hint="eastAsia" w:ascii="Times New Roman" w:hAnsi="Times New Roman"/>
                <w:szCs w:val="21"/>
                <w:u w:val="none" w:color="auto"/>
              </w:rPr>
              <w:t>投</w:t>
            </w:r>
            <w:r>
              <w:rPr>
                <w:rFonts w:hint="eastAsia" w:ascii="Times New Roman" w:hAnsi="Times New Roman"/>
                <w:bCs/>
                <w:szCs w:val="21"/>
                <w:u w:val="none" w:color="auto"/>
              </w:rPr>
              <w:t xml:space="preserve">标人应承担其参加本招标活动自身所发生的费用。 </w:t>
            </w:r>
          </w:p>
          <w:p w14:paraId="3813A714">
            <w:pPr>
              <w:spacing w:line="240" w:lineRule="exact"/>
              <w:rPr>
                <w:rFonts w:ascii="Times New Roman" w:hAnsi="Times New Roman"/>
                <w:bCs/>
                <w:szCs w:val="21"/>
                <w:u w:val="none" w:color="auto"/>
              </w:rPr>
            </w:pPr>
            <w:r>
              <w:rPr>
                <w:rFonts w:ascii="Times New Roman" w:hAnsi="Times New Roman"/>
                <w:bCs/>
                <w:szCs w:val="21"/>
                <w:u w:val="none" w:color="auto"/>
              </w:rPr>
              <w:t>3.</w:t>
            </w:r>
            <w:r>
              <w:rPr>
                <w:rFonts w:hint="eastAsia" w:ascii="Times New Roman" w:hAnsi="Times New Roman"/>
                <w:bCs/>
                <w:szCs w:val="21"/>
                <w:u w:val="none" w:color="auto"/>
              </w:rPr>
              <w:t>中标人须缴纳招标代理费，收费金额为：人民币</w:t>
            </w:r>
            <w:r>
              <w:rPr>
                <w:rFonts w:hint="eastAsia" w:ascii="Times New Roman" w:hAnsi="Times New Roman"/>
                <w:bCs/>
                <w:szCs w:val="21"/>
                <w:u w:val="none" w:color="auto"/>
                <w:lang w:val="en-US" w:eastAsia="zh-CN"/>
              </w:rPr>
              <w:t>玖仟</w:t>
            </w:r>
            <w:r>
              <w:rPr>
                <w:rFonts w:hint="eastAsia" w:ascii="Times New Roman" w:hAnsi="Times New Roman"/>
                <w:bCs/>
                <w:szCs w:val="21"/>
                <w:u w:val="none" w:color="auto"/>
              </w:rPr>
              <w:t>元整（</w:t>
            </w:r>
            <w:r>
              <w:rPr>
                <w:rFonts w:hint="eastAsia" w:ascii="Times New Roman" w:hAnsi="Times New Roman"/>
                <w:bCs/>
                <w:szCs w:val="21"/>
                <w:u w:val="none" w:color="auto"/>
                <w:lang w:val="en-US" w:eastAsia="zh-CN"/>
              </w:rPr>
              <w:t>90</w:t>
            </w:r>
            <w:r>
              <w:rPr>
                <w:rFonts w:hint="eastAsia" w:ascii="Times New Roman" w:hAnsi="Times New Roman"/>
                <w:bCs/>
                <w:szCs w:val="21"/>
                <w:u w:val="none" w:color="auto"/>
              </w:rPr>
              <w:t>00.00元）。</w:t>
            </w:r>
          </w:p>
          <w:p w14:paraId="6CDA7B69">
            <w:pPr>
              <w:rPr>
                <w:rFonts w:ascii="Times New Roman" w:hAnsi="Times New Roman"/>
                <w:szCs w:val="21"/>
                <w:u w:val="none" w:color="auto"/>
              </w:rPr>
            </w:pPr>
            <w:r>
              <w:rPr>
                <w:rFonts w:ascii="Times New Roman" w:hAnsi="Times New Roman"/>
                <w:u w:val="none" w:color="auto"/>
              </w:rPr>
              <w:t>4.</w:t>
            </w:r>
            <w:r>
              <w:rPr>
                <w:rFonts w:hint="eastAsia" w:ascii="Times New Roman" w:hAnsi="Times New Roman"/>
                <w:u w:val="none" w:color="auto"/>
              </w:rPr>
              <w:t>中标通知书发出的同时，中标人应及时支付招标代理费，收到服务费后提供全额发票。</w:t>
            </w:r>
            <w:r>
              <w:rPr>
                <w:rFonts w:hint="eastAsia" w:ascii="Times New Roman" w:hAnsi="Times New Roman" w:eastAsia="宋体" w:cs="Times New Roman"/>
                <w:u w:val="none" w:color="auto"/>
              </w:rPr>
              <w:t>中标结果确认后，因中标单位自身原因退出中标，招标代理费不予退回。</w:t>
            </w:r>
          </w:p>
        </w:tc>
      </w:tr>
      <w:tr w14:paraId="09EF1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95DC284">
            <w:pPr>
              <w:snapToGrid w:val="0"/>
              <w:spacing w:line="240" w:lineRule="exact"/>
              <w:jc w:val="center"/>
              <w:rPr>
                <w:rFonts w:ascii="Times New Roman" w:hAnsi="Times New Roman"/>
                <w:b/>
                <w:u w:val="none" w:color="auto"/>
              </w:rPr>
            </w:pPr>
            <w:r>
              <w:rPr>
                <w:rFonts w:ascii="Times New Roman" w:hAnsi="Times New Roman"/>
                <w:b/>
                <w:u w:val="none" w:color="auto"/>
              </w:rPr>
              <w:t>11</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BF3EC29">
            <w:pPr>
              <w:spacing w:line="240" w:lineRule="exact"/>
              <w:jc w:val="center"/>
              <w:rPr>
                <w:rFonts w:ascii="Times New Roman" w:hAnsi="Times New Roman"/>
                <w:b/>
                <w:szCs w:val="21"/>
                <w:u w:val="none" w:color="auto"/>
              </w:rPr>
            </w:pPr>
            <w:r>
              <w:rPr>
                <w:rFonts w:hint="eastAsia" w:ascii="Times New Roman" w:hAnsi="Times New Roman"/>
                <w:b/>
                <w:szCs w:val="21"/>
                <w:u w:val="none" w:color="auto"/>
              </w:rPr>
              <w:t>银行账号</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3DF9621">
            <w:pPr>
              <w:spacing w:line="240" w:lineRule="exact"/>
              <w:rPr>
                <w:rFonts w:ascii="Times New Roman" w:hAnsi="Times New Roman"/>
                <w:szCs w:val="21"/>
                <w:u w:val="none" w:color="auto"/>
              </w:rPr>
            </w:pPr>
            <w:r>
              <w:rPr>
                <w:rFonts w:hint="eastAsia" w:ascii="Times New Roman" w:hAnsi="Times New Roman"/>
                <w:szCs w:val="21"/>
                <w:u w:val="none" w:color="auto"/>
              </w:rPr>
              <w:t>收款单位：深圳市国信招标有限公司舟山分公司</w:t>
            </w:r>
          </w:p>
          <w:p w14:paraId="0E064392">
            <w:pPr>
              <w:spacing w:line="240" w:lineRule="exact"/>
              <w:rPr>
                <w:rFonts w:ascii="Times New Roman" w:hAnsi="Times New Roman"/>
                <w:szCs w:val="21"/>
                <w:u w:val="none" w:color="auto"/>
              </w:rPr>
            </w:pPr>
            <w:r>
              <w:rPr>
                <w:rFonts w:hint="eastAsia" w:ascii="Times New Roman" w:hAnsi="Times New Roman"/>
                <w:szCs w:val="21"/>
                <w:u w:val="none" w:color="auto"/>
              </w:rPr>
              <w:t>开户银行：中国工商银行舟山市定海区支行</w:t>
            </w:r>
          </w:p>
          <w:p w14:paraId="6E4559DB">
            <w:pPr>
              <w:spacing w:line="240" w:lineRule="exact"/>
              <w:rPr>
                <w:rFonts w:ascii="Times New Roman" w:hAnsi="Times New Roman"/>
                <w:szCs w:val="21"/>
                <w:u w:val="none" w:color="auto"/>
              </w:rPr>
            </w:pPr>
            <w:r>
              <w:rPr>
                <w:rFonts w:hint="eastAsia" w:ascii="Times New Roman" w:hAnsi="Times New Roman"/>
                <w:szCs w:val="21"/>
                <w:u w:val="none" w:color="auto"/>
              </w:rPr>
              <w:t>银行账号：</w:t>
            </w:r>
            <w:r>
              <w:rPr>
                <w:rFonts w:ascii="Times New Roman" w:hAnsi="Times New Roman"/>
                <w:szCs w:val="21"/>
                <w:u w:val="none" w:color="auto"/>
              </w:rPr>
              <w:t>1206020209200081758</w:t>
            </w:r>
          </w:p>
        </w:tc>
      </w:tr>
      <w:tr w14:paraId="0DD5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FC52E7">
            <w:pPr>
              <w:snapToGrid w:val="0"/>
              <w:spacing w:line="240" w:lineRule="exact"/>
              <w:jc w:val="center"/>
              <w:rPr>
                <w:rFonts w:ascii="Times New Roman" w:hAnsi="Times New Roman"/>
                <w:b/>
                <w:u w:val="none" w:color="auto"/>
              </w:rPr>
            </w:pPr>
            <w:r>
              <w:rPr>
                <w:rFonts w:ascii="Times New Roman" w:hAnsi="Times New Roman"/>
                <w:b/>
                <w:u w:val="none" w:color="auto"/>
              </w:rPr>
              <w:t>12</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C83D50C">
            <w:pPr>
              <w:spacing w:line="240" w:lineRule="exact"/>
              <w:jc w:val="center"/>
              <w:rPr>
                <w:rFonts w:ascii="Times New Roman" w:hAnsi="Times New Roman"/>
                <w:b/>
                <w:szCs w:val="21"/>
                <w:u w:val="none" w:color="auto"/>
              </w:rPr>
            </w:pPr>
            <w:r>
              <w:rPr>
                <w:rFonts w:hint="eastAsia" w:ascii="Times New Roman" w:hAnsi="Times New Roman"/>
                <w:b/>
                <w:szCs w:val="21"/>
                <w:u w:val="none" w:color="auto"/>
              </w:rPr>
              <w:t>质量标准</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5B46FB8">
            <w:pPr>
              <w:spacing w:line="240" w:lineRule="exact"/>
              <w:rPr>
                <w:rFonts w:ascii="Times New Roman" w:hAnsi="Times New Roman"/>
                <w:szCs w:val="21"/>
                <w:u w:val="none" w:color="auto"/>
              </w:rPr>
            </w:pPr>
            <w:r>
              <w:rPr>
                <w:rFonts w:hint="eastAsia" w:ascii="宋体" w:hAnsi="宋体"/>
                <w:u w:val="none" w:color="auto"/>
              </w:rPr>
              <w:t>合同约定，经验收合格</w:t>
            </w:r>
          </w:p>
        </w:tc>
      </w:tr>
      <w:tr w14:paraId="46D1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670DEB5">
            <w:pPr>
              <w:snapToGrid w:val="0"/>
              <w:spacing w:line="240" w:lineRule="exact"/>
              <w:jc w:val="center"/>
              <w:rPr>
                <w:rFonts w:ascii="Times New Roman" w:hAnsi="Times New Roman"/>
                <w:b/>
                <w:u w:val="none" w:color="auto"/>
              </w:rPr>
            </w:pPr>
            <w:r>
              <w:rPr>
                <w:rFonts w:hint="eastAsia" w:ascii="Times New Roman" w:hAnsi="Times New Roman"/>
                <w:b/>
                <w:u w:val="none" w:color="auto"/>
              </w:rPr>
              <w:t>13</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CFEA11">
            <w:pPr>
              <w:snapToGrid w:val="0"/>
              <w:jc w:val="center"/>
              <w:rPr>
                <w:rFonts w:ascii="Times New Roman" w:hAnsi="Times New Roman"/>
                <w:b/>
                <w:u w:val="none" w:color="auto"/>
              </w:rPr>
            </w:pPr>
            <w:r>
              <w:rPr>
                <w:rFonts w:hint="eastAsia" w:ascii="Times New Roman" w:hAnsi="Times New Roman"/>
                <w:b/>
                <w:u w:val="none" w:color="auto"/>
              </w:rPr>
              <w:t>履约保证金</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B3FC17D">
            <w:pPr>
              <w:snapToGrid w:val="0"/>
              <w:rPr>
                <w:rFonts w:ascii="Times New Roman" w:hAnsi="Times New Roman"/>
                <w:szCs w:val="21"/>
                <w:u w:val="none" w:color="auto"/>
              </w:rPr>
            </w:pPr>
            <w:r>
              <w:rPr>
                <w:rFonts w:hint="eastAsia" w:ascii="Times New Roman" w:hAnsi="Times New Roman"/>
                <w:szCs w:val="21"/>
                <w:u w:val="none" w:color="auto"/>
              </w:rPr>
              <w:t>无</w:t>
            </w:r>
          </w:p>
        </w:tc>
      </w:tr>
      <w:tr w14:paraId="3F9D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2D65EC8">
            <w:pPr>
              <w:snapToGrid w:val="0"/>
              <w:spacing w:line="240" w:lineRule="exact"/>
              <w:jc w:val="center"/>
              <w:rPr>
                <w:rFonts w:ascii="Times New Roman" w:hAnsi="Times New Roman"/>
                <w:b/>
                <w:u w:val="none" w:color="auto"/>
              </w:rPr>
            </w:pPr>
            <w:r>
              <w:rPr>
                <w:rFonts w:ascii="Times New Roman" w:hAnsi="Times New Roman"/>
                <w:b/>
                <w:u w:val="none" w:color="auto"/>
              </w:rPr>
              <w:t>1</w:t>
            </w:r>
            <w:r>
              <w:rPr>
                <w:rFonts w:hint="eastAsia" w:ascii="Times New Roman" w:hAnsi="Times New Roman"/>
                <w:b/>
                <w:u w:val="none" w:color="auto"/>
              </w:rPr>
              <w:t>4</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AC5864E">
            <w:pPr>
              <w:snapToGrid w:val="0"/>
              <w:jc w:val="center"/>
              <w:rPr>
                <w:rFonts w:ascii="Times New Roman" w:hAnsi="Times New Roman"/>
                <w:b/>
                <w:u w:val="none" w:color="auto"/>
              </w:rPr>
            </w:pPr>
            <w:r>
              <w:rPr>
                <w:rFonts w:hint="eastAsia" w:ascii="Times New Roman" w:hAnsi="Times New Roman"/>
                <w:b/>
                <w:u w:val="none" w:color="auto"/>
              </w:rPr>
              <w:t>投标文件的</w:t>
            </w:r>
          </w:p>
          <w:p w14:paraId="42EC39A9">
            <w:pPr>
              <w:snapToGrid w:val="0"/>
              <w:jc w:val="center"/>
              <w:rPr>
                <w:rFonts w:ascii="Times New Roman" w:hAnsi="Times New Roman"/>
                <w:b/>
                <w:u w:val="none" w:color="auto"/>
              </w:rPr>
            </w:pPr>
            <w:r>
              <w:rPr>
                <w:rFonts w:hint="eastAsia" w:ascii="Times New Roman" w:hAnsi="Times New Roman"/>
                <w:b/>
                <w:u w:val="none" w:color="auto"/>
              </w:rPr>
              <w:t>组成</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9E59DB">
            <w:pPr>
              <w:snapToGrid w:val="0"/>
              <w:rPr>
                <w:rFonts w:ascii="Times New Roman" w:hAnsi="Times New Roman"/>
                <w:szCs w:val="21"/>
                <w:u w:val="none" w:color="auto"/>
              </w:rPr>
            </w:pPr>
            <w:r>
              <w:rPr>
                <w:rFonts w:hint="eastAsia" w:ascii="Times New Roman" w:hAnsi="Times New Roman"/>
                <w:szCs w:val="21"/>
                <w:u w:val="none" w:color="auto"/>
              </w:rPr>
              <w:t>投标文件由资格响应文件、商务及技术响应文件、报价文件组成。</w:t>
            </w:r>
          </w:p>
        </w:tc>
      </w:tr>
      <w:tr w14:paraId="37DD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D211581">
            <w:pPr>
              <w:snapToGrid w:val="0"/>
              <w:spacing w:line="240" w:lineRule="exact"/>
              <w:jc w:val="center"/>
              <w:rPr>
                <w:rFonts w:ascii="Times New Roman" w:hAnsi="Times New Roman"/>
                <w:b/>
                <w:u w:val="none" w:color="auto"/>
              </w:rPr>
            </w:pPr>
            <w:r>
              <w:rPr>
                <w:rFonts w:ascii="Times New Roman" w:hAnsi="Times New Roman"/>
                <w:b/>
                <w:u w:val="none" w:color="auto"/>
              </w:rPr>
              <w:t>1</w:t>
            </w:r>
            <w:r>
              <w:rPr>
                <w:rFonts w:hint="eastAsia" w:ascii="Times New Roman" w:hAnsi="Times New Roman"/>
                <w:b/>
                <w:u w:val="none" w:color="auto"/>
              </w:rPr>
              <w:t>5</w:t>
            </w:r>
          </w:p>
        </w:tc>
        <w:tc>
          <w:tcPr>
            <w:tcW w:w="13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2E6886E0">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u w:val="none" w:color="auto"/>
              </w:rPr>
            </w:pPr>
            <w:r>
              <w:rPr>
                <w:rFonts w:hint="eastAsia" w:ascii="Times New Roman" w:hAnsi="Times New Roman"/>
                <w:b/>
                <w:u w:val="none" w:color="auto"/>
              </w:rPr>
              <w:t>投标文件的</w:t>
            </w:r>
          </w:p>
          <w:p w14:paraId="792F8029">
            <w:pPr>
              <w:keepNext w:val="0"/>
              <w:keepLines w:val="0"/>
              <w:pageBreakBefore w:val="0"/>
              <w:widowControl w:val="0"/>
              <w:kinsoku/>
              <w:wordWrap/>
              <w:overflowPunct/>
              <w:topLinePunct w:val="0"/>
              <w:autoSpaceDE/>
              <w:autoSpaceDN/>
              <w:bidi w:val="0"/>
              <w:adjustRightInd/>
              <w:spacing w:line="240" w:lineRule="exact"/>
              <w:ind w:firstLine="517" w:firstLineChars="245"/>
              <w:textAlignment w:val="auto"/>
              <w:rPr>
                <w:rFonts w:ascii="Times New Roman" w:hAnsi="Times New Roman"/>
                <w:b/>
                <w:szCs w:val="21"/>
                <w:u w:val="none" w:color="auto"/>
                <w:shd w:val="pct10" w:color="auto" w:fill="FFFFFF"/>
              </w:rPr>
            </w:pPr>
            <w:r>
              <w:rPr>
                <w:rFonts w:hint="eastAsia" w:ascii="Times New Roman" w:hAnsi="Times New Roman"/>
                <w:b/>
                <w:u w:val="none" w:color="auto"/>
              </w:rPr>
              <w:t>制作</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90A2806">
            <w:pPr>
              <w:keepNext w:val="0"/>
              <w:keepLines w:val="0"/>
              <w:pageBreakBefore w:val="0"/>
              <w:widowControl w:val="0"/>
              <w:kinsoku/>
              <w:wordWrap/>
              <w:overflowPunct/>
              <w:topLinePunct w:val="0"/>
              <w:autoSpaceDE/>
              <w:autoSpaceDN/>
              <w:bidi w:val="0"/>
              <w:adjustRightInd/>
              <w:spacing w:line="240" w:lineRule="exact"/>
              <w:textAlignment w:val="auto"/>
              <w:rPr>
                <w:rFonts w:ascii="Times New Roman" w:hAnsi="Times New Roman"/>
                <w:szCs w:val="21"/>
                <w:u w:val="none" w:color="auto"/>
              </w:rPr>
            </w:pPr>
            <w:r>
              <w:rPr>
                <w:rFonts w:hint="eastAsia" w:ascii="Times New Roman" w:hAnsi="Times New Roman"/>
                <w:szCs w:val="21"/>
                <w:u w:val="none" w:color="auto"/>
              </w:rPr>
              <w:t>本项目实行电子投标。</w:t>
            </w:r>
          </w:p>
          <w:p w14:paraId="08D690DC">
            <w:pPr>
              <w:keepNext w:val="0"/>
              <w:keepLines w:val="0"/>
              <w:pageBreakBefore w:val="0"/>
              <w:widowControl w:val="0"/>
              <w:kinsoku/>
              <w:wordWrap/>
              <w:overflowPunct/>
              <w:topLinePunct w:val="0"/>
              <w:autoSpaceDE/>
              <w:autoSpaceDN/>
              <w:bidi w:val="0"/>
              <w:adjustRightInd/>
              <w:spacing w:line="240" w:lineRule="exact"/>
              <w:textAlignment w:val="auto"/>
              <w:rPr>
                <w:rFonts w:ascii="Times New Roman" w:hAnsi="Times New Roman"/>
                <w:szCs w:val="21"/>
                <w:u w:val="none" w:color="auto"/>
              </w:rPr>
            </w:pPr>
            <w:r>
              <w:rPr>
                <w:rFonts w:hint="eastAsia" w:ascii="Times New Roman" w:hAnsi="Times New Roman"/>
                <w:szCs w:val="21"/>
                <w:u w:val="none" w:color="auto"/>
              </w:rPr>
              <w:t>投标人应准备电子投标文件、以介质存储的数据电文形式的备份投标文件：</w:t>
            </w:r>
          </w:p>
          <w:p w14:paraId="150721A7">
            <w:pPr>
              <w:keepNext w:val="0"/>
              <w:keepLines w:val="0"/>
              <w:pageBreakBefore w:val="0"/>
              <w:widowControl w:val="0"/>
              <w:kinsoku/>
              <w:wordWrap/>
              <w:overflowPunct/>
              <w:topLinePunct w:val="0"/>
              <w:autoSpaceDE/>
              <w:autoSpaceDN/>
              <w:bidi w:val="0"/>
              <w:adjustRightInd/>
              <w:spacing w:line="240" w:lineRule="exact"/>
              <w:textAlignment w:val="auto"/>
              <w:rPr>
                <w:rFonts w:ascii="Times New Roman" w:hAnsi="Times New Roman"/>
                <w:szCs w:val="21"/>
                <w:u w:val="none" w:color="auto"/>
              </w:rPr>
            </w:pPr>
            <w:r>
              <w:rPr>
                <w:rFonts w:hint="eastAsia" w:ascii="Times New Roman" w:hAnsi="Times New Roman"/>
                <w:szCs w:val="21"/>
                <w:u w:val="none" w:color="auto"/>
              </w:rPr>
              <w:t>（</w:t>
            </w:r>
            <w:r>
              <w:rPr>
                <w:rFonts w:ascii="Times New Roman" w:hAnsi="Times New Roman"/>
                <w:szCs w:val="21"/>
                <w:u w:val="none" w:color="auto"/>
              </w:rPr>
              <w:t>1</w:t>
            </w:r>
            <w:r>
              <w:rPr>
                <w:rFonts w:hint="eastAsia" w:ascii="Times New Roman" w:hAnsi="Times New Roman"/>
                <w:szCs w:val="21"/>
                <w:u w:val="none" w:color="auto"/>
              </w:rPr>
              <w:t>）电子投标文件，按政采云平台项目采购</w:t>
            </w:r>
            <w:r>
              <w:rPr>
                <w:rFonts w:ascii="Times New Roman" w:hAnsi="Times New Roman"/>
                <w:szCs w:val="21"/>
                <w:u w:val="none" w:color="auto"/>
              </w:rPr>
              <w:t>-</w:t>
            </w:r>
            <w:r>
              <w:rPr>
                <w:rFonts w:hint="eastAsia" w:ascii="Times New Roman" w:hAnsi="Times New Roman"/>
                <w:szCs w:val="21"/>
                <w:u w:val="none" w:color="auto"/>
              </w:rPr>
              <w:t>电子交易操作指南及本招标文件要求递交。</w:t>
            </w:r>
          </w:p>
          <w:p w14:paraId="0A2F2A93">
            <w:pPr>
              <w:keepNext w:val="0"/>
              <w:keepLines w:val="0"/>
              <w:pageBreakBefore w:val="0"/>
              <w:widowControl w:val="0"/>
              <w:kinsoku/>
              <w:wordWrap/>
              <w:overflowPunct/>
              <w:topLinePunct w:val="0"/>
              <w:autoSpaceDE/>
              <w:autoSpaceDN/>
              <w:bidi w:val="0"/>
              <w:adjustRightInd/>
              <w:spacing w:line="240" w:lineRule="exact"/>
              <w:textAlignment w:val="auto"/>
              <w:rPr>
                <w:rFonts w:ascii="Times New Roman" w:hAnsi="Times New Roman"/>
                <w:szCs w:val="21"/>
                <w:u w:val="none" w:color="auto"/>
              </w:rPr>
            </w:pPr>
            <w:r>
              <w:rPr>
                <w:rFonts w:hint="eastAsia" w:ascii="Times New Roman" w:hAnsi="Times New Roman"/>
                <w:szCs w:val="21"/>
                <w:u w:val="none" w:color="auto"/>
              </w:rPr>
              <w:t>（</w:t>
            </w:r>
            <w:r>
              <w:rPr>
                <w:rFonts w:ascii="Times New Roman" w:hAnsi="Times New Roman"/>
                <w:szCs w:val="21"/>
                <w:u w:val="none" w:color="auto"/>
              </w:rPr>
              <w:t>2</w:t>
            </w:r>
            <w:r>
              <w:rPr>
                <w:rFonts w:hint="eastAsia" w:ascii="Times New Roman" w:hAnsi="Times New Roman"/>
                <w:szCs w:val="21"/>
                <w:u w:val="none" w:color="auto"/>
              </w:rPr>
              <w:t>）以介质存储的数据电文形式的备份投标文件，按政采云平台项目采购</w:t>
            </w:r>
            <w:r>
              <w:rPr>
                <w:rFonts w:ascii="Times New Roman" w:hAnsi="Times New Roman"/>
                <w:szCs w:val="21"/>
                <w:u w:val="none" w:color="auto"/>
              </w:rPr>
              <w:t>-</w:t>
            </w:r>
            <w:r>
              <w:rPr>
                <w:rFonts w:hint="eastAsia" w:ascii="Times New Roman" w:hAnsi="Times New Roman"/>
                <w:szCs w:val="21"/>
                <w:u w:val="none" w:color="auto"/>
              </w:rPr>
              <w:t>电子交易操作指南中上传的电子投标文件格式，以</w:t>
            </w:r>
            <w:r>
              <w:rPr>
                <w:rFonts w:ascii="Times New Roman" w:hAnsi="Times New Roman"/>
                <w:szCs w:val="21"/>
                <w:u w:val="none" w:color="auto"/>
              </w:rPr>
              <w:t>U</w:t>
            </w:r>
            <w:r>
              <w:rPr>
                <w:rFonts w:hint="eastAsia" w:ascii="Times New Roman" w:hAnsi="Times New Roman"/>
                <w:szCs w:val="21"/>
                <w:u w:val="none" w:color="auto"/>
              </w:rPr>
              <w:t>盘形式存储提供。数量为</w:t>
            </w:r>
            <w:r>
              <w:rPr>
                <w:rFonts w:ascii="Times New Roman" w:hAnsi="Times New Roman"/>
                <w:szCs w:val="21"/>
                <w:u w:val="none" w:color="auto"/>
              </w:rPr>
              <w:t>1</w:t>
            </w:r>
            <w:r>
              <w:rPr>
                <w:rFonts w:hint="eastAsia" w:ascii="Times New Roman" w:hAnsi="Times New Roman"/>
                <w:szCs w:val="21"/>
                <w:u w:val="none" w:color="auto"/>
              </w:rPr>
              <w:t>份。</w:t>
            </w:r>
          </w:p>
          <w:p w14:paraId="0C3F329C">
            <w:pPr>
              <w:keepNext w:val="0"/>
              <w:keepLines w:val="0"/>
              <w:pageBreakBefore w:val="0"/>
              <w:widowControl w:val="0"/>
              <w:kinsoku/>
              <w:wordWrap/>
              <w:overflowPunct/>
              <w:topLinePunct w:val="0"/>
              <w:autoSpaceDE/>
              <w:autoSpaceDN/>
              <w:bidi w:val="0"/>
              <w:adjustRightInd/>
              <w:spacing w:line="240" w:lineRule="exact"/>
              <w:textAlignment w:val="auto"/>
              <w:rPr>
                <w:rFonts w:ascii="Times New Roman" w:hAnsi="Times New Roman"/>
                <w:szCs w:val="21"/>
                <w:u w:val="none" w:color="auto"/>
              </w:rPr>
            </w:pPr>
            <w:r>
              <w:rPr>
                <w:rFonts w:hint="eastAsia" w:ascii="Times New Roman" w:hAnsi="Times New Roman"/>
                <w:szCs w:val="21"/>
                <w:u w:val="none" w:color="auto"/>
              </w:rPr>
              <w:t>投标文件均由资格响应文件、商务及技术响应文件、报价文件组成。</w:t>
            </w:r>
          </w:p>
          <w:p w14:paraId="6FAAE86C">
            <w:pPr>
              <w:keepNext w:val="0"/>
              <w:keepLines w:val="0"/>
              <w:pageBreakBefore w:val="0"/>
              <w:widowControl w:val="0"/>
              <w:kinsoku/>
              <w:wordWrap/>
              <w:overflowPunct/>
              <w:topLinePunct w:val="0"/>
              <w:autoSpaceDE/>
              <w:autoSpaceDN/>
              <w:bidi w:val="0"/>
              <w:adjustRightInd/>
              <w:spacing w:line="240" w:lineRule="exact"/>
              <w:textAlignment w:val="auto"/>
              <w:rPr>
                <w:rFonts w:ascii="Times New Roman" w:hAnsi="Times New Roman"/>
                <w:szCs w:val="21"/>
                <w:u w:val="none" w:color="auto"/>
              </w:rPr>
            </w:pPr>
            <w:r>
              <w:rPr>
                <w:rFonts w:hint="eastAsia" w:ascii="Times New Roman" w:hAnsi="Times New Roman"/>
                <w:b/>
                <w:szCs w:val="21"/>
                <w:u w:val="none" w:color="auto"/>
              </w:rPr>
              <w:t>投标人可以不提供备份投标文件，造成项目开评标活动无法进行下去的，投标无效，相关风险由投标人自行承担</w:t>
            </w:r>
          </w:p>
        </w:tc>
      </w:tr>
      <w:tr w14:paraId="18EA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62B262">
            <w:pPr>
              <w:snapToGrid w:val="0"/>
              <w:spacing w:line="240" w:lineRule="exact"/>
              <w:jc w:val="center"/>
              <w:rPr>
                <w:rFonts w:ascii="Times New Roman" w:hAnsi="Times New Roman"/>
                <w:b/>
                <w:u w:val="none" w:color="auto"/>
              </w:rPr>
            </w:pPr>
            <w:r>
              <w:rPr>
                <w:rFonts w:ascii="Times New Roman" w:hAnsi="Times New Roman"/>
                <w:b/>
                <w:u w:val="none" w:color="auto"/>
              </w:rPr>
              <w:t>1</w:t>
            </w:r>
            <w:r>
              <w:rPr>
                <w:rFonts w:hint="eastAsia" w:ascii="Times New Roman" w:hAnsi="Times New Roman"/>
                <w:b/>
                <w:u w:val="none" w:color="auto"/>
              </w:rPr>
              <w:t>6</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88CDF54">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u w:val="none" w:color="auto"/>
              </w:rPr>
            </w:pPr>
            <w:r>
              <w:rPr>
                <w:rFonts w:hint="eastAsia" w:ascii="Times New Roman" w:hAnsi="Times New Roman"/>
                <w:b/>
                <w:u w:val="none" w:color="auto"/>
              </w:rPr>
              <w:t>投标文件的</w:t>
            </w:r>
          </w:p>
          <w:p w14:paraId="6D9E2078">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Times New Roman" w:hAnsi="Times New Roman"/>
                <w:b/>
                <w:sz w:val="22"/>
                <w:u w:val="none" w:color="auto"/>
                <w:shd w:val="pct10" w:color="auto" w:fill="FFFFFF"/>
              </w:rPr>
            </w:pPr>
            <w:r>
              <w:rPr>
                <w:rFonts w:hint="eastAsia" w:ascii="Times New Roman" w:hAnsi="Times New Roman"/>
                <w:b/>
                <w:u w:val="none" w:color="auto"/>
              </w:rPr>
              <w:t>组成</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FCD69EF">
            <w:pPr>
              <w:keepNext w:val="0"/>
              <w:keepLines w:val="0"/>
              <w:pageBreakBefore w:val="0"/>
              <w:widowControl w:val="0"/>
              <w:kinsoku/>
              <w:wordWrap/>
              <w:overflowPunct/>
              <w:topLinePunct w:val="0"/>
              <w:autoSpaceDE/>
              <w:autoSpaceDN/>
              <w:bidi w:val="0"/>
              <w:adjustRightInd/>
              <w:spacing w:line="240" w:lineRule="exact"/>
              <w:textAlignment w:val="auto"/>
              <w:rPr>
                <w:rFonts w:ascii="Times New Roman" w:hAnsi="Times New Roman"/>
                <w:sz w:val="22"/>
                <w:szCs w:val="22"/>
                <w:u w:val="none" w:color="auto"/>
              </w:rPr>
            </w:pPr>
            <w:r>
              <w:rPr>
                <w:rFonts w:hint="eastAsia" w:ascii="Times New Roman" w:hAnsi="Times New Roman"/>
                <w:sz w:val="22"/>
                <w:szCs w:val="22"/>
                <w:u w:val="none" w:color="auto"/>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46170A07">
            <w:pPr>
              <w:keepNext w:val="0"/>
              <w:keepLines w:val="0"/>
              <w:pageBreakBefore w:val="0"/>
              <w:widowControl w:val="0"/>
              <w:kinsoku/>
              <w:wordWrap/>
              <w:overflowPunct/>
              <w:topLinePunct w:val="0"/>
              <w:autoSpaceDE/>
              <w:autoSpaceDN/>
              <w:bidi w:val="0"/>
              <w:adjustRightInd/>
              <w:spacing w:line="240" w:lineRule="exact"/>
              <w:textAlignment w:val="auto"/>
              <w:rPr>
                <w:rFonts w:ascii="Times New Roman" w:hAnsi="Times New Roman"/>
                <w:sz w:val="22"/>
                <w:szCs w:val="22"/>
                <w:u w:val="none" w:color="auto"/>
              </w:rPr>
            </w:pPr>
            <w:r>
              <w:rPr>
                <w:rFonts w:hint="eastAsia" w:ascii="Times New Roman" w:hAnsi="Times New Roman"/>
                <w:sz w:val="22"/>
                <w:szCs w:val="22"/>
                <w:u w:val="none" w:color="auto"/>
              </w:rPr>
              <w:t>投标人应当在规定时间前将以介质存储的数据电文形式的备份投标文件寄到或送达采购代理公司：舟山市定海区昌国路</w:t>
            </w:r>
            <w:r>
              <w:rPr>
                <w:rFonts w:ascii="Times New Roman" w:hAnsi="Times New Roman"/>
                <w:sz w:val="22"/>
                <w:szCs w:val="22"/>
                <w:u w:val="none" w:color="auto"/>
              </w:rPr>
              <w:t>232</w:t>
            </w:r>
            <w:r>
              <w:rPr>
                <w:rFonts w:hint="eastAsia" w:ascii="Times New Roman" w:hAnsi="Times New Roman"/>
                <w:sz w:val="22"/>
                <w:szCs w:val="22"/>
                <w:u w:val="none" w:color="auto"/>
              </w:rPr>
              <w:t>号中楼</w:t>
            </w:r>
            <w:r>
              <w:rPr>
                <w:rFonts w:ascii="Times New Roman" w:hAnsi="Times New Roman"/>
                <w:sz w:val="22"/>
                <w:szCs w:val="22"/>
                <w:u w:val="none" w:color="auto"/>
              </w:rPr>
              <w:t>202</w:t>
            </w:r>
            <w:r>
              <w:rPr>
                <w:rFonts w:hint="eastAsia" w:ascii="Times New Roman" w:hAnsi="Times New Roman"/>
                <w:sz w:val="22"/>
                <w:szCs w:val="22"/>
                <w:u w:val="none" w:color="auto"/>
              </w:rPr>
              <w:t>。逾期送达或未密封将被拒收。也可现场递交。</w:t>
            </w:r>
          </w:p>
          <w:p w14:paraId="2479C898">
            <w:pPr>
              <w:keepNext w:val="0"/>
              <w:keepLines w:val="0"/>
              <w:pageBreakBefore w:val="0"/>
              <w:widowControl w:val="0"/>
              <w:kinsoku/>
              <w:wordWrap/>
              <w:overflowPunct/>
              <w:topLinePunct w:val="0"/>
              <w:autoSpaceDE/>
              <w:autoSpaceDN/>
              <w:bidi w:val="0"/>
              <w:adjustRightInd/>
              <w:spacing w:line="240" w:lineRule="exact"/>
              <w:textAlignment w:val="auto"/>
              <w:rPr>
                <w:rFonts w:ascii="Times New Roman" w:hAnsi="Times New Roman"/>
                <w:sz w:val="22"/>
                <w:szCs w:val="22"/>
                <w:u w:val="none" w:color="auto"/>
              </w:rPr>
            </w:pPr>
            <w:r>
              <w:rPr>
                <w:rFonts w:hint="eastAsia" w:ascii="Times New Roman" w:hAnsi="Times New Roman"/>
                <w:sz w:val="22"/>
                <w:szCs w:val="22"/>
                <w:u w:val="none" w:color="auto"/>
              </w:rPr>
              <w:t>投标人递交以介质存储的数据电文形式的备份投标文件时，如出现下列情况之一的，将被拒收：</w:t>
            </w:r>
          </w:p>
          <w:p w14:paraId="7D0FD0A4">
            <w:pPr>
              <w:keepNext w:val="0"/>
              <w:keepLines w:val="0"/>
              <w:pageBreakBefore w:val="0"/>
              <w:widowControl w:val="0"/>
              <w:kinsoku/>
              <w:wordWrap/>
              <w:overflowPunct/>
              <w:topLinePunct w:val="0"/>
              <w:autoSpaceDE/>
              <w:autoSpaceDN/>
              <w:bidi w:val="0"/>
              <w:adjustRightInd/>
              <w:spacing w:line="240" w:lineRule="exact"/>
              <w:textAlignment w:val="auto"/>
              <w:rPr>
                <w:rFonts w:ascii="Times New Roman" w:hAnsi="Times New Roman"/>
                <w:sz w:val="22"/>
                <w:szCs w:val="22"/>
                <w:u w:val="none" w:color="auto"/>
              </w:rPr>
            </w:pPr>
            <w:r>
              <w:rPr>
                <w:rFonts w:ascii="Times New Roman" w:hAnsi="Times New Roman"/>
                <w:sz w:val="22"/>
                <w:szCs w:val="22"/>
                <w:u w:val="none" w:color="auto"/>
              </w:rPr>
              <w:t>1.</w:t>
            </w:r>
            <w:r>
              <w:rPr>
                <w:rFonts w:hint="eastAsia" w:ascii="Times New Roman" w:hAnsi="Times New Roman"/>
                <w:sz w:val="22"/>
                <w:szCs w:val="22"/>
                <w:u w:val="none" w:color="auto"/>
              </w:rPr>
              <w:t>未按规定密封或标记的投标文件；</w:t>
            </w:r>
          </w:p>
          <w:p w14:paraId="47077352">
            <w:pPr>
              <w:keepNext w:val="0"/>
              <w:keepLines w:val="0"/>
              <w:pageBreakBefore w:val="0"/>
              <w:widowControl w:val="0"/>
              <w:kinsoku/>
              <w:wordWrap/>
              <w:overflowPunct/>
              <w:topLinePunct w:val="0"/>
              <w:autoSpaceDE/>
              <w:autoSpaceDN/>
              <w:bidi w:val="0"/>
              <w:adjustRightInd/>
              <w:spacing w:line="240" w:lineRule="exact"/>
              <w:textAlignment w:val="auto"/>
              <w:rPr>
                <w:rFonts w:ascii="Times New Roman" w:hAnsi="Times New Roman"/>
                <w:sz w:val="22"/>
                <w:szCs w:val="22"/>
                <w:u w:val="none" w:color="auto"/>
              </w:rPr>
            </w:pPr>
            <w:r>
              <w:rPr>
                <w:rFonts w:ascii="Times New Roman" w:hAnsi="Times New Roman"/>
                <w:sz w:val="22"/>
                <w:szCs w:val="22"/>
                <w:u w:val="none" w:color="auto"/>
              </w:rPr>
              <w:t>2.</w:t>
            </w:r>
            <w:r>
              <w:rPr>
                <w:rFonts w:hint="eastAsia" w:ascii="Times New Roman" w:hAnsi="Times New Roman"/>
                <w:sz w:val="22"/>
                <w:szCs w:val="22"/>
                <w:u w:val="none" w:color="auto"/>
              </w:rPr>
              <w:t>由于包装不妥，在送交途中严重破损或失散的；</w:t>
            </w:r>
          </w:p>
          <w:p w14:paraId="1FCD030B">
            <w:pPr>
              <w:keepNext w:val="0"/>
              <w:keepLines w:val="0"/>
              <w:pageBreakBefore w:val="0"/>
              <w:widowControl w:val="0"/>
              <w:kinsoku/>
              <w:wordWrap/>
              <w:overflowPunct/>
              <w:topLinePunct w:val="0"/>
              <w:autoSpaceDE/>
              <w:autoSpaceDN/>
              <w:bidi w:val="0"/>
              <w:adjustRightInd/>
              <w:spacing w:line="240" w:lineRule="exact"/>
              <w:textAlignment w:val="auto"/>
              <w:rPr>
                <w:rFonts w:ascii="Times New Roman" w:hAnsi="Times New Roman"/>
                <w:sz w:val="22"/>
                <w:szCs w:val="22"/>
                <w:u w:val="none" w:color="auto"/>
              </w:rPr>
            </w:pPr>
            <w:r>
              <w:rPr>
                <w:rFonts w:ascii="Times New Roman" w:hAnsi="Times New Roman"/>
                <w:sz w:val="22"/>
                <w:szCs w:val="22"/>
                <w:u w:val="none" w:color="auto"/>
              </w:rPr>
              <w:t>3.</w:t>
            </w:r>
            <w:r>
              <w:rPr>
                <w:rFonts w:hint="eastAsia" w:ascii="Times New Roman" w:hAnsi="Times New Roman"/>
                <w:sz w:val="22"/>
                <w:szCs w:val="22"/>
                <w:u w:val="none" w:color="auto"/>
              </w:rPr>
              <w:t>未成功办理投标人报名手续的；</w:t>
            </w:r>
          </w:p>
          <w:p w14:paraId="1E319F61">
            <w:pPr>
              <w:keepNext w:val="0"/>
              <w:keepLines w:val="0"/>
              <w:pageBreakBefore w:val="0"/>
              <w:widowControl w:val="0"/>
              <w:kinsoku/>
              <w:wordWrap/>
              <w:overflowPunct/>
              <w:topLinePunct w:val="0"/>
              <w:autoSpaceDE/>
              <w:autoSpaceDN/>
              <w:bidi w:val="0"/>
              <w:adjustRightInd/>
              <w:spacing w:line="240" w:lineRule="exact"/>
              <w:textAlignment w:val="auto"/>
              <w:rPr>
                <w:rFonts w:ascii="Times New Roman" w:hAnsi="Times New Roman"/>
                <w:sz w:val="22"/>
                <w:szCs w:val="22"/>
                <w:u w:val="none" w:color="auto"/>
              </w:rPr>
            </w:pPr>
            <w:r>
              <w:rPr>
                <w:rFonts w:ascii="Times New Roman" w:hAnsi="Times New Roman"/>
                <w:sz w:val="22"/>
                <w:szCs w:val="22"/>
                <w:u w:val="none" w:color="auto"/>
              </w:rPr>
              <w:t>4.</w:t>
            </w:r>
            <w:r>
              <w:rPr>
                <w:rFonts w:hint="eastAsia" w:ascii="Times New Roman" w:hAnsi="Times New Roman"/>
                <w:sz w:val="22"/>
                <w:szCs w:val="22"/>
                <w:u w:val="none" w:color="auto"/>
              </w:rPr>
              <w:t>超过截止时间送达的；</w:t>
            </w:r>
          </w:p>
          <w:p w14:paraId="022EE2B4">
            <w:pPr>
              <w:keepNext w:val="0"/>
              <w:keepLines w:val="0"/>
              <w:pageBreakBefore w:val="0"/>
              <w:widowControl w:val="0"/>
              <w:kinsoku/>
              <w:wordWrap/>
              <w:overflowPunct/>
              <w:topLinePunct w:val="0"/>
              <w:autoSpaceDE/>
              <w:autoSpaceDN/>
              <w:bidi w:val="0"/>
              <w:adjustRightInd/>
              <w:spacing w:line="240" w:lineRule="exact"/>
              <w:textAlignment w:val="auto"/>
              <w:rPr>
                <w:rFonts w:ascii="Times New Roman" w:hAnsi="Times New Roman"/>
                <w:sz w:val="22"/>
                <w:szCs w:val="22"/>
                <w:u w:val="none" w:color="auto"/>
              </w:rPr>
            </w:pPr>
            <w:r>
              <w:rPr>
                <w:rFonts w:hint="eastAsia" w:ascii="Times New Roman" w:hAnsi="Times New Roman"/>
                <w:sz w:val="22"/>
                <w:szCs w:val="22"/>
                <w:u w:val="none" w:color="auto"/>
              </w:rPr>
              <w:t>仅提供备份投标文件的，投标无效。</w:t>
            </w:r>
          </w:p>
          <w:p w14:paraId="6F3452F8">
            <w:pPr>
              <w:keepNext w:val="0"/>
              <w:keepLines w:val="0"/>
              <w:pageBreakBefore w:val="0"/>
              <w:widowControl w:val="0"/>
              <w:kinsoku/>
              <w:wordWrap/>
              <w:overflowPunct/>
              <w:topLinePunct w:val="0"/>
              <w:autoSpaceDE/>
              <w:autoSpaceDN/>
              <w:bidi w:val="0"/>
              <w:adjustRightInd/>
              <w:spacing w:line="240" w:lineRule="exact"/>
              <w:textAlignment w:val="auto"/>
              <w:rPr>
                <w:rFonts w:ascii="Times New Roman" w:hAnsi="Times New Roman"/>
                <w:szCs w:val="21"/>
                <w:u w:val="none" w:color="auto"/>
              </w:rPr>
            </w:pPr>
            <w:r>
              <w:rPr>
                <w:rFonts w:hint="eastAsia" w:ascii="Times New Roman" w:hAnsi="Times New Roman"/>
                <w:sz w:val="22"/>
                <w:szCs w:val="22"/>
                <w:u w:val="none" w:color="auto"/>
              </w:rPr>
              <w:t>投标人可以不提供备份投标文件，造成项目开评标活动无法进行下去的，投标无效，相关风险由投标人自行承担</w:t>
            </w:r>
          </w:p>
        </w:tc>
      </w:tr>
      <w:tr w14:paraId="730C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034C52F">
            <w:pPr>
              <w:snapToGrid w:val="0"/>
              <w:jc w:val="center"/>
              <w:rPr>
                <w:rFonts w:ascii="Times New Roman" w:hAnsi="Times New Roman"/>
                <w:b/>
                <w:u w:val="none" w:color="auto"/>
              </w:rPr>
            </w:pPr>
            <w:r>
              <w:rPr>
                <w:rFonts w:ascii="Times New Roman" w:hAnsi="Times New Roman"/>
                <w:b/>
                <w:u w:val="none" w:color="auto"/>
              </w:rPr>
              <w:t>1</w:t>
            </w:r>
            <w:r>
              <w:rPr>
                <w:rFonts w:hint="eastAsia" w:ascii="Times New Roman" w:hAnsi="Times New Roman"/>
                <w:b/>
                <w:u w:val="none" w:color="auto"/>
              </w:rPr>
              <w:t>7</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A9EF6C5">
            <w:pPr>
              <w:jc w:val="center"/>
              <w:rPr>
                <w:rFonts w:ascii="Times New Roman" w:hAnsi="Times New Roman"/>
                <w:b/>
                <w:szCs w:val="21"/>
                <w:u w:val="none" w:color="auto"/>
              </w:rPr>
            </w:pPr>
            <w:r>
              <w:rPr>
                <w:rFonts w:hint="eastAsia" w:ascii="Times New Roman" w:hAnsi="Times New Roman"/>
                <w:b/>
                <w:szCs w:val="21"/>
                <w:u w:val="none" w:color="auto"/>
              </w:rPr>
              <w:t>投标人注册</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D2F7BE0">
            <w:pPr>
              <w:spacing w:before="31" w:beforeLines="10"/>
              <w:jc w:val="left"/>
              <w:rPr>
                <w:rFonts w:ascii="Times New Roman" w:hAnsi="Times New Roman"/>
                <w:bCs/>
                <w:snapToGrid w:val="0"/>
                <w:kern w:val="0"/>
                <w:u w:val="none" w:color="auto"/>
              </w:rPr>
            </w:pPr>
            <w:r>
              <w:rPr>
                <w:rFonts w:hint="eastAsia" w:ascii="Times New Roman" w:hAnsi="Times New Roman"/>
                <w:bCs/>
                <w:snapToGrid w:val="0"/>
                <w:kern w:val="0"/>
                <w:u w:val="none" w:color="auto"/>
              </w:rPr>
              <w:t>各投标人须在投标截止时间前根据浙江省财政厅《关于开展政府采购投标人网上注册登记和诚信管理工作的通知》（浙财采监【</w:t>
            </w:r>
            <w:r>
              <w:rPr>
                <w:rFonts w:ascii="Times New Roman" w:hAnsi="Times New Roman"/>
                <w:bCs/>
                <w:snapToGrid w:val="0"/>
                <w:kern w:val="0"/>
                <w:u w:val="none" w:color="auto"/>
              </w:rPr>
              <w:t>2010</w:t>
            </w:r>
            <w:r>
              <w:rPr>
                <w:rFonts w:hint="eastAsia" w:ascii="Times New Roman" w:hAnsi="Times New Roman"/>
                <w:bCs/>
                <w:snapToGrid w:val="0"/>
                <w:kern w:val="0"/>
                <w:u w:val="none" w:color="auto"/>
              </w:rPr>
              <w:t>】</w:t>
            </w:r>
            <w:r>
              <w:rPr>
                <w:rFonts w:ascii="Times New Roman" w:hAnsi="Times New Roman"/>
                <w:bCs/>
                <w:snapToGrid w:val="0"/>
                <w:kern w:val="0"/>
                <w:u w:val="none" w:color="auto"/>
              </w:rPr>
              <w:t>8</w:t>
            </w:r>
            <w:r>
              <w:rPr>
                <w:rFonts w:hint="eastAsia" w:ascii="Times New Roman" w:hAnsi="Times New Roman"/>
                <w:bCs/>
                <w:snapToGrid w:val="0"/>
                <w:kern w:val="0"/>
                <w:u w:val="none" w:color="auto"/>
              </w:rPr>
              <w:t>号文）的要求，通过浙江政府采购网申请注册加入政府采购投标人库。以免影响享受相关政策优惠及成交后的款项支付。</w:t>
            </w:r>
          </w:p>
          <w:p w14:paraId="64D16DBE">
            <w:pPr>
              <w:spacing w:before="31" w:beforeLines="10"/>
              <w:jc w:val="left"/>
              <w:rPr>
                <w:rFonts w:ascii="Times New Roman" w:hAnsi="Times New Roman"/>
                <w:szCs w:val="21"/>
                <w:u w:val="none" w:color="auto"/>
              </w:rPr>
            </w:pPr>
            <w:r>
              <w:rPr>
                <w:rFonts w:hint="eastAsia" w:ascii="Times New Roman" w:hAnsi="Times New Roman"/>
                <w:bCs/>
                <w:snapToGrid w:val="0"/>
                <w:kern w:val="0"/>
                <w:u w:val="none" w:color="auto"/>
              </w:rPr>
              <w:t>投标人在申请注册前，请认真阅读，学习《中华人民共和国政府采购法》和《浙江省政府采购投标人注册及诚信管理暂行办法》等相关法规规定。</w:t>
            </w:r>
          </w:p>
        </w:tc>
      </w:tr>
      <w:tr w14:paraId="618E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25E09B3">
            <w:pPr>
              <w:snapToGrid w:val="0"/>
              <w:spacing w:line="240" w:lineRule="exact"/>
              <w:jc w:val="center"/>
              <w:rPr>
                <w:rFonts w:ascii="Times New Roman" w:hAnsi="Times New Roman"/>
                <w:b/>
                <w:u w:val="none" w:color="auto"/>
              </w:rPr>
            </w:pPr>
            <w:r>
              <w:rPr>
                <w:rFonts w:ascii="Times New Roman" w:hAnsi="Times New Roman"/>
                <w:b/>
                <w:u w:val="none" w:color="auto"/>
              </w:rPr>
              <w:t>1</w:t>
            </w:r>
            <w:r>
              <w:rPr>
                <w:rFonts w:hint="eastAsia" w:ascii="Times New Roman" w:hAnsi="Times New Roman"/>
                <w:b/>
                <w:u w:val="none" w:color="auto"/>
              </w:rPr>
              <w:t>8</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4496130">
            <w:pPr>
              <w:jc w:val="center"/>
              <w:rPr>
                <w:rFonts w:ascii="Times New Roman" w:hAnsi="Times New Roman"/>
                <w:b/>
                <w:szCs w:val="21"/>
                <w:u w:val="none" w:color="auto"/>
              </w:rPr>
            </w:pPr>
            <w:r>
              <w:rPr>
                <w:rFonts w:hint="eastAsia" w:ascii="Times New Roman" w:hAnsi="Times New Roman"/>
                <w:b/>
                <w:szCs w:val="21"/>
                <w:u w:val="none" w:color="auto"/>
              </w:rPr>
              <w:t>不良信用记录查询</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B37D21B">
            <w:pPr>
              <w:rPr>
                <w:rFonts w:ascii="Times New Roman" w:hAnsi="Times New Roman"/>
                <w:szCs w:val="21"/>
                <w:u w:val="none" w:color="auto"/>
              </w:rPr>
            </w:pPr>
            <w:r>
              <w:rPr>
                <w:rFonts w:hint="eastAsia" w:ascii="Times New Roman" w:hAnsi="Times New Roman"/>
                <w:szCs w:val="21"/>
                <w:u w:val="none" w:color="auto"/>
              </w:rPr>
              <w:t>根据财库</w:t>
            </w:r>
            <w:r>
              <w:rPr>
                <w:rFonts w:ascii="Times New Roman" w:hAnsi="Times New Roman"/>
                <w:szCs w:val="21"/>
                <w:u w:val="none" w:color="auto"/>
              </w:rPr>
              <w:t>[2016]125</w:t>
            </w:r>
            <w:r>
              <w:rPr>
                <w:rFonts w:hint="eastAsia" w:ascii="Times New Roman" w:hAnsi="Times New Roman"/>
                <w:szCs w:val="21"/>
                <w:u w:val="none" w:color="auto"/>
              </w:rPr>
              <w:t>号文件：</w:t>
            </w:r>
          </w:p>
          <w:p w14:paraId="242558F5">
            <w:pPr>
              <w:rPr>
                <w:rFonts w:ascii="Times New Roman" w:hAnsi="Times New Roman"/>
                <w:szCs w:val="21"/>
                <w:u w:val="none" w:color="auto"/>
              </w:rPr>
            </w:pPr>
            <w:r>
              <w:rPr>
                <w:rFonts w:ascii="Times New Roman" w:hAnsi="Times New Roman"/>
                <w:szCs w:val="21"/>
                <w:u w:val="none" w:color="auto"/>
              </w:rPr>
              <w:t>1.</w:t>
            </w:r>
            <w:r>
              <w:rPr>
                <w:rFonts w:hint="eastAsia" w:ascii="Times New Roman" w:hAnsi="Times New Roman"/>
                <w:szCs w:val="21"/>
                <w:u w:val="none" w:color="auto"/>
              </w:rPr>
              <w:t>至本项目投标截止前未被列入</w:t>
            </w:r>
            <w:r>
              <w:rPr>
                <w:rFonts w:ascii="Times New Roman" w:hAnsi="Times New Roman"/>
                <w:szCs w:val="21"/>
                <w:u w:val="none" w:color="auto"/>
              </w:rPr>
              <w:t>“</w:t>
            </w:r>
            <w:r>
              <w:rPr>
                <w:rFonts w:hint="eastAsia" w:ascii="Times New Roman" w:hAnsi="Times New Roman"/>
                <w:szCs w:val="21"/>
                <w:u w:val="none" w:color="auto"/>
              </w:rPr>
              <w:t>信用中国</w:t>
            </w:r>
            <w:r>
              <w:rPr>
                <w:rFonts w:ascii="Times New Roman" w:hAnsi="Times New Roman"/>
                <w:szCs w:val="21"/>
                <w:u w:val="none" w:color="auto"/>
              </w:rPr>
              <w:t>”</w:t>
            </w:r>
            <w:r>
              <w:rPr>
                <w:rFonts w:hint="eastAsia" w:ascii="Times New Roman" w:hAnsi="Times New Roman"/>
                <w:szCs w:val="21"/>
                <w:u w:val="none" w:color="auto"/>
              </w:rPr>
              <w:t>网站</w:t>
            </w:r>
            <w:r>
              <w:rPr>
                <w:rFonts w:ascii="Times New Roman" w:hAnsi="Times New Roman"/>
                <w:szCs w:val="21"/>
                <w:u w:val="none" w:color="auto"/>
              </w:rPr>
              <w:t>(www.creditchina.gov.cn)“</w:t>
            </w:r>
            <w:r>
              <w:rPr>
                <w:rFonts w:hint="eastAsia" w:ascii="Times New Roman" w:hAnsi="Times New Roman"/>
                <w:szCs w:val="21"/>
                <w:u w:val="none" w:color="auto"/>
              </w:rPr>
              <w:t>记录失信被执行人或重大税收违法案件当事人名单</w:t>
            </w:r>
            <w:r>
              <w:rPr>
                <w:rFonts w:ascii="Times New Roman" w:hAnsi="Times New Roman"/>
                <w:szCs w:val="21"/>
                <w:u w:val="none" w:color="auto"/>
              </w:rPr>
              <w:t>”</w:t>
            </w:r>
            <w:r>
              <w:rPr>
                <w:rFonts w:hint="eastAsia" w:ascii="Times New Roman" w:hAnsi="Times New Roman"/>
                <w:szCs w:val="21"/>
                <w:u w:val="none" w:color="auto"/>
              </w:rPr>
              <w:t>记录名单。</w:t>
            </w:r>
          </w:p>
          <w:p w14:paraId="6BB2614C">
            <w:pPr>
              <w:rPr>
                <w:rFonts w:ascii="Times New Roman" w:hAnsi="Times New Roman"/>
                <w:szCs w:val="21"/>
                <w:u w:val="none" w:color="auto"/>
              </w:rPr>
            </w:pPr>
            <w:r>
              <w:rPr>
                <w:rFonts w:ascii="Times New Roman" w:hAnsi="Times New Roman"/>
                <w:szCs w:val="21"/>
                <w:u w:val="none" w:color="auto"/>
              </w:rPr>
              <w:t>2.</w:t>
            </w:r>
            <w:r>
              <w:rPr>
                <w:rFonts w:hint="eastAsia" w:ascii="Times New Roman" w:hAnsi="Times New Roman"/>
                <w:szCs w:val="21"/>
                <w:u w:val="none" w:color="auto"/>
              </w:rPr>
              <w:t>至本项目投标截止前不处于中国政府采购网</w:t>
            </w:r>
            <w:r>
              <w:rPr>
                <w:rFonts w:ascii="Times New Roman" w:hAnsi="Times New Roman"/>
                <w:szCs w:val="21"/>
                <w:u w:val="none" w:color="auto"/>
              </w:rPr>
              <w:t>(www.ccgp.gov.cn)“</w:t>
            </w:r>
            <w:r>
              <w:rPr>
                <w:rFonts w:hint="eastAsia" w:ascii="Times New Roman" w:hAnsi="Times New Roman"/>
                <w:szCs w:val="21"/>
                <w:u w:val="none" w:color="auto"/>
              </w:rPr>
              <w:t>政府采购严重违法失信行为信息记录</w:t>
            </w:r>
            <w:r>
              <w:rPr>
                <w:rFonts w:ascii="Times New Roman" w:hAnsi="Times New Roman"/>
                <w:szCs w:val="21"/>
                <w:u w:val="none" w:color="auto"/>
              </w:rPr>
              <w:t>”</w:t>
            </w:r>
            <w:r>
              <w:rPr>
                <w:rFonts w:hint="eastAsia" w:ascii="Times New Roman" w:hAnsi="Times New Roman"/>
                <w:szCs w:val="21"/>
                <w:u w:val="none" w:color="auto"/>
              </w:rPr>
              <w:t>中的禁止参加政府采购活动期间。</w:t>
            </w:r>
          </w:p>
          <w:p w14:paraId="00D3C961">
            <w:pPr>
              <w:rPr>
                <w:rFonts w:ascii="Times New Roman" w:hAnsi="Times New Roman"/>
                <w:u w:val="none" w:color="auto"/>
              </w:rPr>
            </w:pPr>
            <w:r>
              <w:rPr>
                <w:rFonts w:hint="eastAsia" w:ascii="Times New Roman" w:hAnsi="Times New Roman"/>
                <w:szCs w:val="21"/>
                <w:u w:val="none" w:color="auto"/>
              </w:rPr>
              <w:t>提供</w:t>
            </w:r>
            <w:r>
              <w:rPr>
                <w:rFonts w:hint="eastAsia" w:ascii="Times New Roman" w:hAnsi="Times New Roman"/>
                <w:b/>
                <w:u w:val="none" w:color="auto"/>
              </w:rPr>
              <w:t>查询截图，（截图查询网站时间须在开标截止前二个星期内）。</w:t>
            </w:r>
            <w:r>
              <w:rPr>
                <w:rFonts w:hint="eastAsia" w:ascii="Times New Roman" w:hAnsi="Times New Roman"/>
                <w:szCs w:val="21"/>
                <w:u w:val="none" w:color="auto"/>
              </w:rPr>
              <w:t>对列入失信被执行人、重大税收违法案件当事人名单、政府采购严重违法失信行为记录名单的供应商，</w:t>
            </w:r>
            <w:r>
              <w:rPr>
                <w:rFonts w:hint="eastAsia" w:ascii="Times New Roman" w:hAnsi="Times New Roman"/>
                <w:b/>
                <w:szCs w:val="21"/>
                <w:u w:val="none" w:color="auto"/>
              </w:rPr>
              <w:t>其投标将作无效标处理</w:t>
            </w:r>
            <w:r>
              <w:rPr>
                <w:rFonts w:hint="eastAsia" w:ascii="Times New Roman" w:hAnsi="Times New Roman"/>
                <w:szCs w:val="21"/>
                <w:u w:val="none" w:color="auto"/>
              </w:rPr>
              <w:t>。</w:t>
            </w:r>
          </w:p>
        </w:tc>
      </w:tr>
      <w:tr w14:paraId="6106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E301DEB">
            <w:pPr>
              <w:snapToGrid w:val="0"/>
              <w:spacing w:line="240" w:lineRule="exact"/>
              <w:jc w:val="center"/>
              <w:rPr>
                <w:rFonts w:ascii="Times New Roman" w:hAnsi="Times New Roman"/>
                <w:b/>
                <w:u w:val="none" w:color="auto"/>
              </w:rPr>
            </w:pPr>
            <w:r>
              <w:rPr>
                <w:rFonts w:ascii="Times New Roman" w:hAnsi="Times New Roman"/>
                <w:b/>
                <w:u w:val="none" w:color="auto"/>
              </w:rPr>
              <w:t>1</w:t>
            </w:r>
            <w:r>
              <w:rPr>
                <w:rFonts w:hint="eastAsia" w:ascii="Times New Roman" w:hAnsi="Times New Roman"/>
                <w:b/>
                <w:u w:val="none" w:color="auto"/>
              </w:rPr>
              <w:t>9</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E003BD7">
            <w:pPr>
              <w:jc w:val="center"/>
              <w:rPr>
                <w:rFonts w:ascii="Times New Roman" w:hAnsi="Times New Roman"/>
                <w:b/>
                <w:szCs w:val="21"/>
                <w:u w:val="none" w:color="auto"/>
              </w:rPr>
            </w:pPr>
            <w:r>
              <w:rPr>
                <w:rFonts w:hint="eastAsia" w:ascii="Times New Roman" w:hAnsi="Times New Roman"/>
                <w:b/>
                <w:szCs w:val="21"/>
                <w:u w:val="none" w:color="auto"/>
              </w:rPr>
              <w:t>中小企业有关政策</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85E35E7">
            <w:pPr>
              <w:snapToGrid w:val="0"/>
              <w:rPr>
                <w:rFonts w:ascii="Times New Roman" w:hAnsi="Times New Roman"/>
                <w:b/>
                <w:bCs/>
                <w:szCs w:val="21"/>
                <w:u w:val="none" w:color="auto"/>
              </w:rPr>
            </w:pPr>
            <w:r>
              <w:rPr>
                <w:rFonts w:hint="eastAsia" w:ascii="Times New Roman" w:hAnsi="Times New Roman"/>
                <w:szCs w:val="21"/>
                <w:u w:val="none" w:color="auto"/>
              </w:rPr>
              <w:t>（1）中小企业预留份额情况：根据《政府采购促进中小企业发展管理办法》（财库〔2020〕46号），本项目专门面向中小企业。</w:t>
            </w:r>
            <w:r>
              <w:rPr>
                <w:rFonts w:hint="eastAsia" w:ascii="Times New Roman" w:hAnsi="Times New Roman"/>
                <w:b/>
                <w:bCs/>
                <w:szCs w:val="21"/>
                <w:u w:val="none" w:color="auto"/>
              </w:rPr>
              <w:t>本项目对应的中小企业划分标准所属行业：软件和信息技术服务业。</w:t>
            </w:r>
          </w:p>
          <w:p w14:paraId="6E3DD0DB">
            <w:pPr>
              <w:snapToGrid w:val="0"/>
              <w:rPr>
                <w:rFonts w:ascii="Times New Roman" w:hAnsi="Times New Roman"/>
                <w:szCs w:val="21"/>
                <w:u w:val="none" w:color="auto"/>
              </w:rPr>
            </w:pPr>
            <w:r>
              <w:rPr>
                <w:rFonts w:hint="eastAsia" w:ascii="Times New Roman" w:hAnsi="Times New Roman"/>
                <w:szCs w:val="21"/>
                <w:u w:val="none" w:color="auto"/>
              </w:rPr>
              <w:t>（2）在政府采购活动中，供应商提供的货物、工程或者服务符合下列情形的，享受本办法规定的中小企业扶持政策：</w:t>
            </w:r>
          </w:p>
          <w:p w14:paraId="054FDAE6">
            <w:pPr>
              <w:snapToGrid w:val="0"/>
              <w:rPr>
                <w:rFonts w:ascii="Times New Roman" w:hAnsi="Times New Roman"/>
                <w:szCs w:val="21"/>
                <w:u w:val="none" w:color="auto"/>
              </w:rPr>
            </w:pPr>
            <w:r>
              <w:rPr>
                <w:rFonts w:hint="eastAsia" w:ascii="Times New Roman" w:hAnsi="Times New Roman"/>
                <w:szCs w:val="21"/>
                <w:u w:val="none" w:color="auto"/>
              </w:rPr>
              <w:t>①在货物采购项目中，货物由中小企业制造，即货物由中小企业生产且使用该中小企业商号或者注册商标；</w:t>
            </w:r>
          </w:p>
          <w:p w14:paraId="779CCD1D">
            <w:pPr>
              <w:snapToGrid w:val="0"/>
              <w:rPr>
                <w:rFonts w:ascii="Times New Roman" w:hAnsi="Times New Roman"/>
                <w:szCs w:val="21"/>
                <w:u w:val="none" w:color="auto"/>
              </w:rPr>
            </w:pPr>
            <w:r>
              <w:rPr>
                <w:rFonts w:hint="eastAsia" w:ascii="Times New Roman" w:hAnsi="Times New Roman"/>
                <w:szCs w:val="21"/>
                <w:u w:val="none" w:color="auto"/>
              </w:rPr>
              <w:t>②在工程采购项目中，工程由中小企业承建，即工程施工单位为中小企业；</w:t>
            </w:r>
          </w:p>
          <w:p w14:paraId="6E3DDCDB">
            <w:pPr>
              <w:snapToGrid w:val="0"/>
              <w:rPr>
                <w:rFonts w:ascii="Times New Roman" w:hAnsi="Times New Roman"/>
                <w:szCs w:val="21"/>
                <w:u w:val="none" w:color="auto"/>
              </w:rPr>
            </w:pPr>
            <w:r>
              <w:rPr>
                <w:rFonts w:hint="eastAsia" w:ascii="Times New Roman" w:hAnsi="Times New Roman"/>
                <w:szCs w:val="21"/>
                <w:u w:val="none" w:color="auto"/>
              </w:rPr>
              <w:t>③在服务采购项目中，服务由中小企业承接，即提供服务的人员为中小企业依照《中华人民共和国劳动合同法》订立劳动合同的从业人员。</w:t>
            </w:r>
          </w:p>
          <w:p w14:paraId="27F91ED1">
            <w:pPr>
              <w:snapToGrid w:val="0"/>
              <w:rPr>
                <w:rFonts w:ascii="Times New Roman" w:hAnsi="Times New Roman"/>
                <w:szCs w:val="21"/>
                <w:u w:val="none" w:color="auto"/>
              </w:rPr>
            </w:pPr>
            <w:r>
              <w:rPr>
                <w:rFonts w:hint="eastAsia" w:ascii="Times New Roman" w:hAnsi="Times New Roman"/>
                <w:szCs w:val="21"/>
                <w:u w:val="none" w:color="auto"/>
              </w:rPr>
              <w:t>在货物采购项目中，供应商提供的货物既有中小企业制造货物，也有大型企业制造货物的，不享受本办法规定的中小企业扶持政策。</w:t>
            </w:r>
          </w:p>
          <w:p w14:paraId="183E6DF8">
            <w:pPr>
              <w:snapToGrid w:val="0"/>
              <w:rPr>
                <w:rFonts w:ascii="Times New Roman" w:hAnsi="Times New Roman"/>
                <w:szCs w:val="21"/>
                <w:u w:val="none" w:color="auto"/>
              </w:rPr>
            </w:pPr>
            <w:r>
              <w:rPr>
                <w:rFonts w:hint="eastAsia" w:ascii="Times New Roman" w:hAnsi="Times New Roman"/>
                <w:szCs w:val="21"/>
                <w:u w:val="none" w:color="auto"/>
              </w:rPr>
              <w:t>以联合体形式参加政府采购活动，联合体各方均为中小企业的，联合体视同中小企业。其中，联合体各方均为小微企业的，联合体视同小微企业。</w:t>
            </w:r>
          </w:p>
          <w:p w14:paraId="369D05F6">
            <w:pPr>
              <w:snapToGrid w:val="0"/>
              <w:rPr>
                <w:rFonts w:ascii="Times New Roman" w:hAnsi="Times New Roman"/>
                <w:szCs w:val="21"/>
                <w:u w:val="none" w:color="auto"/>
              </w:rPr>
            </w:pPr>
            <w:r>
              <w:rPr>
                <w:rFonts w:hint="eastAsia" w:ascii="Times New Roman" w:hAnsi="Times New Roman"/>
                <w:szCs w:val="21"/>
                <w:u w:val="none" w:color="auto"/>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3D8E52B2">
            <w:pPr>
              <w:snapToGrid w:val="0"/>
              <w:rPr>
                <w:rFonts w:ascii="Times New Roman" w:hAnsi="Times New Roman"/>
                <w:szCs w:val="21"/>
                <w:u w:val="none" w:color="auto"/>
              </w:rPr>
            </w:pPr>
            <w:r>
              <w:rPr>
                <w:rFonts w:hint="eastAsia" w:ascii="Times New Roman" w:hAnsi="Times New Roman"/>
                <w:szCs w:val="21"/>
                <w:u w:val="none" w:color="auto"/>
              </w:rPr>
              <w:t>（4）投标人符合《三部门联合发布关于促进残疾人就业政府采购政策的通知》（财库〔2017〕141号）文件要求，并提供《残疾人福利性单位声明函》的，则视同小型、微型企业。</w:t>
            </w:r>
          </w:p>
          <w:p w14:paraId="17833CB5">
            <w:pPr>
              <w:snapToGrid w:val="0"/>
              <w:rPr>
                <w:rFonts w:ascii="Times New Roman" w:hAnsi="Times New Roman"/>
                <w:b/>
                <w:bCs/>
                <w:szCs w:val="21"/>
                <w:u w:val="none" w:color="auto"/>
              </w:rPr>
            </w:pPr>
            <w:r>
              <w:rPr>
                <w:rFonts w:hint="eastAsia" w:ascii="Times New Roman" w:hAnsi="Times New Roman"/>
                <w:szCs w:val="21"/>
                <w:u w:val="none" w:color="auto"/>
              </w:rPr>
              <w:t>本项目专门面向中小企业采购（参加投标供应商须出具《中小企业声明函》，未提供不认定为中小企业，此次投标无效）。</w:t>
            </w:r>
          </w:p>
        </w:tc>
      </w:tr>
    </w:tbl>
    <w:p w14:paraId="0EA88FC6">
      <w:pPr>
        <w:pStyle w:val="44"/>
        <w:snapToGrid w:val="0"/>
        <w:spacing w:before="156" w:after="156"/>
        <w:rPr>
          <w:rFonts w:hint="eastAsia" w:hAnsi="宋体"/>
          <w:b/>
          <w:bCs/>
          <w:sz w:val="28"/>
          <w:u w:val="none" w:color="auto"/>
        </w:rPr>
      </w:pPr>
    </w:p>
    <w:p w14:paraId="6E6CC33C">
      <w:pPr>
        <w:pStyle w:val="44"/>
        <w:snapToGrid w:val="0"/>
        <w:spacing w:before="156" w:after="156"/>
        <w:jc w:val="center"/>
        <w:rPr>
          <w:rFonts w:hAnsi="宋体"/>
          <w:b/>
          <w:bCs/>
          <w:sz w:val="28"/>
          <w:u w:val="none" w:color="auto"/>
        </w:rPr>
      </w:pPr>
    </w:p>
    <w:p w14:paraId="26815831">
      <w:pPr>
        <w:pStyle w:val="44"/>
        <w:snapToGrid w:val="0"/>
        <w:spacing w:before="156" w:after="156"/>
        <w:jc w:val="center"/>
        <w:rPr>
          <w:rFonts w:hAnsi="宋体"/>
          <w:b/>
          <w:bCs/>
          <w:sz w:val="28"/>
          <w:u w:val="none" w:color="auto"/>
        </w:rPr>
      </w:pPr>
    </w:p>
    <w:p w14:paraId="5A27F6F8">
      <w:pPr>
        <w:pStyle w:val="44"/>
        <w:snapToGrid w:val="0"/>
        <w:spacing w:before="156" w:after="156"/>
        <w:jc w:val="center"/>
        <w:rPr>
          <w:rFonts w:hAnsi="宋体"/>
          <w:b/>
          <w:bCs/>
          <w:sz w:val="28"/>
          <w:u w:val="none" w:color="auto"/>
        </w:rPr>
      </w:pPr>
    </w:p>
    <w:p w14:paraId="1D30BD84">
      <w:pPr>
        <w:pStyle w:val="44"/>
        <w:snapToGrid w:val="0"/>
        <w:spacing w:before="156" w:after="156"/>
        <w:jc w:val="center"/>
        <w:rPr>
          <w:rFonts w:hint="eastAsia" w:hAnsi="宋体"/>
          <w:b/>
          <w:bCs/>
          <w:sz w:val="28"/>
          <w:u w:val="none" w:color="auto"/>
        </w:rPr>
      </w:pPr>
      <w:r>
        <w:rPr>
          <w:rFonts w:hAnsi="宋体"/>
          <w:b/>
          <w:bCs/>
          <w:sz w:val="28"/>
          <w:u w:val="none" w:color="auto"/>
        </w:rPr>
        <w:t>一</w:t>
      </w:r>
      <w:r>
        <w:rPr>
          <w:rFonts w:hint="eastAsia" w:hAnsi="宋体"/>
          <w:b/>
          <w:bCs/>
          <w:sz w:val="28"/>
          <w:u w:val="none" w:color="auto"/>
        </w:rPr>
        <w:t>、</w:t>
      </w:r>
      <w:r>
        <w:rPr>
          <w:rFonts w:hAnsi="宋体"/>
          <w:b/>
          <w:bCs/>
          <w:sz w:val="28"/>
          <w:u w:val="none" w:color="auto"/>
        </w:rPr>
        <w:t xml:space="preserve">   总  则</w:t>
      </w:r>
    </w:p>
    <w:p w14:paraId="147FD980">
      <w:pPr>
        <w:pStyle w:val="44"/>
        <w:keepNext w:val="0"/>
        <w:keepLines w:val="0"/>
        <w:pageBreakBefore w:val="0"/>
        <w:widowControl w:val="0"/>
        <w:kinsoku/>
        <w:wordWrap/>
        <w:overflowPunct/>
        <w:topLinePunct w:val="0"/>
        <w:autoSpaceDE/>
        <w:autoSpaceDN/>
        <w:bidi w:val="0"/>
        <w:adjustRightInd/>
        <w:snapToGrid w:val="0"/>
        <w:spacing w:beforeLines="0" w:afterLines="0" w:line="360" w:lineRule="auto"/>
        <w:ind w:right="0" w:rightChars="0"/>
        <w:textAlignment w:val="auto"/>
        <w:rPr>
          <w:rFonts w:hint="eastAsia" w:hAnsi="宋体"/>
          <w:b/>
          <w:bCs/>
          <w:u w:val="none" w:color="auto"/>
        </w:rPr>
      </w:pPr>
      <w:r>
        <w:rPr>
          <w:rFonts w:hAnsi="宋体"/>
          <w:b/>
          <w:bCs/>
          <w:u w:val="none" w:color="auto"/>
        </w:rPr>
        <w:t>（一）适用范围</w:t>
      </w:r>
    </w:p>
    <w:p w14:paraId="06D7B321">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hint="eastAsia" w:ascii="宋体" w:hAnsi="宋体"/>
          <w:u w:val="none" w:color="auto"/>
        </w:rPr>
      </w:pPr>
      <w:r>
        <w:rPr>
          <w:rFonts w:ascii="宋体" w:hAnsi="宋体"/>
          <w:u w:val="none" w:color="auto"/>
        </w:rPr>
        <w:t>本</w:t>
      </w:r>
      <w:r>
        <w:rPr>
          <w:rFonts w:hint="eastAsia" w:ascii="宋体" w:hAnsi="宋体"/>
          <w:u w:val="none" w:color="auto"/>
        </w:rPr>
        <w:t>磋商文件</w:t>
      </w:r>
      <w:r>
        <w:rPr>
          <w:rFonts w:ascii="宋体" w:hAnsi="宋体"/>
          <w:u w:val="none" w:color="auto"/>
        </w:rPr>
        <w:t>适用于</w:t>
      </w:r>
      <w:r>
        <w:rPr>
          <w:rFonts w:hint="eastAsia" w:ascii="宋体" w:hAnsi="宋体"/>
          <w:u w:val="none" w:color="auto"/>
          <w:lang w:eastAsia="zh-CN"/>
        </w:rPr>
        <w:t xml:space="preserve">舟山市涉海涉渔社区矫正对象联合管控应用2.0迭代升级项目 </w:t>
      </w:r>
      <w:r>
        <w:rPr>
          <w:rFonts w:ascii="宋体" w:hAnsi="宋体"/>
          <w:u w:val="none" w:color="auto"/>
        </w:rPr>
        <w:t>的招标、投标、评标、定标、验收、合同履约、付款等行为（法律、法规另有规定的，从其规定）。</w:t>
      </w:r>
    </w:p>
    <w:p w14:paraId="44BC2B68">
      <w:pPr>
        <w:pStyle w:val="44"/>
        <w:keepNext w:val="0"/>
        <w:keepLines w:val="0"/>
        <w:pageBreakBefore w:val="0"/>
        <w:widowControl w:val="0"/>
        <w:kinsoku/>
        <w:wordWrap/>
        <w:overflowPunct/>
        <w:topLinePunct w:val="0"/>
        <w:autoSpaceDE/>
        <w:autoSpaceDN/>
        <w:bidi w:val="0"/>
        <w:adjustRightInd/>
        <w:snapToGrid w:val="0"/>
        <w:spacing w:beforeLines="0" w:afterLines="0" w:line="360" w:lineRule="auto"/>
        <w:ind w:right="0" w:rightChars="0"/>
        <w:textAlignment w:val="auto"/>
        <w:rPr>
          <w:rFonts w:hint="eastAsia" w:hAnsi="宋体"/>
          <w:b/>
          <w:bCs/>
          <w:u w:val="none" w:color="auto"/>
        </w:rPr>
      </w:pPr>
      <w:r>
        <w:rPr>
          <w:rFonts w:hAnsi="宋体"/>
          <w:b/>
          <w:bCs/>
          <w:u w:val="none" w:color="auto"/>
        </w:rPr>
        <w:t>（二）定义</w:t>
      </w:r>
    </w:p>
    <w:p w14:paraId="0FCEF07A">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hint="eastAsia" w:ascii="宋体" w:hAnsi="宋体"/>
          <w:szCs w:val="21"/>
          <w:u w:val="none" w:color="auto"/>
        </w:rPr>
      </w:pPr>
      <w:r>
        <w:rPr>
          <w:rFonts w:hint="eastAsia" w:ascii="宋体" w:hAnsi="宋体"/>
          <w:szCs w:val="21"/>
          <w:u w:val="none" w:color="auto"/>
        </w:rPr>
        <w:t>1.“采购人”系指舟山市司法局。</w:t>
      </w:r>
    </w:p>
    <w:p w14:paraId="7924C345">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hint="eastAsia" w:ascii="宋体" w:hAnsi="宋体"/>
          <w:szCs w:val="21"/>
          <w:u w:val="none" w:color="auto"/>
        </w:rPr>
      </w:pPr>
      <w:r>
        <w:rPr>
          <w:rFonts w:ascii="宋体" w:hAnsi="宋体"/>
          <w:szCs w:val="21"/>
          <w:u w:val="none" w:color="auto"/>
        </w:rPr>
        <w:t>2</w:t>
      </w:r>
      <w:r>
        <w:rPr>
          <w:rFonts w:hint="eastAsia" w:ascii="宋体" w:hAnsi="宋体"/>
          <w:szCs w:val="21"/>
          <w:u w:val="none" w:color="auto"/>
        </w:rPr>
        <w:t>.“采购代理机构”系指组织本次招标的深圳市国信招标有限公司。</w:t>
      </w:r>
    </w:p>
    <w:p w14:paraId="398BF1C8">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hint="eastAsia" w:ascii="宋体" w:hAnsi="宋体"/>
          <w:szCs w:val="21"/>
          <w:u w:val="none" w:color="auto"/>
        </w:rPr>
      </w:pPr>
      <w:r>
        <w:rPr>
          <w:rFonts w:ascii="宋体" w:hAnsi="宋体"/>
          <w:szCs w:val="21"/>
          <w:u w:val="none" w:color="auto"/>
        </w:rPr>
        <w:t>3</w:t>
      </w:r>
      <w:r>
        <w:rPr>
          <w:rFonts w:hint="eastAsia" w:ascii="宋体" w:hAnsi="宋体"/>
          <w:szCs w:val="21"/>
          <w:u w:val="none" w:color="auto"/>
        </w:rPr>
        <w:t>.</w:t>
      </w:r>
      <w:r>
        <w:rPr>
          <w:rFonts w:ascii="宋体" w:hAnsi="宋体"/>
          <w:szCs w:val="21"/>
          <w:u w:val="none" w:color="auto"/>
        </w:rPr>
        <w:t>“</w:t>
      </w:r>
      <w:r>
        <w:rPr>
          <w:rFonts w:hint="eastAsia" w:ascii="宋体" w:hAnsi="宋体"/>
          <w:szCs w:val="21"/>
          <w:u w:val="none" w:color="auto"/>
        </w:rPr>
        <w:t>投标人</w:t>
      </w:r>
      <w:r>
        <w:rPr>
          <w:rFonts w:ascii="宋体" w:hAnsi="宋体"/>
          <w:szCs w:val="21"/>
          <w:u w:val="none" w:color="auto"/>
        </w:rPr>
        <w:t>”系指向</w:t>
      </w:r>
      <w:r>
        <w:rPr>
          <w:rFonts w:hint="eastAsia" w:ascii="宋体" w:hAnsi="宋体"/>
          <w:szCs w:val="21"/>
          <w:u w:val="none" w:color="auto"/>
        </w:rPr>
        <w:t>采购人</w:t>
      </w:r>
      <w:r>
        <w:rPr>
          <w:rFonts w:ascii="宋体" w:hAnsi="宋体"/>
          <w:szCs w:val="21"/>
          <w:u w:val="none" w:color="auto"/>
        </w:rPr>
        <w:t>提交</w:t>
      </w:r>
      <w:r>
        <w:rPr>
          <w:rFonts w:hint="eastAsia" w:ascii="宋体" w:hAnsi="宋体"/>
          <w:szCs w:val="21"/>
          <w:u w:val="none" w:color="auto"/>
        </w:rPr>
        <w:t>投标文件</w:t>
      </w:r>
      <w:r>
        <w:rPr>
          <w:rFonts w:ascii="宋体" w:hAnsi="宋体"/>
          <w:szCs w:val="21"/>
          <w:u w:val="none" w:color="auto"/>
        </w:rPr>
        <w:t>的单位或个人。</w:t>
      </w:r>
    </w:p>
    <w:p w14:paraId="6066FED9">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hint="eastAsia" w:ascii="宋体" w:hAnsi="宋体"/>
          <w:szCs w:val="21"/>
          <w:u w:val="none" w:color="auto"/>
        </w:rPr>
      </w:pPr>
      <w:r>
        <w:rPr>
          <w:rFonts w:ascii="宋体" w:hAnsi="宋体"/>
          <w:szCs w:val="21"/>
          <w:u w:val="none" w:color="auto"/>
        </w:rPr>
        <w:t>4</w:t>
      </w:r>
      <w:r>
        <w:rPr>
          <w:rFonts w:hint="eastAsia" w:ascii="宋体" w:hAnsi="宋体"/>
          <w:szCs w:val="21"/>
          <w:u w:val="none" w:color="auto"/>
        </w:rPr>
        <w:t>.</w:t>
      </w:r>
      <w:r>
        <w:rPr>
          <w:rFonts w:ascii="宋体" w:hAnsi="宋体"/>
          <w:szCs w:val="21"/>
          <w:u w:val="none" w:color="auto"/>
        </w:rPr>
        <w:t>“产品”系指供方按</w:t>
      </w:r>
      <w:r>
        <w:rPr>
          <w:rFonts w:hint="eastAsia" w:ascii="宋体" w:hAnsi="宋体"/>
          <w:szCs w:val="21"/>
          <w:u w:val="none" w:color="auto"/>
        </w:rPr>
        <w:t>采购文件</w:t>
      </w:r>
      <w:r>
        <w:rPr>
          <w:rFonts w:ascii="宋体" w:hAnsi="宋体"/>
          <w:szCs w:val="21"/>
          <w:u w:val="none" w:color="auto"/>
        </w:rPr>
        <w:t>规定，须向采购人提供的一切设备、保险、税金、备品备件、工具、手册及其它有关技术资料和材料。</w:t>
      </w:r>
    </w:p>
    <w:p w14:paraId="266C5984">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hint="eastAsia" w:ascii="宋体" w:hAnsi="宋体"/>
          <w:szCs w:val="21"/>
          <w:u w:val="none" w:color="auto"/>
        </w:rPr>
      </w:pPr>
      <w:r>
        <w:rPr>
          <w:rFonts w:ascii="宋体" w:hAnsi="宋体"/>
          <w:szCs w:val="21"/>
          <w:u w:val="none" w:color="auto"/>
        </w:rPr>
        <w:t>5</w:t>
      </w:r>
      <w:r>
        <w:rPr>
          <w:rFonts w:hint="eastAsia" w:ascii="宋体" w:hAnsi="宋体"/>
          <w:szCs w:val="21"/>
          <w:u w:val="none" w:color="auto"/>
        </w:rPr>
        <w:t>.</w:t>
      </w:r>
      <w:r>
        <w:rPr>
          <w:rFonts w:ascii="宋体" w:hAnsi="宋体"/>
          <w:szCs w:val="21"/>
          <w:u w:val="none" w:color="auto"/>
        </w:rPr>
        <w:t>“服务”系指</w:t>
      </w:r>
      <w:r>
        <w:rPr>
          <w:rFonts w:hint="eastAsia" w:ascii="宋体" w:hAnsi="宋体"/>
          <w:szCs w:val="21"/>
          <w:u w:val="none" w:color="auto"/>
        </w:rPr>
        <w:t>采购文件</w:t>
      </w:r>
      <w:r>
        <w:rPr>
          <w:rFonts w:ascii="宋体" w:hAnsi="宋体"/>
          <w:szCs w:val="21"/>
          <w:u w:val="none" w:color="auto"/>
        </w:rPr>
        <w:t>规定</w:t>
      </w:r>
      <w:r>
        <w:rPr>
          <w:rFonts w:hint="eastAsia" w:ascii="宋体" w:hAnsi="宋体"/>
          <w:szCs w:val="21"/>
          <w:u w:val="none" w:color="auto"/>
        </w:rPr>
        <w:t>投标人</w:t>
      </w:r>
      <w:r>
        <w:rPr>
          <w:rFonts w:ascii="宋体" w:hAnsi="宋体"/>
          <w:szCs w:val="21"/>
          <w:u w:val="none" w:color="auto"/>
        </w:rPr>
        <w:t>须承担的安装、调试、技术协助、校准、培训、技术指导以及其他类似的义务。</w:t>
      </w:r>
    </w:p>
    <w:p w14:paraId="4C25D203">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hint="eastAsia" w:ascii="宋体" w:hAnsi="宋体"/>
          <w:szCs w:val="21"/>
          <w:u w:val="none" w:color="auto"/>
        </w:rPr>
      </w:pPr>
      <w:r>
        <w:rPr>
          <w:rFonts w:ascii="宋体" w:hAnsi="宋体"/>
          <w:szCs w:val="21"/>
          <w:u w:val="none" w:color="auto"/>
        </w:rPr>
        <w:t>6</w:t>
      </w:r>
      <w:r>
        <w:rPr>
          <w:rFonts w:hint="eastAsia" w:ascii="宋体" w:hAnsi="宋体"/>
          <w:szCs w:val="21"/>
          <w:u w:val="none" w:color="auto"/>
        </w:rPr>
        <w:t>.</w:t>
      </w:r>
      <w:r>
        <w:rPr>
          <w:rFonts w:ascii="宋体" w:hAnsi="宋体"/>
          <w:szCs w:val="21"/>
          <w:u w:val="none" w:color="auto"/>
        </w:rPr>
        <w:t>“项目”系指</w:t>
      </w:r>
      <w:r>
        <w:rPr>
          <w:rFonts w:hint="eastAsia" w:ascii="宋体" w:hAnsi="宋体"/>
          <w:szCs w:val="21"/>
          <w:u w:val="none" w:color="auto"/>
        </w:rPr>
        <w:t>投标人</w:t>
      </w:r>
      <w:r>
        <w:rPr>
          <w:rFonts w:ascii="宋体" w:hAnsi="宋体"/>
          <w:szCs w:val="21"/>
          <w:u w:val="none" w:color="auto"/>
        </w:rPr>
        <w:t>按</w:t>
      </w:r>
      <w:r>
        <w:rPr>
          <w:rFonts w:hint="eastAsia" w:ascii="宋体" w:hAnsi="宋体"/>
          <w:szCs w:val="21"/>
          <w:u w:val="none" w:color="auto"/>
        </w:rPr>
        <w:t>采购文件</w:t>
      </w:r>
      <w:r>
        <w:rPr>
          <w:rFonts w:ascii="宋体" w:hAnsi="宋体"/>
          <w:szCs w:val="21"/>
          <w:u w:val="none" w:color="auto"/>
        </w:rPr>
        <w:t>规定向采购人提供的产品和服务。</w:t>
      </w:r>
    </w:p>
    <w:p w14:paraId="5D5B1EF6">
      <w:pPr>
        <w:keepNext w:val="0"/>
        <w:keepLines w:val="0"/>
        <w:pageBreakBefore w:val="0"/>
        <w:widowControl w:val="0"/>
        <w:kinsoku/>
        <w:wordWrap/>
        <w:overflowPunct/>
        <w:topLinePunct w:val="0"/>
        <w:autoSpaceDE/>
        <w:autoSpaceDN/>
        <w:bidi w:val="0"/>
        <w:adjustRightInd/>
        <w:spacing w:line="360" w:lineRule="auto"/>
        <w:ind w:right="0" w:rightChars="0" w:firstLine="420" w:firstLineChars="200"/>
        <w:textAlignment w:val="auto"/>
        <w:rPr>
          <w:rFonts w:hint="eastAsia" w:ascii="宋体" w:hAnsi="宋体"/>
          <w:u w:val="none" w:color="auto"/>
        </w:rPr>
      </w:pPr>
      <w:r>
        <w:rPr>
          <w:rFonts w:ascii="宋体" w:hAnsi="宋体"/>
          <w:u w:val="none" w:color="auto"/>
        </w:rPr>
        <w:t>7</w:t>
      </w:r>
      <w:r>
        <w:rPr>
          <w:rFonts w:hint="eastAsia" w:ascii="宋体" w:hAnsi="宋体"/>
          <w:u w:val="none" w:color="auto"/>
        </w:rPr>
        <w:t>.“中标人”是指经审查通过，并经公示无异议的投标人。</w:t>
      </w:r>
    </w:p>
    <w:p w14:paraId="600C6229">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hint="eastAsia" w:ascii="宋体" w:hAnsi="宋体"/>
          <w:szCs w:val="21"/>
          <w:u w:val="none" w:color="auto"/>
        </w:rPr>
      </w:pPr>
      <w:r>
        <w:rPr>
          <w:rFonts w:ascii="宋体" w:hAnsi="宋体"/>
          <w:szCs w:val="21"/>
          <w:u w:val="none" w:color="auto"/>
        </w:rPr>
        <w:t>8</w:t>
      </w:r>
      <w:r>
        <w:rPr>
          <w:rFonts w:hint="eastAsia" w:ascii="宋体" w:hAnsi="宋体"/>
          <w:szCs w:val="21"/>
          <w:u w:val="none" w:color="auto"/>
        </w:rPr>
        <w:t>.</w:t>
      </w:r>
      <w:r>
        <w:rPr>
          <w:rFonts w:hint="eastAsia" w:ascii="宋体" w:hAnsi="宋体"/>
          <w:b/>
          <w:u w:val="none" w:color="auto"/>
        </w:rPr>
        <w:t xml:space="preserve"> “★”</w:t>
      </w:r>
      <w:r>
        <w:rPr>
          <w:rFonts w:hint="eastAsia" w:ascii="宋体" w:hAnsi="宋体"/>
          <w:b/>
          <w:szCs w:val="21"/>
          <w:u w:val="none" w:color="auto"/>
        </w:rPr>
        <w:t>系指实质性</w:t>
      </w:r>
      <w:r>
        <w:rPr>
          <w:rFonts w:hint="eastAsia" w:ascii="宋体" w:hAnsi="宋体"/>
          <w:b/>
          <w:u w:val="none" w:color="auto"/>
        </w:rPr>
        <w:t>要求条款，未响应的作无效标处理。</w:t>
      </w:r>
    </w:p>
    <w:p w14:paraId="144D2DCA">
      <w:pPr>
        <w:keepNext w:val="0"/>
        <w:keepLines w:val="0"/>
        <w:pageBreakBefore w:val="0"/>
        <w:kinsoku/>
        <w:wordWrap/>
        <w:overflowPunct/>
        <w:topLinePunct w:val="0"/>
        <w:autoSpaceDE/>
        <w:autoSpaceDN/>
        <w:bidi w:val="0"/>
        <w:adjustRightInd/>
        <w:snapToGrid w:val="0"/>
        <w:spacing w:line="312" w:lineRule="auto"/>
        <w:ind w:right="0" w:rightChars="0"/>
        <w:jc w:val="left"/>
        <w:textAlignment w:val="auto"/>
        <w:outlineLvl w:val="1"/>
        <w:rPr>
          <w:rFonts w:hint="eastAsia" w:ascii="宋体" w:hAnsi="宋体"/>
          <w:b/>
          <w:szCs w:val="21"/>
          <w:u w:val="none" w:color="auto"/>
        </w:rPr>
      </w:pPr>
      <w:r>
        <w:rPr>
          <w:rFonts w:ascii="宋体" w:hAnsi="宋体"/>
          <w:b/>
          <w:szCs w:val="21"/>
          <w:u w:val="none" w:color="auto"/>
        </w:rPr>
        <w:t>（三）采购方式</w:t>
      </w:r>
    </w:p>
    <w:p w14:paraId="2EC8ACCF">
      <w:pPr>
        <w:keepNext w:val="0"/>
        <w:keepLines w:val="0"/>
        <w:pageBreakBefore w:val="0"/>
        <w:kinsoku/>
        <w:wordWrap/>
        <w:overflowPunct/>
        <w:topLinePunct w:val="0"/>
        <w:autoSpaceDE/>
        <w:autoSpaceDN/>
        <w:bidi w:val="0"/>
        <w:adjustRightInd/>
        <w:snapToGrid w:val="0"/>
        <w:spacing w:line="312" w:lineRule="auto"/>
        <w:ind w:right="0" w:rightChars="0" w:firstLine="420" w:firstLineChars="200"/>
        <w:jc w:val="left"/>
        <w:textAlignment w:val="auto"/>
        <w:rPr>
          <w:rFonts w:hint="eastAsia" w:ascii="宋体" w:hAnsi="宋体"/>
          <w:szCs w:val="21"/>
          <w:u w:val="none" w:color="auto"/>
        </w:rPr>
      </w:pPr>
      <w:r>
        <w:rPr>
          <w:rFonts w:ascii="宋体" w:hAnsi="宋体"/>
          <w:szCs w:val="21"/>
          <w:u w:val="none" w:color="auto"/>
        </w:rPr>
        <w:t>本次采购采用</w:t>
      </w:r>
      <w:r>
        <w:rPr>
          <w:rFonts w:hint="eastAsia" w:ascii="宋体" w:hAnsi="宋体"/>
          <w:szCs w:val="21"/>
          <w:u w:val="none" w:color="auto"/>
        </w:rPr>
        <w:t>竞争性磋商方</w:t>
      </w:r>
      <w:r>
        <w:rPr>
          <w:rFonts w:ascii="宋体" w:hAnsi="宋体"/>
          <w:szCs w:val="21"/>
          <w:u w:val="none" w:color="auto"/>
        </w:rPr>
        <w:t>式进行。</w:t>
      </w:r>
    </w:p>
    <w:p w14:paraId="29C71AF1">
      <w:pPr>
        <w:pStyle w:val="44"/>
        <w:keepNext w:val="0"/>
        <w:keepLines w:val="0"/>
        <w:pageBreakBefore w:val="0"/>
        <w:kinsoku/>
        <w:wordWrap/>
        <w:overflowPunct/>
        <w:topLinePunct w:val="0"/>
        <w:autoSpaceDE/>
        <w:autoSpaceDN/>
        <w:bidi w:val="0"/>
        <w:adjustRightInd/>
        <w:snapToGrid w:val="0"/>
        <w:spacing w:beforeLines="0" w:afterLines="0" w:line="312" w:lineRule="auto"/>
        <w:ind w:right="0" w:rightChars="0"/>
        <w:textAlignment w:val="auto"/>
        <w:rPr>
          <w:rFonts w:hint="eastAsia" w:hAnsi="宋体"/>
          <w:b/>
          <w:u w:val="none" w:color="auto"/>
        </w:rPr>
      </w:pPr>
      <w:r>
        <w:rPr>
          <w:rFonts w:hAnsi="宋体"/>
          <w:b/>
          <w:u w:val="none" w:color="auto"/>
        </w:rPr>
        <w:t>（四）采购预算</w:t>
      </w:r>
    </w:p>
    <w:p w14:paraId="46759E6B">
      <w:pPr>
        <w:pStyle w:val="44"/>
        <w:keepNext w:val="0"/>
        <w:keepLines w:val="0"/>
        <w:pageBreakBefore w:val="0"/>
        <w:kinsoku/>
        <w:wordWrap/>
        <w:overflowPunct/>
        <w:topLinePunct w:val="0"/>
        <w:autoSpaceDE/>
        <w:autoSpaceDN/>
        <w:bidi w:val="0"/>
        <w:adjustRightInd/>
        <w:snapToGrid w:val="0"/>
        <w:spacing w:beforeLines="0" w:afterLines="0" w:line="312" w:lineRule="auto"/>
        <w:ind w:right="0" w:rightChars="0" w:firstLine="420" w:firstLineChars="200"/>
        <w:textAlignment w:val="auto"/>
        <w:rPr>
          <w:rFonts w:hint="eastAsia" w:hAnsi="宋体"/>
          <w:u w:val="none" w:color="auto"/>
        </w:rPr>
      </w:pPr>
      <w:r>
        <w:rPr>
          <w:rFonts w:hint="eastAsia" w:hAnsi="宋体"/>
          <w:u w:val="none" w:color="auto"/>
        </w:rPr>
        <w:t>人民币</w:t>
      </w:r>
      <w:r>
        <w:rPr>
          <w:rFonts w:hint="eastAsia" w:hAnsi="宋体"/>
          <w:u w:val="none" w:color="auto"/>
          <w:lang w:val="en-US" w:eastAsia="zh-CN"/>
        </w:rPr>
        <w:t>陆</w:t>
      </w:r>
      <w:r>
        <w:rPr>
          <w:rFonts w:hint="eastAsia" w:hAnsi="宋体"/>
          <w:u w:val="none" w:color="auto"/>
        </w:rPr>
        <w:t>拾万元整（</w:t>
      </w:r>
      <w:r>
        <w:rPr>
          <w:rFonts w:hint="eastAsia" w:hAnsi="宋体"/>
          <w:u w:val="none" w:color="auto"/>
          <w:lang w:val="en-US" w:eastAsia="zh-CN"/>
        </w:rPr>
        <w:t>6</w:t>
      </w:r>
      <w:r>
        <w:rPr>
          <w:rFonts w:hint="eastAsia" w:hAnsi="宋体"/>
          <w:u w:val="none" w:color="auto"/>
        </w:rPr>
        <w:t>00,000.00元）</w:t>
      </w:r>
    </w:p>
    <w:p w14:paraId="4EB58AAA">
      <w:pPr>
        <w:pStyle w:val="44"/>
        <w:keepNext w:val="0"/>
        <w:keepLines w:val="0"/>
        <w:pageBreakBefore w:val="0"/>
        <w:kinsoku/>
        <w:wordWrap/>
        <w:overflowPunct/>
        <w:topLinePunct w:val="0"/>
        <w:autoSpaceDE/>
        <w:autoSpaceDN/>
        <w:bidi w:val="0"/>
        <w:adjustRightInd/>
        <w:snapToGrid w:val="0"/>
        <w:spacing w:beforeLines="0" w:afterLines="0" w:line="312" w:lineRule="auto"/>
        <w:ind w:right="0" w:rightChars="0"/>
        <w:textAlignment w:val="auto"/>
        <w:rPr>
          <w:rFonts w:hint="eastAsia" w:hAnsi="宋体"/>
          <w:b/>
          <w:u w:val="none" w:color="auto"/>
        </w:rPr>
      </w:pPr>
      <w:r>
        <w:rPr>
          <w:rFonts w:hint="eastAsia" w:hAnsi="宋体"/>
          <w:b/>
          <w:u w:val="none" w:color="auto"/>
        </w:rPr>
        <w:t>（五）</w:t>
      </w:r>
      <w:r>
        <w:rPr>
          <w:rFonts w:hAnsi="宋体"/>
          <w:b/>
          <w:u w:val="none" w:color="auto"/>
        </w:rPr>
        <w:t>费用</w:t>
      </w:r>
    </w:p>
    <w:p w14:paraId="13014CB2">
      <w:pPr>
        <w:keepNext w:val="0"/>
        <w:keepLines w:val="0"/>
        <w:pageBreakBefore w:val="0"/>
        <w:kinsoku/>
        <w:wordWrap/>
        <w:overflowPunct/>
        <w:topLinePunct w:val="0"/>
        <w:autoSpaceDE/>
        <w:autoSpaceDN/>
        <w:bidi w:val="0"/>
        <w:adjustRightInd/>
        <w:snapToGrid w:val="0"/>
        <w:spacing w:line="312" w:lineRule="auto"/>
        <w:ind w:right="0" w:rightChars="0" w:firstLine="420" w:firstLineChars="200"/>
        <w:jc w:val="left"/>
        <w:textAlignment w:val="auto"/>
        <w:rPr>
          <w:rFonts w:hint="eastAsia" w:ascii="宋体" w:hAnsi="宋体"/>
          <w:szCs w:val="21"/>
          <w:u w:val="none" w:color="auto"/>
        </w:rPr>
      </w:pPr>
      <w:r>
        <w:rPr>
          <w:rFonts w:ascii="宋体" w:hAnsi="宋体"/>
          <w:szCs w:val="21"/>
          <w:u w:val="none" w:color="auto"/>
        </w:rPr>
        <w:t>不论</w:t>
      </w:r>
      <w:r>
        <w:rPr>
          <w:rFonts w:hint="eastAsia" w:ascii="宋体" w:hAnsi="宋体"/>
          <w:szCs w:val="21"/>
          <w:u w:val="none" w:color="auto"/>
        </w:rPr>
        <w:t>采购</w:t>
      </w:r>
      <w:r>
        <w:rPr>
          <w:rFonts w:ascii="宋体" w:hAnsi="宋体"/>
          <w:szCs w:val="21"/>
          <w:u w:val="none" w:color="auto"/>
        </w:rPr>
        <w:t>结果如何，</w:t>
      </w:r>
      <w:r>
        <w:rPr>
          <w:rFonts w:hint="eastAsia" w:ascii="宋体" w:hAnsi="宋体"/>
          <w:szCs w:val="21"/>
          <w:u w:val="none" w:color="auto"/>
        </w:rPr>
        <w:t>投标人</w:t>
      </w:r>
      <w:r>
        <w:rPr>
          <w:rFonts w:ascii="宋体" w:hAnsi="宋体"/>
          <w:szCs w:val="21"/>
          <w:u w:val="none" w:color="auto"/>
        </w:rPr>
        <w:t>均应自行承担所有与投标有关的全部费用（</w:t>
      </w:r>
      <w:r>
        <w:rPr>
          <w:rFonts w:hint="eastAsia" w:ascii="宋体" w:hAnsi="宋体"/>
          <w:szCs w:val="21"/>
          <w:u w:val="none" w:color="auto"/>
        </w:rPr>
        <w:t>磋商文件</w:t>
      </w:r>
      <w:r>
        <w:rPr>
          <w:rFonts w:ascii="宋体" w:hAnsi="宋体"/>
          <w:szCs w:val="21"/>
          <w:u w:val="none" w:color="auto"/>
        </w:rPr>
        <w:t>另有规定除外）。</w:t>
      </w:r>
    </w:p>
    <w:p w14:paraId="2BBD4C52">
      <w:pPr>
        <w:keepNext w:val="0"/>
        <w:keepLines w:val="0"/>
        <w:pageBreakBefore w:val="0"/>
        <w:kinsoku/>
        <w:wordWrap/>
        <w:overflowPunct/>
        <w:topLinePunct w:val="0"/>
        <w:autoSpaceDE/>
        <w:autoSpaceDN/>
        <w:bidi w:val="0"/>
        <w:adjustRightInd/>
        <w:snapToGrid w:val="0"/>
        <w:spacing w:line="312" w:lineRule="auto"/>
        <w:ind w:right="0" w:rightChars="0"/>
        <w:textAlignment w:val="auto"/>
        <w:rPr>
          <w:rFonts w:ascii="Times New Roman" w:hAnsi="Times New Roman"/>
          <w:b/>
          <w:szCs w:val="21"/>
          <w:u w:val="none" w:color="auto"/>
        </w:rPr>
      </w:pPr>
      <w:r>
        <w:rPr>
          <w:rFonts w:hint="eastAsia" w:ascii="Times New Roman" w:hAnsi="Times New Roman"/>
          <w:b/>
          <w:szCs w:val="21"/>
          <w:u w:val="none" w:color="auto"/>
        </w:rPr>
        <w:t>（六）关于联合体</w:t>
      </w:r>
    </w:p>
    <w:p w14:paraId="0BD3106E">
      <w:pPr>
        <w:keepNext w:val="0"/>
        <w:keepLines w:val="0"/>
        <w:pageBreakBefore w:val="0"/>
        <w:kinsoku/>
        <w:wordWrap/>
        <w:overflowPunct/>
        <w:topLinePunct w:val="0"/>
        <w:autoSpaceDE/>
        <w:autoSpaceDN/>
        <w:bidi w:val="0"/>
        <w:adjustRightInd/>
        <w:snapToGrid w:val="0"/>
        <w:spacing w:line="312" w:lineRule="auto"/>
        <w:ind w:right="0" w:rightChars="0" w:firstLine="420" w:firstLineChars="200"/>
        <w:textAlignment w:val="auto"/>
        <w:rPr>
          <w:rFonts w:ascii="Times New Roman" w:hAnsi="Times New Roman"/>
          <w:bCs/>
          <w:szCs w:val="21"/>
          <w:u w:val="none" w:color="auto"/>
        </w:rPr>
      </w:pPr>
      <w:r>
        <w:rPr>
          <w:rFonts w:hint="eastAsia" w:ascii="Times New Roman" w:hAnsi="Times New Roman"/>
          <w:bCs/>
          <w:szCs w:val="21"/>
          <w:u w:val="none" w:color="auto"/>
        </w:rPr>
        <w:t>本项目不接受联合体</w:t>
      </w:r>
    </w:p>
    <w:p w14:paraId="5DFE6109">
      <w:pPr>
        <w:keepNext w:val="0"/>
        <w:keepLines w:val="0"/>
        <w:pageBreakBefore w:val="0"/>
        <w:kinsoku/>
        <w:wordWrap/>
        <w:overflowPunct/>
        <w:topLinePunct w:val="0"/>
        <w:autoSpaceDE/>
        <w:autoSpaceDN/>
        <w:bidi w:val="0"/>
        <w:adjustRightInd/>
        <w:snapToGrid w:val="0"/>
        <w:spacing w:line="312" w:lineRule="auto"/>
        <w:ind w:right="0" w:rightChars="0"/>
        <w:textAlignment w:val="auto"/>
        <w:rPr>
          <w:rFonts w:ascii="Times New Roman" w:hAnsi="Times New Roman"/>
          <w:b/>
          <w:szCs w:val="21"/>
          <w:u w:val="none" w:color="auto"/>
        </w:rPr>
      </w:pPr>
      <w:r>
        <w:rPr>
          <w:rFonts w:hint="eastAsia" w:ascii="Times New Roman" w:hAnsi="Times New Roman"/>
          <w:b/>
          <w:szCs w:val="21"/>
          <w:u w:val="none" w:color="auto"/>
        </w:rPr>
        <w:t>（七）关于分包和转包</w:t>
      </w:r>
    </w:p>
    <w:p w14:paraId="4FD13B4E">
      <w:pPr>
        <w:keepNext w:val="0"/>
        <w:keepLines w:val="0"/>
        <w:pageBreakBefore w:val="0"/>
        <w:kinsoku/>
        <w:wordWrap/>
        <w:overflowPunct/>
        <w:topLinePunct w:val="0"/>
        <w:autoSpaceDE/>
        <w:autoSpaceDN/>
        <w:bidi w:val="0"/>
        <w:adjustRightInd/>
        <w:snapToGrid w:val="0"/>
        <w:spacing w:line="312" w:lineRule="auto"/>
        <w:ind w:right="0" w:rightChars="0" w:firstLine="420" w:firstLineChars="200"/>
        <w:textAlignment w:val="auto"/>
        <w:rPr>
          <w:rFonts w:ascii="Times New Roman" w:hAnsi="Times New Roman"/>
          <w:szCs w:val="21"/>
          <w:u w:val="none" w:color="auto"/>
        </w:rPr>
      </w:pPr>
      <w:r>
        <w:rPr>
          <w:rFonts w:hint="eastAsia" w:ascii="Times New Roman" w:hAnsi="Times New Roman"/>
          <w:szCs w:val="21"/>
          <w:u w:val="none" w:color="auto"/>
        </w:rPr>
        <w:t>本项目不允许分包。</w:t>
      </w:r>
    </w:p>
    <w:p w14:paraId="54AB4193">
      <w:pPr>
        <w:keepNext w:val="0"/>
        <w:keepLines w:val="0"/>
        <w:pageBreakBefore w:val="0"/>
        <w:kinsoku/>
        <w:wordWrap/>
        <w:overflowPunct/>
        <w:topLinePunct w:val="0"/>
        <w:autoSpaceDE/>
        <w:autoSpaceDN/>
        <w:bidi w:val="0"/>
        <w:adjustRightInd/>
        <w:snapToGrid w:val="0"/>
        <w:spacing w:line="312" w:lineRule="auto"/>
        <w:ind w:right="0" w:rightChars="0" w:firstLine="420" w:firstLineChars="200"/>
        <w:textAlignment w:val="auto"/>
        <w:rPr>
          <w:rFonts w:ascii="Times New Roman" w:hAnsi="Times New Roman"/>
          <w:szCs w:val="21"/>
          <w:u w:val="none" w:color="auto"/>
        </w:rPr>
      </w:pPr>
      <w:r>
        <w:rPr>
          <w:rFonts w:hint="eastAsia" w:ascii="Times New Roman" w:hAnsi="Times New Roman"/>
          <w:szCs w:val="21"/>
          <w:u w:val="none" w:color="auto"/>
        </w:rPr>
        <w:t>本项目不允许转包。</w:t>
      </w:r>
    </w:p>
    <w:p w14:paraId="3E59DE0A">
      <w:pPr>
        <w:pStyle w:val="44"/>
        <w:keepNext w:val="0"/>
        <w:keepLines w:val="0"/>
        <w:pageBreakBefore w:val="0"/>
        <w:kinsoku/>
        <w:wordWrap/>
        <w:overflowPunct/>
        <w:topLinePunct w:val="0"/>
        <w:autoSpaceDE/>
        <w:autoSpaceDN/>
        <w:bidi w:val="0"/>
        <w:adjustRightInd/>
        <w:snapToGrid w:val="0"/>
        <w:spacing w:beforeLines="0" w:afterLines="0" w:line="312" w:lineRule="auto"/>
        <w:ind w:right="0" w:rightChars="0"/>
        <w:textAlignment w:val="auto"/>
        <w:rPr>
          <w:rFonts w:hint="eastAsia" w:hAnsi="宋体"/>
          <w:b/>
          <w:u w:val="none" w:color="auto"/>
        </w:rPr>
      </w:pPr>
      <w:r>
        <w:rPr>
          <w:rFonts w:hAnsi="宋体"/>
          <w:b/>
          <w:u w:val="none" w:color="auto"/>
        </w:rPr>
        <w:t>（</w:t>
      </w:r>
      <w:r>
        <w:rPr>
          <w:rFonts w:hint="eastAsia" w:hAnsi="宋体"/>
          <w:b/>
          <w:u w:val="none" w:color="auto"/>
        </w:rPr>
        <w:t>八</w:t>
      </w:r>
      <w:r>
        <w:rPr>
          <w:rFonts w:hAnsi="宋体"/>
          <w:b/>
          <w:u w:val="none" w:color="auto"/>
        </w:rPr>
        <w:t>）特别说明：</w:t>
      </w:r>
    </w:p>
    <w:p w14:paraId="01A2867F">
      <w:pPr>
        <w:keepNext w:val="0"/>
        <w:keepLines w:val="0"/>
        <w:pageBreakBefore w:val="0"/>
        <w:kinsoku/>
        <w:wordWrap/>
        <w:overflowPunct/>
        <w:topLinePunct w:val="0"/>
        <w:autoSpaceDE/>
        <w:autoSpaceDN/>
        <w:bidi w:val="0"/>
        <w:adjustRightInd/>
        <w:snapToGrid w:val="0"/>
        <w:spacing w:line="360" w:lineRule="auto"/>
        <w:ind w:right="0" w:rightChars="0" w:firstLine="420" w:firstLineChars="200"/>
        <w:jc w:val="left"/>
        <w:textAlignment w:val="auto"/>
        <w:rPr>
          <w:rFonts w:hint="eastAsia" w:ascii="宋体" w:hAnsi="宋体"/>
          <w:szCs w:val="22"/>
          <w:u w:val="none" w:color="auto"/>
        </w:rPr>
      </w:pPr>
      <w:r>
        <w:rPr>
          <w:rFonts w:hint="eastAsia" w:ascii="Times New Roman" w:hAnsi="Times New Roman"/>
          <w:bCs/>
          <w:szCs w:val="22"/>
          <w:u w:val="none" w:color="auto"/>
        </w:rPr>
        <w:t>1.</w:t>
      </w:r>
      <w:r>
        <w:rPr>
          <w:rFonts w:hint="eastAsia" w:ascii="宋体" w:hAnsi="宋体"/>
          <w:szCs w:val="22"/>
          <w:u w:val="none" w:color="auto"/>
        </w:rPr>
        <w:t>单位负责人为同一人或者存在直接控股、管理关系的不同供应商，不得同时参加同一合同项下的投标。</w:t>
      </w:r>
    </w:p>
    <w:p w14:paraId="43E5C399">
      <w:pPr>
        <w:keepNext w:val="0"/>
        <w:keepLines w:val="0"/>
        <w:pageBreakBefore w:val="0"/>
        <w:kinsoku/>
        <w:wordWrap/>
        <w:overflowPunct/>
        <w:topLinePunct w:val="0"/>
        <w:autoSpaceDE/>
        <w:autoSpaceDN/>
        <w:bidi w:val="0"/>
        <w:adjustRightInd/>
        <w:snapToGrid w:val="0"/>
        <w:spacing w:line="360" w:lineRule="auto"/>
        <w:ind w:right="0" w:rightChars="0" w:firstLine="420" w:firstLineChars="200"/>
        <w:jc w:val="left"/>
        <w:textAlignment w:val="auto"/>
        <w:rPr>
          <w:rFonts w:hint="eastAsia" w:ascii="宋体" w:hAnsi="宋体"/>
          <w:szCs w:val="22"/>
          <w:u w:val="none" w:color="auto"/>
        </w:rPr>
      </w:pPr>
      <w:r>
        <w:rPr>
          <w:rFonts w:hint="eastAsia" w:ascii="宋体" w:hAnsi="宋体"/>
          <w:szCs w:val="22"/>
          <w:u w:val="none" w:color="auto"/>
        </w:rPr>
        <w:t>为项目提供整体设计、规范编制或者项目管理、监理、检测等服务的供应商，不得参加该项目的投标。</w:t>
      </w:r>
    </w:p>
    <w:p w14:paraId="3F6C25A2">
      <w:pPr>
        <w:keepNext w:val="0"/>
        <w:keepLines w:val="0"/>
        <w:pageBreakBefore w:val="0"/>
        <w:kinsoku/>
        <w:wordWrap/>
        <w:overflowPunct/>
        <w:topLinePunct w:val="0"/>
        <w:autoSpaceDE/>
        <w:autoSpaceDN/>
        <w:bidi w:val="0"/>
        <w:adjustRightInd/>
        <w:snapToGrid w:val="0"/>
        <w:spacing w:line="360" w:lineRule="auto"/>
        <w:ind w:right="0" w:rightChars="0" w:firstLine="401" w:firstLineChars="199"/>
        <w:textAlignment w:val="auto"/>
        <w:rPr>
          <w:rFonts w:ascii="Times New Roman" w:hAnsi="Times New Roman"/>
          <w:bCs/>
          <w:spacing w:val="-4"/>
          <w:kern w:val="0"/>
          <w:u w:val="none" w:color="auto"/>
        </w:rPr>
      </w:pPr>
      <w:r>
        <w:rPr>
          <w:rFonts w:ascii="Times New Roman" w:hAnsi="Times New Roman"/>
          <w:bCs/>
          <w:spacing w:val="-4"/>
          <w:kern w:val="0"/>
          <w:u w:val="none" w:color="auto"/>
        </w:rPr>
        <w:t>2.</w:t>
      </w:r>
      <w:r>
        <w:rPr>
          <w:rFonts w:hint="eastAsia" w:ascii="Times New Roman" w:hAnsi="Times New Roman"/>
          <w:bCs/>
          <w:spacing w:val="-4"/>
          <w:kern w:val="0"/>
          <w:u w:val="none" w:color="auto"/>
        </w:rPr>
        <w:t>投标人投标所使用的资格、信誉、荣誉、业绩与企业认证必须为本法人所拥有。投标人投标所使用的采购项目实施人员必须为本法人员工。</w:t>
      </w:r>
    </w:p>
    <w:p w14:paraId="0774C84E">
      <w:pPr>
        <w:keepNext w:val="0"/>
        <w:keepLines w:val="0"/>
        <w:pageBreakBefore w:val="0"/>
        <w:kinsoku/>
        <w:wordWrap/>
        <w:overflowPunct/>
        <w:topLinePunct w:val="0"/>
        <w:autoSpaceDE/>
        <w:autoSpaceDN/>
        <w:bidi w:val="0"/>
        <w:adjustRightInd/>
        <w:snapToGrid w:val="0"/>
        <w:spacing w:line="360" w:lineRule="auto"/>
        <w:ind w:right="0" w:rightChars="0" w:firstLine="404" w:firstLineChars="200"/>
        <w:textAlignment w:val="auto"/>
        <w:rPr>
          <w:rFonts w:ascii="Times New Roman" w:hAnsi="Times New Roman"/>
          <w:bCs/>
          <w:spacing w:val="-4"/>
          <w:kern w:val="0"/>
          <w:u w:val="none" w:color="auto"/>
        </w:rPr>
      </w:pPr>
      <w:r>
        <w:rPr>
          <w:rFonts w:ascii="Times New Roman" w:hAnsi="Times New Roman"/>
          <w:bCs/>
          <w:spacing w:val="-4"/>
          <w:kern w:val="0"/>
          <w:u w:val="none" w:color="auto"/>
        </w:rPr>
        <w:t>3.</w:t>
      </w:r>
      <w:r>
        <w:rPr>
          <w:rFonts w:hint="eastAsia" w:ascii="Times New Roman" w:hAnsi="Times New Roman"/>
          <w:bCs/>
          <w:spacing w:val="-4"/>
          <w:kern w:val="0"/>
          <w:u w:val="none" w:color="auto"/>
        </w:rPr>
        <w:t>投标人应仔细阅读招标文件的所有内容，按照招标文件的要求提交投标文件，并对所提供的全部资料的真实性承担法律责任。</w:t>
      </w:r>
    </w:p>
    <w:p w14:paraId="14FF745F">
      <w:pPr>
        <w:pStyle w:val="44"/>
        <w:keepNext w:val="0"/>
        <w:keepLines w:val="0"/>
        <w:pageBreakBefore w:val="0"/>
        <w:kinsoku/>
        <w:wordWrap/>
        <w:overflowPunct/>
        <w:topLinePunct w:val="0"/>
        <w:autoSpaceDE/>
        <w:autoSpaceDN/>
        <w:bidi w:val="0"/>
        <w:adjustRightInd/>
        <w:snapToGrid w:val="0"/>
        <w:spacing w:beforeLines="0" w:afterLines="0" w:line="360" w:lineRule="auto"/>
        <w:ind w:right="0" w:rightChars="0"/>
        <w:textAlignment w:val="auto"/>
        <w:rPr>
          <w:rFonts w:hint="eastAsia" w:hAnsi="宋体"/>
          <w:b/>
          <w:u w:val="none" w:color="auto"/>
        </w:rPr>
      </w:pPr>
      <w:r>
        <w:rPr>
          <w:rFonts w:hAnsi="宋体"/>
          <w:b/>
          <w:u w:val="none" w:color="auto"/>
        </w:rPr>
        <w:t>（</w:t>
      </w:r>
      <w:r>
        <w:rPr>
          <w:rFonts w:hint="eastAsia" w:hAnsi="宋体"/>
          <w:b/>
          <w:u w:val="none" w:color="auto"/>
        </w:rPr>
        <w:t>九</w:t>
      </w:r>
      <w:r>
        <w:rPr>
          <w:rFonts w:hAnsi="宋体"/>
          <w:b/>
          <w:u w:val="none" w:color="auto"/>
        </w:rPr>
        <w:t>）质疑</w:t>
      </w:r>
    </w:p>
    <w:p w14:paraId="27FD3331">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hint="eastAsia" w:hAnsi="宋体" w:cs="宋体"/>
          <w:bCs/>
          <w:szCs w:val="21"/>
          <w:u w:val="none" w:color="auto"/>
        </w:rPr>
      </w:pPr>
      <w:r>
        <w:rPr>
          <w:rFonts w:hAnsi="宋体" w:cs="宋体"/>
          <w:bCs/>
          <w:szCs w:val="21"/>
          <w:u w:val="none" w:color="auto"/>
        </w:rPr>
        <w:t>投标人应当自知道或者应当知道其合法权益受到损害之日起七个工作日内提出质疑。</w:t>
      </w:r>
    </w:p>
    <w:p w14:paraId="6CC5FB45">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hint="eastAsia" w:cs="宋体" w:asciiTheme="minorEastAsia" w:hAnsiTheme="minorEastAsia" w:eastAsiaTheme="minorEastAsia"/>
          <w:bCs/>
          <w:szCs w:val="21"/>
          <w:u w:val="none" w:color="auto"/>
        </w:rPr>
      </w:pPr>
      <w:r>
        <w:rPr>
          <w:rFonts w:hint="eastAsia" w:cs="宋体" w:asciiTheme="minorEastAsia" w:hAnsiTheme="minorEastAsia" w:eastAsiaTheme="minorEastAsia"/>
          <w:bCs/>
          <w:szCs w:val="21"/>
          <w:u w:val="none" w:color="auto"/>
        </w:rPr>
        <w:t>1.对可以质疑的采购文件提出质疑的，为收到采购文件之日或者采购文件公告期限届满之日；</w:t>
      </w:r>
    </w:p>
    <w:p w14:paraId="6123597C">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hint="eastAsia" w:cs="宋体" w:asciiTheme="minorEastAsia" w:hAnsiTheme="minorEastAsia" w:eastAsiaTheme="minorEastAsia"/>
          <w:bCs/>
          <w:szCs w:val="21"/>
          <w:u w:val="none" w:color="auto"/>
        </w:rPr>
      </w:pPr>
      <w:r>
        <w:rPr>
          <w:rFonts w:hint="eastAsia" w:cs="宋体" w:asciiTheme="minorEastAsia" w:hAnsiTheme="minorEastAsia" w:eastAsiaTheme="minorEastAsia"/>
          <w:bCs/>
          <w:szCs w:val="21"/>
          <w:u w:val="none" w:color="auto"/>
        </w:rPr>
        <w:t>2.对采购过程提出质疑的，为各采购程序环节结束之日；</w:t>
      </w:r>
    </w:p>
    <w:p w14:paraId="707CF3DE">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hint="eastAsia" w:cs="宋体" w:asciiTheme="minorEastAsia" w:hAnsiTheme="minorEastAsia" w:eastAsiaTheme="minorEastAsia"/>
          <w:bCs/>
          <w:szCs w:val="21"/>
          <w:u w:val="none" w:color="auto"/>
        </w:rPr>
      </w:pPr>
      <w:r>
        <w:rPr>
          <w:rFonts w:hint="eastAsia" w:cs="宋体" w:asciiTheme="minorEastAsia" w:hAnsiTheme="minorEastAsia" w:eastAsiaTheme="minorEastAsia"/>
          <w:bCs/>
          <w:szCs w:val="21"/>
          <w:u w:val="none" w:color="auto"/>
        </w:rPr>
        <w:t>3.对中标或者成交结果提出质疑的，为中标或者成交结果公告期限届满之日。</w:t>
      </w:r>
    </w:p>
    <w:p w14:paraId="3EB219C5">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hint="eastAsia" w:cs="宋体" w:asciiTheme="minorEastAsia" w:hAnsiTheme="minorEastAsia" w:eastAsiaTheme="minorEastAsia"/>
          <w:bCs/>
          <w:szCs w:val="21"/>
          <w:u w:val="none" w:color="auto"/>
        </w:rPr>
      </w:pPr>
      <w:r>
        <w:rPr>
          <w:rFonts w:hint="eastAsia" w:cs="宋体" w:asciiTheme="minorEastAsia" w:hAnsiTheme="minorEastAsia" w:eastAsiaTheme="minorEastAsia"/>
          <w:bCs/>
          <w:szCs w:val="21"/>
          <w:u w:val="none" w:color="auto"/>
        </w:rPr>
        <w:t>4.</w:t>
      </w:r>
      <w:r>
        <w:rPr>
          <w:rFonts w:cs="宋体" w:asciiTheme="minorEastAsia" w:hAnsiTheme="minorEastAsia" w:eastAsiaTheme="minorEastAsia"/>
          <w:bCs/>
          <w:szCs w:val="21"/>
          <w:u w:val="none" w:color="auto"/>
        </w:rPr>
        <w:t>质疑书应包括下列主要内容：</w:t>
      </w:r>
    </w:p>
    <w:p w14:paraId="4185071F">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hint="eastAsia" w:cs="宋体" w:asciiTheme="minorEastAsia" w:hAnsiTheme="minorEastAsia" w:eastAsiaTheme="minorEastAsia"/>
          <w:bCs/>
          <w:szCs w:val="21"/>
          <w:u w:val="none" w:color="auto"/>
        </w:rPr>
      </w:pPr>
      <w:r>
        <w:rPr>
          <w:rFonts w:cs="宋体" w:asciiTheme="minorEastAsia" w:hAnsiTheme="minorEastAsia" w:eastAsiaTheme="minorEastAsia"/>
          <w:bCs/>
          <w:szCs w:val="21"/>
          <w:u w:val="none" w:color="auto"/>
        </w:rPr>
        <w:t>①质疑人的名称、地址、邮政编码、联系人、联系电话，以及被质疑人名称及联系方式；</w:t>
      </w:r>
    </w:p>
    <w:p w14:paraId="566F5308">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hint="eastAsia" w:cs="宋体" w:asciiTheme="minorEastAsia" w:hAnsiTheme="minorEastAsia" w:eastAsiaTheme="minorEastAsia"/>
          <w:bCs/>
          <w:szCs w:val="21"/>
          <w:u w:val="none" w:color="auto"/>
        </w:rPr>
      </w:pPr>
      <w:r>
        <w:rPr>
          <w:rFonts w:cs="宋体" w:asciiTheme="minorEastAsia" w:hAnsiTheme="minorEastAsia" w:eastAsiaTheme="minorEastAsia"/>
          <w:bCs/>
          <w:szCs w:val="21"/>
          <w:u w:val="none" w:color="auto"/>
        </w:rPr>
        <w:t>②被质疑采购项目名称、编号及采购内容；</w:t>
      </w:r>
    </w:p>
    <w:p w14:paraId="6CE40F61">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hint="eastAsia" w:hAnsi="宋体" w:cs="宋体"/>
          <w:bCs/>
          <w:szCs w:val="21"/>
          <w:u w:val="none" w:color="auto"/>
        </w:rPr>
      </w:pPr>
      <w:r>
        <w:rPr>
          <w:rFonts w:hAnsi="宋体" w:cs="宋体"/>
          <w:bCs/>
          <w:szCs w:val="21"/>
          <w:u w:val="none" w:color="auto"/>
        </w:rPr>
        <w:t>③具体的质疑事项及事实依据；</w:t>
      </w:r>
    </w:p>
    <w:p w14:paraId="0A01DE00">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hint="eastAsia" w:hAnsi="宋体" w:cs="宋体"/>
          <w:bCs/>
          <w:szCs w:val="21"/>
          <w:u w:val="none" w:color="auto"/>
        </w:rPr>
      </w:pPr>
      <w:r>
        <w:rPr>
          <w:rFonts w:hAnsi="宋体" w:cs="宋体"/>
          <w:bCs/>
          <w:szCs w:val="21"/>
          <w:u w:val="none" w:color="auto"/>
        </w:rPr>
        <w:t>④认为自己合法权益受到损害或可能受到损害的相关证据材料；</w:t>
      </w:r>
    </w:p>
    <w:p w14:paraId="156BF8D6">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hint="eastAsia" w:hAnsi="宋体" w:cs="宋体"/>
          <w:bCs/>
          <w:szCs w:val="21"/>
          <w:u w:val="none" w:color="auto"/>
        </w:rPr>
      </w:pPr>
      <w:r>
        <w:rPr>
          <w:rFonts w:hAnsi="宋体" w:cs="宋体"/>
          <w:bCs/>
          <w:szCs w:val="21"/>
          <w:u w:val="none" w:color="auto"/>
        </w:rPr>
        <w:t>⑤提出质疑的日期。</w:t>
      </w:r>
    </w:p>
    <w:p w14:paraId="4EDCDCC5">
      <w:pPr>
        <w:pStyle w:val="2"/>
        <w:keepNext w:val="0"/>
        <w:keepLines w:val="0"/>
        <w:pageBreakBefore w:val="0"/>
        <w:kinsoku/>
        <w:wordWrap/>
        <w:overflowPunct/>
        <w:topLinePunct w:val="0"/>
        <w:autoSpaceDE/>
        <w:autoSpaceDN/>
        <w:bidi w:val="0"/>
        <w:adjustRightInd/>
        <w:spacing w:after="0" w:line="360" w:lineRule="auto"/>
        <w:ind w:right="0" w:rightChars="0" w:firstLine="420" w:firstLineChars="200"/>
        <w:textAlignment w:val="auto"/>
        <w:rPr>
          <w:sz w:val="21"/>
          <w:szCs w:val="21"/>
          <w:u w:val="none" w:color="auto"/>
        </w:rPr>
      </w:pPr>
      <w:r>
        <w:rPr>
          <w:rFonts w:hint="eastAsia"/>
          <w:sz w:val="21"/>
          <w:szCs w:val="21"/>
          <w:u w:val="none" w:color="auto"/>
        </w:rPr>
        <w:t>供应商为自然人的，应当由本人签字：供应商为法人或者其他组织的，应当由法定代表人、主要负责人，或者其授权代表签字或者盖章，并加盖公章。</w:t>
      </w:r>
    </w:p>
    <w:p w14:paraId="27CFB121">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hint="eastAsia" w:asciiTheme="minorEastAsia" w:hAnsiTheme="minorEastAsia" w:eastAsiaTheme="minorEastAsia"/>
          <w:b/>
          <w:sz w:val="28"/>
          <w:u w:val="none" w:color="auto"/>
        </w:rPr>
      </w:pPr>
      <w:r>
        <w:rPr>
          <w:rFonts w:hint="eastAsia" w:hAnsi="宋体" w:cs="宋体"/>
          <w:bCs/>
          <w:szCs w:val="21"/>
          <w:u w:val="none" w:color="auto"/>
        </w:rPr>
        <w:t>供应商在法定质疑期内一次性提出针对同一采购程序环节的质疑。</w:t>
      </w:r>
    </w:p>
    <w:p w14:paraId="5B28C4B6">
      <w:pPr>
        <w:pStyle w:val="12"/>
        <w:snapToGrid w:val="0"/>
        <w:spacing w:before="156" w:line="360" w:lineRule="auto"/>
        <w:ind w:right="-506" w:rightChars="-241" w:firstLine="3092" w:firstLineChars="1100"/>
        <w:rPr>
          <w:rFonts w:hint="eastAsia" w:asciiTheme="minorEastAsia" w:hAnsiTheme="minorEastAsia" w:eastAsiaTheme="minorEastAsia"/>
          <w:b/>
          <w:sz w:val="28"/>
          <w:u w:val="none" w:color="auto"/>
        </w:rPr>
      </w:pPr>
      <w:r>
        <w:rPr>
          <w:rFonts w:hint="eastAsia" w:asciiTheme="minorEastAsia" w:hAnsiTheme="minorEastAsia" w:eastAsiaTheme="minorEastAsia"/>
          <w:b/>
          <w:sz w:val="28"/>
          <w:u w:val="none" w:color="auto"/>
        </w:rPr>
        <w:t>二、  磋商文件</w:t>
      </w:r>
    </w:p>
    <w:p w14:paraId="07404139">
      <w:pPr>
        <w:snapToGrid w:val="0"/>
        <w:spacing w:line="360" w:lineRule="auto"/>
        <w:ind w:right="-241"/>
        <w:jc w:val="left"/>
        <w:rPr>
          <w:rFonts w:hint="eastAsia" w:ascii="宋体" w:hAnsi="宋体"/>
          <w:b/>
          <w:sz w:val="24"/>
          <w:u w:val="none" w:color="auto"/>
        </w:rPr>
      </w:pPr>
      <w:r>
        <w:rPr>
          <w:rFonts w:hint="eastAsia" w:ascii="宋体" w:hAnsi="宋体"/>
          <w:b/>
          <w:sz w:val="24"/>
          <w:u w:val="none" w:color="auto"/>
        </w:rPr>
        <w:t>（一）磋商文件的构成。本磋商文件由以下部份组成：</w:t>
      </w:r>
    </w:p>
    <w:p w14:paraId="558DFA2E">
      <w:pPr>
        <w:snapToGrid w:val="0"/>
        <w:spacing w:line="360" w:lineRule="auto"/>
        <w:ind w:right="-241" w:firstLine="420" w:firstLineChars="200"/>
        <w:jc w:val="left"/>
        <w:rPr>
          <w:rFonts w:hint="eastAsia" w:ascii="宋体" w:hAnsi="宋体"/>
          <w:u w:val="none" w:color="auto"/>
        </w:rPr>
      </w:pPr>
      <w:r>
        <w:rPr>
          <w:rFonts w:hint="eastAsia" w:ascii="宋体" w:hAnsi="宋体"/>
          <w:u w:val="none" w:color="auto"/>
        </w:rPr>
        <w:t>1.招标公告</w:t>
      </w:r>
    </w:p>
    <w:p w14:paraId="195A308B">
      <w:pPr>
        <w:snapToGrid w:val="0"/>
        <w:spacing w:line="360" w:lineRule="auto"/>
        <w:ind w:right="-241" w:firstLine="420" w:firstLineChars="200"/>
        <w:jc w:val="left"/>
        <w:rPr>
          <w:rFonts w:hint="eastAsia" w:ascii="宋体" w:hAnsi="宋体"/>
          <w:u w:val="none" w:color="auto"/>
        </w:rPr>
      </w:pPr>
      <w:r>
        <w:rPr>
          <w:rFonts w:hint="eastAsia" w:ascii="宋体" w:hAnsi="宋体"/>
          <w:u w:val="none" w:color="auto"/>
        </w:rPr>
        <w:t>2.招标需求</w:t>
      </w:r>
    </w:p>
    <w:p w14:paraId="2D08B4D1">
      <w:pPr>
        <w:snapToGrid w:val="0"/>
        <w:spacing w:line="360" w:lineRule="auto"/>
        <w:ind w:right="-241" w:firstLine="420" w:firstLineChars="200"/>
        <w:jc w:val="left"/>
        <w:rPr>
          <w:rFonts w:hint="eastAsia" w:ascii="宋体" w:hAnsi="宋体"/>
          <w:u w:val="none" w:color="auto"/>
        </w:rPr>
      </w:pPr>
      <w:r>
        <w:rPr>
          <w:rFonts w:hint="eastAsia" w:ascii="宋体" w:hAnsi="宋体"/>
          <w:u w:val="none" w:color="auto"/>
        </w:rPr>
        <w:t>3.投标人须知</w:t>
      </w:r>
    </w:p>
    <w:p w14:paraId="6E02FEB9">
      <w:pPr>
        <w:snapToGrid w:val="0"/>
        <w:spacing w:line="360" w:lineRule="auto"/>
        <w:ind w:right="-241" w:firstLine="420" w:firstLineChars="200"/>
        <w:jc w:val="left"/>
        <w:rPr>
          <w:rFonts w:hint="eastAsia" w:ascii="宋体" w:hAnsi="宋体"/>
          <w:u w:val="none" w:color="auto"/>
        </w:rPr>
      </w:pPr>
      <w:r>
        <w:rPr>
          <w:rFonts w:hint="eastAsia" w:ascii="宋体" w:hAnsi="宋体"/>
          <w:u w:val="none" w:color="auto"/>
        </w:rPr>
        <w:t>4.</w:t>
      </w:r>
      <w:r>
        <w:rPr>
          <w:rFonts w:hint="eastAsia" w:ascii="宋体" w:hAnsi="宋体"/>
          <w:u w:val="none" w:color="auto"/>
          <w:lang w:eastAsia="zh-CN"/>
        </w:rPr>
        <w:t>评标方法</w:t>
      </w:r>
      <w:r>
        <w:rPr>
          <w:rFonts w:hint="eastAsia" w:ascii="宋体" w:hAnsi="宋体"/>
          <w:u w:val="none" w:color="auto"/>
        </w:rPr>
        <w:t>及标准</w:t>
      </w:r>
    </w:p>
    <w:p w14:paraId="61D0E857">
      <w:pPr>
        <w:snapToGrid w:val="0"/>
        <w:spacing w:line="360" w:lineRule="auto"/>
        <w:ind w:right="-241" w:firstLine="420" w:firstLineChars="200"/>
        <w:jc w:val="left"/>
        <w:rPr>
          <w:rFonts w:hint="eastAsia" w:ascii="宋体" w:hAnsi="宋体"/>
          <w:u w:val="none" w:color="auto"/>
        </w:rPr>
      </w:pPr>
      <w:r>
        <w:rPr>
          <w:rFonts w:hint="eastAsia" w:ascii="宋体" w:hAnsi="宋体"/>
          <w:u w:val="none" w:color="auto"/>
        </w:rPr>
        <w:t>5.合同主要条款</w:t>
      </w:r>
    </w:p>
    <w:p w14:paraId="2DDCEB7C">
      <w:pPr>
        <w:snapToGrid w:val="0"/>
        <w:spacing w:line="360" w:lineRule="auto"/>
        <w:ind w:right="-241" w:firstLine="420" w:firstLineChars="200"/>
        <w:jc w:val="left"/>
        <w:rPr>
          <w:rFonts w:hint="eastAsia" w:ascii="宋体" w:hAnsi="宋体"/>
          <w:u w:val="none" w:color="auto"/>
        </w:rPr>
      </w:pPr>
      <w:r>
        <w:rPr>
          <w:rFonts w:hint="eastAsia" w:ascii="宋体" w:hAnsi="宋体"/>
          <w:u w:val="none" w:color="auto"/>
        </w:rPr>
        <w:t>6.投标文件格式</w:t>
      </w:r>
    </w:p>
    <w:p w14:paraId="5B4BDD7D">
      <w:pPr>
        <w:snapToGrid w:val="0"/>
        <w:spacing w:line="360" w:lineRule="auto"/>
        <w:ind w:right="-238" w:firstLine="420" w:firstLineChars="200"/>
        <w:jc w:val="left"/>
        <w:rPr>
          <w:rFonts w:hint="eastAsia" w:ascii="宋体" w:hAnsi="宋体"/>
          <w:u w:val="none" w:color="auto"/>
        </w:rPr>
      </w:pPr>
      <w:r>
        <w:rPr>
          <w:rFonts w:hint="eastAsia" w:ascii="宋体" w:hAnsi="宋体"/>
          <w:u w:val="none" w:color="auto"/>
        </w:rPr>
        <w:t>7.本项目磋商文件的澄清、答复、修改、补充的内容</w:t>
      </w:r>
    </w:p>
    <w:p w14:paraId="5FA33398">
      <w:pPr>
        <w:snapToGrid w:val="0"/>
        <w:spacing w:line="360" w:lineRule="auto"/>
        <w:ind w:right="-238"/>
        <w:jc w:val="left"/>
        <w:rPr>
          <w:rFonts w:hint="eastAsia" w:ascii="宋体" w:hAnsi="宋体"/>
          <w:b/>
          <w:sz w:val="24"/>
          <w:u w:val="none" w:color="auto"/>
        </w:rPr>
      </w:pPr>
      <w:r>
        <w:rPr>
          <w:rFonts w:hint="eastAsia" w:ascii="宋体" w:hAnsi="宋体"/>
          <w:b/>
          <w:sz w:val="24"/>
          <w:u w:val="none" w:color="auto"/>
        </w:rPr>
        <w:t>（二）投标人的风险</w:t>
      </w:r>
    </w:p>
    <w:p w14:paraId="7CBA09BC">
      <w:pPr>
        <w:pStyle w:val="21"/>
        <w:spacing w:line="360" w:lineRule="auto"/>
        <w:ind w:right="-506" w:rightChars="-241" w:firstLine="420"/>
        <w:rPr>
          <w:rFonts w:hint="eastAsia" w:ascii="宋体" w:eastAsia="宋体"/>
          <w:color w:val="auto"/>
          <w:sz w:val="21"/>
          <w:u w:val="none" w:color="auto"/>
        </w:rPr>
      </w:pPr>
      <w:r>
        <w:rPr>
          <w:rFonts w:hint="eastAsia" w:ascii="宋体" w:eastAsia="宋体"/>
          <w:color w:val="auto"/>
          <w:sz w:val="21"/>
          <w:u w:val="none" w:color="auto"/>
        </w:rPr>
        <w:t>投标人没有按照磋商文件要求提供全部资料，或者投标人没有对磋商文件在各方面作出实质性响应是投标人的风险，并可能导致其投标被拒绝。</w:t>
      </w:r>
    </w:p>
    <w:p w14:paraId="2C9F3155">
      <w:pPr>
        <w:pStyle w:val="7"/>
        <w:numPr>
          <w:ilvl w:val="0"/>
          <w:numId w:val="0"/>
        </w:numPr>
        <w:tabs>
          <w:tab w:val="left" w:pos="454"/>
          <w:tab w:val="left" w:pos="720"/>
        </w:tabs>
        <w:snapToGrid w:val="0"/>
        <w:spacing w:line="360" w:lineRule="auto"/>
        <w:ind w:left="360" w:right="-238" w:hanging="360"/>
        <w:rPr>
          <w:rFonts w:hint="eastAsia" w:ascii="宋体" w:hAnsi="宋体"/>
          <w:b/>
          <w:sz w:val="24"/>
          <w:u w:val="none" w:color="auto"/>
        </w:rPr>
      </w:pPr>
      <w:r>
        <w:rPr>
          <w:rFonts w:hint="eastAsia" w:ascii="宋体" w:hAnsi="宋体"/>
          <w:b/>
          <w:sz w:val="24"/>
          <w:u w:val="none" w:color="auto"/>
        </w:rPr>
        <w:t xml:space="preserve">（三）磋商文件的澄清与修改 </w:t>
      </w:r>
    </w:p>
    <w:p w14:paraId="0BFD8C0C">
      <w:pPr>
        <w:snapToGrid w:val="0"/>
        <w:spacing w:line="360" w:lineRule="auto"/>
        <w:ind w:right="-241" w:firstLine="420" w:firstLineChars="200"/>
        <w:jc w:val="left"/>
        <w:rPr>
          <w:rFonts w:hint="eastAsia" w:ascii="宋体" w:hAnsi="宋体"/>
          <w:u w:val="none" w:color="auto"/>
        </w:rPr>
      </w:pPr>
      <w:r>
        <w:rPr>
          <w:rFonts w:hint="eastAsia" w:ascii="宋体" w:hAnsi="宋体"/>
          <w:u w:val="none" w:color="auto"/>
        </w:rPr>
        <w:t>1.投标人获取磋商文件后，应仔细检查磋商文件的所有内容，如有残缺等问题，应及时向采购代理机构提出，否则，由此引起的损失由投标人自己承担。投标人同时应认真审阅磋商文件中所有的事项、格式、条款和规范要求等，若投标人的投标文件没有按磋商文件要求提交全部资料，或投标文件没有对磋商文件做出实质性响应的，其风险由投标人自行承担，并根据有关条款规定，该响应有可能被拒绝。</w:t>
      </w:r>
    </w:p>
    <w:p w14:paraId="6654A51B">
      <w:pPr>
        <w:snapToGrid w:val="0"/>
        <w:spacing w:line="360" w:lineRule="auto"/>
        <w:ind w:right="-241" w:firstLine="420" w:firstLineChars="200"/>
        <w:jc w:val="left"/>
        <w:rPr>
          <w:rFonts w:hint="eastAsia" w:ascii="宋体" w:hAnsi="宋体"/>
          <w:u w:val="none" w:color="auto"/>
        </w:rPr>
      </w:pPr>
      <w:r>
        <w:rPr>
          <w:rFonts w:hint="eastAsia" w:ascii="宋体" w:hAnsi="宋体"/>
          <w:u w:val="none" w:color="auto"/>
        </w:rPr>
        <w:t>2.提交首次投标文件截止之日前，采购人、采购代理机构可以对已发出的磋商文件进行必要的澄清或者修改，澄清或者修改的内容作为磋商文件的组成部分。澄清或者修改的内容可能影响投标文件编制的，采购代理机构应当在提交首次投标文件截止时间至少5日前，以短信形式通知所有已经报名的供应商；不足5日的，采购人、采购代理机构应当顺延提交首次投标文件截止时间。</w:t>
      </w:r>
    </w:p>
    <w:p w14:paraId="0CF312C7">
      <w:pPr>
        <w:snapToGrid w:val="0"/>
        <w:spacing w:line="360" w:lineRule="auto"/>
        <w:ind w:right="-241" w:firstLine="420" w:firstLineChars="200"/>
        <w:jc w:val="left"/>
        <w:rPr>
          <w:rFonts w:hint="eastAsia" w:ascii="宋体" w:hAnsi="宋体"/>
          <w:u w:val="none" w:color="auto"/>
        </w:rPr>
      </w:pPr>
      <w:r>
        <w:rPr>
          <w:rFonts w:hint="eastAsia" w:ascii="宋体" w:hAnsi="宋体"/>
          <w:u w:val="none" w:color="auto"/>
        </w:rPr>
        <w:t>3.投标人若对磋商文件有任何疑问，要求澄清或认为有必要与采购代理机构进行交流时，应用书面形式送至采购代理机构，采购代理机构将根据澄清内容作出答复，并应将答复内容通知所有投标人。</w:t>
      </w:r>
    </w:p>
    <w:p w14:paraId="1C6A8317">
      <w:pPr>
        <w:snapToGrid w:val="0"/>
        <w:spacing w:line="360" w:lineRule="auto"/>
        <w:ind w:right="-241" w:firstLine="420" w:firstLineChars="200"/>
        <w:jc w:val="left"/>
        <w:rPr>
          <w:rFonts w:hint="eastAsia" w:ascii="宋体" w:hAnsi="宋体"/>
          <w:u w:val="none" w:color="auto"/>
        </w:rPr>
      </w:pPr>
      <w:r>
        <w:rPr>
          <w:rFonts w:hint="eastAsia" w:ascii="宋体" w:hAnsi="宋体"/>
          <w:u w:val="none" w:color="auto"/>
        </w:rPr>
        <w:t xml:space="preserve">4.采购代理机构在规定时间前，对磋商文件的澄清或修改内容，均为磋商文件的组成部分。 </w:t>
      </w:r>
    </w:p>
    <w:p w14:paraId="599A62ED">
      <w:pPr>
        <w:pStyle w:val="12"/>
        <w:snapToGrid w:val="0"/>
        <w:spacing w:before="156"/>
        <w:ind w:firstLine="3202" w:firstLineChars="1139"/>
        <w:outlineLvl w:val="1"/>
        <w:rPr>
          <w:rFonts w:hint="eastAsia" w:asciiTheme="minorEastAsia" w:hAnsiTheme="minorEastAsia" w:eastAsiaTheme="minorEastAsia"/>
          <w:b/>
          <w:sz w:val="28"/>
          <w:u w:val="none" w:color="auto"/>
        </w:rPr>
      </w:pPr>
      <w:r>
        <w:rPr>
          <w:rFonts w:hint="eastAsia" w:asciiTheme="minorEastAsia" w:hAnsiTheme="minorEastAsia" w:eastAsiaTheme="minorEastAsia"/>
          <w:b/>
          <w:sz w:val="28"/>
          <w:u w:val="none" w:color="auto"/>
        </w:rPr>
        <w:t>三、投标文件的编制</w:t>
      </w:r>
    </w:p>
    <w:p w14:paraId="11468038">
      <w:pPr>
        <w:snapToGrid w:val="0"/>
        <w:spacing w:line="360" w:lineRule="auto"/>
        <w:jc w:val="left"/>
        <w:outlineLvl w:val="0"/>
        <w:rPr>
          <w:rFonts w:hint="eastAsia" w:ascii="宋体" w:hAnsi="宋体"/>
          <w:b/>
          <w:sz w:val="24"/>
          <w:u w:val="none" w:color="auto"/>
        </w:rPr>
      </w:pPr>
      <w:r>
        <w:rPr>
          <w:rFonts w:hint="eastAsia" w:ascii="宋体" w:hAnsi="宋体"/>
          <w:b/>
          <w:sz w:val="24"/>
          <w:u w:val="none" w:color="auto"/>
        </w:rPr>
        <w:t>（一）投标文件的组成</w:t>
      </w:r>
    </w:p>
    <w:p w14:paraId="648CBCDD">
      <w:pPr>
        <w:snapToGrid w:val="0"/>
        <w:spacing w:line="360" w:lineRule="auto"/>
        <w:ind w:right="-241" w:firstLine="420" w:firstLineChars="200"/>
        <w:jc w:val="left"/>
        <w:rPr>
          <w:rFonts w:hint="eastAsia" w:ascii="宋体" w:hAnsi="宋体"/>
          <w:u w:val="none" w:color="auto"/>
        </w:rPr>
      </w:pPr>
      <w:r>
        <w:rPr>
          <w:rFonts w:hint="eastAsia" w:ascii="宋体" w:hAnsi="宋体"/>
          <w:u w:val="none" w:color="auto"/>
        </w:rPr>
        <w:t>由投标文件、投标报价文件组成。电子投标文件中所须加盖公章部分均采用CA签章。</w:t>
      </w:r>
    </w:p>
    <w:p w14:paraId="21928EB5">
      <w:pPr>
        <w:snapToGrid w:val="0"/>
        <w:spacing w:line="360" w:lineRule="auto"/>
        <w:ind w:right="-241" w:firstLine="420" w:firstLineChars="200"/>
        <w:jc w:val="left"/>
        <w:rPr>
          <w:rFonts w:hint="eastAsia" w:ascii="宋体" w:hAnsi="宋体"/>
          <w:u w:val="none" w:color="auto"/>
        </w:rPr>
      </w:pPr>
      <w:r>
        <w:rPr>
          <w:rFonts w:hint="eastAsia" w:ascii="宋体" w:hAnsi="宋体"/>
          <w:u w:val="none" w:color="auto"/>
        </w:rPr>
        <w:t>（以下投标文件的部分格式详见本磋商文件第六部分，如本磋商文件没有提供相应的格式，投标人可自行制表填写）</w:t>
      </w:r>
    </w:p>
    <w:p w14:paraId="29816304">
      <w:pPr>
        <w:pStyle w:val="12"/>
        <w:snapToGrid w:val="0"/>
        <w:spacing w:line="360" w:lineRule="auto"/>
        <w:ind w:left="417"/>
        <w:rPr>
          <w:rFonts w:hint="eastAsia" w:hAnsi="宋体" w:eastAsia="宋体"/>
          <w:b/>
          <w:sz w:val="21"/>
          <w:szCs w:val="21"/>
          <w:u w:val="none" w:color="auto"/>
        </w:rPr>
      </w:pPr>
      <w:r>
        <w:rPr>
          <w:rFonts w:hint="eastAsia" w:hAnsi="宋体" w:eastAsia="宋体"/>
          <w:b/>
          <w:sz w:val="21"/>
          <w:szCs w:val="21"/>
          <w:u w:val="none" w:color="auto"/>
        </w:rPr>
        <w:t>1.</w:t>
      </w:r>
      <w:r>
        <w:rPr>
          <w:rFonts w:hAnsi="宋体" w:eastAsia="宋体"/>
          <w:b/>
          <w:sz w:val="21"/>
          <w:szCs w:val="21"/>
          <w:u w:val="none" w:color="auto"/>
        </w:rPr>
        <w:t>资格</w:t>
      </w:r>
      <w:r>
        <w:rPr>
          <w:rFonts w:hint="eastAsia" w:hAnsi="宋体" w:eastAsia="宋体"/>
          <w:b/>
          <w:sz w:val="21"/>
          <w:szCs w:val="21"/>
          <w:u w:val="none" w:color="auto"/>
        </w:rPr>
        <w:t>投标部分</w:t>
      </w:r>
      <w:r>
        <w:rPr>
          <w:rFonts w:hAnsi="宋体" w:eastAsia="宋体"/>
          <w:b/>
          <w:sz w:val="21"/>
          <w:szCs w:val="21"/>
          <w:u w:val="none" w:color="auto"/>
        </w:rPr>
        <w:t>：</w:t>
      </w:r>
    </w:p>
    <w:p w14:paraId="020353E9">
      <w:pPr>
        <w:spacing w:line="360" w:lineRule="auto"/>
        <w:ind w:left="417"/>
        <w:rPr>
          <w:rFonts w:ascii="宋体"/>
          <w:u w:val="none" w:color="auto"/>
        </w:rPr>
      </w:pPr>
      <w:r>
        <w:rPr>
          <w:rFonts w:ascii="宋体" w:hAnsi="宋体"/>
          <w:u w:val="none" w:color="auto"/>
        </w:rPr>
        <w:t>1.1</w:t>
      </w:r>
      <w:r>
        <w:rPr>
          <w:rFonts w:hint="eastAsia" w:ascii="宋体" w:hAnsi="宋体"/>
          <w:u w:val="none" w:color="auto"/>
        </w:rPr>
        <w:t>基本资格条件：符合《中华人民共和国政府采购法》第二十二条的规定；</w:t>
      </w:r>
    </w:p>
    <w:p w14:paraId="22CB86DA">
      <w:pPr>
        <w:spacing w:line="360" w:lineRule="auto"/>
        <w:ind w:firstLine="420" w:firstLineChars="200"/>
        <w:rPr>
          <w:rFonts w:hint="eastAsia" w:ascii="宋体" w:hAnsi="宋体"/>
          <w:u w:val="none" w:color="auto"/>
        </w:rPr>
      </w:pPr>
      <w:r>
        <w:rPr>
          <w:rFonts w:hint="eastAsia" w:ascii="宋体" w:hAnsi="宋体"/>
          <w:u w:val="none" w:color="auto"/>
        </w:rPr>
        <w:t>（以下</w:t>
      </w:r>
      <w:r>
        <w:rPr>
          <w:rFonts w:ascii="宋体" w:hAnsi="宋体"/>
          <w:u w:val="none" w:color="auto"/>
        </w:rPr>
        <w:t>A~</w:t>
      </w:r>
      <w:r>
        <w:rPr>
          <w:rFonts w:hint="eastAsia" w:ascii="宋体" w:hAnsi="宋体"/>
          <w:u w:val="none" w:color="auto"/>
        </w:rPr>
        <w:t>E项是第二十二条要求及对应证明材料的具体内容，各投标人须在投标文件中出具对应证明材料）</w:t>
      </w:r>
    </w:p>
    <w:p w14:paraId="4F962DAA">
      <w:pPr>
        <w:spacing w:line="360" w:lineRule="auto"/>
        <w:ind w:firstLine="482" w:firstLineChars="200"/>
        <w:rPr>
          <w:rFonts w:ascii="宋体"/>
          <w:b/>
          <w:bCs/>
          <w:u w:val="none" w:color="auto"/>
        </w:rPr>
      </w:pPr>
      <w:r>
        <w:rPr>
          <w:rFonts w:ascii="宋体" w:hAnsi="宋体"/>
          <w:b/>
          <w:bCs/>
          <w:sz w:val="24"/>
          <w:u w:val="none" w:color="auto"/>
        </w:rPr>
        <w:t>A</w:t>
      </w:r>
      <w:r>
        <w:rPr>
          <w:rFonts w:ascii="宋体" w:cs="宋体"/>
          <w:b/>
          <w:bCs/>
          <w:sz w:val="24"/>
          <w:u w:val="none" w:color="auto"/>
        </w:rPr>
        <w:t>.</w:t>
      </w:r>
      <w:r>
        <w:rPr>
          <w:rFonts w:hint="eastAsia" w:ascii="宋体" w:hAnsi="宋体"/>
          <w:b/>
          <w:bCs/>
          <w:u w:val="none" w:color="auto"/>
        </w:rPr>
        <w:t>具有独立承担民事责任的能力：</w:t>
      </w:r>
    </w:p>
    <w:p w14:paraId="393214E5">
      <w:pPr>
        <w:spacing w:line="360" w:lineRule="auto"/>
        <w:ind w:firstLine="420" w:firstLineChars="200"/>
        <w:rPr>
          <w:rFonts w:ascii="宋体"/>
          <w:b/>
          <w:bCs/>
          <w:u w:val="none" w:color="auto"/>
        </w:rPr>
      </w:pPr>
      <w:r>
        <w:rPr>
          <w:rFonts w:hint="eastAsia" w:ascii="宋体" w:hAnsi="宋体"/>
          <w:u w:val="none" w:color="auto"/>
        </w:rPr>
        <w:t>投标人须在投标文件中出具符合以下情况的证明材料复印件</w:t>
      </w:r>
      <w:r>
        <w:rPr>
          <w:rFonts w:hint="eastAsia" w:ascii="宋体" w:hAnsi="宋体"/>
          <w:b/>
          <w:bCs/>
          <w:u w:val="none" w:color="auto"/>
        </w:rPr>
        <w:t>（五选一）：</w:t>
      </w:r>
    </w:p>
    <w:p w14:paraId="1F66AF1F">
      <w:pPr>
        <w:spacing w:line="360" w:lineRule="auto"/>
        <w:ind w:firstLine="420" w:firstLineChars="200"/>
        <w:rPr>
          <w:rFonts w:ascii="宋体"/>
          <w:u w:val="none" w:color="auto"/>
        </w:rPr>
      </w:pPr>
      <w:r>
        <w:rPr>
          <w:rFonts w:ascii="宋体" w:hAnsi="宋体" w:cs="Calibri"/>
          <w:u w:val="none" w:color="auto"/>
        </w:rPr>
        <w:fldChar w:fldCharType="begin"/>
      </w:r>
      <w:r>
        <w:rPr>
          <w:rFonts w:ascii="宋体" w:hAnsi="宋体" w:cs="Calibri"/>
          <w:u w:val="none" w:color="auto"/>
        </w:rPr>
        <w:instrText xml:space="preserve"> EQ \o\ac(</w:instrText>
      </w:r>
      <w:r>
        <w:rPr>
          <w:rFonts w:hint="eastAsia" w:ascii="宋体" w:hAnsi="宋体" w:cs="Calibri"/>
          <w:u w:val="none" w:color="auto"/>
        </w:rPr>
        <w:instrText xml:space="preserve">○</w:instrText>
      </w:r>
      <w:r>
        <w:rPr>
          <w:rFonts w:ascii="宋体" w:hAnsi="宋体" w:cs="Calibri"/>
          <w:u w:val="none" w:color="auto"/>
        </w:rPr>
        <w:instrText xml:space="preserve">,1)</w:instrText>
      </w:r>
      <w:r>
        <w:rPr>
          <w:rFonts w:ascii="宋体" w:hAnsi="宋体" w:cs="Calibri"/>
          <w:u w:val="none" w:color="auto"/>
        </w:rPr>
        <w:fldChar w:fldCharType="end"/>
      </w:r>
      <w:r>
        <w:rPr>
          <w:rFonts w:hint="eastAsia" w:ascii="宋体" w:hAnsi="宋体"/>
          <w:u w:val="none" w:color="auto"/>
        </w:rPr>
        <w:t>如投标人是企业（包括合伙企业），提供在工商部门注册的有效“企业法人营业执照”或“营业执照”；</w:t>
      </w:r>
    </w:p>
    <w:p w14:paraId="7BD62879">
      <w:pPr>
        <w:spacing w:line="360" w:lineRule="auto"/>
        <w:ind w:firstLine="420" w:firstLineChars="200"/>
        <w:rPr>
          <w:rFonts w:ascii="宋体"/>
          <w:u w:val="none" w:color="auto"/>
        </w:rPr>
      </w:pPr>
      <w:r>
        <w:rPr>
          <w:rFonts w:ascii="宋体" w:hAnsi="宋体"/>
          <w:u w:val="none" w:color="auto"/>
        </w:rPr>
        <w:fldChar w:fldCharType="begin"/>
      </w:r>
      <w:r>
        <w:rPr>
          <w:rFonts w:ascii="宋体" w:hAnsi="宋体"/>
          <w:u w:val="none" w:color="auto"/>
        </w:rPr>
        <w:instrText xml:space="preserve"> EQ \o\ac(</w:instrText>
      </w:r>
      <w:r>
        <w:rPr>
          <w:rFonts w:hint="eastAsia" w:ascii="宋体" w:hAnsi="宋体"/>
          <w:u w:val="none" w:color="auto"/>
        </w:rPr>
        <w:instrText xml:space="preserve">○</w:instrText>
      </w:r>
      <w:r>
        <w:rPr>
          <w:rFonts w:ascii="宋体"/>
          <w:u w:val="none" w:color="auto"/>
        </w:rPr>
        <w:instrText xml:space="preserve">,</w:instrText>
      </w:r>
      <w:r>
        <w:rPr>
          <w:rFonts w:ascii="宋体" w:hAnsi="宋体"/>
          <w:position w:val="2"/>
          <w:sz w:val="14"/>
          <w:u w:val="none" w:color="auto"/>
        </w:rPr>
        <w:instrText xml:space="preserve">2</w:instrText>
      </w:r>
      <w:r>
        <w:rPr>
          <w:rFonts w:ascii="宋体" w:hAnsi="宋体"/>
          <w:u w:val="none" w:color="auto"/>
        </w:rPr>
        <w:instrText xml:space="preserve">)</w:instrText>
      </w:r>
      <w:r>
        <w:rPr>
          <w:rFonts w:ascii="宋体" w:hAnsi="宋体"/>
          <w:u w:val="none" w:color="auto"/>
        </w:rPr>
        <w:fldChar w:fldCharType="end"/>
      </w:r>
      <w:r>
        <w:rPr>
          <w:rFonts w:hint="eastAsia" w:ascii="宋体" w:hAnsi="宋体"/>
          <w:u w:val="none" w:color="auto"/>
        </w:rPr>
        <w:t>如投标人是事业单位，提供有效的“事业单位法人证书”；</w:t>
      </w:r>
    </w:p>
    <w:p w14:paraId="20D9E3C4">
      <w:pPr>
        <w:spacing w:line="360" w:lineRule="auto"/>
        <w:ind w:firstLine="420" w:firstLineChars="200"/>
        <w:rPr>
          <w:rFonts w:ascii="宋体"/>
          <w:u w:val="none" w:color="auto"/>
        </w:rPr>
      </w:pPr>
      <w:r>
        <w:rPr>
          <w:rFonts w:ascii="宋体" w:hAnsi="宋体"/>
          <w:u w:val="none" w:color="auto"/>
        </w:rPr>
        <w:fldChar w:fldCharType="begin"/>
      </w:r>
      <w:r>
        <w:rPr>
          <w:rFonts w:ascii="宋体" w:hAnsi="宋体"/>
          <w:u w:val="none" w:color="auto"/>
        </w:rPr>
        <w:instrText xml:space="preserve"> EQ \o\ac(</w:instrText>
      </w:r>
      <w:r>
        <w:rPr>
          <w:rFonts w:hint="eastAsia" w:ascii="宋体" w:hAnsi="宋体"/>
          <w:u w:val="none" w:color="auto"/>
        </w:rPr>
        <w:instrText xml:space="preserve">○</w:instrText>
      </w:r>
      <w:r>
        <w:rPr>
          <w:rFonts w:ascii="宋体"/>
          <w:u w:val="none" w:color="auto"/>
        </w:rPr>
        <w:instrText xml:space="preserve">,</w:instrText>
      </w:r>
      <w:r>
        <w:rPr>
          <w:rFonts w:ascii="宋体" w:hAnsi="宋体"/>
          <w:position w:val="2"/>
          <w:sz w:val="14"/>
          <w:u w:val="none" w:color="auto"/>
        </w:rPr>
        <w:instrText xml:space="preserve">3</w:instrText>
      </w:r>
      <w:r>
        <w:rPr>
          <w:rFonts w:ascii="宋体" w:hAnsi="宋体"/>
          <w:u w:val="none" w:color="auto"/>
        </w:rPr>
        <w:instrText xml:space="preserve">)</w:instrText>
      </w:r>
      <w:r>
        <w:rPr>
          <w:rFonts w:ascii="宋体" w:hAnsi="宋体"/>
          <w:u w:val="none" w:color="auto"/>
        </w:rPr>
        <w:fldChar w:fldCharType="end"/>
      </w:r>
      <w:r>
        <w:rPr>
          <w:rFonts w:hint="eastAsia" w:ascii="宋体" w:hAnsi="宋体"/>
          <w:u w:val="none" w:color="auto"/>
        </w:rPr>
        <w:t>如投标人是非企业专业服务机构的，提供执业许可证等证明文件；</w:t>
      </w:r>
    </w:p>
    <w:p w14:paraId="3EED33B2">
      <w:pPr>
        <w:spacing w:line="360" w:lineRule="auto"/>
        <w:ind w:firstLine="420" w:firstLineChars="200"/>
        <w:rPr>
          <w:rFonts w:ascii="宋体" w:cs="宋体"/>
          <w:u w:val="none" w:color="auto"/>
        </w:rPr>
      </w:pPr>
      <w:r>
        <w:rPr>
          <w:rFonts w:ascii="宋体" w:hAnsi="宋体" w:cs="宋体"/>
          <w:u w:val="none" w:color="auto"/>
        </w:rPr>
        <w:fldChar w:fldCharType="begin"/>
      </w:r>
      <w:r>
        <w:rPr>
          <w:rFonts w:ascii="宋体" w:hAnsi="宋体" w:cs="宋体"/>
          <w:u w:val="none" w:color="auto"/>
        </w:rPr>
        <w:instrText xml:space="preserve"> EQ \o\ac(</w:instrText>
      </w:r>
      <w:r>
        <w:rPr>
          <w:rFonts w:hint="eastAsia" w:ascii="宋体" w:hAnsi="宋体" w:cs="宋体"/>
          <w:u w:val="none" w:color="auto"/>
        </w:rPr>
        <w:instrText xml:space="preserve">○</w:instrText>
      </w:r>
      <w:r>
        <w:rPr>
          <w:rFonts w:ascii="宋体" w:hAnsi="宋体" w:cs="宋体"/>
          <w:u w:val="none" w:color="auto"/>
        </w:rPr>
        <w:instrText xml:space="preserve">,4)</w:instrText>
      </w:r>
      <w:r>
        <w:rPr>
          <w:rFonts w:ascii="宋体" w:hAnsi="宋体" w:cs="宋体"/>
          <w:u w:val="none" w:color="auto"/>
        </w:rPr>
        <w:fldChar w:fldCharType="end"/>
      </w:r>
      <w:r>
        <w:rPr>
          <w:rFonts w:hint="eastAsia" w:ascii="宋体" w:hAnsi="宋体" w:cs="宋体"/>
          <w:u w:val="none" w:color="auto"/>
        </w:rPr>
        <w:t>如投标人是个体工商户，提供有效的“个体工商户营业执照”；</w:t>
      </w:r>
    </w:p>
    <w:p w14:paraId="5599817F">
      <w:pPr>
        <w:spacing w:line="360" w:lineRule="auto"/>
        <w:ind w:firstLine="420" w:firstLineChars="200"/>
        <w:rPr>
          <w:rFonts w:ascii="宋体" w:cs="宋体"/>
          <w:u w:val="none" w:color="auto"/>
        </w:rPr>
      </w:pPr>
      <w:r>
        <w:rPr>
          <w:rFonts w:ascii="宋体" w:hAnsi="宋体" w:cs="宋体"/>
          <w:u w:val="none" w:color="auto"/>
        </w:rPr>
        <w:fldChar w:fldCharType="begin"/>
      </w:r>
      <w:r>
        <w:rPr>
          <w:rFonts w:ascii="宋体" w:hAnsi="宋体" w:cs="宋体"/>
          <w:u w:val="none" w:color="auto"/>
        </w:rPr>
        <w:instrText xml:space="preserve"> EQ \o\ac(</w:instrText>
      </w:r>
      <w:r>
        <w:rPr>
          <w:rFonts w:hint="eastAsia" w:ascii="宋体" w:hAnsi="宋体" w:cs="宋体"/>
          <w:u w:val="none" w:color="auto"/>
        </w:rPr>
        <w:instrText xml:space="preserve">○</w:instrText>
      </w:r>
      <w:r>
        <w:rPr>
          <w:rFonts w:ascii="宋体" w:hAnsi="宋体" w:cs="宋体"/>
          <w:u w:val="none" w:color="auto"/>
        </w:rPr>
        <w:instrText xml:space="preserve">,5)</w:instrText>
      </w:r>
      <w:r>
        <w:rPr>
          <w:rFonts w:ascii="宋体" w:hAnsi="宋体" w:cs="宋体"/>
          <w:u w:val="none" w:color="auto"/>
        </w:rPr>
        <w:fldChar w:fldCharType="end"/>
      </w:r>
      <w:r>
        <w:rPr>
          <w:rFonts w:hint="eastAsia" w:ascii="宋体" w:hAnsi="宋体" w:cs="宋体"/>
          <w:u w:val="none" w:color="auto"/>
        </w:rPr>
        <w:t>如投标人是自然人，提供有效的自然人身份证明（居民身份证正反面或公安机关出具的临时居民身份证正反面或港澳台胞证或证照）。</w:t>
      </w:r>
    </w:p>
    <w:p w14:paraId="7769035C">
      <w:pPr>
        <w:spacing w:line="360" w:lineRule="auto"/>
        <w:ind w:firstLine="422" w:firstLineChars="200"/>
        <w:rPr>
          <w:rFonts w:hint="eastAsia" w:ascii="宋体" w:hAnsi="宋体" w:cs="宋体"/>
          <w:b/>
          <w:bCs/>
          <w:u w:val="none" w:color="auto"/>
        </w:rPr>
      </w:pPr>
      <w:r>
        <w:rPr>
          <w:rFonts w:ascii="宋体" w:hAnsi="宋体" w:cs="宋体"/>
          <w:b/>
          <w:bCs/>
          <w:szCs w:val="21"/>
          <w:u w:val="none" w:color="auto"/>
        </w:rPr>
        <w:t>B.</w:t>
      </w:r>
      <w:r>
        <w:rPr>
          <w:rFonts w:hint="eastAsia" w:ascii="宋体" w:hAnsi="宋体" w:cs="宋体"/>
          <w:b/>
          <w:bCs/>
          <w:u w:val="none" w:color="auto"/>
        </w:rPr>
        <w:t>具有良好的商业信誉和健全的财务会计制度：</w:t>
      </w:r>
    </w:p>
    <w:p w14:paraId="2EBC5E11">
      <w:pPr>
        <w:spacing w:line="360" w:lineRule="auto"/>
        <w:ind w:firstLine="420" w:firstLineChars="200"/>
        <w:rPr>
          <w:rFonts w:ascii="宋体"/>
          <w:u w:val="none" w:color="auto"/>
        </w:rPr>
      </w:pPr>
      <w:r>
        <w:rPr>
          <w:rFonts w:ascii="宋体" w:hAnsi="宋体" w:cs="宋体"/>
          <w:u w:val="none" w:color="auto"/>
        </w:rPr>
        <w:fldChar w:fldCharType="begin"/>
      </w:r>
      <w:r>
        <w:rPr>
          <w:rFonts w:ascii="宋体" w:hAnsi="宋体" w:cs="宋体"/>
          <w:u w:val="none" w:color="auto"/>
        </w:rPr>
        <w:instrText xml:space="preserve"> EQ \o\ac(</w:instrText>
      </w:r>
      <w:r>
        <w:rPr>
          <w:rFonts w:hint="eastAsia" w:ascii="宋体" w:hAnsi="宋体" w:cs="宋体"/>
          <w:u w:val="none" w:color="auto"/>
        </w:rPr>
        <w:instrText xml:space="preserve">○</w:instrText>
      </w:r>
      <w:r>
        <w:rPr>
          <w:rFonts w:ascii="宋体" w:hAnsi="宋体" w:cs="宋体"/>
          <w:u w:val="none" w:color="auto"/>
        </w:rPr>
        <w:instrText xml:space="preserve">,1)</w:instrText>
      </w:r>
      <w:r>
        <w:rPr>
          <w:rFonts w:ascii="宋体" w:hAnsi="宋体" w:cs="宋体"/>
          <w:u w:val="none" w:color="auto"/>
        </w:rPr>
        <w:fldChar w:fldCharType="end"/>
      </w:r>
      <w:r>
        <w:rPr>
          <w:rFonts w:hint="eastAsia" w:ascii="宋体" w:hAnsi="宋体"/>
          <w:u w:val="none" w:color="auto"/>
        </w:rPr>
        <w:t>良好的商业信誉：</w:t>
      </w:r>
    </w:p>
    <w:p w14:paraId="0B0A907A">
      <w:pPr>
        <w:spacing w:line="360" w:lineRule="auto"/>
        <w:ind w:firstLine="420" w:firstLineChars="200"/>
        <w:rPr>
          <w:rFonts w:hint="eastAsia" w:ascii="宋体" w:hAnsi="宋体" w:cs="宋体"/>
          <w:u w:val="none" w:color="auto"/>
        </w:rPr>
      </w:pPr>
      <w:r>
        <w:rPr>
          <w:rFonts w:hint="eastAsia" w:ascii="宋体" w:hAnsi="宋体" w:cs="宋体"/>
          <w:u w:val="none" w:color="auto"/>
        </w:rPr>
        <w:t>至本项目投标截止时间止未列入失信被执行人、重大税收违法案件当事人名单、政府采购严重违法失信行为记录名单网页查询记录截图。</w:t>
      </w:r>
    </w:p>
    <w:p w14:paraId="46BA300F">
      <w:pPr>
        <w:spacing w:line="360" w:lineRule="auto"/>
        <w:ind w:firstLine="420" w:firstLineChars="200"/>
        <w:rPr>
          <w:rFonts w:ascii="宋体" w:cs="宋体"/>
          <w:u w:val="none" w:color="auto"/>
        </w:rPr>
      </w:pPr>
      <w:r>
        <w:rPr>
          <w:rFonts w:hint="eastAsia" w:ascii="宋体" w:hAnsi="宋体" w:cs="宋体"/>
          <w:u w:val="none" w:color="auto"/>
        </w:rPr>
        <w:t>以代理机构在开标当日在“信用中国”（</w:t>
      </w:r>
      <w:r>
        <w:rPr>
          <w:rFonts w:ascii="宋体" w:hAnsi="宋体" w:cs="宋体"/>
          <w:u w:val="none" w:color="auto"/>
        </w:rPr>
        <w:t>www.creditchina.gov.cn</w:t>
      </w:r>
      <w:r>
        <w:rPr>
          <w:rFonts w:hint="eastAsia" w:ascii="宋体" w:hAnsi="宋体" w:cs="宋体"/>
          <w:u w:val="none" w:color="auto"/>
        </w:rPr>
        <w:t>）、中国政府采购网（</w:t>
      </w:r>
      <w:r>
        <w:rPr>
          <w:rFonts w:ascii="宋体" w:hAnsi="宋体" w:cs="宋体"/>
          <w:u w:val="none" w:color="auto"/>
        </w:rPr>
        <w:t>www.ccgp.gov.cn</w:t>
      </w:r>
      <w:r>
        <w:rPr>
          <w:rFonts w:hint="eastAsia" w:ascii="宋体" w:hAnsi="宋体" w:cs="宋体"/>
          <w:u w:val="none" w:color="auto"/>
        </w:rPr>
        <w:t>）网页查询记录为准）。</w:t>
      </w:r>
    </w:p>
    <w:p w14:paraId="2800FD51">
      <w:pPr>
        <w:spacing w:line="360" w:lineRule="auto"/>
        <w:ind w:firstLine="420" w:firstLineChars="200"/>
        <w:rPr>
          <w:rFonts w:ascii="宋体" w:cs="宋体"/>
          <w:u w:val="none" w:color="auto"/>
        </w:rPr>
      </w:pPr>
      <w:r>
        <w:rPr>
          <w:rFonts w:hint="eastAsia" w:ascii="宋体" w:hAnsi="宋体" w:cs="宋体"/>
          <w:szCs w:val="21"/>
          <w:u w:val="none" w:color="auto"/>
        </w:rPr>
        <w:t>对</w:t>
      </w:r>
      <w:r>
        <w:rPr>
          <w:rFonts w:hint="eastAsia" w:ascii="宋体" w:hAnsi="宋体" w:cs="宋体"/>
          <w:u w:val="none" w:color="auto"/>
        </w:rPr>
        <w:t>列入失信被执行人、重大税收违法案件当事人名单、政府采购严重违法失信行为记录名单的投标人，其投标将作无效标处理。</w:t>
      </w:r>
    </w:p>
    <w:p w14:paraId="582A4F7C">
      <w:pPr>
        <w:spacing w:line="360" w:lineRule="auto"/>
        <w:ind w:firstLine="420" w:firstLineChars="200"/>
        <w:rPr>
          <w:rFonts w:ascii="宋体" w:cs="宋体"/>
          <w:u w:val="none" w:color="auto"/>
        </w:rPr>
      </w:pPr>
      <w:r>
        <w:rPr>
          <w:rFonts w:hint="eastAsia" w:ascii="宋体" w:cs="宋体"/>
          <w:u w:val="none" w:color="auto"/>
        </w:rPr>
        <w:t>②</w:t>
      </w:r>
      <w:r>
        <w:rPr>
          <w:rFonts w:hint="eastAsia" w:ascii="宋体" w:hAnsi="宋体" w:cs="宋体"/>
          <w:u w:val="none" w:color="auto"/>
        </w:rPr>
        <w:t>健全的财务会计制度：</w:t>
      </w:r>
    </w:p>
    <w:p w14:paraId="063F0DDD">
      <w:pPr>
        <w:spacing w:line="360" w:lineRule="auto"/>
        <w:ind w:firstLine="420" w:firstLineChars="200"/>
        <w:rPr>
          <w:rFonts w:ascii="宋体" w:cs="宋体"/>
          <w:u w:val="none" w:color="auto"/>
        </w:rPr>
      </w:pPr>
      <w:r>
        <w:rPr>
          <w:rFonts w:hint="eastAsia" w:ascii="宋体" w:hAnsi="宋体" w:cs="宋体"/>
          <w:u w:val="none" w:color="auto"/>
        </w:rPr>
        <w:t>投标人须在投标文件中出具符合以下情况的证明材料复印件</w:t>
      </w:r>
      <w:r>
        <w:rPr>
          <w:rFonts w:hint="eastAsia" w:ascii="宋体" w:hAnsi="宋体" w:cs="宋体"/>
          <w:b/>
          <w:bCs/>
          <w:u w:val="none" w:color="auto"/>
        </w:rPr>
        <w:t>（三选一）</w:t>
      </w:r>
      <w:r>
        <w:rPr>
          <w:rFonts w:hint="eastAsia" w:ascii="宋体" w:hAnsi="宋体" w:cs="宋体"/>
          <w:u w:val="none" w:color="auto"/>
        </w:rPr>
        <w:t>：</w:t>
      </w:r>
    </w:p>
    <w:p w14:paraId="427471B3">
      <w:pPr>
        <w:numPr>
          <w:ilvl w:val="0"/>
          <w:numId w:val="3"/>
        </w:numPr>
        <w:spacing w:line="360" w:lineRule="auto"/>
        <w:ind w:firstLine="420" w:firstLineChars="200"/>
        <w:rPr>
          <w:rFonts w:ascii="宋体" w:cs="宋体"/>
          <w:u w:val="none" w:color="auto"/>
        </w:rPr>
      </w:pPr>
      <w:r>
        <w:rPr>
          <w:rFonts w:hint="eastAsia" w:ascii="宋体" w:hAnsi="宋体" w:cs="宋体"/>
          <w:u w:val="none" w:color="auto"/>
        </w:rPr>
        <w:t>投标人是法人的，应提供最近一个年度经审计的财务报告，包括资产负债表、利润表、现金流量表（执行《小企业会计准则》的提供资产负债表和利润表两张基本报表），未经审计的，提供资产负债表、利润表或损益表。</w:t>
      </w:r>
    </w:p>
    <w:p w14:paraId="016AEF81">
      <w:pPr>
        <w:numPr>
          <w:ilvl w:val="0"/>
          <w:numId w:val="3"/>
        </w:numPr>
        <w:spacing w:line="360" w:lineRule="auto"/>
        <w:ind w:firstLine="420" w:firstLineChars="200"/>
        <w:rPr>
          <w:rFonts w:ascii="宋体"/>
          <w:u w:val="none" w:color="auto"/>
        </w:rPr>
      </w:pPr>
      <w:r>
        <w:rPr>
          <w:rFonts w:hint="eastAsia" w:ascii="宋体" w:hAnsi="宋体"/>
          <w:u w:val="none" w:color="auto"/>
        </w:rPr>
        <w:t>其他组织和自然人如没有经审计的财务报告的，可以提供资产负债表、利润表、现金流量表。</w:t>
      </w:r>
    </w:p>
    <w:p w14:paraId="15F113DB">
      <w:pPr>
        <w:numPr>
          <w:ilvl w:val="0"/>
          <w:numId w:val="3"/>
        </w:numPr>
        <w:spacing w:line="360" w:lineRule="auto"/>
        <w:ind w:firstLine="420" w:firstLineChars="200"/>
        <w:rPr>
          <w:rFonts w:ascii="宋体"/>
          <w:u w:val="none" w:color="auto"/>
        </w:rPr>
      </w:pPr>
      <w:r>
        <w:rPr>
          <w:rFonts w:hint="eastAsia" w:ascii="宋体" w:hAnsi="宋体"/>
          <w:u w:val="none" w:color="auto"/>
        </w:rPr>
        <w:t>新成立不足一年的公司须出具情况说明。</w:t>
      </w:r>
    </w:p>
    <w:p w14:paraId="14D7951E">
      <w:pPr>
        <w:pStyle w:val="90"/>
        <w:spacing w:line="360" w:lineRule="auto"/>
        <w:ind w:left="420" w:firstLine="0" w:firstLineChars="0"/>
        <w:rPr>
          <w:rFonts w:ascii="宋体" w:cs="宋体"/>
          <w:b/>
          <w:bCs/>
          <w:szCs w:val="21"/>
          <w:u w:val="none" w:color="auto"/>
        </w:rPr>
      </w:pPr>
      <w:r>
        <w:rPr>
          <w:rFonts w:ascii="宋体" w:hAnsi="宋体" w:cs="宋体"/>
          <w:b/>
          <w:bCs/>
          <w:szCs w:val="21"/>
          <w:u w:val="none" w:color="auto"/>
        </w:rPr>
        <w:t>C.</w:t>
      </w:r>
      <w:r>
        <w:rPr>
          <w:rFonts w:hint="eastAsia" w:ascii="宋体" w:hAnsi="宋体" w:cs="宋体"/>
          <w:b/>
          <w:bCs/>
          <w:szCs w:val="21"/>
          <w:u w:val="none" w:color="auto"/>
        </w:rPr>
        <w:t>具有履行合同所必需的设备和专业技术能力：</w:t>
      </w:r>
    </w:p>
    <w:p w14:paraId="71DFA338">
      <w:pPr>
        <w:pStyle w:val="90"/>
        <w:spacing w:line="360" w:lineRule="auto"/>
        <w:ind w:left="420" w:firstLine="0" w:firstLineChars="0"/>
        <w:rPr>
          <w:rFonts w:ascii="宋体" w:cs="宋体"/>
          <w:szCs w:val="21"/>
          <w:u w:val="none" w:color="auto"/>
        </w:rPr>
      </w:pPr>
      <w:r>
        <w:rPr>
          <w:rFonts w:hint="eastAsia" w:ascii="宋体" w:hAnsi="宋体" w:cs="宋体"/>
          <w:szCs w:val="21"/>
          <w:u w:val="none" w:color="auto"/>
        </w:rPr>
        <w:t>投标人须在投标文件中出具具有履行合同所必需的设备和专业技术能力的《投标函》。</w:t>
      </w:r>
    </w:p>
    <w:p w14:paraId="054DA0B9">
      <w:pPr>
        <w:pStyle w:val="90"/>
        <w:spacing w:line="360" w:lineRule="auto"/>
        <w:ind w:left="420" w:firstLine="0" w:firstLineChars="0"/>
        <w:rPr>
          <w:rFonts w:ascii="宋体" w:cs="宋体"/>
          <w:b/>
          <w:bCs/>
          <w:szCs w:val="21"/>
          <w:u w:val="none" w:color="auto"/>
        </w:rPr>
      </w:pPr>
      <w:r>
        <w:rPr>
          <w:rFonts w:ascii="宋体" w:hAnsi="宋体" w:cs="宋体"/>
          <w:b/>
          <w:bCs/>
          <w:szCs w:val="21"/>
          <w:u w:val="none" w:color="auto"/>
        </w:rPr>
        <w:t>D.</w:t>
      </w:r>
      <w:r>
        <w:rPr>
          <w:rFonts w:hint="eastAsia" w:ascii="宋体" w:hAnsi="宋体" w:cs="宋体"/>
          <w:b/>
          <w:bCs/>
          <w:szCs w:val="21"/>
          <w:u w:val="none" w:color="auto"/>
        </w:rPr>
        <w:t>有依法缴纳税收和社会保障资金的良好记录：</w:t>
      </w:r>
    </w:p>
    <w:p w14:paraId="7740AF77">
      <w:pPr>
        <w:spacing w:line="360" w:lineRule="auto"/>
        <w:ind w:firstLine="420" w:firstLineChars="200"/>
        <w:rPr>
          <w:rFonts w:ascii="宋体"/>
          <w:u w:val="none" w:color="auto"/>
        </w:rPr>
      </w:pPr>
      <w:r>
        <w:rPr>
          <w:rFonts w:hint="eastAsia" w:ascii="宋体" w:hAnsi="宋体"/>
          <w:u w:val="none" w:color="auto"/>
        </w:rPr>
        <w:t>1投标人须在投标文件中同时出具满足以下要求的证明材料复印件：</w:t>
      </w:r>
    </w:p>
    <w:p w14:paraId="2E9CCE6C">
      <w:pPr>
        <w:spacing w:line="360" w:lineRule="auto"/>
        <w:ind w:firstLine="420" w:firstLineChars="200"/>
        <w:rPr>
          <w:rFonts w:hint="eastAsia" w:ascii="宋体" w:hAnsi="宋体"/>
          <w:u w:val="none" w:color="auto"/>
        </w:rPr>
      </w:pPr>
      <w:r>
        <w:rPr>
          <w:rFonts w:ascii="宋体" w:hAnsi="宋体" w:cs="宋体"/>
          <w:u w:val="none" w:color="auto"/>
        </w:rPr>
        <w:fldChar w:fldCharType="begin"/>
      </w:r>
      <w:r>
        <w:rPr>
          <w:rFonts w:ascii="宋体" w:hAnsi="宋体" w:cs="宋体"/>
          <w:u w:val="none" w:color="auto"/>
        </w:rPr>
        <w:instrText xml:space="preserve"> EQ \o\ac(</w:instrText>
      </w:r>
      <w:r>
        <w:rPr>
          <w:rFonts w:hint="eastAsia" w:ascii="宋体" w:hAnsi="宋体" w:cs="宋体"/>
          <w:u w:val="none" w:color="auto"/>
        </w:rPr>
        <w:instrText xml:space="preserve">○</w:instrText>
      </w:r>
      <w:r>
        <w:rPr>
          <w:rFonts w:ascii="宋体" w:hAnsi="宋体" w:cs="宋体"/>
          <w:u w:val="none" w:color="auto"/>
        </w:rPr>
        <w:instrText xml:space="preserve">,1)</w:instrText>
      </w:r>
      <w:r>
        <w:rPr>
          <w:rFonts w:ascii="宋体" w:hAnsi="宋体" w:cs="宋体"/>
          <w:u w:val="none" w:color="auto"/>
        </w:rPr>
        <w:fldChar w:fldCharType="end"/>
      </w:r>
      <w:r>
        <w:rPr>
          <w:rFonts w:hint="eastAsia" w:ascii="宋体" w:hAnsi="宋体"/>
          <w:u w:val="none" w:color="auto"/>
        </w:rPr>
        <w:t>投标人须提供由税务部门出具的最近一季度内缴纳增值税和企业所得税的纳税证明。</w:t>
      </w:r>
    </w:p>
    <w:p w14:paraId="41506E99">
      <w:pPr>
        <w:spacing w:line="360" w:lineRule="auto"/>
        <w:ind w:firstLine="420" w:firstLineChars="200"/>
        <w:rPr>
          <w:rFonts w:hint="eastAsia" w:ascii="宋体" w:hAnsi="宋体"/>
          <w:u w:val="none" w:color="auto"/>
        </w:rPr>
      </w:pPr>
      <w:r>
        <w:rPr>
          <w:rFonts w:hint="eastAsia" w:ascii="宋体" w:hAnsi="宋体"/>
          <w:u w:val="none" w:color="auto"/>
        </w:rPr>
        <w:t>②投标人须提供最近三个月内缴纳社会保险的凭据（缴税付款凭证或社会保险缴纳证明）。</w:t>
      </w:r>
    </w:p>
    <w:p w14:paraId="7DC7881D">
      <w:pPr>
        <w:spacing w:line="360" w:lineRule="auto"/>
        <w:ind w:firstLine="420" w:firstLineChars="200"/>
        <w:rPr>
          <w:rFonts w:hint="eastAsia" w:ascii="宋体" w:hAnsi="宋体"/>
          <w:u w:val="none" w:color="auto"/>
        </w:rPr>
      </w:pPr>
      <w:r>
        <w:rPr>
          <w:rFonts w:hint="eastAsia" w:ascii="宋体" w:hAnsi="宋体"/>
          <w:u w:val="none" w:color="auto"/>
        </w:rPr>
        <w:t>依法免税或不需要缴纳社会保障资金的投标人，应提供相应文件证明其依法免税或不需要缴纳社会保障资金。</w:t>
      </w:r>
    </w:p>
    <w:p w14:paraId="522693D7">
      <w:pPr>
        <w:keepNext w:val="0"/>
        <w:keepLines w:val="0"/>
        <w:pageBreakBefore w:val="0"/>
        <w:widowControl w:val="0"/>
        <w:kinsoku/>
        <w:wordWrap/>
        <w:overflowPunct/>
        <w:topLinePunct w:val="0"/>
        <w:autoSpaceDE/>
        <w:autoSpaceDN/>
        <w:bidi w:val="0"/>
        <w:adjustRightInd/>
        <w:spacing w:line="360" w:lineRule="auto"/>
        <w:ind w:left="0" w:right="0" w:rightChars="0" w:firstLine="211" w:firstLineChars="100"/>
        <w:textAlignment w:val="auto"/>
        <w:rPr>
          <w:rFonts w:ascii="宋体"/>
          <w:b/>
          <w:bCs/>
          <w:u w:val="none" w:color="auto"/>
        </w:rPr>
      </w:pPr>
      <w:r>
        <w:rPr>
          <w:rFonts w:ascii="宋体" w:hAnsi="宋体"/>
          <w:b/>
          <w:bCs/>
          <w:u w:val="none" w:color="auto"/>
        </w:rPr>
        <w:t>E.</w:t>
      </w:r>
      <w:r>
        <w:rPr>
          <w:rFonts w:hint="eastAsia" w:ascii="宋体" w:hAnsi="宋体"/>
          <w:b/>
          <w:bCs/>
          <w:u w:val="none" w:color="auto"/>
        </w:rPr>
        <w:t>参加政府采购活动前三年内，在经营活动中没有重大违法记录：</w:t>
      </w:r>
    </w:p>
    <w:p w14:paraId="487DDD0C">
      <w:pPr>
        <w:keepNext w:val="0"/>
        <w:keepLines w:val="0"/>
        <w:pageBreakBefore w:val="0"/>
        <w:widowControl w:val="0"/>
        <w:kinsoku/>
        <w:wordWrap/>
        <w:overflowPunct/>
        <w:topLinePunct w:val="0"/>
        <w:autoSpaceDE/>
        <w:autoSpaceDN/>
        <w:bidi w:val="0"/>
        <w:adjustRightInd/>
        <w:spacing w:line="360" w:lineRule="auto"/>
        <w:ind w:left="0" w:right="0" w:rightChars="0" w:firstLine="420" w:firstLineChars="200"/>
        <w:textAlignment w:val="auto"/>
        <w:rPr>
          <w:rFonts w:hint="eastAsia" w:ascii="宋体" w:hAnsi="宋体"/>
          <w:u w:val="none" w:color="auto"/>
        </w:rPr>
      </w:pPr>
      <w:r>
        <w:rPr>
          <w:rFonts w:hint="eastAsia" w:ascii="宋体" w:hAnsi="宋体"/>
          <w:u w:val="none" w:color="auto"/>
        </w:rPr>
        <w:t>投标人须在投标文件中出具《声明函》、《廉政承诺书》。（格式见附件）</w:t>
      </w:r>
    </w:p>
    <w:p w14:paraId="5EEB8BCF">
      <w:pPr>
        <w:pStyle w:val="12"/>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5" w:firstLineChars="198"/>
        <w:textAlignment w:val="auto"/>
        <w:rPr>
          <w:rFonts w:hint="eastAsia" w:hAnsi="宋体" w:eastAsia="宋体" w:cs="宋体"/>
          <w:sz w:val="21"/>
          <w:szCs w:val="21"/>
          <w:u w:val="none" w:color="auto"/>
        </w:rPr>
      </w:pPr>
      <w:r>
        <w:rPr>
          <w:rFonts w:hint="eastAsia" w:hAnsi="宋体" w:eastAsia="宋体" w:cs="宋体"/>
          <w:sz w:val="21"/>
          <w:szCs w:val="21"/>
          <w:u w:val="none" w:color="auto"/>
        </w:rPr>
        <w:t>注：证明材料均需加盖签章。</w:t>
      </w:r>
    </w:p>
    <w:p w14:paraId="39120D19">
      <w:pPr>
        <w:pStyle w:val="12"/>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5" w:firstLineChars="198"/>
        <w:textAlignment w:val="auto"/>
        <w:rPr>
          <w:rFonts w:hint="eastAsia" w:hAnsi="宋体" w:eastAsia="宋体" w:cs="宋体"/>
          <w:sz w:val="21"/>
          <w:szCs w:val="21"/>
          <w:u w:val="none" w:color="auto"/>
        </w:rPr>
      </w:pPr>
      <w:r>
        <w:rPr>
          <w:rFonts w:hint="eastAsia" w:hAnsi="宋体" w:eastAsia="宋体" w:cs="宋体"/>
          <w:sz w:val="21"/>
          <w:szCs w:val="21"/>
          <w:u w:val="none" w:color="auto"/>
        </w:rPr>
        <w:t>中小企业</w:t>
      </w:r>
      <w:r>
        <w:rPr>
          <w:rFonts w:hint="eastAsia" w:hAnsi="宋体" w:eastAsia="宋体" w:cs="宋体"/>
          <w:sz w:val="21"/>
          <w:szCs w:val="21"/>
          <w:u w:val="none" w:color="auto"/>
          <w:lang w:val="en-US" w:eastAsia="zh-CN"/>
        </w:rPr>
        <w:t>声</w:t>
      </w:r>
      <w:r>
        <w:rPr>
          <w:rFonts w:hint="eastAsia" w:hAnsi="宋体" w:eastAsia="宋体" w:cs="宋体"/>
          <w:sz w:val="21"/>
          <w:szCs w:val="21"/>
          <w:u w:val="none" w:color="auto"/>
        </w:rPr>
        <w:t>明函；</w:t>
      </w:r>
    </w:p>
    <w:p w14:paraId="6C637577">
      <w:pPr>
        <w:pStyle w:val="12"/>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5" w:firstLineChars="198"/>
        <w:textAlignment w:val="auto"/>
        <w:rPr>
          <w:rFonts w:hint="eastAsia" w:hAnsi="宋体" w:eastAsia="宋体" w:cs="宋体"/>
          <w:sz w:val="21"/>
          <w:szCs w:val="21"/>
          <w:u w:val="none" w:color="auto"/>
        </w:rPr>
      </w:pPr>
      <w:r>
        <w:rPr>
          <w:rFonts w:hint="eastAsia" w:hAnsi="宋体" w:eastAsia="宋体" w:cs="宋体"/>
          <w:sz w:val="21"/>
          <w:szCs w:val="21"/>
          <w:u w:val="none" w:color="auto"/>
        </w:rPr>
        <w:t>监狱企业声明函（如是）；</w:t>
      </w:r>
    </w:p>
    <w:p w14:paraId="78F86B8F">
      <w:pPr>
        <w:pStyle w:val="12"/>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5" w:firstLineChars="198"/>
        <w:textAlignment w:val="auto"/>
        <w:rPr>
          <w:rFonts w:hint="eastAsia" w:hAnsi="宋体" w:eastAsia="宋体" w:cs="宋体"/>
          <w:sz w:val="21"/>
          <w:szCs w:val="21"/>
          <w:u w:val="none" w:color="auto"/>
        </w:rPr>
      </w:pPr>
      <w:r>
        <w:rPr>
          <w:rFonts w:hint="eastAsia" w:hAnsi="宋体" w:eastAsia="宋体" w:cs="宋体"/>
          <w:sz w:val="21"/>
          <w:szCs w:val="21"/>
          <w:u w:val="none" w:color="auto"/>
        </w:rPr>
        <w:t>残疾人福利性单位声明函（如是）；</w:t>
      </w:r>
    </w:p>
    <w:p w14:paraId="0B5CAE39">
      <w:pPr>
        <w:pStyle w:val="44"/>
        <w:keepNext w:val="0"/>
        <w:keepLines w:val="0"/>
        <w:pageBreakBefore w:val="0"/>
        <w:widowControl w:val="0"/>
        <w:kinsoku/>
        <w:wordWrap/>
        <w:overflowPunct/>
        <w:topLinePunct w:val="0"/>
        <w:autoSpaceDE/>
        <w:autoSpaceDN/>
        <w:bidi w:val="0"/>
        <w:adjustRightInd/>
        <w:snapToGrid w:val="0"/>
        <w:spacing w:beforeLines="0" w:afterLines="0" w:line="360" w:lineRule="auto"/>
        <w:ind w:left="0" w:right="0" w:rightChars="0" w:firstLine="422" w:firstLineChars="200"/>
        <w:textAlignment w:val="auto"/>
        <w:rPr>
          <w:rFonts w:hint="eastAsia" w:hAnsi="宋体"/>
          <w:b/>
          <w:u w:val="none" w:color="auto"/>
        </w:rPr>
      </w:pPr>
      <w:r>
        <w:rPr>
          <w:rFonts w:hint="eastAsia" w:hAnsi="宋体"/>
          <w:b/>
          <w:u w:val="none" w:color="auto"/>
        </w:rPr>
        <w:t>2.</w:t>
      </w:r>
      <w:r>
        <w:rPr>
          <w:rFonts w:hAnsi="宋体"/>
          <w:b/>
          <w:u w:val="none" w:color="auto"/>
        </w:rPr>
        <w:t>商务</w:t>
      </w:r>
      <w:r>
        <w:rPr>
          <w:rFonts w:hint="eastAsia" w:hAnsi="宋体"/>
          <w:b/>
          <w:u w:val="none" w:color="auto"/>
        </w:rPr>
        <w:t>及技术投标部分</w:t>
      </w:r>
      <w:r>
        <w:rPr>
          <w:rFonts w:hAnsi="宋体"/>
          <w:b/>
          <w:u w:val="none" w:color="auto"/>
        </w:rPr>
        <w:t>：</w:t>
      </w:r>
    </w:p>
    <w:p w14:paraId="18FB8A04">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hint="eastAsia" w:ascii="宋体" w:hAnsi="宋体"/>
          <w:szCs w:val="21"/>
          <w:u w:val="none" w:color="auto"/>
        </w:rPr>
      </w:pPr>
      <w:r>
        <w:rPr>
          <w:rFonts w:ascii="宋体" w:hAnsi="宋体"/>
          <w:szCs w:val="21"/>
          <w:u w:val="none" w:color="auto"/>
        </w:rPr>
        <w:t>2.1</w:t>
      </w:r>
      <w:r>
        <w:rPr>
          <w:rFonts w:hint="eastAsia" w:ascii="宋体" w:hAnsi="宋体"/>
          <w:szCs w:val="21"/>
          <w:u w:val="none" w:color="auto"/>
        </w:rPr>
        <w:t>投标人基本情况表（如有）；</w:t>
      </w:r>
    </w:p>
    <w:p w14:paraId="21024C82">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hint="eastAsia" w:ascii="宋体" w:hAnsi="宋体"/>
          <w:szCs w:val="21"/>
          <w:u w:val="none" w:color="auto"/>
        </w:rPr>
      </w:pPr>
      <w:r>
        <w:rPr>
          <w:rFonts w:ascii="宋体" w:hAnsi="宋体"/>
          <w:szCs w:val="21"/>
          <w:u w:val="none" w:color="auto"/>
        </w:rPr>
        <w:t>2.2</w:t>
      </w:r>
      <w:r>
        <w:rPr>
          <w:rFonts w:hint="eastAsia" w:ascii="宋体" w:hAnsi="宋体"/>
          <w:szCs w:val="21"/>
          <w:u w:val="none" w:color="auto"/>
        </w:rPr>
        <w:t>成功案例及业绩；</w:t>
      </w:r>
    </w:p>
    <w:p w14:paraId="1F245C3D">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hint="eastAsia" w:ascii="宋体" w:hAnsi="宋体"/>
          <w:bCs/>
          <w:szCs w:val="21"/>
          <w:u w:val="none" w:color="auto"/>
        </w:rPr>
      </w:pPr>
      <w:r>
        <w:rPr>
          <w:rFonts w:hint="eastAsia" w:ascii="宋体" w:hAnsi="宋体"/>
          <w:bCs/>
          <w:szCs w:val="21"/>
          <w:u w:val="none" w:color="auto"/>
        </w:rPr>
        <w:t>2.3 项目负责人简历表（须附相关证明材料）；项目实施人员一览表（须附职称证书复印件）；</w:t>
      </w:r>
    </w:p>
    <w:p w14:paraId="1134445D">
      <w:pPr>
        <w:snapToGrid w:val="0"/>
        <w:spacing w:line="360" w:lineRule="auto"/>
        <w:ind w:firstLine="411" w:firstLineChars="196"/>
        <w:jc w:val="left"/>
        <w:rPr>
          <w:rFonts w:hint="eastAsia" w:ascii="宋体" w:hAnsi="宋体"/>
          <w:bCs/>
          <w:szCs w:val="21"/>
          <w:u w:val="none" w:color="auto"/>
        </w:rPr>
      </w:pPr>
      <w:r>
        <w:rPr>
          <w:rFonts w:hint="eastAsia" w:ascii="宋体" w:hAnsi="宋体"/>
          <w:bCs/>
          <w:szCs w:val="21"/>
          <w:u w:val="none" w:color="auto"/>
        </w:rPr>
        <w:t>2.4商务响应表；</w:t>
      </w:r>
    </w:p>
    <w:p w14:paraId="0AA76901">
      <w:pPr>
        <w:snapToGrid w:val="0"/>
        <w:spacing w:line="360" w:lineRule="auto"/>
        <w:ind w:firstLine="411" w:firstLineChars="196"/>
        <w:jc w:val="left"/>
        <w:rPr>
          <w:rFonts w:hint="eastAsia" w:ascii="宋体" w:hAnsi="宋体"/>
          <w:bCs/>
          <w:szCs w:val="21"/>
          <w:u w:val="none" w:color="auto"/>
        </w:rPr>
      </w:pPr>
      <w:r>
        <w:rPr>
          <w:rFonts w:hint="eastAsia" w:ascii="宋体" w:hAnsi="宋体"/>
          <w:bCs/>
          <w:szCs w:val="21"/>
          <w:u w:val="none" w:color="auto"/>
        </w:rPr>
        <w:t>2.5 对本项目总体要求的理解；</w:t>
      </w:r>
    </w:p>
    <w:p w14:paraId="76D2F992">
      <w:pPr>
        <w:snapToGrid w:val="0"/>
        <w:spacing w:line="360" w:lineRule="auto"/>
        <w:ind w:firstLine="411" w:firstLineChars="196"/>
        <w:jc w:val="left"/>
        <w:rPr>
          <w:rFonts w:hint="default" w:ascii="宋体" w:hAnsi="宋体" w:eastAsia="宋体"/>
          <w:bCs/>
          <w:szCs w:val="21"/>
          <w:u w:val="none" w:color="auto"/>
          <w:lang w:val="en-US" w:eastAsia="zh-CN"/>
        </w:rPr>
      </w:pPr>
      <w:r>
        <w:rPr>
          <w:rFonts w:hint="eastAsia" w:ascii="宋体" w:hAnsi="宋体"/>
          <w:bCs/>
          <w:szCs w:val="21"/>
          <w:u w:val="none" w:color="auto"/>
          <w:lang w:val="en-US" w:eastAsia="zh-CN"/>
        </w:rPr>
        <w:t>2.6项目实施方案；</w:t>
      </w:r>
    </w:p>
    <w:p w14:paraId="29F64BDC">
      <w:pPr>
        <w:snapToGrid w:val="0"/>
        <w:spacing w:line="360" w:lineRule="auto"/>
        <w:ind w:firstLine="411" w:firstLineChars="196"/>
        <w:jc w:val="left"/>
        <w:rPr>
          <w:rFonts w:hint="eastAsia" w:ascii="宋体" w:hAnsi="宋体" w:eastAsia="宋体"/>
          <w:bCs/>
          <w:szCs w:val="21"/>
          <w:u w:val="none" w:color="auto"/>
          <w:lang w:val="en-US" w:eastAsia="zh-CN"/>
        </w:rPr>
      </w:pPr>
      <w:r>
        <w:rPr>
          <w:rFonts w:hint="eastAsia" w:ascii="宋体" w:hAnsi="宋体"/>
          <w:bCs/>
          <w:szCs w:val="21"/>
          <w:u w:val="none" w:color="auto"/>
        </w:rPr>
        <w:t>2.</w:t>
      </w:r>
      <w:r>
        <w:rPr>
          <w:rFonts w:hint="eastAsia" w:ascii="宋体" w:hAnsi="宋体"/>
          <w:bCs/>
          <w:szCs w:val="21"/>
          <w:u w:val="none" w:color="auto"/>
          <w:lang w:val="en-US" w:eastAsia="zh-CN"/>
        </w:rPr>
        <w:t>7</w:t>
      </w:r>
      <w:r>
        <w:rPr>
          <w:rFonts w:hint="eastAsia" w:ascii="宋体" w:hAnsi="宋体"/>
          <w:bCs/>
          <w:szCs w:val="21"/>
          <w:u w:val="none" w:color="auto"/>
        </w:rPr>
        <w:t xml:space="preserve"> 保证项目质量的技术力量及技术措施； </w:t>
      </w:r>
      <w:r>
        <w:rPr>
          <w:rFonts w:hint="eastAsia" w:ascii="宋体" w:hAnsi="宋体"/>
          <w:bCs/>
          <w:szCs w:val="21"/>
          <w:u w:val="none" w:color="auto"/>
          <w:lang w:val="en-US" w:eastAsia="zh-CN"/>
        </w:rPr>
        <w:t xml:space="preserve"> </w:t>
      </w:r>
    </w:p>
    <w:p w14:paraId="3D9C354A">
      <w:pPr>
        <w:snapToGrid w:val="0"/>
        <w:spacing w:line="360" w:lineRule="auto"/>
        <w:ind w:firstLine="411" w:firstLineChars="196"/>
        <w:jc w:val="left"/>
        <w:rPr>
          <w:rFonts w:hint="eastAsia" w:ascii="宋体" w:hAnsi="宋体"/>
          <w:bCs/>
          <w:szCs w:val="21"/>
          <w:u w:val="none" w:color="auto"/>
        </w:rPr>
      </w:pPr>
      <w:r>
        <w:rPr>
          <w:rFonts w:hint="eastAsia" w:ascii="宋体" w:hAnsi="宋体"/>
          <w:bCs/>
          <w:szCs w:val="21"/>
          <w:u w:val="none" w:color="auto"/>
        </w:rPr>
        <w:t>2.</w:t>
      </w:r>
      <w:r>
        <w:rPr>
          <w:rFonts w:hint="eastAsia" w:ascii="宋体" w:hAnsi="宋体"/>
          <w:bCs/>
          <w:szCs w:val="21"/>
          <w:u w:val="none" w:color="auto"/>
          <w:lang w:val="en-US" w:eastAsia="zh-CN"/>
        </w:rPr>
        <w:t>8</w:t>
      </w:r>
      <w:r>
        <w:rPr>
          <w:rFonts w:hint="eastAsia" w:ascii="宋体" w:hAnsi="宋体"/>
          <w:bCs/>
          <w:szCs w:val="21"/>
          <w:u w:val="none" w:color="auto"/>
        </w:rPr>
        <w:t>工作计划表和进度表；</w:t>
      </w:r>
    </w:p>
    <w:p w14:paraId="14735F57">
      <w:pPr>
        <w:snapToGrid w:val="0"/>
        <w:spacing w:line="360" w:lineRule="auto"/>
        <w:ind w:firstLine="411" w:firstLineChars="196"/>
        <w:jc w:val="left"/>
        <w:rPr>
          <w:rFonts w:hint="default" w:ascii="宋体" w:hAnsi="宋体" w:eastAsia="宋体"/>
          <w:bCs/>
          <w:szCs w:val="21"/>
          <w:u w:val="none" w:color="auto"/>
          <w:lang w:val="en-US" w:eastAsia="zh-CN"/>
        </w:rPr>
      </w:pPr>
      <w:r>
        <w:rPr>
          <w:rFonts w:hint="eastAsia" w:ascii="宋体" w:hAnsi="宋体"/>
          <w:bCs/>
          <w:szCs w:val="21"/>
          <w:u w:val="none" w:color="auto"/>
          <w:lang w:val="en-US" w:eastAsia="zh-CN"/>
        </w:rPr>
        <w:t>2.9培训测试方案；</w:t>
      </w:r>
    </w:p>
    <w:p w14:paraId="2E97A4B3">
      <w:pPr>
        <w:snapToGrid w:val="0"/>
        <w:spacing w:line="360" w:lineRule="auto"/>
        <w:ind w:firstLine="411" w:firstLineChars="196"/>
        <w:jc w:val="left"/>
        <w:rPr>
          <w:rFonts w:hint="eastAsia" w:ascii="宋体" w:hAnsi="宋体"/>
          <w:bCs/>
          <w:szCs w:val="21"/>
          <w:u w:val="none" w:color="auto"/>
        </w:rPr>
      </w:pPr>
      <w:r>
        <w:rPr>
          <w:rFonts w:hint="eastAsia" w:ascii="宋体" w:hAnsi="宋体"/>
          <w:bCs/>
          <w:szCs w:val="21"/>
          <w:u w:val="none" w:color="auto"/>
        </w:rPr>
        <w:t>2.</w:t>
      </w:r>
      <w:r>
        <w:rPr>
          <w:rFonts w:hint="eastAsia" w:ascii="宋体" w:hAnsi="宋体"/>
          <w:bCs/>
          <w:szCs w:val="21"/>
          <w:u w:val="none" w:color="auto"/>
          <w:lang w:val="en-US" w:eastAsia="zh-CN"/>
        </w:rPr>
        <w:t>10</w:t>
      </w:r>
      <w:r>
        <w:rPr>
          <w:rFonts w:hint="eastAsia" w:ascii="宋体" w:hAnsi="宋体"/>
          <w:bCs/>
          <w:szCs w:val="21"/>
          <w:u w:val="none" w:color="auto"/>
        </w:rPr>
        <w:t xml:space="preserve"> 技术服务、技术培训、服务点的情况介绍以及服务承诺和保障措施；</w:t>
      </w:r>
    </w:p>
    <w:p w14:paraId="306204C5">
      <w:pPr>
        <w:snapToGrid w:val="0"/>
        <w:spacing w:line="360" w:lineRule="auto"/>
        <w:ind w:firstLine="411" w:firstLineChars="196"/>
        <w:jc w:val="left"/>
        <w:rPr>
          <w:rFonts w:hint="eastAsia" w:ascii="宋体" w:hAnsi="宋体" w:eastAsia="宋体"/>
          <w:bCs/>
          <w:szCs w:val="21"/>
          <w:u w:val="none" w:color="auto"/>
          <w:lang w:eastAsia="zh-CN"/>
        </w:rPr>
      </w:pPr>
      <w:r>
        <w:rPr>
          <w:rFonts w:hint="eastAsia" w:ascii="宋体" w:hAnsi="宋体"/>
          <w:bCs/>
          <w:szCs w:val="21"/>
          <w:u w:val="none" w:color="auto"/>
        </w:rPr>
        <w:t>2.1</w:t>
      </w:r>
      <w:r>
        <w:rPr>
          <w:rFonts w:hint="eastAsia" w:ascii="宋体" w:hAnsi="宋体"/>
          <w:bCs/>
          <w:szCs w:val="21"/>
          <w:u w:val="none" w:color="auto"/>
          <w:lang w:val="en-US" w:eastAsia="zh-CN"/>
        </w:rPr>
        <w:t>1</w:t>
      </w:r>
      <w:r>
        <w:rPr>
          <w:rFonts w:hint="eastAsia" w:ascii="宋体" w:hAnsi="宋体"/>
          <w:bCs/>
          <w:szCs w:val="21"/>
          <w:u w:val="none" w:color="auto"/>
        </w:rPr>
        <w:t xml:space="preserve"> 技术响应表</w:t>
      </w:r>
      <w:r>
        <w:rPr>
          <w:rFonts w:hint="eastAsia" w:ascii="宋体" w:hAnsi="宋体"/>
          <w:bCs/>
          <w:szCs w:val="21"/>
          <w:u w:val="none" w:color="auto"/>
          <w:lang w:eastAsia="zh-CN"/>
        </w:rPr>
        <w:t>；</w:t>
      </w:r>
    </w:p>
    <w:p w14:paraId="40772460">
      <w:pPr>
        <w:snapToGrid w:val="0"/>
        <w:spacing w:line="360" w:lineRule="auto"/>
        <w:ind w:firstLine="411" w:firstLineChars="196"/>
        <w:jc w:val="left"/>
        <w:rPr>
          <w:rFonts w:hint="eastAsia" w:ascii="宋体" w:hAnsi="宋体"/>
          <w:bCs/>
          <w:szCs w:val="21"/>
          <w:u w:val="none" w:color="auto"/>
        </w:rPr>
      </w:pPr>
      <w:r>
        <w:rPr>
          <w:rFonts w:hint="eastAsia" w:ascii="宋体" w:hAnsi="宋体"/>
          <w:bCs/>
          <w:szCs w:val="21"/>
          <w:u w:val="none" w:color="auto"/>
        </w:rPr>
        <w:t>2.1</w:t>
      </w:r>
      <w:r>
        <w:rPr>
          <w:rFonts w:hint="eastAsia" w:ascii="宋体" w:hAnsi="宋体"/>
          <w:bCs/>
          <w:szCs w:val="21"/>
          <w:u w:val="none" w:color="auto"/>
          <w:lang w:val="en-US" w:eastAsia="zh-CN"/>
        </w:rPr>
        <w:t>2</w:t>
      </w:r>
      <w:r>
        <w:rPr>
          <w:rFonts w:hint="eastAsia" w:ascii="宋体" w:hAnsi="宋体"/>
          <w:bCs/>
          <w:szCs w:val="21"/>
          <w:u w:val="none" w:color="auto"/>
        </w:rPr>
        <w:t xml:space="preserve"> </w:t>
      </w:r>
      <w:r>
        <w:rPr>
          <w:rFonts w:hint="eastAsia" w:ascii="宋体" w:hAnsi="宋体"/>
          <w:bCs/>
          <w:szCs w:val="21"/>
          <w:u w:val="none" w:color="auto"/>
          <w:lang w:val="en-US" w:eastAsia="zh-CN"/>
        </w:rPr>
        <w:t>评分规则中涉及的所需提交的材料（如有），投标人需要说明的其他文件和说明（如有）</w:t>
      </w:r>
      <w:r>
        <w:rPr>
          <w:rFonts w:hint="eastAsia" w:ascii="宋体" w:hAnsi="宋体"/>
          <w:bCs/>
          <w:szCs w:val="21"/>
          <w:u w:val="none" w:color="auto"/>
        </w:rPr>
        <w:t>。</w:t>
      </w:r>
    </w:p>
    <w:p w14:paraId="1432E303">
      <w:pPr>
        <w:pStyle w:val="2"/>
        <w:ind w:firstLine="422" w:firstLineChars="200"/>
        <w:rPr>
          <w:rFonts w:hint="eastAsia" w:asciiTheme="minorEastAsia" w:hAnsiTheme="minorEastAsia" w:eastAsiaTheme="minorEastAsia"/>
          <w:sz w:val="21"/>
          <w:szCs w:val="21"/>
          <w:u w:val="none" w:color="auto"/>
        </w:rPr>
      </w:pPr>
      <w:r>
        <w:rPr>
          <w:rFonts w:hint="eastAsia" w:asciiTheme="minorEastAsia" w:hAnsiTheme="minorEastAsia" w:eastAsiaTheme="minorEastAsia"/>
          <w:b/>
          <w:sz w:val="21"/>
          <w:szCs w:val="21"/>
          <w:u w:val="none" w:color="auto"/>
        </w:rPr>
        <w:t>3.</w:t>
      </w:r>
      <w:r>
        <w:rPr>
          <w:rFonts w:asciiTheme="minorEastAsia" w:hAnsiTheme="minorEastAsia" w:eastAsiaTheme="minorEastAsia"/>
          <w:b/>
          <w:sz w:val="21"/>
          <w:szCs w:val="21"/>
          <w:u w:val="none" w:color="auto"/>
        </w:rPr>
        <w:t>报价</w:t>
      </w:r>
      <w:r>
        <w:rPr>
          <w:rFonts w:hint="eastAsia" w:asciiTheme="minorEastAsia" w:hAnsiTheme="minorEastAsia" w:eastAsiaTheme="minorEastAsia"/>
          <w:b/>
          <w:sz w:val="21"/>
          <w:szCs w:val="21"/>
          <w:u w:val="none" w:color="auto"/>
        </w:rPr>
        <w:t>部分</w:t>
      </w:r>
      <w:r>
        <w:rPr>
          <w:rFonts w:asciiTheme="minorEastAsia" w:hAnsiTheme="minorEastAsia" w:eastAsiaTheme="minorEastAsia"/>
          <w:b/>
          <w:sz w:val="21"/>
          <w:szCs w:val="21"/>
          <w:u w:val="none" w:color="auto"/>
        </w:rPr>
        <w:t>：</w:t>
      </w:r>
    </w:p>
    <w:p w14:paraId="6B2EE3A8">
      <w:pPr>
        <w:snapToGrid w:val="0"/>
        <w:spacing w:line="360" w:lineRule="auto"/>
        <w:ind w:firstLine="420" w:firstLineChars="200"/>
        <w:jc w:val="left"/>
        <w:rPr>
          <w:rFonts w:hint="eastAsia" w:ascii="宋体" w:hAnsi="宋体" w:cs="宋体"/>
          <w:szCs w:val="21"/>
          <w:u w:val="none" w:color="auto"/>
        </w:rPr>
      </w:pPr>
      <w:r>
        <w:rPr>
          <w:rFonts w:hint="eastAsia" w:ascii="宋体" w:hAnsi="宋体" w:cs="宋体"/>
          <w:szCs w:val="21"/>
          <w:u w:val="none" w:color="auto"/>
        </w:rPr>
        <w:t>3.1投标报价文件由第一次开标一览表、投标报价明细表、最终报价及承诺一览表组成；</w:t>
      </w:r>
    </w:p>
    <w:p w14:paraId="2CD3C7D3">
      <w:pPr>
        <w:snapToGrid w:val="0"/>
        <w:spacing w:line="360" w:lineRule="auto"/>
        <w:ind w:firstLine="420" w:firstLineChars="200"/>
        <w:jc w:val="left"/>
        <w:rPr>
          <w:rFonts w:hint="eastAsia" w:ascii="宋体" w:hAnsi="宋体" w:cs="宋体"/>
          <w:szCs w:val="21"/>
          <w:u w:val="none" w:color="auto"/>
        </w:rPr>
      </w:pPr>
      <w:r>
        <w:rPr>
          <w:rFonts w:hint="eastAsia" w:ascii="宋体" w:hAnsi="宋体" w:cs="宋体"/>
          <w:szCs w:val="21"/>
          <w:u w:val="none" w:color="auto"/>
        </w:rPr>
        <w:t>3.2最终报价及承诺一览表（经谈判确定并填写后单独提供）。</w:t>
      </w:r>
    </w:p>
    <w:p w14:paraId="0BD9F2FE">
      <w:pPr>
        <w:snapToGrid w:val="0"/>
        <w:spacing w:line="360" w:lineRule="auto"/>
        <w:ind w:firstLine="420" w:firstLineChars="200"/>
        <w:jc w:val="left"/>
        <w:rPr>
          <w:rFonts w:hint="eastAsia" w:ascii="宋体" w:hAnsi="宋体" w:cs="宋体"/>
          <w:szCs w:val="21"/>
          <w:u w:val="none" w:color="auto"/>
        </w:rPr>
      </w:pPr>
      <w:r>
        <w:rPr>
          <w:rFonts w:hint="eastAsia" w:ascii="宋体" w:hAnsi="宋体" w:cs="宋体"/>
          <w:szCs w:val="21"/>
          <w:u w:val="none" w:color="auto"/>
        </w:rPr>
        <w:t>3.3投标人针对报价需要说明的其他文件和说明（如有，格式自拟）。</w:t>
      </w:r>
    </w:p>
    <w:p w14:paraId="2177337C">
      <w:pPr>
        <w:snapToGrid w:val="0"/>
        <w:spacing w:line="360" w:lineRule="auto"/>
        <w:jc w:val="left"/>
        <w:outlineLvl w:val="0"/>
        <w:rPr>
          <w:rFonts w:hint="eastAsia" w:ascii="宋体" w:hAnsi="宋体"/>
          <w:b/>
          <w:sz w:val="24"/>
          <w:u w:val="none" w:color="auto"/>
        </w:rPr>
      </w:pPr>
      <w:r>
        <w:rPr>
          <w:rFonts w:hint="eastAsia" w:ascii="宋体" w:hAnsi="宋体"/>
          <w:b/>
          <w:sz w:val="24"/>
          <w:u w:val="none" w:color="auto"/>
        </w:rPr>
        <w:t>（二）投标文件的语言及计量</w:t>
      </w:r>
    </w:p>
    <w:p w14:paraId="1FC2F77E">
      <w:pPr>
        <w:snapToGrid w:val="0"/>
        <w:spacing w:line="360" w:lineRule="auto"/>
        <w:ind w:right="-506" w:rightChars="-241" w:firstLine="420" w:firstLineChars="200"/>
        <w:jc w:val="left"/>
        <w:rPr>
          <w:rFonts w:hint="eastAsia" w:ascii="宋体" w:hAnsi="宋体"/>
          <w:u w:val="none" w:color="auto"/>
        </w:rPr>
      </w:pPr>
      <w:r>
        <w:rPr>
          <w:rFonts w:hint="eastAsia" w:ascii="宋体" w:hAnsi="宋体"/>
          <w:u w:val="none" w:color="auto"/>
        </w:rPr>
        <w:t>1</w:t>
      </w:r>
      <w:r>
        <w:rPr>
          <w:rFonts w:hint="eastAsia" w:ascii="宋体" w:hAnsi="宋体"/>
          <w:u w:val="none" w:color="auto"/>
          <w:lang w:eastAsia="zh-CN"/>
        </w:rPr>
        <w:t>.</w:t>
      </w:r>
      <w:r>
        <w:rPr>
          <w:rFonts w:hint="eastAsia" w:ascii="宋体" w:hAnsi="宋体"/>
          <w:u w:val="none" w:color="auto"/>
        </w:rPr>
        <w:t>投标文件以及投标人与招标人就有关投标事宜的所有来往函电，均应以中文汉语书写。除签名、盖章、专用名称等特殊情形外，以中文汉语以外的文字表述的投标文件视同未提供。</w:t>
      </w:r>
    </w:p>
    <w:p w14:paraId="1244063A">
      <w:pPr>
        <w:snapToGrid w:val="0"/>
        <w:spacing w:line="360" w:lineRule="auto"/>
        <w:ind w:right="-506" w:rightChars="-241" w:firstLine="420" w:firstLineChars="200"/>
        <w:jc w:val="left"/>
        <w:rPr>
          <w:rFonts w:hint="eastAsia" w:ascii="宋体" w:hAnsi="宋体"/>
          <w:u w:val="none" w:color="auto"/>
        </w:rPr>
      </w:pPr>
      <w:r>
        <w:rPr>
          <w:rFonts w:hint="eastAsia" w:ascii="宋体" w:hAnsi="宋体"/>
          <w:u w:val="none" w:color="auto"/>
        </w:rPr>
        <w:t>2</w:t>
      </w:r>
      <w:r>
        <w:rPr>
          <w:rFonts w:hint="eastAsia" w:ascii="宋体" w:hAnsi="宋体"/>
          <w:u w:val="none" w:color="auto"/>
          <w:lang w:eastAsia="zh-CN"/>
        </w:rPr>
        <w:t>.</w:t>
      </w:r>
      <w:r>
        <w:rPr>
          <w:rFonts w:hint="eastAsia" w:ascii="宋体" w:hAnsi="宋体"/>
          <w:u w:val="none" w:color="auto"/>
        </w:rPr>
        <w:t>投标计量单位，磋商文件已有明确规定的，使用磋商文件规定的计量单位；磋商文件没有规定的，应采用中华人民共和国法定计量单位（货币单位：人民币元），否则视同未响应。</w:t>
      </w:r>
    </w:p>
    <w:p w14:paraId="5DBC42DD">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left"/>
        <w:textAlignment w:val="auto"/>
        <w:outlineLvl w:val="0"/>
        <w:rPr>
          <w:rFonts w:hint="eastAsia" w:ascii="宋体" w:hAnsi="宋体"/>
          <w:b/>
          <w:sz w:val="24"/>
          <w:u w:val="none" w:color="auto"/>
        </w:rPr>
      </w:pPr>
      <w:r>
        <w:rPr>
          <w:rFonts w:hint="eastAsia" w:ascii="宋体" w:hAnsi="宋体"/>
          <w:b/>
          <w:sz w:val="24"/>
          <w:u w:val="none" w:color="auto"/>
        </w:rPr>
        <w:t>（三）投标报价</w:t>
      </w:r>
    </w:p>
    <w:p w14:paraId="04614670">
      <w:pPr>
        <w:pStyle w:val="7"/>
        <w:keepNext w:val="0"/>
        <w:keepLines w:val="0"/>
        <w:pageBreakBefore w:val="0"/>
        <w:widowControl w:val="0"/>
        <w:numPr>
          <w:ilvl w:val="0"/>
          <w:numId w:val="0"/>
        </w:numPr>
        <w:tabs>
          <w:tab w:val="left" w:pos="454"/>
          <w:tab w:val="left" w:pos="720"/>
          <w:tab w:val="clear" w:pos="360"/>
        </w:tabs>
        <w:kinsoku/>
        <w:wordWrap/>
        <w:overflowPunct/>
        <w:topLinePunct w:val="0"/>
        <w:autoSpaceDE/>
        <w:autoSpaceDN/>
        <w:bidi w:val="0"/>
        <w:adjustRightInd/>
        <w:snapToGrid w:val="0"/>
        <w:spacing w:line="360" w:lineRule="auto"/>
        <w:ind w:left="0" w:leftChars="0" w:right="0" w:rightChars="0" w:firstLine="210" w:firstLineChars="100"/>
        <w:textAlignment w:val="auto"/>
        <w:rPr>
          <w:rFonts w:hint="eastAsia" w:ascii="宋体" w:hAnsi="宋体"/>
          <w:u w:val="none" w:color="auto"/>
        </w:rPr>
      </w:pPr>
      <w:r>
        <w:rPr>
          <w:rFonts w:hint="eastAsia" w:ascii="宋体" w:hAnsi="宋体"/>
          <w:u w:val="none" w:color="auto"/>
        </w:rPr>
        <w:t>1</w:t>
      </w:r>
      <w:r>
        <w:rPr>
          <w:rFonts w:hint="eastAsia" w:ascii="宋体" w:hAnsi="宋体"/>
          <w:u w:val="none" w:color="auto"/>
          <w:lang w:eastAsia="zh-CN"/>
        </w:rPr>
        <w:t>.</w:t>
      </w:r>
      <w:r>
        <w:rPr>
          <w:rFonts w:hint="eastAsia" w:ascii="宋体" w:hAnsi="宋体"/>
          <w:u w:val="none" w:color="auto"/>
        </w:rPr>
        <w:t>投标报价应按磋商文件中相关附表格式填写。</w:t>
      </w:r>
    </w:p>
    <w:p w14:paraId="7616D37B">
      <w:pPr>
        <w:pStyle w:val="7"/>
        <w:keepNext w:val="0"/>
        <w:keepLines w:val="0"/>
        <w:pageBreakBefore w:val="0"/>
        <w:widowControl w:val="0"/>
        <w:numPr>
          <w:ilvl w:val="0"/>
          <w:numId w:val="0"/>
        </w:numPr>
        <w:tabs>
          <w:tab w:val="left" w:pos="454"/>
          <w:tab w:val="left" w:pos="720"/>
          <w:tab w:val="clear" w:pos="360"/>
        </w:tabs>
        <w:kinsoku/>
        <w:wordWrap/>
        <w:overflowPunct/>
        <w:topLinePunct w:val="0"/>
        <w:autoSpaceDE/>
        <w:autoSpaceDN/>
        <w:bidi w:val="0"/>
        <w:adjustRightInd/>
        <w:snapToGrid w:val="0"/>
        <w:spacing w:line="360" w:lineRule="auto"/>
        <w:ind w:left="0" w:leftChars="0" w:right="0" w:rightChars="0" w:firstLine="210" w:firstLineChars="100"/>
        <w:textAlignment w:val="auto"/>
        <w:rPr>
          <w:rFonts w:hint="eastAsia" w:ascii="宋体" w:hAnsi="宋体"/>
          <w:u w:val="none" w:color="auto"/>
        </w:rPr>
      </w:pPr>
      <w:r>
        <w:rPr>
          <w:rFonts w:hint="eastAsia" w:ascii="宋体" w:hAnsi="宋体"/>
          <w:u w:val="none" w:color="auto"/>
        </w:rPr>
        <w:t>2</w:t>
      </w:r>
      <w:r>
        <w:rPr>
          <w:rFonts w:hint="eastAsia" w:ascii="宋体" w:hAnsi="宋体"/>
          <w:u w:val="none" w:color="auto"/>
          <w:lang w:eastAsia="zh-CN"/>
        </w:rPr>
        <w:t>.</w:t>
      </w:r>
      <w:r>
        <w:rPr>
          <w:rFonts w:hint="eastAsia" w:ascii="宋体" w:hAnsi="宋体"/>
          <w:u w:val="none" w:color="auto"/>
        </w:rPr>
        <w:t>投标报价是履行合同的最终价格，应包括一切税金和费用。</w:t>
      </w:r>
    </w:p>
    <w:p w14:paraId="7BA67D9B">
      <w:pPr>
        <w:pStyle w:val="7"/>
        <w:keepNext w:val="0"/>
        <w:keepLines w:val="0"/>
        <w:pageBreakBefore w:val="0"/>
        <w:widowControl w:val="0"/>
        <w:numPr>
          <w:ilvl w:val="0"/>
          <w:numId w:val="0"/>
        </w:numPr>
        <w:tabs>
          <w:tab w:val="left" w:pos="454"/>
          <w:tab w:val="left" w:pos="720"/>
          <w:tab w:val="clear" w:pos="360"/>
        </w:tabs>
        <w:kinsoku/>
        <w:wordWrap/>
        <w:overflowPunct/>
        <w:topLinePunct w:val="0"/>
        <w:autoSpaceDE/>
        <w:autoSpaceDN/>
        <w:bidi w:val="0"/>
        <w:adjustRightInd/>
        <w:snapToGrid w:val="0"/>
        <w:spacing w:line="360" w:lineRule="auto"/>
        <w:ind w:left="0" w:leftChars="0" w:right="0" w:rightChars="0" w:firstLine="210" w:firstLineChars="100"/>
        <w:textAlignment w:val="auto"/>
        <w:rPr>
          <w:rFonts w:hint="eastAsia" w:ascii="宋体" w:hAnsi="宋体"/>
          <w:u w:val="none" w:color="auto"/>
        </w:rPr>
      </w:pPr>
      <w:r>
        <w:rPr>
          <w:rFonts w:hint="eastAsia" w:ascii="宋体" w:hAnsi="宋体"/>
          <w:u w:val="none" w:color="auto"/>
        </w:rPr>
        <w:t>3</w:t>
      </w:r>
      <w:r>
        <w:rPr>
          <w:rFonts w:hint="eastAsia" w:ascii="宋体" w:hAnsi="宋体"/>
          <w:u w:val="none" w:color="auto"/>
          <w:lang w:eastAsia="zh-CN"/>
        </w:rPr>
        <w:t>.</w:t>
      </w:r>
      <w:r>
        <w:rPr>
          <w:rFonts w:hint="eastAsia" w:ascii="宋体" w:hAnsi="宋体"/>
          <w:u w:val="none" w:color="auto"/>
        </w:rPr>
        <w:t>投标文件只允许有一个报价，有选择的或有条件的报价将不予接受。</w:t>
      </w:r>
    </w:p>
    <w:p w14:paraId="55C2AF19">
      <w:pPr>
        <w:pStyle w:val="7"/>
        <w:keepNext w:val="0"/>
        <w:keepLines w:val="0"/>
        <w:pageBreakBefore w:val="0"/>
        <w:widowControl w:val="0"/>
        <w:numPr>
          <w:ilvl w:val="0"/>
          <w:numId w:val="0"/>
        </w:numPr>
        <w:tabs>
          <w:tab w:val="left" w:pos="454"/>
          <w:tab w:val="left" w:pos="720"/>
          <w:tab w:val="clear" w:pos="360"/>
        </w:tabs>
        <w:kinsoku/>
        <w:wordWrap/>
        <w:overflowPunct/>
        <w:topLinePunct w:val="0"/>
        <w:autoSpaceDE/>
        <w:autoSpaceDN/>
        <w:bidi w:val="0"/>
        <w:adjustRightInd/>
        <w:snapToGrid w:val="0"/>
        <w:spacing w:line="360" w:lineRule="auto"/>
        <w:ind w:left="0" w:leftChars="0" w:right="0" w:rightChars="0"/>
        <w:textAlignment w:val="auto"/>
        <w:rPr>
          <w:rFonts w:hint="eastAsia" w:ascii="宋体" w:hAnsi="宋体"/>
          <w:b/>
          <w:sz w:val="24"/>
          <w:u w:val="none" w:color="auto"/>
        </w:rPr>
      </w:pPr>
      <w:r>
        <w:rPr>
          <w:rFonts w:hint="eastAsia" w:ascii="宋体" w:hAnsi="宋体"/>
          <w:b/>
          <w:sz w:val="24"/>
          <w:u w:val="none" w:color="auto"/>
        </w:rPr>
        <w:t>（四）投标文件的有效期</w:t>
      </w:r>
    </w:p>
    <w:p w14:paraId="2E90102B">
      <w:pPr>
        <w:pStyle w:val="7"/>
        <w:keepNext w:val="0"/>
        <w:keepLines w:val="0"/>
        <w:pageBreakBefore w:val="0"/>
        <w:widowControl w:val="0"/>
        <w:numPr>
          <w:ilvl w:val="0"/>
          <w:numId w:val="0"/>
        </w:numPr>
        <w:tabs>
          <w:tab w:val="left" w:pos="454"/>
          <w:tab w:val="left" w:pos="720"/>
          <w:tab w:val="clear" w:pos="360"/>
        </w:tabs>
        <w:kinsoku/>
        <w:wordWrap/>
        <w:overflowPunct/>
        <w:topLinePunct w:val="0"/>
        <w:autoSpaceDE/>
        <w:autoSpaceDN/>
        <w:bidi w:val="0"/>
        <w:adjustRightInd/>
        <w:snapToGrid w:val="0"/>
        <w:spacing w:line="360" w:lineRule="auto"/>
        <w:ind w:left="0" w:leftChars="0" w:right="0" w:rightChars="0" w:firstLine="210" w:firstLineChars="100"/>
        <w:textAlignment w:val="auto"/>
        <w:rPr>
          <w:rFonts w:hint="eastAsia" w:ascii="宋体" w:hAnsi="宋体"/>
          <w:u w:val="none" w:color="auto"/>
        </w:rPr>
      </w:pPr>
      <w:r>
        <w:rPr>
          <w:rFonts w:hint="eastAsia" w:ascii="宋体" w:hAnsi="宋体"/>
          <w:u w:val="none" w:color="auto"/>
        </w:rPr>
        <w:t>1</w:t>
      </w:r>
      <w:r>
        <w:rPr>
          <w:rFonts w:hint="eastAsia" w:ascii="宋体" w:hAnsi="宋体"/>
          <w:u w:val="none" w:color="auto"/>
          <w:lang w:eastAsia="zh-CN"/>
        </w:rPr>
        <w:t>.</w:t>
      </w:r>
      <w:r>
        <w:rPr>
          <w:rFonts w:hint="eastAsia" w:ascii="宋体" w:hAnsi="宋体"/>
          <w:u w:val="none" w:color="auto"/>
        </w:rPr>
        <w:t>自投标截止日起90 天投标文件应保持有效。有效期不足的投标文件将被拒绝。</w:t>
      </w:r>
    </w:p>
    <w:p w14:paraId="46A4BE15">
      <w:pPr>
        <w:pStyle w:val="7"/>
        <w:keepNext w:val="0"/>
        <w:keepLines w:val="0"/>
        <w:pageBreakBefore w:val="0"/>
        <w:widowControl w:val="0"/>
        <w:numPr>
          <w:ilvl w:val="0"/>
          <w:numId w:val="0"/>
        </w:numPr>
        <w:tabs>
          <w:tab w:val="left" w:pos="454"/>
          <w:tab w:val="left" w:pos="720"/>
          <w:tab w:val="clear" w:pos="360"/>
        </w:tabs>
        <w:kinsoku/>
        <w:wordWrap/>
        <w:overflowPunct/>
        <w:topLinePunct w:val="0"/>
        <w:autoSpaceDE/>
        <w:autoSpaceDN/>
        <w:bidi w:val="0"/>
        <w:adjustRightInd/>
        <w:snapToGrid w:val="0"/>
        <w:spacing w:line="360" w:lineRule="auto"/>
        <w:ind w:left="0" w:leftChars="0" w:right="0" w:rightChars="0" w:firstLine="210" w:firstLineChars="100"/>
        <w:textAlignment w:val="auto"/>
        <w:rPr>
          <w:rFonts w:hint="eastAsia" w:ascii="宋体" w:hAnsi="宋体"/>
          <w:u w:val="none" w:color="auto"/>
        </w:rPr>
      </w:pPr>
      <w:r>
        <w:rPr>
          <w:rFonts w:hint="eastAsia" w:ascii="宋体" w:hAnsi="宋体"/>
          <w:u w:val="none" w:color="auto"/>
        </w:rPr>
        <w:t>2</w:t>
      </w:r>
      <w:r>
        <w:rPr>
          <w:rFonts w:hint="eastAsia" w:ascii="宋体" w:hAnsi="宋体"/>
          <w:u w:val="none" w:color="auto"/>
          <w:lang w:eastAsia="zh-CN"/>
        </w:rPr>
        <w:t>.</w:t>
      </w:r>
      <w:r>
        <w:rPr>
          <w:rFonts w:hint="eastAsia" w:ascii="宋体" w:hAnsi="宋体"/>
          <w:u w:val="none" w:color="auto"/>
        </w:rPr>
        <w:t>在特殊情况下，招标人可与投标人协商延长投标书的有效期，这种要求和答复均以书面形式进行。</w:t>
      </w:r>
    </w:p>
    <w:p w14:paraId="438C8F24">
      <w:pPr>
        <w:pStyle w:val="7"/>
        <w:keepNext w:val="0"/>
        <w:keepLines w:val="0"/>
        <w:pageBreakBefore w:val="0"/>
        <w:widowControl w:val="0"/>
        <w:numPr>
          <w:ilvl w:val="0"/>
          <w:numId w:val="0"/>
        </w:numPr>
        <w:tabs>
          <w:tab w:val="left" w:pos="454"/>
          <w:tab w:val="left" w:pos="720"/>
          <w:tab w:val="clear" w:pos="360"/>
        </w:tabs>
        <w:kinsoku/>
        <w:wordWrap/>
        <w:overflowPunct/>
        <w:topLinePunct w:val="0"/>
        <w:autoSpaceDE/>
        <w:autoSpaceDN/>
        <w:bidi w:val="0"/>
        <w:adjustRightInd/>
        <w:snapToGrid w:val="0"/>
        <w:spacing w:line="360" w:lineRule="auto"/>
        <w:ind w:left="0" w:leftChars="0" w:right="0" w:rightChars="0" w:firstLine="210" w:firstLineChars="100"/>
        <w:textAlignment w:val="auto"/>
        <w:rPr>
          <w:rFonts w:hint="eastAsia" w:ascii="宋体" w:hAnsi="宋体"/>
          <w:u w:val="none" w:color="auto"/>
        </w:rPr>
      </w:pPr>
      <w:r>
        <w:rPr>
          <w:rFonts w:hint="eastAsia" w:ascii="宋体" w:hAnsi="宋体"/>
          <w:u w:val="none" w:color="auto"/>
        </w:rPr>
        <w:t>3.投标人可拒绝接受延期要求。同意延长有效期的不能修改投标文件。</w:t>
      </w:r>
    </w:p>
    <w:p w14:paraId="32760BF9">
      <w:pPr>
        <w:pStyle w:val="7"/>
        <w:keepNext w:val="0"/>
        <w:keepLines w:val="0"/>
        <w:pageBreakBefore w:val="0"/>
        <w:widowControl w:val="0"/>
        <w:numPr>
          <w:ilvl w:val="0"/>
          <w:numId w:val="0"/>
        </w:numPr>
        <w:tabs>
          <w:tab w:val="left" w:pos="454"/>
          <w:tab w:val="left" w:pos="720"/>
          <w:tab w:val="clear" w:pos="360"/>
        </w:tabs>
        <w:kinsoku/>
        <w:wordWrap/>
        <w:overflowPunct/>
        <w:topLinePunct w:val="0"/>
        <w:autoSpaceDE/>
        <w:autoSpaceDN/>
        <w:bidi w:val="0"/>
        <w:adjustRightInd/>
        <w:snapToGrid w:val="0"/>
        <w:spacing w:line="360" w:lineRule="auto"/>
        <w:ind w:left="0" w:leftChars="0" w:right="0" w:rightChars="0" w:firstLine="210" w:firstLineChars="100"/>
        <w:textAlignment w:val="auto"/>
        <w:rPr>
          <w:rFonts w:hint="eastAsia" w:ascii="宋体" w:hAnsi="宋体"/>
          <w:u w:val="none" w:color="auto"/>
        </w:rPr>
      </w:pPr>
      <w:r>
        <w:rPr>
          <w:rFonts w:hint="eastAsia" w:ascii="宋体" w:hAnsi="宋体"/>
          <w:u w:val="none" w:color="auto"/>
        </w:rPr>
        <w:t>4.中标人的投标文件自开标之日起至合同履行完毕止均应保持有效。</w:t>
      </w:r>
    </w:p>
    <w:p w14:paraId="32D819D8">
      <w:pPr>
        <w:keepNext w:val="0"/>
        <w:keepLines w:val="0"/>
        <w:pageBreakBefore w:val="0"/>
        <w:widowControl w:val="0"/>
        <w:kinsoku/>
        <w:wordWrap/>
        <w:overflowPunct/>
        <w:topLinePunct w:val="0"/>
        <w:autoSpaceDE/>
        <w:autoSpaceDN/>
        <w:bidi w:val="0"/>
        <w:adjustRightInd/>
        <w:snapToGrid w:val="0"/>
        <w:spacing w:line="336" w:lineRule="auto"/>
        <w:ind w:left="0" w:leftChars="0" w:right="0" w:rightChars="0"/>
        <w:jc w:val="left"/>
        <w:textAlignment w:val="auto"/>
        <w:outlineLvl w:val="0"/>
        <w:rPr>
          <w:rFonts w:hint="eastAsia" w:ascii="宋体" w:hAnsi="宋体"/>
          <w:b/>
          <w:sz w:val="24"/>
          <w:u w:val="none" w:color="auto"/>
        </w:rPr>
      </w:pPr>
      <w:r>
        <w:rPr>
          <w:rFonts w:hint="eastAsia" w:ascii="宋体" w:hAnsi="宋体"/>
          <w:b/>
          <w:sz w:val="24"/>
          <w:u w:val="none" w:color="auto"/>
        </w:rPr>
        <w:t>（五）投标文件的签署和份数</w:t>
      </w:r>
    </w:p>
    <w:p w14:paraId="397572E8">
      <w:pPr>
        <w:pStyle w:val="2"/>
        <w:keepNext w:val="0"/>
        <w:keepLines w:val="0"/>
        <w:pageBreakBefore w:val="0"/>
        <w:widowControl w:val="0"/>
        <w:kinsoku/>
        <w:wordWrap/>
        <w:overflowPunct/>
        <w:topLinePunct w:val="0"/>
        <w:autoSpaceDE/>
        <w:autoSpaceDN/>
        <w:bidi w:val="0"/>
        <w:adjustRightInd/>
        <w:spacing w:after="0" w:line="336" w:lineRule="auto"/>
        <w:ind w:left="0" w:leftChars="0" w:right="0" w:rightChars="0" w:firstLine="420"/>
        <w:textAlignment w:val="auto"/>
        <w:rPr>
          <w:rFonts w:ascii="Times New Roman" w:hAnsi="Times New Roman"/>
          <w:b/>
          <w:bCs/>
          <w:sz w:val="21"/>
          <w:szCs w:val="21"/>
          <w:u w:val="none" w:color="auto"/>
        </w:rPr>
      </w:pPr>
      <w:r>
        <w:rPr>
          <w:rFonts w:hint="eastAsia" w:ascii="Times New Roman" w:hAnsi="Times New Roman"/>
          <w:b/>
          <w:bCs/>
          <w:sz w:val="21"/>
          <w:szCs w:val="21"/>
          <w:u w:val="none" w:color="auto"/>
        </w:rPr>
        <w:t>1.1电子投标文件部分：</w:t>
      </w:r>
    </w:p>
    <w:p w14:paraId="4FEDD91D">
      <w:pPr>
        <w:pStyle w:val="2"/>
        <w:keepNext w:val="0"/>
        <w:keepLines w:val="0"/>
        <w:pageBreakBefore w:val="0"/>
        <w:widowControl w:val="0"/>
        <w:kinsoku/>
        <w:wordWrap/>
        <w:overflowPunct/>
        <w:topLinePunct w:val="0"/>
        <w:autoSpaceDE/>
        <w:autoSpaceDN/>
        <w:bidi w:val="0"/>
        <w:adjustRightInd/>
        <w:spacing w:after="0" w:line="336" w:lineRule="auto"/>
        <w:ind w:left="0" w:leftChars="0" w:right="0" w:rightChars="0" w:firstLine="420"/>
        <w:textAlignment w:val="auto"/>
        <w:rPr>
          <w:rFonts w:ascii="Times New Roman" w:hAnsi="Times New Roman"/>
          <w:sz w:val="21"/>
          <w:szCs w:val="21"/>
          <w:u w:val="none" w:color="auto"/>
        </w:rPr>
      </w:pPr>
      <w:r>
        <w:rPr>
          <w:rFonts w:hint="eastAsia" w:ascii="Times New Roman" w:hAnsi="Times New Roman"/>
          <w:sz w:val="21"/>
          <w:szCs w:val="21"/>
          <w:u w:val="none" w:color="auto"/>
        </w:rPr>
        <w:t>投标人应根据“政采云供应商项目采购-电子交易操作指南”及本磋商文件规定的格式和顺序编制电子投标文件并进行关联定位。</w:t>
      </w:r>
    </w:p>
    <w:p w14:paraId="3288B9A3">
      <w:pPr>
        <w:pStyle w:val="2"/>
        <w:keepNext w:val="0"/>
        <w:keepLines w:val="0"/>
        <w:pageBreakBefore w:val="0"/>
        <w:widowControl w:val="0"/>
        <w:kinsoku/>
        <w:wordWrap/>
        <w:overflowPunct/>
        <w:topLinePunct w:val="0"/>
        <w:autoSpaceDE/>
        <w:autoSpaceDN/>
        <w:bidi w:val="0"/>
        <w:adjustRightInd/>
        <w:spacing w:after="0" w:line="336" w:lineRule="auto"/>
        <w:ind w:right="0" w:rightChars="0" w:firstLine="420"/>
        <w:textAlignment w:val="auto"/>
        <w:rPr>
          <w:rFonts w:ascii="Times New Roman" w:hAnsi="Times New Roman"/>
          <w:b/>
          <w:bCs/>
          <w:sz w:val="21"/>
          <w:szCs w:val="21"/>
          <w:u w:val="none" w:color="auto"/>
        </w:rPr>
      </w:pPr>
      <w:r>
        <w:rPr>
          <w:rFonts w:hint="eastAsia" w:ascii="Times New Roman" w:hAnsi="Times New Roman"/>
          <w:b/>
          <w:bCs/>
          <w:sz w:val="21"/>
          <w:szCs w:val="21"/>
          <w:u w:val="none" w:color="auto"/>
        </w:rPr>
        <w:t>1.2以介质存储的数据电文形式的备份投标文件部分：</w:t>
      </w:r>
    </w:p>
    <w:p w14:paraId="5F2FDCBC">
      <w:pPr>
        <w:pStyle w:val="2"/>
        <w:keepNext w:val="0"/>
        <w:keepLines w:val="0"/>
        <w:pageBreakBefore w:val="0"/>
        <w:widowControl w:val="0"/>
        <w:kinsoku/>
        <w:wordWrap/>
        <w:overflowPunct/>
        <w:topLinePunct w:val="0"/>
        <w:autoSpaceDE/>
        <w:autoSpaceDN/>
        <w:bidi w:val="0"/>
        <w:adjustRightInd/>
        <w:spacing w:after="0" w:line="336" w:lineRule="auto"/>
        <w:ind w:right="0" w:rightChars="0" w:firstLine="420"/>
        <w:textAlignment w:val="auto"/>
        <w:rPr>
          <w:rFonts w:ascii="Times New Roman" w:hAnsi="Times New Roman"/>
          <w:sz w:val="21"/>
          <w:szCs w:val="21"/>
          <w:u w:val="none" w:color="auto"/>
        </w:rPr>
      </w:pPr>
      <w:r>
        <w:rPr>
          <w:rFonts w:hint="eastAsia" w:ascii="Times New Roman" w:hAnsi="Times New Roman"/>
          <w:sz w:val="21"/>
          <w:szCs w:val="21"/>
          <w:u w:val="none" w:color="auto"/>
        </w:rPr>
        <w:t>电子投标文件的备份文件，以U盘形式存储，并单独密封递交。</w:t>
      </w:r>
    </w:p>
    <w:p w14:paraId="37035EB2">
      <w:pPr>
        <w:keepNext w:val="0"/>
        <w:keepLines w:val="0"/>
        <w:pageBreakBefore w:val="0"/>
        <w:widowControl w:val="0"/>
        <w:kinsoku/>
        <w:wordWrap/>
        <w:overflowPunct/>
        <w:topLinePunct w:val="0"/>
        <w:autoSpaceDE/>
        <w:autoSpaceDN/>
        <w:bidi w:val="0"/>
        <w:adjustRightInd/>
        <w:snapToGrid w:val="0"/>
        <w:spacing w:line="336" w:lineRule="auto"/>
        <w:ind w:right="0" w:rightChars="0"/>
        <w:jc w:val="left"/>
        <w:textAlignment w:val="auto"/>
        <w:rPr>
          <w:rFonts w:hint="eastAsia" w:ascii="宋体" w:hAnsi="宋体"/>
          <w:b/>
          <w:sz w:val="24"/>
          <w:u w:val="none" w:color="auto"/>
        </w:rPr>
      </w:pPr>
      <w:r>
        <w:rPr>
          <w:rFonts w:hint="eastAsia" w:ascii="宋体" w:hAnsi="宋体"/>
          <w:b/>
          <w:sz w:val="24"/>
          <w:u w:val="none" w:color="auto"/>
        </w:rPr>
        <w:t>（六）投标文件的形式和效力</w:t>
      </w:r>
    </w:p>
    <w:p w14:paraId="4DA79CF8">
      <w:pPr>
        <w:keepNext w:val="0"/>
        <w:keepLines w:val="0"/>
        <w:pageBreakBefore w:val="0"/>
        <w:widowControl w:val="0"/>
        <w:tabs>
          <w:tab w:val="left" w:pos="0"/>
        </w:tabs>
        <w:kinsoku/>
        <w:wordWrap/>
        <w:overflowPunct/>
        <w:topLinePunct w:val="0"/>
        <w:autoSpaceDE/>
        <w:autoSpaceDN/>
        <w:bidi w:val="0"/>
        <w:adjustRightInd/>
        <w:spacing w:line="336" w:lineRule="auto"/>
        <w:ind w:right="0" w:rightChars="0"/>
        <w:textAlignment w:val="auto"/>
        <w:rPr>
          <w:rFonts w:ascii="Times New Roman" w:hAnsi="Times New Roman"/>
          <w:bCs/>
          <w:szCs w:val="21"/>
          <w:u w:val="none" w:color="auto"/>
        </w:rPr>
      </w:pPr>
      <w:r>
        <w:rPr>
          <w:rFonts w:hint="eastAsia" w:ascii="Times New Roman" w:hAnsi="Times New Roman"/>
          <w:b/>
          <w:szCs w:val="21"/>
          <w:u w:val="none" w:color="auto"/>
        </w:rPr>
        <w:tab/>
      </w:r>
      <w:r>
        <w:rPr>
          <w:rFonts w:hint="eastAsia" w:ascii="Times New Roman" w:hAnsi="Times New Roman"/>
          <w:bCs/>
          <w:szCs w:val="21"/>
          <w:u w:val="none" w:color="auto"/>
        </w:rPr>
        <w:t>投标文件分为电子投标文件以及备份投标文件，备份文件为以介质存储的数据电文形式的备份投标文件。</w:t>
      </w:r>
    </w:p>
    <w:p w14:paraId="1D555AC2">
      <w:pPr>
        <w:keepNext w:val="0"/>
        <w:keepLines w:val="0"/>
        <w:pageBreakBefore w:val="0"/>
        <w:widowControl w:val="0"/>
        <w:tabs>
          <w:tab w:val="left" w:pos="0"/>
        </w:tabs>
        <w:kinsoku/>
        <w:wordWrap/>
        <w:overflowPunct/>
        <w:topLinePunct w:val="0"/>
        <w:autoSpaceDE/>
        <w:autoSpaceDN/>
        <w:bidi w:val="0"/>
        <w:adjustRightInd/>
        <w:spacing w:line="336" w:lineRule="auto"/>
        <w:ind w:right="0" w:rightChars="0"/>
        <w:textAlignment w:val="auto"/>
        <w:rPr>
          <w:rFonts w:ascii="Times New Roman" w:hAnsi="Times New Roman"/>
          <w:bCs/>
          <w:szCs w:val="21"/>
          <w:u w:val="none" w:color="auto"/>
        </w:rPr>
      </w:pPr>
      <w:r>
        <w:rPr>
          <w:rFonts w:hint="eastAsia" w:ascii="Times New Roman" w:hAnsi="Times New Roman"/>
          <w:bCs/>
          <w:szCs w:val="21"/>
          <w:u w:val="none" w:color="auto"/>
        </w:rPr>
        <w:tab/>
      </w:r>
      <w:r>
        <w:rPr>
          <w:rFonts w:hint="eastAsia" w:ascii="Times New Roman" w:hAnsi="Times New Roman"/>
          <w:bCs/>
          <w:szCs w:val="21"/>
          <w:u w:val="none" w:color="auto"/>
        </w:rPr>
        <w:t>1.电子投标文件，按“政采云供应商项目采购-电子交易操作指南”及本磋商文件要求制作、加密并递交。</w:t>
      </w:r>
    </w:p>
    <w:p w14:paraId="7D761D25">
      <w:pPr>
        <w:keepNext w:val="0"/>
        <w:keepLines w:val="0"/>
        <w:pageBreakBefore w:val="0"/>
        <w:widowControl w:val="0"/>
        <w:tabs>
          <w:tab w:val="left" w:pos="0"/>
        </w:tabs>
        <w:kinsoku/>
        <w:wordWrap/>
        <w:overflowPunct/>
        <w:topLinePunct w:val="0"/>
        <w:autoSpaceDE/>
        <w:autoSpaceDN/>
        <w:bidi w:val="0"/>
        <w:adjustRightInd/>
        <w:spacing w:line="336" w:lineRule="auto"/>
        <w:ind w:right="0" w:rightChars="0"/>
        <w:textAlignment w:val="auto"/>
        <w:rPr>
          <w:rFonts w:ascii="Times New Roman" w:hAnsi="Times New Roman"/>
          <w:bCs/>
          <w:szCs w:val="21"/>
          <w:u w:val="none" w:color="auto"/>
        </w:rPr>
      </w:pPr>
      <w:r>
        <w:rPr>
          <w:rFonts w:hint="eastAsia" w:ascii="Times New Roman" w:hAnsi="Times New Roman"/>
          <w:bCs/>
          <w:szCs w:val="21"/>
          <w:u w:val="none" w:color="auto"/>
        </w:rPr>
        <w:tab/>
      </w:r>
      <w:r>
        <w:rPr>
          <w:rFonts w:hint="eastAsia" w:ascii="Times New Roman" w:hAnsi="Times New Roman"/>
          <w:bCs/>
          <w:szCs w:val="21"/>
          <w:u w:val="none" w:color="auto"/>
        </w:rPr>
        <w:t>2.以介质存储的数据电文形式的备份投标文件，即电子投标文件按“政采云供应商项目采购-电子交易操作指南”制作的备份文件。</w:t>
      </w:r>
    </w:p>
    <w:p w14:paraId="3751A6AE">
      <w:pPr>
        <w:keepNext w:val="0"/>
        <w:keepLines w:val="0"/>
        <w:pageBreakBefore w:val="0"/>
        <w:widowControl w:val="0"/>
        <w:tabs>
          <w:tab w:val="left" w:pos="0"/>
        </w:tabs>
        <w:kinsoku/>
        <w:wordWrap/>
        <w:overflowPunct/>
        <w:topLinePunct w:val="0"/>
        <w:autoSpaceDE/>
        <w:autoSpaceDN/>
        <w:bidi w:val="0"/>
        <w:adjustRightInd/>
        <w:spacing w:line="336" w:lineRule="auto"/>
        <w:ind w:right="0" w:rightChars="0"/>
        <w:textAlignment w:val="auto"/>
        <w:rPr>
          <w:rFonts w:ascii="Times New Roman" w:hAnsi="Times New Roman"/>
          <w:bCs/>
          <w:szCs w:val="21"/>
          <w:u w:val="none" w:color="auto"/>
        </w:rPr>
      </w:pPr>
      <w:r>
        <w:rPr>
          <w:rFonts w:hint="eastAsia" w:ascii="Times New Roman" w:hAnsi="Times New Roman"/>
          <w:bCs/>
          <w:szCs w:val="21"/>
          <w:u w:val="none" w:color="auto"/>
        </w:rPr>
        <w:tab/>
      </w:r>
      <w:r>
        <w:rPr>
          <w:rFonts w:hint="eastAsia" w:ascii="Times New Roman" w:hAnsi="Times New Roman"/>
          <w:bCs/>
          <w:szCs w:val="21"/>
          <w:u w:val="none" w:color="auto"/>
        </w:rPr>
        <w:t>3.投标文件的效力</w:t>
      </w:r>
    </w:p>
    <w:p w14:paraId="339ED5FF">
      <w:pPr>
        <w:keepNext w:val="0"/>
        <w:keepLines w:val="0"/>
        <w:pageBreakBefore w:val="0"/>
        <w:widowControl w:val="0"/>
        <w:tabs>
          <w:tab w:val="left" w:pos="0"/>
        </w:tabs>
        <w:kinsoku/>
        <w:wordWrap/>
        <w:overflowPunct/>
        <w:topLinePunct w:val="0"/>
        <w:autoSpaceDE/>
        <w:autoSpaceDN/>
        <w:bidi w:val="0"/>
        <w:adjustRightInd/>
        <w:spacing w:line="336" w:lineRule="auto"/>
        <w:ind w:right="0" w:rightChars="0"/>
        <w:textAlignment w:val="auto"/>
        <w:rPr>
          <w:rFonts w:ascii="Times New Roman" w:hAnsi="Times New Roman"/>
          <w:bCs/>
          <w:szCs w:val="21"/>
          <w:u w:val="none" w:color="auto"/>
        </w:rPr>
      </w:pPr>
      <w:r>
        <w:rPr>
          <w:rFonts w:hint="eastAsia" w:ascii="Times New Roman" w:hAnsi="Times New Roman"/>
          <w:bCs/>
          <w:szCs w:val="21"/>
          <w:u w:val="none" w:color="auto"/>
        </w:rPr>
        <w:tab/>
      </w:r>
      <w:r>
        <w:rPr>
          <w:rFonts w:hint="eastAsia" w:ascii="Times New Roman" w:hAnsi="Times New Roman"/>
          <w:bCs/>
          <w:szCs w:val="21"/>
          <w:u w:val="none" w:color="auto"/>
        </w:rPr>
        <w:t>投标文件的启用，按先后顺位分别为电子投标文件、以介质存储的数据电文形式的备份投标文件。在下一顺位的投标文件启用时，前一顺位的投标文件自动失效。</w:t>
      </w:r>
    </w:p>
    <w:p w14:paraId="3272133B">
      <w:pPr>
        <w:keepNext w:val="0"/>
        <w:keepLines w:val="0"/>
        <w:pageBreakBefore w:val="0"/>
        <w:widowControl w:val="0"/>
        <w:kinsoku/>
        <w:wordWrap/>
        <w:overflowPunct/>
        <w:topLinePunct w:val="0"/>
        <w:autoSpaceDE/>
        <w:autoSpaceDN/>
        <w:bidi w:val="0"/>
        <w:adjustRightInd/>
        <w:snapToGrid w:val="0"/>
        <w:spacing w:line="336" w:lineRule="auto"/>
        <w:ind w:right="0" w:rightChars="0"/>
        <w:jc w:val="left"/>
        <w:textAlignment w:val="auto"/>
        <w:rPr>
          <w:rFonts w:hint="eastAsia" w:ascii="宋体" w:hAnsi="宋体"/>
          <w:b/>
          <w:sz w:val="24"/>
          <w:u w:val="none" w:color="auto"/>
        </w:rPr>
      </w:pPr>
      <w:r>
        <w:rPr>
          <w:rFonts w:hint="eastAsia" w:ascii="宋体" w:hAnsi="宋体"/>
          <w:b/>
          <w:sz w:val="24"/>
          <w:u w:val="none" w:color="auto"/>
        </w:rPr>
        <w:t>（七）投标文件的包装、递交、修改和撤回</w:t>
      </w:r>
    </w:p>
    <w:p w14:paraId="40F96369">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hint="eastAsia" w:ascii="宋体" w:hAnsi="宋体"/>
          <w:u w:val="none" w:color="auto"/>
        </w:rPr>
      </w:pPr>
      <w:r>
        <w:rPr>
          <w:rFonts w:hint="eastAsia" w:ascii="宋体" w:hAnsi="宋体"/>
          <w:u w:val="none" w:color="auto"/>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投标截止时间后送达的投标、投标文件，将被政采云平台拒收。</w:t>
      </w:r>
    </w:p>
    <w:p w14:paraId="4930515F">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hint="eastAsia" w:ascii="宋体" w:hAnsi="宋体"/>
          <w:u w:val="none" w:color="auto"/>
        </w:rPr>
      </w:pPr>
      <w:r>
        <w:rPr>
          <w:rFonts w:hint="eastAsia" w:ascii="宋体" w:hAnsi="宋体"/>
          <w:u w:val="none" w:color="auto"/>
        </w:rPr>
        <w:t>2.投标人应当在截止时间前将以介质存储的数据电文形式的备份投标文件寄到或送达采购代理公司。地址：舟山市定海区昌国路232号中楼202  深圳市国信招标有限公司舟山分公司。也可现场递交。逾期送达或未密封将被拒收。</w:t>
      </w:r>
    </w:p>
    <w:p w14:paraId="6CE99AF3">
      <w:pPr>
        <w:snapToGrid w:val="0"/>
        <w:spacing w:line="360" w:lineRule="auto"/>
        <w:ind w:right="-86" w:rightChars="-41" w:firstLine="422" w:firstLineChars="200"/>
        <w:jc w:val="left"/>
        <w:rPr>
          <w:rFonts w:hint="eastAsia" w:ascii="宋体" w:hAnsi="宋体"/>
          <w:u w:val="none" w:color="auto"/>
        </w:rPr>
      </w:pPr>
      <w:bookmarkStart w:id="2" w:name="_Hlk175817526"/>
      <w:r>
        <w:rPr>
          <w:rFonts w:hint="eastAsia" w:cs="(使用中文字体)"/>
          <w:b/>
          <w:szCs w:val="21"/>
          <w:u w:val="none" w:color="auto"/>
        </w:rPr>
        <w:t>投标人可以不提供备份投标文件，造成项目开评标活动无法进行下去的，投标无效，相关风险由投标人自行承担。</w:t>
      </w:r>
    </w:p>
    <w:bookmarkEnd w:id="2"/>
    <w:p w14:paraId="5DDE72F1">
      <w:pPr>
        <w:snapToGrid w:val="0"/>
        <w:spacing w:line="360" w:lineRule="auto"/>
        <w:ind w:right="-86" w:rightChars="-41" w:firstLine="420" w:firstLineChars="200"/>
        <w:jc w:val="left"/>
        <w:rPr>
          <w:rFonts w:hint="eastAsia" w:ascii="宋体" w:hAnsi="宋体"/>
          <w:u w:val="none" w:color="auto"/>
        </w:rPr>
      </w:pPr>
      <w:r>
        <w:rPr>
          <w:rFonts w:hint="eastAsia" w:ascii="宋体" w:hAnsi="宋体"/>
          <w:u w:val="none" w:color="auto"/>
        </w:rPr>
        <w:t>投标人递交以介质存储的数据电文形式的备份投标文件时，如出现下列情况之一的，将被拒收：</w:t>
      </w:r>
    </w:p>
    <w:p w14:paraId="52994456">
      <w:pPr>
        <w:snapToGrid w:val="0"/>
        <w:spacing w:line="360" w:lineRule="auto"/>
        <w:ind w:right="-86" w:rightChars="-41" w:firstLine="420" w:firstLineChars="200"/>
        <w:jc w:val="left"/>
        <w:rPr>
          <w:rFonts w:hint="eastAsia" w:ascii="宋体" w:hAnsi="宋体"/>
          <w:u w:val="none" w:color="auto"/>
        </w:rPr>
      </w:pPr>
      <w:r>
        <w:rPr>
          <w:rFonts w:hint="eastAsia" w:ascii="宋体" w:hAnsi="宋体"/>
          <w:u w:val="none" w:color="auto"/>
        </w:rPr>
        <w:t>（1）未按规定密封或标记的投标文件；</w:t>
      </w:r>
    </w:p>
    <w:p w14:paraId="06929684">
      <w:pPr>
        <w:snapToGrid w:val="0"/>
        <w:spacing w:line="360" w:lineRule="auto"/>
        <w:ind w:right="-86" w:rightChars="-41" w:firstLine="420" w:firstLineChars="200"/>
        <w:jc w:val="left"/>
        <w:rPr>
          <w:rFonts w:hint="eastAsia" w:ascii="宋体" w:hAnsi="宋体"/>
          <w:u w:val="none" w:color="auto"/>
        </w:rPr>
      </w:pPr>
      <w:r>
        <w:rPr>
          <w:rFonts w:hint="eastAsia" w:ascii="宋体" w:hAnsi="宋体"/>
          <w:u w:val="none" w:color="auto"/>
        </w:rPr>
        <w:t>（2）由于包装不妥，在送交途中严重破损或失散的；</w:t>
      </w:r>
    </w:p>
    <w:p w14:paraId="117EBC78">
      <w:pPr>
        <w:snapToGrid w:val="0"/>
        <w:spacing w:line="360" w:lineRule="auto"/>
        <w:ind w:right="-86" w:rightChars="-41" w:firstLine="420" w:firstLineChars="200"/>
        <w:jc w:val="left"/>
        <w:rPr>
          <w:rFonts w:hint="eastAsia" w:ascii="宋体" w:hAnsi="宋体"/>
          <w:u w:val="none" w:color="auto"/>
        </w:rPr>
      </w:pPr>
      <w:r>
        <w:rPr>
          <w:rFonts w:hint="eastAsia" w:ascii="宋体" w:hAnsi="宋体"/>
          <w:u w:val="none" w:color="auto"/>
        </w:rPr>
        <w:t>（3）未成功办理投标人报名手续的；</w:t>
      </w:r>
    </w:p>
    <w:p w14:paraId="0F2AE4D7">
      <w:pPr>
        <w:snapToGrid w:val="0"/>
        <w:spacing w:line="360" w:lineRule="auto"/>
        <w:ind w:right="-86" w:rightChars="-41" w:firstLine="420" w:firstLineChars="200"/>
        <w:jc w:val="left"/>
        <w:rPr>
          <w:rFonts w:hint="eastAsia" w:ascii="宋体" w:hAnsi="宋体"/>
          <w:u w:val="none" w:color="auto"/>
        </w:rPr>
      </w:pPr>
      <w:r>
        <w:rPr>
          <w:rFonts w:hint="eastAsia" w:ascii="宋体" w:hAnsi="宋体"/>
          <w:u w:val="none" w:color="auto"/>
        </w:rPr>
        <w:t>（4）超过投标截止时间送达的；</w:t>
      </w:r>
    </w:p>
    <w:p w14:paraId="7327A8BF">
      <w:pPr>
        <w:snapToGrid w:val="0"/>
        <w:spacing w:line="360" w:lineRule="auto"/>
        <w:ind w:right="-86" w:rightChars="-41" w:firstLine="420" w:firstLineChars="200"/>
        <w:jc w:val="left"/>
        <w:rPr>
          <w:rFonts w:hint="eastAsia" w:ascii="宋体" w:hAnsi="宋体"/>
          <w:u w:val="none" w:color="auto"/>
        </w:rPr>
      </w:pPr>
      <w:r>
        <w:rPr>
          <w:rFonts w:hint="eastAsia" w:ascii="宋体" w:hAnsi="宋体"/>
          <w:u w:val="none" w:color="auto"/>
        </w:rPr>
        <w:t>仅提供备份投标文件的，投标无效。</w:t>
      </w:r>
    </w:p>
    <w:p w14:paraId="4B096CCD">
      <w:pPr>
        <w:snapToGrid w:val="0"/>
        <w:spacing w:line="360" w:lineRule="auto"/>
        <w:ind w:right="-86" w:rightChars="-41" w:firstLine="420" w:firstLineChars="200"/>
        <w:jc w:val="left"/>
        <w:rPr>
          <w:rFonts w:hint="eastAsia" w:ascii="宋体" w:hAnsi="宋体"/>
          <w:u w:val="none" w:color="auto"/>
        </w:rPr>
      </w:pPr>
      <w:r>
        <w:rPr>
          <w:rFonts w:hint="eastAsia" w:ascii="宋体" w:hAnsi="宋体"/>
          <w:u w:val="none" w:color="auto"/>
        </w:rPr>
        <w:t>投标人可以不提供备份投标文件，造成项目开评标活动无法进行下去的，投标无效，相关风险由投标人自行承担。</w:t>
      </w:r>
    </w:p>
    <w:p w14:paraId="27A88E3E">
      <w:pPr>
        <w:snapToGrid w:val="0"/>
        <w:spacing w:line="360" w:lineRule="auto"/>
        <w:ind w:right="-86" w:rightChars="-41" w:firstLine="420" w:firstLineChars="200"/>
        <w:jc w:val="left"/>
        <w:rPr>
          <w:rFonts w:hint="eastAsia" w:ascii="宋体" w:hAnsi="宋体"/>
          <w:u w:val="none" w:color="auto"/>
        </w:rPr>
      </w:pPr>
      <w:r>
        <w:rPr>
          <w:rFonts w:hint="eastAsia" w:ascii="宋体" w:hAnsi="宋体"/>
          <w:u w:val="none" w:color="auto"/>
        </w:rPr>
        <w:t>3.投标文件未按时解密，供应商提供了备份投标文件的，以备份投标文件作为依据，否则视为投标文件撤回。投标文件已按时解密的，备份投标文件自动失效。</w:t>
      </w:r>
    </w:p>
    <w:p w14:paraId="5946CBDA">
      <w:pPr>
        <w:snapToGrid w:val="0"/>
        <w:spacing w:line="360" w:lineRule="auto"/>
        <w:ind w:right="-86" w:rightChars="-41" w:firstLine="420" w:firstLineChars="200"/>
        <w:jc w:val="left"/>
        <w:rPr>
          <w:rFonts w:hint="eastAsia" w:ascii="宋体" w:hAnsi="宋体"/>
          <w:u w:val="none" w:color="auto"/>
        </w:rPr>
      </w:pPr>
      <w:r>
        <w:rPr>
          <w:rFonts w:hint="eastAsia" w:ascii="宋体" w:hAnsi="宋体"/>
          <w:u w:val="none" w:color="auto"/>
        </w:rPr>
        <w:t>4.备份投标文件须密封封装。包装封面上应注明投标人名称，封口处加盖投标人公章。</w:t>
      </w:r>
    </w:p>
    <w:p w14:paraId="3A56E94C">
      <w:pPr>
        <w:keepNext w:val="0"/>
        <w:keepLines w:val="0"/>
        <w:pageBreakBefore w:val="0"/>
        <w:widowControl w:val="0"/>
        <w:kinsoku/>
        <w:wordWrap/>
        <w:overflowPunct/>
        <w:topLinePunct w:val="0"/>
        <w:autoSpaceDE/>
        <w:autoSpaceDN/>
        <w:bidi w:val="0"/>
        <w:adjustRightInd/>
        <w:snapToGrid w:val="0"/>
        <w:spacing w:line="336" w:lineRule="auto"/>
        <w:ind w:right="0" w:rightChars="0"/>
        <w:textAlignment w:val="auto"/>
        <w:outlineLvl w:val="2"/>
        <w:rPr>
          <w:rFonts w:hint="eastAsia" w:ascii="宋体" w:hAnsi="宋体"/>
          <w:b/>
          <w:sz w:val="24"/>
          <w:u w:val="none" w:color="auto"/>
        </w:rPr>
      </w:pPr>
      <w:r>
        <w:rPr>
          <w:rFonts w:hint="eastAsia" w:ascii="宋体" w:hAnsi="宋体"/>
          <w:b/>
          <w:sz w:val="24"/>
          <w:u w:val="none" w:color="auto"/>
        </w:rPr>
        <w:t>（八）投标无效的情形</w:t>
      </w:r>
    </w:p>
    <w:p w14:paraId="24736246">
      <w:pPr>
        <w:pStyle w:val="12"/>
        <w:keepNext w:val="0"/>
        <w:keepLines w:val="0"/>
        <w:pageBreakBefore w:val="0"/>
        <w:widowControl w:val="0"/>
        <w:kinsoku/>
        <w:wordWrap/>
        <w:overflowPunct/>
        <w:topLinePunct w:val="0"/>
        <w:autoSpaceDE/>
        <w:autoSpaceDN/>
        <w:bidi w:val="0"/>
        <w:adjustRightInd/>
        <w:snapToGrid w:val="0"/>
        <w:spacing w:line="336" w:lineRule="auto"/>
        <w:ind w:right="0" w:rightChars="0" w:firstLine="415" w:firstLineChars="198"/>
        <w:textAlignment w:val="auto"/>
        <w:rPr>
          <w:rFonts w:hint="eastAsia" w:hAnsi="宋体" w:eastAsia="宋体"/>
          <w:sz w:val="21"/>
          <w:u w:val="none" w:color="auto"/>
        </w:rPr>
      </w:pPr>
      <w:r>
        <w:rPr>
          <w:rFonts w:hint="eastAsia" w:hAnsi="宋体" w:eastAsia="宋体"/>
          <w:sz w:val="21"/>
          <w:u w:val="none" w:color="auto"/>
        </w:rPr>
        <w:t>实质上没有响应磋商文件要求的投标将被视为无效投标。投标人不得通过修正或撤消不合要求的偏离或保留从而使其投标成为实质上响应的投标。经磋商小组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磋商文件要求的，应认定其投标无效。投标人修改、补正投标文件后，不影响磋商小组对其投标文件所作的评价和评分结果。</w:t>
      </w:r>
    </w:p>
    <w:p w14:paraId="539F5242">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ascii="Times New Roman" w:hAnsi="Times New Roman" w:eastAsia="宋体" w:cs="Times New Roman"/>
          <w:color w:val="auto"/>
          <w:szCs w:val="21"/>
          <w14:ligatures w14:val="none"/>
        </w:rPr>
      </w:pPr>
      <w:r>
        <w:rPr>
          <w:rFonts w:ascii="Times New Roman" w:hAnsi="Times New Roman" w:eastAsia="宋体" w:cs="Times New Roman"/>
          <w:b/>
          <w:bCs/>
          <w:color w:val="auto"/>
          <w:szCs w:val="21"/>
          <w14:ligatures w14:val="none"/>
        </w:rPr>
        <w:t>1.</w:t>
      </w:r>
      <w:r>
        <w:rPr>
          <w:rFonts w:hint="eastAsia" w:ascii="Times New Roman" w:hAnsi="Times New Roman" w:eastAsia="宋体" w:cs="Times New Roman"/>
          <w:b/>
          <w:bCs/>
          <w:color w:val="auto"/>
          <w:szCs w:val="21"/>
          <w14:ligatures w14:val="none"/>
        </w:rPr>
        <w:t>在符合性审查和商务评审时，如发现下列情形之一</w:t>
      </w:r>
      <w:r>
        <w:rPr>
          <w:rFonts w:hint="eastAsia" w:ascii="Times New Roman" w:hAnsi="Times New Roman" w:eastAsia="宋体" w:cs="Times New Roman"/>
          <w:b/>
          <w:bCs/>
          <w:color w:val="auto"/>
          <w:szCs w:val="21"/>
          <w:lang w:val="en-US" w:eastAsia="zh-CN"/>
          <w14:ligatures w14:val="none"/>
        </w:rPr>
        <w:t>且无法作出合理解释</w:t>
      </w:r>
      <w:r>
        <w:rPr>
          <w:rFonts w:hint="eastAsia" w:ascii="Times New Roman" w:hAnsi="Times New Roman" w:eastAsia="宋体" w:cs="Times New Roman"/>
          <w:b/>
          <w:bCs/>
          <w:color w:val="auto"/>
          <w:szCs w:val="21"/>
          <w14:ligatures w14:val="none"/>
        </w:rPr>
        <w:t>的，投标文件将被视为无效投标：</w:t>
      </w:r>
    </w:p>
    <w:p w14:paraId="778B1F4A">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bCs/>
          <w:color w:val="auto"/>
          <w:szCs w:val="21"/>
          <w14:ligatures w14:val="none"/>
        </w:rPr>
      </w:pPr>
      <w:r>
        <w:rPr>
          <w:rFonts w:hint="eastAsia" w:ascii="Times New Roman" w:hAnsi="Times New Roman" w:eastAsia="宋体" w:cs="Times New Roman"/>
          <w:bCs/>
          <w:color w:val="auto"/>
          <w:szCs w:val="21"/>
          <w:lang w:eastAsia="zh-CN"/>
          <w14:ligatures w14:val="none"/>
        </w:rPr>
        <w:t>（</w:t>
      </w:r>
      <w:r>
        <w:rPr>
          <w:rFonts w:hint="eastAsia" w:ascii="Times New Roman" w:hAnsi="Times New Roman" w:eastAsia="宋体" w:cs="Times New Roman"/>
          <w:bCs/>
          <w:color w:val="auto"/>
          <w:szCs w:val="21"/>
          <w:lang w:val="en-US" w:eastAsia="zh-CN"/>
          <w14:ligatures w14:val="none"/>
        </w:rPr>
        <w:t>1</w:t>
      </w:r>
      <w:r>
        <w:rPr>
          <w:rFonts w:hint="eastAsia" w:ascii="Times New Roman" w:hAnsi="Times New Roman" w:eastAsia="宋体" w:cs="Times New Roman"/>
          <w:bCs/>
          <w:color w:val="auto"/>
          <w:szCs w:val="21"/>
          <w:lang w:eastAsia="zh-CN"/>
          <w14:ligatures w14:val="none"/>
        </w:rPr>
        <w:t>）</w:t>
      </w:r>
      <w:r>
        <w:rPr>
          <w:rFonts w:hint="eastAsia" w:ascii="Times New Roman" w:hAnsi="Times New Roman" w:eastAsia="宋体" w:cs="Times New Roman"/>
          <w:color w:val="auto"/>
          <w:szCs w:val="21"/>
          <w14:ligatures w14:val="none"/>
        </w:rPr>
        <w:t>资格证明文件不全的，或者不符合采购文件标明的资格要求的</w:t>
      </w:r>
      <w:r>
        <w:rPr>
          <w:rFonts w:hint="eastAsia" w:ascii="Times New Roman" w:hAnsi="Times New Roman" w:eastAsia="宋体" w:cs="Times New Roman"/>
          <w:bCs/>
          <w:color w:val="auto"/>
          <w:szCs w:val="21"/>
          <w14:ligatures w14:val="none"/>
        </w:rPr>
        <w:t>；</w:t>
      </w:r>
    </w:p>
    <w:p w14:paraId="62AB49F7">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bCs/>
          <w:color w:val="auto"/>
          <w:szCs w:val="21"/>
          <w14:ligatures w14:val="none"/>
        </w:rPr>
      </w:pPr>
      <w:r>
        <w:rPr>
          <w:rFonts w:hint="eastAsia" w:ascii="Times New Roman" w:hAnsi="Times New Roman" w:eastAsia="宋体" w:cs="Times New Roman"/>
          <w:bCs/>
          <w:color w:val="auto"/>
          <w:szCs w:val="21"/>
          <w:lang w:eastAsia="zh-CN"/>
          <w14:ligatures w14:val="none"/>
        </w:rPr>
        <w:t>（</w:t>
      </w:r>
      <w:r>
        <w:rPr>
          <w:rFonts w:hint="eastAsia" w:ascii="Times New Roman" w:hAnsi="Times New Roman" w:eastAsia="宋体" w:cs="Times New Roman"/>
          <w:bCs/>
          <w:color w:val="auto"/>
          <w:szCs w:val="21"/>
          <w:lang w:val="en-US" w:eastAsia="zh-CN"/>
          <w14:ligatures w14:val="none"/>
        </w:rPr>
        <w:t>2</w:t>
      </w:r>
      <w:r>
        <w:rPr>
          <w:rFonts w:hint="eastAsia" w:ascii="Times New Roman" w:hAnsi="Times New Roman" w:eastAsia="宋体" w:cs="Times New Roman"/>
          <w:bCs/>
          <w:color w:val="auto"/>
          <w:szCs w:val="21"/>
          <w:lang w:eastAsia="zh-CN"/>
          <w14:ligatures w14:val="none"/>
        </w:rPr>
        <w:t>）</w:t>
      </w:r>
      <w:r>
        <w:rPr>
          <w:rFonts w:hint="eastAsia" w:ascii="Times New Roman" w:hAnsi="Times New Roman" w:eastAsia="宋体" w:cs="Times New Roman"/>
          <w:color w:val="auto"/>
          <w:szCs w:val="21"/>
          <w14:ligatures w14:val="none"/>
        </w:rPr>
        <w:t>投标文件组成不全的；</w:t>
      </w:r>
    </w:p>
    <w:p w14:paraId="4F83D38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bCs/>
          <w:color w:val="auto"/>
          <w:szCs w:val="21"/>
          <w14:ligatures w14:val="none"/>
        </w:rPr>
      </w:pPr>
      <w:r>
        <w:rPr>
          <w:rFonts w:hint="eastAsia" w:ascii="Times New Roman" w:hAnsi="Times New Roman" w:eastAsia="宋体" w:cs="Times New Roman"/>
          <w:bCs/>
          <w:color w:val="auto"/>
          <w:szCs w:val="21"/>
          <w:lang w:eastAsia="zh-CN"/>
          <w14:ligatures w14:val="none"/>
        </w:rPr>
        <w:t>（</w:t>
      </w:r>
      <w:r>
        <w:rPr>
          <w:rFonts w:hint="eastAsia" w:ascii="Times New Roman" w:hAnsi="Times New Roman" w:eastAsia="宋体" w:cs="Times New Roman"/>
          <w:bCs/>
          <w:color w:val="auto"/>
          <w:szCs w:val="21"/>
          <w:lang w:val="en-US" w:eastAsia="zh-CN"/>
          <w14:ligatures w14:val="none"/>
        </w:rPr>
        <w:t>3</w:t>
      </w:r>
      <w:r>
        <w:rPr>
          <w:rFonts w:hint="eastAsia" w:ascii="Times New Roman" w:hAnsi="Times New Roman" w:eastAsia="宋体" w:cs="Times New Roman"/>
          <w:bCs/>
          <w:color w:val="auto"/>
          <w:szCs w:val="21"/>
          <w:lang w:eastAsia="zh-CN"/>
          <w14:ligatures w14:val="none"/>
        </w:rPr>
        <w:t>）</w:t>
      </w:r>
      <w:r>
        <w:rPr>
          <w:rFonts w:hint="eastAsia" w:ascii="Times New Roman" w:hAnsi="Times New Roman" w:eastAsia="宋体" w:cs="Times New Roman"/>
          <w:bCs/>
          <w:color w:val="auto"/>
          <w:szCs w:val="21"/>
          <w14:ligatures w14:val="none"/>
        </w:rPr>
        <w:t>投标文件的实质性内容未使用中文表述、意思表述不明确、前后矛盾或者使用计量单位不符合采购文件要求的；（</w:t>
      </w:r>
      <w:r>
        <w:rPr>
          <w:rFonts w:hint="eastAsia" w:ascii="Times New Roman" w:hAnsi="Times New Roman" w:eastAsia="宋体" w:cs="Times New Roman"/>
          <w:color w:val="auto"/>
          <w:szCs w:val="21"/>
          <w14:ligatures w14:val="none"/>
        </w:rPr>
        <w:t>经评审小组认定允许其在线更正的笔误除外</w:t>
      </w:r>
      <w:r>
        <w:rPr>
          <w:rFonts w:hint="eastAsia" w:ascii="Times New Roman" w:hAnsi="Times New Roman" w:eastAsia="宋体" w:cs="Times New Roman"/>
          <w:bCs/>
          <w:color w:val="auto"/>
          <w:szCs w:val="21"/>
          <w14:ligatures w14:val="none"/>
        </w:rPr>
        <w:t>）</w:t>
      </w:r>
    </w:p>
    <w:p w14:paraId="1FB97EA7">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color w:val="auto"/>
          <w:szCs w:val="21"/>
          <w14:ligatures w14:val="none"/>
        </w:rPr>
      </w:pPr>
      <w:r>
        <w:rPr>
          <w:rFonts w:hint="eastAsia" w:ascii="Times New Roman" w:hAnsi="Times New Roman" w:eastAsia="宋体" w:cs="Times New Roman"/>
          <w:bCs/>
          <w:color w:val="auto"/>
          <w:szCs w:val="21"/>
          <w:lang w:eastAsia="zh-CN"/>
          <w14:ligatures w14:val="none"/>
        </w:rPr>
        <w:t>（</w:t>
      </w:r>
      <w:r>
        <w:rPr>
          <w:rFonts w:hint="eastAsia" w:ascii="Times New Roman" w:hAnsi="Times New Roman" w:eastAsia="宋体" w:cs="Times New Roman"/>
          <w:bCs/>
          <w:color w:val="auto"/>
          <w:szCs w:val="21"/>
          <w:lang w:val="en-US" w:eastAsia="zh-CN"/>
          <w14:ligatures w14:val="none"/>
        </w:rPr>
        <w:t>4</w:t>
      </w:r>
      <w:r>
        <w:rPr>
          <w:rFonts w:hint="eastAsia" w:ascii="Times New Roman" w:hAnsi="Times New Roman" w:eastAsia="宋体" w:cs="Times New Roman"/>
          <w:bCs/>
          <w:color w:val="auto"/>
          <w:szCs w:val="21"/>
          <w:lang w:eastAsia="zh-CN"/>
          <w14:ligatures w14:val="none"/>
        </w:rPr>
        <w:t>）</w:t>
      </w:r>
      <w:r>
        <w:rPr>
          <w:rFonts w:hint="eastAsia" w:ascii="Times New Roman" w:hAnsi="Times New Roman" w:eastAsia="宋体" w:cs="Times New Roman"/>
          <w:bCs/>
          <w:color w:val="auto"/>
          <w:szCs w:val="21"/>
          <w14:ligatures w14:val="none"/>
        </w:rPr>
        <w:t>投标文件的关键内容字迹模糊、无法辨认的，或者投标文件中经修正的内容字迹模糊难以辩认或者修改处未按规定签名盖章的；</w:t>
      </w:r>
    </w:p>
    <w:p w14:paraId="211F1401">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color w:val="auto"/>
          <w:szCs w:val="21"/>
          <w14:ligatures w14:val="none"/>
        </w:rPr>
      </w:pPr>
      <w:r>
        <w:rPr>
          <w:rFonts w:hint="eastAsia" w:ascii="Times New Roman" w:hAnsi="Times New Roman" w:eastAsia="宋体" w:cs="Times New Roman"/>
          <w:bCs/>
          <w:color w:val="auto"/>
          <w:szCs w:val="21"/>
          <w:lang w:eastAsia="zh-CN"/>
          <w14:ligatures w14:val="none"/>
        </w:rPr>
        <w:t>（</w:t>
      </w:r>
      <w:r>
        <w:rPr>
          <w:rFonts w:hint="eastAsia" w:ascii="Times New Roman" w:hAnsi="Times New Roman" w:eastAsia="宋体" w:cs="Times New Roman"/>
          <w:bCs/>
          <w:color w:val="auto"/>
          <w:szCs w:val="21"/>
          <w:lang w:val="en-US" w:eastAsia="zh-CN"/>
          <w14:ligatures w14:val="none"/>
        </w:rPr>
        <w:t>5</w:t>
      </w:r>
      <w:r>
        <w:rPr>
          <w:rFonts w:hint="eastAsia" w:ascii="Times New Roman" w:hAnsi="Times New Roman" w:eastAsia="宋体" w:cs="Times New Roman"/>
          <w:bCs/>
          <w:color w:val="auto"/>
          <w:szCs w:val="21"/>
          <w:lang w:eastAsia="zh-CN"/>
          <w14:ligatures w14:val="none"/>
        </w:rPr>
        <w:t>）</w:t>
      </w:r>
      <w:r>
        <w:rPr>
          <w:rFonts w:hint="eastAsia" w:ascii="Times New Roman" w:hAnsi="Times New Roman" w:eastAsia="宋体" w:cs="Times New Roman"/>
          <w:bCs/>
          <w:color w:val="auto"/>
          <w:szCs w:val="21"/>
          <w14:ligatures w14:val="none"/>
        </w:rPr>
        <w:t>投标有效期、交货时间、质保期等商务条款不能满足采购文件要求的；</w:t>
      </w:r>
    </w:p>
    <w:p w14:paraId="1FE3E21A">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color w:val="auto"/>
          <w:szCs w:val="21"/>
          <w14:ligatures w14:val="none"/>
        </w:rPr>
      </w:pPr>
      <w:r>
        <w:rPr>
          <w:rFonts w:hint="eastAsia" w:ascii="Times New Roman" w:hAnsi="Times New Roman" w:eastAsia="宋体" w:cs="Times New Roman"/>
          <w:bCs/>
          <w:color w:val="auto"/>
          <w:szCs w:val="21"/>
          <w:lang w:eastAsia="zh-CN"/>
          <w14:ligatures w14:val="none"/>
        </w:rPr>
        <w:t>（</w:t>
      </w:r>
      <w:r>
        <w:rPr>
          <w:rFonts w:hint="eastAsia" w:ascii="Times New Roman" w:hAnsi="Times New Roman" w:eastAsia="宋体" w:cs="Times New Roman"/>
          <w:bCs/>
          <w:color w:val="auto"/>
          <w:szCs w:val="21"/>
          <w:lang w:val="en-US" w:eastAsia="zh-CN"/>
          <w14:ligatures w14:val="none"/>
        </w:rPr>
        <w:t>6</w:t>
      </w:r>
      <w:r>
        <w:rPr>
          <w:rFonts w:hint="eastAsia" w:ascii="Times New Roman" w:hAnsi="Times New Roman" w:eastAsia="宋体" w:cs="Times New Roman"/>
          <w:bCs/>
          <w:color w:val="auto"/>
          <w:szCs w:val="21"/>
          <w:lang w:eastAsia="zh-CN"/>
          <w14:ligatures w14:val="none"/>
        </w:rPr>
        <w:t>）</w:t>
      </w:r>
      <w:r>
        <w:rPr>
          <w:rFonts w:hint="eastAsia" w:ascii="Times New Roman" w:hAnsi="Times New Roman" w:eastAsia="宋体" w:cs="Times New Roman"/>
          <w:bCs/>
          <w:color w:val="auto"/>
          <w:szCs w:val="21"/>
          <w14:ligatures w14:val="none"/>
        </w:rPr>
        <w:t>未响应采购文件实质性要求或者投标文件有采购人不能接受的附加条件的；</w:t>
      </w:r>
    </w:p>
    <w:p w14:paraId="607EA358">
      <w:pPr>
        <w:keepNext w:val="0"/>
        <w:keepLines w:val="0"/>
        <w:pageBreakBefore w:val="0"/>
        <w:widowControl w:val="0"/>
        <w:kinsoku/>
        <w:wordWrap/>
        <w:overflowPunct/>
        <w:topLinePunct w:val="0"/>
        <w:autoSpaceDE/>
        <w:autoSpaceDN/>
        <w:bidi w:val="0"/>
        <w:adjustRightInd/>
        <w:snapToGrid w:val="0"/>
        <w:spacing w:line="360" w:lineRule="auto"/>
        <w:ind w:right="0" w:rightChars="0" w:firstLine="438" w:firstLineChars="209"/>
        <w:textAlignment w:val="auto"/>
        <w:rPr>
          <w:rFonts w:ascii="Times New Roman" w:hAnsi="Times New Roman" w:eastAsia="宋体" w:cs="Times New Roman"/>
          <w:bCs/>
          <w:color w:val="auto"/>
          <w:szCs w:val="21"/>
          <w14:ligatures w14:val="none"/>
        </w:rPr>
      </w:pPr>
      <w:r>
        <w:rPr>
          <w:rFonts w:hint="eastAsia" w:ascii="Times New Roman" w:hAnsi="Times New Roman" w:eastAsia="宋体" w:cs="Times New Roman"/>
          <w:bCs/>
          <w:color w:val="auto"/>
          <w:szCs w:val="21"/>
          <w:lang w:eastAsia="zh-CN"/>
          <w14:ligatures w14:val="none"/>
        </w:rPr>
        <w:t>（</w:t>
      </w:r>
      <w:r>
        <w:rPr>
          <w:rFonts w:hint="eastAsia" w:ascii="Times New Roman" w:hAnsi="Times New Roman" w:eastAsia="宋体" w:cs="Times New Roman"/>
          <w:bCs/>
          <w:color w:val="auto"/>
          <w:szCs w:val="21"/>
          <w:lang w:val="en-US" w:eastAsia="zh-CN"/>
          <w14:ligatures w14:val="none"/>
        </w:rPr>
        <w:t>7</w:t>
      </w:r>
      <w:r>
        <w:rPr>
          <w:rFonts w:hint="eastAsia" w:ascii="Times New Roman" w:hAnsi="Times New Roman" w:eastAsia="宋体" w:cs="Times New Roman"/>
          <w:bCs/>
          <w:color w:val="auto"/>
          <w:szCs w:val="21"/>
          <w:lang w:eastAsia="zh-CN"/>
          <w14:ligatures w14:val="none"/>
        </w:rPr>
        <w:t>）</w:t>
      </w:r>
      <w:r>
        <w:rPr>
          <w:rFonts w:hint="eastAsia" w:ascii="Times New Roman" w:hAnsi="Times New Roman" w:eastAsia="宋体" w:cs="Times New Roman"/>
          <w:bCs/>
          <w:color w:val="auto"/>
          <w:szCs w:val="21"/>
          <w14:ligatures w14:val="none"/>
        </w:rPr>
        <w:t>投标文件没有按采购文件要求响应有标</w:t>
      </w:r>
      <w:r>
        <w:rPr>
          <w:rFonts w:ascii="Times New Roman" w:hAnsi="Times New Roman" w:eastAsia="宋体" w:cs="Times New Roman"/>
          <w:bCs/>
          <w:color w:val="auto"/>
          <w:szCs w:val="21"/>
          <w14:ligatures w14:val="none"/>
        </w:rPr>
        <w:t>“</w:t>
      </w:r>
      <w:r>
        <w:rPr>
          <w:rFonts w:hint="eastAsia" w:ascii="Times New Roman" w:hAnsi="Times New Roman" w:eastAsia="宋体" w:cs="Times New Roman"/>
          <w:bCs/>
          <w:color w:val="auto"/>
          <w:szCs w:val="21"/>
          <w14:ligatures w14:val="none"/>
        </w:rPr>
        <w:t>★</w:t>
      </w:r>
      <w:r>
        <w:rPr>
          <w:rFonts w:ascii="Times New Roman" w:hAnsi="Times New Roman" w:eastAsia="宋体" w:cs="Times New Roman"/>
          <w:bCs/>
          <w:color w:val="auto"/>
          <w:szCs w:val="21"/>
          <w14:ligatures w14:val="none"/>
        </w:rPr>
        <w:t>”</w:t>
      </w:r>
      <w:r>
        <w:rPr>
          <w:rFonts w:hint="eastAsia" w:ascii="Times New Roman" w:hAnsi="Times New Roman" w:eastAsia="宋体" w:cs="Times New Roman"/>
          <w:bCs/>
          <w:color w:val="auto"/>
          <w:szCs w:val="21"/>
          <w14:ligatures w14:val="none"/>
        </w:rPr>
        <w:t>的条款的资料和材料的；</w:t>
      </w:r>
    </w:p>
    <w:p w14:paraId="52746A43">
      <w:pPr>
        <w:pStyle w:val="28"/>
        <w:keepNext w:val="0"/>
        <w:keepLines w:val="0"/>
        <w:pageBreakBefore w:val="0"/>
        <w:widowControl w:val="0"/>
        <w:kinsoku/>
        <w:wordWrap/>
        <w:overflowPunct/>
        <w:topLinePunct w:val="0"/>
        <w:autoSpaceDE/>
        <w:autoSpaceDN/>
        <w:bidi w:val="0"/>
        <w:adjustRightInd/>
        <w:spacing w:after="0" w:line="360" w:lineRule="auto"/>
        <w:ind w:left="0" w:leftChars="0" w:firstLine="422" w:firstLineChars="200"/>
        <w:textAlignment w:val="auto"/>
        <w:rPr>
          <w:rFonts w:hint="eastAsia" w:ascii="Times New Roman" w:hAnsi="Times New Roman" w:eastAsia="宋体" w:cs="Times New Roman"/>
          <w:b/>
          <w:color w:val="auto"/>
          <w:szCs w:val="21"/>
          <w14:ligatures w14:val="none"/>
        </w:rPr>
      </w:pPr>
      <w:r>
        <w:rPr>
          <w:rFonts w:hint="eastAsia" w:ascii="Times New Roman" w:hAnsi="Times New Roman" w:eastAsia="宋体" w:cs="Times New Roman"/>
          <w:b/>
          <w:color w:val="auto"/>
          <w:szCs w:val="21"/>
          <w:lang w:eastAsia="zh-CN"/>
          <w14:ligatures w14:val="none"/>
        </w:rPr>
        <w:t>（</w:t>
      </w:r>
      <w:r>
        <w:rPr>
          <w:rFonts w:hint="eastAsia" w:ascii="Times New Roman" w:hAnsi="Times New Roman" w:eastAsia="宋体" w:cs="Times New Roman"/>
          <w:b/>
          <w:color w:val="auto"/>
          <w:szCs w:val="21"/>
          <w:lang w:val="en-US" w:eastAsia="zh-CN"/>
          <w14:ligatures w14:val="none"/>
        </w:rPr>
        <w:t>8</w:t>
      </w:r>
      <w:r>
        <w:rPr>
          <w:rFonts w:hint="eastAsia" w:ascii="Times New Roman" w:hAnsi="Times New Roman" w:eastAsia="宋体" w:cs="Times New Roman"/>
          <w:b/>
          <w:color w:val="auto"/>
          <w:szCs w:val="21"/>
          <w:lang w:eastAsia="zh-CN"/>
          <w14:ligatures w14:val="none"/>
        </w:rPr>
        <w:t>）</w:t>
      </w:r>
      <w:r>
        <w:rPr>
          <w:rFonts w:hint="eastAsia" w:ascii="Times New Roman" w:hAnsi="Times New Roman" w:eastAsia="宋体" w:cs="Times New Roman"/>
          <w:b/>
          <w:color w:val="auto"/>
          <w:szCs w:val="21"/>
          <w14:ligatures w14:val="none"/>
        </w:rPr>
        <w:t>在不影响公平竞争的前提下，采购文件中参与同一标段（包）的供应商存在以下情形的，其投标文件相应无效：MAC地址相同、计算机硬盘序列号相同、采购文件细节错误一致且无合理解释的等情形。</w:t>
      </w:r>
    </w:p>
    <w:p w14:paraId="01912C4C">
      <w:pPr>
        <w:pStyle w:val="28"/>
        <w:keepNext w:val="0"/>
        <w:keepLines w:val="0"/>
        <w:pageBreakBefore w:val="0"/>
        <w:widowControl w:val="0"/>
        <w:kinsoku/>
        <w:wordWrap/>
        <w:overflowPunct/>
        <w:topLinePunct w:val="0"/>
        <w:autoSpaceDE/>
        <w:autoSpaceDN/>
        <w:bidi w:val="0"/>
        <w:adjustRightInd/>
        <w:spacing w:after="0" w:line="360" w:lineRule="auto"/>
        <w:ind w:left="0" w:leftChars="0" w:firstLine="422" w:firstLineChars="200"/>
        <w:textAlignment w:val="auto"/>
        <w:rPr>
          <w:rFonts w:hint="eastAsia" w:ascii="Times New Roman" w:hAnsi="Times New Roman" w:eastAsia="宋体" w:cs="Times New Roman"/>
          <w:b/>
          <w:color w:val="auto"/>
          <w:szCs w:val="21"/>
          <w14:ligatures w14:val="none"/>
        </w:rPr>
      </w:pPr>
      <w:r>
        <w:rPr>
          <w:rFonts w:hint="eastAsia" w:ascii="Times New Roman" w:hAnsi="Times New Roman" w:eastAsia="宋体" w:cs="Times New Roman"/>
          <w:b/>
          <w:color w:val="auto"/>
          <w:szCs w:val="21"/>
          <w:lang w:eastAsia="zh-CN"/>
          <w14:ligatures w14:val="none"/>
        </w:rPr>
        <w:t>（</w:t>
      </w:r>
      <w:r>
        <w:rPr>
          <w:rFonts w:hint="eastAsia" w:ascii="Times New Roman" w:hAnsi="Times New Roman" w:eastAsia="宋体" w:cs="Times New Roman"/>
          <w:b/>
          <w:color w:val="auto"/>
          <w:szCs w:val="21"/>
          <w:lang w:val="en-US" w:eastAsia="zh-CN"/>
          <w14:ligatures w14:val="none"/>
        </w:rPr>
        <w:t>9</w:t>
      </w:r>
      <w:r>
        <w:rPr>
          <w:rFonts w:hint="eastAsia" w:ascii="Times New Roman" w:hAnsi="Times New Roman" w:eastAsia="宋体" w:cs="Times New Roman"/>
          <w:b/>
          <w:color w:val="auto"/>
          <w:szCs w:val="21"/>
          <w:lang w:eastAsia="zh-CN"/>
          <w14:ligatures w14:val="none"/>
        </w:rPr>
        <w:t>）</w:t>
      </w:r>
      <w:r>
        <w:rPr>
          <w:rFonts w:hint="eastAsia" w:ascii="Times New Roman" w:hAnsi="Times New Roman" w:eastAsia="宋体" w:cs="Times New Roman"/>
          <w:b/>
          <w:color w:val="auto"/>
          <w:szCs w:val="21"/>
          <w14:ligatures w14:val="none"/>
        </w:rPr>
        <w:t>上传的电子投标（响应）文件若出现使用本项目其他投标（响应）供应商的数字证书加密的，或者加盖本项目其他投标（响应）供应商的电子印章的；</w:t>
      </w:r>
    </w:p>
    <w:p w14:paraId="2A1F4E28">
      <w:pPr>
        <w:pStyle w:val="28"/>
        <w:keepNext w:val="0"/>
        <w:keepLines w:val="0"/>
        <w:pageBreakBefore w:val="0"/>
        <w:widowControl w:val="0"/>
        <w:kinsoku/>
        <w:wordWrap/>
        <w:overflowPunct/>
        <w:topLinePunct w:val="0"/>
        <w:autoSpaceDE/>
        <w:autoSpaceDN/>
        <w:bidi w:val="0"/>
        <w:adjustRightInd/>
        <w:spacing w:after="0" w:line="360" w:lineRule="auto"/>
        <w:ind w:left="0" w:leftChars="0" w:firstLine="422" w:firstLineChars="200"/>
        <w:textAlignment w:val="auto"/>
        <w:rPr>
          <w:rFonts w:hint="eastAsia" w:ascii="Times New Roman" w:hAnsi="Times New Roman" w:eastAsia="宋体" w:cs="Times New Roman"/>
          <w:b/>
          <w:color w:val="auto"/>
          <w:szCs w:val="21"/>
          <w14:ligatures w14:val="none"/>
        </w:rPr>
      </w:pPr>
      <w:r>
        <w:rPr>
          <w:rFonts w:hint="eastAsia" w:ascii="Times New Roman" w:hAnsi="Times New Roman" w:eastAsia="宋体" w:cs="Times New Roman"/>
          <w:b/>
          <w:color w:val="auto"/>
          <w:szCs w:val="21"/>
          <w:lang w:eastAsia="zh-CN"/>
          <w14:ligatures w14:val="none"/>
        </w:rPr>
        <w:t>（</w:t>
      </w:r>
      <w:r>
        <w:rPr>
          <w:rFonts w:hint="eastAsia" w:ascii="Times New Roman" w:hAnsi="Times New Roman" w:eastAsia="宋体" w:cs="Times New Roman"/>
          <w:b/>
          <w:color w:val="auto"/>
          <w:szCs w:val="21"/>
          <w:lang w:val="en-US" w:eastAsia="zh-CN"/>
          <w14:ligatures w14:val="none"/>
        </w:rPr>
        <w:t>10</w:t>
      </w:r>
      <w:r>
        <w:rPr>
          <w:rFonts w:hint="eastAsia" w:ascii="Times New Roman" w:hAnsi="Times New Roman" w:eastAsia="宋体" w:cs="Times New Roman"/>
          <w:b/>
          <w:color w:val="auto"/>
          <w:szCs w:val="21"/>
          <w:lang w:eastAsia="zh-CN"/>
          <w14:ligatures w14:val="none"/>
        </w:rPr>
        <w:t>）</w:t>
      </w:r>
      <w:r>
        <w:rPr>
          <w:rFonts w:hint="eastAsia" w:ascii="Times New Roman" w:hAnsi="Times New Roman" w:eastAsia="宋体" w:cs="Times New Roman"/>
          <w:b/>
          <w:color w:val="auto"/>
          <w:szCs w:val="21"/>
          <w14:ligatures w14:val="none"/>
        </w:rPr>
        <w:t>不同供应商的投标（响应）文件的内容存在三处（含）以上错误一致的；</w:t>
      </w:r>
    </w:p>
    <w:p w14:paraId="7FA19420">
      <w:pPr>
        <w:pStyle w:val="9"/>
        <w:keepNext w:val="0"/>
        <w:keepLines w:val="0"/>
        <w:pageBreakBefore w:val="0"/>
        <w:widowControl w:val="0"/>
        <w:kinsoku/>
        <w:wordWrap/>
        <w:overflowPunct/>
        <w:topLinePunct w:val="0"/>
        <w:autoSpaceDE/>
        <w:autoSpaceDN/>
        <w:bidi w:val="0"/>
        <w:adjustRightInd/>
        <w:snapToGrid w:val="0"/>
        <w:spacing w:line="336" w:lineRule="auto"/>
        <w:ind w:right="0" w:rightChars="0" w:firstLine="512" w:firstLineChars="243"/>
        <w:textAlignment w:val="auto"/>
        <w:rPr>
          <w:rFonts w:hint="eastAsia" w:ascii="Times New Roman" w:hAnsi="Times New Roman" w:eastAsia="宋体" w:cs="Times New Roman"/>
          <w:b/>
          <w:color w:val="auto"/>
          <w:spacing w:val="0"/>
          <w:kern w:val="2"/>
          <w:sz w:val="21"/>
          <w:szCs w:val="21"/>
          <w:lang w:val="en-US" w:eastAsia="zh-CN" w:bidi="ar-SA"/>
          <w14:ligatures w14:val="none"/>
        </w:rPr>
      </w:pPr>
      <w:r>
        <w:rPr>
          <w:rFonts w:hint="eastAsia" w:ascii="Times New Roman" w:hAnsi="Times New Roman" w:eastAsia="宋体" w:cs="Times New Roman"/>
          <w:b/>
          <w:color w:val="auto"/>
          <w:spacing w:val="0"/>
          <w:kern w:val="2"/>
          <w:sz w:val="21"/>
          <w:szCs w:val="21"/>
          <w:lang w:val="en-US" w:eastAsia="zh-CN" w:bidi="ar-SA"/>
          <w14:ligatures w14:val="none"/>
        </w:rPr>
        <w:t>（11）不同供应商联系人为同一人或不同联系人的联系电话一致的。</w:t>
      </w:r>
    </w:p>
    <w:p w14:paraId="50ED1059">
      <w:pPr>
        <w:pStyle w:val="9"/>
        <w:keepNext w:val="0"/>
        <w:keepLines w:val="0"/>
        <w:pageBreakBefore w:val="0"/>
        <w:widowControl w:val="0"/>
        <w:kinsoku/>
        <w:wordWrap/>
        <w:overflowPunct/>
        <w:topLinePunct w:val="0"/>
        <w:autoSpaceDE/>
        <w:autoSpaceDN/>
        <w:bidi w:val="0"/>
        <w:adjustRightInd/>
        <w:snapToGrid w:val="0"/>
        <w:spacing w:line="336" w:lineRule="auto"/>
        <w:ind w:right="0" w:rightChars="0"/>
        <w:textAlignment w:val="auto"/>
        <w:rPr>
          <w:rFonts w:hint="eastAsia" w:hAnsi="宋体"/>
          <w:b/>
          <w:sz w:val="21"/>
          <w:szCs w:val="21"/>
          <w:u w:val="none" w:color="auto"/>
        </w:rPr>
      </w:pPr>
      <w:r>
        <w:rPr>
          <w:rFonts w:hint="eastAsia" w:hAnsi="宋体"/>
          <w:b/>
          <w:sz w:val="21"/>
          <w:szCs w:val="21"/>
          <w:u w:val="none" w:color="auto"/>
        </w:rPr>
        <w:t>2.在技术评审时，如发现下列情形之一的，投标文件将被视为无效：</w:t>
      </w:r>
    </w:p>
    <w:p w14:paraId="0A01D28A">
      <w:pPr>
        <w:pStyle w:val="9"/>
        <w:keepNext w:val="0"/>
        <w:keepLines w:val="0"/>
        <w:pageBreakBefore w:val="0"/>
        <w:widowControl w:val="0"/>
        <w:kinsoku/>
        <w:wordWrap/>
        <w:overflowPunct/>
        <w:topLinePunct w:val="0"/>
        <w:autoSpaceDE/>
        <w:autoSpaceDN/>
        <w:bidi w:val="0"/>
        <w:adjustRightInd/>
        <w:snapToGrid w:val="0"/>
        <w:spacing w:line="336" w:lineRule="auto"/>
        <w:ind w:right="0" w:rightChars="0"/>
        <w:textAlignment w:val="auto"/>
        <w:rPr>
          <w:rFonts w:hint="eastAsia" w:hAnsi="宋体"/>
          <w:sz w:val="21"/>
          <w:szCs w:val="21"/>
          <w:u w:val="none" w:color="auto"/>
        </w:rPr>
      </w:pPr>
      <w:r>
        <w:rPr>
          <w:rFonts w:hint="eastAsia" w:hAnsi="宋体"/>
          <w:sz w:val="21"/>
          <w:szCs w:val="21"/>
          <w:u w:val="none" w:color="auto"/>
        </w:rPr>
        <w:t>（1）投标文件标明的响应或偏离与事实不符或虚假投标的；</w:t>
      </w:r>
    </w:p>
    <w:p w14:paraId="06C7B381">
      <w:pPr>
        <w:pStyle w:val="9"/>
        <w:keepNext w:val="0"/>
        <w:keepLines w:val="0"/>
        <w:pageBreakBefore w:val="0"/>
        <w:widowControl w:val="0"/>
        <w:kinsoku/>
        <w:wordWrap/>
        <w:overflowPunct/>
        <w:topLinePunct w:val="0"/>
        <w:autoSpaceDE/>
        <w:autoSpaceDN/>
        <w:bidi w:val="0"/>
        <w:adjustRightInd/>
        <w:snapToGrid w:val="0"/>
        <w:spacing w:line="336" w:lineRule="auto"/>
        <w:ind w:right="0" w:rightChars="0"/>
        <w:textAlignment w:val="auto"/>
        <w:rPr>
          <w:rFonts w:hint="eastAsia" w:hAnsi="宋体"/>
          <w:sz w:val="21"/>
          <w:szCs w:val="21"/>
          <w:u w:val="none" w:color="auto"/>
        </w:rPr>
      </w:pPr>
      <w:r>
        <w:rPr>
          <w:rFonts w:hint="eastAsia" w:hAnsi="宋体"/>
          <w:sz w:val="21"/>
          <w:szCs w:val="21"/>
          <w:u w:val="none" w:color="auto"/>
        </w:rPr>
        <w:t xml:space="preserve">（2） </w:t>
      </w:r>
      <w:r>
        <w:rPr>
          <w:rFonts w:hint="eastAsia" w:hAnsi="宋体"/>
          <w:snapToGrid w:val="0"/>
          <w:sz w:val="21"/>
          <w:szCs w:val="21"/>
          <w:u w:val="none" w:color="auto"/>
        </w:rPr>
        <w:t>明显不符合磋商文件要求</w:t>
      </w:r>
      <w:r>
        <w:rPr>
          <w:rFonts w:hint="eastAsia" w:hAnsi="宋体"/>
          <w:sz w:val="21"/>
          <w:szCs w:val="21"/>
          <w:u w:val="none" w:color="auto"/>
        </w:rPr>
        <w:t>技术指标、主要功能项目发生实质性偏离的；或者磋商文件中标“★”的技术参数、条款（如有）发生实质性偏离的；</w:t>
      </w:r>
    </w:p>
    <w:p w14:paraId="78EF9074">
      <w:pPr>
        <w:pStyle w:val="9"/>
        <w:keepNext w:val="0"/>
        <w:keepLines w:val="0"/>
        <w:pageBreakBefore w:val="0"/>
        <w:widowControl w:val="0"/>
        <w:kinsoku/>
        <w:wordWrap/>
        <w:overflowPunct/>
        <w:topLinePunct w:val="0"/>
        <w:autoSpaceDE/>
        <w:autoSpaceDN/>
        <w:bidi w:val="0"/>
        <w:adjustRightInd/>
        <w:snapToGrid w:val="0"/>
        <w:spacing w:line="336" w:lineRule="auto"/>
        <w:ind w:right="0" w:rightChars="0"/>
        <w:textAlignment w:val="auto"/>
        <w:rPr>
          <w:rFonts w:hint="eastAsia" w:hAnsi="宋体"/>
          <w:sz w:val="21"/>
          <w:szCs w:val="21"/>
          <w:u w:val="none" w:color="auto"/>
        </w:rPr>
      </w:pPr>
      <w:r>
        <w:rPr>
          <w:rFonts w:hint="eastAsia" w:hAnsi="宋体"/>
          <w:sz w:val="21"/>
          <w:szCs w:val="21"/>
          <w:u w:val="none" w:color="auto"/>
        </w:rPr>
        <w:t>（3）投标技术方案不明确，存在一个或一个以上备选（替代）投标方案的。</w:t>
      </w:r>
    </w:p>
    <w:p w14:paraId="05ED410F">
      <w:pPr>
        <w:pStyle w:val="9"/>
        <w:keepNext w:val="0"/>
        <w:keepLines w:val="0"/>
        <w:pageBreakBefore w:val="0"/>
        <w:widowControl w:val="0"/>
        <w:kinsoku/>
        <w:wordWrap/>
        <w:overflowPunct/>
        <w:topLinePunct w:val="0"/>
        <w:autoSpaceDE/>
        <w:autoSpaceDN/>
        <w:bidi w:val="0"/>
        <w:adjustRightInd/>
        <w:snapToGrid w:val="0"/>
        <w:spacing w:line="336" w:lineRule="auto"/>
        <w:ind w:right="0" w:rightChars="0"/>
        <w:textAlignment w:val="auto"/>
        <w:rPr>
          <w:rFonts w:hint="eastAsia" w:hAnsi="宋体"/>
          <w:b/>
          <w:sz w:val="21"/>
          <w:szCs w:val="21"/>
          <w:u w:val="none" w:color="auto"/>
        </w:rPr>
      </w:pPr>
      <w:r>
        <w:rPr>
          <w:rFonts w:hint="eastAsia" w:hAnsi="宋体"/>
          <w:b/>
          <w:sz w:val="21"/>
          <w:szCs w:val="21"/>
          <w:u w:val="none" w:color="auto"/>
        </w:rPr>
        <w:t>3.在报价评审时，如发现下列情形之一的，投标文件将被视为无效：</w:t>
      </w:r>
    </w:p>
    <w:p w14:paraId="0B19D525">
      <w:pPr>
        <w:pStyle w:val="9"/>
        <w:keepNext w:val="0"/>
        <w:keepLines w:val="0"/>
        <w:pageBreakBefore w:val="0"/>
        <w:widowControl w:val="0"/>
        <w:kinsoku/>
        <w:wordWrap/>
        <w:overflowPunct/>
        <w:topLinePunct w:val="0"/>
        <w:autoSpaceDE/>
        <w:autoSpaceDN/>
        <w:bidi w:val="0"/>
        <w:adjustRightInd/>
        <w:snapToGrid w:val="0"/>
        <w:spacing w:line="336" w:lineRule="auto"/>
        <w:ind w:right="0" w:rightChars="0"/>
        <w:textAlignment w:val="auto"/>
        <w:rPr>
          <w:rFonts w:hint="eastAsia" w:hAnsi="宋体"/>
          <w:sz w:val="21"/>
          <w:szCs w:val="21"/>
          <w:u w:val="none" w:color="auto"/>
        </w:rPr>
      </w:pPr>
      <w:r>
        <w:rPr>
          <w:rFonts w:hint="eastAsia" w:hAnsi="宋体"/>
          <w:sz w:val="21"/>
          <w:szCs w:val="21"/>
          <w:u w:val="none" w:color="auto"/>
        </w:rPr>
        <w:t>（1）未采用人民币报价或者未按照磋商文件标明的币种报价的；</w:t>
      </w:r>
    </w:p>
    <w:p w14:paraId="7A191D10">
      <w:pPr>
        <w:pStyle w:val="9"/>
        <w:keepNext w:val="0"/>
        <w:keepLines w:val="0"/>
        <w:pageBreakBefore w:val="0"/>
        <w:widowControl w:val="0"/>
        <w:kinsoku/>
        <w:wordWrap/>
        <w:overflowPunct/>
        <w:topLinePunct w:val="0"/>
        <w:autoSpaceDE/>
        <w:autoSpaceDN/>
        <w:bidi w:val="0"/>
        <w:adjustRightInd/>
        <w:snapToGrid w:val="0"/>
        <w:spacing w:line="336" w:lineRule="auto"/>
        <w:ind w:right="0" w:rightChars="0"/>
        <w:textAlignment w:val="auto"/>
        <w:rPr>
          <w:rFonts w:hint="eastAsia" w:hAnsi="宋体"/>
          <w:sz w:val="21"/>
          <w:szCs w:val="21"/>
          <w:u w:val="none" w:color="auto"/>
        </w:rPr>
      </w:pPr>
      <w:r>
        <w:rPr>
          <w:rFonts w:hint="eastAsia" w:hAnsi="宋体"/>
          <w:sz w:val="21"/>
          <w:szCs w:val="21"/>
          <w:u w:val="none" w:color="auto"/>
        </w:rPr>
        <w:t>（2）投标报价超过预算金额的；</w:t>
      </w:r>
    </w:p>
    <w:p w14:paraId="0E4A56B6">
      <w:pPr>
        <w:pStyle w:val="9"/>
        <w:snapToGrid w:val="0"/>
        <w:spacing w:line="336" w:lineRule="auto"/>
        <w:ind w:right="-506" w:rightChars="-241"/>
        <w:rPr>
          <w:rFonts w:hint="eastAsia" w:hAnsi="宋体"/>
          <w:b/>
          <w:sz w:val="21"/>
          <w:szCs w:val="21"/>
          <w:u w:val="none" w:color="auto"/>
        </w:rPr>
      </w:pPr>
      <w:r>
        <w:rPr>
          <w:rFonts w:hint="eastAsia" w:hAnsi="宋体"/>
          <w:b/>
          <w:sz w:val="21"/>
          <w:szCs w:val="21"/>
          <w:u w:val="none" w:color="auto"/>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B903F1">
      <w:pPr>
        <w:pStyle w:val="9"/>
        <w:snapToGrid w:val="0"/>
        <w:spacing w:line="336" w:lineRule="auto"/>
        <w:ind w:right="-506" w:rightChars="-241"/>
        <w:rPr>
          <w:rFonts w:hint="eastAsia" w:hAnsi="宋体"/>
          <w:sz w:val="21"/>
          <w:szCs w:val="21"/>
          <w:u w:val="none" w:color="auto"/>
        </w:rPr>
      </w:pPr>
      <w:r>
        <w:rPr>
          <w:rFonts w:hint="eastAsia" w:hAnsi="宋体"/>
          <w:sz w:val="21"/>
          <w:szCs w:val="21"/>
          <w:u w:val="none" w:color="auto"/>
        </w:rPr>
        <w:t>（4）投标报价具有选择性，或者开标价格与投标文件承诺的优惠（折扣）价格不一致的。</w:t>
      </w:r>
    </w:p>
    <w:p w14:paraId="7E98E9E3">
      <w:pPr>
        <w:pStyle w:val="63"/>
        <w:snapToGrid w:val="0"/>
        <w:spacing w:line="360" w:lineRule="auto"/>
        <w:ind w:right="-86" w:rightChars="-41" w:firstLine="510" w:firstLineChars="242"/>
        <w:rPr>
          <w:rFonts w:hint="eastAsia" w:asciiTheme="minorEastAsia" w:hAnsiTheme="minorEastAsia" w:eastAsiaTheme="minorEastAsia"/>
          <w:b/>
          <w:sz w:val="24"/>
          <w:szCs w:val="24"/>
          <w:u w:val="none" w:color="auto"/>
        </w:rPr>
      </w:pPr>
      <w:r>
        <w:rPr>
          <w:rFonts w:hint="eastAsia" w:asciiTheme="minorEastAsia" w:hAnsiTheme="minorEastAsia" w:eastAsiaTheme="minorEastAsia"/>
          <w:b/>
          <w:bCs/>
          <w:szCs w:val="21"/>
          <w:u w:val="none" w:color="auto"/>
          <w:lang w:val="en-US" w:eastAsia="zh-CN"/>
        </w:rPr>
        <w:t>4</w:t>
      </w:r>
      <w:r>
        <w:rPr>
          <w:rFonts w:hint="eastAsia" w:asciiTheme="minorEastAsia" w:hAnsiTheme="minorEastAsia" w:eastAsiaTheme="minorEastAsia"/>
          <w:b/>
          <w:bCs/>
          <w:szCs w:val="21"/>
          <w:u w:val="none" w:color="auto"/>
        </w:rPr>
        <w:t>.</w:t>
      </w:r>
      <w:r>
        <w:rPr>
          <w:rFonts w:hint="eastAsia" w:asciiTheme="minorEastAsia" w:hAnsiTheme="minorEastAsia" w:eastAsiaTheme="minorEastAsia"/>
          <w:szCs w:val="21"/>
          <w:u w:val="none" w:color="auto"/>
        </w:rPr>
        <w:t>法律、法规和磋商文件规定的其他无效情形。</w:t>
      </w:r>
    </w:p>
    <w:p w14:paraId="4910E02A">
      <w:pPr>
        <w:pStyle w:val="63"/>
        <w:snapToGrid w:val="0"/>
        <w:spacing w:line="240" w:lineRule="auto"/>
        <w:ind w:right="-86" w:rightChars="-41" w:firstLine="0"/>
        <w:rPr>
          <w:rFonts w:hint="eastAsia" w:hAnsi="宋体"/>
          <w:sz w:val="24"/>
          <w:szCs w:val="24"/>
          <w:u w:val="none" w:color="auto"/>
        </w:rPr>
      </w:pPr>
      <w:r>
        <w:rPr>
          <w:rFonts w:hint="eastAsia" w:ascii="宋体" w:hAnsi="宋体" w:eastAsia="宋体" w:cs="Times New Roman"/>
          <w:b/>
          <w:spacing w:val="-4"/>
          <w:kern w:val="0"/>
          <w:sz w:val="24"/>
          <w:szCs w:val="24"/>
          <w:u w:val="none" w:color="auto"/>
          <w:lang w:val="en-US" w:eastAsia="zh-CN" w:bidi="ar-SA"/>
        </w:rPr>
        <w:t>（九）出现以下情形，导致电子交易平台无法正常运行，或者无法保证电子交易的公平、公正和安全时，中止电子交易活动：</w:t>
      </w:r>
    </w:p>
    <w:p w14:paraId="227E3FD4">
      <w:pPr>
        <w:pStyle w:val="63"/>
        <w:snapToGrid w:val="0"/>
        <w:spacing w:line="360" w:lineRule="auto"/>
        <w:ind w:right="-86" w:rightChars="-41" w:firstLine="438" w:firstLineChars="209"/>
        <w:rPr>
          <w:rFonts w:hint="eastAsia" w:hAnsi="宋体"/>
          <w:u w:val="none" w:color="auto"/>
        </w:rPr>
      </w:pPr>
      <w:r>
        <w:rPr>
          <w:rFonts w:hint="eastAsia" w:hAnsi="宋体"/>
          <w:u w:val="none" w:color="auto"/>
        </w:rPr>
        <w:t>（一）电子交易平台发生故障而无法登录访问的；</w:t>
      </w:r>
    </w:p>
    <w:p w14:paraId="42256E28">
      <w:pPr>
        <w:pStyle w:val="63"/>
        <w:snapToGrid w:val="0"/>
        <w:spacing w:line="360" w:lineRule="auto"/>
        <w:ind w:right="-86" w:rightChars="-41" w:firstLine="438" w:firstLineChars="209"/>
        <w:rPr>
          <w:rFonts w:hint="eastAsia" w:hAnsi="宋体"/>
          <w:u w:val="none" w:color="auto"/>
        </w:rPr>
      </w:pPr>
      <w:r>
        <w:rPr>
          <w:rFonts w:hint="eastAsia" w:hAnsi="宋体"/>
          <w:u w:val="none" w:color="auto"/>
        </w:rPr>
        <w:t>（二）电子交易平台应用或数据库出现错误，不能进行正常操作的；</w:t>
      </w:r>
    </w:p>
    <w:p w14:paraId="798BDC25">
      <w:pPr>
        <w:pStyle w:val="63"/>
        <w:snapToGrid w:val="0"/>
        <w:spacing w:line="360" w:lineRule="auto"/>
        <w:ind w:right="-86" w:rightChars="-41" w:firstLine="438" w:firstLineChars="209"/>
        <w:rPr>
          <w:rFonts w:hint="eastAsia" w:hAnsi="宋体"/>
          <w:u w:val="none" w:color="auto"/>
        </w:rPr>
      </w:pPr>
      <w:r>
        <w:rPr>
          <w:rFonts w:hint="eastAsia" w:hAnsi="宋体"/>
          <w:u w:val="none" w:color="auto"/>
        </w:rPr>
        <w:t>（三）电子交易平台发现严重安全漏洞，有潜在泄密危险的；</w:t>
      </w:r>
    </w:p>
    <w:p w14:paraId="4FA816F3">
      <w:pPr>
        <w:pStyle w:val="63"/>
        <w:snapToGrid w:val="0"/>
        <w:spacing w:line="360" w:lineRule="auto"/>
        <w:ind w:right="-86" w:rightChars="-41" w:firstLine="438" w:firstLineChars="209"/>
        <w:rPr>
          <w:rFonts w:hint="eastAsia" w:hAnsi="宋体"/>
          <w:u w:val="none" w:color="auto"/>
        </w:rPr>
      </w:pPr>
      <w:r>
        <w:rPr>
          <w:rFonts w:hint="eastAsia" w:hAnsi="宋体"/>
          <w:u w:val="none" w:color="auto"/>
        </w:rPr>
        <w:t>（四）病毒发作导致不能进行正常操作的；</w:t>
      </w:r>
    </w:p>
    <w:p w14:paraId="081F284E">
      <w:pPr>
        <w:pStyle w:val="63"/>
        <w:snapToGrid w:val="0"/>
        <w:spacing w:line="360" w:lineRule="auto"/>
        <w:ind w:right="-86" w:rightChars="-41" w:firstLine="438" w:firstLineChars="209"/>
        <w:rPr>
          <w:rFonts w:hint="eastAsia" w:hAnsi="宋体"/>
          <w:u w:val="none" w:color="auto"/>
        </w:rPr>
      </w:pPr>
      <w:r>
        <w:rPr>
          <w:rFonts w:hint="eastAsia" w:hAnsi="宋体"/>
          <w:u w:val="none" w:color="auto"/>
        </w:rPr>
        <w:t>（五）其他无法保证电子交易的公平、公正和安全的情况。</w:t>
      </w:r>
    </w:p>
    <w:p w14:paraId="1CB4699D">
      <w:pPr>
        <w:pStyle w:val="63"/>
        <w:snapToGrid w:val="0"/>
        <w:spacing w:line="360" w:lineRule="auto"/>
        <w:ind w:right="-86" w:rightChars="-41" w:firstLine="438" w:firstLineChars="209"/>
        <w:rPr>
          <w:rFonts w:hint="eastAsia" w:hAnsi="宋体"/>
          <w:u w:val="none" w:color="auto"/>
        </w:rPr>
      </w:pPr>
      <w:r>
        <w:rPr>
          <w:rFonts w:hint="eastAsia" w:hAnsi="宋体"/>
          <w:u w:val="none" w:color="auto"/>
        </w:rPr>
        <w:t>出现前款规定情形，不影响采购公平、公正性的，代理机构可以待上述情形消除后继续组织电子交易活动，也可以决定某些环节以纸质形式进行；影响或可能影响采购公平、公正性的，重新采购。</w:t>
      </w:r>
    </w:p>
    <w:p w14:paraId="14E86506">
      <w:pPr>
        <w:pStyle w:val="9"/>
        <w:snapToGrid w:val="0"/>
        <w:spacing w:line="336" w:lineRule="auto"/>
        <w:ind w:right="-241" w:firstLine="0"/>
        <w:rPr>
          <w:rFonts w:hint="eastAsia" w:hAnsi="宋体"/>
          <w:b/>
          <w:sz w:val="28"/>
          <w:u w:val="none" w:color="auto"/>
        </w:rPr>
      </w:pPr>
      <w:r>
        <w:rPr>
          <w:rFonts w:hint="eastAsia" w:hAnsi="宋体"/>
          <w:b/>
          <w:sz w:val="24"/>
          <w:u w:val="none" w:color="auto"/>
        </w:rPr>
        <w:t>（十）被拒绝的投标文件为无效。</w:t>
      </w:r>
    </w:p>
    <w:p w14:paraId="5048E014">
      <w:pPr>
        <w:pStyle w:val="9"/>
        <w:snapToGrid w:val="0"/>
        <w:spacing w:line="360" w:lineRule="auto"/>
        <w:ind w:firstLine="300" w:firstLineChars="110"/>
        <w:jc w:val="center"/>
        <w:outlineLvl w:val="1"/>
        <w:rPr>
          <w:rFonts w:hint="eastAsia" w:hAnsi="宋体"/>
          <w:b/>
          <w:snapToGrid w:val="0"/>
          <w:sz w:val="28"/>
          <w:u w:val="none" w:color="auto"/>
        </w:rPr>
      </w:pPr>
      <w:r>
        <w:rPr>
          <w:rFonts w:hint="eastAsia" w:hAnsi="宋体"/>
          <w:b/>
          <w:sz w:val="28"/>
          <w:u w:val="none" w:color="auto"/>
        </w:rPr>
        <w:t>四、开标</w:t>
      </w:r>
    </w:p>
    <w:p w14:paraId="4B559C34">
      <w:pPr>
        <w:pStyle w:val="12"/>
        <w:keepNext w:val="0"/>
        <w:keepLines w:val="0"/>
        <w:pageBreakBefore w:val="0"/>
        <w:widowControl w:val="0"/>
        <w:kinsoku/>
        <w:wordWrap/>
        <w:overflowPunct/>
        <w:topLinePunct w:val="0"/>
        <w:autoSpaceDE/>
        <w:autoSpaceDN/>
        <w:bidi w:val="0"/>
        <w:snapToGrid w:val="0"/>
        <w:spacing w:line="360" w:lineRule="auto"/>
        <w:ind w:right="0"/>
        <w:textAlignment w:val="auto"/>
        <w:rPr>
          <w:rFonts w:hint="eastAsia" w:asciiTheme="minorEastAsia" w:hAnsiTheme="minorEastAsia" w:eastAsiaTheme="minorEastAsia"/>
          <w:b/>
          <w:sz w:val="24"/>
          <w:u w:val="none" w:color="auto"/>
        </w:rPr>
      </w:pPr>
      <w:r>
        <w:rPr>
          <w:rFonts w:hint="eastAsia" w:asciiTheme="minorEastAsia" w:hAnsiTheme="minorEastAsia" w:eastAsiaTheme="minorEastAsia"/>
          <w:b/>
          <w:sz w:val="24"/>
          <w:u w:val="none" w:color="auto"/>
        </w:rPr>
        <w:t>（一）电子招投标开标及评审程序</w:t>
      </w:r>
    </w:p>
    <w:p w14:paraId="634F67EC">
      <w:pPr>
        <w:keepNext w:val="0"/>
        <w:keepLines w:val="0"/>
        <w:pageBreakBefore w:val="0"/>
        <w:widowControl w:val="0"/>
        <w:kinsoku/>
        <w:wordWrap/>
        <w:overflowPunct/>
        <w:topLinePunct w:val="0"/>
        <w:autoSpaceDE/>
        <w:autoSpaceDN/>
        <w:bidi w:val="0"/>
        <w:adjustRightInd w:val="0"/>
        <w:snapToGrid w:val="0"/>
        <w:spacing w:line="360" w:lineRule="auto"/>
        <w:ind w:right="0" w:firstLine="420" w:firstLineChars="200"/>
        <w:jc w:val="left"/>
        <w:textAlignment w:val="auto"/>
        <w:rPr>
          <w:rFonts w:hint="eastAsia" w:asciiTheme="minorEastAsia" w:hAnsiTheme="minorEastAsia" w:eastAsiaTheme="minorEastAsia"/>
          <w:szCs w:val="21"/>
          <w:u w:val="none" w:color="auto"/>
        </w:rPr>
      </w:pPr>
      <w:r>
        <w:rPr>
          <w:rFonts w:hint="eastAsia" w:asciiTheme="minorEastAsia" w:hAnsiTheme="minorEastAsia" w:eastAsiaTheme="minorEastAsia"/>
          <w:szCs w:val="21"/>
          <w:u w:val="none" w:color="auto"/>
        </w:rPr>
        <w:t>1.采购组织机构按照规定的时间通过政采云系统组织开标、开启投标文件，所有投标人均应当准时在线参加；</w:t>
      </w:r>
    </w:p>
    <w:p w14:paraId="6082BBA1">
      <w:pPr>
        <w:keepNext w:val="0"/>
        <w:keepLines w:val="0"/>
        <w:pageBreakBefore w:val="0"/>
        <w:widowControl w:val="0"/>
        <w:kinsoku/>
        <w:wordWrap/>
        <w:overflowPunct/>
        <w:topLinePunct w:val="0"/>
        <w:autoSpaceDE/>
        <w:autoSpaceDN/>
        <w:bidi w:val="0"/>
        <w:adjustRightInd w:val="0"/>
        <w:snapToGrid w:val="0"/>
        <w:spacing w:line="360" w:lineRule="auto"/>
        <w:ind w:right="0" w:firstLine="420" w:firstLineChars="200"/>
        <w:jc w:val="left"/>
        <w:textAlignment w:val="auto"/>
        <w:rPr>
          <w:rFonts w:hint="eastAsia" w:asciiTheme="minorEastAsia" w:hAnsiTheme="minorEastAsia" w:eastAsiaTheme="minorEastAsia"/>
          <w:szCs w:val="21"/>
          <w:u w:val="none" w:color="auto"/>
        </w:rPr>
      </w:pPr>
      <w:r>
        <w:rPr>
          <w:rFonts w:hint="eastAsia" w:asciiTheme="minorEastAsia" w:hAnsiTheme="minorEastAsia" w:eastAsiaTheme="minorEastAsia"/>
          <w:szCs w:val="21"/>
          <w:u w:val="none" w:color="auto"/>
        </w:rPr>
        <w:t>2.投标截止时间后，投标人登录政采云平台，用“项目采购-开标评标”功能对电子投标文件进行</w:t>
      </w:r>
      <w:r>
        <w:rPr>
          <w:rFonts w:hint="eastAsia" w:asciiTheme="minorEastAsia" w:hAnsiTheme="minorEastAsia" w:eastAsiaTheme="minorEastAsia"/>
          <w:b/>
          <w:bCs/>
          <w:szCs w:val="21"/>
          <w:u w:val="none" w:color="auto"/>
        </w:rPr>
        <w:t>在线解密。</w:t>
      </w:r>
      <w:r>
        <w:rPr>
          <w:rFonts w:hint="eastAsia" w:asciiTheme="minorEastAsia" w:hAnsiTheme="minorEastAsia" w:eastAsiaTheme="minorEastAsia"/>
          <w:szCs w:val="21"/>
          <w:u w:val="none" w:color="auto"/>
        </w:rPr>
        <w:t>在线解密电子投标文件时间</w:t>
      </w:r>
      <w:r>
        <w:rPr>
          <w:rFonts w:hint="eastAsia" w:asciiTheme="minorEastAsia" w:hAnsiTheme="minorEastAsia" w:eastAsiaTheme="minorEastAsia"/>
          <w:b/>
          <w:bCs/>
          <w:szCs w:val="21"/>
          <w:u w:val="none" w:color="auto"/>
        </w:rPr>
        <w:t>为开标时间起半个小时内；</w:t>
      </w:r>
    </w:p>
    <w:p w14:paraId="4050331B">
      <w:pPr>
        <w:pStyle w:val="9"/>
        <w:keepNext w:val="0"/>
        <w:keepLines w:val="0"/>
        <w:pageBreakBefore w:val="0"/>
        <w:widowControl w:val="0"/>
        <w:kinsoku/>
        <w:wordWrap/>
        <w:overflowPunct/>
        <w:topLinePunct w:val="0"/>
        <w:autoSpaceDE/>
        <w:autoSpaceDN/>
        <w:bidi w:val="0"/>
        <w:snapToGrid w:val="0"/>
        <w:spacing w:line="360" w:lineRule="auto"/>
        <w:ind w:right="0"/>
        <w:textAlignment w:val="auto"/>
        <w:rPr>
          <w:rFonts w:hint="eastAsia" w:asciiTheme="minorEastAsia" w:hAnsiTheme="minorEastAsia" w:eastAsiaTheme="minorEastAsia"/>
          <w:sz w:val="21"/>
          <w:szCs w:val="21"/>
          <w:u w:val="none" w:color="auto"/>
        </w:rPr>
      </w:pPr>
      <w:r>
        <w:rPr>
          <w:rFonts w:hint="eastAsia" w:asciiTheme="minorEastAsia" w:hAnsiTheme="minorEastAsia" w:eastAsiaTheme="minorEastAsia"/>
          <w:sz w:val="21"/>
          <w:szCs w:val="21"/>
          <w:u w:val="none" w:color="auto"/>
        </w:rPr>
        <w:t>3.磋商小组对商务技术投标文件进行评审；</w:t>
      </w:r>
    </w:p>
    <w:p w14:paraId="7190ECAC">
      <w:pPr>
        <w:pStyle w:val="9"/>
        <w:keepNext w:val="0"/>
        <w:keepLines w:val="0"/>
        <w:pageBreakBefore w:val="0"/>
        <w:widowControl w:val="0"/>
        <w:kinsoku/>
        <w:wordWrap/>
        <w:overflowPunct/>
        <w:topLinePunct w:val="0"/>
        <w:autoSpaceDE/>
        <w:autoSpaceDN/>
        <w:bidi w:val="0"/>
        <w:snapToGrid w:val="0"/>
        <w:spacing w:line="360" w:lineRule="auto"/>
        <w:ind w:right="0"/>
        <w:textAlignment w:val="auto"/>
        <w:rPr>
          <w:rFonts w:hint="eastAsia" w:asciiTheme="minorEastAsia" w:hAnsiTheme="minorEastAsia" w:eastAsiaTheme="minorEastAsia"/>
          <w:sz w:val="21"/>
          <w:szCs w:val="21"/>
          <w:u w:val="none" w:color="auto"/>
        </w:rPr>
      </w:pPr>
      <w:r>
        <w:rPr>
          <w:rFonts w:hint="eastAsia" w:asciiTheme="minorEastAsia" w:hAnsiTheme="minorEastAsia" w:eastAsiaTheme="minorEastAsia"/>
          <w:sz w:val="21"/>
          <w:szCs w:val="21"/>
          <w:u w:val="none" w:color="auto"/>
        </w:rPr>
        <w:t>4.磋商小组所有成员集中与单一投标人进行磋商；同时进行报价；</w:t>
      </w:r>
    </w:p>
    <w:p w14:paraId="158E57B3">
      <w:pPr>
        <w:pStyle w:val="9"/>
        <w:keepNext w:val="0"/>
        <w:keepLines w:val="0"/>
        <w:pageBreakBefore w:val="0"/>
        <w:widowControl w:val="0"/>
        <w:kinsoku/>
        <w:wordWrap/>
        <w:overflowPunct/>
        <w:topLinePunct w:val="0"/>
        <w:autoSpaceDE/>
        <w:autoSpaceDN/>
        <w:bidi w:val="0"/>
        <w:snapToGrid w:val="0"/>
        <w:spacing w:line="360" w:lineRule="auto"/>
        <w:ind w:right="0"/>
        <w:textAlignment w:val="auto"/>
        <w:rPr>
          <w:rFonts w:hint="eastAsia" w:asciiTheme="minorEastAsia" w:hAnsiTheme="minorEastAsia" w:eastAsiaTheme="minorEastAsia"/>
          <w:sz w:val="21"/>
          <w:szCs w:val="21"/>
          <w:u w:val="none" w:color="auto"/>
        </w:rPr>
      </w:pPr>
      <w:r>
        <w:rPr>
          <w:rFonts w:hint="eastAsia" w:asciiTheme="minorEastAsia" w:hAnsiTheme="minorEastAsia" w:eastAsiaTheme="minorEastAsia"/>
          <w:sz w:val="21"/>
          <w:szCs w:val="21"/>
          <w:u w:val="none" w:color="auto"/>
        </w:rPr>
        <w:t>5.在系统上公布评审结果。</w:t>
      </w:r>
    </w:p>
    <w:p w14:paraId="3FFCEAFF">
      <w:pPr>
        <w:pStyle w:val="9"/>
        <w:keepNext w:val="0"/>
        <w:keepLines w:val="0"/>
        <w:pageBreakBefore w:val="0"/>
        <w:widowControl w:val="0"/>
        <w:kinsoku/>
        <w:wordWrap/>
        <w:overflowPunct/>
        <w:topLinePunct w:val="0"/>
        <w:autoSpaceDE/>
        <w:autoSpaceDN/>
        <w:bidi w:val="0"/>
        <w:snapToGrid w:val="0"/>
        <w:spacing w:line="360" w:lineRule="auto"/>
        <w:ind w:right="0"/>
        <w:textAlignment w:val="auto"/>
        <w:rPr>
          <w:rFonts w:hint="eastAsia" w:asciiTheme="minorEastAsia" w:hAnsiTheme="minorEastAsia" w:eastAsiaTheme="minorEastAsia"/>
          <w:b/>
          <w:bCs/>
          <w:sz w:val="21"/>
          <w:szCs w:val="21"/>
          <w:u w:val="none" w:color="auto"/>
        </w:rPr>
      </w:pPr>
      <w:r>
        <w:rPr>
          <w:rFonts w:hint="eastAsia" w:asciiTheme="minorEastAsia" w:hAnsiTheme="minorEastAsia" w:eastAsiaTheme="minorEastAsia"/>
          <w:b/>
          <w:bCs/>
          <w:sz w:val="21"/>
          <w:szCs w:val="21"/>
          <w:u w:val="none" w:color="auto"/>
        </w:rPr>
        <w:t>特别说明：政采云公司如对电子化开标及评审程序有调整的，按调整后的程序操作。</w:t>
      </w:r>
    </w:p>
    <w:p w14:paraId="531166A5">
      <w:pPr>
        <w:pStyle w:val="2"/>
        <w:keepNext w:val="0"/>
        <w:keepLines w:val="0"/>
        <w:pageBreakBefore w:val="0"/>
        <w:widowControl w:val="0"/>
        <w:kinsoku/>
        <w:wordWrap/>
        <w:overflowPunct/>
        <w:topLinePunct w:val="0"/>
        <w:autoSpaceDE/>
        <w:autoSpaceDN/>
        <w:bidi w:val="0"/>
        <w:spacing w:after="0" w:line="360" w:lineRule="auto"/>
        <w:ind w:right="0"/>
        <w:textAlignment w:val="auto"/>
        <w:rPr>
          <w:rFonts w:hint="eastAsia" w:asciiTheme="minorEastAsia" w:hAnsiTheme="minorEastAsia" w:eastAsiaTheme="minorEastAsia"/>
          <w:b/>
          <w:bCs/>
          <w:spacing w:val="4"/>
          <w:sz w:val="24"/>
          <w:szCs w:val="24"/>
          <w:u w:val="none" w:color="auto"/>
        </w:rPr>
      </w:pPr>
      <w:r>
        <w:rPr>
          <w:rFonts w:hint="eastAsia" w:asciiTheme="minorEastAsia" w:hAnsiTheme="minorEastAsia" w:eastAsiaTheme="minorEastAsia"/>
          <w:b/>
          <w:kern w:val="0"/>
          <w:sz w:val="24"/>
          <w:szCs w:val="24"/>
          <w:u w:val="none" w:color="auto"/>
        </w:rPr>
        <w:t>（二）本项目原则上采用政采云电子招投标开标及评审程序，但有下情形之一的，按以下情况处理：</w:t>
      </w:r>
    </w:p>
    <w:p w14:paraId="614145AE">
      <w:pPr>
        <w:pStyle w:val="2"/>
        <w:keepNext w:val="0"/>
        <w:keepLines w:val="0"/>
        <w:pageBreakBefore w:val="0"/>
        <w:widowControl w:val="0"/>
        <w:kinsoku/>
        <w:wordWrap/>
        <w:overflowPunct/>
        <w:topLinePunct w:val="0"/>
        <w:autoSpaceDE/>
        <w:autoSpaceDN/>
        <w:bidi w:val="0"/>
        <w:spacing w:after="0" w:line="336" w:lineRule="auto"/>
        <w:ind w:right="0" w:firstLine="420"/>
        <w:textAlignment w:val="auto"/>
        <w:rPr>
          <w:rFonts w:hint="eastAsia" w:asciiTheme="minorEastAsia" w:hAnsiTheme="minorEastAsia" w:eastAsiaTheme="minorEastAsia"/>
          <w:b/>
          <w:sz w:val="28"/>
          <w:szCs w:val="28"/>
          <w:u w:val="none" w:color="auto"/>
        </w:rPr>
      </w:pPr>
      <w:r>
        <w:rPr>
          <w:rFonts w:hint="eastAsia" w:asciiTheme="minorEastAsia" w:hAnsiTheme="minorEastAsia" w:eastAsiaTheme="minorEastAsia"/>
          <w:sz w:val="21"/>
          <w:szCs w:val="21"/>
          <w:u w:val="none" w:color="auto"/>
        </w:rPr>
        <w:t>1.若投标人在规定时间内无法解密或解密失败，采购组织机构将开启所有投标人递交的以介质存储云平台项目采购模块，以完成开标，采用电子投标文件的数据电文形式的备份投标文件后，上传至政采云的投标文件自动失效。</w:t>
      </w:r>
    </w:p>
    <w:p w14:paraId="2088DEDA">
      <w:pPr>
        <w:pStyle w:val="12"/>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hint="eastAsia" w:asciiTheme="minorEastAsia" w:hAnsiTheme="minorEastAsia" w:eastAsiaTheme="minorEastAsia"/>
          <w:b/>
          <w:sz w:val="28"/>
          <w:szCs w:val="28"/>
          <w:u w:val="none" w:color="auto"/>
        </w:rPr>
      </w:pPr>
    </w:p>
    <w:p w14:paraId="4CAECFA2">
      <w:pPr>
        <w:pStyle w:val="12"/>
        <w:keepNext w:val="0"/>
        <w:keepLines w:val="0"/>
        <w:pageBreakBefore w:val="0"/>
        <w:widowControl w:val="0"/>
        <w:kinsoku/>
        <w:wordWrap/>
        <w:overflowPunct/>
        <w:topLinePunct w:val="0"/>
        <w:autoSpaceDE/>
        <w:autoSpaceDN/>
        <w:bidi w:val="0"/>
        <w:adjustRightInd/>
        <w:snapToGrid w:val="0"/>
        <w:spacing w:line="360" w:lineRule="auto"/>
        <w:ind w:left="0" w:leftChars="0" w:firstLine="3233" w:firstLineChars="1150"/>
        <w:textAlignment w:val="auto"/>
        <w:outlineLvl w:val="1"/>
        <w:rPr>
          <w:rFonts w:hint="eastAsia" w:asciiTheme="minorEastAsia" w:hAnsiTheme="minorEastAsia" w:eastAsiaTheme="minorEastAsia"/>
          <w:b/>
          <w:sz w:val="28"/>
          <w:szCs w:val="28"/>
          <w:u w:val="none" w:color="auto"/>
        </w:rPr>
      </w:pPr>
      <w:r>
        <w:rPr>
          <w:rFonts w:hint="eastAsia" w:asciiTheme="minorEastAsia" w:hAnsiTheme="minorEastAsia" w:eastAsiaTheme="minorEastAsia"/>
          <w:b/>
          <w:sz w:val="28"/>
          <w:szCs w:val="28"/>
          <w:u w:val="none" w:color="auto"/>
        </w:rPr>
        <w:t>五、评  标</w:t>
      </w:r>
    </w:p>
    <w:p w14:paraId="1DB493B3">
      <w:pPr>
        <w:pStyle w:val="12"/>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Theme="minorEastAsia" w:hAnsiTheme="minorEastAsia" w:eastAsiaTheme="minorEastAsia"/>
          <w:b/>
          <w:sz w:val="24"/>
          <w:u w:val="none" w:color="auto"/>
        </w:rPr>
      </w:pPr>
      <w:r>
        <w:rPr>
          <w:rFonts w:hint="eastAsia" w:asciiTheme="minorEastAsia" w:hAnsiTheme="minorEastAsia" w:eastAsiaTheme="minorEastAsia"/>
          <w:b/>
          <w:sz w:val="24"/>
          <w:u w:val="none" w:color="auto"/>
        </w:rPr>
        <w:t>（一）组建磋商小组</w:t>
      </w:r>
    </w:p>
    <w:p w14:paraId="2B94D8B3">
      <w:pPr>
        <w:pStyle w:val="12"/>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Theme="minorEastAsia" w:hAnsiTheme="minorEastAsia" w:eastAsiaTheme="minorEastAsia"/>
          <w:sz w:val="21"/>
          <w:u w:val="none" w:color="auto"/>
        </w:rPr>
      </w:pPr>
      <w:r>
        <w:rPr>
          <w:rFonts w:hint="eastAsia" w:asciiTheme="minorEastAsia" w:hAnsiTheme="minorEastAsia" w:eastAsiaTheme="minorEastAsia"/>
          <w:sz w:val="21"/>
          <w:u w:val="none" w:color="auto"/>
        </w:rPr>
        <w:t>本项目磋商小组由采购人代表和评审专家共3人（含）以上单数组成，其中评审专家人数不得少于磋商小组成员总数的2/3。</w:t>
      </w:r>
    </w:p>
    <w:p w14:paraId="17A393BD">
      <w:pPr>
        <w:pStyle w:val="12"/>
        <w:keepNext w:val="0"/>
        <w:keepLines w:val="0"/>
        <w:pageBreakBefore w:val="0"/>
        <w:widowControl w:val="0"/>
        <w:kinsoku/>
        <w:wordWrap/>
        <w:overflowPunct/>
        <w:topLinePunct w:val="0"/>
        <w:autoSpaceDE/>
        <w:autoSpaceDN/>
        <w:bidi w:val="0"/>
        <w:adjustRightInd/>
        <w:snapToGrid w:val="0"/>
        <w:spacing w:line="420" w:lineRule="exact"/>
        <w:ind w:left="0" w:leftChars="0"/>
        <w:textAlignment w:val="auto"/>
        <w:rPr>
          <w:rFonts w:hint="eastAsia" w:asciiTheme="minorEastAsia" w:hAnsiTheme="minorEastAsia" w:eastAsiaTheme="minorEastAsia"/>
          <w:sz w:val="24"/>
          <w:u w:val="none" w:color="auto"/>
        </w:rPr>
      </w:pPr>
      <w:r>
        <w:rPr>
          <w:rFonts w:hint="eastAsia" w:asciiTheme="minorEastAsia" w:hAnsiTheme="minorEastAsia" w:eastAsiaTheme="minorEastAsia"/>
          <w:b/>
          <w:sz w:val="24"/>
          <w:u w:val="none" w:color="auto"/>
        </w:rPr>
        <w:t>（二）评标程序</w:t>
      </w:r>
    </w:p>
    <w:p w14:paraId="6908F394">
      <w:pPr>
        <w:keepNext w:val="0"/>
        <w:keepLines w:val="0"/>
        <w:pageBreakBefore w:val="0"/>
        <w:widowControl w:val="0"/>
        <w:kinsoku/>
        <w:wordWrap/>
        <w:overflowPunct/>
        <w:topLinePunct w:val="0"/>
        <w:autoSpaceDE/>
        <w:autoSpaceDN/>
        <w:bidi w:val="0"/>
        <w:adjustRightInd/>
        <w:spacing w:line="420" w:lineRule="exact"/>
        <w:ind w:left="0" w:leftChars="0" w:firstLine="420" w:firstLineChars="200"/>
        <w:textAlignment w:val="auto"/>
        <w:rPr>
          <w:rFonts w:hint="eastAsia" w:cs="Arial" w:asciiTheme="minorEastAsia" w:hAnsiTheme="minorEastAsia" w:eastAsiaTheme="minorEastAsia"/>
          <w:szCs w:val="21"/>
          <w:u w:val="none" w:color="auto"/>
        </w:rPr>
      </w:pPr>
      <w:r>
        <w:rPr>
          <w:rFonts w:hint="eastAsia" w:cs="Arial" w:asciiTheme="minorEastAsia" w:hAnsiTheme="minorEastAsia" w:eastAsiaTheme="minorEastAsia"/>
          <w:szCs w:val="21"/>
          <w:u w:val="none" w:color="auto"/>
        </w:rPr>
        <w:t>1.资格审查</w:t>
      </w:r>
    </w:p>
    <w:p w14:paraId="2BEACCDF">
      <w:pPr>
        <w:keepNext w:val="0"/>
        <w:keepLines w:val="0"/>
        <w:pageBreakBefore w:val="0"/>
        <w:widowControl w:val="0"/>
        <w:kinsoku/>
        <w:wordWrap/>
        <w:overflowPunct/>
        <w:topLinePunct w:val="0"/>
        <w:autoSpaceDE/>
        <w:autoSpaceDN/>
        <w:bidi w:val="0"/>
        <w:adjustRightInd/>
        <w:spacing w:line="420" w:lineRule="exact"/>
        <w:ind w:left="0" w:leftChars="0" w:firstLine="420" w:firstLineChars="200"/>
        <w:textAlignment w:val="auto"/>
        <w:rPr>
          <w:rFonts w:hint="eastAsia" w:cs="宋体" w:asciiTheme="minorEastAsia" w:hAnsiTheme="minorEastAsia" w:eastAsiaTheme="minorEastAsia"/>
          <w:kern w:val="0"/>
          <w:szCs w:val="21"/>
          <w:u w:val="none" w:color="auto"/>
        </w:rPr>
      </w:pPr>
      <w:r>
        <w:rPr>
          <w:rFonts w:hint="eastAsia" w:cs="宋体" w:asciiTheme="minorEastAsia" w:hAnsiTheme="minorEastAsia" w:eastAsiaTheme="minorEastAsia"/>
          <w:kern w:val="0"/>
          <w:szCs w:val="21"/>
          <w:u w:val="none" w:color="auto"/>
        </w:rPr>
        <w:t>评标委员会审查投标文件的实质性内容是否符合磋商文件的实质性要求。</w:t>
      </w:r>
    </w:p>
    <w:p w14:paraId="35ADE372">
      <w:pPr>
        <w:keepNext w:val="0"/>
        <w:keepLines w:val="0"/>
        <w:pageBreakBefore w:val="0"/>
        <w:widowControl w:val="0"/>
        <w:kinsoku/>
        <w:wordWrap/>
        <w:overflowPunct/>
        <w:topLinePunct w:val="0"/>
        <w:autoSpaceDE/>
        <w:autoSpaceDN/>
        <w:bidi w:val="0"/>
        <w:adjustRightInd/>
        <w:spacing w:line="420" w:lineRule="exact"/>
        <w:ind w:left="0" w:leftChars="0" w:firstLine="420" w:firstLineChars="200"/>
        <w:textAlignment w:val="auto"/>
        <w:rPr>
          <w:rFonts w:hint="eastAsia" w:cs="Arial" w:asciiTheme="minorEastAsia" w:hAnsiTheme="minorEastAsia" w:eastAsiaTheme="minorEastAsia"/>
          <w:szCs w:val="21"/>
          <w:u w:val="none" w:color="auto"/>
        </w:rPr>
      </w:pPr>
      <w:r>
        <w:rPr>
          <w:rFonts w:hint="eastAsia" w:cs="Arial" w:asciiTheme="minorEastAsia" w:hAnsiTheme="minorEastAsia" w:eastAsiaTheme="minorEastAsia"/>
          <w:szCs w:val="21"/>
          <w:u w:val="none" w:color="auto"/>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3E0BBCAE">
      <w:pPr>
        <w:keepNext w:val="0"/>
        <w:keepLines w:val="0"/>
        <w:pageBreakBefore w:val="0"/>
        <w:widowControl w:val="0"/>
        <w:kinsoku/>
        <w:wordWrap/>
        <w:overflowPunct/>
        <w:topLinePunct w:val="0"/>
        <w:autoSpaceDE/>
        <w:autoSpaceDN/>
        <w:bidi w:val="0"/>
        <w:adjustRightInd/>
        <w:spacing w:line="420" w:lineRule="exact"/>
        <w:ind w:left="0" w:leftChars="0" w:firstLine="420" w:firstLineChars="200"/>
        <w:textAlignment w:val="auto"/>
        <w:rPr>
          <w:rFonts w:hint="eastAsia" w:cs="Arial" w:asciiTheme="minorEastAsia" w:hAnsiTheme="minorEastAsia" w:eastAsiaTheme="minorEastAsia"/>
          <w:szCs w:val="21"/>
          <w:u w:val="none" w:color="auto"/>
        </w:rPr>
      </w:pPr>
      <w:r>
        <w:rPr>
          <w:rFonts w:hint="eastAsia" w:cs="Arial" w:asciiTheme="minorEastAsia" w:hAnsiTheme="minorEastAsia" w:eastAsiaTheme="minorEastAsia"/>
          <w:szCs w:val="21"/>
          <w:u w:val="none" w:color="auto"/>
        </w:rPr>
        <w:t>3.磋商顺序</w:t>
      </w:r>
    </w:p>
    <w:p w14:paraId="7D12573C">
      <w:pPr>
        <w:keepNext w:val="0"/>
        <w:keepLines w:val="0"/>
        <w:pageBreakBefore w:val="0"/>
        <w:widowControl w:val="0"/>
        <w:kinsoku/>
        <w:wordWrap/>
        <w:overflowPunct/>
        <w:topLinePunct w:val="0"/>
        <w:autoSpaceDE/>
        <w:autoSpaceDN/>
        <w:bidi w:val="0"/>
        <w:adjustRightInd/>
        <w:spacing w:line="420" w:lineRule="exact"/>
        <w:ind w:left="0" w:leftChars="0" w:firstLine="420" w:firstLineChars="200"/>
        <w:textAlignment w:val="auto"/>
        <w:rPr>
          <w:rFonts w:hint="eastAsia" w:asciiTheme="minorEastAsia" w:hAnsiTheme="minorEastAsia" w:eastAsiaTheme="minorEastAsia"/>
          <w:u w:val="none" w:color="auto"/>
        </w:rPr>
      </w:pPr>
      <w:r>
        <w:rPr>
          <w:rFonts w:hint="eastAsia" w:cs="宋体" w:asciiTheme="minorEastAsia" w:hAnsiTheme="minorEastAsia" w:eastAsiaTheme="minorEastAsia"/>
          <w:szCs w:val="20"/>
          <w:u w:val="none" w:color="auto"/>
        </w:rPr>
        <w:t>对通过资格审查的合格投标人按提交投标文件时间的先后顺序磋商。</w:t>
      </w:r>
    </w:p>
    <w:p w14:paraId="1D8907FD">
      <w:pPr>
        <w:keepNext w:val="0"/>
        <w:keepLines w:val="0"/>
        <w:pageBreakBefore w:val="0"/>
        <w:widowControl w:val="0"/>
        <w:kinsoku/>
        <w:wordWrap/>
        <w:overflowPunct/>
        <w:topLinePunct w:val="0"/>
        <w:autoSpaceDE/>
        <w:autoSpaceDN/>
        <w:bidi w:val="0"/>
        <w:adjustRightInd/>
        <w:spacing w:line="420" w:lineRule="exact"/>
        <w:ind w:left="0" w:leftChars="0" w:firstLine="420" w:firstLineChars="200"/>
        <w:textAlignment w:val="auto"/>
        <w:rPr>
          <w:rFonts w:hint="eastAsia" w:cs="Arial" w:asciiTheme="minorEastAsia" w:hAnsiTheme="minorEastAsia" w:eastAsiaTheme="minorEastAsia"/>
          <w:szCs w:val="21"/>
          <w:u w:val="none" w:color="auto"/>
        </w:rPr>
      </w:pPr>
      <w:r>
        <w:rPr>
          <w:rFonts w:hint="eastAsia" w:cs="Arial" w:asciiTheme="minorEastAsia" w:hAnsiTheme="minorEastAsia" w:eastAsiaTheme="minorEastAsia"/>
          <w:szCs w:val="21"/>
          <w:u w:val="none" w:color="auto"/>
        </w:rPr>
        <w:t>4.磋商内容及过程</w:t>
      </w:r>
    </w:p>
    <w:p w14:paraId="753F5387">
      <w:pPr>
        <w:keepNext w:val="0"/>
        <w:keepLines w:val="0"/>
        <w:pageBreakBefore w:val="0"/>
        <w:widowControl w:val="0"/>
        <w:kinsoku/>
        <w:wordWrap/>
        <w:overflowPunct/>
        <w:topLinePunct w:val="0"/>
        <w:autoSpaceDE/>
        <w:autoSpaceDN/>
        <w:bidi w:val="0"/>
        <w:adjustRightInd/>
        <w:spacing w:line="420" w:lineRule="exact"/>
        <w:ind w:left="0" w:leftChars="0" w:firstLine="420" w:firstLineChars="200"/>
        <w:textAlignment w:val="auto"/>
        <w:rPr>
          <w:rFonts w:hint="eastAsia" w:cs="Arial" w:asciiTheme="minorEastAsia" w:hAnsiTheme="minorEastAsia" w:eastAsiaTheme="minorEastAsia"/>
          <w:szCs w:val="21"/>
          <w:u w:val="none" w:color="auto"/>
        </w:rPr>
      </w:pPr>
      <w:r>
        <w:rPr>
          <w:rFonts w:hint="eastAsia" w:cs="Arial" w:asciiTheme="minorEastAsia" w:hAnsiTheme="minorEastAsia" w:eastAsiaTheme="minorEastAsia"/>
          <w:szCs w:val="21"/>
          <w:u w:val="none" w:color="auto"/>
        </w:rPr>
        <w:t>磋商小组所有成员集中与单一投标人分别</w:t>
      </w:r>
      <w:r>
        <w:rPr>
          <w:rFonts w:hint="eastAsia" w:cs="宋体" w:asciiTheme="minorEastAsia" w:hAnsiTheme="minorEastAsia" w:eastAsiaTheme="minorEastAsia"/>
          <w:szCs w:val="20"/>
          <w:u w:val="none" w:color="auto"/>
        </w:rPr>
        <w:t>就价格、服务、技术等认为需要磋商的内容进行磋商，</w:t>
      </w:r>
      <w:r>
        <w:rPr>
          <w:rFonts w:hint="eastAsia" w:cs="Arial" w:asciiTheme="minorEastAsia" w:hAnsiTheme="minorEastAsia" w:eastAsiaTheme="minorEastAsia"/>
          <w:szCs w:val="21"/>
          <w:u w:val="none" w:color="auto"/>
        </w:rPr>
        <w:t>并给予所有参加磋商的</w:t>
      </w:r>
      <w:r>
        <w:rPr>
          <w:rFonts w:hint="eastAsia" w:cs="宋体" w:asciiTheme="minorEastAsia" w:hAnsiTheme="minorEastAsia" w:eastAsiaTheme="minorEastAsia"/>
          <w:szCs w:val="21"/>
          <w:u w:val="none" w:color="auto"/>
        </w:rPr>
        <w:t>投标人</w:t>
      </w:r>
      <w:r>
        <w:rPr>
          <w:rFonts w:hint="eastAsia" w:cs="Arial" w:asciiTheme="minorEastAsia" w:hAnsiTheme="minorEastAsia" w:eastAsiaTheme="minorEastAsia"/>
          <w:szCs w:val="21"/>
          <w:u w:val="none" w:color="auto"/>
        </w:rPr>
        <w:t>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w:t>
      </w:r>
      <w:r>
        <w:rPr>
          <w:rFonts w:hint="eastAsia" w:cs="宋体" w:asciiTheme="minorEastAsia" w:hAnsiTheme="minorEastAsia" w:eastAsiaTheme="minorEastAsia"/>
          <w:szCs w:val="21"/>
          <w:u w:val="none" w:color="auto"/>
        </w:rPr>
        <w:t>投标人</w:t>
      </w:r>
      <w:r>
        <w:rPr>
          <w:rFonts w:hint="eastAsia" w:cs="Arial" w:asciiTheme="minorEastAsia" w:hAnsiTheme="minorEastAsia" w:eastAsiaTheme="minorEastAsia"/>
          <w:szCs w:val="21"/>
          <w:u w:val="none" w:color="auto"/>
        </w:rPr>
        <w:t>。投标人应当按照磋商文件的变动情况和磋商小组的要求重新提交投标文件，磋商过程中再提供1-2次报价。</w:t>
      </w:r>
    </w:p>
    <w:p w14:paraId="1A5060F8">
      <w:pPr>
        <w:keepNext w:val="0"/>
        <w:keepLines w:val="0"/>
        <w:pageBreakBefore w:val="0"/>
        <w:widowControl w:val="0"/>
        <w:kinsoku/>
        <w:wordWrap/>
        <w:overflowPunct/>
        <w:topLinePunct w:val="0"/>
        <w:autoSpaceDE/>
        <w:autoSpaceDN/>
        <w:bidi w:val="0"/>
        <w:adjustRightInd/>
        <w:spacing w:line="420" w:lineRule="exact"/>
        <w:ind w:left="0" w:leftChars="0" w:firstLine="420" w:firstLineChars="200"/>
        <w:textAlignment w:val="auto"/>
        <w:rPr>
          <w:rFonts w:hint="eastAsia" w:cs="Arial" w:asciiTheme="minorEastAsia" w:hAnsiTheme="minorEastAsia" w:eastAsiaTheme="minorEastAsia"/>
          <w:szCs w:val="21"/>
          <w:u w:val="none" w:color="auto"/>
        </w:rPr>
      </w:pPr>
      <w:r>
        <w:rPr>
          <w:rFonts w:hint="eastAsia" w:cs="Arial" w:asciiTheme="minorEastAsia" w:hAnsiTheme="minorEastAsia" w:eastAsiaTheme="minorEastAsia"/>
          <w:szCs w:val="21"/>
          <w:u w:val="none" w:color="auto"/>
        </w:rPr>
        <w:t>5.</w:t>
      </w:r>
      <w:r>
        <w:rPr>
          <w:rFonts w:hint="eastAsia" w:cs="Arial" w:asciiTheme="minorEastAsia" w:hAnsiTheme="minorEastAsia" w:eastAsiaTheme="minorEastAsia"/>
          <w:szCs w:val="21"/>
          <w:u w:val="none" w:color="auto"/>
          <w:lang w:val="en-US" w:eastAsia="zh-CN"/>
        </w:rPr>
        <w:t>磋商结束后，在磋商小组进行商务技术评分时，磋商小组应当要求所有实质性响应的投标人在规定时间内提交最后报价。磋商小组认为投标人的磋商报价明显低于其他通过符合性审查投标人的报价，有可能影响服务质量和不能诚信履约的，应当要求其在合理的时间内提供书面说明，必要时提交相关证明材料；投标人不能证明其报价合理性的，磋商小组应当将其作为无效标处理</w:t>
      </w:r>
      <w:r>
        <w:rPr>
          <w:rFonts w:hint="eastAsia" w:cs="Arial" w:asciiTheme="minorEastAsia" w:hAnsiTheme="minorEastAsia" w:eastAsiaTheme="minorEastAsia"/>
          <w:szCs w:val="21"/>
          <w:u w:val="none" w:color="auto"/>
        </w:rPr>
        <w:t>。</w:t>
      </w:r>
    </w:p>
    <w:p w14:paraId="203536A4">
      <w:pPr>
        <w:keepNext w:val="0"/>
        <w:keepLines w:val="0"/>
        <w:pageBreakBefore w:val="0"/>
        <w:widowControl w:val="0"/>
        <w:kinsoku/>
        <w:wordWrap/>
        <w:overflowPunct/>
        <w:topLinePunct w:val="0"/>
        <w:autoSpaceDE/>
        <w:autoSpaceDN/>
        <w:bidi w:val="0"/>
        <w:adjustRightInd/>
        <w:spacing w:line="420" w:lineRule="exact"/>
        <w:ind w:left="0" w:leftChars="0" w:firstLine="420" w:firstLineChars="200"/>
        <w:textAlignment w:val="auto"/>
        <w:rPr>
          <w:rFonts w:hint="eastAsia" w:cs="Arial" w:asciiTheme="minorEastAsia" w:hAnsiTheme="minorEastAsia" w:eastAsiaTheme="minorEastAsia"/>
          <w:szCs w:val="21"/>
          <w:u w:val="none" w:color="auto"/>
        </w:rPr>
      </w:pPr>
      <w:r>
        <w:rPr>
          <w:rFonts w:hint="eastAsia" w:cs="Arial" w:asciiTheme="minorEastAsia" w:hAnsiTheme="minorEastAsia" w:eastAsiaTheme="minorEastAsia"/>
          <w:szCs w:val="21"/>
          <w:u w:val="none" w:color="auto"/>
        </w:rPr>
        <w:t>6.磋商小组按《</w:t>
      </w:r>
      <w:r>
        <w:rPr>
          <w:rFonts w:hint="eastAsia" w:cs="Arial" w:asciiTheme="minorEastAsia" w:hAnsiTheme="minorEastAsia" w:eastAsiaTheme="minorEastAsia"/>
          <w:szCs w:val="21"/>
          <w:u w:val="none" w:color="auto"/>
          <w:lang w:eastAsia="zh-CN"/>
        </w:rPr>
        <w:t>评标方法</w:t>
      </w:r>
      <w:r>
        <w:rPr>
          <w:rFonts w:hint="eastAsia" w:cs="Arial" w:asciiTheme="minorEastAsia" w:hAnsiTheme="minorEastAsia" w:eastAsiaTheme="minorEastAsia"/>
          <w:szCs w:val="21"/>
          <w:u w:val="none" w:color="auto"/>
        </w:rPr>
        <w:t>和标准》规定推荐成交候选人，资格复审后确定成交人，同时起草评</w:t>
      </w:r>
      <w:r>
        <w:rPr>
          <w:rFonts w:hint="eastAsia" w:cs="Arial" w:asciiTheme="minorEastAsia" w:hAnsiTheme="minorEastAsia" w:eastAsiaTheme="minorEastAsia"/>
          <w:szCs w:val="21"/>
          <w:u w:val="none" w:color="auto"/>
          <w:lang w:val="en-US" w:eastAsia="zh-CN"/>
        </w:rPr>
        <w:t>审</w:t>
      </w:r>
      <w:r>
        <w:rPr>
          <w:rFonts w:hint="eastAsia" w:cs="Arial" w:asciiTheme="minorEastAsia" w:hAnsiTheme="minorEastAsia" w:eastAsiaTheme="minorEastAsia"/>
          <w:szCs w:val="21"/>
          <w:u w:val="none" w:color="auto"/>
        </w:rPr>
        <w:t>报告。</w:t>
      </w:r>
    </w:p>
    <w:p w14:paraId="2F0257CC">
      <w:pPr>
        <w:keepNext w:val="0"/>
        <w:keepLines w:val="0"/>
        <w:pageBreakBefore w:val="0"/>
        <w:widowControl w:val="0"/>
        <w:kinsoku/>
        <w:wordWrap/>
        <w:overflowPunct/>
        <w:topLinePunct w:val="0"/>
        <w:autoSpaceDE/>
        <w:autoSpaceDN/>
        <w:bidi w:val="0"/>
        <w:adjustRightInd/>
        <w:spacing w:line="420" w:lineRule="exact"/>
        <w:ind w:left="0"/>
        <w:rPr>
          <w:rFonts w:hint="eastAsia" w:ascii="宋体" w:hAnsi="宋体"/>
          <w:b/>
          <w:sz w:val="24"/>
          <w:u w:val="none" w:color="auto"/>
        </w:rPr>
      </w:pPr>
      <w:r>
        <w:rPr>
          <w:rFonts w:hint="eastAsia" w:ascii="宋体" w:hAnsi="宋体"/>
          <w:b/>
          <w:bCs/>
          <w:sz w:val="24"/>
          <w:u w:val="none" w:color="auto"/>
        </w:rPr>
        <w:t>（三）</w:t>
      </w:r>
      <w:r>
        <w:rPr>
          <w:rFonts w:hint="eastAsia" w:ascii="宋体" w:hAnsi="宋体"/>
          <w:b/>
          <w:sz w:val="24"/>
          <w:u w:val="none" w:color="auto"/>
        </w:rPr>
        <w:t>澄清问题的形式</w:t>
      </w:r>
    </w:p>
    <w:p w14:paraId="5356BEC9">
      <w:pPr>
        <w:keepNext w:val="0"/>
        <w:keepLines w:val="0"/>
        <w:pageBreakBefore w:val="0"/>
        <w:widowControl w:val="0"/>
        <w:kinsoku/>
        <w:wordWrap/>
        <w:overflowPunct/>
        <w:topLinePunct w:val="0"/>
        <w:autoSpaceDE/>
        <w:autoSpaceDN/>
        <w:bidi w:val="0"/>
        <w:adjustRightInd/>
        <w:snapToGrid w:val="0"/>
        <w:spacing w:line="420" w:lineRule="exact"/>
        <w:ind w:left="0" w:firstLine="420" w:firstLineChars="200"/>
        <w:rPr>
          <w:rFonts w:hint="eastAsia" w:ascii="宋体" w:hAnsi="宋体"/>
          <w:u w:val="none" w:color="auto"/>
        </w:rPr>
      </w:pPr>
      <w:r>
        <w:rPr>
          <w:rFonts w:hint="eastAsia" w:ascii="宋体" w:hAnsi="宋体"/>
          <w:u w:val="none" w:color="auto"/>
        </w:rPr>
        <w:t>对投标文件中含义不明确、同类问题表述不一致或者有明显文字和计算错误的内容，磋商小组可要求投标人作出必要的澄清、说明或者纠正。</w:t>
      </w:r>
    </w:p>
    <w:p w14:paraId="5BBFEB37">
      <w:pPr>
        <w:pStyle w:val="12"/>
        <w:keepNext w:val="0"/>
        <w:keepLines w:val="0"/>
        <w:pageBreakBefore w:val="0"/>
        <w:widowControl w:val="0"/>
        <w:kinsoku/>
        <w:wordWrap/>
        <w:overflowPunct/>
        <w:topLinePunct w:val="0"/>
        <w:autoSpaceDE/>
        <w:autoSpaceDN/>
        <w:bidi w:val="0"/>
        <w:adjustRightInd/>
        <w:snapToGrid w:val="0"/>
        <w:spacing w:line="420" w:lineRule="exact"/>
        <w:ind w:left="0"/>
        <w:rPr>
          <w:rFonts w:hint="eastAsia" w:asciiTheme="minorEastAsia" w:hAnsiTheme="minorEastAsia" w:eastAsiaTheme="minorEastAsia"/>
          <w:b/>
          <w:sz w:val="24"/>
          <w:u w:val="none" w:color="auto"/>
        </w:rPr>
      </w:pPr>
    </w:p>
    <w:p w14:paraId="25372556">
      <w:pPr>
        <w:pStyle w:val="12"/>
        <w:keepNext w:val="0"/>
        <w:keepLines w:val="0"/>
        <w:pageBreakBefore w:val="0"/>
        <w:widowControl w:val="0"/>
        <w:kinsoku/>
        <w:wordWrap/>
        <w:overflowPunct/>
        <w:topLinePunct w:val="0"/>
        <w:autoSpaceDE/>
        <w:autoSpaceDN/>
        <w:bidi w:val="0"/>
        <w:adjustRightInd/>
        <w:snapToGrid w:val="0"/>
        <w:spacing w:line="420" w:lineRule="exact"/>
        <w:ind w:left="0"/>
        <w:rPr>
          <w:rFonts w:hint="eastAsia" w:asciiTheme="minorEastAsia" w:hAnsiTheme="minorEastAsia" w:eastAsiaTheme="minorEastAsia"/>
          <w:b/>
          <w:sz w:val="24"/>
          <w:u w:val="none" w:color="auto"/>
        </w:rPr>
      </w:pPr>
      <w:r>
        <w:rPr>
          <w:rFonts w:hint="eastAsia" w:asciiTheme="minorEastAsia" w:hAnsiTheme="minorEastAsia" w:eastAsiaTheme="minorEastAsia"/>
          <w:b/>
          <w:sz w:val="24"/>
          <w:u w:val="none" w:color="auto"/>
        </w:rPr>
        <w:t>（四）错误修正</w:t>
      </w:r>
    </w:p>
    <w:p w14:paraId="28641F53">
      <w:pPr>
        <w:keepNext w:val="0"/>
        <w:keepLines w:val="0"/>
        <w:pageBreakBefore w:val="0"/>
        <w:widowControl w:val="0"/>
        <w:kinsoku/>
        <w:wordWrap/>
        <w:overflowPunct/>
        <w:topLinePunct w:val="0"/>
        <w:autoSpaceDE/>
        <w:autoSpaceDN/>
        <w:bidi w:val="0"/>
        <w:adjustRightInd/>
        <w:snapToGrid w:val="0"/>
        <w:spacing w:line="360" w:lineRule="auto"/>
        <w:ind w:left="0" w:firstLine="415" w:firstLineChars="198"/>
        <w:textAlignment w:val="baseline"/>
        <w:rPr>
          <w:rFonts w:ascii="Times New Roman" w:hAnsi="Times New Roman"/>
          <w:szCs w:val="21"/>
          <w:u w:val="none" w:color="auto"/>
        </w:rPr>
      </w:pPr>
      <w:r>
        <w:rPr>
          <w:rFonts w:ascii="Times New Roman" w:hAnsi="Times New Roman"/>
          <w:szCs w:val="21"/>
          <w:u w:val="none" w:color="auto"/>
        </w:rPr>
        <w:t>投标文件如果出现计算或表达上的错误，修正错误的原则如下：</w:t>
      </w:r>
    </w:p>
    <w:p w14:paraId="00FC45B5">
      <w:pPr>
        <w:keepNext w:val="0"/>
        <w:keepLines w:val="0"/>
        <w:pageBreakBefore w:val="0"/>
        <w:widowControl w:val="0"/>
        <w:kinsoku/>
        <w:wordWrap/>
        <w:overflowPunct/>
        <w:topLinePunct w:val="0"/>
        <w:autoSpaceDE/>
        <w:autoSpaceDN/>
        <w:bidi w:val="0"/>
        <w:adjustRightInd/>
        <w:snapToGrid w:val="0"/>
        <w:spacing w:line="360" w:lineRule="auto"/>
        <w:ind w:left="0" w:firstLine="415" w:firstLineChars="198"/>
        <w:textAlignment w:val="baseline"/>
        <w:rPr>
          <w:rFonts w:ascii="Times New Roman" w:hAnsi="Times New Roman"/>
          <w:szCs w:val="21"/>
          <w:u w:val="none" w:color="auto"/>
        </w:rPr>
      </w:pPr>
      <w:r>
        <w:rPr>
          <w:rFonts w:hint="eastAsia" w:ascii="Times New Roman" w:hAnsi="Times New Roman"/>
          <w:szCs w:val="21"/>
          <w:u w:val="none" w:color="auto"/>
        </w:rPr>
        <w:t>1.投标文件中开标一览表（报价表）内容与投标文件中相应内容不一致的，以开标一览表（报价表）为准；</w:t>
      </w:r>
    </w:p>
    <w:p w14:paraId="67FC2EAE">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baseline"/>
        <w:rPr>
          <w:rFonts w:ascii="Times New Roman" w:hAnsi="Times New Roman"/>
          <w:szCs w:val="21"/>
          <w:u w:val="none" w:color="auto"/>
        </w:rPr>
      </w:pPr>
      <w:r>
        <w:rPr>
          <w:rFonts w:hint="eastAsia" w:ascii="Times New Roman" w:hAnsi="Times New Roman"/>
          <w:szCs w:val="21"/>
          <w:u w:val="none" w:color="auto"/>
        </w:rPr>
        <w:t>2.大写金额和小写金额不一致的，以大写金额为准；</w:t>
      </w:r>
    </w:p>
    <w:p w14:paraId="3CBC6656">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baseline"/>
        <w:rPr>
          <w:rFonts w:ascii="Times New Roman" w:hAnsi="Times New Roman"/>
          <w:szCs w:val="21"/>
          <w:u w:val="none" w:color="auto"/>
        </w:rPr>
      </w:pPr>
      <w:r>
        <w:rPr>
          <w:rFonts w:hint="eastAsia" w:ascii="Times New Roman" w:hAnsi="Times New Roman"/>
          <w:szCs w:val="21"/>
          <w:u w:val="none" w:color="auto"/>
        </w:rPr>
        <w:t>3.单价金额小数点或者百分比有明显错位的，以开标一览表的总价为准，并修改单价；</w:t>
      </w:r>
    </w:p>
    <w:p w14:paraId="10064082">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baseline"/>
        <w:rPr>
          <w:rFonts w:ascii="Times New Roman" w:hAnsi="Times New Roman"/>
          <w:szCs w:val="21"/>
          <w:u w:val="none" w:color="auto"/>
        </w:rPr>
      </w:pPr>
      <w:r>
        <w:rPr>
          <w:rFonts w:hint="eastAsia" w:ascii="Times New Roman" w:hAnsi="Times New Roman"/>
          <w:szCs w:val="21"/>
          <w:u w:val="none" w:color="auto"/>
        </w:rPr>
        <w:t>4.总价金额与按单价汇总金额不一致的，以单价金额计算结果为准。</w:t>
      </w:r>
    </w:p>
    <w:p w14:paraId="13690841">
      <w:pPr>
        <w:keepNext w:val="0"/>
        <w:keepLines w:val="0"/>
        <w:pageBreakBefore w:val="0"/>
        <w:widowControl w:val="0"/>
        <w:kinsoku/>
        <w:wordWrap/>
        <w:overflowPunct/>
        <w:topLinePunct w:val="0"/>
        <w:autoSpaceDE/>
        <w:autoSpaceDN/>
        <w:bidi w:val="0"/>
        <w:adjustRightInd/>
        <w:snapToGrid w:val="0"/>
        <w:spacing w:line="360" w:lineRule="auto"/>
        <w:ind w:left="0" w:firstLine="417" w:firstLineChars="198"/>
        <w:textAlignment w:val="baseline"/>
        <w:rPr>
          <w:rFonts w:ascii="Times New Roman" w:hAnsi="Times New Roman"/>
          <w:b/>
          <w:bCs/>
          <w:szCs w:val="21"/>
          <w:u w:val="none" w:color="auto"/>
        </w:rPr>
      </w:pPr>
      <w:r>
        <w:rPr>
          <w:rFonts w:hint="eastAsia" w:ascii="Times New Roman" w:hAnsi="Times New Roman"/>
          <w:b/>
          <w:bCs/>
          <w:szCs w:val="21"/>
          <w:u w:val="none" w:color="auto"/>
        </w:rPr>
        <w:t xml:space="preserve">同时出现两种以上不一致的，按照前款规定的顺序修正。 </w:t>
      </w:r>
    </w:p>
    <w:p w14:paraId="0AA3C507">
      <w:pPr>
        <w:keepNext w:val="0"/>
        <w:keepLines w:val="0"/>
        <w:pageBreakBefore w:val="0"/>
        <w:widowControl w:val="0"/>
        <w:kinsoku/>
        <w:wordWrap/>
        <w:overflowPunct/>
        <w:topLinePunct w:val="0"/>
        <w:autoSpaceDE/>
        <w:autoSpaceDN/>
        <w:bidi w:val="0"/>
        <w:adjustRightInd/>
        <w:snapToGrid w:val="0"/>
        <w:spacing w:line="360" w:lineRule="auto"/>
        <w:ind w:left="0" w:firstLine="417" w:firstLineChars="198"/>
        <w:textAlignment w:val="baseline"/>
        <w:rPr>
          <w:rFonts w:ascii="Times New Roman" w:hAnsi="Times New Roman"/>
          <w:szCs w:val="21"/>
          <w:u w:val="none" w:color="auto"/>
        </w:rPr>
      </w:pPr>
      <w:r>
        <w:rPr>
          <w:rFonts w:ascii="Times New Roman" w:hAnsi="Times New Roman"/>
          <w:b/>
          <w:szCs w:val="21"/>
          <w:u w:val="none" w:color="auto"/>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629C21A8">
      <w:pPr>
        <w:pStyle w:val="12"/>
        <w:keepNext w:val="0"/>
        <w:keepLines w:val="0"/>
        <w:pageBreakBefore w:val="0"/>
        <w:widowControl w:val="0"/>
        <w:tabs>
          <w:tab w:val="left" w:pos="630"/>
        </w:tabs>
        <w:kinsoku/>
        <w:wordWrap/>
        <w:overflowPunct/>
        <w:topLinePunct w:val="0"/>
        <w:autoSpaceDE/>
        <w:autoSpaceDN/>
        <w:bidi w:val="0"/>
        <w:adjustRightInd/>
        <w:snapToGrid w:val="0"/>
        <w:spacing w:line="360" w:lineRule="auto"/>
        <w:ind w:left="0"/>
        <w:textAlignment w:val="auto"/>
        <w:rPr>
          <w:rFonts w:hint="eastAsia" w:asciiTheme="minorEastAsia" w:hAnsiTheme="minorEastAsia" w:eastAsiaTheme="minorEastAsia"/>
          <w:b/>
          <w:sz w:val="24"/>
          <w:u w:val="none" w:color="auto"/>
          <w:lang w:eastAsia="zh-CN"/>
        </w:rPr>
      </w:pPr>
      <w:r>
        <w:rPr>
          <w:rFonts w:hint="eastAsia" w:asciiTheme="minorEastAsia" w:hAnsiTheme="minorEastAsia" w:eastAsiaTheme="minorEastAsia"/>
          <w:b/>
          <w:sz w:val="24"/>
          <w:u w:val="none" w:color="auto"/>
        </w:rPr>
        <w:t>（五）评标原则和</w:t>
      </w:r>
      <w:r>
        <w:rPr>
          <w:rFonts w:hint="eastAsia" w:asciiTheme="minorEastAsia" w:hAnsiTheme="minorEastAsia" w:eastAsiaTheme="minorEastAsia"/>
          <w:b/>
          <w:sz w:val="24"/>
          <w:u w:val="none" w:color="auto"/>
          <w:lang w:eastAsia="zh-CN"/>
        </w:rPr>
        <w:t>评标方法</w:t>
      </w:r>
    </w:p>
    <w:p w14:paraId="3DE7A57A">
      <w:pPr>
        <w:pStyle w:val="12"/>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Theme="minorEastAsia" w:hAnsiTheme="minorEastAsia" w:eastAsiaTheme="minorEastAsia"/>
          <w:sz w:val="21"/>
          <w:szCs w:val="21"/>
          <w:u w:val="none" w:color="auto"/>
        </w:rPr>
      </w:pPr>
      <w:r>
        <w:rPr>
          <w:rFonts w:hint="eastAsia" w:asciiTheme="minorEastAsia" w:hAnsiTheme="minorEastAsia" w:eastAsiaTheme="minorEastAsia"/>
          <w:sz w:val="21"/>
          <w:szCs w:val="21"/>
          <w:u w:val="none" w:color="auto"/>
        </w:rPr>
        <w:t>1.评标原则。磋商小组必须公平、公正、客观，不带任何倾向性和启发性；不得向外界透露任何与评标有关的内容；任何单位和个人不得干扰、影响评标的正常进行；磋商小组及有关工作人员不得私下与投标人接触。</w:t>
      </w:r>
    </w:p>
    <w:p w14:paraId="0F6EC9B1">
      <w:pPr>
        <w:pStyle w:val="1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b/>
          <w:sz w:val="24"/>
          <w:u w:val="none" w:color="auto"/>
        </w:rPr>
      </w:pPr>
      <w:r>
        <w:rPr>
          <w:rFonts w:hint="eastAsia" w:asciiTheme="minorEastAsia" w:hAnsiTheme="minorEastAsia" w:eastAsiaTheme="minorEastAsia"/>
          <w:sz w:val="21"/>
          <w:szCs w:val="21"/>
          <w:u w:val="none" w:color="auto"/>
        </w:rPr>
        <w:t>2.</w:t>
      </w:r>
      <w:r>
        <w:rPr>
          <w:rFonts w:hint="eastAsia" w:asciiTheme="minorEastAsia" w:hAnsiTheme="minorEastAsia" w:eastAsiaTheme="minorEastAsia"/>
          <w:sz w:val="21"/>
          <w:szCs w:val="21"/>
          <w:u w:val="none" w:color="auto"/>
          <w:lang w:eastAsia="zh-CN"/>
        </w:rPr>
        <w:t>评标方法</w:t>
      </w:r>
      <w:r>
        <w:rPr>
          <w:rFonts w:hint="eastAsia" w:asciiTheme="minorEastAsia" w:hAnsiTheme="minorEastAsia" w:eastAsiaTheme="minorEastAsia"/>
          <w:sz w:val="21"/>
          <w:szCs w:val="21"/>
          <w:u w:val="none" w:color="auto"/>
        </w:rPr>
        <w:t>。本项目</w:t>
      </w:r>
      <w:r>
        <w:rPr>
          <w:rFonts w:hint="eastAsia" w:asciiTheme="minorEastAsia" w:hAnsiTheme="minorEastAsia" w:eastAsiaTheme="minorEastAsia"/>
          <w:sz w:val="21"/>
          <w:szCs w:val="21"/>
          <w:u w:val="none" w:color="auto"/>
          <w:lang w:eastAsia="zh-CN"/>
        </w:rPr>
        <w:t>评标方法</w:t>
      </w:r>
      <w:r>
        <w:rPr>
          <w:rFonts w:hint="eastAsia" w:asciiTheme="minorEastAsia" w:hAnsiTheme="minorEastAsia" w:eastAsiaTheme="minorEastAsia"/>
          <w:sz w:val="21"/>
          <w:szCs w:val="21"/>
          <w:u w:val="none" w:color="auto"/>
        </w:rPr>
        <w:t>是综合评分法，具体评标内容及评分标准等详见《第四章：</w:t>
      </w:r>
      <w:r>
        <w:rPr>
          <w:rFonts w:hint="eastAsia" w:asciiTheme="minorEastAsia" w:hAnsiTheme="minorEastAsia" w:eastAsiaTheme="minorEastAsia"/>
          <w:sz w:val="21"/>
          <w:szCs w:val="21"/>
          <w:u w:val="none" w:color="auto"/>
          <w:lang w:eastAsia="zh-CN"/>
        </w:rPr>
        <w:t>评标方法</w:t>
      </w:r>
      <w:r>
        <w:rPr>
          <w:rFonts w:hint="eastAsia" w:asciiTheme="minorEastAsia" w:hAnsiTheme="minorEastAsia" w:eastAsiaTheme="minorEastAsia"/>
          <w:sz w:val="21"/>
          <w:szCs w:val="21"/>
          <w:u w:val="none" w:color="auto"/>
        </w:rPr>
        <w:t>及评分标准》。</w:t>
      </w:r>
    </w:p>
    <w:p w14:paraId="3554FA6C">
      <w:pPr>
        <w:pStyle w:val="12"/>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Theme="minorEastAsia" w:hAnsiTheme="minorEastAsia" w:eastAsiaTheme="minorEastAsia"/>
          <w:b/>
          <w:sz w:val="24"/>
          <w:u w:val="none" w:color="auto"/>
        </w:rPr>
      </w:pPr>
      <w:r>
        <w:rPr>
          <w:rFonts w:hint="eastAsia" w:asciiTheme="minorEastAsia" w:hAnsiTheme="minorEastAsia" w:eastAsiaTheme="minorEastAsia"/>
          <w:b/>
          <w:sz w:val="24"/>
          <w:u w:val="none" w:color="auto"/>
        </w:rPr>
        <w:t>（六）评标过程的监控</w:t>
      </w:r>
    </w:p>
    <w:p w14:paraId="21D3DA12">
      <w:pPr>
        <w:pStyle w:val="12"/>
        <w:keepNext w:val="0"/>
        <w:keepLines w:val="0"/>
        <w:pageBreakBefore w:val="0"/>
        <w:widowControl w:val="0"/>
        <w:kinsoku/>
        <w:wordWrap/>
        <w:overflowPunct/>
        <w:topLinePunct w:val="0"/>
        <w:autoSpaceDE/>
        <w:autoSpaceDN/>
        <w:bidi w:val="0"/>
        <w:adjustRightInd/>
        <w:snapToGrid w:val="0"/>
        <w:spacing w:line="420" w:lineRule="exact"/>
        <w:ind w:firstLine="525" w:firstLineChars="250"/>
        <w:textAlignment w:val="auto"/>
        <w:rPr>
          <w:rFonts w:hint="eastAsia" w:asciiTheme="minorEastAsia" w:hAnsiTheme="minorEastAsia" w:eastAsiaTheme="minorEastAsia"/>
          <w:b/>
          <w:sz w:val="28"/>
          <w:szCs w:val="28"/>
          <w:u w:val="none" w:color="auto"/>
        </w:rPr>
      </w:pPr>
      <w:r>
        <w:rPr>
          <w:rFonts w:hint="eastAsia" w:hAnsi="宋体" w:eastAsia="宋体"/>
          <w:sz w:val="21"/>
          <w:u w:val="none" w:color="auto"/>
        </w:rPr>
        <w:t>本项目评标过程实行全程录音、录像监控。</w:t>
      </w:r>
    </w:p>
    <w:p w14:paraId="0965ED98">
      <w:pPr>
        <w:pStyle w:val="12"/>
        <w:snapToGrid w:val="0"/>
        <w:spacing w:before="156" w:line="360" w:lineRule="auto"/>
        <w:ind w:firstLine="3373" w:firstLineChars="1200"/>
        <w:outlineLvl w:val="1"/>
        <w:rPr>
          <w:rFonts w:hint="eastAsia" w:asciiTheme="minorEastAsia" w:hAnsiTheme="minorEastAsia" w:eastAsiaTheme="minorEastAsia"/>
          <w:b/>
          <w:sz w:val="28"/>
          <w:szCs w:val="28"/>
          <w:u w:val="none" w:color="auto"/>
        </w:rPr>
      </w:pPr>
    </w:p>
    <w:p w14:paraId="7130C10A">
      <w:pPr>
        <w:pStyle w:val="12"/>
        <w:snapToGrid w:val="0"/>
        <w:spacing w:before="156" w:line="360" w:lineRule="auto"/>
        <w:ind w:firstLine="3373" w:firstLineChars="1200"/>
        <w:outlineLvl w:val="1"/>
        <w:rPr>
          <w:rFonts w:hint="eastAsia" w:asciiTheme="minorEastAsia" w:hAnsiTheme="minorEastAsia" w:eastAsiaTheme="minorEastAsia"/>
          <w:b/>
          <w:sz w:val="28"/>
          <w:szCs w:val="28"/>
          <w:u w:val="none" w:color="auto"/>
        </w:rPr>
      </w:pPr>
      <w:r>
        <w:rPr>
          <w:rFonts w:hint="eastAsia" w:asciiTheme="minorEastAsia" w:hAnsiTheme="minorEastAsia" w:eastAsiaTheme="minorEastAsia"/>
          <w:b/>
          <w:sz w:val="28"/>
          <w:szCs w:val="28"/>
          <w:u w:val="none" w:color="auto"/>
        </w:rPr>
        <w:t>六、定标</w:t>
      </w:r>
    </w:p>
    <w:p w14:paraId="53274EEC">
      <w:pPr>
        <w:pStyle w:val="12"/>
        <w:snapToGrid w:val="0"/>
        <w:spacing w:before="120" w:line="360" w:lineRule="auto"/>
        <w:rPr>
          <w:rFonts w:hint="eastAsia" w:cs="宋体" w:asciiTheme="minorEastAsia" w:hAnsiTheme="minorEastAsia" w:eastAsiaTheme="minorEastAsia"/>
          <w:b/>
          <w:sz w:val="21"/>
          <w:szCs w:val="21"/>
          <w:u w:val="none" w:color="auto"/>
        </w:rPr>
      </w:pPr>
      <w:r>
        <w:rPr>
          <w:rFonts w:hint="eastAsia" w:cs="宋体" w:asciiTheme="minorEastAsia" w:hAnsiTheme="minorEastAsia" w:eastAsiaTheme="minorEastAsia"/>
          <w:b/>
          <w:sz w:val="21"/>
          <w:szCs w:val="21"/>
          <w:u w:val="none" w:color="auto"/>
        </w:rPr>
        <w:t>（一）确定中标人。</w:t>
      </w:r>
    </w:p>
    <w:p w14:paraId="785C867D">
      <w:pPr>
        <w:pStyle w:val="12"/>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cs="宋体" w:asciiTheme="minorEastAsia" w:hAnsiTheme="minorEastAsia" w:eastAsiaTheme="minorEastAsia"/>
          <w:sz w:val="21"/>
          <w:szCs w:val="21"/>
          <w:u w:val="none" w:color="auto"/>
        </w:rPr>
      </w:pPr>
      <w:r>
        <w:rPr>
          <w:rFonts w:hint="eastAsia" w:cs="宋体" w:asciiTheme="minorEastAsia" w:hAnsiTheme="minorEastAsia" w:eastAsiaTheme="minorEastAsia"/>
          <w:sz w:val="21"/>
          <w:szCs w:val="21"/>
          <w:u w:val="none" w:color="auto"/>
        </w:rPr>
        <w:t>本项目由采购人事先授权评审小组确定候选中标人</w:t>
      </w:r>
      <w:r>
        <w:rPr>
          <w:rFonts w:cs="宋体" w:asciiTheme="minorEastAsia" w:hAnsiTheme="minorEastAsia" w:eastAsiaTheme="minorEastAsia"/>
          <w:sz w:val="21"/>
          <w:szCs w:val="21"/>
          <w:u w:val="none" w:color="auto"/>
        </w:rPr>
        <w:t>1</w:t>
      </w:r>
      <w:r>
        <w:rPr>
          <w:rFonts w:hint="eastAsia" w:cs="宋体" w:asciiTheme="minorEastAsia" w:hAnsiTheme="minorEastAsia" w:eastAsiaTheme="minorEastAsia"/>
          <w:sz w:val="21"/>
          <w:szCs w:val="21"/>
          <w:u w:val="none" w:color="auto"/>
        </w:rPr>
        <w:t>名。经采购人确认后，确定项目中标人，同时发布采购结果公告</w:t>
      </w:r>
      <w:r>
        <w:rPr>
          <w:rFonts w:hint="eastAsia" w:cs="宋体" w:asciiTheme="minorEastAsia" w:hAnsiTheme="minorEastAsia" w:eastAsiaTheme="minorEastAsia"/>
          <w:b/>
          <w:bCs/>
          <w:sz w:val="21"/>
          <w:szCs w:val="21"/>
          <w:u w:val="none" w:color="auto"/>
        </w:rPr>
        <w:t>（中标人通过政采云系统领取中标通知书）</w:t>
      </w:r>
      <w:r>
        <w:rPr>
          <w:rFonts w:hint="eastAsia" w:cs="宋体" w:asciiTheme="minorEastAsia" w:hAnsiTheme="minorEastAsia" w:eastAsiaTheme="minorEastAsia"/>
          <w:sz w:val="21"/>
          <w:szCs w:val="21"/>
          <w:u w:val="none" w:color="auto"/>
        </w:rPr>
        <w:t>。</w:t>
      </w:r>
    </w:p>
    <w:p w14:paraId="1892D8E0">
      <w:pPr>
        <w:pStyle w:val="12"/>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cs="宋体" w:asciiTheme="minorEastAsia" w:hAnsiTheme="minorEastAsia" w:eastAsiaTheme="minorEastAsia"/>
          <w:sz w:val="21"/>
          <w:szCs w:val="21"/>
          <w:u w:val="none" w:color="auto"/>
        </w:rPr>
      </w:pPr>
      <w:r>
        <w:rPr>
          <w:rFonts w:hint="eastAsia" w:cs="宋体" w:asciiTheme="minorEastAsia" w:hAnsiTheme="minorEastAsia" w:eastAsiaTheme="minorEastAsia"/>
          <w:sz w:val="21"/>
          <w:szCs w:val="21"/>
          <w:u w:val="none" w:color="auto"/>
        </w:rPr>
        <w:t>1.采购代理机构在评标结束后在2个工作日内将评审报告交采购人确认。</w:t>
      </w:r>
    </w:p>
    <w:p w14:paraId="641614B0">
      <w:pPr>
        <w:pStyle w:val="12"/>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cs="宋体" w:asciiTheme="minorEastAsia" w:hAnsiTheme="minorEastAsia" w:eastAsiaTheme="minorEastAsia"/>
          <w:sz w:val="21"/>
          <w:szCs w:val="21"/>
          <w:u w:val="none" w:color="auto"/>
        </w:rPr>
      </w:pPr>
      <w:r>
        <w:rPr>
          <w:rFonts w:hint="eastAsia" w:cs="宋体" w:asciiTheme="minorEastAsia" w:hAnsiTheme="minorEastAsia" w:eastAsiaTheme="minorEastAsia"/>
          <w:sz w:val="21"/>
          <w:szCs w:val="21"/>
          <w:u w:val="none" w:color="auto"/>
        </w:rPr>
        <w:t>2.投标人对评审结果无异议的，采购人应在收到评审报告后5个工作日内对评审结果进行确认。如有投标人对评审结果提出质疑的，采购人可在质疑处理完毕后确定中标人。</w:t>
      </w:r>
    </w:p>
    <w:p w14:paraId="3FFE2181">
      <w:pPr>
        <w:pStyle w:val="12"/>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cs="宋体" w:asciiTheme="minorEastAsia" w:hAnsiTheme="minorEastAsia" w:eastAsiaTheme="minorEastAsia"/>
          <w:sz w:val="21"/>
          <w:szCs w:val="21"/>
          <w:u w:val="none" w:color="auto"/>
        </w:rPr>
      </w:pPr>
      <w:r>
        <w:rPr>
          <w:rFonts w:hint="eastAsia" w:cs="宋体" w:asciiTheme="minorEastAsia" w:hAnsiTheme="minorEastAsia" w:eastAsiaTheme="minorEastAsia"/>
          <w:sz w:val="21"/>
          <w:szCs w:val="21"/>
          <w:u w:val="none" w:color="auto"/>
        </w:rPr>
        <w:t>3.采购人依法确定中标人后2个工作日内，采购代理机构以书面形式发出《中标通知书》,并同时在相关网站上发布中标公告。</w:t>
      </w:r>
    </w:p>
    <w:p w14:paraId="6DA39A4D">
      <w:pPr>
        <w:pStyle w:val="12"/>
        <w:snapToGrid w:val="0"/>
        <w:spacing w:before="156" w:line="360" w:lineRule="auto"/>
        <w:jc w:val="center"/>
        <w:outlineLvl w:val="1"/>
        <w:rPr>
          <w:rFonts w:hint="eastAsia" w:asciiTheme="minorEastAsia" w:hAnsiTheme="minorEastAsia" w:eastAsiaTheme="minorEastAsia"/>
          <w:b/>
          <w:sz w:val="28"/>
          <w:szCs w:val="28"/>
          <w:u w:val="none" w:color="auto"/>
        </w:rPr>
      </w:pPr>
    </w:p>
    <w:p w14:paraId="60B56813">
      <w:pPr>
        <w:pStyle w:val="12"/>
        <w:snapToGrid w:val="0"/>
        <w:spacing w:before="156" w:line="360" w:lineRule="auto"/>
        <w:jc w:val="center"/>
        <w:outlineLvl w:val="1"/>
        <w:rPr>
          <w:rFonts w:hint="eastAsia" w:asciiTheme="minorEastAsia" w:hAnsiTheme="minorEastAsia" w:eastAsiaTheme="minorEastAsia"/>
          <w:b/>
          <w:sz w:val="28"/>
          <w:szCs w:val="28"/>
          <w:u w:val="none" w:color="auto"/>
        </w:rPr>
      </w:pPr>
    </w:p>
    <w:p w14:paraId="26C40149">
      <w:pPr>
        <w:pStyle w:val="12"/>
        <w:snapToGrid w:val="0"/>
        <w:spacing w:before="156" w:line="360" w:lineRule="auto"/>
        <w:jc w:val="center"/>
        <w:outlineLvl w:val="1"/>
        <w:rPr>
          <w:rFonts w:hint="eastAsia" w:asciiTheme="minorEastAsia" w:hAnsiTheme="minorEastAsia" w:eastAsiaTheme="minorEastAsia"/>
          <w:b/>
          <w:sz w:val="28"/>
          <w:szCs w:val="28"/>
          <w:u w:val="none" w:color="auto"/>
        </w:rPr>
      </w:pPr>
      <w:r>
        <w:rPr>
          <w:rFonts w:hint="eastAsia" w:asciiTheme="minorEastAsia" w:hAnsiTheme="minorEastAsia" w:eastAsiaTheme="minorEastAsia"/>
          <w:b/>
          <w:sz w:val="28"/>
          <w:szCs w:val="28"/>
          <w:u w:val="none" w:color="auto"/>
        </w:rPr>
        <w:t>七、合同授予</w:t>
      </w:r>
    </w:p>
    <w:p w14:paraId="74B9572F">
      <w:pPr>
        <w:widowControl/>
        <w:overflowPunct w:val="0"/>
        <w:autoSpaceDE w:val="0"/>
        <w:autoSpaceDN w:val="0"/>
        <w:adjustRightInd w:val="0"/>
        <w:snapToGrid w:val="0"/>
        <w:spacing w:line="360" w:lineRule="auto"/>
        <w:textAlignment w:val="baseline"/>
        <w:rPr>
          <w:rFonts w:hint="eastAsia" w:ascii="宋体" w:hAnsi="宋体"/>
          <w:b/>
          <w:sz w:val="24"/>
          <w:u w:val="none" w:color="auto"/>
        </w:rPr>
      </w:pPr>
      <w:r>
        <w:rPr>
          <w:rFonts w:hint="eastAsia" w:ascii="宋体" w:hAnsi="宋体"/>
          <w:b/>
          <w:sz w:val="24"/>
          <w:u w:val="none" w:color="auto"/>
        </w:rPr>
        <w:t>签订合同</w:t>
      </w:r>
    </w:p>
    <w:p w14:paraId="227C696A">
      <w:pPr>
        <w:snapToGrid w:val="0"/>
        <w:spacing w:line="360" w:lineRule="auto"/>
        <w:ind w:firstLine="420" w:firstLineChars="200"/>
        <w:rPr>
          <w:rFonts w:ascii="宋体" w:hAnsi="宋体"/>
          <w:color w:val="auto"/>
        </w:rPr>
      </w:pPr>
      <w:r>
        <w:rPr>
          <w:rFonts w:hint="eastAsia" w:ascii="宋体" w:hAnsi="宋体"/>
          <w:color w:val="auto"/>
        </w:rPr>
        <w:t>1.</w:t>
      </w:r>
      <w:r>
        <w:rPr>
          <w:rFonts w:hint="eastAsia" w:ascii="宋体" w:hAnsi="宋体"/>
          <w:color w:val="auto"/>
          <w:lang w:val="en-US" w:eastAsia="zh-CN"/>
        </w:rPr>
        <w:t>采购人</w:t>
      </w:r>
      <w:r>
        <w:rPr>
          <w:rFonts w:hint="eastAsia" w:ascii="宋体" w:hAnsi="宋体"/>
          <w:color w:val="auto"/>
        </w:rPr>
        <w:t>与中标人应当在《中标通知书》发出之日起30日内签订政府采购合同。同时，采购代理机构对合同内容进行审查，如发现与采购结果和投标承诺内容不一致的，应予以纠正。</w:t>
      </w:r>
    </w:p>
    <w:p w14:paraId="356BFC4E">
      <w:pPr>
        <w:snapToGrid w:val="0"/>
        <w:spacing w:line="360" w:lineRule="auto"/>
        <w:ind w:firstLine="420" w:firstLineChars="200"/>
        <w:rPr>
          <w:rFonts w:hint="eastAsia" w:ascii="黑体" w:hAnsi="宋体" w:eastAsia="黑体"/>
          <w:u w:val="none" w:color="auto"/>
        </w:rPr>
      </w:pPr>
      <w:r>
        <w:rPr>
          <w:rFonts w:hint="eastAsia" w:ascii="宋体" w:hAnsi="宋体"/>
          <w:color w:val="auto"/>
        </w:rPr>
        <w:t>2.中标人拖延、拒签合同的,将被取消中标资格</w:t>
      </w:r>
      <w:r>
        <w:rPr>
          <w:rFonts w:hint="eastAsia" w:ascii="宋体" w:hAnsi="宋体"/>
          <w:u w:val="none" w:color="auto"/>
        </w:rPr>
        <w:t>。</w:t>
      </w:r>
    </w:p>
    <w:p w14:paraId="635F93A8">
      <w:pPr>
        <w:pStyle w:val="12"/>
        <w:snapToGrid w:val="0"/>
        <w:spacing w:before="120" w:line="360" w:lineRule="auto"/>
        <w:jc w:val="both"/>
        <w:rPr>
          <w:rFonts w:hint="eastAsia" w:ascii="黑体" w:hAnsi="宋体" w:eastAsia="黑体"/>
          <w:u w:val="none" w:color="auto"/>
        </w:rPr>
      </w:pPr>
    </w:p>
    <w:p w14:paraId="4E812956">
      <w:pPr>
        <w:pStyle w:val="12"/>
        <w:snapToGrid w:val="0"/>
        <w:spacing w:before="120" w:line="360" w:lineRule="auto"/>
        <w:jc w:val="center"/>
        <w:rPr>
          <w:rFonts w:hint="eastAsia" w:ascii="黑体" w:hAnsi="宋体" w:eastAsia="黑体"/>
          <w:u w:val="none" w:color="auto"/>
        </w:rPr>
      </w:pPr>
      <w:r>
        <w:rPr>
          <w:rFonts w:hint="eastAsia" w:ascii="黑体" w:hAnsi="宋体" w:eastAsia="黑体"/>
          <w:u w:val="none" w:color="auto"/>
        </w:rPr>
        <w:t xml:space="preserve">第四章  </w:t>
      </w:r>
      <w:r>
        <w:rPr>
          <w:rFonts w:hint="eastAsia" w:ascii="黑体" w:hAnsi="宋体" w:eastAsia="黑体"/>
          <w:u w:val="none" w:color="auto"/>
          <w:lang w:eastAsia="zh-CN"/>
        </w:rPr>
        <w:t>评标方法</w:t>
      </w:r>
      <w:r>
        <w:rPr>
          <w:rFonts w:hint="eastAsia" w:ascii="黑体" w:hAnsi="宋体" w:eastAsia="黑体"/>
          <w:u w:val="none" w:color="auto"/>
        </w:rPr>
        <w:t>及评分标准</w:t>
      </w:r>
    </w:p>
    <w:p w14:paraId="416CA30D">
      <w:pPr>
        <w:pStyle w:val="12"/>
        <w:spacing w:before="120" w:line="312" w:lineRule="auto"/>
        <w:ind w:firstLine="118" w:firstLineChars="49"/>
        <w:outlineLvl w:val="0"/>
        <w:rPr>
          <w:rFonts w:hint="eastAsia" w:asciiTheme="minorEastAsia" w:hAnsiTheme="minorEastAsia" w:eastAsiaTheme="minorEastAsia"/>
          <w:b/>
          <w:sz w:val="24"/>
          <w:u w:val="none" w:color="auto"/>
        </w:rPr>
      </w:pPr>
      <w:r>
        <w:rPr>
          <w:rFonts w:hint="eastAsia" w:asciiTheme="minorEastAsia" w:hAnsiTheme="minorEastAsia" w:eastAsiaTheme="minorEastAsia"/>
          <w:b/>
          <w:sz w:val="24"/>
          <w:u w:val="none" w:color="auto"/>
        </w:rPr>
        <w:t>综合评分法</w:t>
      </w:r>
    </w:p>
    <w:p w14:paraId="3456121A">
      <w:pPr>
        <w:keepNext w:val="0"/>
        <w:keepLines w:val="0"/>
        <w:pageBreakBefore w:val="0"/>
        <w:widowControl w:val="0"/>
        <w:kinsoku/>
        <w:wordWrap/>
        <w:overflowPunct/>
        <w:topLinePunct w:val="0"/>
        <w:autoSpaceDE/>
        <w:autoSpaceDN/>
        <w:bidi w:val="0"/>
        <w:adjustRightInd/>
        <w:spacing w:line="360" w:lineRule="auto"/>
        <w:ind w:left="0" w:leftChars="0" w:right="0"/>
        <w:jc w:val="center"/>
        <w:textAlignment w:val="auto"/>
        <w:rPr>
          <w:rFonts w:hint="eastAsia" w:asciiTheme="minorEastAsia" w:hAnsiTheme="minorEastAsia" w:eastAsiaTheme="minorEastAsia"/>
          <w:b/>
          <w:sz w:val="24"/>
          <w:u w:val="none" w:color="auto"/>
          <w:lang w:val="zh-CN" w:eastAsia="zh-CN"/>
        </w:rPr>
      </w:pPr>
      <w:r>
        <w:rPr>
          <w:rFonts w:hint="eastAsia" w:asciiTheme="minorEastAsia" w:hAnsiTheme="minorEastAsia" w:eastAsiaTheme="minorEastAsia"/>
          <w:b/>
          <w:sz w:val="24"/>
          <w:u w:val="none" w:color="auto"/>
          <w:lang w:val="zh-CN"/>
        </w:rPr>
        <w:t>舟山市涉海涉渔社区矫正对象联合管控应用2.0迭代升级项目</w:t>
      </w:r>
      <w:r>
        <w:rPr>
          <w:rFonts w:hint="eastAsia" w:asciiTheme="minorEastAsia" w:hAnsiTheme="minorEastAsia" w:eastAsiaTheme="minorEastAsia"/>
          <w:b/>
          <w:sz w:val="24"/>
          <w:u w:val="none" w:color="auto"/>
          <w:lang w:eastAsia="zh-CN"/>
        </w:rPr>
        <w:t>评标方法</w:t>
      </w:r>
    </w:p>
    <w:p w14:paraId="16333670">
      <w:pPr>
        <w:keepNext w:val="0"/>
        <w:keepLines w:val="0"/>
        <w:pageBreakBefore w:val="0"/>
        <w:widowControl w:val="0"/>
        <w:kinsoku/>
        <w:wordWrap/>
        <w:overflowPunct/>
        <w:topLinePunct w:val="0"/>
        <w:autoSpaceDE/>
        <w:autoSpaceDN/>
        <w:bidi w:val="0"/>
        <w:adjustRightInd/>
        <w:spacing w:line="240" w:lineRule="auto"/>
        <w:ind w:left="0" w:leftChars="0" w:right="0" w:firstLine="420"/>
        <w:textAlignment w:val="auto"/>
        <w:rPr>
          <w:rFonts w:hint="eastAsia" w:asciiTheme="minorEastAsia" w:hAnsiTheme="minorEastAsia" w:eastAsiaTheme="minorEastAsia"/>
          <w:szCs w:val="21"/>
          <w:u w:val="none" w:color="auto"/>
        </w:rPr>
      </w:pPr>
      <w:r>
        <w:rPr>
          <w:rFonts w:hint="eastAsia" w:asciiTheme="minorEastAsia" w:hAnsiTheme="minorEastAsia" w:eastAsiaTheme="minorEastAsia"/>
          <w:szCs w:val="21"/>
          <w:u w:val="none" w:color="auto"/>
        </w:rPr>
        <w:t>为公正、公平、科学地选择中标人，根据《中华人民共和国政府采购法》等有关法律法规的规定，并结合本项目的实际，制定本办法。</w:t>
      </w:r>
    </w:p>
    <w:p w14:paraId="54CE1E23">
      <w:pPr>
        <w:keepNext w:val="0"/>
        <w:keepLines w:val="0"/>
        <w:pageBreakBefore w:val="0"/>
        <w:widowControl w:val="0"/>
        <w:kinsoku/>
        <w:wordWrap/>
        <w:overflowPunct/>
        <w:topLinePunct w:val="0"/>
        <w:autoSpaceDE/>
        <w:autoSpaceDN/>
        <w:bidi w:val="0"/>
        <w:adjustRightInd/>
        <w:spacing w:line="360" w:lineRule="auto"/>
        <w:ind w:left="0" w:leftChars="0" w:right="0" w:firstLine="420" w:firstLineChars="200"/>
        <w:textAlignment w:val="auto"/>
        <w:rPr>
          <w:rFonts w:hint="eastAsia" w:asciiTheme="minorEastAsia" w:hAnsiTheme="minorEastAsia" w:eastAsiaTheme="minorEastAsia"/>
          <w:szCs w:val="21"/>
          <w:u w:val="none" w:color="auto"/>
        </w:rPr>
      </w:pPr>
      <w:r>
        <w:rPr>
          <w:rFonts w:hint="eastAsia" w:asciiTheme="minorEastAsia" w:hAnsiTheme="minorEastAsia" w:eastAsiaTheme="minorEastAsia"/>
          <w:szCs w:val="21"/>
          <w:u w:val="none" w:color="auto"/>
        </w:rPr>
        <w:t>本办法适用于</w:t>
      </w:r>
      <w:r>
        <w:rPr>
          <w:rFonts w:hint="eastAsia" w:asciiTheme="minorEastAsia" w:hAnsiTheme="minorEastAsia" w:eastAsiaTheme="minorEastAsia"/>
          <w:szCs w:val="21"/>
          <w:u w:val="none" w:color="auto"/>
          <w:lang w:val="zh-CN"/>
        </w:rPr>
        <w:t>舟山市涉海涉渔社区矫正对象联合管控应用2.0迭代升级项目</w:t>
      </w:r>
      <w:r>
        <w:rPr>
          <w:rFonts w:hint="eastAsia" w:asciiTheme="minorEastAsia" w:hAnsiTheme="minorEastAsia" w:eastAsiaTheme="minorEastAsia"/>
          <w:szCs w:val="21"/>
          <w:u w:val="none" w:color="auto"/>
        </w:rPr>
        <w:t>的评标。</w:t>
      </w:r>
    </w:p>
    <w:p w14:paraId="023230BE">
      <w:pPr>
        <w:keepNext w:val="0"/>
        <w:keepLines w:val="0"/>
        <w:pageBreakBefore w:val="0"/>
        <w:widowControl w:val="0"/>
        <w:kinsoku/>
        <w:wordWrap/>
        <w:overflowPunct/>
        <w:topLinePunct w:val="0"/>
        <w:autoSpaceDE/>
        <w:autoSpaceDN/>
        <w:bidi w:val="0"/>
        <w:adjustRightInd/>
        <w:spacing w:line="360" w:lineRule="auto"/>
        <w:ind w:left="0" w:leftChars="0" w:right="0" w:firstLine="422" w:firstLineChars="200"/>
        <w:textAlignment w:val="auto"/>
        <w:rPr>
          <w:rFonts w:hint="eastAsia" w:ascii="宋体" w:hAnsi="宋体"/>
          <w:u w:val="none" w:color="auto"/>
        </w:rPr>
      </w:pPr>
      <w:r>
        <w:rPr>
          <w:rFonts w:hint="eastAsia" w:ascii="Times New Roman" w:hAnsi="Times New Roman"/>
          <w:b/>
          <w:u w:val="none" w:color="auto"/>
        </w:rPr>
        <w:t>中标依据：</w:t>
      </w:r>
      <w:r>
        <w:rPr>
          <w:rFonts w:hint="eastAsia" w:ascii="宋体" w:hAnsi="宋体"/>
          <w:u w:val="none" w:color="auto"/>
        </w:rPr>
        <w:t>在不高于最高限价的前提下，</w:t>
      </w:r>
      <w:r>
        <w:rPr>
          <w:rFonts w:hint="eastAsia" w:ascii="宋体" w:hAnsi="宋体"/>
          <w:u w:val="none" w:color="auto"/>
          <w:lang w:eastAsia="zh-CN"/>
        </w:rPr>
        <w:t>综合得分</w:t>
      </w:r>
      <w:r>
        <w:rPr>
          <w:rFonts w:hint="eastAsia" w:ascii="宋体" w:hAnsi="宋体"/>
          <w:u w:val="none" w:color="auto"/>
        </w:rPr>
        <w:t>最高者为中标候选人。</w:t>
      </w:r>
    </w:p>
    <w:p w14:paraId="1AA826D4">
      <w:pPr>
        <w:keepNext w:val="0"/>
        <w:keepLines w:val="0"/>
        <w:pageBreakBefore w:val="0"/>
        <w:widowControl w:val="0"/>
        <w:kinsoku/>
        <w:wordWrap/>
        <w:overflowPunct/>
        <w:topLinePunct w:val="0"/>
        <w:autoSpaceDE/>
        <w:autoSpaceDN/>
        <w:bidi w:val="0"/>
        <w:adjustRightInd/>
        <w:spacing w:line="360" w:lineRule="auto"/>
        <w:ind w:left="0" w:leftChars="0" w:right="0" w:firstLine="422" w:firstLineChars="200"/>
        <w:textAlignment w:val="auto"/>
        <w:rPr>
          <w:rFonts w:hint="eastAsia" w:ascii="宋体" w:hAnsi="宋体"/>
          <w:b/>
          <w:u w:val="none" w:color="auto"/>
        </w:rPr>
      </w:pPr>
      <w:r>
        <w:rPr>
          <w:rFonts w:hint="eastAsia" w:ascii="宋体" w:hAnsi="宋体"/>
          <w:b/>
          <w:u w:val="none" w:color="auto"/>
        </w:rPr>
        <w:t>最高限价：预算金额。</w:t>
      </w:r>
    </w:p>
    <w:p w14:paraId="33756E9F">
      <w:pPr>
        <w:snapToGrid w:val="0"/>
        <w:spacing w:line="360" w:lineRule="auto"/>
        <w:ind w:left="755" w:leftChars="214" w:right="-87" w:hanging="306" w:hangingChars="145"/>
        <w:rPr>
          <w:rFonts w:ascii="Times New Roman" w:hAnsi="Times New Roman"/>
          <w:b/>
          <w:u w:val="none" w:color="auto"/>
        </w:rPr>
      </w:pPr>
      <w:r>
        <w:rPr>
          <w:rFonts w:hint="eastAsia" w:ascii="Times New Roman" w:hAnsi="Times New Roman"/>
          <w:b/>
          <w:u w:val="none" w:color="auto"/>
        </w:rPr>
        <w:t>报价的计分方法：</w:t>
      </w:r>
    </w:p>
    <w:p w14:paraId="3FC17829">
      <w:pPr>
        <w:autoSpaceDE w:val="0"/>
        <w:autoSpaceDN w:val="0"/>
        <w:adjustRightInd w:val="0"/>
        <w:snapToGrid w:val="0"/>
        <w:spacing w:line="336" w:lineRule="auto"/>
        <w:ind w:right="-87" w:firstLine="411" w:firstLineChars="196"/>
        <w:rPr>
          <w:rFonts w:ascii="Times New Roman" w:hAnsi="Times New Roman"/>
          <w:u w:val="none" w:color="auto"/>
          <w:lang w:val="zh-CN"/>
        </w:rPr>
      </w:pPr>
      <w:r>
        <w:rPr>
          <w:rFonts w:hint="eastAsia" w:ascii="Times New Roman" w:hAnsi="Times New Roman"/>
          <w:u w:val="none" w:color="auto"/>
          <w:lang w:val="zh-CN"/>
        </w:rPr>
        <w:t>满足招标文件要求且投标价格最低的投标报价为评标基准价，其价格分为满分，其他投标人的价格分按下列公式计算：</w:t>
      </w:r>
    </w:p>
    <w:p w14:paraId="11F05AD4">
      <w:pPr>
        <w:autoSpaceDE w:val="0"/>
        <w:autoSpaceDN w:val="0"/>
        <w:adjustRightInd w:val="0"/>
        <w:snapToGrid w:val="0"/>
        <w:spacing w:line="336" w:lineRule="auto"/>
        <w:ind w:right="-87" w:firstLine="550" w:firstLineChars="262"/>
        <w:rPr>
          <w:rFonts w:ascii="Times New Roman" w:hAnsi="Times New Roman"/>
          <w:u w:val="none" w:color="auto"/>
          <w:lang w:val="zh-CN"/>
        </w:rPr>
      </w:pPr>
      <w:r>
        <w:rPr>
          <w:rFonts w:hint="eastAsia" w:ascii="Times New Roman" w:hAnsi="Times New Roman"/>
          <w:u w:val="none" w:color="auto"/>
          <w:lang w:val="zh-CN"/>
        </w:rPr>
        <w:t>价格得分＝（评标基准价</w:t>
      </w:r>
      <w:r>
        <w:rPr>
          <w:rFonts w:ascii="Times New Roman" w:hAnsi="Times New Roman"/>
          <w:u w:val="none" w:color="auto"/>
          <w:lang w:val="zh-CN"/>
        </w:rPr>
        <w:t>/</w:t>
      </w:r>
      <w:r>
        <w:rPr>
          <w:rFonts w:hint="eastAsia" w:ascii="Times New Roman" w:hAnsi="Times New Roman"/>
          <w:u w:val="none" w:color="auto"/>
          <w:lang w:val="zh-CN"/>
        </w:rPr>
        <w:t>投标报价）</w:t>
      </w:r>
      <w:r>
        <w:rPr>
          <w:rFonts w:ascii="Times New Roman" w:hAnsi="Times New Roman"/>
          <w:u w:val="none" w:color="auto"/>
          <w:lang w:val="zh-CN"/>
        </w:rPr>
        <w:t>×</w:t>
      </w:r>
      <w:r>
        <w:rPr>
          <w:rFonts w:hint="eastAsia" w:ascii="Times New Roman" w:hAnsi="Times New Roman"/>
          <w:u w:val="none" w:color="auto"/>
          <w:lang w:val="zh-CN"/>
        </w:rPr>
        <w:t>价格权重</w:t>
      </w:r>
      <w:r>
        <w:rPr>
          <w:rFonts w:ascii="Times New Roman" w:hAnsi="Times New Roman"/>
          <w:u w:val="none" w:color="auto"/>
          <w:lang w:val="zh-CN"/>
        </w:rPr>
        <w:t>×100</w:t>
      </w:r>
      <w:r>
        <w:rPr>
          <w:rFonts w:hint="eastAsia" w:ascii="Times New Roman" w:hAnsi="Times New Roman"/>
          <w:u w:val="none" w:color="auto"/>
          <w:lang w:val="zh-CN"/>
        </w:rPr>
        <w:t>。</w:t>
      </w:r>
    </w:p>
    <w:tbl>
      <w:tblPr>
        <w:tblStyle w:val="29"/>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552A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vAlign w:val="center"/>
          </w:tcPr>
          <w:p w14:paraId="24419D44">
            <w:pPr>
              <w:spacing w:line="240" w:lineRule="auto"/>
              <w:ind w:right="-341"/>
              <w:jc w:val="center"/>
              <w:rPr>
                <w:rFonts w:ascii="Times New Roman" w:hAnsi="Times New Roman"/>
                <w:u w:val="none" w:color="auto"/>
              </w:rPr>
            </w:pPr>
            <w:r>
              <w:rPr>
                <w:rFonts w:hint="eastAsia" w:ascii="Times New Roman" w:hAnsi="Times New Roman"/>
                <w:u w:val="none" w:color="auto"/>
                <w:lang w:val="zh-CN"/>
              </w:rPr>
              <w:t>评价指标和各评价权重指标：</w:t>
            </w:r>
            <w:r>
              <w:rPr>
                <w:rFonts w:hint="eastAsia" w:ascii="Times New Roman" w:hAnsi="Times New Roman"/>
                <w:u w:val="none" w:color="auto"/>
              </w:rPr>
              <w:t>评标指标</w:t>
            </w:r>
          </w:p>
        </w:tc>
        <w:tc>
          <w:tcPr>
            <w:tcW w:w="2700" w:type="dxa"/>
            <w:vAlign w:val="center"/>
          </w:tcPr>
          <w:p w14:paraId="7BD9F91A">
            <w:pPr>
              <w:spacing w:line="240" w:lineRule="auto"/>
              <w:ind w:right="-341"/>
              <w:jc w:val="center"/>
              <w:rPr>
                <w:rFonts w:ascii="Times New Roman" w:hAnsi="Times New Roman"/>
                <w:u w:val="none" w:color="auto"/>
              </w:rPr>
            </w:pPr>
            <w:r>
              <w:rPr>
                <w:rFonts w:hint="eastAsia" w:ascii="Times New Roman" w:hAnsi="Times New Roman"/>
                <w:u w:val="none" w:color="auto"/>
              </w:rPr>
              <w:t>权重（％）</w:t>
            </w:r>
          </w:p>
        </w:tc>
      </w:tr>
      <w:tr w14:paraId="6DCF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040" w:type="dxa"/>
            <w:vAlign w:val="center"/>
          </w:tcPr>
          <w:p w14:paraId="3411ECF9">
            <w:pPr>
              <w:spacing w:line="240" w:lineRule="auto"/>
              <w:ind w:right="-341"/>
              <w:jc w:val="center"/>
              <w:rPr>
                <w:rFonts w:ascii="Times New Roman" w:hAnsi="Times New Roman"/>
                <w:u w:val="none" w:color="auto"/>
              </w:rPr>
            </w:pPr>
            <w:r>
              <w:rPr>
                <w:rFonts w:hint="eastAsia" w:ascii="Times New Roman" w:hAnsi="Times New Roman"/>
                <w:u w:val="none" w:color="auto"/>
              </w:rPr>
              <w:t>商务、技术部分</w:t>
            </w:r>
          </w:p>
        </w:tc>
        <w:tc>
          <w:tcPr>
            <w:tcW w:w="2700" w:type="dxa"/>
            <w:vAlign w:val="center"/>
          </w:tcPr>
          <w:p w14:paraId="75873EA9">
            <w:pPr>
              <w:spacing w:line="240" w:lineRule="auto"/>
              <w:ind w:right="-341"/>
              <w:jc w:val="center"/>
              <w:rPr>
                <w:rFonts w:ascii="Times New Roman" w:hAnsi="Times New Roman"/>
                <w:u w:val="none" w:color="auto"/>
              </w:rPr>
            </w:pPr>
            <w:r>
              <w:rPr>
                <w:rFonts w:hint="eastAsia" w:ascii="Times New Roman" w:hAnsi="Times New Roman"/>
                <w:u w:val="none" w:color="auto"/>
              </w:rPr>
              <w:t>90</w:t>
            </w:r>
          </w:p>
        </w:tc>
      </w:tr>
      <w:tr w14:paraId="1A93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vAlign w:val="center"/>
          </w:tcPr>
          <w:p w14:paraId="656D312C">
            <w:pPr>
              <w:spacing w:line="240" w:lineRule="auto"/>
              <w:ind w:right="-341"/>
              <w:jc w:val="center"/>
              <w:rPr>
                <w:rFonts w:ascii="Times New Roman" w:hAnsi="Times New Roman"/>
                <w:u w:val="none" w:color="auto"/>
              </w:rPr>
            </w:pPr>
            <w:r>
              <w:rPr>
                <w:rFonts w:hint="eastAsia" w:ascii="Times New Roman" w:hAnsi="Times New Roman"/>
                <w:u w:val="none" w:color="auto"/>
              </w:rPr>
              <w:t>投标报价</w:t>
            </w:r>
          </w:p>
        </w:tc>
        <w:tc>
          <w:tcPr>
            <w:tcW w:w="2700" w:type="dxa"/>
            <w:vAlign w:val="center"/>
          </w:tcPr>
          <w:p w14:paraId="7F9E4FE9">
            <w:pPr>
              <w:spacing w:line="240" w:lineRule="auto"/>
              <w:ind w:right="-341"/>
              <w:jc w:val="center"/>
              <w:rPr>
                <w:rFonts w:ascii="Times New Roman" w:hAnsi="Times New Roman"/>
                <w:u w:val="none" w:color="auto"/>
              </w:rPr>
            </w:pPr>
            <w:r>
              <w:rPr>
                <w:rFonts w:hint="eastAsia" w:ascii="Times New Roman" w:hAnsi="Times New Roman"/>
                <w:u w:val="none" w:color="auto"/>
              </w:rPr>
              <w:t>10</w:t>
            </w:r>
          </w:p>
        </w:tc>
      </w:tr>
      <w:tr w14:paraId="5664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vAlign w:val="center"/>
          </w:tcPr>
          <w:p w14:paraId="343D0934">
            <w:pPr>
              <w:spacing w:line="240" w:lineRule="auto"/>
              <w:ind w:right="-341"/>
              <w:jc w:val="center"/>
              <w:rPr>
                <w:rFonts w:ascii="Times New Roman" w:hAnsi="Times New Roman"/>
                <w:u w:val="none" w:color="auto"/>
              </w:rPr>
            </w:pPr>
            <w:r>
              <w:rPr>
                <w:rFonts w:hint="eastAsia" w:ascii="Times New Roman" w:hAnsi="Times New Roman"/>
                <w:u w:val="none" w:color="auto"/>
              </w:rPr>
              <w:t>合计</w:t>
            </w:r>
          </w:p>
        </w:tc>
        <w:tc>
          <w:tcPr>
            <w:tcW w:w="2700" w:type="dxa"/>
            <w:vAlign w:val="center"/>
          </w:tcPr>
          <w:p w14:paraId="78748B97">
            <w:pPr>
              <w:spacing w:line="240" w:lineRule="auto"/>
              <w:ind w:right="-341"/>
              <w:jc w:val="center"/>
              <w:rPr>
                <w:rFonts w:ascii="Times New Roman" w:hAnsi="Times New Roman"/>
                <w:u w:val="none" w:color="auto"/>
              </w:rPr>
            </w:pPr>
            <w:r>
              <w:rPr>
                <w:rFonts w:ascii="Times New Roman" w:hAnsi="Times New Roman"/>
                <w:u w:val="none" w:color="auto"/>
              </w:rPr>
              <w:t>100</w:t>
            </w:r>
          </w:p>
        </w:tc>
      </w:tr>
    </w:tbl>
    <w:p w14:paraId="4B3AFFE3">
      <w:pPr>
        <w:autoSpaceDE w:val="0"/>
        <w:autoSpaceDN w:val="0"/>
        <w:adjustRightInd w:val="0"/>
        <w:spacing w:line="336" w:lineRule="auto"/>
        <w:ind w:right="-341" w:firstLine="424" w:firstLineChars="202"/>
        <w:rPr>
          <w:rFonts w:ascii="Times New Roman" w:hAnsi="Times New Roman"/>
          <w:u w:val="none" w:color="auto"/>
        </w:rPr>
      </w:pPr>
      <w:r>
        <w:rPr>
          <w:rFonts w:hint="eastAsia" w:ascii="Times New Roman" w:hAnsi="Times New Roman"/>
          <w:u w:val="none" w:color="auto"/>
          <w:lang w:eastAsia="zh-CN"/>
        </w:rPr>
        <w:t>综合得分</w:t>
      </w:r>
      <w:r>
        <w:rPr>
          <w:rFonts w:ascii="Times New Roman" w:hAnsi="Times New Roman"/>
          <w:u w:val="none" w:color="auto"/>
        </w:rPr>
        <w:t>=</w:t>
      </w:r>
      <w:r>
        <w:rPr>
          <w:rFonts w:hint="eastAsia" w:ascii="Times New Roman" w:hAnsi="Times New Roman"/>
          <w:u w:val="none" w:color="auto"/>
        </w:rPr>
        <w:t>商务技术得分＋价格得分</w:t>
      </w:r>
      <w:r>
        <w:rPr>
          <w:rFonts w:ascii="Times New Roman" w:hAnsi="Times New Roman"/>
          <w:u w:val="none" w:color="auto"/>
        </w:rPr>
        <w:t>(</w:t>
      </w:r>
      <w:r>
        <w:rPr>
          <w:rFonts w:hint="eastAsia" w:ascii="Times New Roman" w:hAnsi="Times New Roman"/>
          <w:u w:val="none" w:color="auto"/>
        </w:rPr>
        <w:t>评分过程中采用四舍五入法，并保留小数</w:t>
      </w:r>
      <w:r>
        <w:rPr>
          <w:rFonts w:ascii="Times New Roman" w:hAnsi="Times New Roman"/>
          <w:u w:val="none" w:color="auto"/>
        </w:rPr>
        <w:t>2</w:t>
      </w:r>
      <w:r>
        <w:rPr>
          <w:rFonts w:hint="eastAsia" w:ascii="Times New Roman" w:hAnsi="Times New Roman"/>
          <w:u w:val="none" w:color="auto"/>
        </w:rPr>
        <w:t>位</w:t>
      </w:r>
      <w:r>
        <w:rPr>
          <w:rFonts w:ascii="Times New Roman" w:hAnsi="Times New Roman"/>
          <w:u w:val="none" w:color="auto"/>
        </w:rPr>
        <w:t>)</w:t>
      </w:r>
    </w:p>
    <w:p w14:paraId="3C5CABFC">
      <w:pPr>
        <w:autoSpaceDE w:val="0"/>
        <w:autoSpaceDN w:val="0"/>
        <w:adjustRightInd w:val="0"/>
        <w:spacing w:line="336" w:lineRule="auto"/>
        <w:ind w:right="-341" w:firstLine="424" w:firstLineChars="202"/>
        <w:rPr>
          <w:rFonts w:ascii="Times New Roman" w:hAnsi="Times New Roman"/>
          <w:u w:val="none" w:color="auto"/>
        </w:rPr>
      </w:pPr>
      <w:r>
        <w:rPr>
          <w:rFonts w:hint="eastAsia" w:ascii="Times New Roman" w:hAnsi="Times New Roman"/>
          <w:u w:val="none" w:color="auto"/>
        </w:rPr>
        <w:t>将</w:t>
      </w:r>
      <w:r>
        <w:rPr>
          <w:rFonts w:hint="eastAsia" w:ascii="Times New Roman" w:hAnsi="Times New Roman"/>
          <w:u w:val="none" w:color="auto"/>
          <w:lang w:eastAsia="zh-CN"/>
        </w:rPr>
        <w:t>综合得分</w:t>
      </w:r>
      <w:r>
        <w:rPr>
          <w:rFonts w:hint="eastAsia" w:ascii="Times New Roman" w:hAnsi="Times New Roman"/>
          <w:u w:val="none" w:color="auto"/>
        </w:rPr>
        <w:t>从高到低排序，得出投标人名次。得分相同时，按投标报价由低到高顺序排列，得分且投标报价相同的，按技术指标优劣顺序排列</w:t>
      </w:r>
    </w:p>
    <w:p w14:paraId="47B9FB3E">
      <w:pPr>
        <w:tabs>
          <w:tab w:val="left" w:pos="1620"/>
        </w:tabs>
        <w:spacing w:line="336" w:lineRule="auto"/>
        <w:ind w:left="1111" w:leftChars="228" w:right="-341" w:hanging="632" w:hangingChars="300"/>
        <w:rPr>
          <w:rFonts w:ascii="Times New Roman" w:hAnsi="Times New Roman"/>
          <w:b/>
          <w:u w:val="none" w:color="auto"/>
        </w:rPr>
      </w:pPr>
      <w:r>
        <w:rPr>
          <w:rFonts w:hint="eastAsia" w:ascii="Times New Roman" w:hAnsi="Times New Roman"/>
          <w:b/>
          <w:u w:val="none" w:color="auto"/>
        </w:rPr>
        <w:t>候选中标商的选取</w:t>
      </w:r>
    </w:p>
    <w:p w14:paraId="6FA3B95F">
      <w:pPr>
        <w:ind w:firstLine="420" w:firstLineChars="200"/>
        <w:rPr>
          <w:rFonts w:hint="eastAsia" w:asciiTheme="minorEastAsia" w:hAnsiTheme="minorEastAsia" w:eastAsiaTheme="minorEastAsia"/>
          <w:b/>
          <w:sz w:val="24"/>
          <w:u w:val="none" w:color="auto"/>
          <w:lang w:val="zh-CN"/>
        </w:rPr>
      </w:pPr>
      <w:r>
        <w:rPr>
          <w:rFonts w:hint="eastAsia" w:ascii="Times New Roman" w:hAnsi="Times New Roman"/>
          <w:u w:val="none" w:color="auto"/>
        </w:rPr>
        <w:t>按照</w:t>
      </w:r>
      <w:r>
        <w:rPr>
          <w:rFonts w:hint="eastAsia" w:ascii="Times New Roman" w:hAnsi="Times New Roman"/>
          <w:u w:val="none" w:color="auto"/>
          <w:lang w:eastAsia="zh-CN"/>
        </w:rPr>
        <w:t>综合得分</w:t>
      </w:r>
      <w:r>
        <w:rPr>
          <w:rFonts w:hint="eastAsia" w:ascii="Times New Roman" w:hAnsi="Times New Roman"/>
          <w:u w:val="none" w:color="auto"/>
        </w:rPr>
        <w:t>名次推荐候选中标人</w:t>
      </w:r>
      <w:r>
        <w:rPr>
          <w:rFonts w:ascii="Times New Roman" w:hAnsi="Times New Roman"/>
          <w:u w:val="none" w:color="auto"/>
        </w:rPr>
        <w:t>1</w:t>
      </w:r>
      <w:r>
        <w:rPr>
          <w:rFonts w:hint="eastAsia" w:ascii="Times New Roman" w:hAnsi="Times New Roman"/>
          <w:u w:val="none" w:color="auto"/>
        </w:rPr>
        <w:t>名。</w:t>
      </w:r>
    </w:p>
    <w:p w14:paraId="2FDB2DD8">
      <w:pPr>
        <w:jc w:val="center"/>
        <w:rPr>
          <w:rFonts w:hint="eastAsia" w:asciiTheme="minorEastAsia" w:hAnsiTheme="minorEastAsia" w:eastAsiaTheme="minorEastAsia"/>
          <w:b/>
          <w:sz w:val="24"/>
          <w:u w:val="none" w:color="auto"/>
          <w:lang w:val="zh-CN"/>
        </w:rPr>
      </w:pPr>
    </w:p>
    <w:p w14:paraId="4991828A">
      <w:pPr>
        <w:jc w:val="center"/>
        <w:rPr>
          <w:rFonts w:hint="eastAsia" w:asciiTheme="minorEastAsia" w:hAnsiTheme="minorEastAsia" w:eastAsiaTheme="minorEastAsia"/>
          <w:b/>
          <w:sz w:val="24"/>
          <w:u w:val="none" w:color="auto"/>
          <w:lang w:val="zh-CN"/>
        </w:rPr>
      </w:pPr>
    </w:p>
    <w:p w14:paraId="501DC75C">
      <w:pPr>
        <w:rPr>
          <w:rFonts w:hint="eastAsia" w:asciiTheme="minorEastAsia" w:hAnsiTheme="minorEastAsia" w:eastAsiaTheme="minorEastAsia"/>
          <w:b/>
          <w:u w:val="none" w:color="auto"/>
          <w:lang w:val="zh-CN"/>
        </w:rPr>
      </w:pPr>
    </w:p>
    <w:p w14:paraId="549A54F1">
      <w:pPr>
        <w:rPr>
          <w:rFonts w:hint="eastAsia" w:asciiTheme="minorEastAsia" w:hAnsiTheme="minorEastAsia" w:eastAsiaTheme="minorEastAsia"/>
          <w:b/>
          <w:sz w:val="24"/>
          <w:u w:val="none" w:color="auto"/>
          <w:lang w:val="zh-CN"/>
        </w:rPr>
      </w:pPr>
    </w:p>
    <w:p w14:paraId="776BC1E1">
      <w:pPr>
        <w:jc w:val="center"/>
        <w:rPr>
          <w:rFonts w:hint="eastAsia" w:asciiTheme="minorEastAsia" w:hAnsiTheme="minorEastAsia" w:eastAsiaTheme="minorEastAsia"/>
          <w:b/>
          <w:sz w:val="24"/>
          <w:u w:val="none" w:color="auto"/>
          <w:lang w:val="zh-CN"/>
        </w:rPr>
      </w:pPr>
    </w:p>
    <w:p w14:paraId="38D06882">
      <w:pPr>
        <w:pStyle w:val="9"/>
        <w:rPr>
          <w:rFonts w:hint="eastAsia"/>
          <w:lang w:val="zh-CN"/>
        </w:rPr>
      </w:pPr>
    </w:p>
    <w:p w14:paraId="4BF589E6">
      <w:pPr>
        <w:jc w:val="center"/>
        <w:rPr>
          <w:rFonts w:hint="eastAsia" w:asciiTheme="minorEastAsia" w:hAnsiTheme="minorEastAsia" w:eastAsiaTheme="minorEastAsia"/>
          <w:b/>
          <w:color w:val="auto"/>
          <w:sz w:val="24"/>
          <w:u w:val="none" w:color="auto"/>
        </w:rPr>
      </w:pPr>
      <w:r>
        <w:rPr>
          <w:rFonts w:hint="eastAsia" w:asciiTheme="minorEastAsia" w:hAnsiTheme="minorEastAsia" w:eastAsiaTheme="minorEastAsia"/>
          <w:b/>
          <w:color w:val="auto"/>
          <w:sz w:val="24"/>
          <w:u w:val="none" w:color="auto"/>
          <w:lang w:val="zh-CN"/>
        </w:rPr>
        <w:t>舟山市涉海涉渔社区矫正对象联合管控应用2.0迭代升级项目</w:t>
      </w:r>
      <w:r>
        <w:rPr>
          <w:rFonts w:hint="eastAsia" w:asciiTheme="minorEastAsia" w:hAnsiTheme="minorEastAsia" w:eastAsiaTheme="minorEastAsia"/>
          <w:b/>
          <w:color w:val="auto"/>
          <w:sz w:val="24"/>
          <w:u w:val="none" w:color="auto"/>
        </w:rPr>
        <w:t>评分表</w:t>
      </w:r>
    </w:p>
    <w:p w14:paraId="5096FE8C">
      <w:pPr>
        <w:autoSpaceDE w:val="0"/>
        <w:autoSpaceDN w:val="0"/>
        <w:adjustRightInd w:val="0"/>
        <w:rPr>
          <w:rFonts w:hint="eastAsia" w:hAnsi="宋体"/>
          <w:color w:val="auto"/>
          <w:szCs w:val="21"/>
          <w:u w:val="none" w:color="auto"/>
        </w:rPr>
      </w:pPr>
    </w:p>
    <w:tbl>
      <w:tblPr>
        <w:tblStyle w:val="29"/>
        <w:tblW w:w="10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4"/>
        <w:gridCol w:w="7476"/>
        <w:gridCol w:w="732"/>
      </w:tblGrid>
      <w:tr w14:paraId="55B9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135" w:type="dxa"/>
            <w:vMerge w:val="restart"/>
            <w:noWrap/>
            <w:vAlign w:val="center"/>
          </w:tcPr>
          <w:p w14:paraId="266EEFE2">
            <w:pPr>
              <w:spacing w:line="312" w:lineRule="auto"/>
              <w:jc w:val="center"/>
              <w:rPr>
                <w:rFonts w:ascii="Times New Roman" w:hAnsi="Times New Roman"/>
                <w:color w:val="auto"/>
                <w:szCs w:val="22"/>
                <w:u w:val="none" w:color="auto"/>
              </w:rPr>
            </w:pPr>
            <w:r>
              <w:rPr>
                <w:rFonts w:hint="eastAsia" w:ascii="Times New Roman" w:hAnsi="Times New Roman"/>
                <w:color w:val="auto"/>
                <w:szCs w:val="22"/>
                <w:u w:val="none" w:color="auto"/>
              </w:rPr>
              <w:t>商务技术得分</w:t>
            </w:r>
          </w:p>
          <w:p w14:paraId="088C40C2">
            <w:pPr>
              <w:spacing w:line="312" w:lineRule="auto"/>
              <w:rPr>
                <w:rFonts w:ascii="Times New Roman" w:hAnsi="Times New Roman"/>
                <w:color w:val="auto"/>
                <w:szCs w:val="22"/>
                <w:u w:val="none" w:color="auto"/>
              </w:rPr>
            </w:pPr>
            <w:r>
              <w:rPr>
                <w:rFonts w:hint="eastAsia" w:ascii="Times New Roman" w:hAnsi="Times New Roman"/>
                <w:color w:val="auto"/>
                <w:szCs w:val="22"/>
                <w:u w:val="none" w:color="auto"/>
              </w:rPr>
              <w:t>（9</w:t>
            </w:r>
            <w:r>
              <w:rPr>
                <w:rFonts w:ascii="Times New Roman" w:hAnsi="Times New Roman"/>
                <w:color w:val="auto"/>
                <w:szCs w:val="22"/>
                <w:u w:val="none" w:color="auto"/>
              </w:rPr>
              <w:t>0</w:t>
            </w:r>
            <w:r>
              <w:rPr>
                <w:rFonts w:hint="eastAsia" w:ascii="Times New Roman" w:hAnsi="Times New Roman"/>
                <w:color w:val="auto"/>
                <w:szCs w:val="22"/>
                <w:u w:val="none" w:color="auto"/>
              </w:rPr>
              <w:t>分）</w:t>
            </w:r>
          </w:p>
        </w:tc>
        <w:tc>
          <w:tcPr>
            <w:tcW w:w="1134" w:type="dxa"/>
            <w:noWrap/>
            <w:vAlign w:val="center"/>
          </w:tcPr>
          <w:p w14:paraId="608F6483">
            <w:pPr>
              <w:jc w:val="center"/>
              <w:rPr>
                <w:rFonts w:ascii="Times New Roman" w:hAnsi="Times New Roman"/>
                <w:color w:val="auto"/>
                <w:szCs w:val="22"/>
                <w:u w:val="none" w:color="auto"/>
              </w:rPr>
            </w:pPr>
            <w:r>
              <w:rPr>
                <w:rFonts w:hint="eastAsia" w:ascii="Times New Roman" w:hAnsi="Times New Roman"/>
                <w:color w:val="auto"/>
                <w:szCs w:val="22"/>
                <w:u w:val="none" w:color="auto"/>
              </w:rPr>
              <w:t>评审内容</w:t>
            </w:r>
          </w:p>
        </w:tc>
        <w:tc>
          <w:tcPr>
            <w:tcW w:w="7476" w:type="dxa"/>
            <w:noWrap/>
            <w:vAlign w:val="center"/>
          </w:tcPr>
          <w:p w14:paraId="425D4FED">
            <w:pPr>
              <w:ind w:firstLine="210"/>
              <w:jc w:val="center"/>
              <w:rPr>
                <w:rFonts w:ascii="Times New Roman" w:hAnsi="Times New Roman"/>
                <w:color w:val="auto"/>
                <w:szCs w:val="22"/>
                <w:u w:val="none" w:color="auto"/>
              </w:rPr>
            </w:pPr>
            <w:r>
              <w:rPr>
                <w:rFonts w:hint="eastAsia" w:ascii="Times New Roman" w:hAnsi="Times New Roman"/>
                <w:color w:val="auto"/>
                <w:szCs w:val="22"/>
                <w:u w:val="none" w:color="auto"/>
              </w:rPr>
              <w:t>评分标准</w:t>
            </w:r>
          </w:p>
        </w:tc>
        <w:tc>
          <w:tcPr>
            <w:tcW w:w="732" w:type="dxa"/>
            <w:noWrap/>
            <w:vAlign w:val="center"/>
          </w:tcPr>
          <w:p w14:paraId="0F316CB7">
            <w:pPr>
              <w:jc w:val="center"/>
              <w:rPr>
                <w:rFonts w:ascii="Times New Roman" w:hAnsi="Times New Roman"/>
                <w:color w:val="auto"/>
                <w:szCs w:val="22"/>
                <w:u w:val="none" w:color="auto"/>
              </w:rPr>
            </w:pPr>
            <w:r>
              <w:rPr>
                <w:rFonts w:hint="eastAsia" w:ascii="Times New Roman" w:hAnsi="Times New Roman"/>
                <w:color w:val="auto"/>
                <w:szCs w:val="22"/>
                <w:u w:val="none" w:color="auto"/>
              </w:rPr>
              <w:t>得分</w:t>
            </w:r>
          </w:p>
        </w:tc>
      </w:tr>
      <w:tr w14:paraId="3868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135" w:type="dxa"/>
            <w:vMerge w:val="continue"/>
            <w:noWrap/>
            <w:vAlign w:val="center"/>
          </w:tcPr>
          <w:p w14:paraId="7301A81B">
            <w:pPr>
              <w:spacing w:line="312" w:lineRule="auto"/>
              <w:jc w:val="center"/>
              <w:rPr>
                <w:rFonts w:ascii="Times New Roman" w:hAnsi="Times New Roman"/>
                <w:color w:val="auto"/>
                <w:szCs w:val="22"/>
                <w:u w:val="none" w:color="auto"/>
              </w:rPr>
            </w:pPr>
          </w:p>
        </w:tc>
        <w:tc>
          <w:tcPr>
            <w:tcW w:w="1134" w:type="dxa"/>
            <w:noWrap/>
            <w:vAlign w:val="center"/>
          </w:tcPr>
          <w:p w14:paraId="6E09AC2E">
            <w:pPr>
              <w:jc w:val="center"/>
              <w:rPr>
                <w:rFonts w:hint="eastAsia" w:ascii="宋体" w:hAnsi="宋体"/>
                <w:color w:val="auto"/>
                <w:szCs w:val="21"/>
                <w:u w:val="none" w:color="auto"/>
                <w:lang w:val="zh-CN"/>
              </w:rPr>
            </w:pPr>
            <w:r>
              <w:rPr>
                <w:rFonts w:hint="eastAsia" w:ascii="宋体" w:hAnsi="宋体"/>
                <w:color w:val="auto"/>
                <w:szCs w:val="21"/>
                <w:u w:val="none" w:color="auto"/>
                <w:lang w:val="zh-CN"/>
              </w:rPr>
              <w:t>成功案例</w:t>
            </w:r>
          </w:p>
          <w:p w14:paraId="57571645">
            <w:pPr>
              <w:jc w:val="center"/>
              <w:rPr>
                <w:rFonts w:hint="eastAsia" w:ascii="宋体" w:hAnsi="宋体"/>
                <w:color w:val="auto"/>
                <w:szCs w:val="21"/>
                <w:u w:val="none" w:color="auto"/>
                <w:lang w:val="zh-CN"/>
              </w:rPr>
            </w:pPr>
            <w:r>
              <w:rPr>
                <w:rFonts w:hint="eastAsia" w:ascii="宋体" w:hAnsi="宋体"/>
                <w:color w:val="auto"/>
                <w:szCs w:val="21"/>
                <w:u w:val="none" w:color="auto"/>
                <w:lang w:val="zh-CN"/>
              </w:rPr>
              <w:t>（1分）</w:t>
            </w:r>
          </w:p>
        </w:tc>
        <w:tc>
          <w:tcPr>
            <w:tcW w:w="7476" w:type="dxa"/>
            <w:shd w:val="clear" w:color="auto" w:fill="FFFFFF"/>
            <w:noWrap/>
            <w:vAlign w:val="center"/>
          </w:tcPr>
          <w:p w14:paraId="4974A023">
            <w:pPr>
              <w:widowControl/>
              <w:jc w:val="left"/>
              <w:textAlignment w:val="center"/>
              <w:rPr>
                <w:rFonts w:hint="eastAsia" w:ascii="宋体" w:hAnsi="宋体" w:cs="宋体"/>
                <w:color w:val="auto"/>
                <w:kern w:val="0"/>
                <w:szCs w:val="21"/>
                <w:u w:val="none" w:color="auto"/>
                <w:lang w:bidi="ar"/>
              </w:rPr>
            </w:pPr>
            <w:r>
              <w:rPr>
                <w:rFonts w:hint="eastAsia" w:ascii="宋体" w:hAnsi="宋体" w:cs="宋体"/>
                <w:color w:val="auto"/>
                <w:kern w:val="0"/>
                <w:szCs w:val="21"/>
                <w:u w:val="none" w:color="auto"/>
                <w:lang w:bidi="ar"/>
              </w:rPr>
              <w:t>投标人自2021年1月1日（以合同签订时间为准）以来同类项目的成功案例，每个项目得</w:t>
            </w:r>
            <w:r>
              <w:rPr>
                <w:rFonts w:hint="eastAsia" w:ascii="宋体" w:hAnsi="宋体" w:cs="宋体"/>
                <w:color w:val="auto"/>
                <w:kern w:val="0"/>
                <w:szCs w:val="21"/>
                <w:u w:val="none" w:color="auto"/>
                <w:lang w:val="en-US" w:eastAsia="zh-CN" w:bidi="ar"/>
              </w:rPr>
              <w:t>0.5</w:t>
            </w:r>
            <w:r>
              <w:rPr>
                <w:rFonts w:hint="eastAsia" w:ascii="宋体" w:hAnsi="宋体" w:cs="宋体"/>
                <w:color w:val="auto"/>
                <w:kern w:val="0"/>
                <w:szCs w:val="21"/>
                <w:u w:val="none" w:color="auto"/>
                <w:lang w:bidi="ar"/>
              </w:rPr>
              <w:t>分，最高得1分。</w:t>
            </w:r>
          </w:p>
          <w:p w14:paraId="0770F9B6">
            <w:pPr>
              <w:spacing w:after="120"/>
              <w:jc w:val="left"/>
              <w:rPr>
                <w:rFonts w:hint="eastAsia" w:ascii="宋体" w:hAnsi="宋体"/>
                <w:b/>
                <w:bCs/>
                <w:color w:val="auto"/>
                <w:kern w:val="0"/>
                <w:sz w:val="28"/>
                <w:szCs w:val="28"/>
                <w:u w:val="none" w:color="auto"/>
                <w:lang w:val="zh-CN"/>
              </w:rPr>
            </w:pPr>
            <w:r>
              <w:rPr>
                <w:rFonts w:hint="eastAsia" w:ascii="宋体" w:hAnsi="宋体" w:cs="宋体"/>
                <w:b/>
                <w:bCs/>
                <w:color w:val="auto"/>
                <w:kern w:val="0"/>
                <w:szCs w:val="21"/>
                <w:u w:val="none" w:color="auto"/>
                <w:lang w:bidi="ar"/>
              </w:rPr>
              <w:t>（提供中标通知书（如有）、合同协议书及投标人认为需要提交的其他证明材料证实，复印件加盖公章，须提供重要页面，能够体现项目内容）</w:t>
            </w:r>
          </w:p>
        </w:tc>
        <w:tc>
          <w:tcPr>
            <w:tcW w:w="732" w:type="dxa"/>
            <w:noWrap/>
            <w:vAlign w:val="center"/>
          </w:tcPr>
          <w:p w14:paraId="2A8F0340">
            <w:pPr>
              <w:ind w:firstLine="210" w:firstLineChars="100"/>
              <w:rPr>
                <w:rFonts w:hint="eastAsia" w:ascii="Times New Roman" w:hAnsi="Times New Roman" w:eastAsia="宋体"/>
                <w:color w:val="auto"/>
                <w:szCs w:val="22"/>
                <w:u w:val="none" w:color="auto"/>
                <w:lang w:val="en-US" w:eastAsia="zh-CN"/>
              </w:rPr>
            </w:pPr>
            <w:r>
              <w:rPr>
                <w:rFonts w:hint="eastAsia" w:ascii="Times New Roman" w:hAnsi="Times New Roman"/>
                <w:color w:val="auto"/>
                <w:szCs w:val="22"/>
                <w:u w:val="none" w:color="auto"/>
                <w:lang w:val="en-US" w:eastAsia="zh-CN"/>
              </w:rPr>
              <w:t xml:space="preserve"> </w:t>
            </w:r>
          </w:p>
        </w:tc>
      </w:tr>
      <w:tr w14:paraId="1972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jc w:val="center"/>
        </w:trPr>
        <w:tc>
          <w:tcPr>
            <w:tcW w:w="1135" w:type="dxa"/>
            <w:vMerge w:val="continue"/>
            <w:noWrap/>
            <w:vAlign w:val="center"/>
          </w:tcPr>
          <w:p w14:paraId="542EE119">
            <w:pPr>
              <w:spacing w:line="312" w:lineRule="auto"/>
              <w:jc w:val="center"/>
              <w:rPr>
                <w:rFonts w:ascii="Times New Roman" w:hAnsi="Times New Roman"/>
                <w:color w:val="auto"/>
                <w:szCs w:val="22"/>
                <w:u w:val="none" w:color="auto"/>
              </w:rPr>
            </w:pPr>
            <w:bookmarkStart w:id="3" w:name="OLE_LINK2" w:colFirst="2" w:colLast="2"/>
          </w:p>
        </w:tc>
        <w:tc>
          <w:tcPr>
            <w:tcW w:w="1134" w:type="dxa"/>
            <w:vMerge w:val="restart"/>
            <w:noWrap/>
            <w:vAlign w:val="center"/>
          </w:tcPr>
          <w:p w14:paraId="327F3E83">
            <w:pPr>
              <w:jc w:val="center"/>
              <w:rPr>
                <w:rFonts w:hint="eastAsia" w:ascii="宋体" w:hAnsi="宋体"/>
                <w:color w:val="auto"/>
                <w:szCs w:val="21"/>
                <w:u w:val="none" w:color="auto"/>
                <w:lang w:val="zh-CN"/>
              </w:rPr>
            </w:pPr>
            <w:r>
              <w:rPr>
                <w:rFonts w:hint="eastAsia" w:ascii="宋体" w:hAnsi="宋体"/>
                <w:color w:val="auto"/>
                <w:szCs w:val="21"/>
                <w:u w:val="none" w:color="auto"/>
                <w:lang w:val="zh-CN"/>
              </w:rPr>
              <w:t>项目组成员（</w:t>
            </w:r>
            <w:r>
              <w:rPr>
                <w:rFonts w:hint="eastAsia" w:ascii="宋体" w:hAnsi="宋体"/>
                <w:color w:val="auto"/>
                <w:szCs w:val="21"/>
                <w:u w:val="none" w:color="auto"/>
                <w:lang w:val="en-US" w:eastAsia="zh-CN"/>
              </w:rPr>
              <w:t>4</w:t>
            </w:r>
            <w:r>
              <w:rPr>
                <w:rFonts w:hint="eastAsia" w:ascii="宋体" w:hAnsi="宋体"/>
                <w:color w:val="auto"/>
                <w:szCs w:val="21"/>
                <w:u w:val="none" w:color="auto"/>
                <w:lang w:val="zh-CN"/>
              </w:rPr>
              <w:t>分）</w:t>
            </w:r>
          </w:p>
        </w:tc>
        <w:tc>
          <w:tcPr>
            <w:tcW w:w="7476" w:type="dxa"/>
            <w:shd w:val="clear" w:color="auto" w:fill="FFFFFF"/>
            <w:noWrap/>
            <w:vAlign w:val="center"/>
          </w:tcPr>
          <w:p w14:paraId="2C827300">
            <w:pPr>
              <w:widowControl/>
              <w:jc w:val="left"/>
              <w:textAlignment w:val="center"/>
              <w:rPr>
                <w:rFonts w:hint="eastAsia" w:ascii="宋体" w:hAnsi="宋体" w:cs="宋体"/>
                <w:color w:val="auto"/>
                <w:kern w:val="0"/>
                <w:szCs w:val="21"/>
                <w:u w:val="none" w:color="auto"/>
                <w:lang w:bidi="ar"/>
              </w:rPr>
            </w:pPr>
            <w:r>
              <w:rPr>
                <w:rFonts w:hint="eastAsia" w:ascii="宋体" w:hAnsi="宋体" w:cs="宋体"/>
                <w:color w:val="auto"/>
                <w:kern w:val="0"/>
                <w:szCs w:val="21"/>
                <w:u w:val="none" w:color="auto"/>
                <w:lang w:bidi="ar"/>
              </w:rPr>
              <w:t>项目负责人（仅限一人）：</w:t>
            </w:r>
          </w:p>
          <w:p w14:paraId="17A440E1">
            <w:pPr>
              <w:widowControl/>
              <w:jc w:val="left"/>
              <w:textAlignment w:val="center"/>
              <w:rPr>
                <w:rFonts w:hint="eastAsia" w:ascii="宋体" w:hAnsi="宋体" w:cs="宋体"/>
                <w:color w:val="auto"/>
                <w:kern w:val="0"/>
                <w:szCs w:val="21"/>
                <w:u w:val="none" w:color="auto"/>
                <w:lang w:bidi="ar"/>
              </w:rPr>
            </w:pPr>
            <w:r>
              <w:rPr>
                <w:rFonts w:hint="eastAsia" w:ascii="宋体" w:hAnsi="宋体" w:cs="宋体"/>
                <w:color w:val="auto"/>
                <w:kern w:val="0"/>
                <w:szCs w:val="21"/>
                <w:u w:val="none" w:color="auto"/>
                <w:lang w:bidi="ar"/>
              </w:rPr>
              <w:t>1.具有信息系统项目管理师证书的，得</w:t>
            </w:r>
            <w:r>
              <w:rPr>
                <w:rFonts w:hint="eastAsia" w:ascii="宋体" w:hAnsi="宋体" w:cs="宋体"/>
                <w:color w:val="auto"/>
                <w:kern w:val="0"/>
                <w:szCs w:val="21"/>
                <w:u w:val="none" w:color="auto"/>
                <w:lang w:val="en-US" w:eastAsia="zh-CN" w:bidi="ar"/>
              </w:rPr>
              <w:t>1</w:t>
            </w:r>
            <w:r>
              <w:rPr>
                <w:rFonts w:hint="eastAsia" w:ascii="宋体" w:hAnsi="宋体" w:cs="宋体"/>
                <w:color w:val="auto"/>
                <w:kern w:val="0"/>
                <w:szCs w:val="21"/>
                <w:u w:val="none" w:color="auto"/>
                <w:lang w:bidi="ar"/>
              </w:rPr>
              <w:t>分；</w:t>
            </w:r>
          </w:p>
          <w:p w14:paraId="37CC8302">
            <w:pPr>
              <w:widowControl/>
              <w:jc w:val="left"/>
              <w:textAlignment w:val="center"/>
              <w:rPr>
                <w:rFonts w:hint="eastAsia" w:ascii="宋体" w:hAnsi="宋体" w:cs="宋体"/>
                <w:color w:val="auto"/>
                <w:kern w:val="0"/>
                <w:szCs w:val="21"/>
                <w:u w:val="none" w:color="auto"/>
                <w:lang w:bidi="ar"/>
              </w:rPr>
            </w:pPr>
            <w:r>
              <w:rPr>
                <w:rFonts w:hint="eastAsia" w:ascii="宋体" w:hAnsi="宋体" w:cs="宋体"/>
                <w:color w:val="auto"/>
                <w:kern w:val="0"/>
                <w:szCs w:val="21"/>
                <w:u w:val="none" w:color="auto"/>
                <w:lang w:bidi="ar"/>
              </w:rPr>
              <w:t>技术负责人（仅限一人）：</w:t>
            </w:r>
          </w:p>
          <w:p w14:paraId="7ABD8DF0">
            <w:pPr>
              <w:widowControl/>
              <w:jc w:val="left"/>
              <w:textAlignment w:val="center"/>
              <w:rPr>
                <w:rFonts w:hint="eastAsia" w:ascii="宋体" w:hAnsi="宋体" w:cs="宋体"/>
                <w:color w:val="auto"/>
                <w:kern w:val="0"/>
                <w:szCs w:val="21"/>
                <w:u w:val="none" w:color="auto"/>
                <w:lang w:bidi="ar"/>
              </w:rPr>
            </w:pPr>
            <w:r>
              <w:rPr>
                <w:rFonts w:hint="eastAsia" w:ascii="宋体" w:hAnsi="宋体" w:cs="宋体"/>
                <w:color w:val="auto"/>
                <w:kern w:val="0"/>
                <w:szCs w:val="21"/>
                <w:u w:val="none" w:color="auto"/>
                <w:lang w:val="en-US" w:eastAsia="zh-CN" w:bidi="ar"/>
              </w:rPr>
              <w:t>2</w:t>
            </w:r>
            <w:r>
              <w:rPr>
                <w:rFonts w:hint="eastAsia" w:ascii="宋体" w:hAnsi="宋体" w:cs="宋体"/>
                <w:color w:val="auto"/>
                <w:kern w:val="0"/>
                <w:szCs w:val="21"/>
                <w:u w:val="none" w:color="auto"/>
                <w:lang w:bidi="ar"/>
              </w:rPr>
              <w:t>.具有</w:t>
            </w:r>
            <w:r>
              <w:rPr>
                <w:rFonts w:hint="eastAsia" w:ascii="宋体" w:hAnsi="宋体" w:cs="宋体"/>
                <w:color w:val="auto"/>
                <w:kern w:val="0"/>
                <w:szCs w:val="21"/>
                <w:u w:val="none" w:color="auto"/>
                <w:lang w:val="en-US" w:eastAsia="zh-CN" w:bidi="ar"/>
              </w:rPr>
              <w:t>系统架构设计师</w:t>
            </w:r>
            <w:r>
              <w:rPr>
                <w:rFonts w:hint="eastAsia" w:ascii="宋体" w:hAnsi="宋体" w:cs="宋体"/>
                <w:color w:val="auto"/>
                <w:kern w:val="0"/>
                <w:szCs w:val="21"/>
                <w:u w:val="none" w:color="auto"/>
                <w:lang w:bidi="ar"/>
              </w:rPr>
              <w:t>证书</w:t>
            </w:r>
            <w:r>
              <w:rPr>
                <w:rFonts w:hint="eastAsia" w:ascii="宋体" w:hAnsi="宋体" w:cs="宋体"/>
                <w:color w:val="auto"/>
                <w:kern w:val="0"/>
                <w:szCs w:val="21"/>
                <w:u w:val="none" w:color="auto"/>
                <w:lang w:val="en-US" w:eastAsia="zh-CN" w:bidi="ar"/>
              </w:rPr>
              <w:t>或系统分析</w:t>
            </w:r>
            <w:r>
              <w:rPr>
                <w:rFonts w:hint="eastAsia" w:ascii="宋体" w:hAnsi="宋体" w:cs="宋体"/>
                <w:color w:val="auto"/>
                <w:kern w:val="0"/>
                <w:szCs w:val="21"/>
                <w:u w:val="none" w:color="auto"/>
                <w:lang w:bidi="ar"/>
              </w:rPr>
              <w:t>师证书的得</w:t>
            </w:r>
            <w:r>
              <w:rPr>
                <w:rFonts w:hint="eastAsia" w:ascii="宋体" w:hAnsi="宋体" w:cs="宋体"/>
                <w:color w:val="auto"/>
                <w:kern w:val="0"/>
                <w:szCs w:val="21"/>
                <w:u w:val="none" w:color="auto"/>
                <w:lang w:val="en-US" w:eastAsia="zh-CN" w:bidi="ar"/>
              </w:rPr>
              <w:t>1</w:t>
            </w:r>
            <w:r>
              <w:rPr>
                <w:rFonts w:hint="eastAsia" w:ascii="宋体" w:hAnsi="宋体" w:cs="宋体"/>
                <w:color w:val="auto"/>
                <w:kern w:val="0"/>
                <w:szCs w:val="21"/>
                <w:u w:val="none" w:color="auto"/>
                <w:lang w:bidi="ar"/>
              </w:rPr>
              <w:t>分，其余不得分。</w:t>
            </w:r>
          </w:p>
          <w:p w14:paraId="1016150E">
            <w:pPr>
              <w:widowControl/>
              <w:jc w:val="left"/>
              <w:textAlignment w:val="center"/>
              <w:rPr>
                <w:rFonts w:hint="eastAsia"/>
                <w:color w:val="auto"/>
              </w:rPr>
            </w:pPr>
            <w:r>
              <w:rPr>
                <w:rFonts w:hint="eastAsia" w:ascii="宋体" w:hAnsi="宋体" w:cs="宋体"/>
                <w:b/>
                <w:bCs/>
                <w:color w:val="auto"/>
                <w:kern w:val="0"/>
                <w:szCs w:val="21"/>
                <w:u w:val="none" w:color="auto"/>
                <w:lang w:bidi="ar"/>
              </w:rPr>
              <w:t>（注：提供相关证书及</w:t>
            </w:r>
            <w:r>
              <w:rPr>
                <w:rFonts w:hint="eastAsia" w:ascii="宋体" w:hAnsi="宋体" w:cs="宋体"/>
                <w:b/>
                <w:bCs/>
                <w:color w:val="auto"/>
                <w:kern w:val="0"/>
                <w:szCs w:val="21"/>
                <w:u w:val="none" w:color="auto"/>
                <w:lang w:val="en-US" w:eastAsia="zh-CN" w:bidi="ar"/>
              </w:rPr>
              <w:t>25年4月、5月、6月</w:t>
            </w:r>
            <w:r>
              <w:rPr>
                <w:rFonts w:hint="eastAsia" w:ascii="宋体" w:hAnsi="宋体" w:cs="宋体"/>
                <w:b/>
                <w:bCs/>
                <w:color w:val="auto"/>
                <w:kern w:val="0"/>
                <w:szCs w:val="21"/>
                <w:u w:val="none" w:color="auto"/>
                <w:lang w:bidi="ar"/>
              </w:rPr>
              <w:t xml:space="preserve">任意一个月的社保证明，复印件加盖公章） </w:t>
            </w:r>
          </w:p>
        </w:tc>
        <w:tc>
          <w:tcPr>
            <w:tcW w:w="732" w:type="dxa"/>
            <w:vMerge w:val="restart"/>
            <w:noWrap/>
            <w:vAlign w:val="center"/>
          </w:tcPr>
          <w:p w14:paraId="6D0D8986">
            <w:pPr>
              <w:ind w:firstLine="210" w:firstLineChars="100"/>
              <w:rPr>
                <w:rFonts w:ascii="Times New Roman" w:hAnsi="Times New Roman"/>
                <w:color w:val="auto"/>
                <w:szCs w:val="22"/>
                <w:u w:val="none" w:color="auto"/>
              </w:rPr>
            </w:pPr>
            <w:r>
              <w:rPr>
                <w:rFonts w:hint="eastAsia" w:ascii="Times New Roman" w:hAnsi="Times New Roman"/>
                <w:color w:val="auto"/>
                <w:szCs w:val="22"/>
                <w:u w:val="none" w:color="auto"/>
                <w:lang w:val="en-US" w:eastAsia="zh-CN"/>
              </w:rPr>
              <w:t xml:space="preserve"> </w:t>
            </w:r>
          </w:p>
        </w:tc>
      </w:tr>
      <w:tr w14:paraId="2D17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1135" w:type="dxa"/>
            <w:vMerge w:val="continue"/>
            <w:noWrap/>
            <w:vAlign w:val="center"/>
          </w:tcPr>
          <w:p w14:paraId="6F2D0779">
            <w:pPr>
              <w:spacing w:line="312" w:lineRule="auto"/>
              <w:jc w:val="center"/>
              <w:rPr>
                <w:rFonts w:ascii="Times New Roman" w:hAnsi="Times New Roman"/>
                <w:color w:val="auto"/>
                <w:szCs w:val="22"/>
                <w:u w:val="none" w:color="auto"/>
              </w:rPr>
            </w:pPr>
            <w:bookmarkStart w:id="4" w:name="OLE_LINK3" w:colFirst="2" w:colLast="2"/>
          </w:p>
        </w:tc>
        <w:tc>
          <w:tcPr>
            <w:tcW w:w="1134" w:type="dxa"/>
            <w:vMerge w:val="continue"/>
            <w:noWrap/>
            <w:vAlign w:val="center"/>
          </w:tcPr>
          <w:p w14:paraId="2766E321">
            <w:pPr>
              <w:jc w:val="center"/>
              <w:rPr>
                <w:rFonts w:hint="eastAsia" w:ascii="宋体" w:hAnsi="宋体"/>
                <w:color w:val="auto"/>
                <w:szCs w:val="21"/>
                <w:u w:val="none" w:color="auto"/>
                <w:lang w:val="zh-CN"/>
              </w:rPr>
            </w:pPr>
          </w:p>
        </w:tc>
        <w:tc>
          <w:tcPr>
            <w:tcW w:w="7476" w:type="dxa"/>
            <w:shd w:val="clear" w:color="auto" w:fill="FFFFFF"/>
            <w:noWrap/>
            <w:vAlign w:val="center"/>
          </w:tcPr>
          <w:p w14:paraId="123B9BB7">
            <w:pPr>
              <w:widowControl/>
              <w:jc w:val="left"/>
              <w:textAlignment w:val="center"/>
              <w:rPr>
                <w:rFonts w:hint="eastAsia" w:ascii="宋体" w:hAnsi="宋体" w:cs="宋体"/>
                <w:color w:val="auto"/>
                <w:kern w:val="0"/>
                <w:szCs w:val="21"/>
                <w:u w:val="none" w:color="auto"/>
                <w:lang w:bidi="ar"/>
              </w:rPr>
            </w:pPr>
            <w:r>
              <w:rPr>
                <w:rFonts w:hint="eastAsia" w:ascii="宋体" w:hAnsi="宋体" w:cs="宋体"/>
                <w:color w:val="auto"/>
                <w:kern w:val="0"/>
                <w:szCs w:val="21"/>
                <w:u w:val="none" w:color="auto"/>
                <w:lang w:bidi="ar"/>
              </w:rPr>
              <w:t>项目实施人员（除项目负责人外）：</w:t>
            </w:r>
          </w:p>
          <w:p w14:paraId="50F84E57">
            <w:pPr>
              <w:widowControl/>
              <w:jc w:val="left"/>
              <w:textAlignment w:val="center"/>
              <w:rPr>
                <w:rFonts w:hint="default" w:ascii="宋体" w:hAnsi="宋体" w:eastAsia="宋体" w:cs="宋体"/>
                <w:color w:val="auto"/>
                <w:kern w:val="0"/>
                <w:szCs w:val="21"/>
                <w:u w:val="none" w:color="auto"/>
                <w:lang w:val="en-US" w:eastAsia="zh-CN" w:bidi="ar"/>
              </w:rPr>
            </w:pPr>
            <w:r>
              <w:rPr>
                <w:rFonts w:hint="eastAsia" w:ascii="宋体" w:hAnsi="宋体" w:cs="宋体"/>
                <w:color w:val="auto"/>
                <w:kern w:val="0"/>
                <w:szCs w:val="21"/>
                <w:u w:val="none" w:color="auto"/>
                <w:lang w:val="en-US" w:eastAsia="zh-CN" w:bidi="ar"/>
              </w:rPr>
              <w:t>具有</w:t>
            </w:r>
            <w:r>
              <w:rPr>
                <w:rFonts w:hint="eastAsia" w:ascii="宋体" w:hAnsi="宋体" w:cs="宋体"/>
                <w:color w:val="auto"/>
                <w:kern w:val="0"/>
                <w:szCs w:val="21"/>
                <w:u w:val="none" w:color="auto"/>
                <w:lang w:bidi="ar"/>
              </w:rPr>
              <w:t>系统集成项目管理工程师证书</w:t>
            </w:r>
            <w:r>
              <w:rPr>
                <w:rFonts w:hint="eastAsia" w:ascii="宋体" w:hAnsi="宋体" w:cs="宋体"/>
                <w:color w:val="auto"/>
                <w:kern w:val="0"/>
                <w:szCs w:val="21"/>
                <w:u w:val="none" w:color="auto"/>
                <w:lang w:eastAsia="zh-CN" w:bidi="ar"/>
              </w:rPr>
              <w:t>、</w:t>
            </w:r>
            <w:r>
              <w:rPr>
                <w:rFonts w:hint="eastAsia" w:ascii="宋体" w:hAnsi="宋体" w:cs="宋体"/>
                <w:color w:val="auto"/>
                <w:kern w:val="0"/>
                <w:szCs w:val="21"/>
                <w:u w:val="none" w:color="auto"/>
                <w:lang w:val="en-US" w:eastAsia="zh-CN" w:bidi="ar"/>
              </w:rPr>
              <w:t>注册</w:t>
            </w:r>
            <w:r>
              <w:rPr>
                <w:rFonts w:hint="eastAsia" w:ascii="宋体" w:hAnsi="宋体" w:cs="宋体"/>
                <w:color w:val="auto"/>
                <w:kern w:val="0"/>
                <w:szCs w:val="21"/>
                <w:u w:val="none" w:color="auto"/>
                <w:lang w:bidi="ar"/>
              </w:rPr>
              <w:t>信息安全</w:t>
            </w:r>
            <w:r>
              <w:rPr>
                <w:rFonts w:hint="eastAsia" w:ascii="宋体" w:hAnsi="宋体" w:cs="宋体"/>
                <w:color w:val="auto"/>
                <w:kern w:val="0"/>
                <w:szCs w:val="21"/>
                <w:u w:val="none" w:color="auto"/>
                <w:lang w:val="en-US" w:eastAsia="zh-CN" w:bidi="ar"/>
              </w:rPr>
              <w:t>管理人员</w:t>
            </w:r>
            <w:r>
              <w:rPr>
                <w:rFonts w:hint="eastAsia" w:ascii="宋体" w:hAnsi="宋体" w:cs="宋体"/>
                <w:color w:val="auto"/>
                <w:kern w:val="0"/>
                <w:szCs w:val="21"/>
                <w:u w:val="none" w:color="auto"/>
                <w:lang w:bidi="ar"/>
              </w:rPr>
              <w:t>证书</w:t>
            </w:r>
            <w:r>
              <w:rPr>
                <w:rFonts w:hint="eastAsia" w:ascii="宋体" w:hAnsi="宋体" w:cs="宋体"/>
                <w:color w:val="auto"/>
                <w:kern w:val="0"/>
                <w:szCs w:val="21"/>
                <w:u w:val="none" w:color="auto"/>
                <w:lang w:eastAsia="zh-CN" w:bidi="ar"/>
              </w:rPr>
              <w:t>、</w:t>
            </w:r>
            <w:r>
              <w:rPr>
                <w:rFonts w:hint="eastAsia" w:ascii="宋体" w:hAnsi="宋体" w:cs="宋体"/>
                <w:color w:val="auto"/>
                <w:kern w:val="0"/>
                <w:szCs w:val="21"/>
                <w:u w:val="none" w:color="auto"/>
                <w:lang w:bidi="ar"/>
              </w:rPr>
              <w:t>网络工程</w:t>
            </w:r>
            <w:r>
              <w:rPr>
                <w:rFonts w:hint="eastAsia" w:ascii="宋体" w:hAnsi="宋体" w:cs="宋体"/>
                <w:color w:val="auto"/>
                <w:kern w:val="0"/>
                <w:szCs w:val="21"/>
                <w:u w:val="none" w:color="auto"/>
                <w:lang w:val="en-US" w:eastAsia="zh-CN" w:bidi="ar"/>
              </w:rPr>
              <w:t>相关</w:t>
            </w:r>
            <w:r>
              <w:rPr>
                <w:rFonts w:hint="eastAsia" w:ascii="宋体" w:hAnsi="宋体" w:cs="宋体"/>
                <w:color w:val="auto"/>
                <w:kern w:val="0"/>
                <w:szCs w:val="21"/>
                <w:u w:val="none" w:color="auto"/>
                <w:lang w:bidi="ar"/>
              </w:rPr>
              <w:t>证书</w:t>
            </w:r>
            <w:r>
              <w:rPr>
                <w:rFonts w:hint="eastAsia" w:ascii="宋体" w:hAnsi="宋体" w:cs="宋体"/>
                <w:color w:val="auto"/>
                <w:kern w:val="0"/>
                <w:szCs w:val="21"/>
                <w:u w:val="none" w:color="auto"/>
                <w:lang w:eastAsia="zh-CN" w:bidi="ar"/>
              </w:rPr>
              <w:t>、</w:t>
            </w:r>
            <w:r>
              <w:rPr>
                <w:rFonts w:hint="eastAsia" w:ascii="宋体" w:hAnsi="宋体" w:cs="宋体"/>
                <w:color w:val="auto"/>
                <w:kern w:val="0"/>
                <w:szCs w:val="21"/>
                <w:u w:val="none" w:color="auto"/>
                <w:lang w:bidi="ar"/>
              </w:rPr>
              <w:t>数据库系统工程师证书</w:t>
            </w:r>
            <w:r>
              <w:rPr>
                <w:rFonts w:hint="eastAsia" w:ascii="宋体" w:hAnsi="宋体" w:cs="宋体"/>
                <w:color w:val="auto"/>
                <w:kern w:val="0"/>
                <w:szCs w:val="21"/>
                <w:u w:val="none" w:color="auto"/>
                <w:lang w:eastAsia="zh-CN" w:bidi="ar"/>
              </w:rPr>
              <w:t>、</w:t>
            </w:r>
            <w:r>
              <w:rPr>
                <w:rFonts w:hint="eastAsia" w:ascii="宋体" w:hAnsi="宋体" w:cs="宋体"/>
                <w:color w:val="auto"/>
                <w:kern w:val="0"/>
                <w:szCs w:val="21"/>
                <w:u w:val="none" w:color="auto"/>
                <w:lang w:bidi="ar"/>
              </w:rPr>
              <w:t>互联网技术中级证书</w:t>
            </w:r>
            <w:r>
              <w:rPr>
                <w:rFonts w:hint="eastAsia" w:ascii="宋体" w:hAnsi="宋体" w:cs="宋体"/>
                <w:color w:val="auto"/>
                <w:kern w:val="0"/>
                <w:szCs w:val="21"/>
                <w:u w:val="none" w:color="auto"/>
                <w:lang w:val="en-US" w:eastAsia="zh-CN" w:bidi="ar"/>
              </w:rPr>
              <w:t>的</w:t>
            </w:r>
            <w:r>
              <w:rPr>
                <w:rFonts w:hint="eastAsia" w:ascii="宋体" w:hAnsi="宋体" w:cs="宋体"/>
                <w:color w:val="auto"/>
                <w:kern w:val="0"/>
                <w:szCs w:val="21"/>
                <w:u w:val="none" w:color="auto"/>
                <w:lang w:eastAsia="zh-CN" w:bidi="ar"/>
              </w:rPr>
              <w:t>，</w:t>
            </w:r>
            <w:r>
              <w:rPr>
                <w:rFonts w:hint="eastAsia" w:ascii="宋体" w:hAnsi="宋体" w:cs="宋体"/>
                <w:color w:val="auto"/>
                <w:kern w:val="0"/>
                <w:szCs w:val="21"/>
                <w:u w:val="none" w:color="auto"/>
                <w:lang w:val="en-US" w:eastAsia="zh-CN" w:bidi="ar"/>
              </w:rPr>
              <w:t>每提供一本得1分，最多得2分。</w:t>
            </w:r>
          </w:p>
          <w:p w14:paraId="4E500886">
            <w:pPr>
              <w:pStyle w:val="3"/>
              <w:ind w:left="0" w:leftChars="0" w:firstLine="0" w:firstLineChars="0"/>
              <w:rPr>
                <w:rFonts w:hint="eastAsia" w:ascii="宋体" w:hAnsi="宋体" w:cs="宋体"/>
                <w:b/>
                <w:bCs/>
                <w:color w:val="auto"/>
                <w:kern w:val="0"/>
                <w:szCs w:val="21"/>
                <w:u w:val="none" w:color="auto"/>
                <w:lang w:bidi="ar"/>
              </w:rPr>
            </w:pPr>
            <w:r>
              <w:rPr>
                <w:rFonts w:hint="eastAsia" w:ascii="宋体" w:hAnsi="宋体" w:cs="宋体"/>
                <w:b/>
                <w:bCs/>
                <w:color w:val="auto"/>
                <w:kern w:val="0"/>
                <w:sz w:val="21"/>
                <w:szCs w:val="21"/>
                <w:u w:val="none" w:color="auto"/>
                <w:lang w:bidi="ar"/>
              </w:rPr>
              <w:t>（注：提供相关证书及</w:t>
            </w:r>
            <w:r>
              <w:rPr>
                <w:rFonts w:hint="eastAsia" w:ascii="宋体" w:hAnsi="宋体" w:cs="宋体"/>
                <w:b/>
                <w:bCs/>
                <w:color w:val="auto"/>
                <w:kern w:val="0"/>
                <w:sz w:val="21"/>
                <w:szCs w:val="21"/>
                <w:u w:val="none" w:color="auto"/>
                <w:lang w:val="en-US" w:eastAsia="zh-CN" w:bidi="ar"/>
              </w:rPr>
              <w:t>25年4月、5月、6月</w:t>
            </w:r>
            <w:r>
              <w:rPr>
                <w:rFonts w:hint="eastAsia" w:ascii="宋体" w:hAnsi="宋体" w:cs="宋体"/>
                <w:b/>
                <w:bCs/>
                <w:color w:val="auto"/>
                <w:kern w:val="0"/>
                <w:sz w:val="21"/>
                <w:szCs w:val="21"/>
                <w:u w:val="none" w:color="auto"/>
                <w:lang w:bidi="ar"/>
              </w:rPr>
              <w:t>任意一个月的社保证明，复印件加盖公章</w:t>
            </w:r>
            <w:r>
              <w:rPr>
                <w:rFonts w:hint="eastAsia" w:ascii="宋体" w:hAnsi="宋体" w:cs="宋体"/>
                <w:b/>
                <w:bCs/>
                <w:color w:val="auto"/>
                <w:kern w:val="0"/>
                <w:sz w:val="21"/>
                <w:szCs w:val="21"/>
                <w:u w:val="none" w:color="auto"/>
                <w:lang w:eastAsia="zh-CN" w:bidi="ar"/>
              </w:rPr>
              <w:t>，</w:t>
            </w:r>
            <w:r>
              <w:rPr>
                <w:rFonts w:hint="eastAsia" w:ascii="宋体" w:hAnsi="宋体" w:cs="宋体"/>
                <w:b/>
                <w:bCs/>
                <w:color w:val="auto"/>
                <w:kern w:val="0"/>
                <w:sz w:val="21"/>
                <w:szCs w:val="21"/>
                <w:u w:val="none" w:color="auto"/>
                <w:lang w:val="en-US" w:eastAsia="zh-CN" w:bidi="ar"/>
              </w:rPr>
              <w:t>多人一证、一人多证不重复计分</w:t>
            </w:r>
            <w:r>
              <w:rPr>
                <w:rFonts w:hint="eastAsia" w:ascii="宋体" w:hAnsi="宋体" w:cs="宋体"/>
                <w:b/>
                <w:bCs/>
                <w:color w:val="auto"/>
                <w:kern w:val="0"/>
                <w:sz w:val="21"/>
                <w:szCs w:val="21"/>
                <w:u w:val="none" w:color="auto"/>
                <w:lang w:bidi="ar"/>
              </w:rPr>
              <w:t>）</w:t>
            </w:r>
          </w:p>
        </w:tc>
        <w:tc>
          <w:tcPr>
            <w:tcW w:w="732" w:type="dxa"/>
            <w:vMerge w:val="continue"/>
            <w:noWrap/>
            <w:vAlign w:val="center"/>
          </w:tcPr>
          <w:p w14:paraId="62F776C5">
            <w:pPr>
              <w:ind w:firstLine="210" w:firstLineChars="100"/>
              <w:rPr>
                <w:rFonts w:ascii="Times New Roman" w:hAnsi="Times New Roman"/>
                <w:color w:val="auto"/>
                <w:szCs w:val="22"/>
                <w:u w:val="none" w:color="auto"/>
              </w:rPr>
            </w:pPr>
          </w:p>
        </w:tc>
      </w:tr>
      <w:bookmarkEnd w:id="3"/>
      <w:tr w14:paraId="19A5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jc w:val="center"/>
        </w:trPr>
        <w:tc>
          <w:tcPr>
            <w:tcW w:w="1135" w:type="dxa"/>
            <w:vMerge w:val="continue"/>
            <w:noWrap/>
            <w:vAlign w:val="center"/>
          </w:tcPr>
          <w:p w14:paraId="4D497681">
            <w:pPr>
              <w:spacing w:line="312" w:lineRule="auto"/>
              <w:jc w:val="center"/>
              <w:rPr>
                <w:rFonts w:ascii="Times New Roman" w:hAnsi="Times New Roman"/>
                <w:color w:val="auto"/>
                <w:szCs w:val="22"/>
                <w:u w:val="none" w:color="auto"/>
              </w:rPr>
            </w:pPr>
          </w:p>
        </w:tc>
        <w:tc>
          <w:tcPr>
            <w:tcW w:w="1134" w:type="dxa"/>
            <w:noWrap/>
            <w:vAlign w:val="center"/>
          </w:tcPr>
          <w:p w14:paraId="6BAEADA7">
            <w:pPr>
              <w:jc w:val="center"/>
              <w:rPr>
                <w:rFonts w:hint="eastAsia" w:ascii="宋体" w:hAnsi="宋体"/>
                <w:color w:val="auto"/>
                <w:szCs w:val="21"/>
                <w:u w:val="none" w:color="auto"/>
                <w:lang w:val="en-US" w:eastAsia="zh-CN"/>
              </w:rPr>
            </w:pPr>
            <w:r>
              <w:rPr>
                <w:rFonts w:hint="eastAsia" w:ascii="宋体" w:hAnsi="宋体"/>
                <w:color w:val="auto"/>
                <w:szCs w:val="21"/>
                <w:u w:val="none" w:color="auto"/>
                <w:lang w:val="en-US" w:eastAsia="zh-CN"/>
              </w:rPr>
              <w:t>研发能力证明</w:t>
            </w:r>
          </w:p>
          <w:p w14:paraId="0366E232">
            <w:pPr>
              <w:jc w:val="center"/>
              <w:rPr>
                <w:rFonts w:hint="default" w:ascii="宋体" w:hAnsi="宋体" w:eastAsia="宋体"/>
                <w:color w:val="auto"/>
                <w:szCs w:val="21"/>
                <w:u w:val="none" w:color="auto"/>
                <w:lang w:val="en-US" w:eastAsia="zh-CN"/>
              </w:rPr>
            </w:pPr>
            <w:r>
              <w:rPr>
                <w:rFonts w:hint="eastAsia" w:ascii="宋体" w:hAnsi="宋体"/>
                <w:color w:val="auto"/>
                <w:szCs w:val="21"/>
                <w:u w:val="none" w:color="auto"/>
                <w:lang w:val="en-US" w:eastAsia="zh-CN"/>
              </w:rPr>
              <w:t>（5分）</w:t>
            </w:r>
          </w:p>
        </w:tc>
        <w:tc>
          <w:tcPr>
            <w:tcW w:w="7476" w:type="dxa"/>
            <w:shd w:val="clear" w:color="auto" w:fill="FFFFFF"/>
            <w:noWrap/>
            <w:vAlign w:val="center"/>
          </w:tcPr>
          <w:p w14:paraId="12F9254C">
            <w:pPr>
              <w:jc w:val="left"/>
              <w:rPr>
                <w:rFonts w:hint="default" w:ascii="宋体" w:hAnsi="宋体" w:eastAsia="宋体" w:cs="宋体"/>
                <w:b w:val="0"/>
                <w:bCs w:val="0"/>
                <w:color w:val="auto"/>
                <w:kern w:val="0"/>
                <w:szCs w:val="21"/>
                <w:u w:val="none" w:color="auto"/>
                <w:lang w:val="en-US" w:eastAsia="zh-CN" w:bidi="ar"/>
              </w:rPr>
            </w:pPr>
            <w:r>
              <w:rPr>
                <w:rFonts w:hint="eastAsia" w:ascii="宋体" w:hAnsi="宋体" w:cs="宋体"/>
                <w:b w:val="0"/>
                <w:bCs w:val="0"/>
                <w:color w:val="auto"/>
                <w:kern w:val="0"/>
                <w:szCs w:val="21"/>
                <w:u w:val="none" w:color="auto"/>
                <w:lang w:bidi="ar"/>
              </w:rPr>
              <w:t>投标人提供</w:t>
            </w:r>
            <w:r>
              <w:rPr>
                <w:rFonts w:hint="eastAsia" w:ascii="宋体" w:hAnsi="宋体" w:cs="宋体"/>
                <w:b w:val="0"/>
                <w:bCs w:val="0"/>
                <w:color w:val="auto"/>
                <w:kern w:val="0"/>
                <w:szCs w:val="21"/>
                <w:u w:val="none" w:color="auto"/>
                <w:lang w:val="en-US" w:eastAsia="zh-CN" w:bidi="ar"/>
              </w:rPr>
              <w:t>自有与本项目建设内容相关的功能研发经验和能力，每提供一项得1分，最高得5分；</w:t>
            </w:r>
          </w:p>
          <w:p w14:paraId="71409AC2">
            <w:pPr>
              <w:jc w:val="left"/>
              <w:rPr>
                <w:rFonts w:hint="default" w:ascii="宋体" w:hAnsi="宋体" w:eastAsia="宋体" w:cs="宋体"/>
                <w:b w:val="0"/>
                <w:bCs w:val="0"/>
                <w:color w:val="auto"/>
                <w:kern w:val="0"/>
                <w:szCs w:val="21"/>
                <w:u w:val="none" w:color="auto"/>
                <w:lang w:val="en-US" w:eastAsia="zh-CN" w:bidi="ar"/>
              </w:rPr>
            </w:pPr>
            <w:r>
              <w:rPr>
                <w:rFonts w:hint="eastAsia" w:ascii="宋体" w:hAnsi="宋体" w:cs="宋体"/>
                <w:b w:val="0"/>
                <w:bCs w:val="0"/>
                <w:color w:val="auto"/>
                <w:kern w:val="0"/>
                <w:szCs w:val="21"/>
                <w:u w:val="none" w:color="auto"/>
                <w:lang w:val="en-US" w:eastAsia="zh-CN" w:bidi="ar"/>
              </w:rPr>
              <w:t>1.社区矫正涉海涉渔管控类；</w:t>
            </w:r>
          </w:p>
          <w:p w14:paraId="25D611AC">
            <w:pPr>
              <w:jc w:val="left"/>
              <w:rPr>
                <w:rFonts w:hint="default" w:ascii="宋体" w:hAnsi="宋体" w:eastAsia="宋体" w:cs="宋体"/>
                <w:b w:val="0"/>
                <w:bCs w:val="0"/>
                <w:color w:val="auto"/>
                <w:kern w:val="0"/>
                <w:szCs w:val="21"/>
                <w:u w:val="none" w:color="auto"/>
                <w:lang w:val="en-US" w:eastAsia="zh-CN" w:bidi="ar"/>
              </w:rPr>
            </w:pPr>
            <w:r>
              <w:rPr>
                <w:rFonts w:hint="eastAsia" w:ascii="宋体" w:hAnsi="宋体" w:cs="宋体"/>
                <w:b w:val="0"/>
                <w:bCs w:val="0"/>
                <w:color w:val="auto"/>
                <w:kern w:val="0"/>
                <w:szCs w:val="21"/>
                <w:u w:val="none" w:color="auto"/>
                <w:lang w:val="en-US" w:eastAsia="zh-CN" w:bidi="ar"/>
              </w:rPr>
              <w:t>2.社区矫正档案管理类；</w:t>
            </w:r>
          </w:p>
          <w:p w14:paraId="665BEC7F">
            <w:pPr>
              <w:jc w:val="left"/>
              <w:rPr>
                <w:rFonts w:hint="eastAsia" w:ascii="宋体" w:hAnsi="宋体" w:cs="宋体"/>
                <w:b w:val="0"/>
                <w:bCs w:val="0"/>
                <w:color w:val="auto"/>
                <w:kern w:val="0"/>
                <w:szCs w:val="21"/>
                <w:u w:val="none" w:color="auto"/>
                <w:lang w:val="en-US" w:eastAsia="zh-CN" w:bidi="ar"/>
              </w:rPr>
            </w:pPr>
            <w:r>
              <w:rPr>
                <w:rFonts w:hint="eastAsia" w:ascii="宋体" w:hAnsi="宋体" w:cs="宋体"/>
                <w:b w:val="0"/>
                <w:bCs w:val="0"/>
                <w:color w:val="auto"/>
                <w:kern w:val="0"/>
                <w:szCs w:val="21"/>
                <w:u w:val="none" w:color="auto"/>
                <w:lang w:val="en-US" w:eastAsia="zh-CN" w:bidi="ar"/>
              </w:rPr>
              <w:t>3.社区矫正智矫方案类；</w:t>
            </w:r>
          </w:p>
          <w:p w14:paraId="0E612554">
            <w:pPr>
              <w:jc w:val="left"/>
              <w:rPr>
                <w:rFonts w:hint="eastAsia" w:ascii="宋体" w:hAnsi="宋体" w:eastAsia="宋体" w:cs="宋体"/>
                <w:b w:val="0"/>
                <w:bCs w:val="0"/>
                <w:color w:val="auto"/>
                <w:kern w:val="0"/>
                <w:szCs w:val="21"/>
                <w:u w:val="none" w:color="auto"/>
                <w:lang w:val="en-US" w:eastAsia="zh-CN" w:bidi="ar"/>
              </w:rPr>
            </w:pPr>
            <w:r>
              <w:rPr>
                <w:rFonts w:hint="eastAsia" w:ascii="宋体" w:hAnsi="宋体" w:eastAsia="宋体" w:cs="宋体"/>
                <w:b w:val="0"/>
                <w:bCs w:val="0"/>
                <w:color w:val="auto"/>
                <w:kern w:val="0"/>
                <w:szCs w:val="21"/>
                <w:u w:val="none" w:color="auto"/>
                <w:lang w:val="en-US" w:eastAsia="zh-CN" w:bidi="ar"/>
              </w:rPr>
              <w:t>4.社区矫正视频督查类；</w:t>
            </w:r>
          </w:p>
          <w:p w14:paraId="68E5EE45">
            <w:pPr>
              <w:jc w:val="left"/>
              <w:rPr>
                <w:rFonts w:hint="default" w:ascii="宋体" w:hAnsi="宋体" w:eastAsia="宋体" w:cs="宋体"/>
                <w:b w:val="0"/>
                <w:bCs w:val="0"/>
                <w:color w:val="auto"/>
                <w:kern w:val="0"/>
                <w:szCs w:val="21"/>
                <w:u w:val="none" w:color="auto"/>
                <w:lang w:val="en-US" w:eastAsia="zh-CN" w:bidi="ar"/>
              </w:rPr>
            </w:pPr>
            <w:r>
              <w:rPr>
                <w:rFonts w:hint="eastAsia" w:ascii="宋体" w:hAnsi="宋体" w:eastAsia="宋体" w:cs="宋体"/>
                <w:b w:val="0"/>
                <w:bCs w:val="0"/>
                <w:color w:val="auto"/>
                <w:kern w:val="0"/>
                <w:szCs w:val="21"/>
                <w:u w:val="none" w:color="auto"/>
                <w:lang w:val="en-US" w:eastAsia="zh-CN" w:bidi="ar"/>
              </w:rPr>
              <w:t>5.社区矫正再犯罪风险评估类;</w:t>
            </w:r>
          </w:p>
          <w:p w14:paraId="63158E63">
            <w:pPr>
              <w:jc w:val="left"/>
              <w:rPr>
                <w:rFonts w:hint="eastAsia" w:ascii="宋体" w:hAnsi="宋体"/>
                <w:color w:val="auto"/>
                <w:szCs w:val="21"/>
                <w:u w:val="none" w:color="auto"/>
              </w:rPr>
            </w:pPr>
            <w:r>
              <w:rPr>
                <w:rFonts w:hint="eastAsia" w:ascii="宋体" w:hAnsi="宋体" w:cs="宋体"/>
                <w:b/>
                <w:bCs/>
                <w:color w:val="auto"/>
                <w:kern w:val="0"/>
                <w:szCs w:val="21"/>
                <w:u w:val="none" w:color="auto"/>
                <w:lang w:bidi="ar"/>
              </w:rPr>
              <w:t>（注：提供国家版权局颁发的 《计算机软件著作权登记证书》</w:t>
            </w:r>
            <w:r>
              <w:rPr>
                <w:rFonts w:hint="eastAsia" w:ascii="宋体" w:hAnsi="宋体" w:cs="宋体"/>
                <w:b/>
                <w:bCs/>
                <w:color w:val="auto"/>
                <w:kern w:val="0"/>
                <w:szCs w:val="21"/>
                <w:u w:val="none" w:color="auto"/>
                <w:lang w:val="en-US" w:eastAsia="zh-CN" w:bidi="ar"/>
              </w:rPr>
              <w:t>复印件</w:t>
            </w:r>
            <w:r>
              <w:rPr>
                <w:rFonts w:hint="eastAsia" w:ascii="宋体" w:hAnsi="宋体" w:cs="宋体"/>
                <w:b/>
                <w:bCs/>
                <w:color w:val="auto"/>
                <w:kern w:val="0"/>
                <w:szCs w:val="21"/>
                <w:u w:val="none" w:color="auto"/>
                <w:lang w:bidi="ar"/>
              </w:rPr>
              <w:t>加盖公章</w:t>
            </w:r>
            <w:r>
              <w:rPr>
                <w:rFonts w:hint="eastAsia" w:ascii="宋体" w:hAnsi="宋体" w:cs="宋体"/>
                <w:b/>
                <w:bCs/>
                <w:color w:val="auto"/>
                <w:kern w:val="0"/>
                <w:szCs w:val="21"/>
                <w:u w:val="none" w:color="auto"/>
                <w:lang w:eastAsia="zh-CN" w:bidi="ar"/>
              </w:rPr>
              <w:t>）</w:t>
            </w:r>
            <w:r>
              <w:rPr>
                <w:rFonts w:hint="eastAsia" w:ascii="宋体" w:hAnsi="宋体" w:cs="宋体"/>
                <w:b/>
                <w:bCs/>
                <w:color w:val="auto"/>
                <w:kern w:val="0"/>
                <w:szCs w:val="21"/>
                <w:u w:val="none" w:color="auto"/>
                <w:lang w:bidi="ar"/>
              </w:rPr>
              <w:t xml:space="preserve"> </w:t>
            </w:r>
          </w:p>
        </w:tc>
        <w:tc>
          <w:tcPr>
            <w:tcW w:w="732" w:type="dxa"/>
            <w:noWrap/>
            <w:vAlign w:val="center"/>
          </w:tcPr>
          <w:p w14:paraId="221638A6">
            <w:pPr>
              <w:ind w:firstLine="210" w:firstLineChars="100"/>
              <w:rPr>
                <w:rFonts w:ascii="Times New Roman" w:hAnsi="Times New Roman"/>
                <w:color w:val="auto"/>
                <w:szCs w:val="22"/>
                <w:u w:val="none" w:color="auto"/>
              </w:rPr>
            </w:pPr>
            <w:r>
              <w:rPr>
                <w:rFonts w:hint="eastAsia" w:ascii="Times New Roman" w:hAnsi="Times New Roman"/>
                <w:color w:val="auto"/>
                <w:szCs w:val="22"/>
                <w:u w:val="none" w:color="auto"/>
                <w:lang w:val="en-US" w:eastAsia="zh-CN"/>
              </w:rPr>
              <w:t xml:space="preserve"> </w:t>
            </w:r>
          </w:p>
        </w:tc>
      </w:tr>
      <w:bookmarkEnd w:id="4"/>
      <w:tr w14:paraId="1B0D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1135" w:type="dxa"/>
            <w:vMerge w:val="continue"/>
            <w:noWrap/>
            <w:vAlign w:val="center"/>
          </w:tcPr>
          <w:p w14:paraId="1243653B">
            <w:pPr>
              <w:spacing w:line="312" w:lineRule="auto"/>
              <w:jc w:val="center"/>
              <w:rPr>
                <w:rFonts w:ascii="Times New Roman" w:hAnsi="Times New Roman"/>
                <w:color w:val="auto"/>
                <w:szCs w:val="22"/>
                <w:u w:val="none" w:color="auto"/>
              </w:rPr>
            </w:pPr>
          </w:p>
        </w:tc>
        <w:tc>
          <w:tcPr>
            <w:tcW w:w="1134" w:type="dxa"/>
            <w:shd w:val="clear" w:color="auto" w:fill="FFFFFF"/>
            <w:noWrap/>
            <w:vAlign w:val="center"/>
          </w:tcPr>
          <w:p w14:paraId="7B98BB71">
            <w:pPr>
              <w:jc w:val="center"/>
              <w:rPr>
                <w:rFonts w:hint="eastAsia" w:ascii="宋体" w:hAnsi="宋体" w:cs="宋体"/>
                <w:color w:val="auto"/>
                <w:szCs w:val="21"/>
                <w:u w:val="none" w:color="auto"/>
              </w:rPr>
            </w:pPr>
            <w:r>
              <w:rPr>
                <w:rFonts w:hint="eastAsia" w:ascii="宋体" w:hAnsi="宋体" w:cs="宋体"/>
                <w:color w:val="auto"/>
                <w:szCs w:val="21"/>
                <w:u w:val="none" w:color="auto"/>
              </w:rPr>
              <w:t>项目理解</w:t>
            </w:r>
          </w:p>
          <w:p w14:paraId="3C1D0971">
            <w:pPr>
              <w:jc w:val="center"/>
              <w:rPr>
                <w:rFonts w:hint="eastAsia" w:ascii="宋体" w:hAnsi="宋体"/>
                <w:color w:val="auto"/>
                <w:szCs w:val="21"/>
                <w:u w:val="none" w:color="auto"/>
                <w:lang w:val="zh-CN"/>
              </w:rPr>
            </w:pPr>
            <w:r>
              <w:rPr>
                <w:rFonts w:hint="eastAsia" w:ascii="宋体" w:hAnsi="宋体" w:cs="宋体"/>
                <w:color w:val="auto"/>
                <w:szCs w:val="21"/>
                <w:u w:val="none" w:color="auto"/>
              </w:rPr>
              <w:t>（1</w:t>
            </w:r>
            <w:r>
              <w:rPr>
                <w:rFonts w:hint="eastAsia" w:ascii="宋体" w:hAnsi="宋体" w:cs="宋体"/>
                <w:color w:val="auto"/>
                <w:szCs w:val="21"/>
                <w:u w:val="none" w:color="auto"/>
                <w:lang w:val="en-US" w:eastAsia="zh-CN"/>
              </w:rPr>
              <w:t>0</w:t>
            </w:r>
            <w:r>
              <w:rPr>
                <w:rFonts w:hint="eastAsia" w:ascii="宋体" w:hAnsi="宋体" w:cs="宋体"/>
                <w:color w:val="auto"/>
                <w:szCs w:val="21"/>
                <w:u w:val="none" w:color="auto"/>
              </w:rPr>
              <w:t>分）</w:t>
            </w:r>
          </w:p>
        </w:tc>
        <w:tc>
          <w:tcPr>
            <w:tcW w:w="7476" w:type="dxa"/>
            <w:shd w:val="clear" w:color="auto" w:fill="FFFFFF"/>
            <w:noWrap/>
            <w:vAlign w:val="center"/>
          </w:tcPr>
          <w:p w14:paraId="4F4B1223">
            <w:pPr>
              <w:snapToGrid w:val="0"/>
              <w:rPr>
                <w:rFonts w:ascii="Times New Roman" w:hAnsi="Times New Roman"/>
                <w:color w:val="auto"/>
                <w:szCs w:val="21"/>
                <w:u w:val="none" w:color="auto"/>
              </w:rPr>
            </w:pPr>
            <w:r>
              <w:rPr>
                <w:rFonts w:hint="eastAsia" w:ascii="Times New Roman" w:hAnsi="Times New Roman"/>
                <w:color w:val="auto"/>
                <w:szCs w:val="21"/>
                <w:u w:val="none" w:color="auto"/>
              </w:rPr>
              <w:t>对项目背景及需求的理解全面、准确，对整体工作、内容和技术要求的分析情况：</w:t>
            </w:r>
          </w:p>
          <w:p w14:paraId="3C749F7B">
            <w:pPr>
              <w:snapToGrid w:val="0"/>
              <w:rPr>
                <w:rFonts w:ascii="Times New Roman" w:hAnsi="Times New Roman"/>
                <w:color w:val="auto"/>
                <w:szCs w:val="21"/>
                <w:u w:val="none" w:color="auto"/>
              </w:rPr>
            </w:pPr>
            <w:r>
              <w:rPr>
                <w:rFonts w:hint="eastAsia" w:ascii="Times New Roman" w:hAnsi="Times New Roman"/>
                <w:color w:val="auto"/>
                <w:szCs w:val="21"/>
                <w:u w:val="none" w:color="auto"/>
              </w:rPr>
              <w:t>了解分析全面的，得</w:t>
            </w:r>
            <w:r>
              <w:rPr>
                <w:rFonts w:hint="eastAsia" w:ascii="宋体" w:hAnsi="宋体" w:cs="宋体"/>
                <w:color w:val="auto"/>
                <w:szCs w:val="21"/>
                <w:u w:val="none" w:color="auto"/>
                <w:lang w:val="en-US" w:eastAsia="zh-CN"/>
              </w:rPr>
              <w:t>10</w:t>
            </w:r>
            <w:r>
              <w:rPr>
                <w:rFonts w:hint="eastAsia" w:ascii="Times New Roman" w:hAnsi="Times New Roman"/>
                <w:color w:val="auto"/>
                <w:szCs w:val="21"/>
                <w:u w:val="none" w:color="auto"/>
              </w:rPr>
              <w:t>分，</w:t>
            </w:r>
          </w:p>
          <w:p w14:paraId="2905B277">
            <w:pPr>
              <w:snapToGrid w:val="0"/>
              <w:rPr>
                <w:rFonts w:ascii="Times New Roman" w:hAnsi="Times New Roman"/>
                <w:color w:val="auto"/>
                <w:szCs w:val="21"/>
                <w:u w:val="none" w:color="auto"/>
              </w:rPr>
            </w:pPr>
            <w:r>
              <w:rPr>
                <w:rFonts w:hint="eastAsia" w:ascii="Times New Roman" w:hAnsi="Times New Roman"/>
                <w:color w:val="auto"/>
                <w:szCs w:val="21"/>
                <w:u w:val="none" w:color="auto"/>
              </w:rPr>
              <w:t>了解分析基本全面的，得</w:t>
            </w:r>
            <w:r>
              <w:rPr>
                <w:rFonts w:hint="eastAsia" w:ascii="Times New Roman" w:hAnsi="Times New Roman"/>
                <w:color w:val="auto"/>
                <w:szCs w:val="21"/>
                <w:u w:val="none" w:color="auto"/>
                <w:lang w:val="en-US" w:eastAsia="zh-CN"/>
              </w:rPr>
              <w:t>6</w:t>
            </w:r>
            <w:r>
              <w:rPr>
                <w:rFonts w:hint="eastAsia" w:ascii="Times New Roman" w:hAnsi="Times New Roman"/>
                <w:color w:val="auto"/>
                <w:szCs w:val="21"/>
                <w:u w:val="none" w:color="auto"/>
              </w:rPr>
              <w:t>分，</w:t>
            </w:r>
          </w:p>
          <w:p w14:paraId="4B5E0C68">
            <w:pPr>
              <w:snapToGrid w:val="0"/>
              <w:rPr>
                <w:rFonts w:ascii="Times New Roman" w:hAnsi="Times New Roman"/>
                <w:color w:val="auto"/>
                <w:szCs w:val="21"/>
                <w:u w:val="none" w:color="auto"/>
              </w:rPr>
            </w:pPr>
            <w:r>
              <w:rPr>
                <w:rFonts w:hint="eastAsia" w:ascii="Times New Roman" w:hAnsi="Times New Roman"/>
                <w:color w:val="auto"/>
                <w:szCs w:val="21"/>
                <w:u w:val="none" w:color="auto"/>
              </w:rPr>
              <w:t>了解简单的，得2分；</w:t>
            </w:r>
          </w:p>
          <w:p w14:paraId="32B017AF">
            <w:pPr>
              <w:widowControl/>
              <w:jc w:val="left"/>
              <w:textAlignment w:val="center"/>
              <w:rPr>
                <w:rFonts w:hint="eastAsia" w:ascii="宋体" w:hAnsi="宋体" w:cs="宋体"/>
                <w:color w:val="auto"/>
                <w:kern w:val="0"/>
                <w:szCs w:val="21"/>
                <w:u w:val="none" w:color="auto"/>
                <w:lang w:bidi="ar"/>
              </w:rPr>
            </w:pPr>
            <w:r>
              <w:rPr>
                <w:rFonts w:hint="eastAsia" w:ascii="Times New Roman" w:hAnsi="Times New Roman"/>
                <w:color w:val="auto"/>
                <w:szCs w:val="21"/>
                <w:u w:val="none" w:color="auto"/>
              </w:rPr>
              <w:t>未提及此项不得分。</w:t>
            </w:r>
          </w:p>
        </w:tc>
        <w:tc>
          <w:tcPr>
            <w:tcW w:w="732" w:type="dxa"/>
            <w:noWrap/>
            <w:vAlign w:val="center"/>
          </w:tcPr>
          <w:p w14:paraId="69FD0419">
            <w:pPr>
              <w:ind w:firstLine="210" w:firstLineChars="100"/>
              <w:rPr>
                <w:rFonts w:ascii="Times New Roman" w:hAnsi="Times New Roman"/>
                <w:color w:val="auto"/>
                <w:szCs w:val="22"/>
                <w:u w:val="none" w:color="auto"/>
              </w:rPr>
            </w:pPr>
          </w:p>
        </w:tc>
      </w:tr>
      <w:tr w14:paraId="1ACD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1135" w:type="dxa"/>
            <w:vMerge w:val="continue"/>
            <w:noWrap/>
            <w:vAlign w:val="center"/>
          </w:tcPr>
          <w:p w14:paraId="4596A227">
            <w:pPr>
              <w:spacing w:line="312" w:lineRule="auto"/>
              <w:jc w:val="center"/>
              <w:rPr>
                <w:rFonts w:ascii="Times New Roman" w:hAnsi="Times New Roman"/>
                <w:color w:val="auto"/>
                <w:szCs w:val="22"/>
                <w:u w:val="none" w:color="auto"/>
              </w:rPr>
            </w:pPr>
          </w:p>
        </w:tc>
        <w:tc>
          <w:tcPr>
            <w:tcW w:w="1134" w:type="dxa"/>
            <w:noWrap/>
            <w:vAlign w:val="center"/>
          </w:tcPr>
          <w:p w14:paraId="365CC51B">
            <w:pPr>
              <w:jc w:val="center"/>
              <w:rPr>
                <w:rFonts w:hint="eastAsia" w:ascii="宋体" w:hAnsi="宋体"/>
                <w:color w:val="auto"/>
                <w:szCs w:val="21"/>
                <w:u w:val="none" w:color="auto"/>
                <w:lang w:val="zh-CN"/>
              </w:rPr>
            </w:pPr>
            <w:r>
              <w:rPr>
                <w:rFonts w:hint="eastAsia" w:ascii="宋体" w:hAnsi="宋体"/>
                <w:color w:val="auto"/>
                <w:szCs w:val="21"/>
                <w:u w:val="none" w:color="auto"/>
                <w:lang w:val="zh-CN"/>
              </w:rPr>
              <w:t>技术参数满足程度（</w:t>
            </w:r>
            <w:r>
              <w:rPr>
                <w:rFonts w:hint="eastAsia" w:ascii="宋体" w:hAnsi="宋体"/>
                <w:color w:val="auto"/>
                <w:szCs w:val="21"/>
                <w:u w:val="none" w:color="auto"/>
                <w:lang w:val="en-US" w:eastAsia="zh-CN"/>
              </w:rPr>
              <w:t>18</w:t>
            </w:r>
            <w:r>
              <w:rPr>
                <w:rFonts w:hint="eastAsia" w:ascii="宋体" w:hAnsi="宋体"/>
                <w:color w:val="auto"/>
                <w:szCs w:val="21"/>
                <w:u w:val="none" w:color="auto"/>
                <w:lang w:val="zh-CN"/>
              </w:rPr>
              <w:t>分）</w:t>
            </w:r>
          </w:p>
        </w:tc>
        <w:tc>
          <w:tcPr>
            <w:tcW w:w="7476" w:type="dxa"/>
            <w:shd w:val="clear" w:color="auto" w:fill="FFFFFF"/>
            <w:noWrap/>
            <w:vAlign w:val="center"/>
          </w:tcPr>
          <w:p w14:paraId="5C152C22">
            <w:pPr>
              <w:widowControl/>
              <w:jc w:val="left"/>
              <w:textAlignment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技术指标及功能描述的详细程度及满足程度 ：</w:t>
            </w:r>
          </w:p>
          <w:p w14:paraId="5B8D81CD">
            <w:pPr>
              <w:widowControl/>
              <w:jc w:val="left"/>
              <w:textAlignment w:val="center"/>
              <w:rPr>
                <w:rFonts w:hint="default" w:ascii="宋体" w:hAnsi="宋体" w:eastAsia="宋体" w:cs="宋体"/>
                <w:color w:val="auto"/>
                <w:lang w:val="en-US" w:eastAsia="zh-CN"/>
              </w:rPr>
            </w:pPr>
            <w:r>
              <w:rPr>
                <w:rFonts w:hint="eastAsia" w:ascii="宋体" w:hAnsi="宋体" w:eastAsia="宋体" w:cs="宋体"/>
                <w:color w:val="auto"/>
                <w:lang w:val="en-US" w:eastAsia="zh-CN"/>
              </w:rPr>
              <w:t>1.招标文件采购需求：</w:t>
            </w:r>
            <w:r>
              <w:rPr>
                <w:rFonts w:hint="eastAsia" w:ascii="宋体" w:hAnsi="宋体" w:eastAsia="宋体" w:cs="宋体"/>
                <w:color w:val="auto"/>
                <w:lang w:eastAsia="zh-CN"/>
              </w:rPr>
              <w:t>“</w:t>
            </w:r>
            <w:r>
              <w:rPr>
                <w:rFonts w:hint="eastAsia" w:ascii="宋体" w:hAnsi="宋体" w:eastAsia="宋体" w:cs="宋体"/>
                <w:color w:val="auto"/>
                <w:lang w:val="en-US" w:eastAsia="zh-CN"/>
              </w:rPr>
              <w:t>三、主要内容</w:t>
            </w:r>
            <w:r>
              <w:rPr>
                <w:rFonts w:hint="eastAsia" w:ascii="宋体" w:hAnsi="宋体" w:eastAsia="宋体" w:cs="宋体"/>
                <w:color w:val="auto"/>
                <w:lang w:eastAsia="zh-CN"/>
              </w:rPr>
              <w:t>”</w:t>
            </w:r>
            <w:r>
              <w:rPr>
                <w:rFonts w:hint="eastAsia" w:ascii="宋体" w:hAnsi="宋体" w:eastAsia="宋体" w:cs="宋体"/>
                <w:color w:val="auto"/>
                <w:lang w:val="en-US" w:eastAsia="zh-CN"/>
              </w:rPr>
              <w:t>中打“</w:t>
            </w:r>
            <w:r>
              <w:rPr>
                <w:rFonts w:hint="eastAsia" w:ascii="宋体" w:hAnsi="宋体" w:eastAsia="宋体" w:cs="宋体"/>
                <w:color w:val="auto"/>
                <w:kern w:val="0"/>
                <w:szCs w:val="21"/>
                <w:u w:val="none" w:color="auto"/>
                <w:lang w:val="en-US" w:eastAsia="zh-CN"/>
              </w:rPr>
              <w:t>▲</w:t>
            </w:r>
            <w:r>
              <w:rPr>
                <w:rFonts w:hint="eastAsia" w:ascii="宋体" w:hAnsi="宋体" w:eastAsia="宋体" w:cs="宋体"/>
                <w:color w:val="auto"/>
                <w:lang w:val="en-US" w:eastAsia="zh-CN"/>
              </w:rPr>
              <w:t>”的技术参数，每满足一项得3分，最多得9分。（需提供相关设计截图或功能实现详述，未提供或负偏离不得分）</w:t>
            </w:r>
          </w:p>
          <w:p w14:paraId="44D6AB24">
            <w:pPr>
              <w:widowControl/>
              <w:numPr>
                <w:ilvl w:val="0"/>
                <w:numId w:val="0"/>
              </w:numPr>
              <w:jc w:val="left"/>
              <w:textAlignment w:val="center"/>
              <w:rPr>
                <w:rFonts w:hint="default" w:eastAsia="宋体"/>
                <w:color w:val="auto"/>
                <w:lang w:val="en-US" w:eastAsia="zh-CN"/>
              </w:rPr>
            </w:pPr>
            <w:r>
              <w:rPr>
                <w:rFonts w:hint="eastAsia" w:ascii="宋体" w:hAnsi="宋体" w:eastAsia="宋体" w:cs="宋体"/>
                <w:color w:val="auto"/>
                <w:lang w:val="en-US" w:eastAsia="zh-CN"/>
              </w:rPr>
              <w:t>2.招标文件采购需求：</w:t>
            </w:r>
            <w:r>
              <w:rPr>
                <w:rFonts w:hint="eastAsia" w:ascii="宋体" w:hAnsi="宋体" w:eastAsia="宋体" w:cs="宋体"/>
                <w:color w:val="auto"/>
                <w:lang w:eastAsia="zh-CN"/>
              </w:rPr>
              <w:t>“</w:t>
            </w:r>
            <w:r>
              <w:rPr>
                <w:rFonts w:hint="eastAsia" w:ascii="宋体" w:hAnsi="宋体" w:eastAsia="宋体" w:cs="宋体"/>
                <w:color w:val="auto"/>
                <w:lang w:val="en-US" w:eastAsia="zh-CN"/>
              </w:rPr>
              <w:t>三、主要内容</w:t>
            </w:r>
            <w:r>
              <w:rPr>
                <w:rFonts w:hint="eastAsia" w:ascii="宋体" w:hAnsi="宋体" w:eastAsia="宋体" w:cs="宋体"/>
                <w:color w:val="auto"/>
                <w:lang w:eastAsia="zh-CN"/>
              </w:rPr>
              <w:t>”</w:t>
            </w:r>
            <w:r>
              <w:rPr>
                <w:rFonts w:hint="eastAsia" w:ascii="宋体" w:hAnsi="宋体" w:cs="宋体"/>
                <w:color w:val="auto"/>
                <w:lang w:val="en-US" w:eastAsia="zh-CN"/>
              </w:rPr>
              <w:t>中除</w:t>
            </w:r>
            <w:r>
              <w:rPr>
                <w:rFonts w:hint="eastAsia" w:ascii="宋体" w:hAnsi="宋体" w:eastAsia="宋体" w:cs="宋体"/>
                <w:color w:val="auto"/>
                <w:lang w:val="en-US" w:eastAsia="zh-CN"/>
              </w:rPr>
              <w:t>打“</w:t>
            </w:r>
            <w:r>
              <w:rPr>
                <w:rFonts w:hint="eastAsia" w:ascii="宋体" w:hAnsi="宋体" w:eastAsia="宋体" w:cs="宋体"/>
                <w:color w:val="auto"/>
                <w:kern w:val="0"/>
                <w:szCs w:val="21"/>
                <w:u w:val="none" w:color="auto"/>
                <w:lang w:val="en-US" w:eastAsia="zh-CN"/>
              </w:rPr>
              <w:t>▲</w:t>
            </w:r>
            <w:r>
              <w:rPr>
                <w:rFonts w:hint="eastAsia" w:ascii="宋体" w:hAnsi="宋体" w:eastAsia="宋体" w:cs="宋体"/>
                <w:color w:val="auto"/>
                <w:lang w:val="en-US" w:eastAsia="zh-CN"/>
              </w:rPr>
              <w:t>”</w:t>
            </w:r>
            <w:r>
              <w:rPr>
                <w:rFonts w:hint="eastAsia" w:ascii="宋体" w:hAnsi="宋体" w:cs="宋体"/>
                <w:color w:val="auto"/>
                <w:lang w:val="en-US" w:eastAsia="zh-CN"/>
              </w:rPr>
              <w:t>外</w:t>
            </w:r>
            <w:r>
              <w:rPr>
                <w:rFonts w:hint="eastAsia" w:ascii="宋体" w:hAnsi="宋体" w:eastAsia="宋体" w:cs="宋体"/>
                <w:color w:val="auto"/>
                <w:lang w:val="en-US" w:eastAsia="zh-CN"/>
              </w:rPr>
              <w:t>的</w:t>
            </w:r>
            <w:r>
              <w:rPr>
                <w:rFonts w:hint="eastAsia" w:ascii="宋体" w:hAnsi="宋体" w:cs="宋体"/>
                <w:color w:val="auto"/>
                <w:lang w:val="en-US" w:eastAsia="zh-CN"/>
              </w:rPr>
              <w:t>其它</w:t>
            </w:r>
            <w:r>
              <w:rPr>
                <w:rFonts w:hint="eastAsia" w:ascii="宋体" w:hAnsi="宋体" w:eastAsia="宋体" w:cs="宋体"/>
                <w:color w:val="auto"/>
                <w:lang w:val="en-US" w:eastAsia="zh-CN"/>
              </w:rPr>
              <w:t>技术参数</w:t>
            </w:r>
            <w:r>
              <w:rPr>
                <w:rFonts w:hint="eastAsia" w:ascii="宋体" w:hAnsi="宋体" w:cs="宋体"/>
                <w:color w:val="auto"/>
                <w:lang w:val="en-US" w:eastAsia="zh-CN"/>
              </w:rPr>
              <w:t>：每满足一项得1.5分，最多得9分。</w:t>
            </w:r>
          </w:p>
        </w:tc>
        <w:tc>
          <w:tcPr>
            <w:tcW w:w="732" w:type="dxa"/>
            <w:noWrap/>
            <w:vAlign w:val="center"/>
          </w:tcPr>
          <w:p w14:paraId="55E43FA3">
            <w:pPr>
              <w:ind w:firstLine="210" w:firstLineChars="100"/>
              <w:rPr>
                <w:rFonts w:ascii="Times New Roman" w:hAnsi="Times New Roman"/>
                <w:color w:val="auto"/>
                <w:szCs w:val="22"/>
                <w:u w:val="none" w:color="auto"/>
              </w:rPr>
            </w:pPr>
            <w:r>
              <w:rPr>
                <w:rFonts w:hint="eastAsia" w:ascii="Times New Roman" w:hAnsi="Times New Roman"/>
                <w:color w:val="auto"/>
                <w:szCs w:val="22"/>
                <w:u w:val="none" w:color="auto"/>
                <w:lang w:val="en-US" w:eastAsia="zh-CN"/>
              </w:rPr>
              <w:t xml:space="preserve"> </w:t>
            </w:r>
          </w:p>
        </w:tc>
      </w:tr>
      <w:tr w14:paraId="12E5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135" w:type="dxa"/>
            <w:vMerge w:val="continue"/>
            <w:noWrap/>
            <w:vAlign w:val="center"/>
          </w:tcPr>
          <w:p w14:paraId="6B9664C4">
            <w:pPr>
              <w:spacing w:line="312" w:lineRule="auto"/>
              <w:jc w:val="center"/>
              <w:rPr>
                <w:rFonts w:ascii="Times New Roman" w:hAnsi="Times New Roman"/>
                <w:color w:val="auto"/>
                <w:szCs w:val="22"/>
                <w:u w:val="none" w:color="auto"/>
              </w:rPr>
            </w:pPr>
          </w:p>
        </w:tc>
        <w:tc>
          <w:tcPr>
            <w:tcW w:w="1134" w:type="dxa"/>
            <w:shd w:val="clear" w:color="auto" w:fill="FFFFFF"/>
            <w:noWrap/>
            <w:vAlign w:val="center"/>
          </w:tcPr>
          <w:p w14:paraId="59E06BBF">
            <w:pPr>
              <w:jc w:val="center"/>
              <w:rPr>
                <w:rFonts w:hint="eastAsia" w:ascii="宋体" w:hAnsi="宋体" w:cs="宋体"/>
                <w:color w:val="auto"/>
                <w:szCs w:val="21"/>
                <w:u w:val="none" w:color="auto"/>
              </w:rPr>
            </w:pPr>
            <w:r>
              <w:rPr>
                <w:rFonts w:hint="eastAsia" w:ascii="宋体" w:hAnsi="宋体" w:cs="宋体"/>
                <w:color w:val="auto"/>
                <w:szCs w:val="21"/>
                <w:u w:val="none" w:color="auto"/>
              </w:rPr>
              <w:t>项目工作思路及整体方案</w:t>
            </w:r>
          </w:p>
          <w:p w14:paraId="05498DC5">
            <w:pPr>
              <w:jc w:val="center"/>
              <w:rPr>
                <w:rFonts w:hint="eastAsia" w:ascii="宋体" w:hAnsi="宋体"/>
                <w:color w:val="auto"/>
                <w:szCs w:val="21"/>
                <w:u w:val="none" w:color="auto"/>
                <w:lang w:val="zh-CN"/>
              </w:rPr>
            </w:pPr>
            <w:r>
              <w:rPr>
                <w:rFonts w:hint="eastAsia" w:ascii="宋体" w:hAnsi="宋体" w:cs="宋体"/>
                <w:color w:val="auto"/>
                <w:szCs w:val="21"/>
                <w:u w:val="none" w:color="auto"/>
              </w:rPr>
              <w:t>（1</w:t>
            </w:r>
            <w:r>
              <w:rPr>
                <w:rFonts w:hint="eastAsia" w:ascii="宋体" w:hAnsi="宋体" w:cs="宋体"/>
                <w:color w:val="auto"/>
                <w:szCs w:val="22"/>
                <w:u w:val="none" w:color="auto"/>
              </w:rPr>
              <w:t>0</w:t>
            </w:r>
            <w:r>
              <w:rPr>
                <w:rFonts w:hint="eastAsia" w:ascii="宋体" w:hAnsi="宋体" w:cs="宋体"/>
                <w:color w:val="auto"/>
                <w:szCs w:val="21"/>
                <w:u w:val="none" w:color="auto"/>
              </w:rPr>
              <w:t>分）</w:t>
            </w:r>
          </w:p>
        </w:tc>
        <w:tc>
          <w:tcPr>
            <w:tcW w:w="7476" w:type="dxa"/>
            <w:shd w:val="clear" w:color="auto" w:fill="FFFFFF"/>
            <w:noWrap/>
            <w:vAlign w:val="center"/>
          </w:tcPr>
          <w:p w14:paraId="1D838AFA">
            <w:pPr>
              <w:rPr>
                <w:rFonts w:hint="eastAsia" w:ascii="宋体" w:hAnsi="宋体" w:cs="宋体"/>
                <w:color w:val="auto"/>
                <w:szCs w:val="21"/>
                <w:u w:val="none" w:color="auto"/>
              </w:rPr>
            </w:pPr>
            <w:r>
              <w:rPr>
                <w:rFonts w:hint="eastAsia" w:ascii="宋体" w:hAnsi="宋体" w:cs="宋体"/>
                <w:color w:val="auto"/>
                <w:szCs w:val="21"/>
                <w:u w:val="none" w:color="auto"/>
              </w:rPr>
              <w:t>对本项目任务的总体工作思路和技术路线，提出的整体实施方案与需求吻合，具体全面等:</w:t>
            </w:r>
          </w:p>
          <w:p w14:paraId="5D69EE9A">
            <w:pPr>
              <w:rPr>
                <w:rFonts w:hint="eastAsia" w:ascii="宋体" w:hAnsi="宋体" w:cs="宋体"/>
                <w:color w:val="auto"/>
                <w:szCs w:val="21"/>
                <w:u w:val="none" w:color="auto"/>
              </w:rPr>
            </w:pPr>
            <w:r>
              <w:rPr>
                <w:rFonts w:hint="eastAsia" w:ascii="宋体" w:hAnsi="宋体" w:cs="宋体"/>
                <w:bCs/>
                <w:color w:val="auto"/>
                <w:szCs w:val="21"/>
                <w:u w:val="none" w:color="auto"/>
              </w:rPr>
              <w:t>技术路线清晰，方案全面完整的，得</w:t>
            </w:r>
            <w:r>
              <w:rPr>
                <w:rFonts w:hint="eastAsia" w:ascii="宋体" w:hAnsi="宋体" w:cs="宋体"/>
                <w:color w:val="auto"/>
                <w:szCs w:val="21"/>
                <w:u w:val="none" w:color="auto"/>
              </w:rPr>
              <w:t>1</w:t>
            </w:r>
            <w:r>
              <w:rPr>
                <w:rFonts w:hint="eastAsia" w:ascii="宋体" w:hAnsi="宋体" w:cs="宋体"/>
                <w:color w:val="auto"/>
                <w:szCs w:val="22"/>
                <w:u w:val="none" w:color="auto"/>
              </w:rPr>
              <w:t>0</w:t>
            </w:r>
            <w:r>
              <w:rPr>
                <w:rFonts w:hint="eastAsia" w:ascii="宋体" w:hAnsi="宋体" w:cs="宋体"/>
                <w:color w:val="auto"/>
                <w:szCs w:val="21"/>
                <w:u w:val="none" w:color="auto"/>
              </w:rPr>
              <w:t>分；</w:t>
            </w:r>
          </w:p>
          <w:p w14:paraId="3AB10A0C">
            <w:pPr>
              <w:rPr>
                <w:rFonts w:hint="eastAsia" w:ascii="宋体" w:hAnsi="宋体" w:cs="宋体"/>
                <w:color w:val="auto"/>
                <w:szCs w:val="21"/>
                <w:u w:val="none" w:color="auto"/>
              </w:rPr>
            </w:pPr>
            <w:r>
              <w:rPr>
                <w:rFonts w:hint="eastAsia" w:ascii="宋体" w:hAnsi="宋体" w:cs="宋体"/>
                <w:bCs/>
                <w:color w:val="auto"/>
                <w:szCs w:val="21"/>
                <w:u w:val="none" w:color="auto"/>
              </w:rPr>
              <w:t>方案基本完整的，得</w:t>
            </w:r>
            <w:r>
              <w:rPr>
                <w:rFonts w:hint="eastAsia" w:ascii="宋体" w:hAnsi="宋体" w:cs="宋体"/>
                <w:color w:val="auto"/>
                <w:szCs w:val="22"/>
                <w:u w:val="none" w:color="auto"/>
              </w:rPr>
              <w:t>6</w:t>
            </w:r>
            <w:r>
              <w:rPr>
                <w:rFonts w:hint="eastAsia" w:ascii="宋体" w:hAnsi="宋体" w:cs="宋体"/>
                <w:color w:val="auto"/>
                <w:szCs w:val="21"/>
                <w:u w:val="none" w:color="auto"/>
              </w:rPr>
              <w:t>分；</w:t>
            </w:r>
          </w:p>
          <w:p w14:paraId="2384CB4B">
            <w:pPr>
              <w:rPr>
                <w:rFonts w:hint="eastAsia" w:ascii="宋体" w:hAnsi="宋体" w:cs="宋体"/>
                <w:color w:val="auto"/>
                <w:kern w:val="0"/>
                <w:szCs w:val="21"/>
                <w:u w:val="none" w:color="auto"/>
                <w:lang w:bidi="ar"/>
              </w:rPr>
            </w:pPr>
            <w:r>
              <w:rPr>
                <w:rFonts w:hint="eastAsia" w:ascii="宋体" w:hAnsi="宋体" w:cs="宋体"/>
                <w:bCs/>
                <w:color w:val="auto"/>
                <w:szCs w:val="21"/>
                <w:u w:val="none" w:color="auto"/>
              </w:rPr>
              <w:t>方案简单的，得2</w:t>
            </w:r>
            <w:r>
              <w:rPr>
                <w:rFonts w:hint="eastAsia" w:ascii="宋体" w:hAnsi="宋体" w:cs="宋体"/>
                <w:color w:val="auto"/>
                <w:szCs w:val="21"/>
                <w:u w:val="none" w:color="auto"/>
              </w:rPr>
              <w:t>分；</w:t>
            </w:r>
            <w:r>
              <w:rPr>
                <w:rFonts w:hint="eastAsia" w:ascii="宋体" w:hAnsi="宋体" w:cs="宋体"/>
                <w:bCs/>
                <w:color w:val="auto"/>
                <w:szCs w:val="21"/>
                <w:u w:val="none" w:color="auto"/>
                <w:lang w:val="zh-CN"/>
              </w:rPr>
              <w:t>未提及此项不得分。</w:t>
            </w:r>
          </w:p>
        </w:tc>
        <w:tc>
          <w:tcPr>
            <w:tcW w:w="732" w:type="dxa"/>
            <w:noWrap/>
            <w:vAlign w:val="center"/>
          </w:tcPr>
          <w:p w14:paraId="7D0D978D">
            <w:pPr>
              <w:ind w:firstLine="210" w:firstLineChars="100"/>
              <w:rPr>
                <w:rFonts w:ascii="Times New Roman" w:hAnsi="Times New Roman"/>
                <w:color w:val="auto"/>
                <w:szCs w:val="22"/>
                <w:u w:val="none" w:color="auto"/>
              </w:rPr>
            </w:pPr>
          </w:p>
        </w:tc>
      </w:tr>
      <w:tr w14:paraId="545A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jc w:val="center"/>
        </w:trPr>
        <w:tc>
          <w:tcPr>
            <w:tcW w:w="1135" w:type="dxa"/>
            <w:vMerge w:val="continue"/>
            <w:noWrap/>
            <w:vAlign w:val="center"/>
          </w:tcPr>
          <w:p w14:paraId="42AE3DBB">
            <w:pPr>
              <w:spacing w:line="312" w:lineRule="auto"/>
              <w:jc w:val="center"/>
              <w:rPr>
                <w:rFonts w:ascii="Times New Roman" w:hAnsi="Times New Roman"/>
                <w:color w:val="auto"/>
                <w:szCs w:val="22"/>
                <w:u w:val="none" w:color="auto"/>
              </w:rPr>
            </w:pPr>
          </w:p>
        </w:tc>
        <w:tc>
          <w:tcPr>
            <w:tcW w:w="1134" w:type="dxa"/>
            <w:shd w:val="clear" w:color="auto" w:fill="FFFFFF"/>
            <w:noWrap/>
            <w:vAlign w:val="center"/>
          </w:tcPr>
          <w:p w14:paraId="5548E74D">
            <w:pPr>
              <w:snapToGrid w:val="0"/>
              <w:jc w:val="center"/>
              <w:rPr>
                <w:rFonts w:hint="eastAsia" w:ascii="宋体" w:hAnsi="宋体" w:cs="宋体"/>
                <w:color w:val="auto"/>
                <w:szCs w:val="21"/>
                <w:u w:val="none" w:color="auto"/>
              </w:rPr>
            </w:pPr>
            <w:r>
              <w:rPr>
                <w:rFonts w:hint="eastAsia" w:ascii="宋体" w:hAnsi="宋体" w:cs="宋体"/>
                <w:color w:val="auto"/>
                <w:szCs w:val="21"/>
                <w:u w:val="none" w:color="auto"/>
              </w:rPr>
              <w:t>重难点分析及解决方案</w:t>
            </w:r>
          </w:p>
          <w:p w14:paraId="69758550">
            <w:pPr>
              <w:jc w:val="center"/>
              <w:rPr>
                <w:rFonts w:hint="eastAsia" w:ascii="宋体" w:hAnsi="宋体"/>
                <w:color w:val="auto"/>
                <w:szCs w:val="21"/>
                <w:u w:val="none" w:color="auto"/>
                <w:lang w:val="zh-CN"/>
              </w:rPr>
            </w:pPr>
            <w:r>
              <w:rPr>
                <w:rFonts w:hint="eastAsia" w:ascii="宋体" w:hAnsi="宋体" w:cs="宋体"/>
                <w:color w:val="auto"/>
                <w:szCs w:val="21"/>
                <w:u w:val="none" w:color="auto"/>
              </w:rPr>
              <w:t>（10分）</w:t>
            </w:r>
          </w:p>
        </w:tc>
        <w:tc>
          <w:tcPr>
            <w:tcW w:w="7476" w:type="dxa"/>
            <w:shd w:val="clear" w:color="auto" w:fill="FFFFFF"/>
            <w:noWrap/>
            <w:vAlign w:val="center"/>
          </w:tcPr>
          <w:p w14:paraId="0D54B973">
            <w:pPr>
              <w:jc w:val="left"/>
              <w:rPr>
                <w:rFonts w:hint="eastAsia" w:ascii="宋体" w:hAnsi="宋体" w:cs="宋体"/>
                <w:color w:val="auto"/>
                <w:szCs w:val="21"/>
                <w:u w:val="none" w:color="auto"/>
              </w:rPr>
            </w:pPr>
            <w:r>
              <w:rPr>
                <w:rFonts w:hint="eastAsia" w:ascii="宋体" w:hAnsi="宋体" w:cs="宋体"/>
                <w:color w:val="auto"/>
                <w:szCs w:val="21"/>
                <w:u w:val="none" w:color="auto"/>
              </w:rPr>
              <w:t>投标人对项目的重点难点分析，阐述项目实施过程中将会遇到的问题，包括</w:t>
            </w:r>
            <w:r>
              <w:rPr>
                <w:rFonts w:hint="eastAsia" w:ascii="宋体" w:hAnsi="宋体" w:cs="宋体"/>
                <w:color w:val="auto"/>
                <w:szCs w:val="21"/>
                <w:u w:val="none" w:color="auto"/>
                <w:lang w:val="en-US" w:eastAsia="zh-CN"/>
              </w:rPr>
              <w:t>对</w:t>
            </w:r>
            <w:r>
              <w:rPr>
                <w:rFonts w:hint="eastAsia" w:ascii="宋体" w:hAnsi="宋体" w:cs="宋体"/>
                <w:color w:val="auto"/>
                <w:szCs w:val="21"/>
                <w:u w:val="none" w:color="auto"/>
              </w:rPr>
              <w:t>工作要点、关键点作分级分析，对项目工作重难点问题的解决方案及采取的对应措施等：</w:t>
            </w:r>
          </w:p>
          <w:p w14:paraId="6FE09ABE">
            <w:pPr>
              <w:jc w:val="left"/>
              <w:rPr>
                <w:rFonts w:hint="eastAsia" w:ascii="宋体" w:hAnsi="宋体" w:cs="宋体"/>
                <w:color w:val="auto"/>
                <w:szCs w:val="21"/>
                <w:u w:val="none" w:color="auto"/>
              </w:rPr>
            </w:pPr>
            <w:r>
              <w:rPr>
                <w:rFonts w:hint="eastAsia" w:ascii="宋体" w:hAnsi="宋体" w:cs="宋体"/>
                <w:color w:val="auto"/>
                <w:szCs w:val="21"/>
                <w:u w:val="none" w:color="auto"/>
              </w:rPr>
              <w:t>分析层级清晰，深刻透彻，有详尽处理方法的，得10分；</w:t>
            </w:r>
          </w:p>
          <w:p w14:paraId="0CA79683">
            <w:pPr>
              <w:jc w:val="left"/>
              <w:rPr>
                <w:rFonts w:hint="eastAsia" w:ascii="宋体" w:hAnsi="宋体" w:cs="宋体"/>
                <w:color w:val="auto"/>
                <w:szCs w:val="21"/>
                <w:u w:val="none" w:color="auto"/>
              </w:rPr>
            </w:pPr>
            <w:r>
              <w:rPr>
                <w:rFonts w:hint="eastAsia" w:ascii="宋体" w:hAnsi="宋体" w:cs="宋体"/>
                <w:color w:val="auto"/>
                <w:szCs w:val="21"/>
                <w:u w:val="none" w:color="auto"/>
              </w:rPr>
              <w:t>分析基本合理的，有处理方法但阐述不够详尽的，得6分；</w:t>
            </w:r>
          </w:p>
          <w:p w14:paraId="5C1DDB2F">
            <w:pPr>
              <w:jc w:val="left"/>
              <w:rPr>
                <w:rFonts w:hint="eastAsia" w:ascii="宋体" w:hAnsi="宋体" w:cs="宋体"/>
                <w:color w:val="auto"/>
                <w:kern w:val="0"/>
                <w:szCs w:val="21"/>
                <w:u w:val="none" w:color="auto"/>
                <w:lang w:bidi="ar"/>
              </w:rPr>
            </w:pPr>
            <w:r>
              <w:rPr>
                <w:rFonts w:hint="eastAsia" w:ascii="宋体" w:hAnsi="宋体" w:cs="宋体"/>
                <w:color w:val="auto"/>
                <w:szCs w:val="21"/>
                <w:u w:val="none" w:color="auto"/>
              </w:rPr>
              <w:t>分析片面，处理方法缺乏针对性的，得2分；</w:t>
            </w:r>
            <w:r>
              <w:rPr>
                <w:rFonts w:hint="eastAsia" w:ascii="宋体" w:hAnsi="宋体" w:cs="宋体"/>
                <w:color w:val="auto"/>
                <w:szCs w:val="21"/>
                <w:u w:val="none" w:color="auto"/>
                <w:lang w:val="zh-CN"/>
              </w:rPr>
              <w:t>未提及此项不得分。</w:t>
            </w:r>
          </w:p>
        </w:tc>
        <w:tc>
          <w:tcPr>
            <w:tcW w:w="732" w:type="dxa"/>
            <w:noWrap/>
            <w:vAlign w:val="center"/>
          </w:tcPr>
          <w:p w14:paraId="65B313F7">
            <w:pPr>
              <w:ind w:firstLine="210" w:firstLineChars="100"/>
              <w:rPr>
                <w:rFonts w:ascii="Times New Roman" w:hAnsi="Times New Roman"/>
                <w:color w:val="auto"/>
                <w:szCs w:val="22"/>
                <w:u w:val="none" w:color="auto"/>
              </w:rPr>
            </w:pPr>
          </w:p>
        </w:tc>
      </w:tr>
      <w:tr w14:paraId="1878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1135" w:type="dxa"/>
            <w:vMerge w:val="continue"/>
            <w:noWrap/>
            <w:vAlign w:val="center"/>
          </w:tcPr>
          <w:p w14:paraId="6157492A">
            <w:pPr>
              <w:spacing w:line="312" w:lineRule="auto"/>
              <w:jc w:val="center"/>
              <w:rPr>
                <w:rFonts w:ascii="Times New Roman" w:hAnsi="Times New Roman"/>
                <w:color w:val="auto"/>
                <w:szCs w:val="22"/>
                <w:u w:val="none" w:color="auto"/>
              </w:rPr>
            </w:pPr>
          </w:p>
        </w:tc>
        <w:tc>
          <w:tcPr>
            <w:tcW w:w="1134" w:type="dxa"/>
            <w:vMerge w:val="restart"/>
            <w:shd w:val="clear" w:color="auto" w:fill="FFFFFF"/>
            <w:noWrap/>
            <w:vAlign w:val="center"/>
          </w:tcPr>
          <w:p w14:paraId="1356218C">
            <w:pPr>
              <w:jc w:val="center"/>
              <w:rPr>
                <w:rFonts w:hint="eastAsia" w:ascii="宋体" w:hAnsi="宋体" w:cs="宋体"/>
                <w:color w:val="auto"/>
                <w:szCs w:val="21"/>
                <w:u w:val="none" w:color="auto"/>
              </w:rPr>
            </w:pPr>
            <w:r>
              <w:rPr>
                <w:rFonts w:hint="eastAsia" w:ascii="Times New Roman"/>
                <w:color w:val="auto"/>
                <w:kern w:val="0"/>
                <w:szCs w:val="22"/>
                <w:u w:val="none" w:color="auto"/>
              </w:rPr>
              <w:t>售后服务方案情况（7分）</w:t>
            </w:r>
          </w:p>
        </w:tc>
        <w:tc>
          <w:tcPr>
            <w:tcW w:w="7476" w:type="dxa"/>
            <w:shd w:val="clear" w:color="auto" w:fill="FFFFFF"/>
            <w:noWrap/>
            <w:vAlign w:val="center"/>
          </w:tcPr>
          <w:p w14:paraId="70A2CD9E">
            <w:pPr>
              <w:adjustRightInd w:val="0"/>
              <w:snapToGrid w:val="0"/>
              <w:rPr>
                <w:rFonts w:ascii="Times New Roman" w:hAnsi="Times New Roman"/>
                <w:color w:val="auto"/>
                <w:szCs w:val="21"/>
                <w:u w:val="none" w:color="auto"/>
              </w:rPr>
            </w:pPr>
            <w:r>
              <w:rPr>
                <w:rFonts w:hint="eastAsia" w:ascii="Times New Roman" w:hAnsi="Times New Roman"/>
                <w:color w:val="auto"/>
                <w:szCs w:val="21"/>
                <w:u w:val="none" w:color="auto"/>
              </w:rPr>
              <w:t>投标人提供服务售后维护机构和人员等情况，售后服务承诺的完整性以及服务承诺落实的保障措施等情况；对该项目提供全程的维修服务和系统保障：</w:t>
            </w:r>
          </w:p>
          <w:p w14:paraId="0A77221B">
            <w:pPr>
              <w:adjustRightInd w:val="0"/>
              <w:snapToGrid w:val="0"/>
              <w:rPr>
                <w:rFonts w:ascii="Times New Roman" w:hAnsi="Times New Roman"/>
                <w:color w:val="auto"/>
                <w:szCs w:val="21"/>
                <w:u w:val="none" w:color="auto"/>
              </w:rPr>
            </w:pPr>
            <w:r>
              <w:rPr>
                <w:rFonts w:hint="eastAsia" w:ascii="Times New Roman" w:hAnsi="Times New Roman"/>
                <w:color w:val="auto"/>
                <w:szCs w:val="21"/>
                <w:u w:val="none" w:color="auto"/>
              </w:rPr>
              <w:t>售后服务承诺完整，保障措施全面的，得3分；</w:t>
            </w:r>
          </w:p>
          <w:p w14:paraId="69A05E91">
            <w:pPr>
              <w:adjustRightInd w:val="0"/>
              <w:snapToGrid w:val="0"/>
              <w:rPr>
                <w:rFonts w:hint="eastAsia" w:ascii="宋体" w:hAnsi="宋体" w:cs="宋体"/>
                <w:color w:val="auto"/>
                <w:szCs w:val="21"/>
                <w:u w:val="none" w:color="auto"/>
                <w:lang w:val="zh-CN"/>
              </w:rPr>
            </w:pPr>
            <w:r>
              <w:rPr>
                <w:rFonts w:hint="eastAsia" w:ascii="Times New Roman" w:hAnsi="Times New Roman"/>
                <w:color w:val="auto"/>
                <w:szCs w:val="21"/>
                <w:u w:val="none" w:color="auto"/>
              </w:rPr>
              <w:t>售后服务承诺基本全面的，得1分； 不满足要求或未提及的不得分。</w:t>
            </w:r>
          </w:p>
        </w:tc>
        <w:tc>
          <w:tcPr>
            <w:tcW w:w="732" w:type="dxa"/>
            <w:noWrap/>
            <w:vAlign w:val="center"/>
          </w:tcPr>
          <w:p w14:paraId="3A7B2376">
            <w:pPr>
              <w:ind w:firstLine="210" w:firstLineChars="100"/>
              <w:rPr>
                <w:rFonts w:ascii="Times New Roman" w:hAnsi="Times New Roman"/>
                <w:color w:val="auto"/>
                <w:szCs w:val="22"/>
                <w:u w:val="none" w:color="auto"/>
              </w:rPr>
            </w:pPr>
          </w:p>
        </w:tc>
      </w:tr>
      <w:tr w14:paraId="2859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1135" w:type="dxa"/>
            <w:vMerge w:val="continue"/>
            <w:noWrap/>
            <w:vAlign w:val="center"/>
          </w:tcPr>
          <w:p w14:paraId="1936A19F">
            <w:pPr>
              <w:spacing w:line="312" w:lineRule="auto"/>
              <w:jc w:val="center"/>
              <w:rPr>
                <w:rFonts w:ascii="Times New Roman" w:hAnsi="Times New Roman"/>
                <w:color w:val="auto"/>
                <w:szCs w:val="22"/>
                <w:u w:val="none" w:color="auto"/>
              </w:rPr>
            </w:pPr>
          </w:p>
        </w:tc>
        <w:tc>
          <w:tcPr>
            <w:tcW w:w="1134" w:type="dxa"/>
            <w:vMerge w:val="continue"/>
            <w:shd w:val="clear" w:color="auto" w:fill="FFFFFF"/>
            <w:noWrap/>
            <w:vAlign w:val="center"/>
          </w:tcPr>
          <w:p w14:paraId="79A2FAC4">
            <w:pPr>
              <w:jc w:val="center"/>
              <w:rPr>
                <w:rFonts w:hint="eastAsia" w:ascii="宋体" w:hAnsi="宋体" w:cs="宋体"/>
                <w:color w:val="auto"/>
                <w:szCs w:val="21"/>
                <w:u w:val="none" w:color="auto"/>
              </w:rPr>
            </w:pPr>
          </w:p>
        </w:tc>
        <w:tc>
          <w:tcPr>
            <w:tcW w:w="7476" w:type="dxa"/>
            <w:shd w:val="clear" w:color="auto" w:fill="FFFFFF"/>
            <w:noWrap/>
            <w:vAlign w:val="center"/>
          </w:tcPr>
          <w:p w14:paraId="3F9A3534">
            <w:pPr>
              <w:adjustRightInd w:val="0"/>
              <w:snapToGrid w:val="0"/>
              <w:rPr>
                <w:rFonts w:hint="eastAsia" w:ascii="宋体" w:hAnsi="宋体"/>
                <w:color w:val="auto"/>
                <w:szCs w:val="21"/>
                <w:u w:val="none" w:color="auto"/>
              </w:rPr>
            </w:pPr>
            <w:r>
              <w:rPr>
                <w:rFonts w:hint="eastAsia" w:ascii="宋体" w:hAnsi="宋体"/>
                <w:color w:val="auto"/>
                <w:szCs w:val="21"/>
                <w:u w:val="none" w:color="auto"/>
              </w:rPr>
              <w:t>投标人承诺1小时内（含）到达现场的得4分；2小时内（含）的得3分；3小时内（含）的得1分；其它不得分。</w:t>
            </w:r>
          </w:p>
          <w:p w14:paraId="49664A75">
            <w:pPr>
              <w:adjustRightInd w:val="0"/>
              <w:snapToGrid w:val="0"/>
              <w:rPr>
                <w:rFonts w:hint="eastAsia" w:ascii="宋体" w:hAnsi="宋体" w:cs="宋体"/>
                <w:color w:val="auto"/>
                <w:szCs w:val="21"/>
                <w:u w:val="none" w:color="auto"/>
                <w:lang w:val="zh-CN"/>
              </w:rPr>
            </w:pPr>
            <w:r>
              <w:rPr>
                <w:rFonts w:hint="eastAsia" w:ascii="宋体" w:hAnsi="宋体"/>
                <w:b/>
                <w:bCs/>
                <w:color w:val="auto"/>
                <w:szCs w:val="21"/>
                <w:u w:val="none" w:color="auto"/>
              </w:rPr>
              <w:t>（需承诺或提供相关证明文件，未承诺或不提供不得分，已承诺，中标后又无法兑现承诺的，视为放弃中标（成交）资格，并承担相关责任）</w:t>
            </w:r>
          </w:p>
        </w:tc>
        <w:tc>
          <w:tcPr>
            <w:tcW w:w="732" w:type="dxa"/>
            <w:noWrap/>
            <w:vAlign w:val="center"/>
          </w:tcPr>
          <w:p w14:paraId="07E2A3A4">
            <w:pPr>
              <w:ind w:firstLine="210" w:firstLineChars="100"/>
              <w:rPr>
                <w:rFonts w:ascii="Times New Roman" w:hAnsi="Times New Roman"/>
                <w:color w:val="auto"/>
                <w:szCs w:val="22"/>
                <w:u w:val="none" w:color="auto"/>
              </w:rPr>
            </w:pPr>
            <w:bookmarkStart w:id="7" w:name="_GoBack"/>
            <w:bookmarkEnd w:id="7"/>
          </w:p>
        </w:tc>
      </w:tr>
      <w:tr w14:paraId="786A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135" w:type="dxa"/>
            <w:vMerge w:val="continue"/>
            <w:noWrap/>
            <w:vAlign w:val="center"/>
          </w:tcPr>
          <w:p w14:paraId="2AA49E58">
            <w:pPr>
              <w:spacing w:line="312" w:lineRule="auto"/>
              <w:jc w:val="center"/>
              <w:rPr>
                <w:rFonts w:ascii="Times New Roman" w:hAnsi="Times New Roman"/>
                <w:color w:val="auto"/>
                <w:szCs w:val="22"/>
                <w:u w:val="none" w:color="auto"/>
              </w:rPr>
            </w:pPr>
          </w:p>
        </w:tc>
        <w:tc>
          <w:tcPr>
            <w:tcW w:w="1134" w:type="dxa"/>
            <w:shd w:val="clear" w:color="auto" w:fill="FFFFFF"/>
            <w:noWrap/>
            <w:vAlign w:val="center"/>
          </w:tcPr>
          <w:p w14:paraId="78772581">
            <w:pPr>
              <w:jc w:val="center"/>
              <w:rPr>
                <w:rFonts w:hint="eastAsia" w:ascii="宋体" w:hAnsi="宋体" w:eastAsia="宋体" w:cs="Times New Roman"/>
                <w:color w:val="auto"/>
                <w:szCs w:val="21"/>
                <w:u w:val="none" w:color="auto"/>
              </w:rPr>
            </w:pPr>
            <w:r>
              <w:rPr>
                <w:rFonts w:hint="eastAsia" w:ascii="宋体" w:hAnsi="宋体" w:eastAsia="宋体" w:cs="Times New Roman"/>
                <w:color w:val="auto"/>
                <w:szCs w:val="21"/>
                <w:u w:val="none" w:color="auto"/>
              </w:rPr>
              <w:t>工作计划和流程安排</w:t>
            </w:r>
          </w:p>
          <w:p w14:paraId="550D5FF6">
            <w:pPr>
              <w:jc w:val="center"/>
              <w:rPr>
                <w:rFonts w:hint="eastAsia" w:ascii="宋体" w:hAnsi="宋体" w:cs="宋体"/>
                <w:color w:val="auto"/>
                <w:szCs w:val="21"/>
                <w:u w:val="none" w:color="auto"/>
              </w:rPr>
            </w:pPr>
            <w:r>
              <w:rPr>
                <w:rFonts w:hint="eastAsia" w:ascii="宋体" w:hAnsi="宋体" w:eastAsia="宋体" w:cs="Times New Roman"/>
                <w:color w:val="auto"/>
                <w:szCs w:val="21"/>
                <w:u w:val="none" w:color="auto"/>
              </w:rPr>
              <w:t>（</w:t>
            </w:r>
            <w:r>
              <w:rPr>
                <w:rFonts w:hint="eastAsia" w:ascii="宋体" w:hAnsi="宋体" w:eastAsia="宋体" w:cs="Times New Roman"/>
                <w:color w:val="auto"/>
                <w:szCs w:val="21"/>
                <w:u w:val="none" w:color="auto"/>
                <w:lang w:val="en-US" w:eastAsia="zh-CN"/>
              </w:rPr>
              <w:t>5</w:t>
            </w:r>
            <w:r>
              <w:rPr>
                <w:rFonts w:hint="eastAsia" w:ascii="宋体" w:hAnsi="宋体" w:eastAsia="宋体" w:cs="Times New Roman"/>
                <w:color w:val="auto"/>
                <w:szCs w:val="21"/>
                <w:u w:val="none" w:color="auto"/>
              </w:rPr>
              <w:t>分）</w:t>
            </w:r>
          </w:p>
        </w:tc>
        <w:tc>
          <w:tcPr>
            <w:tcW w:w="7476" w:type="dxa"/>
            <w:shd w:val="clear" w:color="auto" w:fill="FFFFFF"/>
            <w:noWrap/>
            <w:vAlign w:val="center"/>
          </w:tcPr>
          <w:p w14:paraId="53A21060">
            <w:pPr>
              <w:rPr>
                <w:rFonts w:hint="eastAsia" w:ascii="宋体" w:hAnsi="宋体" w:eastAsia="宋体" w:cs="Times New Roman"/>
                <w:color w:val="auto"/>
                <w:szCs w:val="21"/>
                <w:u w:val="none" w:color="auto"/>
              </w:rPr>
            </w:pPr>
            <w:r>
              <w:rPr>
                <w:rFonts w:hint="eastAsia" w:ascii="宋体" w:hAnsi="宋体" w:eastAsia="宋体" w:cs="Times New Roman"/>
                <w:color w:val="auto"/>
                <w:szCs w:val="21"/>
                <w:u w:val="none" w:color="auto"/>
              </w:rPr>
              <w:t>本项目各阶段工作安排计划及计划的合理性，工作流程的清晰程度：</w:t>
            </w:r>
          </w:p>
          <w:p w14:paraId="350BF276">
            <w:pPr>
              <w:rPr>
                <w:rFonts w:hint="eastAsia" w:ascii="宋体" w:hAnsi="宋体" w:eastAsia="宋体" w:cs="Times New Roman"/>
                <w:color w:val="auto"/>
                <w:szCs w:val="21"/>
                <w:u w:val="none" w:color="auto"/>
              </w:rPr>
            </w:pPr>
            <w:r>
              <w:rPr>
                <w:rFonts w:hint="eastAsia" w:ascii="宋体" w:hAnsi="宋体" w:eastAsia="宋体" w:cs="Times New Roman"/>
                <w:color w:val="auto"/>
                <w:szCs w:val="21"/>
                <w:u w:val="none" w:color="auto"/>
              </w:rPr>
              <w:t>进度计划符合要求，内容完整、工作流程清晰的，得</w:t>
            </w:r>
            <w:r>
              <w:rPr>
                <w:rFonts w:hint="eastAsia" w:ascii="宋体" w:hAnsi="宋体" w:eastAsia="宋体" w:cs="Times New Roman"/>
                <w:color w:val="auto"/>
                <w:szCs w:val="21"/>
                <w:u w:val="none" w:color="auto"/>
                <w:lang w:val="en-US" w:eastAsia="zh-CN"/>
              </w:rPr>
              <w:t>5</w:t>
            </w:r>
            <w:r>
              <w:rPr>
                <w:rFonts w:hint="eastAsia" w:ascii="宋体" w:hAnsi="宋体" w:eastAsia="宋体" w:cs="Times New Roman"/>
                <w:color w:val="auto"/>
                <w:szCs w:val="21"/>
                <w:u w:val="none" w:color="auto"/>
              </w:rPr>
              <w:t>分；</w:t>
            </w:r>
          </w:p>
          <w:p w14:paraId="281ECB85">
            <w:pPr>
              <w:rPr>
                <w:rFonts w:hint="eastAsia" w:ascii="宋体" w:hAnsi="宋体" w:eastAsia="宋体" w:cs="Times New Roman"/>
                <w:color w:val="auto"/>
                <w:szCs w:val="21"/>
                <w:u w:val="none" w:color="auto"/>
                <w:lang w:val="en-US" w:eastAsia="zh-CN"/>
              </w:rPr>
            </w:pPr>
            <w:r>
              <w:rPr>
                <w:rFonts w:hint="eastAsia" w:ascii="宋体" w:hAnsi="宋体" w:eastAsia="宋体" w:cs="Times New Roman"/>
                <w:color w:val="auto"/>
                <w:szCs w:val="21"/>
                <w:u w:val="none" w:color="auto"/>
              </w:rPr>
              <w:t>进度计划基本符合要求的，得</w:t>
            </w:r>
            <w:r>
              <w:rPr>
                <w:rFonts w:hint="eastAsia" w:ascii="宋体" w:hAnsi="宋体" w:eastAsia="宋体" w:cs="Times New Roman"/>
                <w:color w:val="auto"/>
                <w:szCs w:val="21"/>
                <w:u w:val="none" w:color="auto"/>
                <w:lang w:val="en-US" w:eastAsia="zh-CN"/>
              </w:rPr>
              <w:t>2</w:t>
            </w:r>
            <w:r>
              <w:rPr>
                <w:rFonts w:hint="eastAsia" w:ascii="宋体" w:hAnsi="宋体" w:eastAsia="宋体" w:cs="Times New Roman"/>
                <w:color w:val="auto"/>
                <w:szCs w:val="21"/>
                <w:u w:val="none" w:color="auto"/>
              </w:rPr>
              <w:t>分；</w:t>
            </w:r>
            <w:r>
              <w:rPr>
                <w:rFonts w:hint="eastAsia" w:ascii="宋体" w:hAnsi="宋体" w:eastAsia="宋体" w:cs="Times New Roman"/>
                <w:color w:val="auto"/>
                <w:szCs w:val="21"/>
                <w:u w:val="none" w:color="auto"/>
                <w:lang w:val="en-US" w:eastAsia="zh-CN"/>
              </w:rPr>
              <w:t xml:space="preserve"> </w:t>
            </w:r>
          </w:p>
          <w:p w14:paraId="3A0F23F5">
            <w:pPr>
              <w:rPr>
                <w:rFonts w:hint="eastAsia" w:ascii="宋体" w:hAnsi="宋体"/>
                <w:b/>
                <w:bCs/>
                <w:color w:val="auto"/>
                <w:szCs w:val="21"/>
                <w:u w:val="none" w:color="auto"/>
              </w:rPr>
            </w:pPr>
            <w:r>
              <w:rPr>
                <w:rFonts w:hint="eastAsia" w:ascii="宋体" w:hAnsi="宋体" w:eastAsia="宋体" w:cs="Times New Roman"/>
                <w:color w:val="auto"/>
                <w:szCs w:val="21"/>
                <w:u w:val="none" w:color="auto"/>
              </w:rPr>
              <w:t>未提及不得分。</w:t>
            </w:r>
          </w:p>
        </w:tc>
        <w:tc>
          <w:tcPr>
            <w:tcW w:w="732" w:type="dxa"/>
            <w:noWrap/>
            <w:vAlign w:val="center"/>
          </w:tcPr>
          <w:p w14:paraId="518D4465">
            <w:pPr>
              <w:ind w:firstLine="210" w:firstLineChars="100"/>
              <w:rPr>
                <w:rFonts w:ascii="Times New Roman" w:hAnsi="Times New Roman"/>
                <w:color w:val="auto"/>
                <w:szCs w:val="22"/>
                <w:u w:val="none" w:color="auto"/>
              </w:rPr>
            </w:pPr>
          </w:p>
        </w:tc>
      </w:tr>
      <w:tr w14:paraId="00CB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35" w:type="dxa"/>
            <w:vMerge w:val="continue"/>
            <w:noWrap/>
            <w:vAlign w:val="center"/>
          </w:tcPr>
          <w:p w14:paraId="466329A2">
            <w:pPr>
              <w:spacing w:line="312" w:lineRule="auto"/>
              <w:jc w:val="center"/>
              <w:rPr>
                <w:rFonts w:ascii="Times New Roman" w:hAnsi="Times New Roman"/>
                <w:color w:val="auto"/>
                <w:szCs w:val="22"/>
                <w:u w:val="none" w:color="auto"/>
              </w:rPr>
            </w:pPr>
          </w:p>
        </w:tc>
        <w:tc>
          <w:tcPr>
            <w:tcW w:w="1134" w:type="dxa"/>
            <w:shd w:val="clear" w:color="auto" w:fill="FFFFFF"/>
            <w:noWrap/>
            <w:vAlign w:val="center"/>
          </w:tcPr>
          <w:p w14:paraId="2234ADA6">
            <w:pPr>
              <w:jc w:val="center"/>
              <w:rPr>
                <w:rFonts w:hint="eastAsia" w:ascii="宋体" w:hAnsi="宋体" w:cs="宋体"/>
                <w:color w:val="auto"/>
                <w:szCs w:val="21"/>
                <w:u w:val="none" w:color="auto"/>
              </w:rPr>
            </w:pPr>
            <w:r>
              <w:rPr>
                <w:rFonts w:hint="eastAsia" w:ascii="Times New Roman" w:hAnsi="Times New Roman"/>
                <w:color w:val="auto"/>
                <w:szCs w:val="22"/>
                <w:u w:val="none" w:color="auto"/>
              </w:rPr>
              <w:t>培训、测试、试运转（5分）</w:t>
            </w:r>
          </w:p>
        </w:tc>
        <w:tc>
          <w:tcPr>
            <w:tcW w:w="7476" w:type="dxa"/>
            <w:shd w:val="clear" w:color="auto" w:fill="FFFFFF"/>
            <w:noWrap/>
            <w:vAlign w:val="center"/>
          </w:tcPr>
          <w:p w14:paraId="79FF39F5">
            <w:pPr>
              <w:rPr>
                <w:rFonts w:hint="eastAsia" w:ascii="宋体" w:hAnsi="宋体"/>
                <w:color w:val="auto"/>
                <w:szCs w:val="21"/>
                <w:u w:val="none" w:color="auto"/>
              </w:rPr>
            </w:pPr>
            <w:r>
              <w:rPr>
                <w:rFonts w:hint="eastAsia" w:ascii="宋体" w:hAnsi="宋体"/>
                <w:color w:val="auto"/>
                <w:szCs w:val="21"/>
                <w:u w:val="none" w:color="auto"/>
              </w:rPr>
              <w:t>投标人提出的功能测试、试运转方案，培训计划完整合理；</w:t>
            </w:r>
          </w:p>
          <w:p w14:paraId="64D163CF">
            <w:pPr>
              <w:rPr>
                <w:rFonts w:hint="eastAsia" w:ascii="宋体" w:hAnsi="宋体"/>
                <w:color w:val="auto"/>
                <w:szCs w:val="21"/>
                <w:u w:val="none" w:color="auto"/>
              </w:rPr>
            </w:pPr>
            <w:r>
              <w:rPr>
                <w:rFonts w:hint="eastAsia" w:ascii="宋体" w:hAnsi="宋体"/>
                <w:color w:val="auto"/>
                <w:szCs w:val="21"/>
                <w:u w:val="none" w:color="auto"/>
              </w:rPr>
              <w:t>方案完整全面的，得5分；</w:t>
            </w:r>
          </w:p>
          <w:p w14:paraId="69086884">
            <w:pPr>
              <w:rPr>
                <w:rFonts w:hint="eastAsia" w:ascii="宋体" w:hAnsi="宋体"/>
                <w:color w:val="auto"/>
                <w:szCs w:val="21"/>
                <w:u w:val="none" w:color="auto"/>
              </w:rPr>
            </w:pPr>
            <w:r>
              <w:rPr>
                <w:rFonts w:hint="eastAsia" w:ascii="宋体" w:hAnsi="宋体"/>
                <w:color w:val="auto"/>
                <w:szCs w:val="21"/>
                <w:u w:val="none" w:color="auto"/>
              </w:rPr>
              <w:t>方案基本完整的，得2分；</w:t>
            </w:r>
          </w:p>
          <w:p w14:paraId="6F42A5C4">
            <w:pPr>
              <w:rPr>
                <w:rFonts w:hint="eastAsia" w:ascii="宋体" w:hAnsi="宋体"/>
                <w:b/>
                <w:bCs/>
                <w:color w:val="auto"/>
                <w:szCs w:val="21"/>
                <w:u w:val="none" w:color="auto"/>
              </w:rPr>
            </w:pPr>
            <w:r>
              <w:rPr>
                <w:rFonts w:hint="eastAsia" w:ascii="宋体" w:hAnsi="宋体"/>
                <w:color w:val="auto"/>
                <w:szCs w:val="21"/>
                <w:u w:val="none" w:color="auto"/>
              </w:rPr>
              <w:t>不满足要求或未提及的不得分。</w:t>
            </w:r>
          </w:p>
        </w:tc>
        <w:tc>
          <w:tcPr>
            <w:tcW w:w="732" w:type="dxa"/>
            <w:noWrap/>
            <w:vAlign w:val="center"/>
          </w:tcPr>
          <w:p w14:paraId="5EF4CDC5">
            <w:pPr>
              <w:ind w:firstLine="210" w:firstLineChars="100"/>
              <w:rPr>
                <w:rFonts w:ascii="Times New Roman" w:hAnsi="Times New Roman"/>
                <w:color w:val="auto"/>
                <w:szCs w:val="22"/>
                <w:u w:val="none" w:color="auto"/>
              </w:rPr>
            </w:pPr>
          </w:p>
        </w:tc>
      </w:tr>
      <w:tr w14:paraId="2CBF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135" w:type="dxa"/>
            <w:vMerge w:val="continue"/>
            <w:noWrap/>
            <w:vAlign w:val="center"/>
          </w:tcPr>
          <w:p w14:paraId="5A699E08">
            <w:pPr>
              <w:spacing w:line="312" w:lineRule="auto"/>
              <w:jc w:val="center"/>
              <w:rPr>
                <w:rFonts w:ascii="Times New Roman" w:hAnsi="Times New Roman"/>
                <w:color w:val="auto"/>
                <w:szCs w:val="22"/>
                <w:u w:val="none" w:color="auto"/>
              </w:rPr>
            </w:pPr>
          </w:p>
        </w:tc>
        <w:tc>
          <w:tcPr>
            <w:tcW w:w="1134" w:type="dxa"/>
            <w:shd w:val="clear" w:color="auto" w:fill="FFFFFF"/>
            <w:noWrap/>
            <w:vAlign w:val="center"/>
          </w:tcPr>
          <w:p w14:paraId="2126E250">
            <w:pPr>
              <w:jc w:val="center"/>
              <w:rPr>
                <w:rFonts w:ascii="Times New Roman" w:hAnsi="Times New Roman"/>
                <w:color w:val="auto"/>
                <w:szCs w:val="22"/>
                <w:u w:val="none" w:color="auto"/>
              </w:rPr>
            </w:pPr>
            <w:r>
              <w:rPr>
                <w:rFonts w:hint="eastAsia" w:ascii="Times New Roman" w:hAnsi="Times New Roman"/>
                <w:color w:val="auto"/>
                <w:szCs w:val="22"/>
                <w:u w:val="none" w:color="auto"/>
              </w:rPr>
              <w:t>质量保证措施和交货情况</w:t>
            </w:r>
          </w:p>
          <w:p w14:paraId="3A038B43">
            <w:pPr>
              <w:jc w:val="center"/>
              <w:rPr>
                <w:rFonts w:hint="eastAsia" w:ascii="宋体" w:hAnsi="宋体" w:cs="宋体"/>
                <w:color w:val="auto"/>
                <w:szCs w:val="21"/>
                <w:u w:val="none" w:color="auto"/>
              </w:rPr>
            </w:pPr>
            <w:r>
              <w:rPr>
                <w:rFonts w:hint="eastAsia" w:ascii="Times New Roman" w:hAnsi="Times New Roman"/>
                <w:color w:val="auto"/>
                <w:szCs w:val="22"/>
                <w:u w:val="none" w:color="auto"/>
              </w:rPr>
              <w:t>（</w:t>
            </w:r>
            <w:r>
              <w:rPr>
                <w:rFonts w:hint="eastAsia" w:ascii="Times New Roman" w:hAnsi="Times New Roman"/>
                <w:color w:val="auto"/>
                <w:szCs w:val="22"/>
                <w:u w:val="none" w:color="auto"/>
                <w:lang w:val="en-US" w:eastAsia="zh-CN"/>
              </w:rPr>
              <w:t>3</w:t>
            </w:r>
            <w:r>
              <w:rPr>
                <w:rFonts w:hint="eastAsia" w:ascii="Times New Roman" w:hAnsi="Times New Roman"/>
                <w:color w:val="auto"/>
                <w:szCs w:val="22"/>
                <w:u w:val="none" w:color="auto"/>
              </w:rPr>
              <w:t>分）</w:t>
            </w:r>
          </w:p>
        </w:tc>
        <w:tc>
          <w:tcPr>
            <w:tcW w:w="7476" w:type="dxa"/>
            <w:shd w:val="clear" w:color="auto" w:fill="FFFFFF"/>
            <w:noWrap/>
            <w:vAlign w:val="center"/>
          </w:tcPr>
          <w:p w14:paraId="520253F3">
            <w:pPr>
              <w:adjustRightInd w:val="0"/>
              <w:snapToGrid w:val="0"/>
              <w:rPr>
                <w:rFonts w:hint="eastAsia" w:ascii="宋体" w:hAnsi="宋体"/>
                <w:color w:val="auto"/>
                <w:szCs w:val="21"/>
                <w:u w:val="none" w:color="auto"/>
              </w:rPr>
            </w:pPr>
            <w:r>
              <w:rPr>
                <w:rFonts w:hint="eastAsia" w:ascii="宋体" w:hAnsi="宋体"/>
                <w:color w:val="auto"/>
                <w:szCs w:val="21"/>
                <w:u w:val="none" w:color="auto"/>
              </w:rPr>
              <w:t>有明确的建设质量目标，按期完成系统集成、运行等措施：实施内容详细的，得</w:t>
            </w:r>
            <w:r>
              <w:rPr>
                <w:rFonts w:hint="eastAsia" w:ascii="宋体" w:hAnsi="宋体"/>
                <w:color w:val="auto"/>
                <w:szCs w:val="21"/>
                <w:u w:val="none" w:color="auto"/>
                <w:lang w:val="en-US" w:eastAsia="zh-CN"/>
              </w:rPr>
              <w:t>3</w:t>
            </w:r>
            <w:r>
              <w:rPr>
                <w:rFonts w:hint="eastAsia" w:ascii="宋体" w:hAnsi="宋体"/>
                <w:color w:val="auto"/>
                <w:szCs w:val="21"/>
                <w:u w:val="none" w:color="auto"/>
              </w:rPr>
              <w:t>分；</w:t>
            </w:r>
          </w:p>
          <w:p w14:paraId="7A1F199F">
            <w:pPr>
              <w:adjustRightInd w:val="0"/>
              <w:snapToGrid w:val="0"/>
              <w:rPr>
                <w:rFonts w:hint="eastAsia" w:ascii="宋体" w:hAnsi="宋体"/>
                <w:b/>
                <w:bCs/>
                <w:color w:val="auto"/>
                <w:szCs w:val="21"/>
                <w:u w:val="none" w:color="auto"/>
              </w:rPr>
            </w:pPr>
            <w:r>
              <w:rPr>
                <w:rFonts w:hint="eastAsia" w:ascii="宋体" w:hAnsi="宋体"/>
                <w:color w:val="auto"/>
                <w:szCs w:val="21"/>
                <w:u w:val="none" w:color="auto"/>
              </w:rPr>
              <w:t>实施内容基本详细的，得</w:t>
            </w:r>
            <w:r>
              <w:rPr>
                <w:rFonts w:hint="eastAsia" w:ascii="宋体" w:hAnsi="宋体"/>
                <w:color w:val="auto"/>
                <w:szCs w:val="21"/>
                <w:u w:val="none" w:color="auto"/>
                <w:lang w:val="en-US" w:eastAsia="zh-CN"/>
              </w:rPr>
              <w:t>1</w:t>
            </w:r>
            <w:r>
              <w:rPr>
                <w:rFonts w:hint="eastAsia" w:ascii="宋体" w:hAnsi="宋体"/>
                <w:color w:val="auto"/>
                <w:szCs w:val="21"/>
                <w:u w:val="none" w:color="auto"/>
              </w:rPr>
              <w:t>分；不满足要求或未提及的不得分。</w:t>
            </w:r>
          </w:p>
        </w:tc>
        <w:tc>
          <w:tcPr>
            <w:tcW w:w="732" w:type="dxa"/>
            <w:noWrap/>
            <w:vAlign w:val="center"/>
          </w:tcPr>
          <w:p w14:paraId="6FF557B3">
            <w:pPr>
              <w:ind w:firstLine="210" w:firstLineChars="100"/>
              <w:rPr>
                <w:rFonts w:ascii="Times New Roman" w:hAnsi="Times New Roman"/>
                <w:color w:val="auto"/>
                <w:szCs w:val="22"/>
                <w:u w:val="none" w:color="auto"/>
              </w:rPr>
            </w:pPr>
          </w:p>
        </w:tc>
      </w:tr>
      <w:tr w14:paraId="1B0C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1" w:hRule="atLeast"/>
          <w:jc w:val="center"/>
        </w:trPr>
        <w:tc>
          <w:tcPr>
            <w:tcW w:w="1135" w:type="dxa"/>
            <w:vMerge w:val="continue"/>
            <w:noWrap/>
            <w:vAlign w:val="center"/>
          </w:tcPr>
          <w:p w14:paraId="11AB45C3">
            <w:pPr>
              <w:spacing w:line="312" w:lineRule="auto"/>
              <w:jc w:val="center"/>
              <w:rPr>
                <w:rFonts w:ascii="Times New Roman" w:hAnsi="Times New Roman"/>
                <w:color w:val="auto"/>
                <w:szCs w:val="22"/>
                <w:u w:val="none" w:color="auto"/>
              </w:rPr>
            </w:pPr>
          </w:p>
        </w:tc>
        <w:tc>
          <w:tcPr>
            <w:tcW w:w="1134" w:type="dxa"/>
            <w:noWrap/>
            <w:vAlign w:val="center"/>
          </w:tcPr>
          <w:p w14:paraId="5629D044">
            <w:pPr>
              <w:jc w:val="center"/>
              <w:rPr>
                <w:rFonts w:hint="eastAsia" w:ascii="Times New Roman"/>
                <w:color w:val="auto"/>
                <w:kern w:val="0"/>
                <w:szCs w:val="22"/>
                <w:u w:val="none" w:color="auto"/>
              </w:rPr>
            </w:pPr>
            <w:r>
              <w:rPr>
                <w:rFonts w:hint="eastAsia" w:ascii="Times New Roman" w:hAnsi="Times New Roman"/>
                <w:color w:val="auto"/>
                <w:szCs w:val="22"/>
                <w:u w:val="none" w:color="auto"/>
              </w:rPr>
              <w:t>项目演示（</w:t>
            </w:r>
            <w:r>
              <w:rPr>
                <w:rFonts w:hint="eastAsia" w:ascii="Times New Roman" w:hAnsi="Times New Roman"/>
                <w:color w:val="auto"/>
                <w:szCs w:val="22"/>
                <w:u w:val="none" w:color="auto"/>
                <w:lang w:val="en-US" w:eastAsia="zh-CN"/>
              </w:rPr>
              <w:t>12</w:t>
            </w:r>
            <w:r>
              <w:rPr>
                <w:rFonts w:hint="eastAsia" w:ascii="Times New Roman" w:hAnsi="Times New Roman"/>
                <w:color w:val="auto"/>
                <w:szCs w:val="22"/>
                <w:u w:val="none" w:color="auto"/>
              </w:rPr>
              <w:t>分）</w:t>
            </w:r>
          </w:p>
        </w:tc>
        <w:tc>
          <w:tcPr>
            <w:tcW w:w="7476" w:type="dxa"/>
            <w:shd w:val="clear" w:color="auto" w:fill="FFFFFF"/>
            <w:noWrap/>
            <w:vAlign w:val="center"/>
          </w:tcPr>
          <w:p w14:paraId="5C82F205">
            <w:pPr>
              <w:adjustRightInd w:val="0"/>
              <w:snapToGrid w:val="0"/>
              <w:rPr>
                <w:rFonts w:hint="eastAsia" w:ascii="宋体" w:hAnsi="宋体"/>
                <w:color w:val="auto"/>
                <w:szCs w:val="21"/>
                <w:u w:val="none" w:color="auto"/>
                <w:lang w:eastAsia="zh-CN"/>
              </w:rPr>
            </w:pPr>
            <w:r>
              <w:rPr>
                <w:rFonts w:hint="eastAsia" w:ascii="宋体" w:hAnsi="宋体"/>
                <w:color w:val="auto"/>
                <w:szCs w:val="21"/>
                <w:u w:val="none" w:color="auto"/>
              </w:rPr>
              <w:t>根据</w:t>
            </w:r>
            <w:r>
              <w:rPr>
                <w:rFonts w:hint="eastAsia" w:ascii="宋体" w:hAnsi="宋体"/>
                <w:color w:val="auto"/>
                <w:szCs w:val="21"/>
                <w:u w:val="none" w:color="auto"/>
                <w:lang w:val="en-US" w:eastAsia="zh-CN"/>
              </w:rPr>
              <w:t>项目建设重要</w:t>
            </w:r>
            <w:r>
              <w:rPr>
                <w:rFonts w:hint="eastAsia" w:ascii="宋体" w:hAnsi="宋体"/>
                <w:color w:val="auto"/>
                <w:szCs w:val="21"/>
                <w:u w:val="none" w:color="auto"/>
              </w:rPr>
              <w:t>内容提供演示材料，演示文件可以是视频或PPT，佐证其所投产品能够实现技术文件中描述的功能，演示时间控制在15分钟以内</w:t>
            </w:r>
            <w:r>
              <w:rPr>
                <w:rFonts w:hint="eastAsia" w:ascii="宋体" w:hAnsi="宋体"/>
                <w:color w:val="auto"/>
                <w:szCs w:val="21"/>
                <w:u w:val="none" w:color="auto"/>
                <w:lang w:eastAsia="zh-CN"/>
              </w:rPr>
              <w:t>。</w:t>
            </w:r>
          </w:p>
          <w:p w14:paraId="32CCBCFF">
            <w:pPr>
              <w:numPr>
                <w:ilvl w:val="0"/>
                <w:numId w:val="4"/>
              </w:numPr>
              <w:adjustRightInd w:val="0"/>
              <w:snapToGrid w:val="0"/>
              <w:rPr>
                <w:rFonts w:hint="eastAsia" w:ascii="宋体" w:hAnsi="宋体"/>
                <w:color w:val="auto"/>
                <w:szCs w:val="21"/>
                <w:u w:val="none" w:color="auto"/>
                <w:lang w:val="en-US" w:eastAsia="zh-CN"/>
              </w:rPr>
            </w:pPr>
            <w:r>
              <w:rPr>
                <w:rFonts w:hint="eastAsia" w:ascii="宋体" w:hAnsi="宋体"/>
                <w:color w:val="auto"/>
                <w:szCs w:val="21"/>
                <w:u w:val="none" w:color="auto"/>
              </w:rPr>
              <w:t>日常监管；（演示系统具备针对涉海涉渔对象实现视频抽查，能与矫正对象实时视频了解近况并在系统记录抽查日志；涉海涉渔对象可以通过APP进行语音汇报，系统自动进行相似度匹配判断是否本人）；</w:t>
            </w:r>
          </w:p>
          <w:p w14:paraId="508E3262">
            <w:pPr>
              <w:numPr>
                <w:ilvl w:val="0"/>
                <w:numId w:val="0"/>
              </w:numPr>
              <w:adjustRightInd w:val="0"/>
              <w:snapToGrid w:val="0"/>
              <w:rPr>
                <w:rFonts w:hint="eastAsia" w:ascii="宋体" w:hAnsi="宋体"/>
                <w:color w:val="auto"/>
                <w:szCs w:val="21"/>
                <w:u w:val="none" w:color="auto"/>
                <w:lang w:val="en-US" w:eastAsia="zh-CN"/>
              </w:rPr>
            </w:pPr>
            <w:r>
              <w:rPr>
                <w:rFonts w:hint="eastAsia" w:ascii="宋体" w:hAnsi="宋体"/>
                <w:color w:val="auto"/>
                <w:szCs w:val="21"/>
                <w:u w:val="none" w:color="auto"/>
                <w:lang w:val="en-US" w:eastAsia="zh-CN"/>
              </w:rPr>
              <w:t>完全满足得4分，基本满足得2分，不满足或未演示不得分。</w:t>
            </w:r>
          </w:p>
          <w:p w14:paraId="20421D52">
            <w:pPr>
              <w:numPr>
                <w:ilvl w:val="0"/>
                <w:numId w:val="4"/>
              </w:numPr>
              <w:adjustRightInd w:val="0"/>
              <w:snapToGrid w:val="0"/>
              <w:ind w:left="0" w:leftChars="0" w:firstLine="0" w:firstLineChars="0"/>
              <w:rPr>
                <w:rFonts w:hint="eastAsia" w:ascii="宋体" w:hAnsi="宋体"/>
                <w:color w:val="auto"/>
                <w:szCs w:val="21"/>
                <w:u w:val="none" w:color="auto"/>
              </w:rPr>
            </w:pPr>
            <w:r>
              <w:rPr>
                <w:rFonts w:hint="eastAsia" w:ascii="宋体" w:hAnsi="宋体"/>
                <w:color w:val="auto"/>
                <w:szCs w:val="21"/>
                <w:u w:val="none" w:color="auto"/>
              </w:rPr>
              <w:t>多跨协同；（演示系统具备卫建委、市场监管局等协同数据对接展示；公安视频数据对接，智能模型自动预警）；</w:t>
            </w:r>
          </w:p>
          <w:p w14:paraId="59014F0F">
            <w:pPr>
              <w:numPr>
                <w:ilvl w:val="0"/>
                <w:numId w:val="0"/>
              </w:numPr>
              <w:adjustRightInd w:val="0"/>
              <w:snapToGrid w:val="0"/>
              <w:ind w:leftChars="0"/>
              <w:rPr>
                <w:rFonts w:hint="eastAsia" w:ascii="宋体" w:hAnsi="宋体"/>
                <w:color w:val="auto"/>
                <w:szCs w:val="21"/>
                <w:u w:val="none" w:color="auto"/>
              </w:rPr>
            </w:pPr>
            <w:r>
              <w:rPr>
                <w:rFonts w:hint="eastAsia" w:ascii="宋体" w:hAnsi="宋体"/>
                <w:color w:val="auto"/>
                <w:szCs w:val="21"/>
                <w:u w:val="none" w:color="auto"/>
                <w:lang w:val="en-US" w:eastAsia="zh-CN"/>
              </w:rPr>
              <w:t>完全满足得4分，基本满足得2分，不满足或未演示不得分。</w:t>
            </w:r>
          </w:p>
          <w:p w14:paraId="1DB3622A">
            <w:pPr>
              <w:numPr>
                <w:ilvl w:val="0"/>
                <w:numId w:val="4"/>
              </w:numPr>
              <w:adjustRightInd w:val="0"/>
              <w:snapToGrid w:val="0"/>
              <w:ind w:left="0" w:leftChars="0" w:firstLine="0" w:firstLineChars="0"/>
              <w:rPr>
                <w:rFonts w:hint="eastAsia" w:ascii="宋体" w:hAnsi="宋体"/>
                <w:color w:val="auto"/>
                <w:szCs w:val="21"/>
                <w:u w:val="none" w:color="auto"/>
              </w:rPr>
            </w:pPr>
            <w:r>
              <w:rPr>
                <w:rFonts w:hint="eastAsia" w:ascii="宋体" w:hAnsi="宋体"/>
                <w:color w:val="auto"/>
                <w:szCs w:val="21"/>
                <w:u w:val="none" w:color="auto"/>
              </w:rPr>
              <w:t>教育帮扶；（演示系统具备根据矫正对象个人画像，自动生成个性化矫正方案的服务；再犯罪风险评估系统支持自动进行风险等级评定，并生成再犯风险评估报告、可信度报告）；</w:t>
            </w:r>
          </w:p>
          <w:p w14:paraId="5411EB72">
            <w:pPr>
              <w:numPr>
                <w:ilvl w:val="0"/>
                <w:numId w:val="0"/>
              </w:numPr>
              <w:adjustRightInd w:val="0"/>
              <w:snapToGrid w:val="0"/>
              <w:ind w:leftChars="0"/>
              <w:rPr>
                <w:rFonts w:hint="eastAsia" w:ascii="Times New Roman" w:hAnsi="Times New Roman"/>
                <w:color w:val="auto"/>
                <w:szCs w:val="21"/>
                <w:u w:val="none" w:color="auto"/>
              </w:rPr>
            </w:pPr>
            <w:r>
              <w:rPr>
                <w:rFonts w:hint="eastAsia" w:ascii="宋体" w:hAnsi="宋体"/>
                <w:color w:val="auto"/>
                <w:szCs w:val="21"/>
                <w:u w:val="none" w:color="auto"/>
                <w:lang w:val="en-US" w:eastAsia="zh-CN"/>
              </w:rPr>
              <w:t>完全满足得4分，基本满足得2分，不满足或未演示不得分。</w:t>
            </w:r>
          </w:p>
        </w:tc>
        <w:tc>
          <w:tcPr>
            <w:tcW w:w="732" w:type="dxa"/>
            <w:noWrap/>
            <w:vAlign w:val="center"/>
          </w:tcPr>
          <w:p w14:paraId="375C5DA9">
            <w:pPr>
              <w:ind w:firstLine="210" w:firstLineChars="100"/>
              <w:rPr>
                <w:rFonts w:ascii="Times New Roman" w:hAnsi="Times New Roman"/>
                <w:color w:val="auto"/>
                <w:szCs w:val="22"/>
                <w:u w:val="none" w:color="auto"/>
              </w:rPr>
            </w:pPr>
          </w:p>
        </w:tc>
      </w:tr>
      <w:tr w14:paraId="4010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135" w:type="dxa"/>
            <w:noWrap/>
            <w:vAlign w:val="center"/>
          </w:tcPr>
          <w:p w14:paraId="2C67664D">
            <w:pPr>
              <w:widowControl/>
              <w:spacing w:line="312" w:lineRule="auto"/>
              <w:ind w:right="-341"/>
              <w:rPr>
                <w:rFonts w:ascii="Times New Roman" w:hAnsi="Times New Roman"/>
                <w:color w:val="auto"/>
                <w:szCs w:val="22"/>
                <w:u w:val="none" w:color="auto"/>
              </w:rPr>
            </w:pPr>
            <w:r>
              <w:rPr>
                <w:rFonts w:hint="eastAsia" w:ascii="Times New Roman" w:hAnsi="Times New Roman"/>
                <w:color w:val="auto"/>
                <w:szCs w:val="22"/>
                <w:u w:val="none" w:color="auto"/>
              </w:rPr>
              <w:t>价格得分</w:t>
            </w:r>
          </w:p>
          <w:p w14:paraId="61129DD4">
            <w:pPr>
              <w:widowControl/>
              <w:spacing w:line="312" w:lineRule="auto"/>
              <w:ind w:right="-341"/>
              <w:rPr>
                <w:rFonts w:ascii="Times New Roman" w:hAnsi="Times New Roman"/>
                <w:color w:val="auto"/>
                <w:szCs w:val="22"/>
                <w:u w:val="none" w:color="auto"/>
              </w:rPr>
            </w:pPr>
            <w:r>
              <w:rPr>
                <w:rFonts w:hint="eastAsia" w:ascii="Times New Roman" w:hAnsi="Times New Roman"/>
                <w:color w:val="auto"/>
                <w:szCs w:val="22"/>
                <w:u w:val="none" w:color="auto"/>
              </w:rPr>
              <w:t>（1</w:t>
            </w:r>
            <w:r>
              <w:rPr>
                <w:rFonts w:ascii="Times New Roman" w:hAnsi="Times New Roman"/>
                <w:color w:val="auto"/>
                <w:szCs w:val="22"/>
                <w:u w:val="none" w:color="auto"/>
              </w:rPr>
              <w:t>0</w:t>
            </w:r>
            <w:r>
              <w:rPr>
                <w:rFonts w:hint="eastAsia" w:ascii="Times New Roman" w:hAnsi="Times New Roman"/>
                <w:color w:val="auto"/>
                <w:szCs w:val="22"/>
                <w:u w:val="none" w:color="auto"/>
              </w:rPr>
              <w:t>分）</w:t>
            </w:r>
          </w:p>
        </w:tc>
        <w:tc>
          <w:tcPr>
            <w:tcW w:w="8610" w:type="dxa"/>
            <w:gridSpan w:val="2"/>
            <w:noWrap/>
            <w:vAlign w:val="center"/>
          </w:tcPr>
          <w:p w14:paraId="66601266">
            <w:pPr>
              <w:spacing w:line="312" w:lineRule="auto"/>
              <w:ind w:right="-341"/>
              <w:rPr>
                <w:rFonts w:ascii="Times New Roman" w:hAnsi="Times New Roman"/>
                <w:color w:val="auto"/>
                <w:szCs w:val="22"/>
                <w:u w:val="none" w:color="auto"/>
              </w:rPr>
            </w:pPr>
            <w:r>
              <w:rPr>
                <w:rFonts w:hint="eastAsia" w:ascii="Times New Roman" w:hAnsi="Times New Roman"/>
                <w:color w:val="auto"/>
                <w:szCs w:val="22"/>
                <w:u w:val="none" w:color="auto"/>
              </w:rPr>
              <w:t>满足投标文件要求且投标报价最低的为评标基准价，其价格分为满分，其他投标人的价格分按下列公式计算：价格得分＝（评标基准价</w:t>
            </w:r>
            <w:r>
              <w:rPr>
                <w:rFonts w:ascii="Times New Roman" w:hAnsi="Times New Roman"/>
                <w:color w:val="auto"/>
                <w:szCs w:val="22"/>
                <w:u w:val="none" w:color="auto"/>
              </w:rPr>
              <w:t>/</w:t>
            </w:r>
            <w:r>
              <w:rPr>
                <w:rFonts w:hint="eastAsia" w:ascii="Times New Roman" w:hAnsi="Times New Roman"/>
                <w:color w:val="auto"/>
                <w:szCs w:val="22"/>
                <w:u w:val="none" w:color="auto"/>
              </w:rPr>
              <w:t>投标报价）</w:t>
            </w:r>
            <w:r>
              <w:rPr>
                <w:rFonts w:ascii="Times New Roman" w:hAnsi="Times New Roman"/>
                <w:color w:val="auto"/>
                <w:szCs w:val="22"/>
                <w:u w:val="none" w:color="auto"/>
              </w:rPr>
              <w:t>×</w:t>
            </w:r>
            <w:r>
              <w:rPr>
                <w:rFonts w:hint="eastAsia" w:ascii="Times New Roman" w:hAnsi="Times New Roman"/>
                <w:color w:val="auto"/>
                <w:szCs w:val="22"/>
                <w:u w:val="none" w:color="auto"/>
              </w:rPr>
              <w:t>价格权重</w:t>
            </w:r>
            <w:r>
              <w:rPr>
                <w:rFonts w:ascii="Times New Roman" w:hAnsi="Times New Roman"/>
                <w:color w:val="auto"/>
                <w:szCs w:val="22"/>
                <w:u w:val="none" w:color="auto"/>
              </w:rPr>
              <w:t>×100</w:t>
            </w:r>
            <w:r>
              <w:rPr>
                <w:rFonts w:hint="eastAsia" w:ascii="Times New Roman" w:hAnsi="Times New Roman"/>
                <w:color w:val="auto"/>
                <w:szCs w:val="22"/>
                <w:u w:val="none" w:color="auto"/>
              </w:rPr>
              <w:t>。</w:t>
            </w:r>
          </w:p>
        </w:tc>
        <w:tc>
          <w:tcPr>
            <w:tcW w:w="732" w:type="dxa"/>
            <w:noWrap/>
          </w:tcPr>
          <w:p w14:paraId="51028BD4">
            <w:pPr>
              <w:ind w:firstLine="210" w:firstLineChars="100"/>
              <w:rPr>
                <w:rFonts w:ascii="Times New Roman" w:hAnsi="Times New Roman"/>
                <w:color w:val="auto"/>
                <w:szCs w:val="22"/>
                <w:u w:val="none" w:color="auto"/>
              </w:rPr>
            </w:pPr>
          </w:p>
        </w:tc>
      </w:tr>
    </w:tbl>
    <w:p w14:paraId="1D2F8576">
      <w:pPr>
        <w:spacing w:line="360" w:lineRule="auto"/>
        <w:ind w:right="-341"/>
        <w:jc w:val="left"/>
        <w:rPr>
          <w:rFonts w:hint="eastAsia" w:ascii="宋体" w:hAnsi="宋体"/>
          <w:b/>
          <w:bCs/>
          <w:color w:val="auto"/>
          <w:kern w:val="0"/>
          <w:szCs w:val="21"/>
          <w:u w:val="none" w:color="auto"/>
        </w:rPr>
      </w:pPr>
    </w:p>
    <w:p w14:paraId="33D50E1D">
      <w:pPr>
        <w:spacing w:line="360" w:lineRule="auto"/>
        <w:ind w:right="-341"/>
        <w:jc w:val="left"/>
        <w:rPr>
          <w:rFonts w:hint="eastAsia" w:ascii="黑体" w:hAnsi="宋体" w:eastAsia="黑体"/>
          <w:color w:val="auto"/>
          <w:sz w:val="30"/>
          <w:u w:val="none" w:color="auto"/>
        </w:rPr>
      </w:pPr>
      <w:r>
        <w:rPr>
          <w:rFonts w:ascii="宋体"/>
          <w:b/>
          <w:bCs/>
          <w:color w:val="auto"/>
          <w:kern w:val="0"/>
          <w:sz w:val="28"/>
          <w:szCs w:val="28"/>
          <w:u w:val="none" w:color="auto"/>
        </w:rPr>
        <w:br w:type="page"/>
      </w:r>
    </w:p>
    <w:p w14:paraId="76F2B78F">
      <w:pPr>
        <w:spacing w:line="360" w:lineRule="auto"/>
        <w:jc w:val="center"/>
        <w:rPr>
          <w:rFonts w:hint="eastAsia" w:ascii="黑体" w:hAnsi="宋体" w:eastAsia="黑体"/>
          <w:sz w:val="30"/>
          <w:u w:val="none" w:color="auto"/>
        </w:rPr>
      </w:pPr>
      <w:r>
        <w:rPr>
          <w:rFonts w:hint="eastAsia" w:ascii="黑体" w:hAnsi="宋体" w:eastAsia="黑体"/>
          <w:sz w:val="30"/>
          <w:u w:val="none" w:color="auto"/>
        </w:rPr>
        <w:t>第五章  合同主要条款</w:t>
      </w:r>
    </w:p>
    <w:p w14:paraId="5AC02BF9">
      <w:pPr>
        <w:snapToGrid w:val="0"/>
        <w:spacing w:line="360" w:lineRule="auto"/>
        <w:ind w:firstLine="896" w:firstLineChars="425"/>
        <w:rPr>
          <w:rFonts w:hint="eastAsia" w:ascii="宋体" w:hAnsi="宋体"/>
          <w:b/>
          <w:kern w:val="0"/>
          <w:szCs w:val="20"/>
          <w:u w:val="none" w:color="auto"/>
        </w:rPr>
      </w:pPr>
    </w:p>
    <w:p w14:paraId="4A12AB1D">
      <w:pPr>
        <w:snapToGrid w:val="0"/>
        <w:jc w:val="center"/>
        <w:rPr>
          <w:rFonts w:hint="eastAsia" w:ascii="宋体" w:hAnsi="宋体"/>
          <w:b/>
          <w:sz w:val="24"/>
          <w:u w:val="none" w:color="auto"/>
        </w:rPr>
      </w:pPr>
      <w:bookmarkStart w:id="5" w:name="_Hlk119311606"/>
      <w:r>
        <w:rPr>
          <w:rFonts w:hint="eastAsia" w:ascii="宋体" w:hAnsi="宋体"/>
          <w:b/>
          <w:sz w:val="24"/>
          <w:u w:val="none" w:color="auto"/>
        </w:rPr>
        <w:t>采购合同</w:t>
      </w:r>
      <w:r>
        <w:rPr>
          <w:rFonts w:ascii="宋体" w:hAnsi="宋体"/>
          <w:b/>
          <w:sz w:val="24"/>
          <w:u w:val="none" w:color="auto"/>
        </w:rPr>
        <w:t>(</w:t>
      </w:r>
      <w:r>
        <w:rPr>
          <w:rFonts w:hint="eastAsia" w:ascii="宋体" w:hAnsi="宋体"/>
          <w:b/>
          <w:sz w:val="24"/>
          <w:u w:val="none" w:color="auto"/>
        </w:rPr>
        <w:t>仅供参考</w:t>
      </w:r>
      <w:r>
        <w:rPr>
          <w:rFonts w:ascii="宋体" w:hAnsi="宋体"/>
          <w:b/>
          <w:sz w:val="24"/>
          <w:u w:val="none" w:color="auto"/>
        </w:rPr>
        <w:t>)</w:t>
      </w:r>
    </w:p>
    <w:p w14:paraId="124611A4">
      <w:pPr>
        <w:spacing w:line="288" w:lineRule="auto"/>
        <w:ind w:firstLine="1256" w:firstLineChars="596"/>
        <w:rPr>
          <w:rFonts w:hint="eastAsia" w:ascii="宋体" w:hAnsi="宋体"/>
          <w:b/>
          <w:kern w:val="0"/>
          <w:szCs w:val="22"/>
          <w:u w:val="none" w:color="auto"/>
        </w:rPr>
      </w:pPr>
      <w:r>
        <w:rPr>
          <w:rFonts w:hint="eastAsia" w:ascii="宋体" w:hAnsi="宋体"/>
          <w:b/>
          <w:kern w:val="0"/>
          <w:szCs w:val="22"/>
          <w:u w:val="none" w:color="auto"/>
        </w:rPr>
        <w:t>招标文件、中标人的投标文件及其澄清文件等，均为合同的组成部分。</w:t>
      </w:r>
    </w:p>
    <w:p w14:paraId="028CAE09">
      <w:pPr>
        <w:spacing w:line="360" w:lineRule="auto"/>
        <w:ind w:firstLine="472" w:firstLineChars="225"/>
        <w:rPr>
          <w:rFonts w:hint="eastAsia" w:ascii="宋体" w:hAnsi="宋体" w:cs="宋体"/>
          <w:szCs w:val="21"/>
          <w:u w:val="none" w:color="auto"/>
        </w:rPr>
      </w:pPr>
    </w:p>
    <w:p w14:paraId="76A75968">
      <w:pPr>
        <w:spacing w:line="288" w:lineRule="auto"/>
        <w:ind w:firstLine="472" w:firstLineChars="225"/>
        <w:rPr>
          <w:rFonts w:hint="eastAsia" w:ascii="宋体" w:hAnsi="宋体" w:cs="宋体"/>
          <w:szCs w:val="21"/>
          <w:u w:val="none" w:color="auto"/>
        </w:rPr>
      </w:pPr>
      <w:r>
        <w:rPr>
          <w:rFonts w:hint="eastAsia" w:ascii="宋体" w:hAnsi="宋体" w:cs="宋体"/>
          <w:szCs w:val="21"/>
          <w:u w:val="none" w:color="auto"/>
        </w:rPr>
        <w:t>甲方：（全称）</w:t>
      </w:r>
    </w:p>
    <w:p w14:paraId="397EA547">
      <w:pPr>
        <w:spacing w:line="288" w:lineRule="auto"/>
        <w:ind w:firstLine="472" w:firstLineChars="225"/>
        <w:rPr>
          <w:rFonts w:hint="eastAsia" w:ascii="宋体" w:hAnsi="宋体" w:cs="宋体"/>
          <w:szCs w:val="21"/>
          <w:u w:val="none" w:color="auto"/>
        </w:rPr>
      </w:pPr>
      <w:r>
        <w:rPr>
          <w:rFonts w:hint="eastAsia" w:ascii="宋体" w:hAnsi="宋体" w:cs="宋体"/>
          <w:szCs w:val="21"/>
          <w:u w:val="none" w:color="auto"/>
        </w:rPr>
        <w:t>乙方：（全称）</w:t>
      </w:r>
    </w:p>
    <w:p w14:paraId="419A661E">
      <w:pPr>
        <w:spacing w:line="288" w:lineRule="auto"/>
        <w:ind w:firstLine="472" w:firstLineChars="225"/>
        <w:rPr>
          <w:rFonts w:hint="eastAsia" w:ascii="宋体" w:hAnsi="宋体" w:cs="宋体"/>
          <w:szCs w:val="21"/>
          <w:u w:val="none" w:color="auto"/>
        </w:rPr>
      </w:pPr>
      <w:r>
        <w:rPr>
          <w:rFonts w:hint="eastAsia" w:ascii="宋体" w:hAnsi="宋体" w:cs="宋体"/>
          <w:szCs w:val="21"/>
          <w:u w:val="none" w:color="auto"/>
        </w:rPr>
        <w:t>依照《中华人民共和国民法典》及其他有关法律、行政法规，遵循平等、自愿、公平和诚实信用的原则，双方就本项目事项协商一致，订立本合同。</w:t>
      </w:r>
    </w:p>
    <w:p w14:paraId="5A5907B0">
      <w:pPr>
        <w:widowControl/>
        <w:spacing w:line="288" w:lineRule="auto"/>
        <w:rPr>
          <w:rFonts w:hint="eastAsia" w:ascii="宋体" w:hAnsi="宋体"/>
          <w:b/>
          <w:bCs/>
          <w:szCs w:val="21"/>
          <w:u w:val="none" w:color="auto"/>
        </w:rPr>
      </w:pPr>
      <w:r>
        <w:rPr>
          <w:rFonts w:hint="eastAsia" w:ascii="宋体" w:hAnsi="宋体" w:cs="宋体"/>
          <w:b/>
          <w:bCs/>
          <w:szCs w:val="21"/>
          <w:u w:val="none" w:color="auto"/>
        </w:rPr>
        <w:t>1.项目概述</w:t>
      </w:r>
    </w:p>
    <w:p w14:paraId="1B4DA7A8">
      <w:pPr>
        <w:spacing w:line="288" w:lineRule="auto"/>
        <w:ind w:firstLine="420" w:firstLineChars="200"/>
        <w:rPr>
          <w:rFonts w:hint="eastAsia" w:ascii="宋体" w:hAnsi="宋体" w:cs="宋体"/>
          <w:b/>
          <w:bCs/>
          <w:kern w:val="0"/>
          <w:szCs w:val="21"/>
          <w:u w:val="none" w:color="auto"/>
        </w:rPr>
      </w:pPr>
      <w:r>
        <w:rPr>
          <w:rFonts w:hint="eastAsia" w:ascii="宋体" w:hAnsi="宋体"/>
          <w:szCs w:val="21"/>
          <w:lang w:val="zh-CN"/>
        </w:rPr>
        <w:t>为全面贯彻落实司法部《关于加快推进全国“智慧矫正”建设的实施意见》（司办通〔2019〕3号）、《浙江省涉海涉渔社区矫正对象外出活动监督管理办法（试行）》（浙检发办字 【2022】127号）、《关于涉海涉渔社区矫正对象监管监督的若干意见》（舟检发办字〔2021〕40号）、舟山市司法局关于印发《舟山市社区矫正对象涉海涉渔外出活动监管监督办法（试行）》的通知的相关指导精神，在更高起点、更高层次、更高目标上全面深化“智慧矫正”建设及涉海涉渔社区矫正对象有效监管，舟山市司法局将在舟山市涉海涉渔社区矫正对象联合管控应用1.0的基础上迭代开发优化，并整合于我市智慧矫正中心创建，极大地推动“智慧矫正舟山特色”建设向纵深发展，为社区矫正工作服务区域治理现代化提供舟山经验。</w:t>
      </w:r>
    </w:p>
    <w:p w14:paraId="0D770F48">
      <w:pPr>
        <w:spacing w:line="288" w:lineRule="auto"/>
        <w:rPr>
          <w:rFonts w:hint="eastAsia" w:ascii="宋体" w:hAnsi="宋体" w:cs="宋体"/>
          <w:b/>
          <w:bCs/>
          <w:kern w:val="0"/>
          <w:szCs w:val="21"/>
          <w:u w:val="none" w:color="auto"/>
        </w:rPr>
      </w:pPr>
      <w:r>
        <w:rPr>
          <w:rFonts w:hint="eastAsia" w:ascii="宋体" w:hAnsi="宋体" w:cs="宋体"/>
          <w:b/>
          <w:bCs/>
          <w:kern w:val="0"/>
          <w:szCs w:val="21"/>
          <w:u w:val="none" w:color="auto"/>
        </w:rPr>
        <w:t>2.需求清单</w:t>
      </w:r>
    </w:p>
    <w:p w14:paraId="71DC808D">
      <w:pPr>
        <w:snapToGrid w:val="0"/>
        <w:spacing w:line="360" w:lineRule="auto"/>
        <w:ind w:firstLine="420" w:firstLineChars="200"/>
        <w:rPr>
          <w:rFonts w:hint="eastAsia"/>
          <w:lang w:val="en-US" w:eastAsia="zh-CN"/>
        </w:rPr>
      </w:pPr>
      <w:r>
        <w:rPr>
          <w:rFonts w:hint="eastAsia" w:ascii="宋体" w:hAnsi="宋体"/>
          <w:szCs w:val="21"/>
        </w:rPr>
        <w:t>舟山市涉海涉渔社区矫正对象联合管控应用2.0升级改造</w:t>
      </w:r>
      <w:r>
        <w:rPr>
          <w:rFonts w:hint="eastAsia" w:ascii="宋体" w:hAnsi="宋体"/>
          <w:szCs w:val="21"/>
          <w:lang w:val="en-US" w:eastAsia="zh-CN"/>
        </w:rPr>
        <w:t>主要</w:t>
      </w:r>
      <w:r>
        <w:rPr>
          <w:rFonts w:hint="eastAsia"/>
          <w:lang w:val="en-US" w:eastAsia="zh-CN"/>
        </w:rPr>
        <w:t>完善浙里办功能，增加浙政钉移动端应用内容，升级优化日常监管、警务处置、多跨协同、教育帮扶等模块，建立涉海涉渔社区矫正数据中心（虚拟中心）。重点优化舟山地方特色功能，实现北斗定位日常核查，打通卫健委就医数据、住宿出行等数据，建立公安视频数据智能分析模型，通过智能分析形成社区矫正对象风险安全预警，做到监管流程全闭环。</w:t>
      </w:r>
    </w:p>
    <w:tbl>
      <w:tblPr>
        <w:tblStyle w:val="29"/>
        <w:tblpPr w:leftFromText="180" w:rightFromText="180" w:vertAnchor="text" w:horzAnchor="page" w:tblpXSpec="center" w:tblpY="184"/>
        <w:tblOverlap w:val="never"/>
        <w:tblW w:w="5099" w:type="pct"/>
        <w:tblInd w:w="337" w:type="dxa"/>
        <w:tblLayout w:type="fixed"/>
        <w:tblCellMar>
          <w:top w:w="0" w:type="dxa"/>
          <w:left w:w="108" w:type="dxa"/>
          <w:bottom w:w="0" w:type="dxa"/>
          <w:right w:w="108" w:type="dxa"/>
        </w:tblCellMar>
      </w:tblPr>
      <w:tblGrid>
        <w:gridCol w:w="703"/>
        <w:gridCol w:w="2968"/>
        <w:gridCol w:w="4526"/>
        <w:gridCol w:w="696"/>
      </w:tblGrid>
      <w:tr w14:paraId="3630BBB0">
        <w:tblPrEx>
          <w:tblCellMar>
            <w:top w:w="0" w:type="dxa"/>
            <w:left w:w="108" w:type="dxa"/>
            <w:bottom w:w="0" w:type="dxa"/>
            <w:right w:w="108" w:type="dxa"/>
          </w:tblCellMar>
        </w:tblPrEx>
        <w:trPr>
          <w:trHeight w:val="256" w:hRule="atLeast"/>
        </w:trPr>
        <w:tc>
          <w:tcPr>
            <w:tcW w:w="395" w:type="pct"/>
            <w:tcBorders>
              <w:top w:val="single" w:color="auto" w:sz="4" w:space="0"/>
              <w:left w:val="single" w:color="auto" w:sz="8" w:space="0"/>
              <w:bottom w:val="single" w:color="auto" w:sz="4" w:space="0"/>
              <w:right w:val="single" w:color="auto" w:sz="4" w:space="0"/>
            </w:tcBorders>
            <w:noWrap/>
            <w:vAlign w:val="center"/>
          </w:tcPr>
          <w:p w14:paraId="7A344E6B">
            <w:pPr>
              <w:widowControl/>
              <w:spacing w:line="360" w:lineRule="auto"/>
              <w:jc w:val="center"/>
              <w:rPr>
                <w:rFonts w:hint="eastAsia" w:ascii="宋体" w:hAnsi="宋体" w:cs="宋体"/>
                <w:b/>
                <w:kern w:val="0"/>
                <w:szCs w:val="21"/>
              </w:rPr>
            </w:pPr>
            <w:r>
              <w:rPr>
                <w:rFonts w:hint="eastAsia" w:ascii="宋体" w:hAnsi="宋体" w:cs="宋体"/>
                <w:b/>
                <w:kern w:val="0"/>
                <w:szCs w:val="21"/>
              </w:rPr>
              <w:t>序号</w:t>
            </w:r>
          </w:p>
        </w:tc>
        <w:tc>
          <w:tcPr>
            <w:tcW w:w="1668" w:type="pct"/>
            <w:tcBorders>
              <w:top w:val="single" w:color="auto" w:sz="4" w:space="0"/>
              <w:left w:val="nil"/>
              <w:bottom w:val="single" w:color="auto" w:sz="4" w:space="0"/>
              <w:right w:val="single" w:color="auto" w:sz="4" w:space="0"/>
            </w:tcBorders>
            <w:noWrap/>
            <w:vAlign w:val="center"/>
          </w:tcPr>
          <w:p w14:paraId="36FCD32B">
            <w:pPr>
              <w:widowControl/>
              <w:spacing w:line="360" w:lineRule="auto"/>
              <w:jc w:val="center"/>
              <w:rPr>
                <w:rFonts w:hint="eastAsia" w:ascii="宋体" w:hAnsi="宋体" w:cs="宋体"/>
                <w:b/>
                <w:kern w:val="0"/>
                <w:szCs w:val="21"/>
              </w:rPr>
            </w:pPr>
            <w:r>
              <w:rPr>
                <w:rFonts w:hint="eastAsia" w:ascii="宋体" w:hAnsi="宋体" w:cs="宋体"/>
                <w:b/>
                <w:kern w:val="0"/>
                <w:szCs w:val="21"/>
              </w:rPr>
              <w:t>需求内容</w:t>
            </w:r>
          </w:p>
        </w:tc>
        <w:tc>
          <w:tcPr>
            <w:tcW w:w="2544" w:type="pct"/>
            <w:tcBorders>
              <w:top w:val="single" w:color="auto" w:sz="4" w:space="0"/>
              <w:left w:val="nil"/>
              <w:bottom w:val="single" w:color="auto" w:sz="4" w:space="0"/>
              <w:right w:val="single" w:color="auto" w:sz="4" w:space="0"/>
            </w:tcBorders>
            <w:vAlign w:val="center"/>
          </w:tcPr>
          <w:p w14:paraId="094AB413">
            <w:pPr>
              <w:widowControl/>
              <w:spacing w:line="360" w:lineRule="auto"/>
              <w:jc w:val="center"/>
              <w:rPr>
                <w:rFonts w:hint="eastAsia" w:ascii="宋体" w:hAnsi="宋体" w:cs="宋体"/>
                <w:b/>
                <w:kern w:val="0"/>
                <w:szCs w:val="21"/>
              </w:rPr>
            </w:pPr>
            <w:r>
              <w:rPr>
                <w:rFonts w:hint="eastAsia" w:ascii="宋体" w:hAnsi="宋体" w:cs="宋体"/>
                <w:b/>
                <w:kern w:val="0"/>
                <w:szCs w:val="21"/>
              </w:rPr>
              <w:t>具体内容</w:t>
            </w:r>
          </w:p>
        </w:tc>
        <w:tc>
          <w:tcPr>
            <w:tcW w:w="391" w:type="pct"/>
            <w:tcBorders>
              <w:top w:val="single" w:color="auto" w:sz="4" w:space="0"/>
              <w:left w:val="single" w:color="auto" w:sz="4" w:space="0"/>
              <w:bottom w:val="single" w:color="auto" w:sz="4" w:space="0"/>
              <w:right w:val="single" w:color="auto" w:sz="8" w:space="0"/>
            </w:tcBorders>
            <w:vAlign w:val="center"/>
          </w:tcPr>
          <w:p w14:paraId="39B967AE">
            <w:pPr>
              <w:widowControl/>
              <w:spacing w:line="360" w:lineRule="auto"/>
              <w:jc w:val="center"/>
              <w:rPr>
                <w:rFonts w:hint="eastAsia" w:ascii="宋体" w:hAnsi="宋体" w:cs="宋体"/>
                <w:b/>
                <w:kern w:val="0"/>
                <w:szCs w:val="21"/>
              </w:rPr>
            </w:pPr>
            <w:r>
              <w:rPr>
                <w:rFonts w:hint="eastAsia" w:ascii="宋体" w:hAnsi="宋体" w:cs="宋体"/>
                <w:b/>
                <w:kern w:val="0"/>
                <w:szCs w:val="21"/>
              </w:rPr>
              <w:t>数量</w:t>
            </w:r>
          </w:p>
        </w:tc>
      </w:tr>
      <w:tr w14:paraId="2556693B">
        <w:tblPrEx>
          <w:tblCellMar>
            <w:top w:w="0" w:type="dxa"/>
            <w:left w:w="108" w:type="dxa"/>
            <w:bottom w:w="0" w:type="dxa"/>
            <w:right w:w="108" w:type="dxa"/>
          </w:tblCellMar>
        </w:tblPrEx>
        <w:trPr>
          <w:trHeight w:val="586" w:hRule="atLeast"/>
        </w:trPr>
        <w:tc>
          <w:tcPr>
            <w:tcW w:w="395" w:type="pct"/>
            <w:tcBorders>
              <w:top w:val="nil"/>
              <w:left w:val="single" w:color="auto" w:sz="8" w:space="0"/>
              <w:bottom w:val="single" w:color="auto" w:sz="4" w:space="0"/>
              <w:right w:val="single" w:color="auto" w:sz="4" w:space="0"/>
            </w:tcBorders>
            <w:noWrap/>
            <w:vAlign w:val="center"/>
          </w:tcPr>
          <w:p w14:paraId="6F931E92">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1668" w:type="pct"/>
            <w:tcBorders>
              <w:top w:val="nil"/>
              <w:left w:val="nil"/>
              <w:bottom w:val="single" w:color="auto" w:sz="4" w:space="0"/>
              <w:right w:val="single" w:color="auto" w:sz="4" w:space="0"/>
            </w:tcBorders>
            <w:noWrap/>
            <w:vAlign w:val="center"/>
          </w:tcPr>
          <w:p w14:paraId="5EAD8116">
            <w:pPr>
              <w:rPr>
                <w:rFonts w:hint="eastAsia" w:ascii="宋体" w:hAnsi="宋体" w:eastAsia="宋体" w:cs="宋体"/>
                <w:szCs w:val="21"/>
                <w:lang w:eastAsia="zh-CN"/>
              </w:rPr>
            </w:pPr>
            <w:r>
              <w:rPr>
                <w:rFonts w:hint="eastAsia" w:ascii="宋体" w:hAnsi="宋体" w:cs="宋体"/>
                <w:szCs w:val="21"/>
              </w:rPr>
              <w:t>共性基础功能</w:t>
            </w:r>
            <w:r>
              <w:rPr>
                <w:rFonts w:hint="eastAsia" w:ascii="宋体" w:hAnsi="宋体" w:cs="宋体"/>
                <w:szCs w:val="21"/>
                <w:lang w:val="en-US" w:eastAsia="zh-CN"/>
              </w:rPr>
              <w:t>数据推送</w:t>
            </w:r>
          </w:p>
        </w:tc>
        <w:tc>
          <w:tcPr>
            <w:tcW w:w="2544" w:type="pct"/>
            <w:tcBorders>
              <w:top w:val="nil"/>
              <w:left w:val="nil"/>
              <w:bottom w:val="single" w:color="auto" w:sz="4" w:space="0"/>
              <w:right w:val="single" w:color="auto" w:sz="4" w:space="0"/>
            </w:tcBorders>
            <w:vAlign w:val="center"/>
          </w:tcPr>
          <w:p w14:paraId="0BD31713">
            <w:pPr>
              <w:jc w:val="left"/>
              <w:rPr>
                <w:rFonts w:hint="eastAsia" w:ascii="宋体" w:hAnsi="宋体" w:cs="宋体"/>
                <w:kern w:val="0"/>
                <w:szCs w:val="21"/>
              </w:rPr>
            </w:pPr>
            <w:r>
              <w:rPr>
                <w:rFonts w:hint="eastAsia" w:ascii="宋体" w:hAnsi="宋体" w:cs="宋体"/>
                <w:kern w:val="0"/>
                <w:szCs w:val="21"/>
              </w:rPr>
              <w:t>主要</w:t>
            </w:r>
            <w:r>
              <w:rPr>
                <w:rFonts w:hint="eastAsia" w:ascii="宋体" w:hAnsi="宋体" w:cs="宋体"/>
                <w:kern w:val="0"/>
                <w:szCs w:val="21"/>
                <w:lang w:val="en-US" w:eastAsia="zh-CN"/>
              </w:rPr>
              <w:t>配合</w:t>
            </w:r>
            <w:r>
              <w:rPr>
                <w:rFonts w:hint="eastAsia" w:ascii="宋体" w:hAnsi="宋体" w:cs="宋体"/>
                <w:kern w:val="0"/>
                <w:szCs w:val="21"/>
              </w:rPr>
              <w:t>省司法厅</w:t>
            </w:r>
            <w:r>
              <w:rPr>
                <w:rFonts w:hint="eastAsia" w:ascii="宋体" w:hAnsi="宋体" w:cs="宋体"/>
                <w:kern w:val="0"/>
                <w:szCs w:val="21"/>
                <w:lang w:val="en-US" w:eastAsia="zh-CN"/>
              </w:rPr>
              <w:t>对涉海涉渔社区矫正对象的外出申请数据和监控中心数据接入省平台</w:t>
            </w:r>
          </w:p>
        </w:tc>
        <w:tc>
          <w:tcPr>
            <w:tcW w:w="391" w:type="pct"/>
            <w:tcBorders>
              <w:top w:val="nil"/>
              <w:left w:val="single" w:color="auto" w:sz="4" w:space="0"/>
              <w:bottom w:val="single" w:color="auto" w:sz="4" w:space="0"/>
              <w:right w:val="single" w:color="auto" w:sz="8" w:space="0"/>
            </w:tcBorders>
            <w:vAlign w:val="center"/>
          </w:tcPr>
          <w:p w14:paraId="7B41FE4D">
            <w:pPr>
              <w:widowControl/>
              <w:spacing w:line="360" w:lineRule="auto"/>
              <w:jc w:val="center"/>
              <w:rPr>
                <w:rFonts w:hint="eastAsia" w:ascii="宋体" w:hAnsi="宋体" w:cs="宋体"/>
                <w:kern w:val="0"/>
                <w:szCs w:val="21"/>
              </w:rPr>
            </w:pPr>
            <w:r>
              <w:rPr>
                <w:rFonts w:hint="eastAsia" w:ascii="宋体" w:hAnsi="宋体" w:cs="宋体"/>
                <w:szCs w:val="21"/>
              </w:rPr>
              <w:t>1</w:t>
            </w:r>
          </w:p>
        </w:tc>
      </w:tr>
      <w:tr w14:paraId="4CBE1BE8">
        <w:tblPrEx>
          <w:tblCellMar>
            <w:top w:w="0" w:type="dxa"/>
            <w:left w:w="108" w:type="dxa"/>
            <w:bottom w:w="0" w:type="dxa"/>
            <w:right w:w="108" w:type="dxa"/>
          </w:tblCellMar>
        </w:tblPrEx>
        <w:trPr>
          <w:trHeight w:val="590" w:hRule="atLeast"/>
        </w:trPr>
        <w:tc>
          <w:tcPr>
            <w:tcW w:w="395" w:type="pct"/>
            <w:tcBorders>
              <w:top w:val="single" w:color="auto" w:sz="4" w:space="0"/>
              <w:left w:val="single" w:color="auto" w:sz="8" w:space="0"/>
              <w:bottom w:val="single" w:color="auto" w:sz="4" w:space="0"/>
              <w:right w:val="single" w:color="auto" w:sz="4" w:space="0"/>
            </w:tcBorders>
            <w:noWrap/>
            <w:vAlign w:val="center"/>
          </w:tcPr>
          <w:p w14:paraId="1BF103F8">
            <w:pPr>
              <w:spacing w:line="360" w:lineRule="auto"/>
              <w:jc w:val="center"/>
              <w:rPr>
                <w:rFonts w:hint="eastAsia" w:ascii="宋体" w:hAnsi="宋体" w:cs="宋体"/>
                <w:szCs w:val="21"/>
              </w:rPr>
            </w:pPr>
            <w:r>
              <w:rPr>
                <w:rFonts w:hint="eastAsia" w:ascii="宋体" w:hAnsi="宋体" w:cs="宋体"/>
                <w:szCs w:val="21"/>
              </w:rPr>
              <w:t>2</w:t>
            </w:r>
          </w:p>
        </w:tc>
        <w:tc>
          <w:tcPr>
            <w:tcW w:w="1668" w:type="pct"/>
            <w:tcBorders>
              <w:top w:val="single" w:color="auto" w:sz="4" w:space="0"/>
              <w:left w:val="nil"/>
              <w:bottom w:val="single" w:color="auto" w:sz="4" w:space="0"/>
              <w:right w:val="single" w:color="auto" w:sz="4" w:space="0"/>
            </w:tcBorders>
            <w:noWrap/>
            <w:vAlign w:val="center"/>
          </w:tcPr>
          <w:p w14:paraId="5DBAD0DF">
            <w:pPr>
              <w:rPr>
                <w:rFonts w:hint="eastAsia" w:ascii="宋体" w:hAnsi="宋体" w:cs="宋体"/>
                <w:szCs w:val="21"/>
              </w:rPr>
            </w:pPr>
            <w:r>
              <w:rPr>
                <w:rFonts w:hint="eastAsia" w:ascii="宋体" w:hAnsi="宋体" w:cs="宋体"/>
                <w:szCs w:val="21"/>
              </w:rPr>
              <w:t>浙政钉对接及应用</w:t>
            </w:r>
          </w:p>
        </w:tc>
        <w:tc>
          <w:tcPr>
            <w:tcW w:w="2544" w:type="pct"/>
            <w:tcBorders>
              <w:top w:val="single" w:color="auto" w:sz="4" w:space="0"/>
              <w:left w:val="nil"/>
              <w:bottom w:val="single" w:color="auto" w:sz="4" w:space="0"/>
              <w:right w:val="single" w:color="auto" w:sz="4" w:space="0"/>
            </w:tcBorders>
            <w:vAlign w:val="center"/>
          </w:tcPr>
          <w:p w14:paraId="3E037F6C">
            <w:pPr>
              <w:widowControl/>
              <w:jc w:val="left"/>
              <w:rPr>
                <w:rFonts w:hint="eastAsia" w:ascii="宋体" w:hAnsi="宋体" w:cs="宋体"/>
                <w:kern w:val="0"/>
                <w:szCs w:val="21"/>
              </w:rPr>
            </w:pPr>
            <w:r>
              <w:rPr>
                <w:rFonts w:hint="eastAsia" w:ascii="宋体" w:hAnsi="宋体" w:cs="宋体"/>
                <w:kern w:val="0"/>
                <w:szCs w:val="21"/>
              </w:rPr>
              <w:t>包含“海之矫”钉应用、扫码登录及消息通知等</w:t>
            </w:r>
          </w:p>
        </w:tc>
        <w:tc>
          <w:tcPr>
            <w:tcW w:w="391" w:type="pct"/>
            <w:tcBorders>
              <w:top w:val="single" w:color="auto" w:sz="4" w:space="0"/>
              <w:left w:val="single" w:color="auto" w:sz="4" w:space="0"/>
              <w:bottom w:val="single" w:color="auto" w:sz="4" w:space="0"/>
              <w:right w:val="single" w:color="auto" w:sz="8" w:space="0"/>
            </w:tcBorders>
            <w:vAlign w:val="center"/>
          </w:tcPr>
          <w:p w14:paraId="1FD12993">
            <w:pPr>
              <w:widowControl/>
              <w:spacing w:line="360" w:lineRule="auto"/>
              <w:jc w:val="center"/>
              <w:rPr>
                <w:rFonts w:hint="eastAsia" w:ascii="宋体" w:hAnsi="宋体" w:cs="宋体"/>
                <w:kern w:val="0"/>
                <w:szCs w:val="21"/>
              </w:rPr>
            </w:pPr>
            <w:r>
              <w:rPr>
                <w:rFonts w:hint="eastAsia" w:ascii="宋体" w:hAnsi="宋体" w:cs="宋体"/>
                <w:kern w:val="0"/>
                <w:szCs w:val="21"/>
              </w:rPr>
              <w:t>1</w:t>
            </w:r>
          </w:p>
        </w:tc>
      </w:tr>
      <w:tr w14:paraId="5732FB1E">
        <w:tblPrEx>
          <w:tblCellMar>
            <w:top w:w="0" w:type="dxa"/>
            <w:left w:w="108" w:type="dxa"/>
            <w:bottom w:w="0" w:type="dxa"/>
            <w:right w:w="108" w:type="dxa"/>
          </w:tblCellMar>
        </w:tblPrEx>
        <w:trPr>
          <w:trHeight w:val="472" w:hRule="atLeast"/>
        </w:trPr>
        <w:tc>
          <w:tcPr>
            <w:tcW w:w="395" w:type="pct"/>
            <w:tcBorders>
              <w:top w:val="single" w:color="auto" w:sz="4" w:space="0"/>
              <w:left w:val="single" w:color="auto" w:sz="8" w:space="0"/>
              <w:bottom w:val="single" w:color="auto" w:sz="4" w:space="0"/>
              <w:right w:val="single" w:color="auto" w:sz="4" w:space="0"/>
            </w:tcBorders>
            <w:noWrap/>
            <w:vAlign w:val="center"/>
          </w:tcPr>
          <w:p w14:paraId="0FC99C13">
            <w:pPr>
              <w:spacing w:line="360" w:lineRule="auto"/>
              <w:jc w:val="center"/>
              <w:rPr>
                <w:rFonts w:hint="eastAsia" w:ascii="宋体" w:hAnsi="宋体" w:cs="宋体"/>
                <w:szCs w:val="21"/>
              </w:rPr>
            </w:pPr>
            <w:r>
              <w:rPr>
                <w:rFonts w:hint="eastAsia" w:ascii="宋体" w:hAnsi="宋体" w:cs="宋体"/>
                <w:szCs w:val="21"/>
              </w:rPr>
              <w:t>3</w:t>
            </w:r>
          </w:p>
        </w:tc>
        <w:tc>
          <w:tcPr>
            <w:tcW w:w="1668" w:type="pct"/>
            <w:tcBorders>
              <w:top w:val="single" w:color="auto" w:sz="4" w:space="0"/>
              <w:left w:val="nil"/>
              <w:bottom w:val="single" w:color="auto" w:sz="4" w:space="0"/>
              <w:right w:val="single" w:color="auto" w:sz="4" w:space="0"/>
            </w:tcBorders>
            <w:noWrap/>
            <w:vAlign w:val="center"/>
          </w:tcPr>
          <w:p w14:paraId="2994AAD0">
            <w:pPr>
              <w:widowControl/>
              <w:jc w:val="left"/>
              <w:rPr>
                <w:rFonts w:hint="eastAsia" w:ascii="宋体" w:hAnsi="宋体" w:cs="宋体"/>
                <w:kern w:val="0"/>
                <w:szCs w:val="21"/>
              </w:rPr>
            </w:pPr>
            <w:r>
              <w:rPr>
                <w:rFonts w:hint="eastAsia" w:ascii="宋体" w:hAnsi="宋体" w:cs="宋体"/>
                <w:kern w:val="0"/>
                <w:szCs w:val="21"/>
              </w:rPr>
              <w:t>“海之矫”浙里办</w:t>
            </w:r>
          </w:p>
        </w:tc>
        <w:tc>
          <w:tcPr>
            <w:tcW w:w="2544" w:type="pct"/>
            <w:tcBorders>
              <w:top w:val="single" w:color="auto" w:sz="4" w:space="0"/>
              <w:left w:val="nil"/>
              <w:bottom w:val="single" w:color="auto" w:sz="4" w:space="0"/>
              <w:right w:val="single" w:color="auto" w:sz="4" w:space="0"/>
            </w:tcBorders>
            <w:vAlign w:val="center"/>
          </w:tcPr>
          <w:p w14:paraId="12D7E5DB">
            <w:pPr>
              <w:widowControl/>
              <w:jc w:val="left"/>
              <w:rPr>
                <w:rFonts w:hint="eastAsia" w:ascii="宋体" w:hAnsi="宋体" w:cs="宋体"/>
                <w:kern w:val="0"/>
                <w:szCs w:val="21"/>
              </w:rPr>
            </w:pPr>
            <w:r>
              <w:rPr>
                <w:rFonts w:hint="eastAsia" w:ascii="宋体" w:hAnsi="宋体" w:cs="宋体"/>
                <w:kern w:val="0"/>
                <w:szCs w:val="21"/>
                <w:lang w:val="en-US" w:eastAsia="zh-CN"/>
              </w:rPr>
              <w:t>增加</w:t>
            </w:r>
            <w:r>
              <w:rPr>
                <w:rFonts w:hint="eastAsia" w:ascii="宋体" w:hAnsi="宋体" w:cs="宋体"/>
                <w:kern w:val="0"/>
                <w:szCs w:val="21"/>
              </w:rPr>
              <w:t>视频学习、在线签到、进离港申报、权益申诉、低保申请、就业广场</w:t>
            </w:r>
          </w:p>
        </w:tc>
        <w:tc>
          <w:tcPr>
            <w:tcW w:w="391" w:type="pct"/>
            <w:tcBorders>
              <w:top w:val="single" w:color="auto" w:sz="4" w:space="0"/>
              <w:left w:val="single" w:color="auto" w:sz="4" w:space="0"/>
              <w:bottom w:val="single" w:color="auto" w:sz="4" w:space="0"/>
              <w:right w:val="single" w:color="auto" w:sz="8" w:space="0"/>
            </w:tcBorders>
            <w:vAlign w:val="center"/>
          </w:tcPr>
          <w:p w14:paraId="2D11E093">
            <w:pPr>
              <w:widowControl/>
              <w:spacing w:line="360" w:lineRule="auto"/>
              <w:jc w:val="center"/>
              <w:rPr>
                <w:rFonts w:hint="eastAsia" w:ascii="宋体" w:hAnsi="宋体" w:cs="宋体"/>
                <w:kern w:val="0"/>
                <w:szCs w:val="21"/>
              </w:rPr>
            </w:pPr>
            <w:r>
              <w:rPr>
                <w:rFonts w:hint="eastAsia" w:ascii="宋体" w:hAnsi="宋体" w:cs="宋体"/>
                <w:szCs w:val="21"/>
              </w:rPr>
              <w:t>1</w:t>
            </w:r>
          </w:p>
        </w:tc>
      </w:tr>
      <w:tr w14:paraId="3879CE33">
        <w:tblPrEx>
          <w:tblCellMar>
            <w:top w:w="0" w:type="dxa"/>
            <w:left w:w="108" w:type="dxa"/>
            <w:bottom w:w="0" w:type="dxa"/>
            <w:right w:w="108" w:type="dxa"/>
          </w:tblCellMar>
        </w:tblPrEx>
        <w:trPr>
          <w:trHeight w:val="543" w:hRule="atLeast"/>
        </w:trPr>
        <w:tc>
          <w:tcPr>
            <w:tcW w:w="395" w:type="pct"/>
            <w:tcBorders>
              <w:top w:val="single" w:color="auto" w:sz="4" w:space="0"/>
              <w:left w:val="single" w:color="auto" w:sz="8" w:space="0"/>
              <w:bottom w:val="single" w:color="auto" w:sz="4" w:space="0"/>
              <w:right w:val="single" w:color="auto" w:sz="4" w:space="0"/>
            </w:tcBorders>
            <w:noWrap/>
            <w:vAlign w:val="center"/>
          </w:tcPr>
          <w:p w14:paraId="76FED5B7">
            <w:pPr>
              <w:spacing w:line="360" w:lineRule="auto"/>
              <w:jc w:val="center"/>
              <w:rPr>
                <w:rFonts w:hint="eastAsia" w:ascii="宋体" w:hAnsi="宋体" w:cs="宋体"/>
                <w:szCs w:val="21"/>
              </w:rPr>
            </w:pPr>
            <w:r>
              <w:rPr>
                <w:rFonts w:hint="eastAsia" w:ascii="宋体" w:hAnsi="宋体" w:cs="宋体"/>
                <w:szCs w:val="21"/>
              </w:rPr>
              <w:t>4</w:t>
            </w:r>
          </w:p>
        </w:tc>
        <w:tc>
          <w:tcPr>
            <w:tcW w:w="1668" w:type="pct"/>
            <w:tcBorders>
              <w:top w:val="single" w:color="auto" w:sz="4" w:space="0"/>
              <w:left w:val="nil"/>
              <w:bottom w:val="single" w:color="auto" w:sz="4" w:space="0"/>
              <w:right w:val="single" w:color="auto" w:sz="4" w:space="0"/>
            </w:tcBorders>
            <w:noWrap/>
            <w:vAlign w:val="center"/>
          </w:tcPr>
          <w:p w14:paraId="0FEA0BFD">
            <w:pPr>
              <w:widowControl/>
              <w:jc w:val="left"/>
              <w:rPr>
                <w:rFonts w:hint="eastAsia" w:ascii="宋体" w:hAnsi="宋体" w:cs="宋体"/>
                <w:szCs w:val="21"/>
              </w:rPr>
            </w:pPr>
            <w:r>
              <w:rPr>
                <w:rFonts w:hint="eastAsia" w:ascii="宋体" w:hAnsi="宋体" w:cs="宋体"/>
                <w:kern w:val="0"/>
                <w:szCs w:val="21"/>
              </w:rPr>
              <w:t>日常监管模块</w:t>
            </w:r>
          </w:p>
        </w:tc>
        <w:tc>
          <w:tcPr>
            <w:tcW w:w="2544" w:type="pct"/>
            <w:tcBorders>
              <w:top w:val="single" w:color="auto" w:sz="4" w:space="0"/>
              <w:left w:val="nil"/>
              <w:bottom w:val="single" w:color="auto" w:sz="4" w:space="0"/>
              <w:right w:val="single" w:color="auto" w:sz="4" w:space="0"/>
            </w:tcBorders>
            <w:shd w:val="clear" w:color="auto" w:fill="auto"/>
            <w:vAlign w:val="center"/>
          </w:tcPr>
          <w:p w14:paraId="0EAAE060">
            <w:pPr>
              <w:widowControl/>
              <w:jc w:val="left"/>
              <w:rPr>
                <w:rFonts w:hint="eastAsia" w:ascii="宋体" w:hAnsi="宋体" w:cs="宋体"/>
                <w:kern w:val="0"/>
                <w:szCs w:val="21"/>
              </w:rPr>
            </w:pPr>
            <w:r>
              <w:rPr>
                <w:rFonts w:hint="eastAsia" w:ascii="宋体" w:hAnsi="宋体" w:cs="宋体"/>
                <w:kern w:val="0"/>
                <w:szCs w:val="21"/>
                <w:lang w:val="en-US" w:eastAsia="zh-CN"/>
              </w:rPr>
              <w:t>增加</w:t>
            </w:r>
            <w:r>
              <w:rPr>
                <w:rFonts w:hint="eastAsia" w:ascii="宋体" w:hAnsi="宋体" w:cs="宋体"/>
                <w:kern w:val="0"/>
                <w:szCs w:val="21"/>
              </w:rPr>
              <w:t>包含音视频核查、卫星电话复核、智能语服务、北斗定位服务</w:t>
            </w:r>
          </w:p>
        </w:tc>
        <w:tc>
          <w:tcPr>
            <w:tcW w:w="391" w:type="pct"/>
            <w:tcBorders>
              <w:top w:val="single" w:color="auto" w:sz="4" w:space="0"/>
              <w:left w:val="single" w:color="auto" w:sz="4" w:space="0"/>
              <w:bottom w:val="single" w:color="auto" w:sz="4" w:space="0"/>
              <w:right w:val="single" w:color="auto" w:sz="8" w:space="0"/>
            </w:tcBorders>
            <w:vAlign w:val="center"/>
          </w:tcPr>
          <w:p w14:paraId="4879AFBB">
            <w:pPr>
              <w:widowControl/>
              <w:spacing w:line="360" w:lineRule="auto"/>
              <w:jc w:val="center"/>
              <w:rPr>
                <w:rFonts w:hint="eastAsia" w:ascii="宋体" w:hAnsi="宋体" w:cs="宋体"/>
                <w:kern w:val="0"/>
                <w:szCs w:val="21"/>
              </w:rPr>
            </w:pPr>
            <w:r>
              <w:rPr>
                <w:rFonts w:hint="eastAsia" w:ascii="宋体" w:hAnsi="宋体" w:cs="宋体"/>
                <w:kern w:val="0"/>
                <w:szCs w:val="21"/>
              </w:rPr>
              <w:t>1</w:t>
            </w:r>
          </w:p>
        </w:tc>
      </w:tr>
      <w:tr w14:paraId="31DCB3B2">
        <w:tblPrEx>
          <w:tblCellMar>
            <w:top w:w="0" w:type="dxa"/>
            <w:left w:w="108" w:type="dxa"/>
            <w:bottom w:w="0" w:type="dxa"/>
            <w:right w:w="108" w:type="dxa"/>
          </w:tblCellMar>
        </w:tblPrEx>
        <w:trPr>
          <w:trHeight w:val="638" w:hRule="atLeast"/>
        </w:trPr>
        <w:tc>
          <w:tcPr>
            <w:tcW w:w="395" w:type="pct"/>
            <w:tcBorders>
              <w:top w:val="single" w:color="auto" w:sz="4" w:space="0"/>
              <w:left w:val="single" w:color="auto" w:sz="8" w:space="0"/>
              <w:bottom w:val="single" w:color="auto" w:sz="4" w:space="0"/>
              <w:right w:val="single" w:color="auto" w:sz="4" w:space="0"/>
            </w:tcBorders>
            <w:noWrap/>
            <w:vAlign w:val="center"/>
          </w:tcPr>
          <w:p w14:paraId="6D5CF840">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668" w:type="pct"/>
            <w:tcBorders>
              <w:top w:val="single" w:color="auto" w:sz="4" w:space="0"/>
              <w:left w:val="nil"/>
              <w:bottom w:val="single" w:color="auto" w:sz="4" w:space="0"/>
              <w:right w:val="single" w:color="auto" w:sz="4" w:space="0"/>
            </w:tcBorders>
            <w:noWrap/>
            <w:vAlign w:val="center"/>
          </w:tcPr>
          <w:p w14:paraId="3538A079">
            <w:pPr>
              <w:widowControl/>
              <w:jc w:val="left"/>
              <w:rPr>
                <w:rFonts w:hint="eastAsia" w:ascii="宋体" w:hAnsi="宋体" w:cs="宋体"/>
                <w:szCs w:val="21"/>
              </w:rPr>
            </w:pPr>
            <w:r>
              <w:rPr>
                <w:rFonts w:hint="eastAsia" w:ascii="宋体" w:hAnsi="宋体" w:cs="宋体"/>
                <w:szCs w:val="21"/>
              </w:rPr>
              <w:t>警务处置模块</w:t>
            </w:r>
          </w:p>
        </w:tc>
        <w:tc>
          <w:tcPr>
            <w:tcW w:w="2544" w:type="pct"/>
            <w:tcBorders>
              <w:top w:val="single" w:color="auto" w:sz="4" w:space="0"/>
              <w:left w:val="nil"/>
              <w:bottom w:val="single" w:color="auto" w:sz="4" w:space="0"/>
              <w:right w:val="single" w:color="auto" w:sz="4" w:space="0"/>
            </w:tcBorders>
            <w:shd w:val="clear" w:color="auto" w:fill="auto"/>
            <w:vAlign w:val="center"/>
          </w:tcPr>
          <w:p w14:paraId="1103E3C3">
            <w:pPr>
              <w:widowControl/>
              <w:jc w:val="left"/>
              <w:rPr>
                <w:rFonts w:hint="eastAsia" w:ascii="宋体" w:hAnsi="宋体" w:cs="宋体"/>
                <w:kern w:val="0"/>
                <w:szCs w:val="21"/>
              </w:rPr>
            </w:pPr>
            <w:r>
              <w:rPr>
                <w:rFonts w:hint="eastAsia" w:ascii="宋体" w:hAnsi="宋体" w:cs="宋体"/>
                <w:kern w:val="0"/>
                <w:szCs w:val="21"/>
                <w:lang w:val="en-US" w:eastAsia="zh-CN"/>
              </w:rPr>
              <w:t>增加</w:t>
            </w:r>
            <w:r>
              <w:rPr>
                <w:rFonts w:hint="eastAsia" w:ascii="宋体" w:hAnsi="宋体" w:cs="宋体"/>
                <w:kern w:val="0"/>
                <w:szCs w:val="21"/>
              </w:rPr>
              <w:t>包含车船票出现数据、公安视频数据AI智能模型</w:t>
            </w:r>
          </w:p>
        </w:tc>
        <w:tc>
          <w:tcPr>
            <w:tcW w:w="391" w:type="pct"/>
            <w:tcBorders>
              <w:top w:val="single" w:color="auto" w:sz="4" w:space="0"/>
              <w:left w:val="single" w:color="auto" w:sz="4" w:space="0"/>
              <w:bottom w:val="single" w:color="auto" w:sz="4" w:space="0"/>
              <w:right w:val="single" w:color="auto" w:sz="8" w:space="0"/>
            </w:tcBorders>
            <w:vAlign w:val="center"/>
          </w:tcPr>
          <w:p w14:paraId="4703B646">
            <w:pPr>
              <w:widowControl/>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r>
      <w:tr w14:paraId="0E0EC7B7">
        <w:tblPrEx>
          <w:tblCellMar>
            <w:top w:w="0" w:type="dxa"/>
            <w:left w:w="108" w:type="dxa"/>
            <w:bottom w:w="0" w:type="dxa"/>
            <w:right w:w="108" w:type="dxa"/>
          </w:tblCellMar>
        </w:tblPrEx>
        <w:trPr>
          <w:trHeight w:val="590" w:hRule="atLeast"/>
        </w:trPr>
        <w:tc>
          <w:tcPr>
            <w:tcW w:w="395" w:type="pct"/>
            <w:tcBorders>
              <w:top w:val="single" w:color="auto" w:sz="4" w:space="0"/>
              <w:left w:val="single" w:color="auto" w:sz="8" w:space="0"/>
              <w:bottom w:val="single" w:color="auto" w:sz="4" w:space="0"/>
              <w:right w:val="single" w:color="auto" w:sz="4" w:space="0"/>
            </w:tcBorders>
            <w:noWrap/>
            <w:vAlign w:val="center"/>
          </w:tcPr>
          <w:p w14:paraId="73574513">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1668" w:type="pct"/>
            <w:tcBorders>
              <w:top w:val="single" w:color="auto" w:sz="4" w:space="0"/>
              <w:left w:val="nil"/>
              <w:bottom w:val="single" w:color="auto" w:sz="4" w:space="0"/>
              <w:right w:val="single" w:color="auto" w:sz="4" w:space="0"/>
            </w:tcBorders>
            <w:noWrap/>
            <w:vAlign w:val="center"/>
          </w:tcPr>
          <w:p w14:paraId="31BC2849">
            <w:pPr>
              <w:widowControl/>
              <w:jc w:val="left"/>
              <w:rPr>
                <w:rFonts w:hint="eastAsia" w:ascii="宋体" w:hAnsi="宋体" w:cs="宋体"/>
                <w:szCs w:val="21"/>
              </w:rPr>
            </w:pPr>
            <w:r>
              <w:rPr>
                <w:rFonts w:hint="eastAsia" w:ascii="宋体" w:hAnsi="宋体" w:cs="宋体"/>
                <w:szCs w:val="21"/>
              </w:rPr>
              <w:t>多跨协同模块</w:t>
            </w:r>
          </w:p>
        </w:tc>
        <w:tc>
          <w:tcPr>
            <w:tcW w:w="2544" w:type="pct"/>
            <w:tcBorders>
              <w:top w:val="single" w:color="auto" w:sz="4" w:space="0"/>
              <w:left w:val="nil"/>
              <w:bottom w:val="single" w:color="auto" w:sz="4" w:space="0"/>
              <w:right w:val="single" w:color="auto" w:sz="4" w:space="0"/>
            </w:tcBorders>
            <w:shd w:val="clear" w:color="auto" w:fill="auto"/>
            <w:vAlign w:val="center"/>
          </w:tcPr>
          <w:p w14:paraId="5DF199E0">
            <w:pPr>
              <w:widowControl/>
              <w:jc w:val="left"/>
              <w:rPr>
                <w:rFonts w:hint="eastAsia" w:ascii="宋体" w:hAnsi="宋体" w:cs="宋体"/>
                <w:kern w:val="0"/>
                <w:szCs w:val="21"/>
              </w:rPr>
            </w:pPr>
            <w:r>
              <w:rPr>
                <w:rFonts w:hint="eastAsia" w:ascii="宋体" w:hAnsi="宋体" w:cs="宋体"/>
                <w:kern w:val="0"/>
                <w:szCs w:val="21"/>
                <w:lang w:val="en-US" w:eastAsia="zh-CN"/>
              </w:rPr>
              <w:t>增加</w:t>
            </w:r>
            <w:r>
              <w:rPr>
                <w:rFonts w:hint="eastAsia" w:ascii="宋体" w:hAnsi="宋体" w:cs="宋体"/>
                <w:kern w:val="0"/>
                <w:szCs w:val="21"/>
              </w:rPr>
              <w:t>卫健委、民政局、人社局、市场监督局等单位对接</w:t>
            </w:r>
          </w:p>
        </w:tc>
        <w:tc>
          <w:tcPr>
            <w:tcW w:w="391" w:type="pct"/>
            <w:tcBorders>
              <w:top w:val="single" w:color="auto" w:sz="4" w:space="0"/>
              <w:left w:val="single" w:color="auto" w:sz="4" w:space="0"/>
              <w:bottom w:val="single" w:color="auto" w:sz="4" w:space="0"/>
              <w:right w:val="single" w:color="auto" w:sz="8" w:space="0"/>
            </w:tcBorders>
            <w:vAlign w:val="center"/>
          </w:tcPr>
          <w:p w14:paraId="63F8D946">
            <w:pPr>
              <w:widowControl/>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r>
      <w:tr w14:paraId="749E65AC">
        <w:tblPrEx>
          <w:tblCellMar>
            <w:top w:w="0" w:type="dxa"/>
            <w:left w:w="108" w:type="dxa"/>
            <w:bottom w:w="0" w:type="dxa"/>
            <w:right w:w="108" w:type="dxa"/>
          </w:tblCellMar>
        </w:tblPrEx>
        <w:trPr>
          <w:trHeight w:val="650" w:hRule="atLeast"/>
        </w:trPr>
        <w:tc>
          <w:tcPr>
            <w:tcW w:w="395" w:type="pct"/>
            <w:tcBorders>
              <w:top w:val="single" w:color="auto" w:sz="4" w:space="0"/>
              <w:left w:val="single" w:color="auto" w:sz="8" w:space="0"/>
              <w:bottom w:val="single" w:color="auto" w:sz="4" w:space="0"/>
              <w:right w:val="single" w:color="auto" w:sz="4" w:space="0"/>
            </w:tcBorders>
            <w:noWrap/>
            <w:vAlign w:val="center"/>
          </w:tcPr>
          <w:p w14:paraId="06BA2ABE">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1668" w:type="pct"/>
            <w:tcBorders>
              <w:top w:val="single" w:color="auto" w:sz="4" w:space="0"/>
              <w:left w:val="nil"/>
              <w:bottom w:val="single" w:color="auto" w:sz="4" w:space="0"/>
              <w:right w:val="single" w:color="auto" w:sz="4" w:space="0"/>
            </w:tcBorders>
            <w:noWrap/>
            <w:vAlign w:val="center"/>
          </w:tcPr>
          <w:p w14:paraId="47647B8E">
            <w:pPr>
              <w:widowControl/>
              <w:jc w:val="left"/>
              <w:rPr>
                <w:rFonts w:hint="eastAsia" w:ascii="宋体" w:hAnsi="宋体" w:cs="宋体"/>
                <w:szCs w:val="21"/>
              </w:rPr>
            </w:pPr>
            <w:r>
              <w:rPr>
                <w:rFonts w:hint="eastAsia" w:ascii="宋体" w:hAnsi="宋体" w:cs="宋体"/>
                <w:szCs w:val="21"/>
              </w:rPr>
              <w:t>教育帮扶模块</w:t>
            </w:r>
          </w:p>
        </w:tc>
        <w:tc>
          <w:tcPr>
            <w:tcW w:w="2544" w:type="pct"/>
            <w:tcBorders>
              <w:top w:val="single" w:color="auto" w:sz="4" w:space="0"/>
              <w:left w:val="nil"/>
              <w:bottom w:val="single" w:color="auto" w:sz="4" w:space="0"/>
              <w:right w:val="single" w:color="auto" w:sz="4" w:space="0"/>
            </w:tcBorders>
            <w:shd w:val="clear" w:color="auto" w:fill="auto"/>
            <w:vAlign w:val="center"/>
          </w:tcPr>
          <w:p w14:paraId="58401ED0">
            <w:pPr>
              <w:widowControl/>
              <w:jc w:val="left"/>
              <w:rPr>
                <w:rFonts w:hint="eastAsia" w:ascii="宋体" w:hAnsi="宋体" w:cs="宋体"/>
                <w:kern w:val="0"/>
                <w:szCs w:val="21"/>
              </w:rPr>
            </w:pPr>
            <w:r>
              <w:rPr>
                <w:rFonts w:hint="eastAsia" w:ascii="宋体" w:hAnsi="宋体" w:cs="宋体"/>
                <w:kern w:val="0"/>
                <w:szCs w:val="21"/>
              </w:rPr>
              <w:t>新增个性矫正方案、志愿帮教、再犯罪风险评估、矫务公开</w:t>
            </w:r>
          </w:p>
        </w:tc>
        <w:tc>
          <w:tcPr>
            <w:tcW w:w="391" w:type="pct"/>
            <w:tcBorders>
              <w:top w:val="single" w:color="auto" w:sz="4" w:space="0"/>
              <w:left w:val="single" w:color="auto" w:sz="4" w:space="0"/>
              <w:bottom w:val="single" w:color="auto" w:sz="4" w:space="0"/>
              <w:right w:val="single" w:color="auto" w:sz="8" w:space="0"/>
            </w:tcBorders>
            <w:vAlign w:val="center"/>
          </w:tcPr>
          <w:p w14:paraId="2000E33D">
            <w:pPr>
              <w:widowControl/>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r>
      <w:tr w14:paraId="7642A178">
        <w:tblPrEx>
          <w:tblCellMar>
            <w:top w:w="0" w:type="dxa"/>
            <w:left w:w="108" w:type="dxa"/>
            <w:bottom w:w="0" w:type="dxa"/>
            <w:right w:w="108" w:type="dxa"/>
          </w:tblCellMar>
        </w:tblPrEx>
        <w:trPr>
          <w:trHeight w:val="590" w:hRule="atLeast"/>
        </w:trPr>
        <w:tc>
          <w:tcPr>
            <w:tcW w:w="395" w:type="pct"/>
            <w:tcBorders>
              <w:top w:val="single" w:color="auto" w:sz="4" w:space="0"/>
              <w:left w:val="single" w:color="auto" w:sz="8" w:space="0"/>
              <w:bottom w:val="single" w:color="auto" w:sz="4" w:space="0"/>
              <w:right w:val="single" w:color="auto" w:sz="4" w:space="0"/>
            </w:tcBorders>
            <w:noWrap/>
            <w:vAlign w:val="center"/>
          </w:tcPr>
          <w:p w14:paraId="7FB110C8">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1668" w:type="pct"/>
            <w:tcBorders>
              <w:top w:val="single" w:color="auto" w:sz="4" w:space="0"/>
              <w:left w:val="nil"/>
              <w:bottom w:val="single" w:color="auto" w:sz="4" w:space="0"/>
              <w:right w:val="single" w:color="auto" w:sz="4" w:space="0"/>
            </w:tcBorders>
            <w:noWrap/>
            <w:vAlign w:val="center"/>
          </w:tcPr>
          <w:p w14:paraId="0E2139AC">
            <w:pPr>
              <w:widowControl/>
              <w:jc w:val="left"/>
              <w:rPr>
                <w:rFonts w:hint="eastAsia" w:ascii="宋体" w:hAnsi="宋体" w:eastAsia="宋体" w:cs="宋体"/>
                <w:szCs w:val="21"/>
                <w:lang w:eastAsia="zh-CN"/>
              </w:rPr>
            </w:pPr>
            <w:r>
              <w:rPr>
                <w:rFonts w:hint="eastAsia" w:ascii="宋体" w:hAnsi="宋体" w:cs="宋体"/>
                <w:szCs w:val="21"/>
              </w:rPr>
              <w:t>涉海涉渔矫正数据交换中心</w:t>
            </w:r>
            <w:r>
              <w:rPr>
                <w:rFonts w:hint="eastAsia" w:ascii="宋体" w:hAnsi="宋体" w:cs="宋体"/>
                <w:szCs w:val="21"/>
                <w:lang w:eastAsia="zh-CN"/>
              </w:rPr>
              <w:t>（</w:t>
            </w:r>
            <w:r>
              <w:rPr>
                <w:rFonts w:hint="eastAsia" w:ascii="宋体" w:hAnsi="宋体" w:cs="宋体"/>
                <w:szCs w:val="21"/>
                <w:lang w:val="en-US" w:eastAsia="zh-CN"/>
              </w:rPr>
              <w:t>虚拟中心</w:t>
            </w:r>
            <w:r>
              <w:rPr>
                <w:rFonts w:hint="eastAsia" w:ascii="宋体" w:hAnsi="宋体" w:cs="宋体"/>
                <w:szCs w:val="21"/>
                <w:lang w:eastAsia="zh-CN"/>
              </w:rPr>
              <w:t>）</w:t>
            </w:r>
          </w:p>
        </w:tc>
        <w:tc>
          <w:tcPr>
            <w:tcW w:w="2544" w:type="pct"/>
            <w:tcBorders>
              <w:top w:val="single" w:color="auto" w:sz="4" w:space="0"/>
              <w:left w:val="nil"/>
              <w:bottom w:val="single" w:color="auto" w:sz="4" w:space="0"/>
              <w:right w:val="single" w:color="auto" w:sz="4" w:space="0"/>
            </w:tcBorders>
            <w:shd w:val="clear" w:color="auto" w:fill="auto"/>
            <w:vAlign w:val="center"/>
          </w:tcPr>
          <w:p w14:paraId="6FA13413">
            <w:pPr>
              <w:widowControl/>
              <w:jc w:val="left"/>
              <w:rPr>
                <w:rFonts w:hint="eastAsia" w:ascii="宋体" w:hAnsi="宋体" w:cs="宋体"/>
                <w:kern w:val="0"/>
                <w:szCs w:val="21"/>
              </w:rPr>
            </w:pPr>
            <w:r>
              <w:rPr>
                <w:rFonts w:hint="eastAsia" w:ascii="宋体" w:hAnsi="宋体" w:cs="宋体"/>
                <w:kern w:val="0"/>
                <w:szCs w:val="21"/>
              </w:rPr>
              <w:t>建立涉海涉渔矫正数据中心，实现省内及各省之间的数据交换</w:t>
            </w:r>
          </w:p>
        </w:tc>
        <w:tc>
          <w:tcPr>
            <w:tcW w:w="391" w:type="pct"/>
            <w:tcBorders>
              <w:top w:val="single" w:color="auto" w:sz="4" w:space="0"/>
              <w:left w:val="single" w:color="auto" w:sz="4" w:space="0"/>
              <w:bottom w:val="single" w:color="auto" w:sz="4" w:space="0"/>
              <w:right w:val="single" w:color="auto" w:sz="8" w:space="0"/>
            </w:tcBorders>
            <w:vAlign w:val="center"/>
          </w:tcPr>
          <w:p w14:paraId="412CA4CF">
            <w:pPr>
              <w:widowControl/>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r>
      <w:tr w14:paraId="31A7271C">
        <w:tblPrEx>
          <w:tblCellMar>
            <w:top w:w="0" w:type="dxa"/>
            <w:left w:w="108" w:type="dxa"/>
            <w:bottom w:w="0" w:type="dxa"/>
            <w:right w:w="108" w:type="dxa"/>
          </w:tblCellMar>
        </w:tblPrEx>
        <w:trPr>
          <w:trHeight w:val="506" w:hRule="atLeast"/>
        </w:trPr>
        <w:tc>
          <w:tcPr>
            <w:tcW w:w="395" w:type="pct"/>
            <w:tcBorders>
              <w:top w:val="single" w:color="auto" w:sz="4" w:space="0"/>
              <w:left w:val="single" w:color="auto" w:sz="8" w:space="0"/>
              <w:bottom w:val="single" w:color="auto" w:sz="4" w:space="0"/>
              <w:right w:val="single" w:color="auto" w:sz="4" w:space="0"/>
            </w:tcBorders>
            <w:noWrap/>
            <w:vAlign w:val="center"/>
          </w:tcPr>
          <w:p w14:paraId="4462BE46">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1668" w:type="pct"/>
            <w:tcBorders>
              <w:top w:val="single" w:color="auto" w:sz="4" w:space="0"/>
              <w:left w:val="nil"/>
              <w:bottom w:val="single" w:color="auto" w:sz="4" w:space="0"/>
              <w:right w:val="single" w:color="auto" w:sz="4" w:space="0"/>
            </w:tcBorders>
            <w:noWrap/>
            <w:vAlign w:val="center"/>
          </w:tcPr>
          <w:p w14:paraId="13D0855B">
            <w:pPr>
              <w:widowControl/>
              <w:jc w:val="left"/>
              <w:rPr>
                <w:rFonts w:hint="eastAsia" w:ascii="宋体" w:hAnsi="宋体" w:cs="宋体"/>
                <w:szCs w:val="21"/>
              </w:rPr>
            </w:pPr>
            <w:r>
              <w:rPr>
                <w:rFonts w:hint="eastAsia" w:ascii="宋体" w:hAnsi="宋体" w:cs="宋体"/>
                <w:szCs w:val="21"/>
              </w:rPr>
              <w:t>新增部分代码检测及等保复测</w:t>
            </w:r>
          </w:p>
        </w:tc>
        <w:tc>
          <w:tcPr>
            <w:tcW w:w="2544" w:type="pct"/>
            <w:tcBorders>
              <w:top w:val="single" w:color="auto" w:sz="4" w:space="0"/>
              <w:left w:val="nil"/>
              <w:bottom w:val="single" w:color="auto" w:sz="4" w:space="0"/>
              <w:right w:val="single" w:color="auto" w:sz="4" w:space="0"/>
            </w:tcBorders>
            <w:shd w:val="clear" w:color="auto" w:fill="auto"/>
            <w:vAlign w:val="center"/>
          </w:tcPr>
          <w:p w14:paraId="4E55CF3E">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新增部分代码检测及二级等保复测</w:t>
            </w:r>
          </w:p>
        </w:tc>
        <w:tc>
          <w:tcPr>
            <w:tcW w:w="391" w:type="pct"/>
            <w:tcBorders>
              <w:top w:val="single" w:color="auto" w:sz="4" w:space="0"/>
              <w:left w:val="single" w:color="auto" w:sz="4" w:space="0"/>
              <w:bottom w:val="single" w:color="auto" w:sz="4" w:space="0"/>
              <w:right w:val="single" w:color="auto" w:sz="8" w:space="0"/>
            </w:tcBorders>
            <w:vAlign w:val="center"/>
          </w:tcPr>
          <w:p w14:paraId="61489DD4">
            <w:pPr>
              <w:widowControl/>
              <w:spacing w:line="360" w:lineRule="auto"/>
              <w:jc w:val="center"/>
              <w:rPr>
                <w:rFonts w:hint="eastAsia" w:ascii="宋体" w:hAnsi="宋体" w:cs="宋体"/>
                <w:kern w:val="0"/>
                <w:szCs w:val="21"/>
              </w:rPr>
            </w:pPr>
            <w:r>
              <w:rPr>
                <w:rFonts w:hint="eastAsia" w:ascii="宋体" w:hAnsi="宋体" w:cs="宋体"/>
                <w:szCs w:val="21"/>
              </w:rPr>
              <w:t>1</w:t>
            </w:r>
          </w:p>
        </w:tc>
      </w:tr>
    </w:tbl>
    <w:p w14:paraId="21F40D9D">
      <w:pPr>
        <w:tabs>
          <w:tab w:val="left" w:pos="-113"/>
        </w:tabs>
        <w:spacing w:line="288" w:lineRule="auto"/>
        <w:outlineLvl w:val="0"/>
        <w:rPr>
          <w:rFonts w:hint="default" w:ascii="宋体" w:hAnsi="宋体" w:eastAsia="宋体" w:cs="仿宋"/>
          <w:b/>
          <w:bCs/>
          <w:kern w:val="44"/>
          <w:szCs w:val="21"/>
          <w:u w:val="none" w:color="auto"/>
          <w:lang w:val="en-US" w:eastAsia="zh-CN"/>
        </w:rPr>
      </w:pPr>
      <w:r>
        <w:rPr>
          <w:rFonts w:hint="eastAsia" w:ascii="宋体" w:hAnsi="宋体" w:cs="仿宋"/>
          <w:b/>
          <w:bCs/>
          <w:kern w:val="44"/>
          <w:szCs w:val="21"/>
          <w:u w:val="none" w:color="auto"/>
        </w:rPr>
        <w:t>3.项目</w:t>
      </w:r>
      <w:r>
        <w:rPr>
          <w:rFonts w:hint="eastAsia" w:ascii="宋体" w:hAnsi="宋体" w:cs="仿宋"/>
          <w:b/>
          <w:bCs/>
          <w:kern w:val="44"/>
          <w:szCs w:val="21"/>
          <w:u w:val="none" w:color="auto"/>
          <w:lang w:val="en-US" w:eastAsia="zh-CN"/>
        </w:rPr>
        <w:t>主要内容</w:t>
      </w:r>
    </w:p>
    <w:p w14:paraId="613F6E8B">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eastAsia="宋体" w:cs="宋体"/>
          <w:sz w:val="21"/>
          <w:szCs w:val="21"/>
          <w:lang w:val="en-US" w:eastAsia="zh-CN"/>
        </w:rPr>
        <w:t>舟山市</w:t>
      </w:r>
      <w:r>
        <w:rPr>
          <w:rFonts w:hint="eastAsia" w:ascii="宋体" w:hAnsi="宋体" w:eastAsia="宋体" w:cs="宋体"/>
          <w:sz w:val="21"/>
          <w:szCs w:val="21"/>
        </w:rPr>
        <w:t>涉海涉渔社区矫正对象联合管控应用的整体架构设计需求，把涉海涉渔矫正对象审批核验和监控中心模块提及至省司法厅浙里矫正应用，迭代具有舟山特色的功能模块，继续完善浙里办功能，增加浙政钉应用移动端内容，升级日常监管、警务处置、多跨协同、教育帮扶等模块，建设涉海涉渔社区矫正数据中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虚拟中心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并对其进行全面国产化适配改造</w:t>
      </w:r>
      <w:r>
        <w:rPr>
          <w:rFonts w:hint="eastAsia" w:ascii="宋体" w:hAnsi="宋体" w:eastAsia="宋体" w:cs="宋体"/>
          <w:sz w:val="21"/>
          <w:szCs w:val="21"/>
        </w:rPr>
        <w:t>。其中，本应用涉及到新增内容及部分优化内容如下：</w:t>
      </w:r>
    </w:p>
    <w:p w14:paraId="0B53693A">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 共性基础</w:t>
      </w:r>
      <w:r>
        <w:rPr>
          <w:rFonts w:hint="eastAsia" w:ascii="宋体" w:hAnsi="宋体" w:eastAsia="宋体" w:cs="宋体"/>
          <w:sz w:val="21"/>
          <w:szCs w:val="21"/>
          <w:lang w:val="en-US" w:eastAsia="zh-CN"/>
        </w:rPr>
        <w:t>数据推送</w:t>
      </w:r>
    </w:p>
    <w:p w14:paraId="0FF81A04">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涉海涉渔社区矫正对象</w:t>
      </w:r>
      <w:r>
        <w:rPr>
          <w:rFonts w:hint="eastAsia" w:ascii="宋体" w:hAnsi="宋体" w:eastAsia="宋体" w:cs="宋体"/>
          <w:sz w:val="21"/>
          <w:szCs w:val="21"/>
        </w:rPr>
        <w:t>外出作业申请</w:t>
      </w:r>
      <w:r>
        <w:rPr>
          <w:rFonts w:hint="eastAsia" w:ascii="宋体" w:hAnsi="宋体" w:eastAsia="宋体" w:cs="宋体"/>
          <w:sz w:val="21"/>
          <w:szCs w:val="21"/>
          <w:lang w:val="en-US" w:eastAsia="zh-CN"/>
        </w:rPr>
        <w:t>时的船员信息核验、船只信息核验数据以及监控中心的船舶定位轨迹数据、预警信息数据推送至省司法厅，便于统一管理。</w:t>
      </w:r>
    </w:p>
    <w:p w14:paraId="24486948">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“海之矫”钉应用</w:t>
      </w:r>
    </w:p>
    <w:p w14:paraId="2DE6EE70">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基于浙政钉扫码登录和通讯录等组件功能，建设完成“海之矫”浙政钉PC和移动端应用，便于司法行政人员对涉海涉渔业务移动端上的管理，</w:t>
      </w:r>
      <w:r>
        <w:rPr>
          <w:rFonts w:hint="eastAsia" w:ascii="宋体" w:hAnsi="宋体" w:eastAsia="宋体" w:cs="宋体"/>
          <w:sz w:val="21"/>
          <w:szCs w:val="21"/>
          <w:lang w:val="en-US" w:eastAsia="zh-CN"/>
        </w:rPr>
        <w:t>通过消息通知</w:t>
      </w:r>
      <w:r>
        <w:rPr>
          <w:rFonts w:hint="eastAsia" w:ascii="宋体" w:hAnsi="宋体" w:eastAsia="宋体" w:cs="宋体"/>
          <w:sz w:val="21"/>
          <w:szCs w:val="21"/>
        </w:rPr>
        <w:t>及时处理相关审核与预警。</w:t>
      </w:r>
    </w:p>
    <w:p w14:paraId="6B94ECB9">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.“海之矫”浙里办</w:t>
      </w:r>
    </w:p>
    <w:p w14:paraId="2B1F6FE9">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在“海之矫”应用1.0建设内容基础上，新增视频学习、权益申诉、低保申报、就业广场内容，优化在线签到、上下船</w:t>
      </w:r>
      <w:r>
        <w:rPr>
          <w:rFonts w:hint="eastAsia" w:ascii="宋体" w:hAnsi="宋体" w:eastAsia="宋体" w:cs="宋体"/>
          <w:sz w:val="21"/>
          <w:szCs w:val="21"/>
          <w:lang w:val="en-US" w:eastAsia="zh-CN"/>
        </w:rPr>
        <w:t>进离港申报等</w:t>
      </w:r>
      <w:r>
        <w:rPr>
          <w:rFonts w:hint="eastAsia" w:ascii="宋体" w:hAnsi="宋体" w:eastAsia="宋体" w:cs="宋体"/>
          <w:sz w:val="21"/>
          <w:szCs w:val="21"/>
        </w:rPr>
        <w:t>功能，方便涉海涉渔社区矫正对象能及时完成各项事务处理。</w:t>
      </w:r>
    </w:p>
    <w:p w14:paraId="55D0B9CA">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.日常监管</w:t>
      </w:r>
    </w:p>
    <w:p w14:paraId="5664629A">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随着应用的建设深入，海上的突发状况也比较多，需要更多融合的手段来监管我们的涉海涉渔的矫正对象，则需要新增</w:t>
      </w:r>
      <w:r>
        <w:rPr>
          <w:rFonts w:hint="eastAsia" w:ascii="宋体" w:hAnsi="宋体" w:eastAsia="宋体" w:cs="宋体"/>
          <w:sz w:val="21"/>
          <w:szCs w:val="21"/>
          <w:lang w:val="en-US" w:eastAsia="zh-CN"/>
        </w:rPr>
        <w:t>北斗定位服务、智能语音服务、</w:t>
      </w:r>
      <w:r>
        <w:rPr>
          <w:rFonts w:hint="eastAsia" w:ascii="宋体" w:hAnsi="宋体" w:eastAsia="宋体" w:cs="宋体"/>
          <w:sz w:val="21"/>
          <w:szCs w:val="21"/>
        </w:rPr>
        <w:t>卫星电话核查</w:t>
      </w:r>
      <w:r>
        <w:rPr>
          <w:rFonts w:hint="eastAsia" w:ascii="宋体" w:hAnsi="宋体" w:eastAsia="宋体" w:cs="宋体"/>
          <w:sz w:val="21"/>
          <w:szCs w:val="21"/>
          <w:lang w:val="en-US" w:eastAsia="zh-CN"/>
        </w:rPr>
        <w:t>等功能，</w:t>
      </w:r>
      <w:r>
        <w:rPr>
          <w:rFonts w:hint="eastAsia" w:ascii="宋体" w:hAnsi="宋体" w:eastAsia="宋体" w:cs="宋体"/>
          <w:sz w:val="21"/>
          <w:szCs w:val="21"/>
        </w:rPr>
        <w:t>实现海上活动全过程监督。</w:t>
      </w:r>
    </w:p>
    <w:p w14:paraId="0B04F504">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警务处置</w:t>
      </w:r>
    </w:p>
    <w:p w14:paraId="169E159D">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与公安打通全量视频数据，通过AI建模分析比对社矫对象活动轨迹情况以及利用车船票信息及时掌握社矫对象活动情况，以便更加精准清晰的了解活动情况，给予风险提示预警。同时加强与海警之间的点对点传输通知功能。</w:t>
      </w:r>
    </w:p>
    <w:p w14:paraId="2DE0A9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6.多跨协同</w:t>
      </w:r>
    </w:p>
    <w:p w14:paraId="0AFC5BDE">
      <w:pPr>
        <w:pStyle w:val="2"/>
        <w:keepNext w:val="0"/>
        <w:keepLines w:val="0"/>
        <w:pageBreakBefore w:val="0"/>
        <w:widowControl w:val="0"/>
        <w:kinsoku/>
        <w:wordWrap/>
        <w:overflowPunct/>
        <w:topLinePunct w:val="0"/>
        <w:autoSpaceDE/>
        <w:autoSpaceDN/>
        <w:bidi w:val="0"/>
        <w:adjustRightInd/>
        <w:snapToGrid/>
        <w:spacing w:after="0" w:line="240" w:lineRule="auto"/>
        <w:ind w:firstLine="42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现有联合管控应用的模块上新增对接卫健委、民政局、人社局、市场监管局，获取社矫人员就医相关情况以便核查；实现数字化低保申报通道，在线核查低保数据实现社会救助；实现数字化劳动申诉、欠薪申请以及通过人才网自助为涉海涉渔社区矫正对象精准提供就业信息；以浙政钉或电脑端OA提醒方式推送市场监管所需的禁止令数据。</w:t>
      </w:r>
    </w:p>
    <w:p w14:paraId="0E6A672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7.教育帮扶</w:t>
      </w:r>
    </w:p>
    <w:p w14:paraId="30EB1A2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新增个性矫正方案、志愿帮教、再犯罪风险评估、矫务公开等功能，能及时掌握社区矫正对象情况。</w:t>
      </w:r>
    </w:p>
    <w:p w14:paraId="24003CA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8.涉海涉渔社区矫正数据中心（虚拟中心）</w:t>
      </w:r>
    </w:p>
    <w:p w14:paraId="427CC9C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提供涉海涉渔社区矫正数据交换服务，对数据进行清洗、处理形成涉海涉渔社区矫正共享交换数据，保障各地之间的数据共享互通，提升项目应用的实战时效性。</w:t>
      </w:r>
    </w:p>
    <w:p w14:paraId="033F2DB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9.部分新增代码检测及等保复测</w:t>
      </w:r>
    </w:p>
    <w:p w14:paraId="429409F7">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bCs/>
          <w:color w:val="FF0000"/>
          <w:szCs w:val="21"/>
          <w:highlight w:val="yellow"/>
          <w:u w:val="none" w:color="auto"/>
        </w:rPr>
      </w:pPr>
      <w:r>
        <w:rPr>
          <w:rFonts w:hint="eastAsia" w:ascii="宋体" w:hAnsi="宋体" w:eastAsia="宋体" w:cs="宋体"/>
          <w:sz w:val="21"/>
          <w:szCs w:val="21"/>
          <w:lang w:val="en-US" w:eastAsia="zh-CN"/>
        </w:rPr>
        <w:t xml:space="preserve">    对舟山市涉海涉渔社区矫正对象联合管控系统2.0新增部分内容进行代码的检测及二级等保的复测</w:t>
      </w:r>
      <w:r>
        <w:rPr>
          <w:rFonts w:hint="eastAsia" w:ascii="宋体" w:hAnsi="宋体" w:cs="宋体"/>
          <w:sz w:val="21"/>
          <w:szCs w:val="21"/>
          <w:lang w:val="en-US" w:eastAsia="zh-CN"/>
        </w:rPr>
        <w:t>。</w:t>
      </w:r>
    </w:p>
    <w:p w14:paraId="342E8499">
      <w:pPr>
        <w:spacing w:line="288" w:lineRule="auto"/>
        <w:rPr>
          <w:rFonts w:hint="eastAsia" w:ascii="宋体" w:hAnsi="宋体" w:cs="宋体"/>
          <w:b/>
          <w:szCs w:val="21"/>
          <w:u w:val="none" w:color="auto"/>
          <w:lang w:val="zh-TW"/>
        </w:rPr>
      </w:pPr>
      <w:r>
        <w:rPr>
          <w:rFonts w:hint="eastAsia" w:ascii="宋体" w:hAnsi="宋体" w:cs="宋体"/>
          <w:b/>
          <w:bCs/>
          <w:szCs w:val="21"/>
          <w:u w:val="none" w:color="auto"/>
        </w:rPr>
        <w:t>4.</w:t>
      </w:r>
      <w:r>
        <w:rPr>
          <w:rFonts w:hint="eastAsia" w:ascii="宋体" w:hAnsi="宋体" w:cs="宋体"/>
          <w:b/>
          <w:szCs w:val="21"/>
          <w:u w:val="none" w:color="auto"/>
          <w:lang w:val="zh-TW" w:eastAsia="zh-TW"/>
        </w:rPr>
        <w:t>费用及支付方式</w:t>
      </w:r>
    </w:p>
    <w:p w14:paraId="6987B1F2">
      <w:pPr>
        <w:spacing w:line="288" w:lineRule="auto"/>
        <w:ind w:firstLine="522" w:firstLineChars="249"/>
        <w:rPr>
          <w:rFonts w:hint="eastAsia" w:ascii="宋体" w:hAnsi="宋体" w:cs="宋体"/>
          <w:szCs w:val="21"/>
          <w:u w:val="none" w:color="auto"/>
          <w:lang w:val="zh-TW"/>
        </w:rPr>
      </w:pPr>
      <w:r>
        <w:rPr>
          <w:rFonts w:hint="eastAsia" w:ascii="宋体" w:hAnsi="宋体" w:cs="宋体"/>
          <w:szCs w:val="21"/>
          <w:u w:val="none" w:color="auto"/>
          <w:lang w:val="zh-TW"/>
        </w:rPr>
        <w:t>合同金额：人民币</w:t>
      </w:r>
      <w:r>
        <w:rPr>
          <w:rFonts w:hint="eastAsia" w:ascii="宋体" w:hAnsi="宋体" w:cs="宋体"/>
          <w:szCs w:val="21"/>
          <w:u w:val="single" w:color="auto"/>
          <w:lang w:val="zh-TW"/>
        </w:rPr>
        <w:t xml:space="preserve">      </w:t>
      </w:r>
      <w:r>
        <w:rPr>
          <w:rFonts w:hint="eastAsia" w:ascii="宋体" w:hAnsi="宋体" w:cs="宋体"/>
          <w:szCs w:val="21"/>
          <w:u w:val="none" w:color="auto"/>
          <w:lang w:val="zh-TW"/>
        </w:rPr>
        <w:t>元整（</w:t>
      </w:r>
      <w:r>
        <w:rPr>
          <w:rFonts w:hint="default" w:ascii="Arial" w:hAnsi="Arial" w:cs="Arial"/>
          <w:szCs w:val="21"/>
          <w:u w:val="none" w:color="auto"/>
          <w:lang w:val="zh-TW"/>
        </w:rPr>
        <w:t>¥</w:t>
      </w:r>
      <w:r>
        <w:rPr>
          <w:rFonts w:hint="eastAsia" w:ascii="宋体" w:hAnsi="宋体" w:cs="宋体"/>
          <w:szCs w:val="21"/>
          <w:u w:val="single" w:color="auto"/>
          <w:lang w:val="en-US" w:eastAsia="zh-CN"/>
        </w:rPr>
        <w:t xml:space="preserve">          </w:t>
      </w:r>
      <w:r>
        <w:rPr>
          <w:rFonts w:hint="eastAsia" w:ascii="宋体" w:hAnsi="宋体" w:cs="宋体"/>
          <w:szCs w:val="21"/>
          <w:u w:val="none" w:color="auto"/>
          <w:lang w:val="zh-TW"/>
        </w:rPr>
        <w:t>）</w:t>
      </w:r>
    </w:p>
    <w:p w14:paraId="3B76FEB6">
      <w:pPr>
        <w:spacing w:line="288" w:lineRule="auto"/>
        <w:ind w:firstLine="522" w:firstLineChars="249"/>
        <w:rPr>
          <w:rFonts w:hint="eastAsia" w:ascii="宋体" w:hAnsi="宋体" w:cs="宋体"/>
          <w:szCs w:val="21"/>
          <w:u w:val="none" w:color="auto"/>
          <w:lang w:val="zh-TW"/>
        </w:rPr>
      </w:pPr>
      <w:r>
        <w:rPr>
          <w:rFonts w:hint="eastAsia" w:ascii="宋体" w:hAnsi="宋体" w:cs="宋体"/>
          <w:szCs w:val="21"/>
          <w:u w:val="none" w:color="auto"/>
          <w:lang w:val="zh-TW"/>
        </w:rPr>
        <w:t>1.合同生效以及具备实施条件，自收到发票后7个工作日内，支付合同价款的</w:t>
      </w:r>
      <w:r>
        <w:rPr>
          <w:rFonts w:hint="eastAsia" w:ascii="宋体" w:hAnsi="宋体" w:cs="宋体"/>
          <w:szCs w:val="21"/>
          <w:u w:val="none" w:color="auto"/>
          <w:lang w:val="en-US" w:eastAsia="zh-CN"/>
        </w:rPr>
        <w:t>5</w:t>
      </w:r>
      <w:r>
        <w:rPr>
          <w:rFonts w:hint="eastAsia" w:ascii="宋体" w:hAnsi="宋体" w:cs="宋体"/>
          <w:szCs w:val="21"/>
          <w:u w:val="none" w:color="auto"/>
          <w:lang w:val="zh-TW"/>
        </w:rPr>
        <w:t>0%。（即人民币</w:t>
      </w:r>
      <w:r>
        <w:rPr>
          <w:rFonts w:hint="eastAsia" w:ascii="宋体" w:hAnsi="宋体" w:cs="宋体"/>
          <w:szCs w:val="21"/>
          <w:u w:val="single" w:color="auto"/>
          <w:lang w:val="zh-TW"/>
        </w:rPr>
        <w:t xml:space="preserve">      </w:t>
      </w:r>
      <w:r>
        <w:rPr>
          <w:rFonts w:hint="eastAsia" w:ascii="宋体" w:hAnsi="宋体" w:cs="宋体"/>
          <w:szCs w:val="21"/>
          <w:u w:val="none" w:color="auto"/>
          <w:lang w:val="zh-TW"/>
        </w:rPr>
        <w:t>元整（</w:t>
      </w:r>
      <w:r>
        <w:rPr>
          <w:rFonts w:hint="default" w:ascii="Arial" w:hAnsi="Arial" w:cs="Arial"/>
          <w:szCs w:val="21"/>
          <w:u w:val="none" w:color="auto"/>
          <w:lang w:val="zh-TW"/>
        </w:rPr>
        <w:t>¥</w:t>
      </w:r>
      <w:r>
        <w:rPr>
          <w:rFonts w:hint="eastAsia" w:ascii="宋体" w:hAnsi="宋体" w:cs="宋体"/>
          <w:szCs w:val="21"/>
          <w:u w:val="single" w:color="auto"/>
          <w:lang w:val="en-US" w:eastAsia="zh-CN"/>
        </w:rPr>
        <w:t xml:space="preserve">          </w:t>
      </w:r>
      <w:r>
        <w:rPr>
          <w:rFonts w:hint="eastAsia" w:ascii="宋体" w:hAnsi="宋体" w:cs="宋体"/>
          <w:szCs w:val="21"/>
          <w:u w:val="none" w:color="auto"/>
          <w:lang w:val="zh-TW"/>
        </w:rPr>
        <w:t>）</w:t>
      </w:r>
    </w:p>
    <w:p w14:paraId="282A0E7A">
      <w:pPr>
        <w:spacing w:line="288" w:lineRule="auto"/>
        <w:ind w:firstLine="522" w:firstLineChars="249"/>
        <w:rPr>
          <w:rFonts w:hint="eastAsia" w:ascii="宋体" w:hAnsi="宋体" w:cs="宋体"/>
          <w:szCs w:val="21"/>
          <w:u w:val="none" w:color="auto"/>
          <w:lang w:val="zh-TW"/>
        </w:rPr>
      </w:pPr>
      <w:r>
        <w:rPr>
          <w:rFonts w:hint="eastAsia" w:ascii="宋体" w:hAnsi="宋体" w:cs="宋体"/>
          <w:szCs w:val="21"/>
          <w:u w:val="none" w:color="auto"/>
          <w:lang w:val="zh-TW"/>
        </w:rPr>
        <w:t>2</w:t>
      </w:r>
      <w:r>
        <w:rPr>
          <w:rFonts w:hint="eastAsia" w:ascii="宋体" w:hAnsi="宋体" w:cs="宋体"/>
          <w:szCs w:val="21"/>
          <w:u w:val="none" w:color="auto"/>
          <w:lang w:val="zh-TW" w:eastAsia="zh-CN"/>
        </w:rPr>
        <w:t>.</w:t>
      </w:r>
      <w:r>
        <w:rPr>
          <w:rFonts w:hint="eastAsia" w:ascii="宋体" w:hAnsi="宋体" w:cs="宋体"/>
          <w:szCs w:val="21"/>
          <w:u w:val="none" w:color="auto"/>
          <w:lang w:val="zh-TW"/>
        </w:rPr>
        <w:t>项目实施完成并通过验收合格后，自收到发票后7个工作日内，支付剩余款项。（即人民币</w:t>
      </w:r>
      <w:r>
        <w:rPr>
          <w:rFonts w:hint="eastAsia" w:ascii="宋体" w:hAnsi="宋体" w:cs="宋体"/>
          <w:szCs w:val="21"/>
          <w:u w:val="single" w:color="auto"/>
          <w:lang w:val="zh-TW"/>
        </w:rPr>
        <w:t xml:space="preserve">      </w:t>
      </w:r>
      <w:r>
        <w:rPr>
          <w:rFonts w:hint="eastAsia" w:ascii="宋体" w:hAnsi="宋体" w:cs="宋体"/>
          <w:szCs w:val="21"/>
          <w:u w:val="none" w:color="auto"/>
          <w:lang w:val="zh-TW"/>
        </w:rPr>
        <w:t>元整（</w:t>
      </w:r>
      <w:r>
        <w:rPr>
          <w:rFonts w:hint="default" w:ascii="Arial" w:hAnsi="Arial" w:cs="Arial"/>
          <w:szCs w:val="21"/>
          <w:u w:val="none" w:color="auto"/>
          <w:lang w:val="zh-TW"/>
        </w:rPr>
        <w:t>¥</w:t>
      </w:r>
      <w:r>
        <w:rPr>
          <w:rFonts w:hint="eastAsia" w:ascii="宋体" w:hAnsi="宋体" w:cs="宋体"/>
          <w:szCs w:val="21"/>
          <w:u w:val="single" w:color="auto"/>
          <w:lang w:val="en-US" w:eastAsia="zh-CN"/>
        </w:rPr>
        <w:t xml:space="preserve">          </w:t>
      </w:r>
      <w:r>
        <w:rPr>
          <w:rFonts w:hint="eastAsia" w:ascii="宋体" w:hAnsi="宋体" w:cs="宋体"/>
          <w:szCs w:val="21"/>
          <w:u w:val="none" w:color="auto"/>
          <w:lang w:val="zh-TW"/>
        </w:rPr>
        <w:t>）</w:t>
      </w:r>
    </w:p>
    <w:p w14:paraId="7B2BE57A">
      <w:pPr>
        <w:spacing w:line="288" w:lineRule="auto"/>
        <w:ind w:firstLine="420" w:firstLineChars="200"/>
        <w:jc w:val="left"/>
        <w:rPr>
          <w:rFonts w:hint="eastAsia" w:ascii="宋体" w:hAnsi="宋体" w:cs="宋体"/>
          <w:b/>
          <w:szCs w:val="21"/>
          <w:u w:val="none" w:color="auto"/>
          <w:lang w:val="zh-TW"/>
        </w:rPr>
      </w:pPr>
      <w:r>
        <w:rPr>
          <w:rFonts w:hint="eastAsia" w:ascii="宋体" w:hAnsi="宋体"/>
          <w:szCs w:val="21"/>
          <w:u w:val="none" w:color="auto"/>
          <w:lang w:val="zh-TW"/>
        </w:rPr>
        <w:t>由甲方决定是否需要提供预付款担保</w:t>
      </w:r>
      <w:r>
        <w:rPr>
          <w:rFonts w:ascii="宋体" w:hAnsi="宋体"/>
          <w:szCs w:val="21"/>
          <w:u w:val="none" w:color="auto"/>
          <w:lang w:val="zh-TW"/>
        </w:rPr>
        <w:t>(预付款担保形式可以是银行保函、担保公司担保等)。</w:t>
      </w:r>
    </w:p>
    <w:p w14:paraId="6CCC24D0">
      <w:pPr>
        <w:spacing w:line="288" w:lineRule="auto"/>
        <w:rPr>
          <w:rFonts w:hint="eastAsia" w:ascii="宋体" w:hAnsi="宋体" w:cs="宋体"/>
          <w:b/>
          <w:szCs w:val="21"/>
          <w:u w:val="none" w:color="auto"/>
          <w:lang w:val="zh-TW" w:eastAsia="zh-TW"/>
        </w:rPr>
      </w:pPr>
      <w:r>
        <w:rPr>
          <w:rFonts w:hint="eastAsia" w:ascii="宋体" w:hAnsi="宋体" w:cs="宋体"/>
          <w:b/>
          <w:szCs w:val="21"/>
          <w:u w:val="none" w:color="auto"/>
          <w:lang w:val="zh-TW"/>
        </w:rPr>
        <w:t>5.</w:t>
      </w:r>
      <w:r>
        <w:rPr>
          <w:rFonts w:hint="eastAsia" w:ascii="宋体" w:hAnsi="宋体" w:cs="宋体"/>
          <w:b/>
          <w:szCs w:val="21"/>
          <w:u w:val="none" w:color="auto"/>
          <w:lang w:val="zh-TW" w:eastAsia="zh-TW"/>
        </w:rPr>
        <w:t>乙方项目组成员与合约履行期限：</w:t>
      </w:r>
    </w:p>
    <w:p w14:paraId="39DCAD61">
      <w:pPr>
        <w:spacing w:before="120" w:after="120" w:line="288" w:lineRule="auto"/>
        <w:ind w:firstLine="525" w:firstLineChars="250"/>
        <w:rPr>
          <w:rFonts w:hint="eastAsia" w:ascii="宋体" w:hAnsi="宋体"/>
          <w:b/>
          <w:bCs/>
          <w:szCs w:val="21"/>
          <w:u w:val="none" w:color="auto"/>
        </w:rPr>
      </w:pPr>
      <w:r>
        <w:rPr>
          <w:rFonts w:hint="eastAsia" w:ascii="宋体" w:hAnsi="宋体" w:cs="宋体"/>
          <w:szCs w:val="21"/>
          <w:u w:val="none" w:color="auto"/>
        </w:rPr>
        <w:t>1）</w:t>
      </w:r>
      <w:r>
        <w:rPr>
          <w:rFonts w:hint="eastAsia" w:ascii="宋体" w:hAnsi="宋体" w:cs="宋体"/>
          <w:szCs w:val="21"/>
          <w:u w:val="none" w:color="auto"/>
          <w:lang w:val="zh-TW" w:eastAsia="zh-TW"/>
        </w:rPr>
        <w:t>乙方项目组成员构成</w:t>
      </w:r>
    </w:p>
    <w:p w14:paraId="0EA9D83E">
      <w:pPr>
        <w:spacing w:line="288" w:lineRule="auto"/>
        <w:rPr>
          <w:rFonts w:hint="eastAsia" w:ascii="宋体" w:hAnsi="宋体" w:cs="宋体"/>
          <w:b/>
          <w:szCs w:val="21"/>
          <w:u w:val="none" w:color="auto"/>
          <w:lang w:val="zh-TW" w:eastAsia="zh-TW"/>
        </w:rPr>
      </w:pPr>
      <w:r>
        <w:rPr>
          <w:rFonts w:hint="eastAsia" w:ascii="宋体" w:hAnsi="宋体" w:cs="宋体"/>
          <w:b/>
          <w:szCs w:val="21"/>
          <w:u w:val="none" w:color="auto"/>
          <w:lang w:val="zh-TW"/>
        </w:rPr>
        <w:t>6.</w:t>
      </w:r>
      <w:r>
        <w:rPr>
          <w:rFonts w:hint="eastAsia" w:ascii="宋体" w:hAnsi="宋体" w:cs="宋体"/>
          <w:b/>
          <w:szCs w:val="21"/>
          <w:u w:val="none" w:color="auto"/>
          <w:lang w:val="zh-TW" w:eastAsia="zh-TW"/>
        </w:rPr>
        <w:t>权利与义务</w:t>
      </w:r>
    </w:p>
    <w:p w14:paraId="5C953D8F">
      <w:pPr>
        <w:spacing w:line="360" w:lineRule="auto"/>
        <w:ind w:firstLine="480"/>
        <w:rPr>
          <w:rFonts w:hint="default" w:ascii="Times New Roman" w:hAnsi="Times New Roman" w:eastAsia="宋体" w:cs="Times New Roman"/>
          <w:bCs/>
          <w:szCs w:val="21"/>
          <w:lang w:val="zh-TW" w:eastAsia="zh-TW"/>
        </w:rPr>
      </w:pPr>
      <w:r>
        <w:rPr>
          <w:rFonts w:hint="default" w:ascii="Times New Roman" w:hAnsi="Times New Roman" w:eastAsia="宋体" w:cs="Times New Roman"/>
          <w:bCs/>
          <w:szCs w:val="21"/>
          <w:lang w:val="zh-TW" w:eastAsia="zh-TW"/>
        </w:rPr>
        <w:t>1.</w:t>
      </w:r>
      <w:r>
        <w:rPr>
          <w:rFonts w:hint="default" w:ascii="Times New Roman" w:hAnsi="Times New Roman" w:eastAsia="宋体" w:cs="Times New Roman"/>
          <w:bCs/>
          <w:szCs w:val="21"/>
          <w:lang w:val="zh-TW"/>
        </w:rPr>
        <w:t>乙方应按招标文件规定向甲方提供服务。</w:t>
      </w:r>
    </w:p>
    <w:p w14:paraId="17A0CB0D">
      <w:pPr>
        <w:spacing w:line="360" w:lineRule="auto"/>
        <w:ind w:firstLine="480"/>
        <w:rPr>
          <w:rFonts w:hint="default" w:ascii="Times New Roman" w:hAnsi="Times New Roman" w:eastAsia="宋体" w:cs="Times New Roman"/>
          <w:bCs/>
          <w:szCs w:val="21"/>
          <w:lang w:val="zh-TW" w:eastAsia="zh-TW"/>
        </w:rPr>
      </w:pPr>
      <w:r>
        <w:rPr>
          <w:rFonts w:hint="default" w:ascii="Times New Roman" w:hAnsi="Times New Roman" w:eastAsia="宋体" w:cs="Times New Roman"/>
          <w:bCs/>
          <w:szCs w:val="21"/>
          <w:lang w:val="zh-TW" w:eastAsia="zh-TW"/>
        </w:rPr>
        <w:t>2.</w:t>
      </w:r>
      <w:r>
        <w:rPr>
          <w:rFonts w:hint="default" w:ascii="Times New Roman" w:hAnsi="Times New Roman" w:eastAsia="宋体" w:cs="Times New Roman"/>
          <w:bCs/>
          <w:szCs w:val="21"/>
          <w:lang w:val="zh-TW"/>
        </w:rPr>
        <w:t>未经甲方事先书面同意，乙方不得将与本合同及有关的任何计划、图文或物料提供给任何第三方。即使向履行本合同有关的人员提供，也应注意保密并限于履行合同的必需范围。</w:t>
      </w:r>
    </w:p>
    <w:p w14:paraId="75B40690">
      <w:pPr>
        <w:spacing w:line="360" w:lineRule="auto"/>
        <w:ind w:firstLine="480"/>
        <w:rPr>
          <w:rFonts w:hint="default" w:ascii="Times New Roman" w:hAnsi="Times New Roman" w:eastAsia="宋体" w:cs="Times New Roman"/>
          <w:bCs/>
          <w:szCs w:val="21"/>
          <w:lang w:val="zh-TW" w:eastAsia="zh-TW"/>
        </w:rPr>
      </w:pPr>
      <w:r>
        <w:rPr>
          <w:rFonts w:hint="default" w:ascii="Times New Roman" w:hAnsi="Times New Roman" w:eastAsia="宋体" w:cs="Times New Roman"/>
          <w:bCs/>
          <w:szCs w:val="21"/>
          <w:lang w:val="zh-TW" w:eastAsia="zh-TW"/>
        </w:rPr>
        <w:t>3.</w:t>
      </w:r>
      <w:r>
        <w:rPr>
          <w:rFonts w:hint="default" w:ascii="Times New Roman" w:hAnsi="Times New Roman" w:eastAsia="宋体" w:cs="Times New Roman"/>
          <w:bCs/>
          <w:szCs w:val="21"/>
          <w:lang w:val="zh-TW"/>
        </w:rPr>
        <w:t>乙方应保证提供服务过程中不会侵犯任何第三方的知识产权，否则甲方有权解除本合同，拒绝支付合同价款，并要求乙方赔偿所有损失。</w:t>
      </w:r>
    </w:p>
    <w:p w14:paraId="21BB2C13">
      <w:pPr>
        <w:spacing w:line="360" w:lineRule="auto"/>
        <w:ind w:firstLine="480"/>
        <w:rPr>
          <w:rFonts w:hint="default" w:ascii="Times New Roman" w:hAnsi="Times New Roman" w:eastAsia="宋体" w:cs="Times New Roman"/>
          <w:bCs/>
          <w:szCs w:val="21"/>
          <w:lang w:val="zh-TW" w:eastAsia="zh-TW"/>
        </w:rPr>
      </w:pPr>
      <w:r>
        <w:rPr>
          <w:rFonts w:hint="default" w:ascii="Times New Roman" w:hAnsi="Times New Roman" w:eastAsia="宋体" w:cs="Times New Roman"/>
          <w:bCs/>
          <w:szCs w:val="21"/>
          <w:lang w:val="zh-TW" w:eastAsia="zh-TW"/>
        </w:rPr>
        <w:t>4.</w:t>
      </w:r>
      <w:r>
        <w:rPr>
          <w:rFonts w:hint="default" w:ascii="Times New Roman" w:hAnsi="Times New Roman" w:eastAsia="宋体" w:cs="Times New Roman"/>
          <w:bCs/>
          <w:szCs w:val="21"/>
          <w:lang w:val="zh-TW"/>
        </w:rPr>
        <w:t>乙方提供的服务验收不合格的，或在服务保证期内出现问题，乙方应负责免费提供后续服务，给甲方造成损失的，乙方应当赔偿。</w:t>
      </w:r>
    </w:p>
    <w:p w14:paraId="1610ED59">
      <w:pPr>
        <w:spacing w:line="360" w:lineRule="auto"/>
        <w:ind w:firstLine="480"/>
        <w:rPr>
          <w:rFonts w:hint="eastAsia" w:ascii="宋体" w:hAnsi="宋体" w:cs="宋体"/>
          <w:b/>
          <w:szCs w:val="21"/>
          <w:u w:val="none" w:color="auto"/>
          <w:lang w:val="zh-TW"/>
        </w:rPr>
      </w:pPr>
      <w:r>
        <w:rPr>
          <w:rFonts w:hint="default" w:ascii="Times New Roman" w:hAnsi="Times New Roman" w:eastAsia="宋体" w:cs="Times New Roman"/>
          <w:bCs/>
          <w:szCs w:val="21"/>
          <w:lang w:val="zh-TW" w:eastAsia="zh-TW"/>
        </w:rPr>
        <w:t>5.</w:t>
      </w:r>
      <w:r>
        <w:rPr>
          <w:rFonts w:hint="default" w:ascii="Times New Roman" w:hAnsi="Times New Roman" w:eastAsia="宋体" w:cs="Times New Roman"/>
          <w:bCs/>
          <w:szCs w:val="21"/>
          <w:lang w:val="zh-TW"/>
        </w:rPr>
        <w:t>在服务保证期内，乙方应对出现的质量及安全问题负责处理解决并承担一切费用</w:t>
      </w:r>
      <w:r>
        <w:rPr>
          <w:rFonts w:hint="eastAsia" w:ascii="Times New Roman" w:hAnsi="Times New Roman" w:cs="Times New Roman"/>
          <w:bCs/>
          <w:szCs w:val="21"/>
          <w:lang w:val="zh-TW" w:eastAsia="zh-CN"/>
        </w:rPr>
        <w:t>。</w:t>
      </w:r>
    </w:p>
    <w:p w14:paraId="376A0392">
      <w:pPr>
        <w:spacing w:line="288" w:lineRule="auto"/>
        <w:rPr>
          <w:rFonts w:hint="eastAsia" w:ascii="宋体" w:hAnsi="宋体" w:cs="宋体"/>
          <w:b/>
          <w:szCs w:val="21"/>
          <w:u w:val="none" w:color="auto"/>
          <w:lang w:val="zh-TW" w:eastAsia="zh-TW"/>
        </w:rPr>
      </w:pPr>
      <w:r>
        <w:rPr>
          <w:rFonts w:hint="eastAsia" w:ascii="宋体" w:hAnsi="宋体" w:cs="宋体"/>
          <w:b/>
          <w:szCs w:val="21"/>
          <w:u w:val="none" w:color="auto"/>
          <w:lang w:val="zh-TW"/>
        </w:rPr>
        <w:t>7.</w:t>
      </w:r>
      <w:r>
        <w:rPr>
          <w:rFonts w:hint="eastAsia" w:ascii="宋体" w:hAnsi="宋体" w:cs="宋体"/>
          <w:b/>
          <w:szCs w:val="21"/>
          <w:u w:val="none" w:color="auto"/>
          <w:lang w:val="zh-TW" w:eastAsia="zh-TW"/>
        </w:rPr>
        <w:t>违约责任</w:t>
      </w:r>
    </w:p>
    <w:p w14:paraId="656C49E7">
      <w:pPr>
        <w:spacing w:line="288" w:lineRule="auto"/>
        <w:ind w:firstLine="480"/>
        <w:rPr>
          <w:rFonts w:hint="eastAsia" w:ascii="宋体" w:hAnsi="宋体" w:cs="宋体"/>
          <w:b/>
          <w:szCs w:val="21"/>
          <w:u w:val="none" w:color="auto"/>
          <w:lang w:val="zh-TW"/>
        </w:rPr>
      </w:pPr>
      <w:r>
        <w:rPr>
          <w:rFonts w:hint="eastAsia" w:ascii="宋体" w:hAnsi="宋体" w:cs="宋体"/>
          <w:szCs w:val="21"/>
          <w:u w:val="none" w:color="auto"/>
        </w:rPr>
        <w:t xml:space="preserve"> </w:t>
      </w:r>
    </w:p>
    <w:p w14:paraId="145859FC">
      <w:pPr>
        <w:spacing w:line="288" w:lineRule="auto"/>
        <w:rPr>
          <w:rFonts w:hint="eastAsia" w:ascii="宋体" w:hAnsi="宋体" w:cs="宋体"/>
          <w:b/>
          <w:szCs w:val="21"/>
          <w:u w:val="none" w:color="auto"/>
          <w:lang w:val="zh-TW" w:eastAsia="zh-TW"/>
        </w:rPr>
      </w:pPr>
      <w:r>
        <w:rPr>
          <w:rFonts w:hint="eastAsia" w:ascii="宋体" w:hAnsi="宋体" w:cs="宋体"/>
          <w:b/>
          <w:szCs w:val="21"/>
          <w:u w:val="none" w:color="auto"/>
          <w:lang w:val="zh-TW"/>
        </w:rPr>
        <w:t>8.</w:t>
      </w:r>
      <w:r>
        <w:rPr>
          <w:rFonts w:hint="eastAsia" w:ascii="宋体" w:hAnsi="宋体" w:cs="宋体"/>
          <w:b/>
          <w:szCs w:val="21"/>
          <w:u w:val="none" w:color="auto"/>
          <w:lang w:val="zh-TW" w:eastAsia="zh-TW"/>
        </w:rPr>
        <w:t>争议的解决</w:t>
      </w:r>
    </w:p>
    <w:p w14:paraId="37C84D71">
      <w:pPr>
        <w:spacing w:line="288" w:lineRule="auto"/>
        <w:ind w:firstLine="480"/>
        <w:rPr>
          <w:rFonts w:hint="eastAsia" w:ascii="宋体" w:hAnsi="宋体" w:cs="宋体"/>
          <w:szCs w:val="21"/>
          <w:u w:val="none" w:color="auto"/>
          <w:lang w:val="zh-TW" w:eastAsia="zh-TW"/>
        </w:rPr>
      </w:pPr>
      <w:r>
        <w:rPr>
          <w:rFonts w:hint="eastAsia" w:ascii="宋体" w:hAnsi="宋体" w:cs="宋体"/>
          <w:szCs w:val="21"/>
          <w:u w:val="none" w:color="auto"/>
          <w:lang w:val="zh-TW" w:eastAsia="zh-TW"/>
        </w:rPr>
        <w:t>因本合同的解释或履行本合同如发生争议，甲乙双方应友好协商解决，协商不成，可以提交甲方所在地人民法院通过诉讼方式解决。</w:t>
      </w:r>
    </w:p>
    <w:p w14:paraId="7CD18A69">
      <w:pPr>
        <w:spacing w:line="288" w:lineRule="auto"/>
        <w:rPr>
          <w:rFonts w:hint="eastAsia" w:ascii="宋体" w:hAnsi="宋体" w:cs="宋体"/>
          <w:szCs w:val="21"/>
          <w:u w:val="none" w:color="auto"/>
          <w:lang w:val="zh-TW" w:eastAsia="zh-TW"/>
        </w:rPr>
      </w:pPr>
      <w:r>
        <w:rPr>
          <w:rFonts w:hint="eastAsia" w:ascii="宋体" w:hAnsi="宋体" w:cs="宋体"/>
          <w:szCs w:val="21"/>
          <w:u w:val="none" w:color="auto"/>
          <w:lang w:val="zh-TW"/>
        </w:rPr>
        <w:t>9.</w:t>
      </w:r>
      <w:r>
        <w:rPr>
          <w:rFonts w:hint="eastAsia" w:ascii="宋体" w:hAnsi="宋体" w:cs="宋体"/>
          <w:szCs w:val="21"/>
          <w:u w:val="none" w:color="auto"/>
          <w:lang w:val="zh-TW" w:eastAsia="zh-TW"/>
        </w:rPr>
        <w:t>合同未尽事宜，双方可另行协商，并达成书面补充协议。补充协议与合同具有同</w:t>
      </w:r>
      <w:r>
        <w:rPr>
          <w:rFonts w:hint="eastAsia" w:ascii="宋体" w:hAnsi="宋体" w:cs="宋体"/>
          <w:szCs w:val="21"/>
          <w:u w:val="none" w:color="auto"/>
        </w:rPr>
        <w:t>等</w:t>
      </w:r>
      <w:r>
        <w:rPr>
          <w:rFonts w:hint="eastAsia" w:ascii="宋体" w:hAnsi="宋体" w:cs="宋体"/>
          <w:szCs w:val="21"/>
          <w:u w:val="none" w:color="auto"/>
          <w:lang w:val="zh-TW" w:eastAsia="zh-TW"/>
        </w:rPr>
        <w:t>法律效力。</w:t>
      </w:r>
    </w:p>
    <w:p w14:paraId="521EEA02">
      <w:pPr>
        <w:spacing w:line="288" w:lineRule="auto"/>
        <w:rPr>
          <w:rFonts w:hint="eastAsia" w:ascii="宋体" w:hAnsi="宋体" w:cs="宋体"/>
          <w:szCs w:val="21"/>
          <w:u w:val="none" w:color="auto"/>
        </w:rPr>
      </w:pPr>
      <w:r>
        <w:rPr>
          <w:rFonts w:hint="eastAsia" w:ascii="宋体" w:hAnsi="宋体" w:cs="宋体"/>
          <w:szCs w:val="21"/>
          <w:u w:val="none" w:color="auto"/>
          <w:lang w:val="zh-TW"/>
        </w:rPr>
        <w:t>10..</w:t>
      </w:r>
      <w:r>
        <w:rPr>
          <w:rFonts w:hint="eastAsia" w:ascii="宋体" w:hAnsi="宋体" w:cs="宋体"/>
          <w:szCs w:val="21"/>
          <w:u w:val="none" w:color="auto"/>
        </w:rPr>
        <w:t>本合同壹式叁份，甲、乙双方和代理机构各执壹份，具有同等的法律效力。</w:t>
      </w:r>
    </w:p>
    <w:p w14:paraId="2B403933">
      <w:pPr>
        <w:snapToGrid w:val="0"/>
        <w:spacing w:line="288" w:lineRule="auto"/>
        <w:ind w:right="-340" w:firstLine="1260" w:firstLineChars="600"/>
        <w:rPr>
          <w:rFonts w:hint="eastAsia" w:ascii="宋体" w:hAnsi="宋体" w:cs="宋体"/>
          <w:szCs w:val="21"/>
          <w:u w:val="none" w:color="auto"/>
        </w:rPr>
      </w:pPr>
      <w:r>
        <w:rPr>
          <w:rFonts w:hint="eastAsia" w:ascii="宋体" w:hAnsi="宋体" w:cs="宋体"/>
          <w:szCs w:val="21"/>
          <w:u w:val="none" w:color="auto"/>
        </w:rPr>
        <w:t>甲方：                          乙方：</w:t>
      </w:r>
    </w:p>
    <w:p w14:paraId="5F2D8936">
      <w:pPr>
        <w:snapToGrid w:val="0"/>
        <w:spacing w:line="312" w:lineRule="auto"/>
        <w:ind w:right="-340" w:firstLine="1260" w:firstLineChars="600"/>
        <w:rPr>
          <w:rFonts w:hint="eastAsia" w:ascii="宋体" w:hAnsi="宋体" w:cs="宋体"/>
          <w:szCs w:val="21"/>
          <w:u w:val="none" w:color="auto"/>
        </w:rPr>
      </w:pPr>
      <w:r>
        <w:rPr>
          <w:rFonts w:hint="eastAsia" w:ascii="宋体" w:hAnsi="宋体" w:cs="宋体"/>
          <w:szCs w:val="21"/>
          <w:u w:val="none" w:color="auto"/>
        </w:rPr>
        <w:t>地址：                          地址：</w:t>
      </w:r>
    </w:p>
    <w:p w14:paraId="207C625D">
      <w:pPr>
        <w:snapToGrid w:val="0"/>
        <w:spacing w:line="312" w:lineRule="auto"/>
        <w:ind w:right="-340" w:firstLine="1260" w:firstLineChars="600"/>
        <w:rPr>
          <w:rFonts w:hint="eastAsia" w:ascii="宋体" w:hAnsi="宋体" w:cs="宋体"/>
          <w:szCs w:val="21"/>
          <w:u w:val="none" w:color="auto"/>
        </w:rPr>
      </w:pPr>
      <w:r>
        <w:rPr>
          <w:rFonts w:hint="eastAsia" w:ascii="宋体" w:hAnsi="宋体" w:cs="宋体"/>
          <w:szCs w:val="21"/>
          <w:u w:val="none" w:color="auto"/>
        </w:rPr>
        <w:t>法人代表：                      法人代表：</w:t>
      </w:r>
    </w:p>
    <w:p w14:paraId="37F05FF2">
      <w:pPr>
        <w:snapToGrid w:val="0"/>
        <w:spacing w:line="312" w:lineRule="auto"/>
        <w:ind w:right="-340" w:firstLine="1260" w:firstLineChars="600"/>
        <w:rPr>
          <w:rFonts w:hint="eastAsia" w:ascii="宋体" w:hAnsi="宋体" w:cs="宋体"/>
          <w:szCs w:val="21"/>
          <w:u w:val="none" w:color="auto"/>
        </w:rPr>
      </w:pPr>
      <w:r>
        <w:rPr>
          <w:rFonts w:hint="eastAsia" w:ascii="宋体" w:hAnsi="宋体" w:cs="宋体"/>
          <w:szCs w:val="21"/>
          <w:u w:val="none" w:color="auto"/>
        </w:rPr>
        <w:t>电话：                          电话：</w:t>
      </w:r>
    </w:p>
    <w:p w14:paraId="5AC6D528">
      <w:pPr>
        <w:snapToGrid w:val="0"/>
        <w:spacing w:line="312" w:lineRule="auto"/>
        <w:ind w:right="-340" w:firstLine="1260" w:firstLineChars="600"/>
        <w:rPr>
          <w:rFonts w:hint="eastAsia" w:ascii="宋体" w:hAnsi="宋体" w:cs="宋体"/>
          <w:szCs w:val="21"/>
          <w:u w:val="none" w:color="auto"/>
        </w:rPr>
      </w:pPr>
      <w:r>
        <w:rPr>
          <w:rFonts w:hint="eastAsia" w:ascii="宋体" w:hAnsi="宋体" w:cs="宋体"/>
          <w:szCs w:val="21"/>
          <w:u w:val="none" w:color="auto"/>
        </w:rPr>
        <w:t>电传：                          电传：</w:t>
      </w:r>
    </w:p>
    <w:p w14:paraId="3564F75A">
      <w:pPr>
        <w:snapToGrid w:val="0"/>
        <w:spacing w:line="312" w:lineRule="auto"/>
        <w:ind w:right="-340" w:firstLine="1260" w:firstLineChars="600"/>
        <w:rPr>
          <w:rFonts w:hint="eastAsia" w:ascii="宋体" w:hAnsi="宋体" w:cs="宋体"/>
          <w:szCs w:val="21"/>
          <w:u w:val="none" w:color="auto"/>
        </w:rPr>
      </w:pPr>
      <w:r>
        <w:rPr>
          <w:rFonts w:hint="eastAsia" w:ascii="宋体" w:hAnsi="宋体" w:cs="宋体"/>
          <w:szCs w:val="21"/>
          <w:u w:val="none" w:color="auto"/>
        </w:rPr>
        <w:t>开户银行：                      开户银行：</w:t>
      </w:r>
    </w:p>
    <w:p w14:paraId="06279B13">
      <w:pPr>
        <w:snapToGrid w:val="0"/>
        <w:spacing w:line="360" w:lineRule="auto"/>
        <w:ind w:right="-340" w:firstLine="1260" w:firstLineChars="600"/>
        <w:rPr>
          <w:rFonts w:hint="eastAsia" w:ascii="宋体" w:hAnsi="宋体" w:cs="宋体"/>
          <w:szCs w:val="21"/>
          <w:u w:val="none" w:color="auto"/>
        </w:rPr>
      </w:pPr>
      <w:r>
        <w:rPr>
          <w:rFonts w:hint="eastAsia" w:ascii="宋体" w:hAnsi="宋体" w:cs="宋体"/>
          <w:szCs w:val="21"/>
          <w:u w:val="none" w:color="auto"/>
        </w:rPr>
        <w:t>账号：                           账号：</w:t>
      </w:r>
    </w:p>
    <w:p w14:paraId="17A49403">
      <w:pPr>
        <w:snapToGrid w:val="0"/>
        <w:spacing w:line="312" w:lineRule="auto"/>
        <w:ind w:right="-340" w:firstLine="1260" w:firstLineChars="600"/>
        <w:rPr>
          <w:rFonts w:ascii="宋体" w:hAnsi="宋体"/>
          <w:szCs w:val="21"/>
          <w:u w:val="none" w:color="auto"/>
        </w:rPr>
      </w:pPr>
      <w:r>
        <w:rPr>
          <w:rFonts w:hint="eastAsia" w:ascii="宋体" w:hAnsi="宋体" w:cs="宋体"/>
          <w:szCs w:val="21"/>
          <w:u w:val="none" w:color="auto"/>
        </w:rPr>
        <w:t>日期：                           日期：</w:t>
      </w:r>
    </w:p>
    <w:p w14:paraId="578572FF">
      <w:pPr>
        <w:snapToGrid w:val="0"/>
        <w:spacing w:line="260" w:lineRule="exact"/>
        <w:rPr>
          <w:rFonts w:hint="eastAsia" w:ascii="宋体" w:hAnsi="宋体"/>
          <w:szCs w:val="21"/>
          <w:u w:val="none" w:color="auto"/>
        </w:rPr>
      </w:pPr>
      <w:r>
        <w:rPr>
          <w:rFonts w:ascii="宋体" w:hAnsi="宋体"/>
          <w:szCs w:val="21"/>
          <w:u w:val="none" w:color="auto"/>
        </w:rPr>
        <w:t>信贷政策</w:t>
      </w:r>
    </w:p>
    <w:p w14:paraId="0D0ED4F6">
      <w:pPr>
        <w:spacing w:line="260" w:lineRule="exact"/>
        <w:ind w:firstLine="420" w:firstLineChars="200"/>
        <w:rPr>
          <w:rFonts w:hint="eastAsia" w:ascii="宋体" w:hAnsi="宋体"/>
          <w:szCs w:val="21"/>
          <w:u w:val="none" w:color="auto"/>
        </w:rPr>
      </w:pPr>
      <w:r>
        <w:rPr>
          <w:rFonts w:ascii="宋体" w:hAnsi="宋体"/>
          <w:szCs w:val="21"/>
          <w:u w:val="none" w:color="auto"/>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1A48AD7E">
      <w:pPr>
        <w:spacing w:line="240" w:lineRule="exact"/>
        <w:contextualSpacing/>
        <w:rPr>
          <w:rFonts w:hint="eastAsia" w:ascii="宋体" w:hAnsi="宋体"/>
          <w:sz w:val="24"/>
          <w:u w:val="none" w:color="auto"/>
        </w:rPr>
      </w:pPr>
    </w:p>
    <w:tbl>
      <w:tblPr>
        <w:tblStyle w:val="29"/>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6034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3FC18C17">
            <w:pPr>
              <w:spacing w:line="240" w:lineRule="exact"/>
              <w:contextualSpacing/>
              <w:rPr>
                <w:rFonts w:hint="eastAsia" w:ascii="宋体" w:hAnsi="宋体"/>
                <w:szCs w:val="21"/>
                <w:u w:val="none" w:color="auto"/>
              </w:rPr>
            </w:pPr>
            <w:r>
              <w:rPr>
                <w:rFonts w:hint="eastAsia" w:ascii="宋体" w:hAnsi="宋体"/>
                <w:szCs w:val="21"/>
                <w:u w:val="none" w:color="auto"/>
              </w:rPr>
              <w:t>舟山市政府采购信用融资合作银行</w:t>
            </w:r>
          </w:p>
        </w:tc>
      </w:tr>
      <w:tr w14:paraId="2F23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03E8A109">
            <w:pPr>
              <w:spacing w:line="240" w:lineRule="exact"/>
              <w:contextualSpacing/>
              <w:jc w:val="center"/>
              <w:rPr>
                <w:rFonts w:hint="eastAsia" w:ascii="宋体" w:hAnsi="宋体"/>
                <w:szCs w:val="21"/>
                <w:u w:val="none" w:color="auto"/>
              </w:rPr>
            </w:pPr>
            <w:r>
              <w:rPr>
                <w:rFonts w:hint="eastAsia" w:ascii="宋体" w:hAnsi="宋体"/>
                <w:szCs w:val="21"/>
                <w:u w:val="none" w:color="auto"/>
              </w:rPr>
              <w:t>银行名称</w:t>
            </w:r>
          </w:p>
        </w:tc>
        <w:tc>
          <w:tcPr>
            <w:tcW w:w="3975" w:type="dxa"/>
            <w:vAlign w:val="center"/>
          </w:tcPr>
          <w:p w14:paraId="134706BE">
            <w:pPr>
              <w:spacing w:line="240" w:lineRule="exact"/>
              <w:contextualSpacing/>
              <w:jc w:val="center"/>
              <w:rPr>
                <w:rFonts w:hint="eastAsia" w:ascii="宋体" w:hAnsi="宋体"/>
                <w:szCs w:val="21"/>
                <w:u w:val="none" w:color="auto"/>
              </w:rPr>
            </w:pPr>
            <w:r>
              <w:rPr>
                <w:rFonts w:hint="eastAsia" w:ascii="宋体" w:hAnsi="宋体"/>
                <w:szCs w:val="21"/>
                <w:u w:val="none" w:color="auto"/>
              </w:rPr>
              <w:t>各银行介绍的产品特点</w:t>
            </w:r>
          </w:p>
        </w:tc>
        <w:tc>
          <w:tcPr>
            <w:tcW w:w="2220" w:type="dxa"/>
            <w:vAlign w:val="center"/>
          </w:tcPr>
          <w:p w14:paraId="0AB719F0">
            <w:pPr>
              <w:spacing w:line="240" w:lineRule="exact"/>
              <w:contextualSpacing/>
              <w:jc w:val="center"/>
              <w:rPr>
                <w:rFonts w:hint="eastAsia" w:ascii="宋体" w:hAnsi="宋体"/>
                <w:szCs w:val="21"/>
                <w:u w:val="none" w:color="auto"/>
              </w:rPr>
            </w:pPr>
            <w:r>
              <w:rPr>
                <w:rFonts w:hint="eastAsia" w:ascii="宋体" w:hAnsi="宋体"/>
                <w:szCs w:val="21"/>
                <w:u w:val="none" w:color="auto"/>
              </w:rPr>
              <w:t>经办人</w:t>
            </w:r>
          </w:p>
        </w:tc>
        <w:tc>
          <w:tcPr>
            <w:tcW w:w="1908" w:type="dxa"/>
            <w:vAlign w:val="center"/>
          </w:tcPr>
          <w:p w14:paraId="57AC3671">
            <w:pPr>
              <w:spacing w:line="240" w:lineRule="exact"/>
              <w:contextualSpacing/>
              <w:jc w:val="center"/>
              <w:rPr>
                <w:rFonts w:hint="eastAsia" w:ascii="宋体" w:hAnsi="宋体"/>
                <w:szCs w:val="21"/>
                <w:u w:val="none" w:color="auto"/>
              </w:rPr>
            </w:pPr>
            <w:r>
              <w:rPr>
                <w:rFonts w:hint="eastAsia" w:ascii="宋体" w:hAnsi="宋体"/>
                <w:szCs w:val="21"/>
                <w:u w:val="none" w:color="auto"/>
              </w:rPr>
              <w:t>联系方式</w:t>
            </w:r>
          </w:p>
        </w:tc>
      </w:tr>
      <w:tr w14:paraId="107B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35D2BE10">
            <w:pPr>
              <w:spacing w:line="240" w:lineRule="exact"/>
              <w:contextualSpacing/>
              <w:rPr>
                <w:rFonts w:hint="eastAsia" w:ascii="宋体" w:hAnsi="宋体"/>
                <w:szCs w:val="21"/>
                <w:u w:val="none" w:color="auto"/>
              </w:rPr>
            </w:pPr>
            <w:r>
              <w:rPr>
                <w:rFonts w:hint="eastAsia" w:ascii="宋体" w:hAnsi="宋体"/>
                <w:szCs w:val="21"/>
                <w:u w:val="none" w:color="auto"/>
              </w:rPr>
              <w:t>中国工商银行股份有限公司舟山分行</w:t>
            </w:r>
          </w:p>
        </w:tc>
        <w:tc>
          <w:tcPr>
            <w:tcW w:w="3975" w:type="dxa"/>
          </w:tcPr>
          <w:p w14:paraId="0C1D7B30">
            <w:pPr>
              <w:numPr>
                <w:ilvl w:val="0"/>
                <w:numId w:val="5"/>
              </w:numPr>
              <w:spacing w:line="240" w:lineRule="exact"/>
              <w:contextualSpacing/>
              <w:rPr>
                <w:rFonts w:hint="eastAsia" w:ascii="宋体" w:hAnsi="宋体" w:cs="仿宋_GB2312"/>
                <w:szCs w:val="21"/>
                <w:u w:val="none" w:color="auto"/>
              </w:rPr>
            </w:pPr>
            <w:r>
              <w:rPr>
                <w:rFonts w:hint="eastAsia" w:ascii="宋体" w:hAnsi="宋体" w:cs="仿宋_GB2312"/>
                <w:szCs w:val="21"/>
                <w:u w:val="none" w:color="auto"/>
              </w:rPr>
              <w:t>融资额度高，融资金额最高可至订单金额70%，线上申请，随借随还。2.融资利率低，最低可至当期LPR利率。</w:t>
            </w:r>
          </w:p>
          <w:p w14:paraId="76BF3E10">
            <w:pPr>
              <w:spacing w:line="240" w:lineRule="exact"/>
              <w:contextualSpacing/>
              <w:rPr>
                <w:rFonts w:hint="eastAsia" w:ascii="宋体" w:hAnsi="宋体"/>
                <w:szCs w:val="21"/>
                <w:u w:val="none" w:color="auto"/>
              </w:rPr>
            </w:pPr>
            <w:r>
              <w:rPr>
                <w:rFonts w:hint="eastAsia" w:ascii="宋体" w:hAnsi="宋体" w:cs="仿宋_GB2312"/>
                <w:szCs w:val="21"/>
                <w:u w:val="none" w:color="auto"/>
              </w:rPr>
              <w:t>3.担保方式灵活，以政府采购合同进行融资，无需另外抵押。</w:t>
            </w:r>
          </w:p>
        </w:tc>
        <w:tc>
          <w:tcPr>
            <w:tcW w:w="2220" w:type="dxa"/>
            <w:vAlign w:val="center"/>
          </w:tcPr>
          <w:p w14:paraId="755400AD">
            <w:pPr>
              <w:spacing w:line="240" w:lineRule="exact"/>
              <w:contextualSpacing/>
              <w:jc w:val="center"/>
              <w:rPr>
                <w:rFonts w:hint="eastAsia" w:ascii="宋体" w:hAnsi="宋体"/>
                <w:szCs w:val="21"/>
                <w:u w:val="none" w:color="auto"/>
              </w:rPr>
            </w:pPr>
            <w:r>
              <w:rPr>
                <w:rFonts w:hint="eastAsia" w:ascii="宋体" w:hAnsi="宋体"/>
                <w:szCs w:val="21"/>
                <w:u w:val="none" w:color="auto"/>
              </w:rPr>
              <w:t>柳超颖</w:t>
            </w:r>
          </w:p>
        </w:tc>
        <w:tc>
          <w:tcPr>
            <w:tcW w:w="1908" w:type="dxa"/>
            <w:vAlign w:val="center"/>
          </w:tcPr>
          <w:p w14:paraId="4ACC7DDE">
            <w:pPr>
              <w:spacing w:line="240" w:lineRule="exact"/>
              <w:contextualSpacing/>
              <w:rPr>
                <w:rFonts w:hint="eastAsia" w:ascii="宋体" w:hAnsi="宋体"/>
                <w:szCs w:val="21"/>
                <w:u w:val="none" w:color="auto"/>
              </w:rPr>
            </w:pPr>
            <w:r>
              <w:rPr>
                <w:rFonts w:hint="eastAsia" w:ascii="宋体" w:hAnsi="宋体"/>
                <w:szCs w:val="21"/>
                <w:u w:val="none" w:color="auto"/>
              </w:rPr>
              <w:t>0580-2166242, 15858076468</w:t>
            </w:r>
          </w:p>
        </w:tc>
      </w:tr>
      <w:tr w14:paraId="5E83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0A04A4FD">
            <w:pPr>
              <w:spacing w:line="240" w:lineRule="exact"/>
              <w:contextualSpacing/>
              <w:rPr>
                <w:rFonts w:hint="eastAsia" w:ascii="宋体" w:hAnsi="宋体"/>
                <w:szCs w:val="21"/>
                <w:u w:val="none" w:color="auto"/>
              </w:rPr>
            </w:pPr>
            <w:r>
              <w:rPr>
                <w:rFonts w:hint="eastAsia" w:ascii="宋体" w:hAnsi="宋体"/>
                <w:szCs w:val="21"/>
                <w:u w:val="none" w:color="auto"/>
              </w:rPr>
              <w:t>中国建设银行股份有限公司舟山分行</w:t>
            </w:r>
          </w:p>
        </w:tc>
        <w:tc>
          <w:tcPr>
            <w:tcW w:w="3975" w:type="dxa"/>
          </w:tcPr>
          <w:p w14:paraId="1CC2C0E9">
            <w:pPr>
              <w:numPr>
                <w:ilvl w:val="0"/>
                <w:numId w:val="6"/>
              </w:numPr>
              <w:spacing w:line="240" w:lineRule="exact"/>
              <w:contextualSpacing/>
              <w:rPr>
                <w:rFonts w:hint="eastAsia" w:ascii="宋体" w:hAnsi="宋体"/>
                <w:szCs w:val="21"/>
                <w:u w:val="none" w:color="auto"/>
              </w:rPr>
            </w:pPr>
            <w:r>
              <w:rPr>
                <w:rFonts w:hint="eastAsia" w:ascii="宋体" w:hAnsi="宋体"/>
                <w:szCs w:val="21"/>
                <w:u w:val="none" w:color="auto"/>
              </w:rPr>
              <w:t>快速便捷：全流程线上操作，通过浙江省政府采购网数据审核信用额度，建行供应链平台快速放款。</w:t>
            </w:r>
          </w:p>
          <w:p w14:paraId="47DBEB50">
            <w:pPr>
              <w:numPr>
                <w:ilvl w:val="0"/>
                <w:numId w:val="6"/>
              </w:numPr>
              <w:spacing w:line="240" w:lineRule="exact"/>
              <w:contextualSpacing/>
              <w:rPr>
                <w:rFonts w:hint="eastAsia" w:ascii="宋体" w:hAnsi="宋体"/>
                <w:szCs w:val="21"/>
                <w:u w:val="none" w:color="auto"/>
              </w:rPr>
            </w:pPr>
            <w:r>
              <w:rPr>
                <w:rFonts w:hint="eastAsia" w:ascii="宋体" w:hAnsi="宋体"/>
                <w:szCs w:val="21"/>
                <w:u w:val="none" w:color="auto"/>
              </w:rPr>
              <w:t>申请额度高：单笔融资额度最高可达政府采购合同金额的90%，单户额度最高可达3000万。</w:t>
            </w:r>
          </w:p>
          <w:p w14:paraId="1180918E">
            <w:pPr>
              <w:numPr>
                <w:ilvl w:val="0"/>
                <w:numId w:val="6"/>
              </w:numPr>
              <w:spacing w:line="240" w:lineRule="exact"/>
              <w:contextualSpacing/>
              <w:rPr>
                <w:rFonts w:hint="eastAsia" w:ascii="宋体" w:hAnsi="宋体"/>
                <w:szCs w:val="21"/>
                <w:u w:val="none" w:color="auto"/>
              </w:rPr>
            </w:pPr>
            <w:r>
              <w:rPr>
                <w:rFonts w:hint="eastAsia" w:ascii="宋体" w:hAnsi="宋体"/>
                <w:szCs w:val="21"/>
                <w:u w:val="none" w:color="auto"/>
              </w:rPr>
              <w:t>无需额外抵押：以浙江省政府采购网备案公示的政府采购合同进行融资，无需额外抵押担保。</w:t>
            </w:r>
          </w:p>
          <w:p w14:paraId="772FED41">
            <w:pPr>
              <w:numPr>
                <w:ilvl w:val="0"/>
                <w:numId w:val="6"/>
              </w:numPr>
              <w:spacing w:line="240" w:lineRule="exact"/>
              <w:contextualSpacing/>
              <w:rPr>
                <w:rFonts w:hint="eastAsia" w:ascii="宋体" w:hAnsi="宋体"/>
                <w:szCs w:val="21"/>
                <w:u w:val="none" w:color="auto"/>
              </w:rPr>
            </w:pPr>
            <w:r>
              <w:rPr>
                <w:rFonts w:hint="eastAsia" w:ascii="宋体" w:hAnsi="宋体"/>
                <w:szCs w:val="21"/>
                <w:u w:val="none" w:color="auto"/>
              </w:rPr>
              <w:t>利率优惠：给予流动资金贷款最优惠利率。</w:t>
            </w:r>
          </w:p>
        </w:tc>
        <w:tc>
          <w:tcPr>
            <w:tcW w:w="2220" w:type="dxa"/>
            <w:vAlign w:val="center"/>
          </w:tcPr>
          <w:p w14:paraId="4D858742">
            <w:pPr>
              <w:spacing w:line="240" w:lineRule="exact"/>
              <w:contextualSpacing/>
              <w:jc w:val="center"/>
              <w:rPr>
                <w:rFonts w:hint="eastAsia" w:ascii="宋体" w:hAnsi="宋体"/>
                <w:szCs w:val="21"/>
                <w:u w:val="none" w:color="auto"/>
              </w:rPr>
            </w:pPr>
            <w:r>
              <w:rPr>
                <w:rFonts w:hint="eastAsia" w:ascii="宋体" w:hAnsi="宋体"/>
                <w:szCs w:val="21"/>
                <w:u w:val="none" w:color="auto"/>
              </w:rPr>
              <w:t>普陀片区：蔡妮妮</w:t>
            </w:r>
          </w:p>
          <w:p w14:paraId="205B260E">
            <w:pPr>
              <w:spacing w:line="240" w:lineRule="exact"/>
              <w:contextualSpacing/>
              <w:jc w:val="center"/>
              <w:rPr>
                <w:rFonts w:hint="eastAsia" w:ascii="宋体" w:hAnsi="宋体"/>
                <w:szCs w:val="21"/>
                <w:u w:val="none" w:color="auto"/>
              </w:rPr>
            </w:pPr>
            <w:r>
              <w:rPr>
                <w:rFonts w:hint="eastAsia" w:ascii="宋体" w:hAnsi="宋体"/>
                <w:szCs w:val="21"/>
                <w:u w:val="none" w:color="auto"/>
              </w:rPr>
              <w:t>定海片区：杨莹</w:t>
            </w:r>
          </w:p>
          <w:p w14:paraId="7E255C1E">
            <w:pPr>
              <w:spacing w:line="240" w:lineRule="exact"/>
              <w:contextualSpacing/>
              <w:jc w:val="center"/>
              <w:rPr>
                <w:rFonts w:hint="eastAsia" w:ascii="宋体" w:hAnsi="宋体"/>
                <w:szCs w:val="21"/>
                <w:u w:val="none" w:color="auto"/>
              </w:rPr>
            </w:pPr>
            <w:r>
              <w:rPr>
                <w:rFonts w:hint="eastAsia" w:ascii="宋体" w:hAnsi="宋体"/>
                <w:szCs w:val="21"/>
                <w:u w:val="none" w:color="auto"/>
              </w:rPr>
              <w:t>自贸区片区：方晓</w:t>
            </w:r>
          </w:p>
        </w:tc>
        <w:tc>
          <w:tcPr>
            <w:tcW w:w="1908" w:type="dxa"/>
            <w:vAlign w:val="center"/>
          </w:tcPr>
          <w:p w14:paraId="3A141D4C">
            <w:pPr>
              <w:spacing w:line="240" w:lineRule="exact"/>
              <w:contextualSpacing/>
              <w:rPr>
                <w:rFonts w:hint="eastAsia" w:ascii="宋体" w:hAnsi="宋体"/>
                <w:szCs w:val="21"/>
                <w:u w:val="none" w:color="auto"/>
              </w:rPr>
            </w:pPr>
            <w:r>
              <w:rPr>
                <w:rFonts w:hint="eastAsia" w:ascii="宋体" w:hAnsi="宋体"/>
                <w:szCs w:val="21"/>
                <w:u w:val="none" w:color="auto"/>
              </w:rPr>
              <w:t>普陀片区：13957201791</w:t>
            </w:r>
          </w:p>
          <w:p w14:paraId="6F07353D">
            <w:pPr>
              <w:spacing w:line="240" w:lineRule="exact"/>
              <w:contextualSpacing/>
              <w:rPr>
                <w:rFonts w:hint="eastAsia" w:ascii="宋体" w:hAnsi="宋体"/>
                <w:szCs w:val="21"/>
                <w:u w:val="none" w:color="auto"/>
              </w:rPr>
            </w:pPr>
            <w:r>
              <w:rPr>
                <w:rFonts w:hint="eastAsia" w:ascii="宋体" w:hAnsi="宋体"/>
                <w:szCs w:val="21"/>
                <w:u w:val="none" w:color="auto"/>
              </w:rPr>
              <w:t>定海片区：13655803997</w:t>
            </w:r>
          </w:p>
          <w:p w14:paraId="68011B4C">
            <w:pPr>
              <w:spacing w:line="240" w:lineRule="exact"/>
              <w:contextualSpacing/>
              <w:rPr>
                <w:rFonts w:hint="eastAsia" w:ascii="宋体" w:hAnsi="宋体"/>
                <w:szCs w:val="21"/>
                <w:u w:val="none" w:color="auto"/>
              </w:rPr>
            </w:pPr>
            <w:r>
              <w:rPr>
                <w:rFonts w:hint="eastAsia" w:ascii="宋体" w:hAnsi="宋体"/>
                <w:szCs w:val="21"/>
                <w:u w:val="none" w:color="auto"/>
              </w:rPr>
              <w:t>自贸区片区：13587086324</w:t>
            </w:r>
          </w:p>
        </w:tc>
      </w:tr>
      <w:tr w14:paraId="2DD9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9EFD2FD">
            <w:pPr>
              <w:spacing w:line="240" w:lineRule="exact"/>
              <w:contextualSpacing/>
              <w:rPr>
                <w:rFonts w:hint="eastAsia" w:ascii="宋体" w:hAnsi="宋体"/>
                <w:szCs w:val="21"/>
                <w:u w:val="none" w:color="auto"/>
              </w:rPr>
            </w:pPr>
            <w:r>
              <w:rPr>
                <w:rFonts w:hint="eastAsia" w:ascii="宋体" w:hAnsi="宋体"/>
                <w:szCs w:val="21"/>
                <w:u w:val="none" w:color="auto"/>
              </w:rPr>
              <w:t>杭州银行股份有限公司舟山市分行</w:t>
            </w:r>
          </w:p>
        </w:tc>
        <w:tc>
          <w:tcPr>
            <w:tcW w:w="3975" w:type="dxa"/>
          </w:tcPr>
          <w:p w14:paraId="6797CC97">
            <w:pPr>
              <w:spacing w:line="240" w:lineRule="exact"/>
              <w:contextualSpacing/>
              <w:rPr>
                <w:rFonts w:hint="eastAsia" w:ascii="宋体" w:hAnsi="宋体"/>
                <w:szCs w:val="21"/>
                <w:u w:val="none" w:color="auto"/>
              </w:rPr>
            </w:pPr>
            <w:r>
              <w:rPr>
                <w:rFonts w:hint="eastAsia" w:ascii="宋体" w:hAnsi="宋体"/>
                <w:szCs w:val="21"/>
                <w:u w:val="none" w:color="auto"/>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301AB6D0">
            <w:pPr>
              <w:spacing w:line="240" w:lineRule="exact"/>
              <w:contextualSpacing/>
              <w:jc w:val="center"/>
              <w:rPr>
                <w:rFonts w:hint="eastAsia" w:ascii="宋体" w:hAnsi="宋体"/>
                <w:szCs w:val="21"/>
                <w:u w:val="none" w:color="auto"/>
              </w:rPr>
            </w:pPr>
            <w:r>
              <w:rPr>
                <w:rFonts w:hint="eastAsia" w:ascii="宋体" w:hAnsi="宋体"/>
                <w:szCs w:val="21"/>
                <w:u w:val="none" w:color="auto"/>
              </w:rPr>
              <w:t>方经理</w:t>
            </w:r>
          </w:p>
        </w:tc>
        <w:tc>
          <w:tcPr>
            <w:tcW w:w="1908" w:type="dxa"/>
            <w:vAlign w:val="center"/>
          </w:tcPr>
          <w:p w14:paraId="167B8B5E">
            <w:pPr>
              <w:spacing w:line="240" w:lineRule="exact"/>
              <w:contextualSpacing/>
              <w:rPr>
                <w:rFonts w:hint="eastAsia" w:ascii="宋体" w:hAnsi="宋体"/>
                <w:szCs w:val="21"/>
                <w:u w:val="none" w:color="auto"/>
              </w:rPr>
            </w:pPr>
            <w:r>
              <w:rPr>
                <w:rFonts w:hint="eastAsia" w:ascii="宋体" w:hAnsi="宋体"/>
                <w:szCs w:val="21"/>
                <w:u w:val="none" w:color="auto"/>
              </w:rPr>
              <w:t>0580-2185201，18205800451</w:t>
            </w:r>
          </w:p>
        </w:tc>
      </w:tr>
      <w:tr w14:paraId="485A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526B946">
            <w:pPr>
              <w:spacing w:line="240" w:lineRule="exact"/>
              <w:contextualSpacing/>
              <w:rPr>
                <w:rFonts w:hint="eastAsia" w:ascii="宋体" w:hAnsi="宋体"/>
                <w:szCs w:val="21"/>
                <w:u w:val="none" w:color="auto"/>
              </w:rPr>
            </w:pPr>
            <w:r>
              <w:rPr>
                <w:rFonts w:hint="eastAsia" w:ascii="宋体" w:hAnsi="宋体"/>
                <w:szCs w:val="21"/>
                <w:u w:val="none" w:color="auto"/>
              </w:rPr>
              <w:t>招商银行股份有限公司浙江自贸试验区舟山分行</w:t>
            </w:r>
          </w:p>
        </w:tc>
        <w:tc>
          <w:tcPr>
            <w:tcW w:w="3975" w:type="dxa"/>
          </w:tcPr>
          <w:p w14:paraId="37492C28">
            <w:pPr>
              <w:spacing w:line="240" w:lineRule="exact"/>
              <w:rPr>
                <w:rFonts w:hint="eastAsia" w:ascii="宋体" w:hAnsi="宋体"/>
                <w:szCs w:val="21"/>
                <w:u w:val="none" w:color="auto"/>
              </w:rPr>
            </w:pPr>
            <w:r>
              <w:rPr>
                <w:rFonts w:hint="eastAsia" w:ascii="宋体" w:hAnsi="宋体" w:cs="仿宋_GB2312"/>
                <w:szCs w:val="21"/>
                <w:u w:val="none" w:color="auto"/>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25688732">
            <w:pPr>
              <w:spacing w:line="240" w:lineRule="exact"/>
              <w:contextualSpacing/>
              <w:jc w:val="center"/>
              <w:rPr>
                <w:rFonts w:hint="eastAsia" w:ascii="宋体" w:hAnsi="宋体"/>
                <w:szCs w:val="21"/>
                <w:u w:val="none" w:color="auto"/>
              </w:rPr>
            </w:pPr>
            <w:r>
              <w:rPr>
                <w:rFonts w:hint="eastAsia" w:ascii="宋体" w:hAnsi="宋体"/>
                <w:szCs w:val="21"/>
                <w:u w:val="none" w:color="auto"/>
              </w:rPr>
              <w:t>李玲</w:t>
            </w:r>
          </w:p>
        </w:tc>
        <w:tc>
          <w:tcPr>
            <w:tcW w:w="1908" w:type="dxa"/>
            <w:vAlign w:val="center"/>
          </w:tcPr>
          <w:p w14:paraId="212DBF9D">
            <w:pPr>
              <w:spacing w:line="240" w:lineRule="exact"/>
              <w:contextualSpacing/>
              <w:rPr>
                <w:rFonts w:hint="eastAsia" w:ascii="宋体" w:hAnsi="宋体"/>
                <w:szCs w:val="21"/>
                <w:u w:val="none" w:color="auto"/>
              </w:rPr>
            </w:pPr>
            <w:r>
              <w:rPr>
                <w:rFonts w:hint="eastAsia" w:ascii="宋体" w:hAnsi="宋体"/>
                <w:szCs w:val="21"/>
                <w:u w:val="none" w:color="auto"/>
              </w:rPr>
              <w:t>0580-2061710，13957227971</w:t>
            </w:r>
          </w:p>
        </w:tc>
      </w:tr>
      <w:tr w14:paraId="076E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460" w:type="dxa"/>
            <w:vAlign w:val="center"/>
          </w:tcPr>
          <w:p w14:paraId="13B05849">
            <w:pPr>
              <w:spacing w:line="240" w:lineRule="exact"/>
              <w:contextualSpacing/>
              <w:rPr>
                <w:rFonts w:hint="eastAsia" w:ascii="宋体" w:hAnsi="宋体"/>
                <w:szCs w:val="21"/>
                <w:u w:val="none" w:color="auto"/>
              </w:rPr>
            </w:pPr>
            <w:r>
              <w:rPr>
                <w:rFonts w:hint="eastAsia" w:ascii="宋体" w:hAnsi="宋体"/>
                <w:szCs w:val="21"/>
                <w:u w:val="none" w:color="auto"/>
              </w:rPr>
              <w:t>温州银行股份有限公司舟山市分行</w:t>
            </w:r>
          </w:p>
        </w:tc>
        <w:tc>
          <w:tcPr>
            <w:tcW w:w="3975" w:type="dxa"/>
          </w:tcPr>
          <w:p w14:paraId="5397EA67">
            <w:pPr>
              <w:numPr>
                <w:ilvl w:val="0"/>
                <w:numId w:val="7"/>
              </w:numPr>
              <w:spacing w:line="240" w:lineRule="exact"/>
              <w:contextualSpacing/>
              <w:rPr>
                <w:rFonts w:hint="eastAsia" w:ascii="宋体" w:hAnsi="宋体"/>
                <w:szCs w:val="21"/>
                <w:u w:val="none" w:color="auto"/>
              </w:rPr>
            </w:pPr>
            <w:r>
              <w:rPr>
                <w:rFonts w:hint="eastAsia" w:ascii="宋体" w:hAnsi="宋体"/>
                <w:szCs w:val="21"/>
                <w:u w:val="none" w:color="auto"/>
              </w:rPr>
              <w:t>单户授信敞口最高不超过1000万元，且最高额度核定一般不超过借款人（含实际控制人控制的其他经营实体）最近13个月合计有效中标合同金额的70%。</w:t>
            </w:r>
          </w:p>
          <w:p w14:paraId="0EFF7D0C">
            <w:pPr>
              <w:numPr>
                <w:ilvl w:val="0"/>
                <w:numId w:val="7"/>
              </w:numPr>
              <w:spacing w:line="240" w:lineRule="exact"/>
              <w:contextualSpacing/>
              <w:rPr>
                <w:rFonts w:hint="eastAsia" w:ascii="宋体" w:hAnsi="宋体"/>
                <w:szCs w:val="21"/>
                <w:u w:val="none" w:color="auto"/>
              </w:rPr>
            </w:pPr>
            <w:r>
              <w:rPr>
                <w:rFonts w:hint="eastAsia" w:ascii="宋体" w:hAnsi="宋体"/>
                <w:szCs w:val="21"/>
                <w:u w:val="none" w:color="auto"/>
              </w:rPr>
              <w:t>单笔借款额度最高不超过1000万元，单笔业务授信额度不超过“政采云平台”提供的中标通知书承载的中标金额或本次申请授信提供的采购合同金额的80%，且用信金额不超过采购合同未付金额的80%。</w:t>
            </w:r>
          </w:p>
          <w:p w14:paraId="3AB0B611">
            <w:pPr>
              <w:numPr>
                <w:ilvl w:val="0"/>
                <w:numId w:val="7"/>
              </w:numPr>
              <w:spacing w:line="240" w:lineRule="exact"/>
              <w:contextualSpacing/>
              <w:rPr>
                <w:rFonts w:hint="eastAsia" w:ascii="宋体" w:hAnsi="宋体"/>
                <w:szCs w:val="21"/>
                <w:u w:val="none" w:color="auto"/>
              </w:rPr>
            </w:pPr>
            <w:r>
              <w:rPr>
                <w:rFonts w:hint="eastAsia" w:ascii="宋体" w:hAnsi="宋体"/>
                <w:szCs w:val="21"/>
                <w:u w:val="none" w:color="auto"/>
              </w:rPr>
              <w:t>借款人中标采购人自行采购项目并向我行发起授信申请的，单笔业务授信敞口不超500万元，且不超过借款人中标通知书承载的中标金额或本次申请授信提供的采购合同的80%。</w:t>
            </w:r>
          </w:p>
          <w:p w14:paraId="31C01F41">
            <w:pPr>
              <w:numPr>
                <w:ilvl w:val="0"/>
                <w:numId w:val="7"/>
              </w:numPr>
              <w:spacing w:line="240" w:lineRule="exact"/>
              <w:contextualSpacing/>
              <w:rPr>
                <w:rFonts w:hint="eastAsia" w:ascii="宋体" w:hAnsi="宋体"/>
                <w:szCs w:val="21"/>
                <w:u w:val="none" w:color="auto"/>
              </w:rPr>
            </w:pPr>
            <w:r>
              <w:rPr>
                <w:rFonts w:hint="eastAsia" w:ascii="宋体" w:hAnsi="宋体"/>
                <w:szCs w:val="21"/>
                <w:u w:val="none" w:color="auto"/>
              </w:rPr>
              <w:t>符合我行采购人资质的，且负债率不超75%，配合应收账款质押登记确认的，并可出具确认函，单笔借款额度可按不超过采购合同的90%办理。</w:t>
            </w:r>
          </w:p>
        </w:tc>
        <w:tc>
          <w:tcPr>
            <w:tcW w:w="2220" w:type="dxa"/>
            <w:vAlign w:val="center"/>
          </w:tcPr>
          <w:p w14:paraId="2347639F">
            <w:pPr>
              <w:spacing w:line="240" w:lineRule="exact"/>
              <w:contextualSpacing/>
              <w:jc w:val="center"/>
              <w:rPr>
                <w:rFonts w:hint="eastAsia" w:ascii="宋体" w:hAnsi="宋体"/>
                <w:szCs w:val="21"/>
                <w:u w:val="none" w:color="auto"/>
              </w:rPr>
            </w:pPr>
            <w:r>
              <w:rPr>
                <w:rFonts w:hint="eastAsia" w:ascii="宋体" w:hAnsi="宋体"/>
                <w:szCs w:val="21"/>
                <w:u w:val="none" w:color="auto"/>
              </w:rPr>
              <w:t>郑贤栋</w:t>
            </w:r>
          </w:p>
        </w:tc>
        <w:tc>
          <w:tcPr>
            <w:tcW w:w="1908" w:type="dxa"/>
            <w:vAlign w:val="center"/>
          </w:tcPr>
          <w:p w14:paraId="7F951F2E">
            <w:pPr>
              <w:spacing w:line="240" w:lineRule="exact"/>
              <w:contextualSpacing/>
              <w:rPr>
                <w:rFonts w:hint="eastAsia" w:ascii="宋体" w:hAnsi="宋体"/>
                <w:szCs w:val="21"/>
                <w:u w:val="none" w:color="auto"/>
              </w:rPr>
            </w:pPr>
            <w:r>
              <w:rPr>
                <w:rFonts w:hint="eastAsia" w:ascii="宋体" w:hAnsi="宋体"/>
                <w:szCs w:val="21"/>
                <w:u w:val="none" w:color="auto"/>
              </w:rPr>
              <w:t>058—8866086</w:t>
            </w:r>
          </w:p>
        </w:tc>
      </w:tr>
      <w:tr w14:paraId="3658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40C5591D">
            <w:pPr>
              <w:spacing w:line="240" w:lineRule="exact"/>
              <w:contextualSpacing/>
              <w:rPr>
                <w:rFonts w:hint="eastAsia" w:ascii="宋体" w:hAnsi="宋体"/>
                <w:szCs w:val="21"/>
                <w:u w:val="none" w:color="auto"/>
              </w:rPr>
            </w:pPr>
            <w:r>
              <w:rPr>
                <w:rFonts w:hint="eastAsia" w:ascii="宋体" w:hAnsi="宋体"/>
                <w:szCs w:val="21"/>
                <w:u w:val="none" w:color="auto"/>
              </w:rPr>
              <w:t>交通银行股份有限公司舟山分行</w:t>
            </w:r>
          </w:p>
        </w:tc>
        <w:tc>
          <w:tcPr>
            <w:tcW w:w="3975" w:type="dxa"/>
          </w:tcPr>
          <w:p w14:paraId="7A12BA2A">
            <w:pPr>
              <w:spacing w:line="240" w:lineRule="exact"/>
              <w:contextualSpacing/>
              <w:rPr>
                <w:rFonts w:hint="eastAsia" w:ascii="宋体" w:hAnsi="宋体"/>
                <w:szCs w:val="21"/>
                <w:u w:val="none" w:color="auto"/>
              </w:rPr>
            </w:pPr>
            <w:r>
              <w:rPr>
                <w:rFonts w:hint="eastAsia" w:ascii="宋体" w:hAnsi="宋体" w:cs="仿宋_GB2312"/>
                <w:szCs w:val="21"/>
                <w:u w:val="none" w:color="auto"/>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szCs w:val="21"/>
                <w:u w:val="none" w:color="auto"/>
              </w:rPr>
              <w:t>PR</w:t>
            </w:r>
            <w:r>
              <w:rPr>
                <w:rFonts w:ascii="宋体" w:hAnsi="宋体"/>
                <w:szCs w:val="21"/>
                <w:u w:val="none" w:color="auto"/>
              </w:rPr>
              <w:t>。</w:t>
            </w:r>
          </w:p>
        </w:tc>
        <w:tc>
          <w:tcPr>
            <w:tcW w:w="2220" w:type="dxa"/>
            <w:vAlign w:val="center"/>
          </w:tcPr>
          <w:p w14:paraId="2B932EA9">
            <w:pPr>
              <w:spacing w:line="240" w:lineRule="exact"/>
              <w:contextualSpacing/>
              <w:jc w:val="center"/>
              <w:rPr>
                <w:rFonts w:hint="eastAsia" w:ascii="宋体" w:hAnsi="宋体"/>
                <w:szCs w:val="21"/>
                <w:u w:val="none" w:color="auto"/>
              </w:rPr>
            </w:pPr>
            <w:r>
              <w:rPr>
                <w:rFonts w:hint="eastAsia" w:ascii="宋体" w:hAnsi="宋体"/>
                <w:szCs w:val="21"/>
                <w:u w:val="none" w:color="auto"/>
              </w:rPr>
              <w:t>赵争艳</w:t>
            </w:r>
          </w:p>
        </w:tc>
        <w:tc>
          <w:tcPr>
            <w:tcW w:w="1908" w:type="dxa"/>
            <w:vAlign w:val="center"/>
          </w:tcPr>
          <w:p w14:paraId="625A83EB">
            <w:pPr>
              <w:spacing w:line="240" w:lineRule="exact"/>
              <w:contextualSpacing/>
              <w:rPr>
                <w:rFonts w:hint="eastAsia" w:ascii="宋体" w:hAnsi="宋体"/>
                <w:szCs w:val="21"/>
                <w:u w:val="none" w:color="auto"/>
              </w:rPr>
            </w:pPr>
            <w:r>
              <w:rPr>
                <w:rFonts w:hint="eastAsia" w:ascii="宋体" w:hAnsi="宋体"/>
                <w:szCs w:val="21"/>
                <w:u w:val="none" w:color="auto"/>
              </w:rPr>
              <w:t>0580-2260728</w:t>
            </w:r>
          </w:p>
          <w:p w14:paraId="2BF10EBD">
            <w:pPr>
              <w:spacing w:line="240" w:lineRule="exact"/>
              <w:contextualSpacing/>
              <w:rPr>
                <w:rFonts w:hint="eastAsia" w:ascii="宋体" w:hAnsi="宋体"/>
                <w:szCs w:val="21"/>
                <w:u w:val="none" w:color="auto"/>
              </w:rPr>
            </w:pPr>
            <w:r>
              <w:rPr>
                <w:rFonts w:hint="eastAsia" w:ascii="宋体" w:hAnsi="宋体"/>
                <w:szCs w:val="21"/>
                <w:u w:val="none" w:color="auto"/>
              </w:rPr>
              <w:t>13758007280</w:t>
            </w:r>
          </w:p>
        </w:tc>
      </w:tr>
      <w:tr w14:paraId="5400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D5144E6">
            <w:pPr>
              <w:spacing w:line="240" w:lineRule="exact"/>
              <w:contextualSpacing/>
              <w:rPr>
                <w:rFonts w:hint="eastAsia" w:ascii="宋体" w:hAnsi="宋体"/>
                <w:szCs w:val="21"/>
                <w:u w:val="none" w:color="auto"/>
              </w:rPr>
            </w:pPr>
            <w:r>
              <w:rPr>
                <w:rFonts w:hint="eastAsia" w:ascii="宋体" w:hAnsi="宋体"/>
                <w:szCs w:val="21"/>
                <w:u w:val="none" w:color="auto"/>
              </w:rPr>
              <w:t>中信银行股份有限公司舟山分行</w:t>
            </w:r>
          </w:p>
        </w:tc>
        <w:tc>
          <w:tcPr>
            <w:tcW w:w="3975" w:type="dxa"/>
          </w:tcPr>
          <w:p w14:paraId="6FD448AE">
            <w:pPr>
              <w:spacing w:line="240" w:lineRule="exact"/>
              <w:contextualSpacing/>
              <w:rPr>
                <w:rFonts w:hint="eastAsia" w:ascii="宋体" w:hAnsi="宋体"/>
                <w:szCs w:val="21"/>
                <w:u w:val="none" w:color="auto"/>
              </w:rPr>
            </w:pPr>
            <w:r>
              <w:rPr>
                <w:rFonts w:hint="eastAsia" w:ascii="宋体" w:hAnsi="宋体"/>
                <w:szCs w:val="21"/>
                <w:u w:val="none" w:color="auto"/>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3F8A07E4">
            <w:pPr>
              <w:spacing w:line="240" w:lineRule="exact"/>
              <w:contextualSpacing/>
              <w:jc w:val="center"/>
              <w:rPr>
                <w:rFonts w:hint="eastAsia" w:ascii="宋体" w:hAnsi="宋体"/>
                <w:szCs w:val="21"/>
                <w:u w:val="none" w:color="auto"/>
              </w:rPr>
            </w:pPr>
            <w:r>
              <w:rPr>
                <w:rFonts w:ascii="宋体" w:hAnsi="宋体"/>
                <w:szCs w:val="21"/>
                <w:u w:val="none" w:color="auto"/>
              </w:rPr>
              <w:t>黄丽</w:t>
            </w:r>
          </w:p>
        </w:tc>
        <w:tc>
          <w:tcPr>
            <w:tcW w:w="1908" w:type="dxa"/>
            <w:vAlign w:val="center"/>
          </w:tcPr>
          <w:p w14:paraId="574FAFAF">
            <w:pPr>
              <w:spacing w:line="240" w:lineRule="exact"/>
              <w:contextualSpacing/>
              <w:rPr>
                <w:rFonts w:hint="eastAsia" w:ascii="宋体" w:hAnsi="宋体"/>
                <w:szCs w:val="21"/>
                <w:u w:val="none" w:color="auto"/>
              </w:rPr>
            </w:pPr>
            <w:r>
              <w:rPr>
                <w:rFonts w:ascii="宋体" w:hAnsi="宋体"/>
                <w:szCs w:val="21"/>
                <w:u w:val="none" w:color="auto"/>
              </w:rPr>
              <w:t>13905808032</w:t>
            </w:r>
          </w:p>
        </w:tc>
      </w:tr>
      <w:tr w14:paraId="303CC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5F0E406">
            <w:pPr>
              <w:spacing w:line="240" w:lineRule="exact"/>
              <w:contextualSpacing/>
              <w:rPr>
                <w:rFonts w:hint="eastAsia" w:ascii="宋体" w:hAnsi="宋体"/>
                <w:szCs w:val="21"/>
                <w:u w:val="none" w:color="auto"/>
              </w:rPr>
            </w:pPr>
            <w:r>
              <w:rPr>
                <w:rFonts w:hint="eastAsia" w:ascii="宋体" w:hAnsi="宋体"/>
                <w:szCs w:val="21"/>
                <w:u w:val="none" w:color="auto"/>
              </w:rPr>
              <w:t>泰隆银行舟山市分行</w:t>
            </w:r>
          </w:p>
        </w:tc>
        <w:tc>
          <w:tcPr>
            <w:tcW w:w="3975" w:type="dxa"/>
          </w:tcPr>
          <w:p w14:paraId="54C41F87">
            <w:pPr>
              <w:spacing w:line="240" w:lineRule="exact"/>
              <w:contextualSpacing/>
              <w:rPr>
                <w:rFonts w:hint="eastAsia" w:ascii="宋体" w:hAnsi="宋体"/>
                <w:szCs w:val="21"/>
                <w:u w:val="none" w:color="auto"/>
              </w:rPr>
            </w:pPr>
            <w:r>
              <w:rPr>
                <w:rFonts w:hint="eastAsia" w:ascii="宋体" w:hAnsi="宋体"/>
                <w:szCs w:val="21"/>
                <w:u w:val="none" w:color="auto"/>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44AEBF5B">
            <w:pPr>
              <w:spacing w:line="240" w:lineRule="exact"/>
              <w:contextualSpacing/>
              <w:jc w:val="center"/>
              <w:rPr>
                <w:rFonts w:hint="eastAsia" w:ascii="宋体" w:hAnsi="宋体"/>
                <w:szCs w:val="21"/>
                <w:u w:val="none" w:color="auto"/>
              </w:rPr>
            </w:pPr>
            <w:r>
              <w:rPr>
                <w:rFonts w:hint="eastAsia" w:ascii="宋体" w:hAnsi="宋体"/>
                <w:szCs w:val="21"/>
                <w:u w:val="none" w:color="auto"/>
              </w:rPr>
              <w:t>胡亢宇</w:t>
            </w:r>
          </w:p>
        </w:tc>
        <w:tc>
          <w:tcPr>
            <w:tcW w:w="1908" w:type="dxa"/>
            <w:vAlign w:val="center"/>
          </w:tcPr>
          <w:p w14:paraId="6DBC02D9">
            <w:pPr>
              <w:spacing w:line="240" w:lineRule="exact"/>
              <w:contextualSpacing/>
              <w:rPr>
                <w:rFonts w:hint="eastAsia" w:ascii="宋体" w:hAnsi="宋体"/>
                <w:szCs w:val="21"/>
                <w:u w:val="none" w:color="auto"/>
              </w:rPr>
            </w:pPr>
            <w:r>
              <w:rPr>
                <w:rFonts w:hint="eastAsia" w:ascii="宋体" w:hAnsi="宋体"/>
                <w:szCs w:val="21"/>
                <w:u w:val="none" w:color="auto"/>
              </w:rPr>
              <w:t>17605868703</w:t>
            </w:r>
          </w:p>
        </w:tc>
      </w:tr>
      <w:tr w14:paraId="69D8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D8510D7">
            <w:pPr>
              <w:spacing w:line="240" w:lineRule="exact"/>
              <w:contextualSpacing/>
              <w:rPr>
                <w:rFonts w:hint="eastAsia" w:ascii="宋体" w:hAnsi="宋体"/>
                <w:szCs w:val="21"/>
                <w:u w:val="none" w:color="auto"/>
              </w:rPr>
            </w:pPr>
            <w:r>
              <w:rPr>
                <w:rFonts w:hint="eastAsia" w:ascii="宋体" w:hAnsi="宋体"/>
                <w:szCs w:val="21"/>
                <w:u w:val="none" w:color="auto"/>
              </w:rPr>
              <w:t>中国农业银行股份有限公司舟山分行</w:t>
            </w:r>
          </w:p>
        </w:tc>
        <w:tc>
          <w:tcPr>
            <w:tcW w:w="3975" w:type="dxa"/>
          </w:tcPr>
          <w:p w14:paraId="53EFAD62">
            <w:pPr>
              <w:spacing w:line="240" w:lineRule="exact"/>
              <w:contextualSpacing/>
              <w:rPr>
                <w:rFonts w:hint="eastAsia" w:ascii="宋体" w:hAnsi="宋体"/>
                <w:szCs w:val="21"/>
                <w:u w:val="none" w:color="auto"/>
              </w:rPr>
            </w:pPr>
            <w:r>
              <w:rPr>
                <w:rFonts w:hint="eastAsia" w:ascii="宋体" w:hAnsi="宋体"/>
                <w:szCs w:val="21"/>
                <w:u w:val="none" w:color="auto"/>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5D29F2CC">
            <w:pPr>
              <w:spacing w:line="240" w:lineRule="exact"/>
              <w:contextualSpacing/>
              <w:jc w:val="center"/>
              <w:rPr>
                <w:rFonts w:hint="eastAsia" w:ascii="宋体" w:hAnsi="宋体"/>
                <w:szCs w:val="21"/>
                <w:u w:val="none" w:color="auto"/>
              </w:rPr>
            </w:pPr>
            <w:r>
              <w:rPr>
                <w:rFonts w:hint="eastAsia" w:ascii="宋体" w:hAnsi="宋体"/>
                <w:szCs w:val="21"/>
                <w:u w:val="none" w:color="auto"/>
              </w:rPr>
              <w:t>苏华瞻</w:t>
            </w:r>
          </w:p>
        </w:tc>
        <w:tc>
          <w:tcPr>
            <w:tcW w:w="1908" w:type="dxa"/>
            <w:vAlign w:val="center"/>
          </w:tcPr>
          <w:p w14:paraId="142E13DD">
            <w:pPr>
              <w:spacing w:line="240" w:lineRule="exact"/>
              <w:contextualSpacing/>
              <w:jc w:val="center"/>
              <w:rPr>
                <w:rFonts w:hint="eastAsia" w:ascii="宋体" w:hAnsi="宋体"/>
                <w:szCs w:val="21"/>
                <w:u w:val="none" w:color="auto"/>
              </w:rPr>
            </w:pPr>
            <w:r>
              <w:rPr>
                <w:rFonts w:hint="eastAsia" w:ascii="宋体" w:hAnsi="宋体"/>
                <w:szCs w:val="21"/>
                <w:u w:val="none" w:color="auto"/>
              </w:rPr>
              <w:t>13967228926</w:t>
            </w:r>
          </w:p>
        </w:tc>
      </w:tr>
      <w:tr w14:paraId="2881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4B59AEA">
            <w:pPr>
              <w:spacing w:line="240" w:lineRule="exact"/>
              <w:contextualSpacing/>
              <w:rPr>
                <w:rFonts w:hint="eastAsia" w:ascii="宋体" w:hAnsi="宋体"/>
                <w:szCs w:val="21"/>
                <w:u w:val="none" w:color="auto"/>
              </w:rPr>
            </w:pPr>
            <w:r>
              <w:rPr>
                <w:rFonts w:hint="eastAsia" w:ascii="宋体" w:hAnsi="宋体"/>
                <w:szCs w:val="21"/>
                <w:u w:val="none" w:color="auto"/>
              </w:rPr>
              <w:t>中国邮政储蓄银行股份有限公司舟山市分行</w:t>
            </w:r>
          </w:p>
        </w:tc>
        <w:tc>
          <w:tcPr>
            <w:tcW w:w="3975" w:type="dxa"/>
          </w:tcPr>
          <w:p w14:paraId="5D2AD34E">
            <w:pPr>
              <w:tabs>
                <w:tab w:val="left" w:pos="0"/>
              </w:tabs>
              <w:spacing w:line="240" w:lineRule="exact"/>
              <w:rPr>
                <w:rFonts w:hint="eastAsia" w:ascii="宋体" w:hAnsi="宋体"/>
                <w:szCs w:val="21"/>
                <w:u w:val="none" w:color="auto"/>
              </w:rPr>
            </w:pPr>
            <w:r>
              <w:rPr>
                <w:rFonts w:hint="eastAsia" w:ascii="宋体" w:hAnsi="宋体"/>
                <w:szCs w:val="21"/>
                <w:u w:val="none" w:color="auto"/>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3653130D">
            <w:pPr>
              <w:spacing w:line="240" w:lineRule="exact"/>
              <w:contextualSpacing/>
              <w:jc w:val="center"/>
              <w:rPr>
                <w:rFonts w:hint="eastAsia" w:ascii="宋体" w:hAnsi="宋体"/>
                <w:szCs w:val="21"/>
                <w:u w:val="none" w:color="auto"/>
              </w:rPr>
            </w:pPr>
            <w:r>
              <w:rPr>
                <w:rFonts w:hint="eastAsia" w:ascii="宋体" w:hAnsi="宋体"/>
                <w:szCs w:val="21"/>
                <w:u w:val="none" w:color="auto"/>
              </w:rPr>
              <w:t>蒋志燕</w:t>
            </w:r>
          </w:p>
        </w:tc>
        <w:tc>
          <w:tcPr>
            <w:tcW w:w="1908" w:type="dxa"/>
            <w:vAlign w:val="center"/>
          </w:tcPr>
          <w:p w14:paraId="0159AE43">
            <w:pPr>
              <w:spacing w:line="240" w:lineRule="exact"/>
              <w:contextualSpacing/>
              <w:rPr>
                <w:rFonts w:hint="eastAsia" w:ascii="宋体" w:hAnsi="宋体"/>
                <w:szCs w:val="21"/>
                <w:u w:val="none" w:color="auto"/>
              </w:rPr>
            </w:pPr>
            <w:r>
              <w:rPr>
                <w:rFonts w:hint="eastAsia" w:ascii="宋体" w:hAnsi="宋体"/>
                <w:szCs w:val="21"/>
                <w:u w:val="none" w:color="auto"/>
              </w:rPr>
              <w:t>13732527321</w:t>
            </w:r>
          </w:p>
        </w:tc>
      </w:tr>
    </w:tbl>
    <w:p w14:paraId="7DF021A6">
      <w:pPr>
        <w:spacing w:line="260" w:lineRule="exact"/>
        <w:ind w:firstLine="555"/>
        <w:rPr>
          <w:rFonts w:hint="eastAsia" w:ascii="宋体" w:hAnsi="宋体"/>
          <w:szCs w:val="21"/>
          <w:u w:val="none" w:color="auto"/>
        </w:rPr>
      </w:pPr>
      <w:r>
        <w:rPr>
          <w:rFonts w:ascii="宋体" w:hAnsi="宋体"/>
          <w:szCs w:val="21"/>
          <w:u w:val="none" w:color="auto"/>
        </w:rPr>
        <w:t>2.一般步骤</w:t>
      </w:r>
    </w:p>
    <w:p w14:paraId="77D33E07">
      <w:pPr>
        <w:spacing w:line="260" w:lineRule="exact"/>
        <w:ind w:firstLine="555"/>
        <w:rPr>
          <w:rFonts w:hint="eastAsia" w:ascii="宋体" w:hAnsi="宋体"/>
          <w:szCs w:val="21"/>
          <w:u w:val="none" w:color="auto"/>
        </w:rPr>
      </w:pPr>
      <w:r>
        <w:rPr>
          <w:rFonts w:ascii="宋体" w:hAnsi="宋体"/>
          <w:szCs w:val="21"/>
          <w:u w:val="none" w:color="auto"/>
        </w:rPr>
        <w:t>（1）供应商先与银行对接，办理融资前期手续；</w:t>
      </w:r>
    </w:p>
    <w:p w14:paraId="6455D8CB">
      <w:pPr>
        <w:spacing w:line="260" w:lineRule="exact"/>
        <w:ind w:firstLine="555"/>
        <w:rPr>
          <w:rFonts w:hint="eastAsia" w:ascii="宋体" w:hAnsi="宋体"/>
          <w:szCs w:val="21"/>
          <w:u w:val="none" w:color="auto"/>
        </w:rPr>
      </w:pPr>
      <w:r>
        <w:rPr>
          <w:rFonts w:ascii="宋体" w:hAnsi="宋体"/>
          <w:szCs w:val="21"/>
          <w:u w:val="none" w:color="auto"/>
        </w:rPr>
        <w:t>（2）供应商中标后，凭中标通知书等材料，向相关合作银行发出融资申请；</w:t>
      </w:r>
    </w:p>
    <w:p w14:paraId="65F15027">
      <w:pPr>
        <w:spacing w:line="260" w:lineRule="exact"/>
        <w:ind w:firstLine="555"/>
        <w:rPr>
          <w:rFonts w:hint="eastAsia" w:ascii="宋体" w:hAnsi="宋体"/>
          <w:szCs w:val="21"/>
          <w:u w:val="none" w:color="auto"/>
        </w:rPr>
      </w:pPr>
      <w:r>
        <w:rPr>
          <w:rFonts w:ascii="宋体" w:hAnsi="宋体"/>
          <w:szCs w:val="21"/>
          <w:u w:val="none" w:color="auto"/>
        </w:rPr>
        <w:t>（3）银行、供应商线</w:t>
      </w:r>
      <w:r>
        <w:rPr>
          <w:rFonts w:hint="eastAsia" w:ascii="宋体" w:hAnsi="宋体"/>
          <w:szCs w:val="21"/>
          <w:u w:val="none" w:color="auto"/>
        </w:rPr>
        <w:t>上</w:t>
      </w:r>
      <w:r>
        <w:rPr>
          <w:rFonts w:ascii="宋体" w:hAnsi="宋体"/>
          <w:szCs w:val="21"/>
          <w:u w:val="none" w:color="auto"/>
        </w:rPr>
        <w:t>办理审批、放贷事宜。</w:t>
      </w:r>
    </w:p>
    <w:p w14:paraId="063EEA7D">
      <w:pPr>
        <w:spacing w:line="260" w:lineRule="exact"/>
        <w:ind w:firstLine="555"/>
        <w:rPr>
          <w:rFonts w:hint="eastAsia" w:ascii="宋体" w:hAnsi="宋体"/>
          <w:szCs w:val="21"/>
          <w:u w:val="none" w:color="auto"/>
        </w:rPr>
      </w:pPr>
      <w:r>
        <w:rPr>
          <w:rFonts w:ascii="宋体" w:hAnsi="宋体"/>
          <w:szCs w:val="21"/>
          <w:u w:val="none" w:color="auto"/>
        </w:rPr>
        <w:t>3.注意事项</w:t>
      </w:r>
    </w:p>
    <w:p w14:paraId="41FB5718">
      <w:pPr>
        <w:spacing w:line="260" w:lineRule="exact"/>
        <w:ind w:firstLine="555"/>
        <w:rPr>
          <w:rFonts w:hint="eastAsia" w:ascii="宋体" w:hAnsi="宋体"/>
          <w:szCs w:val="21"/>
          <w:u w:val="none" w:color="auto"/>
        </w:rPr>
      </w:pPr>
      <w:r>
        <w:rPr>
          <w:rFonts w:ascii="宋体" w:hAnsi="宋体"/>
          <w:szCs w:val="21"/>
          <w:u w:val="none" w:color="auto"/>
        </w:rPr>
        <w:t>（1）</w:t>
      </w:r>
      <w:r>
        <w:rPr>
          <w:rFonts w:hint="eastAsia" w:ascii="宋体" w:hAnsi="宋体"/>
          <w:szCs w:val="21"/>
          <w:u w:val="none" w:color="auto"/>
        </w:rPr>
        <w:t>中标人</w:t>
      </w:r>
      <w:r>
        <w:rPr>
          <w:rFonts w:ascii="宋体" w:hAnsi="宋体"/>
          <w:szCs w:val="21"/>
          <w:u w:val="none" w:color="auto"/>
        </w:rPr>
        <w:t>需确保政府采购合同的收款账户与融资银行开户账户一致。</w:t>
      </w:r>
    </w:p>
    <w:p w14:paraId="51C67BE2">
      <w:pPr>
        <w:spacing w:line="260" w:lineRule="exact"/>
        <w:ind w:firstLine="555"/>
        <w:rPr>
          <w:rFonts w:hint="eastAsia" w:ascii="宋体" w:hAnsi="宋体"/>
          <w:szCs w:val="21"/>
          <w:u w:val="none" w:color="auto"/>
        </w:rPr>
      </w:pPr>
      <w:r>
        <w:rPr>
          <w:rFonts w:ascii="宋体" w:hAnsi="宋体"/>
          <w:szCs w:val="21"/>
          <w:u w:val="none" w:color="auto"/>
        </w:rPr>
        <w:t>（2）用于政府采购信用融资的政府采购合同，应当包含如下条款：“第条：政府采购合同贷款</w:t>
      </w:r>
    </w:p>
    <w:p w14:paraId="00564187">
      <w:pPr>
        <w:spacing w:line="260" w:lineRule="exact"/>
        <w:ind w:firstLine="555"/>
        <w:rPr>
          <w:rFonts w:hint="eastAsia" w:ascii="宋体" w:hAnsi="宋体"/>
          <w:szCs w:val="21"/>
          <w:u w:val="none" w:color="auto"/>
        </w:rPr>
      </w:pPr>
      <w:r>
        <w:rPr>
          <w:rFonts w:ascii="宋体" w:hAnsi="宋体"/>
          <w:szCs w:val="21"/>
          <w:u w:val="none" w:color="auto"/>
        </w:rPr>
        <w:t>本合同同时用于乙方向银行（金融机构）申请政府采购信用贷款。</w:t>
      </w:r>
    </w:p>
    <w:p w14:paraId="2D3D7DB2">
      <w:pPr>
        <w:spacing w:line="260" w:lineRule="exact"/>
        <w:ind w:firstLine="555"/>
        <w:rPr>
          <w:rFonts w:hint="eastAsia" w:ascii="宋体" w:hAnsi="宋体"/>
          <w:szCs w:val="21"/>
          <w:u w:val="none" w:color="auto"/>
        </w:rPr>
      </w:pPr>
      <w:r>
        <w:rPr>
          <w:rFonts w:ascii="宋体" w:hAnsi="宋体"/>
          <w:szCs w:val="21"/>
          <w:u w:val="none" w:color="auto"/>
        </w:rPr>
        <w:t>本合同一经签订，原则上不得更改乙方收款账户信息。确须更改的，乙方应取得原合同收款账户开户银行书面同意，否则修改后的合同不予备案，采购资金不予支付。”</w:t>
      </w:r>
    </w:p>
    <w:p w14:paraId="6BC8496A">
      <w:pPr>
        <w:spacing w:line="260" w:lineRule="exact"/>
        <w:rPr>
          <w:rFonts w:hint="eastAsia" w:ascii="宋体" w:hAnsi="宋体"/>
          <w:szCs w:val="21"/>
          <w:u w:val="none" w:color="auto"/>
        </w:rPr>
      </w:pPr>
    </w:p>
    <w:bookmarkEnd w:id="5"/>
    <w:p w14:paraId="42DEECD1">
      <w:pPr>
        <w:spacing w:line="240" w:lineRule="exact"/>
        <w:rPr>
          <w:rFonts w:hint="eastAsia" w:ascii="宋体" w:hAnsi="宋体"/>
          <w:szCs w:val="21"/>
          <w:u w:val="none" w:color="auto"/>
        </w:rPr>
      </w:pPr>
    </w:p>
    <w:p w14:paraId="4E77D5F0">
      <w:pPr>
        <w:rPr>
          <w:rFonts w:ascii="宋体"/>
          <w:szCs w:val="21"/>
          <w:u w:val="none" w:color="auto"/>
        </w:rPr>
      </w:pPr>
    </w:p>
    <w:p w14:paraId="33FA7668">
      <w:pPr>
        <w:ind w:firstLine="555"/>
        <w:rPr>
          <w:rFonts w:hint="eastAsia" w:asciiTheme="minorEastAsia" w:hAnsiTheme="minorEastAsia" w:eastAsiaTheme="minorEastAsia"/>
          <w:szCs w:val="21"/>
          <w:u w:val="none" w:color="auto"/>
        </w:rPr>
      </w:pPr>
    </w:p>
    <w:p w14:paraId="6E89E253">
      <w:pPr>
        <w:pStyle w:val="12"/>
        <w:tabs>
          <w:tab w:val="left" w:pos="2472"/>
        </w:tabs>
        <w:snapToGrid w:val="0"/>
        <w:spacing w:before="156" w:line="640" w:lineRule="exact"/>
        <w:rPr>
          <w:rFonts w:hint="eastAsia" w:ascii="黑体" w:hAnsi="宋体" w:eastAsia="黑体"/>
          <w:u w:val="none" w:color="auto"/>
        </w:rPr>
      </w:pPr>
    </w:p>
    <w:p w14:paraId="31E377D1">
      <w:pPr>
        <w:pStyle w:val="12"/>
        <w:tabs>
          <w:tab w:val="left" w:pos="2472"/>
        </w:tabs>
        <w:snapToGrid w:val="0"/>
        <w:spacing w:before="156" w:line="640" w:lineRule="exact"/>
        <w:jc w:val="center"/>
        <w:rPr>
          <w:rFonts w:hint="eastAsia" w:ascii="黑体" w:hAnsi="宋体" w:eastAsia="黑体"/>
          <w:u w:val="none" w:color="auto"/>
        </w:rPr>
      </w:pPr>
      <w:r>
        <w:rPr>
          <w:rFonts w:hint="eastAsia" w:ascii="黑体" w:hAnsi="宋体" w:eastAsia="黑体"/>
          <w:u w:val="none" w:color="auto"/>
        </w:rPr>
        <w:t>第六章　投标文件格式</w:t>
      </w:r>
    </w:p>
    <w:p w14:paraId="3DC1C26E">
      <w:pPr>
        <w:snapToGrid w:val="0"/>
        <w:spacing w:before="156" w:beforeLines="50" w:after="50"/>
        <w:rPr>
          <w:rFonts w:hint="eastAsia" w:ascii="宋体" w:hAnsi="宋体"/>
          <w:b/>
          <w:sz w:val="24"/>
          <w:u w:val="none" w:color="auto"/>
        </w:rPr>
      </w:pPr>
    </w:p>
    <w:p w14:paraId="17346596">
      <w:pPr>
        <w:snapToGrid w:val="0"/>
        <w:spacing w:before="156" w:beforeLines="50" w:after="50"/>
        <w:rPr>
          <w:rFonts w:hint="eastAsia" w:ascii="宋体" w:hAnsi="宋体"/>
          <w:sz w:val="24"/>
          <w:u w:val="none" w:color="auto"/>
        </w:rPr>
      </w:pPr>
      <w:r>
        <w:rPr>
          <w:rFonts w:hint="eastAsia" w:ascii="宋体" w:hAnsi="宋体"/>
          <w:b/>
          <w:sz w:val="24"/>
          <w:u w:val="none" w:color="auto"/>
        </w:rPr>
        <w:t>一、备份文件包装封面（格式供参考）</w:t>
      </w:r>
      <w:r>
        <w:rPr>
          <w:rFonts w:hint="eastAsia" w:ascii="宋体" w:hAnsi="宋体"/>
          <w:sz w:val="24"/>
          <w:u w:val="none" w:color="auto"/>
        </w:rPr>
        <w:t>：</w:t>
      </w:r>
    </w:p>
    <w:p w14:paraId="408143B8">
      <w:pPr>
        <w:pStyle w:val="52"/>
        <w:rPr>
          <w:u w:val="none" w:color="auto"/>
        </w:rPr>
      </w:pPr>
    </w:p>
    <w:p w14:paraId="0DDA7F51">
      <w:pPr>
        <w:snapToGrid w:val="0"/>
        <w:spacing w:before="156" w:beforeLines="50" w:after="50"/>
        <w:jc w:val="center"/>
        <w:rPr>
          <w:rFonts w:hint="eastAsia" w:ascii="宋体" w:hAnsi="宋体"/>
          <w:b/>
          <w:sz w:val="44"/>
          <w:u w:val="none" w:color="auto"/>
        </w:rPr>
      </w:pPr>
      <w:r>
        <w:rPr>
          <w:rFonts w:hint="eastAsia" w:ascii="宋体" w:hAnsi="宋体"/>
          <w:b/>
          <w:sz w:val="44"/>
          <w:u w:val="none" w:color="auto"/>
        </w:rPr>
        <w:t>响 应 文 件</w:t>
      </w:r>
    </w:p>
    <w:p w14:paraId="51E62D73">
      <w:pPr>
        <w:snapToGrid w:val="0"/>
        <w:spacing w:before="312" w:beforeLines="100" w:after="312" w:afterLines="100"/>
        <w:ind w:firstLine="1124" w:firstLineChars="400"/>
        <w:rPr>
          <w:rFonts w:hint="eastAsia" w:ascii="宋体" w:hAnsi="宋体"/>
          <w:b/>
          <w:sz w:val="28"/>
          <w:u w:val="none" w:color="auto"/>
        </w:rPr>
      </w:pPr>
      <w:r>
        <w:rPr>
          <w:rFonts w:hint="eastAsia" w:ascii="宋体" w:hAnsi="宋体"/>
          <w:b/>
          <w:sz w:val="28"/>
          <w:u w:val="none" w:color="auto"/>
        </w:rPr>
        <w:t xml:space="preserve">项目名称： </w:t>
      </w:r>
    </w:p>
    <w:p w14:paraId="57126B61">
      <w:pPr>
        <w:snapToGrid w:val="0"/>
        <w:spacing w:before="312" w:beforeLines="100" w:after="312" w:afterLines="100"/>
        <w:ind w:firstLine="562" w:firstLineChars="200"/>
        <w:rPr>
          <w:rFonts w:hint="eastAsia" w:ascii="宋体" w:hAnsi="宋体"/>
          <w:b/>
          <w:sz w:val="28"/>
          <w:u w:val="none" w:color="auto"/>
        </w:rPr>
      </w:pPr>
      <w:r>
        <w:rPr>
          <w:rFonts w:hint="eastAsia" w:ascii="宋体" w:hAnsi="宋体"/>
          <w:b/>
          <w:sz w:val="28"/>
          <w:u w:val="none" w:color="auto"/>
        </w:rPr>
        <w:t xml:space="preserve">    项目编号：</w:t>
      </w:r>
    </w:p>
    <w:p w14:paraId="60AC9DAD">
      <w:pPr>
        <w:pStyle w:val="8"/>
        <w:snapToGrid w:val="0"/>
        <w:spacing w:before="312" w:beforeLines="100" w:after="312" w:afterLines="100"/>
        <w:ind w:firstLine="1195" w:firstLineChars="425"/>
        <w:rPr>
          <w:rFonts w:hint="eastAsia" w:ascii="宋体" w:hAnsi="宋体"/>
          <w:b/>
          <w:sz w:val="28"/>
          <w:u w:val="none" w:color="auto"/>
        </w:rPr>
      </w:pPr>
      <w:r>
        <w:rPr>
          <w:rFonts w:hint="eastAsia" w:ascii="宋体" w:hAnsi="宋体"/>
          <w:b/>
          <w:sz w:val="28"/>
          <w:u w:val="none" w:color="auto"/>
        </w:rPr>
        <w:t>投标文件名称：投标文件</w:t>
      </w:r>
    </w:p>
    <w:p w14:paraId="42B1A007">
      <w:pPr>
        <w:pStyle w:val="8"/>
        <w:snapToGrid w:val="0"/>
        <w:spacing w:before="312" w:beforeLines="100" w:after="312" w:afterLines="100"/>
        <w:ind w:firstLine="1169" w:firstLineChars="416"/>
        <w:rPr>
          <w:rFonts w:hint="eastAsia" w:ascii="宋体" w:hAnsi="宋体"/>
          <w:b/>
          <w:sz w:val="28"/>
          <w:u w:val="none" w:color="auto"/>
        </w:rPr>
      </w:pPr>
      <w:r>
        <w:rPr>
          <w:rFonts w:hint="eastAsia" w:ascii="宋体" w:hAnsi="宋体"/>
          <w:b/>
          <w:sz w:val="28"/>
          <w:u w:val="none" w:color="auto"/>
        </w:rPr>
        <w:t>投标人名称：                            （加盖公章）</w:t>
      </w:r>
    </w:p>
    <w:p w14:paraId="6636FC71">
      <w:pPr>
        <w:pStyle w:val="8"/>
        <w:snapToGrid w:val="0"/>
        <w:spacing w:before="312" w:beforeLines="100" w:after="312" w:afterLines="100"/>
        <w:ind w:firstLine="1169" w:firstLineChars="416"/>
        <w:rPr>
          <w:rFonts w:hint="eastAsia" w:ascii="宋体" w:hAnsi="宋体"/>
          <w:b/>
          <w:sz w:val="28"/>
          <w:u w:val="none" w:color="auto"/>
        </w:rPr>
      </w:pPr>
      <w:r>
        <w:rPr>
          <w:rFonts w:hint="eastAsia" w:ascii="宋体" w:hAnsi="宋体"/>
          <w:b/>
          <w:sz w:val="28"/>
          <w:u w:val="none" w:color="auto"/>
        </w:rPr>
        <w:t>投标人地址：</w:t>
      </w:r>
    </w:p>
    <w:p w14:paraId="0EC7FA18">
      <w:pPr>
        <w:pStyle w:val="8"/>
        <w:snapToGrid w:val="0"/>
        <w:spacing w:before="312" w:beforeLines="100" w:after="312" w:afterLines="100"/>
        <w:ind w:firstLine="1124" w:firstLineChars="400"/>
        <w:rPr>
          <w:rFonts w:hint="eastAsia" w:ascii="宋体" w:hAnsi="宋体"/>
          <w:b/>
          <w:sz w:val="28"/>
          <w:u w:val="none" w:color="auto"/>
        </w:rPr>
      </w:pPr>
      <w:r>
        <w:rPr>
          <w:rFonts w:hint="eastAsia" w:ascii="宋体" w:hAnsi="宋体"/>
          <w:b/>
          <w:sz w:val="28"/>
          <w:u w:val="none" w:color="auto"/>
        </w:rPr>
        <w:t>投标联系人：电话</w:t>
      </w:r>
    </w:p>
    <w:p w14:paraId="328839B2">
      <w:pPr>
        <w:pStyle w:val="8"/>
        <w:snapToGrid w:val="0"/>
        <w:spacing w:before="312" w:beforeLines="100" w:after="312" w:afterLines="100"/>
        <w:ind w:firstLine="1124" w:firstLineChars="400"/>
        <w:rPr>
          <w:rFonts w:hint="eastAsia" w:ascii="宋体" w:hAnsi="宋体"/>
          <w:b/>
          <w:sz w:val="28"/>
          <w:u w:val="none" w:color="auto"/>
        </w:rPr>
      </w:pPr>
      <w:r>
        <w:rPr>
          <w:rFonts w:hint="eastAsia" w:ascii="宋体" w:hAnsi="宋体"/>
          <w:b/>
          <w:sz w:val="28"/>
          <w:u w:val="none" w:color="auto"/>
        </w:rPr>
        <w:t>启封时间：在20     年  月  日  时  分之前不得启封</w:t>
      </w:r>
    </w:p>
    <w:p w14:paraId="7D2FB872">
      <w:pPr>
        <w:snapToGrid w:val="0"/>
        <w:spacing w:before="156" w:beforeLines="50" w:after="50"/>
        <w:ind w:firstLine="4080" w:firstLineChars="1700"/>
        <w:rPr>
          <w:rFonts w:hint="eastAsia" w:ascii="宋体" w:hAnsi="宋体"/>
          <w:sz w:val="24"/>
          <w:u w:val="none" w:color="auto"/>
        </w:rPr>
      </w:pPr>
    </w:p>
    <w:p w14:paraId="6285A7D4">
      <w:pPr>
        <w:snapToGrid w:val="0"/>
        <w:spacing w:before="156" w:beforeLines="50" w:after="50"/>
        <w:ind w:firstLine="645"/>
        <w:jc w:val="center"/>
        <w:rPr>
          <w:rFonts w:hint="eastAsia" w:ascii="宋体" w:hAnsi="宋体"/>
          <w:b/>
          <w:sz w:val="28"/>
          <w:szCs w:val="28"/>
          <w:u w:val="none" w:color="auto"/>
        </w:rPr>
      </w:pPr>
      <w:r>
        <w:rPr>
          <w:rFonts w:hint="eastAsia" w:ascii="宋体" w:hAnsi="宋体"/>
          <w:sz w:val="24"/>
          <w:u w:val="none" w:color="auto"/>
        </w:rPr>
        <w:t xml:space="preserve">                                 年   月   日</w:t>
      </w:r>
    </w:p>
    <w:p w14:paraId="53DE9593">
      <w:pPr>
        <w:snapToGrid w:val="0"/>
        <w:spacing w:before="50" w:after="50"/>
        <w:ind w:left="424" w:leftChars="202"/>
        <w:rPr>
          <w:rFonts w:hint="eastAsia" w:ascii="宋体" w:hAnsi="宋体"/>
          <w:b/>
          <w:sz w:val="28"/>
          <w:szCs w:val="28"/>
          <w:u w:val="none" w:color="auto"/>
        </w:rPr>
      </w:pPr>
    </w:p>
    <w:p w14:paraId="21E750ED">
      <w:pPr>
        <w:snapToGrid w:val="0"/>
        <w:spacing w:before="50" w:after="50"/>
        <w:ind w:left="424" w:leftChars="202"/>
        <w:rPr>
          <w:rFonts w:hint="eastAsia" w:ascii="宋体" w:hAnsi="宋体"/>
          <w:b/>
          <w:sz w:val="28"/>
          <w:szCs w:val="28"/>
          <w:u w:val="none" w:color="auto"/>
        </w:rPr>
      </w:pPr>
    </w:p>
    <w:p w14:paraId="2BE4C332">
      <w:pPr>
        <w:snapToGrid w:val="0"/>
        <w:spacing w:before="50" w:after="50"/>
        <w:ind w:left="424" w:leftChars="202"/>
        <w:rPr>
          <w:rFonts w:hint="eastAsia" w:ascii="宋体" w:hAnsi="宋体"/>
          <w:b/>
          <w:sz w:val="28"/>
          <w:szCs w:val="28"/>
          <w:u w:val="none" w:color="auto"/>
        </w:rPr>
      </w:pPr>
    </w:p>
    <w:p w14:paraId="6FB8A2E8">
      <w:pPr>
        <w:snapToGrid w:val="0"/>
        <w:spacing w:before="50" w:after="50"/>
        <w:ind w:left="424" w:leftChars="202"/>
        <w:rPr>
          <w:rFonts w:hint="eastAsia" w:ascii="宋体" w:hAnsi="宋体"/>
          <w:b/>
          <w:sz w:val="28"/>
          <w:szCs w:val="28"/>
          <w:u w:val="none" w:color="auto"/>
        </w:rPr>
      </w:pPr>
    </w:p>
    <w:p w14:paraId="1E1F1F6B">
      <w:pPr>
        <w:snapToGrid w:val="0"/>
        <w:spacing w:before="50" w:after="50"/>
        <w:ind w:left="424" w:leftChars="202"/>
        <w:rPr>
          <w:rFonts w:hint="eastAsia" w:ascii="宋体" w:hAnsi="宋体"/>
          <w:b/>
          <w:sz w:val="28"/>
          <w:szCs w:val="28"/>
          <w:u w:val="none" w:color="auto"/>
        </w:rPr>
      </w:pPr>
    </w:p>
    <w:p w14:paraId="229B4230">
      <w:pPr>
        <w:snapToGrid w:val="0"/>
        <w:spacing w:before="50" w:after="50"/>
        <w:ind w:left="424" w:leftChars="202"/>
        <w:rPr>
          <w:rFonts w:hint="eastAsia" w:ascii="宋体" w:hAnsi="宋体"/>
          <w:b/>
          <w:sz w:val="28"/>
          <w:szCs w:val="28"/>
          <w:u w:val="none" w:color="auto"/>
        </w:rPr>
      </w:pPr>
    </w:p>
    <w:p w14:paraId="600B2180">
      <w:pPr>
        <w:snapToGrid w:val="0"/>
        <w:spacing w:before="50" w:after="50"/>
        <w:ind w:left="424" w:leftChars="202"/>
        <w:rPr>
          <w:rFonts w:hint="eastAsia" w:ascii="宋体" w:hAnsi="宋体"/>
          <w:b/>
          <w:sz w:val="28"/>
          <w:szCs w:val="28"/>
          <w:u w:val="none" w:color="auto"/>
        </w:rPr>
      </w:pPr>
    </w:p>
    <w:p w14:paraId="0D8CD4FC">
      <w:pPr>
        <w:snapToGrid w:val="0"/>
        <w:spacing w:before="50" w:after="50"/>
        <w:ind w:left="424" w:leftChars="202"/>
        <w:rPr>
          <w:rFonts w:hint="eastAsia" w:ascii="宋体" w:hAnsi="宋体"/>
          <w:b/>
          <w:sz w:val="28"/>
          <w:szCs w:val="28"/>
          <w:u w:val="none" w:color="auto"/>
        </w:rPr>
      </w:pPr>
    </w:p>
    <w:p w14:paraId="4BB61EC2">
      <w:pPr>
        <w:snapToGrid w:val="0"/>
        <w:spacing w:before="50" w:after="50"/>
        <w:ind w:left="424" w:leftChars="202"/>
        <w:rPr>
          <w:rFonts w:hint="eastAsia" w:ascii="宋体" w:hAnsi="宋体"/>
          <w:b/>
          <w:sz w:val="28"/>
          <w:szCs w:val="28"/>
          <w:u w:val="none" w:color="auto"/>
        </w:rPr>
      </w:pPr>
    </w:p>
    <w:p w14:paraId="6A69EAAC">
      <w:pPr>
        <w:snapToGrid w:val="0"/>
        <w:spacing w:before="50" w:after="50"/>
        <w:ind w:left="424" w:leftChars="202"/>
        <w:rPr>
          <w:rFonts w:hint="eastAsia" w:ascii="宋体" w:hAnsi="宋体"/>
          <w:b/>
          <w:sz w:val="28"/>
          <w:szCs w:val="28"/>
          <w:u w:val="none" w:color="auto"/>
        </w:rPr>
      </w:pPr>
    </w:p>
    <w:p w14:paraId="04AFB3F0">
      <w:pPr>
        <w:snapToGrid w:val="0"/>
        <w:spacing w:before="50" w:after="50"/>
        <w:rPr>
          <w:rFonts w:hint="eastAsia" w:ascii="宋体" w:hAnsi="宋体"/>
          <w:b/>
          <w:sz w:val="28"/>
          <w:szCs w:val="28"/>
          <w:u w:val="none" w:color="auto"/>
        </w:rPr>
      </w:pPr>
    </w:p>
    <w:p w14:paraId="014C3809">
      <w:pPr>
        <w:snapToGrid w:val="0"/>
        <w:spacing w:before="50" w:after="50"/>
        <w:rPr>
          <w:rFonts w:hint="eastAsia" w:ascii="宋体" w:hAnsi="宋体"/>
          <w:b/>
          <w:sz w:val="28"/>
          <w:szCs w:val="28"/>
          <w:u w:val="none" w:color="auto"/>
        </w:rPr>
      </w:pPr>
    </w:p>
    <w:p w14:paraId="0F042E82">
      <w:pPr>
        <w:snapToGrid w:val="0"/>
        <w:spacing w:before="50" w:after="50"/>
        <w:rPr>
          <w:rFonts w:hint="eastAsia" w:ascii="宋体" w:hAnsi="宋体"/>
          <w:b/>
          <w:sz w:val="28"/>
          <w:szCs w:val="28"/>
          <w:u w:val="none" w:color="auto"/>
        </w:rPr>
      </w:pPr>
      <w:r>
        <w:rPr>
          <w:rFonts w:hint="eastAsia" w:ascii="宋体" w:hAnsi="宋体"/>
          <w:b/>
          <w:sz w:val="28"/>
          <w:szCs w:val="28"/>
          <w:u w:val="none" w:color="auto"/>
        </w:rPr>
        <w:t>二、</w:t>
      </w:r>
    </w:p>
    <w:p w14:paraId="1E494139">
      <w:pPr>
        <w:snapToGrid w:val="0"/>
        <w:spacing w:before="50" w:after="50"/>
        <w:rPr>
          <w:rFonts w:hint="eastAsia" w:ascii="宋体" w:hAnsi="宋体"/>
          <w:b/>
          <w:sz w:val="28"/>
          <w:szCs w:val="28"/>
          <w:u w:val="none" w:color="auto"/>
        </w:rPr>
      </w:pPr>
    </w:p>
    <w:p w14:paraId="60D4B750">
      <w:pPr>
        <w:snapToGrid w:val="0"/>
        <w:spacing w:before="50" w:after="50"/>
        <w:ind w:firstLine="3064" w:firstLineChars="1090"/>
        <w:rPr>
          <w:rFonts w:hint="eastAsia" w:ascii="宋体" w:hAnsi="宋体"/>
          <w:b/>
          <w:sz w:val="24"/>
          <w:u w:val="none" w:color="auto"/>
        </w:rPr>
      </w:pPr>
      <w:r>
        <w:rPr>
          <w:rFonts w:hint="eastAsia" w:ascii="宋体" w:hAnsi="宋体"/>
          <w:b/>
          <w:sz w:val="28"/>
          <w:szCs w:val="28"/>
          <w:u w:val="none" w:color="auto"/>
        </w:rPr>
        <w:t>第一次开标一览表</w:t>
      </w:r>
    </w:p>
    <w:p w14:paraId="0B033DEB">
      <w:pPr>
        <w:spacing w:line="360" w:lineRule="auto"/>
        <w:rPr>
          <w:rFonts w:hint="eastAsia" w:asciiTheme="minorEastAsia" w:hAnsiTheme="minorEastAsia" w:eastAsiaTheme="minorEastAsia"/>
          <w:szCs w:val="28"/>
          <w:u w:val="none" w:color="auto"/>
        </w:rPr>
      </w:pPr>
    </w:p>
    <w:p w14:paraId="511BA904">
      <w:pPr>
        <w:spacing w:line="360" w:lineRule="auto"/>
        <w:rPr>
          <w:rFonts w:hint="eastAsia" w:asciiTheme="minorEastAsia" w:hAnsiTheme="minorEastAsia" w:eastAsiaTheme="minorEastAsia"/>
          <w:szCs w:val="28"/>
          <w:u w:val="none" w:color="auto"/>
        </w:rPr>
      </w:pPr>
      <w:r>
        <w:rPr>
          <w:rFonts w:hint="eastAsia" w:asciiTheme="minorEastAsia" w:hAnsiTheme="minorEastAsia" w:eastAsiaTheme="minorEastAsia"/>
          <w:szCs w:val="28"/>
          <w:u w:val="none" w:color="auto"/>
        </w:rPr>
        <w:t>项目名称：</w:t>
      </w:r>
    </w:p>
    <w:p w14:paraId="4D04CD91">
      <w:pPr>
        <w:pStyle w:val="3"/>
        <w:ind w:firstLine="0" w:firstLineChars="0"/>
        <w:rPr>
          <w:rFonts w:hint="eastAsia" w:asciiTheme="minorEastAsia" w:hAnsiTheme="minorEastAsia" w:eastAsiaTheme="minorEastAsia"/>
          <w:sz w:val="21"/>
          <w:szCs w:val="21"/>
          <w:u w:val="none" w:color="auto"/>
        </w:rPr>
      </w:pPr>
      <w:r>
        <w:rPr>
          <w:rFonts w:hint="eastAsia" w:asciiTheme="minorEastAsia" w:hAnsiTheme="minorEastAsia" w:eastAsiaTheme="minorEastAsia"/>
          <w:sz w:val="21"/>
          <w:szCs w:val="21"/>
          <w:u w:val="none" w:color="auto"/>
        </w:rPr>
        <w:t>项目编号：</w:t>
      </w:r>
    </w:p>
    <w:p w14:paraId="5833FAAE">
      <w:pPr>
        <w:pStyle w:val="3"/>
        <w:ind w:firstLine="0" w:firstLineChars="0"/>
        <w:rPr>
          <w:u w:val="none" w:color="auto"/>
        </w:rPr>
      </w:pPr>
      <w:r>
        <w:rPr>
          <w:rFonts w:hint="eastAsia" w:asciiTheme="minorEastAsia" w:hAnsiTheme="minorEastAsia" w:eastAsiaTheme="minorEastAsia"/>
          <w:sz w:val="21"/>
          <w:szCs w:val="21"/>
          <w:u w:val="none" w:color="auto"/>
        </w:rPr>
        <w:t xml:space="preserve">                           </w:t>
      </w:r>
      <w:bookmarkStart w:id="6" w:name="_Hlk132144746"/>
      <w:r>
        <w:rPr>
          <w:rFonts w:hint="eastAsia" w:asciiTheme="minorEastAsia" w:hAnsiTheme="minorEastAsia" w:eastAsiaTheme="minorEastAsia"/>
          <w:sz w:val="21"/>
          <w:szCs w:val="21"/>
          <w:u w:val="none" w:color="auto"/>
        </w:rPr>
        <w:t xml:space="preserve">                                    单位：人民币元</w:t>
      </w:r>
      <w:bookmarkEnd w:id="6"/>
    </w:p>
    <w:tbl>
      <w:tblPr>
        <w:tblStyle w:val="29"/>
        <w:tblW w:w="950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004"/>
        <w:gridCol w:w="2448"/>
        <w:gridCol w:w="4819"/>
        <w:gridCol w:w="1238"/>
      </w:tblGrid>
      <w:tr w14:paraId="64B646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1004" w:type="dxa"/>
            <w:tcBorders>
              <w:right w:val="single" w:color="auto" w:sz="4" w:space="0"/>
            </w:tcBorders>
            <w:vAlign w:val="center"/>
          </w:tcPr>
          <w:p w14:paraId="52DAFCC3">
            <w:pPr>
              <w:jc w:val="center"/>
              <w:rPr>
                <w:rFonts w:hint="eastAsia" w:ascii="宋体" w:hAnsi="宋体"/>
                <w:b/>
                <w:szCs w:val="21"/>
                <w:u w:val="none" w:color="auto"/>
              </w:rPr>
            </w:pPr>
            <w:r>
              <w:rPr>
                <w:rFonts w:hint="eastAsia" w:ascii="宋体" w:hAnsi="宋体"/>
                <w:b/>
                <w:szCs w:val="21"/>
                <w:u w:val="none" w:color="auto"/>
              </w:rPr>
              <w:t>序号</w:t>
            </w:r>
          </w:p>
        </w:tc>
        <w:tc>
          <w:tcPr>
            <w:tcW w:w="2448" w:type="dxa"/>
            <w:tcBorders>
              <w:left w:val="single" w:color="auto" w:sz="4" w:space="0"/>
              <w:right w:val="single" w:color="auto" w:sz="4" w:space="0"/>
            </w:tcBorders>
            <w:vAlign w:val="center"/>
          </w:tcPr>
          <w:p w14:paraId="3E9F6339">
            <w:pPr>
              <w:ind w:left="424" w:leftChars="202" w:firstLine="422" w:firstLineChars="200"/>
              <w:rPr>
                <w:rFonts w:hint="eastAsia" w:ascii="宋体" w:hAnsi="宋体"/>
                <w:b/>
                <w:szCs w:val="21"/>
                <w:u w:val="none" w:color="auto"/>
              </w:rPr>
            </w:pPr>
            <w:r>
              <w:rPr>
                <w:rFonts w:hint="eastAsia" w:ascii="宋体" w:hAnsi="宋体"/>
                <w:b/>
                <w:szCs w:val="21"/>
                <w:u w:val="none" w:color="auto"/>
              </w:rPr>
              <w:t>名称</w:t>
            </w:r>
          </w:p>
        </w:tc>
        <w:tc>
          <w:tcPr>
            <w:tcW w:w="4819" w:type="dxa"/>
            <w:tcBorders>
              <w:left w:val="single" w:color="auto" w:sz="4" w:space="0"/>
              <w:right w:val="single" w:color="auto" w:sz="4" w:space="0"/>
            </w:tcBorders>
            <w:vAlign w:val="center"/>
          </w:tcPr>
          <w:p w14:paraId="3DC64CF5">
            <w:pPr>
              <w:jc w:val="center"/>
              <w:rPr>
                <w:rFonts w:hint="eastAsia" w:ascii="宋体" w:hAnsi="宋体"/>
                <w:b/>
                <w:szCs w:val="21"/>
                <w:u w:val="none" w:color="auto"/>
              </w:rPr>
            </w:pPr>
            <w:r>
              <w:rPr>
                <w:rFonts w:hint="eastAsia" w:ascii="宋体" w:hAnsi="宋体"/>
                <w:b/>
                <w:szCs w:val="21"/>
                <w:u w:val="none" w:color="auto"/>
              </w:rPr>
              <w:t xml:space="preserve"> 投标报价</w:t>
            </w:r>
          </w:p>
        </w:tc>
        <w:tc>
          <w:tcPr>
            <w:tcW w:w="1238" w:type="dxa"/>
            <w:tcBorders>
              <w:left w:val="single" w:color="auto" w:sz="4" w:space="0"/>
            </w:tcBorders>
            <w:vAlign w:val="center"/>
          </w:tcPr>
          <w:p w14:paraId="4A7F9CB8">
            <w:pPr>
              <w:ind w:left="424" w:leftChars="202"/>
              <w:jc w:val="center"/>
              <w:rPr>
                <w:rFonts w:hint="eastAsia" w:ascii="宋体" w:hAnsi="宋体"/>
                <w:b/>
                <w:szCs w:val="21"/>
                <w:u w:val="none" w:color="auto"/>
              </w:rPr>
            </w:pPr>
            <w:r>
              <w:rPr>
                <w:rFonts w:hint="eastAsia" w:ascii="宋体" w:hAnsi="宋体" w:cs="宋体"/>
                <w:b/>
                <w:szCs w:val="21"/>
                <w:u w:val="none" w:color="auto"/>
              </w:rPr>
              <w:t>备注</w:t>
            </w:r>
          </w:p>
        </w:tc>
      </w:tr>
      <w:tr w14:paraId="024CEA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54" w:hRule="atLeast"/>
          <w:jc w:val="center"/>
        </w:trPr>
        <w:tc>
          <w:tcPr>
            <w:tcW w:w="1004" w:type="dxa"/>
            <w:tcBorders>
              <w:right w:val="single" w:color="auto" w:sz="4" w:space="0"/>
            </w:tcBorders>
            <w:vAlign w:val="center"/>
          </w:tcPr>
          <w:p w14:paraId="10067DA8">
            <w:pPr>
              <w:autoSpaceDE w:val="0"/>
              <w:autoSpaceDN w:val="0"/>
              <w:adjustRightInd w:val="0"/>
              <w:spacing w:line="400" w:lineRule="exact"/>
              <w:ind w:left="424" w:leftChars="202"/>
              <w:rPr>
                <w:rFonts w:hint="eastAsia" w:ascii="宋体" w:hAnsi="宋体"/>
                <w:szCs w:val="21"/>
                <w:u w:val="none" w:color="auto"/>
                <w:lang w:val="zh-CN"/>
              </w:rPr>
            </w:pPr>
          </w:p>
        </w:tc>
        <w:tc>
          <w:tcPr>
            <w:tcW w:w="2448" w:type="dxa"/>
            <w:tcBorders>
              <w:left w:val="single" w:color="auto" w:sz="4" w:space="0"/>
              <w:right w:val="single" w:color="auto" w:sz="4" w:space="0"/>
            </w:tcBorders>
            <w:vAlign w:val="center"/>
          </w:tcPr>
          <w:p w14:paraId="3DF888ED">
            <w:pPr>
              <w:ind w:left="424" w:leftChars="202"/>
              <w:jc w:val="center"/>
              <w:rPr>
                <w:rFonts w:hint="eastAsia" w:ascii="宋体" w:hAnsi="宋体"/>
                <w:szCs w:val="21"/>
                <w:u w:val="none" w:color="auto"/>
              </w:rPr>
            </w:pPr>
          </w:p>
        </w:tc>
        <w:tc>
          <w:tcPr>
            <w:tcW w:w="4819" w:type="dxa"/>
            <w:tcBorders>
              <w:left w:val="single" w:color="auto" w:sz="4" w:space="0"/>
              <w:right w:val="single" w:color="auto" w:sz="4" w:space="0"/>
            </w:tcBorders>
            <w:vAlign w:val="center"/>
          </w:tcPr>
          <w:p w14:paraId="35B90E14">
            <w:pPr>
              <w:ind w:left="424" w:leftChars="202"/>
              <w:jc w:val="center"/>
              <w:rPr>
                <w:rFonts w:hint="eastAsia" w:ascii="宋体" w:hAnsi="宋体"/>
                <w:szCs w:val="21"/>
                <w:u w:val="none" w:color="auto"/>
              </w:rPr>
            </w:pPr>
          </w:p>
        </w:tc>
        <w:tc>
          <w:tcPr>
            <w:tcW w:w="1238" w:type="dxa"/>
            <w:tcBorders>
              <w:left w:val="single" w:color="auto" w:sz="4" w:space="0"/>
            </w:tcBorders>
            <w:vAlign w:val="center"/>
          </w:tcPr>
          <w:p w14:paraId="155F0FF3">
            <w:pPr>
              <w:ind w:left="424" w:leftChars="202"/>
              <w:jc w:val="center"/>
              <w:rPr>
                <w:rFonts w:hint="eastAsia" w:ascii="宋体" w:hAnsi="宋体"/>
                <w:szCs w:val="21"/>
                <w:u w:val="none" w:color="auto"/>
              </w:rPr>
            </w:pPr>
          </w:p>
        </w:tc>
      </w:tr>
      <w:tr w14:paraId="33AAC4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54" w:hRule="atLeast"/>
          <w:jc w:val="center"/>
        </w:trPr>
        <w:tc>
          <w:tcPr>
            <w:tcW w:w="1004" w:type="dxa"/>
            <w:tcBorders>
              <w:right w:val="single" w:color="auto" w:sz="4" w:space="0"/>
            </w:tcBorders>
            <w:vAlign w:val="center"/>
          </w:tcPr>
          <w:p w14:paraId="1150007D">
            <w:pPr>
              <w:autoSpaceDE w:val="0"/>
              <w:autoSpaceDN w:val="0"/>
              <w:adjustRightInd w:val="0"/>
              <w:spacing w:line="400" w:lineRule="exact"/>
              <w:ind w:left="424" w:leftChars="202"/>
              <w:rPr>
                <w:rFonts w:hint="eastAsia" w:ascii="宋体" w:hAnsi="宋体"/>
                <w:szCs w:val="21"/>
                <w:u w:val="none" w:color="auto"/>
                <w:lang w:val="zh-CN"/>
              </w:rPr>
            </w:pPr>
            <w:r>
              <w:rPr>
                <w:rFonts w:hint="eastAsia" w:ascii="宋体" w:hAnsi="宋体"/>
                <w:szCs w:val="21"/>
                <w:u w:val="none" w:color="auto"/>
                <w:lang w:val="zh-CN"/>
              </w:rPr>
              <w:t>合计</w:t>
            </w:r>
          </w:p>
        </w:tc>
        <w:tc>
          <w:tcPr>
            <w:tcW w:w="8505" w:type="dxa"/>
            <w:gridSpan w:val="3"/>
            <w:tcBorders>
              <w:left w:val="single" w:color="auto" w:sz="4" w:space="0"/>
            </w:tcBorders>
            <w:vAlign w:val="center"/>
          </w:tcPr>
          <w:p w14:paraId="50EC9EF0">
            <w:pPr>
              <w:rPr>
                <w:rFonts w:hint="eastAsia" w:ascii="宋体" w:hAnsi="宋体"/>
                <w:szCs w:val="21"/>
                <w:u w:val="none" w:color="auto"/>
              </w:rPr>
            </w:pPr>
            <w:r>
              <w:rPr>
                <w:rFonts w:hint="eastAsia" w:ascii="宋体" w:hAnsi="宋体"/>
                <w:szCs w:val="21"/>
                <w:u w:val="none" w:color="auto"/>
              </w:rPr>
              <w:t>大写：</w:t>
            </w:r>
          </w:p>
        </w:tc>
      </w:tr>
    </w:tbl>
    <w:p w14:paraId="0EB153A5">
      <w:pPr>
        <w:spacing w:line="440" w:lineRule="exact"/>
        <w:ind w:firstLine="102" w:firstLineChars="49"/>
        <w:rPr>
          <w:rFonts w:hint="eastAsia" w:ascii="宋体" w:hAnsi="宋体"/>
          <w:szCs w:val="21"/>
          <w:u w:val="none" w:color="auto"/>
        </w:rPr>
      </w:pPr>
      <w:r>
        <w:rPr>
          <w:rFonts w:hint="eastAsia" w:ascii="宋体" w:hAnsi="宋体"/>
          <w:szCs w:val="21"/>
          <w:u w:val="none" w:color="auto"/>
        </w:rPr>
        <w:t>说明：</w:t>
      </w:r>
    </w:p>
    <w:p w14:paraId="6A12FE3B">
      <w:pPr>
        <w:snapToGrid w:val="0"/>
        <w:spacing w:line="360" w:lineRule="auto"/>
        <w:ind w:right="-340" w:firstLine="420" w:firstLineChars="200"/>
        <w:rPr>
          <w:rFonts w:ascii="宋体" w:hAnsi="Times New Roman"/>
          <w:szCs w:val="22"/>
          <w:u w:val="none" w:color="auto"/>
        </w:rPr>
      </w:pPr>
      <w:r>
        <w:rPr>
          <w:rFonts w:hint="eastAsia" w:ascii="宋体" w:hAnsi="宋体"/>
          <w:szCs w:val="22"/>
          <w:u w:val="none" w:color="auto"/>
        </w:rPr>
        <w:t xml:space="preserve"> 项目费用包括项目实施所需的一切费用。</w:t>
      </w:r>
    </w:p>
    <w:p w14:paraId="730705C8">
      <w:pPr>
        <w:pStyle w:val="12"/>
        <w:spacing w:before="156" w:line="360" w:lineRule="auto"/>
        <w:rPr>
          <w:rFonts w:hint="eastAsia" w:asciiTheme="minorEastAsia" w:hAnsiTheme="minorEastAsia" w:eastAsiaTheme="minorEastAsia"/>
          <w:sz w:val="21"/>
          <w:szCs w:val="28"/>
          <w:u w:val="none" w:color="auto"/>
        </w:rPr>
      </w:pPr>
      <w:r>
        <w:rPr>
          <w:rFonts w:hint="eastAsia" w:asciiTheme="minorEastAsia" w:hAnsiTheme="minorEastAsia" w:eastAsiaTheme="minorEastAsia"/>
          <w:sz w:val="21"/>
          <w:szCs w:val="28"/>
          <w:u w:val="none" w:color="auto"/>
        </w:rPr>
        <w:t>投标人名称（盖章）：</w:t>
      </w:r>
    </w:p>
    <w:p w14:paraId="512FBD2E">
      <w:pPr>
        <w:pStyle w:val="12"/>
        <w:spacing w:before="156" w:line="360" w:lineRule="auto"/>
        <w:rPr>
          <w:rFonts w:hint="eastAsia" w:asciiTheme="minorEastAsia" w:hAnsiTheme="minorEastAsia" w:eastAsiaTheme="minorEastAsia"/>
          <w:sz w:val="21"/>
          <w:szCs w:val="28"/>
          <w:u w:val="none" w:color="auto"/>
        </w:rPr>
      </w:pPr>
      <w:r>
        <w:rPr>
          <w:rFonts w:hint="eastAsia" w:asciiTheme="minorEastAsia" w:hAnsiTheme="minorEastAsia" w:eastAsiaTheme="minorEastAsia"/>
          <w:sz w:val="21"/>
          <w:szCs w:val="28"/>
          <w:u w:val="none" w:color="auto"/>
        </w:rPr>
        <w:t>日期：年月日</w:t>
      </w:r>
    </w:p>
    <w:p w14:paraId="703DC8D4">
      <w:pPr>
        <w:pStyle w:val="12"/>
        <w:spacing w:before="156" w:line="360" w:lineRule="auto"/>
        <w:rPr>
          <w:rFonts w:hint="eastAsia" w:asciiTheme="minorEastAsia" w:hAnsiTheme="minorEastAsia" w:eastAsiaTheme="minorEastAsia"/>
          <w:u w:val="none" w:color="auto"/>
        </w:rPr>
      </w:pPr>
    </w:p>
    <w:p w14:paraId="3590065A">
      <w:pPr>
        <w:tabs>
          <w:tab w:val="left" w:pos="2340"/>
          <w:tab w:val="left" w:pos="2520"/>
          <w:tab w:val="left" w:pos="2700"/>
          <w:tab w:val="left" w:pos="3060"/>
        </w:tabs>
        <w:spacing w:line="360" w:lineRule="auto"/>
        <w:ind w:left="424" w:leftChars="202" w:firstLine="102" w:firstLineChars="49"/>
        <w:rPr>
          <w:rFonts w:ascii="宋体"/>
          <w:u w:val="none" w:color="auto"/>
        </w:rPr>
      </w:pPr>
    </w:p>
    <w:p w14:paraId="191E08A5">
      <w:pPr>
        <w:tabs>
          <w:tab w:val="left" w:pos="2340"/>
          <w:tab w:val="left" w:pos="2520"/>
          <w:tab w:val="left" w:pos="2700"/>
          <w:tab w:val="left" w:pos="3060"/>
        </w:tabs>
        <w:spacing w:line="360" w:lineRule="auto"/>
        <w:ind w:left="424" w:leftChars="202" w:firstLine="102" w:firstLineChars="49"/>
        <w:rPr>
          <w:rFonts w:ascii="宋体"/>
          <w:u w:val="none" w:color="auto"/>
        </w:rPr>
      </w:pPr>
    </w:p>
    <w:p w14:paraId="4D029B20">
      <w:pPr>
        <w:tabs>
          <w:tab w:val="left" w:pos="2340"/>
          <w:tab w:val="left" w:pos="2520"/>
          <w:tab w:val="left" w:pos="2700"/>
          <w:tab w:val="left" w:pos="3060"/>
        </w:tabs>
        <w:spacing w:line="360" w:lineRule="auto"/>
        <w:ind w:left="424" w:leftChars="202" w:firstLine="99" w:firstLineChars="49"/>
        <w:rPr>
          <w:rFonts w:hint="eastAsia" w:ascii="宋体" w:hAnsi="宋体"/>
          <w:b/>
          <w:spacing w:val="-4"/>
          <w:szCs w:val="21"/>
          <w:u w:val="none" w:color="auto"/>
        </w:rPr>
      </w:pPr>
    </w:p>
    <w:p w14:paraId="3DB59ADF">
      <w:pPr>
        <w:pStyle w:val="52"/>
        <w:ind w:left="424" w:leftChars="202"/>
        <w:rPr>
          <w:u w:val="none" w:color="auto"/>
        </w:rPr>
      </w:pPr>
    </w:p>
    <w:p w14:paraId="1ED5BD49">
      <w:pPr>
        <w:pStyle w:val="2"/>
        <w:ind w:left="424" w:leftChars="202"/>
        <w:rPr>
          <w:u w:val="none" w:color="auto"/>
        </w:rPr>
      </w:pPr>
    </w:p>
    <w:p w14:paraId="5FBD856C">
      <w:pPr>
        <w:pStyle w:val="2"/>
        <w:ind w:left="424" w:leftChars="202"/>
        <w:rPr>
          <w:u w:val="none" w:color="auto"/>
        </w:rPr>
      </w:pPr>
    </w:p>
    <w:p w14:paraId="0AC7E3AF">
      <w:pPr>
        <w:pStyle w:val="2"/>
        <w:ind w:left="424" w:leftChars="202"/>
        <w:rPr>
          <w:u w:val="none" w:color="auto"/>
        </w:rPr>
      </w:pPr>
    </w:p>
    <w:p w14:paraId="772F771B">
      <w:pPr>
        <w:pStyle w:val="2"/>
        <w:ind w:left="424" w:leftChars="202"/>
        <w:rPr>
          <w:u w:val="none" w:color="auto"/>
        </w:rPr>
      </w:pPr>
    </w:p>
    <w:p w14:paraId="28A30B1F">
      <w:pPr>
        <w:pStyle w:val="3"/>
        <w:ind w:firstLine="0" w:firstLineChars="0"/>
        <w:rPr>
          <w:rFonts w:hint="eastAsia" w:hAnsi="宋体"/>
          <w:b/>
          <w:kern w:val="2"/>
          <w:sz w:val="32"/>
          <w:u w:val="none" w:color="auto"/>
        </w:rPr>
      </w:pPr>
    </w:p>
    <w:p w14:paraId="461A1CDA">
      <w:pPr>
        <w:rPr>
          <w:rFonts w:hint="eastAsia" w:hAnsi="宋体"/>
          <w:b/>
          <w:sz w:val="32"/>
          <w:u w:val="none" w:color="auto"/>
        </w:rPr>
      </w:pPr>
    </w:p>
    <w:p w14:paraId="1D72678A">
      <w:pPr>
        <w:pStyle w:val="28"/>
        <w:rPr>
          <w:u w:val="none" w:color="auto"/>
        </w:rPr>
      </w:pPr>
    </w:p>
    <w:p w14:paraId="0E9168D7">
      <w:pPr>
        <w:snapToGrid w:val="0"/>
        <w:spacing w:before="120" w:line="312" w:lineRule="auto"/>
        <w:ind w:right="-341"/>
        <w:rPr>
          <w:rFonts w:hint="eastAsia" w:hAnsi="宋体"/>
          <w:b/>
          <w:sz w:val="32"/>
          <w:u w:val="none" w:color="auto"/>
        </w:rPr>
      </w:pPr>
    </w:p>
    <w:p w14:paraId="7534F04D">
      <w:pPr>
        <w:snapToGrid w:val="0"/>
        <w:spacing w:before="120" w:line="312" w:lineRule="auto"/>
        <w:ind w:right="-341"/>
        <w:rPr>
          <w:rFonts w:hint="eastAsia" w:hAnsi="宋体"/>
          <w:b/>
          <w:sz w:val="32"/>
          <w:u w:val="none" w:color="auto"/>
        </w:rPr>
      </w:pPr>
      <w:r>
        <w:rPr>
          <w:rFonts w:hint="eastAsia" w:hAnsi="宋体"/>
          <w:b/>
          <w:sz w:val="32"/>
          <w:u w:val="none" w:color="auto"/>
        </w:rPr>
        <w:t>三、</w:t>
      </w:r>
    </w:p>
    <w:p w14:paraId="6C5CF140">
      <w:pPr>
        <w:snapToGrid w:val="0"/>
        <w:spacing w:before="120" w:line="312" w:lineRule="auto"/>
        <w:ind w:right="-341" w:firstLine="3354" w:firstLineChars="1044"/>
        <w:rPr>
          <w:rFonts w:hint="eastAsia" w:hAnsi="宋体"/>
          <w:b/>
          <w:sz w:val="32"/>
          <w:u w:val="none" w:color="auto"/>
        </w:rPr>
      </w:pPr>
      <w:r>
        <w:rPr>
          <w:rFonts w:hint="eastAsia" w:hAnsi="宋体"/>
          <w:b/>
          <w:sz w:val="32"/>
          <w:u w:val="none" w:color="auto"/>
        </w:rPr>
        <w:t>投标报价明细表</w:t>
      </w:r>
    </w:p>
    <w:p w14:paraId="466621A3">
      <w:pPr>
        <w:snapToGrid w:val="0"/>
        <w:rPr>
          <w:rFonts w:hint="eastAsia" w:hAnsi="宋体"/>
          <w:b/>
          <w:sz w:val="28"/>
          <w:u w:val="none" w:color="auto"/>
        </w:rPr>
      </w:pPr>
    </w:p>
    <w:p w14:paraId="5AC9512F">
      <w:pPr>
        <w:snapToGrid w:val="0"/>
        <w:rPr>
          <w:rFonts w:ascii="Times New Roman" w:hAnsi="Times New Roman"/>
          <w:szCs w:val="21"/>
          <w:u w:val="none" w:color="auto"/>
        </w:rPr>
      </w:pPr>
      <w:r>
        <w:rPr>
          <w:rFonts w:hint="eastAsia" w:ascii="Times New Roman" w:hAnsi="Times New Roman"/>
          <w:szCs w:val="21"/>
          <w:u w:val="none" w:color="auto"/>
        </w:rPr>
        <w:t xml:space="preserve">项目名称： </w:t>
      </w:r>
      <w:r>
        <w:rPr>
          <w:rFonts w:ascii="Times New Roman" w:hAnsi="Times New Roman"/>
          <w:szCs w:val="21"/>
          <w:u w:val="none" w:color="auto"/>
        </w:rPr>
        <w:t xml:space="preserve">                                               </w:t>
      </w:r>
      <w:r>
        <w:rPr>
          <w:rFonts w:hint="eastAsia" w:ascii="Times New Roman" w:hAnsi="Times New Roman"/>
          <w:szCs w:val="21"/>
          <w:u w:val="none" w:color="auto"/>
        </w:rPr>
        <w:t>金额单位：人民币（元）</w:t>
      </w:r>
    </w:p>
    <w:p w14:paraId="72018E64">
      <w:pPr>
        <w:snapToGrid w:val="0"/>
        <w:spacing w:before="156" w:beforeLines="50" w:after="120"/>
        <w:rPr>
          <w:rFonts w:ascii="Times New Roman" w:hAnsi="Times New Roman"/>
          <w:szCs w:val="21"/>
          <w:u w:val="none" w:color="auto"/>
        </w:rPr>
      </w:pPr>
      <w:r>
        <w:rPr>
          <w:rFonts w:hint="eastAsia" w:ascii="Times New Roman" w:hAnsi="Times New Roman"/>
          <w:szCs w:val="21"/>
          <w:u w:val="none" w:color="auto"/>
        </w:rPr>
        <w:t>项目编号：</w:t>
      </w:r>
    </w:p>
    <w:tbl>
      <w:tblPr>
        <w:tblStyle w:val="29"/>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2339"/>
        <w:gridCol w:w="1080"/>
        <w:gridCol w:w="1440"/>
        <w:gridCol w:w="10"/>
        <w:gridCol w:w="1430"/>
        <w:gridCol w:w="1262"/>
        <w:gridCol w:w="1440"/>
      </w:tblGrid>
      <w:tr w14:paraId="29A74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vAlign w:val="center"/>
          </w:tcPr>
          <w:p w14:paraId="591B3395">
            <w:pPr>
              <w:tabs>
                <w:tab w:val="left" w:pos="1418"/>
              </w:tabs>
              <w:snapToGrid w:val="0"/>
              <w:spacing w:before="50" w:after="50"/>
              <w:jc w:val="center"/>
              <w:rPr>
                <w:rFonts w:ascii="Times New Roman" w:hAnsi="Times New Roman"/>
                <w:spacing w:val="20"/>
                <w:u w:val="none" w:color="auto"/>
              </w:rPr>
            </w:pPr>
            <w:r>
              <w:rPr>
                <w:rFonts w:hint="eastAsia" w:ascii="Times New Roman" w:hAnsi="Times New Roman"/>
                <w:u w:val="none" w:color="auto"/>
              </w:rPr>
              <w:t>序号</w:t>
            </w:r>
          </w:p>
        </w:tc>
        <w:tc>
          <w:tcPr>
            <w:tcW w:w="2339" w:type="dxa"/>
            <w:tcBorders>
              <w:top w:val="single" w:color="auto" w:sz="4" w:space="0"/>
              <w:left w:val="single" w:color="auto" w:sz="4" w:space="0"/>
              <w:bottom w:val="single" w:color="auto" w:sz="4" w:space="0"/>
              <w:right w:val="single" w:color="auto" w:sz="4" w:space="0"/>
            </w:tcBorders>
            <w:vAlign w:val="center"/>
          </w:tcPr>
          <w:p w14:paraId="3D356E9D">
            <w:pPr>
              <w:tabs>
                <w:tab w:val="left" w:pos="1418"/>
              </w:tabs>
              <w:snapToGrid w:val="0"/>
              <w:spacing w:before="50" w:after="50"/>
              <w:jc w:val="center"/>
              <w:rPr>
                <w:rFonts w:ascii="Times New Roman" w:hAnsi="Times New Roman"/>
                <w:spacing w:val="20"/>
                <w:u w:val="none" w:color="auto"/>
              </w:rPr>
            </w:pPr>
            <w:r>
              <w:rPr>
                <w:rFonts w:hint="eastAsia" w:ascii="Times New Roman" w:hAnsi="Times New Roman"/>
                <w:u w:val="none" w:color="auto"/>
              </w:rPr>
              <w:t>名称</w:t>
            </w:r>
          </w:p>
        </w:tc>
        <w:tc>
          <w:tcPr>
            <w:tcW w:w="1080" w:type="dxa"/>
            <w:tcBorders>
              <w:top w:val="single" w:color="auto" w:sz="4" w:space="0"/>
              <w:left w:val="single" w:color="auto" w:sz="4" w:space="0"/>
              <w:bottom w:val="single" w:color="auto" w:sz="4" w:space="0"/>
              <w:right w:val="single" w:color="auto" w:sz="4" w:space="0"/>
            </w:tcBorders>
            <w:vAlign w:val="center"/>
          </w:tcPr>
          <w:p w14:paraId="507E44FA">
            <w:pPr>
              <w:tabs>
                <w:tab w:val="left" w:pos="1418"/>
              </w:tabs>
              <w:snapToGrid w:val="0"/>
              <w:spacing w:before="50" w:after="50"/>
              <w:jc w:val="center"/>
              <w:rPr>
                <w:rFonts w:ascii="Times New Roman" w:hAnsi="Times New Roman"/>
                <w:spacing w:val="-20"/>
                <w:kern w:val="0"/>
                <w:u w:val="none" w:color="auto"/>
              </w:rPr>
            </w:pPr>
          </w:p>
        </w:tc>
        <w:tc>
          <w:tcPr>
            <w:tcW w:w="1440" w:type="dxa"/>
            <w:tcBorders>
              <w:top w:val="single" w:color="auto" w:sz="4" w:space="0"/>
              <w:left w:val="single" w:color="auto" w:sz="4" w:space="0"/>
              <w:bottom w:val="single" w:color="auto" w:sz="4" w:space="0"/>
              <w:right w:val="single" w:color="auto" w:sz="4" w:space="0"/>
            </w:tcBorders>
            <w:vAlign w:val="center"/>
          </w:tcPr>
          <w:p w14:paraId="7B4A179D">
            <w:pPr>
              <w:tabs>
                <w:tab w:val="left" w:pos="1418"/>
              </w:tabs>
              <w:snapToGrid w:val="0"/>
              <w:spacing w:before="50" w:after="50"/>
              <w:jc w:val="center"/>
              <w:rPr>
                <w:rFonts w:ascii="Times New Roman" w:hAnsi="Times New Roman"/>
                <w:spacing w:val="20"/>
                <w:u w:val="none" w:color="auto"/>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0F4B67A4">
            <w:pPr>
              <w:tabs>
                <w:tab w:val="left" w:pos="1418"/>
              </w:tabs>
              <w:snapToGrid w:val="0"/>
              <w:spacing w:before="50" w:after="50"/>
              <w:jc w:val="center"/>
              <w:rPr>
                <w:rFonts w:ascii="Times New Roman" w:hAnsi="Times New Roman"/>
                <w:spacing w:val="20"/>
                <w:u w:val="none" w:color="auto"/>
              </w:rPr>
            </w:pPr>
          </w:p>
        </w:tc>
        <w:tc>
          <w:tcPr>
            <w:tcW w:w="1262" w:type="dxa"/>
            <w:tcBorders>
              <w:top w:val="single" w:color="auto" w:sz="4" w:space="0"/>
              <w:left w:val="single" w:color="auto" w:sz="4" w:space="0"/>
              <w:bottom w:val="single" w:color="auto" w:sz="4" w:space="0"/>
              <w:right w:val="single" w:color="auto" w:sz="4" w:space="0"/>
            </w:tcBorders>
            <w:vAlign w:val="center"/>
          </w:tcPr>
          <w:p w14:paraId="0CFBCFED">
            <w:pPr>
              <w:tabs>
                <w:tab w:val="left" w:pos="1418"/>
              </w:tabs>
              <w:snapToGrid w:val="0"/>
              <w:spacing w:before="50" w:after="50"/>
              <w:jc w:val="center"/>
              <w:rPr>
                <w:rFonts w:ascii="Times New Roman" w:hAnsi="Times New Roman"/>
                <w:spacing w:val="20"/>
                <w:u w:val="none" w:color="auto"/>
              </w:rPr>
            </w:pPr>
            <w:r>
              <w:rPr>
                <w:rFonts w:hint="eastAsia" w:ascii="Times New Roman" w:hAnsi="Times New Roman"/>
                <w:u w:val="none" w:color="auto"/>
              </w:rPr>
              <w:t>单价</w:t>
            </w:r>
          </w:p>
        </w:tc>
        <w:tc>
          <w:tcPr>
            <w:tcW w:w="1440" w:type="dxa"/>
            <w:tcBorders>
              <w:top w:val="single" w:color="auto" w:sz="4" w:space="0"/>
              <w:left w:val="single" w:color="auto" w:sz="4" w:space="0"/>
              <w:bottom w:val="single" w:color="auto" w:sz="4" w:space="0"/>
            </w:tcBorders>
            <w:vAlign w:val="center"/>
          </w:tcPr>
          <w:p w14:paraId="1125F081">
            <w:pPr>
              <w:tabs>
                <w:tab w:val="left" w:pos="1418"/>
              </w:tabs>
              <w:snapToGrid w:val="0"/>
              <w:spacing w:before="50" w:after="50"/>
              <w:jc w:val="center"/>
              <w:rPr>
                <w:rFonts w:ascii="Times New Roman" w:hAnsi="Times New Roman"/>
                <w:spacing w:val="20"/>
                <w:u w:val="none" w:color="auto"/>
              </w:rPr>
            </w:pPr>
            <w:r>
              <w:rPr>
                <w:rFonts w:hint="eastAsia" w:ascii="Times New Roman" w:hAnsi="Times New Roman"/>
                <w:u w:val="none" w:color="auto"/>
              </w:rPr>
              <w:t>合价</w:t>
            </w:r>
          </w:p>
        </w:tc>
      </w:tr>
      <w:tr w14:paraId="7B055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0C40E328">
            <w:pPr>
              <w:tabs>
                <w:tab w:val="left" w:pos="1418"/>
              </w:tabs>
              <w:snapToGrid w:val="0"/>
              <w:spacing w:before="50" w:after="50"/>
              <w:jc w:val="center"/>
              <w:rPr>
                <w:rFonts w:ascii="Times New Roman" w:hAnsi="Times New Roman"/>
                <w:spacing w:val="20"/>
                <w:u w:val="none" w:color="auto"/>
              </w:rPr>
            </w:pPr>
          </w:p>
        </w:tc>
        <w:tc>
          <w:tcPr>
            <w:tcW w:w="2339" w:type="dxa"/>
            <w:tcBorders>
              <w:top w:val="single" w:color="auto" w:sz="4" w:space="0"/>
              <w:left w:val="single" w:color="auto" w:sz="4" w:space="0"/>
              <w:bottom w:val="single" w:color="auto" w:sz="4" w:space="0"/>
              <w:right w:val="single" w:color="auto" w:sz="4" w:space="0"/>
            </w:tcBorders>
          </w:tcPr>
          <w:p w14:paraId="1EFE1F4A">
            <w:pPr>
              <w:tabs>
                <w:tab w:val="left" w:pos="1418"/>
              </w:tabs>
              <w:snapToGrid w:val="0"/>
              <w:spacing w:before="50" w:after="50"/>
              <w:jc w:val="center"/>
              <w:rPr>
                <w:rFonts w:ascii="Times New Roman" w:hAnsi="Times New Roman"/>
                <w:spacing w:val="20"/>
                <w:u w:val="none" w:color="auto"/>
              </w:rPr>
            </w:pPr>
          </w:p>
        </w:tc>
        <w:tc>
          <w:tcPr>
            <w:tcW w:w="1080" w:type="dxa"/>
            <w:tcBorders>
              <w:top w:val="single" w:color="auto" w:sz="4" w:space="0"/>
              <w:left w:val="single" w:color="auto" w:sz="4" w:space="0"/>
              <w:bottom w:val="single" w:color="auto" w:sz="4" w:space="0"/>
              <w:right w:val="single" w:color="auto" w:sz="4" w:space="0"/>
            </w:tcBorders>
          </w:tcPr>
          <w:p w14:paraId="04BD05A7">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right w:val="single" w:color="auto" w:sz="4" w:space="0"/>
            </w:tcBorders>
          </w:tcPr>
          <w:p w14:paraId="7D7B534B">
            <w:pPr>
              <w:tabs>
                <w:tab w:val="left" w:pos="1418"/>
              </w:tabs>
              <w:snapToGrid w:val="0"/>
              <w:spacing w:before="50" w:after="50"/>
              <w:jc w:val="center"/>
              <w:rPr>
                <w:rFonts w:ascii="Times New Roman" w:hAnsi="Times New Roman"/>
                <w:spacing w:val="20"/>
                <w:u w:val="none" w:color="auto"/>
              </w:rPr>
            </w:pPr>
          </w:p>
        </w:tc>
        <w:tc>
          <w:tcPr>
            <w:tcW w:w="1440" w:type="dxa"/>
            <w:gridSpan w:val="2"/>
            <w:tcBorders>
              <w:top w:val="single" w:color="auto" w:sz="4" w:space="0"/>
              <w:left w:val="single" w:color="auto" w:sz="4" w:space="0"/>
              <w:bottom w:val="single" w:color="auto" w:sz="4" w:space="0"/>
              <w:right w:val="single" w:color="auto" w:sz="4" w:space="0"/>
            </w:tcBorders>
          </w:tcPr>
          <w:p w14:paraId="19D67DA8">
            <w:pPr>
              <w:tabs>
                <w:tab w:val="left" w:pos="1418"/>
              </w:tabs>
              <w:snapToGrid w:val="0"/>
              <w:spacing w:before="50" w:after="50"/>
              <w:jc w:val="center"/>
              <w:rPr>
                <w:rFonts w:ascii="Times New Roman" w:hAnsi="Times New Roman"/>
                <w:spacing w:val="20"/>
                <w:u w:val="none" w:color="auto"/>
              </w:rPr>
            </w:pPr>
          </w:p>
        </w:tc>
        <w:tc>
          <w:tcPr>
            <w:tcW w:w="1262" w:type="dxa"/>
            <w:tcBorders>
              <w:top w:val="single" w:color="auto" w:sz="4" w:space="0"/>
              <w:left w:val="single" w:color="auto" w:sz="4" w:space="0"/>
              <w:bottom w:val="single" w:color="auto" w:sz="4" w:space="0"/>
              <w:right w:val="single" w:color="auto" w:sz="4" w:space="0"/>
            </w:tcBorders>
          </w:tcPr>
          <w:p w14:paraId="55081FB2">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71DF0613">
            <w:pPr>
              <w:tabs>
                <w:tab w:val="left" w:pos="1418"/>
              </w:tabs>
              <w:snapToGrid w:val="0"/>
              <w:spacing w:before="50" w:after="50"/>
              <w:jc w:val="center"/>
              <w:rPr>
                <w:rFonts w:ascii="Times New Roman" w:hAnsi="Times New Roman"/>
                <w:spacing w:val="20"/>
                <w:u w:val="none" w:color="auto"/>
              </w:rPr>
            </w:pPr>
          </w:p>
        </w:tc>
      </w:tr>
      <w:tr w14:paraId="61D44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2303060A">
            <w:pPr>
              <w:tabs>
                <w:tab w:val="left" w:pos="1418"/>
              </w:tabs>
              <w:snapToGrid w:val="0"/>
              <w:spacing w:before="50" w:after="50"/>
              <w:jc w:val="center"/>
              <w:rPr>
                <w:rFonts w:ascii="Times New Roman" w:hAnsi="Times New Roman"/>
                <w:spacing w:val="20"/>
                <w:u w:val="none" w:color="auto"/>
              </w:rPr>
            </w:pPr>
          </w:p>
        </w:tc>
        <w:tc>
          <w:tcPr>
            <w:tcW w:w="2339" w:type="dxa"/>
            <w:tcBorders>
              <w:top w:val="single" w:color="auto" w:sz="4" w:space="0"/>
              <w:left w:val="single" w:color="auto" w:sz="4" w:space="0"/>
              <w:bottom w:val="single" w:color="auto" w:sz="4" w:space="0"/>
              <w:right w:val="single" w:color="auto" w:sz="4" w:space="0"/>
            </w:tcBorders>
          </w:tcPr>
          <w:p w14:paraId="5C19CDDE">
            <w:pPr>
              <w:tabs>
                <w:tab w:val="left" w:pos="1418"/>
              </w:tabs>
              <w:snapToGrid w:val="0"/>
              <w:spacing w:before="50" w:after="50"/>
              <w:jc w:val="center"/>
              <w:rPr>
                <w:rFonts w:ascii="Times New Roman" w:hAnsi="Times New Roman"/>
                <w:spacing w:val="20"/>
                <w:u w:val="none" w:color="auto"/>
              </w:rPr>
            </w:pPr>
          </w:p>
        </w:tc>
        <w:tc>
          <w:tcPr>
            <w:tcW w:w="1080" w:type="dxa"/>
            <w:tcBorders>
              <w:top w:val="single" w:color="auto" w:sz="4" w:space="0"/>
              <w:left w:val="single" w:color="auto" w:sz="4" w:space="0"/>
              <w:bottom w:val="single" w:color="auto" w:sz="4" w:space="0"/>
              <w:right w:val="single" w:color="auto" w:sz="4" w:space="0"/>
            </w:tcBorders>
          </w:tcPr>
          <w:p w14:paraId="538AD718">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right w:val="single" w:color="auto" w:sz="4" w:space="0"/>
            </w:tcBorders>
          </w:tcPr>
          <w:p w14:paraId="6B39BBF9">
            <w:pPr>
              <w:tabs>
                <w:tab w:val="left" w:pos="1418"/>
              </w:tabs>
              <w:snapToGrid w:val="0"/>
              <w:spacing w:before="50" w:after="50"/>
              <w:jc w:val="center"/>
              <w:rPr>
                <w:rFonts w:ascii="Times New Roman" w:hAnsi="Times New Roman"/>
                <w:spacing w:val="20"/>
                <w:u w:val="none" w:color="auto"/>
              </w:rPr>
            </w:pPr>
          </w:p>
        </w:tc>
        <w:tc>
          <w:tcPr>
            <w:tcW w:w="1440" w:type="dxa"/>
            <w:gridSpan w:val="2"/>
            <w:tcBorders>
              <w:top w:val="single" w:color="auto" w:sz="4" w:space="0"/>
              <w:left w:val="single" w:color="auto" w:sz="4" w:space="0"/>
              <w:bottom w:val="single" w:color="auto" w:sz="4" w:space="0"/>
              <w:right w:val="single" w:color="auto" w:sz="4" w:space="0"/>
            </w:tcBorders>
          </w:tcPr>
          <w:p w14:paraId="62138178">
            <w:pPr>
              <w:tabs>
                <w:tab w:val="left" w:pos="1418"/>
              </w:tabs>
              <w:snapToGrid w:val="0"/>
              <w:spacing w:before="50" w:after="50"/>
              <w:jc w:val="center"/>
              <w:rPr>
                <w:rFonts w:ascii="Times New Roman" w:hAnsi="Times New Roman"/>
                <w:spacing w:val="20"/>
                <w:u w:val="none" w:color="auto"/>
              </w:rPr>
            </w:pPr>
          </w:p>
        </w:tc>
        <w:tc>
          <w:tcPr>
            <w:tcW w:w="1262" w:type="dxa"/>
            <w:tcBorders>
              <w:top w:val="single" w:color="auto" w:sz="4" w:space="0"/>
              <w:left w:val="single" w:color="auto" w:sz="4" w:space="0"/>
              <w:bottom w:val="single" w:color="auto" w:sz="4" w:space="0"/>
              <w:right w:val="single" w:color="auto" w:sz="4" w:space="0"/>
            </w:tcBorders>
          </w:tcPr>
          <w:p w14:paraId="0C04EDEB">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71C6AB7C">
            <w:pPr>
              <w:tabs>
                <w:tab w:val="left" w:pos="1418"/>
              </w:tabs>
              <w:snapToGrid w:val="0"/>
              <w:spacing w:before="50" w:after="50"/>
              <w:jc w:val="center"/>
              <w:rPr>
                <w:rFonts w:ascii="Times New Roman" w:hAnsi="Times New Roman"/>
                <w:spacing w:val="20"/>
                <w:u w:val="none" w:color="auto"/>
              </w:rPr>
            </w:pPr>
          </w:p>
        </w:tc>
      </w:tr>
      <w:tr w14:paraId="64406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194ACEE4">
            <w:pPr>
              <w:tabs>
                <w:tab w:val="left" w:pos="1418"/>
              </w:tabs>
              <w:snapToGrid w:val="0"/>
              <w:spacing w:before="50" w:after="50"/>
              <w:jc w:val="center"/>
              <w:rPr>
                <w:rFonts w:ascii="Times New Roman" w:hAnsi="Times New Roman"/>
                <w:spacing w:val="20"/>
                <w:u w:val="none" w:color="auto"/>
              </w:rPr>
            </w:pPr>
          </w:p>
        </w:tc>
        <w:tc>
          <w:tcPr>
            <w:tcW w:w="2339" w:type="dxa"/>
            <w:tcBorders>
              <w:top w:val="single" w:color="auto" w:sz="4" w:space="0"/>
              <w:left w:val="single" w:color="auto" w:sz="4" w:space="0"/>
              <w:bottom w:val="single" w:color="auto" w:sz="4" w:space="0"/>
              <w:right w:val="single" w:color="auto" w:sz="4" w:space="0"/>
            </w:tcBorders>
          </w:tcPr>
          <w:p w14:paraId="21F87C06">
            <w:pPr>
              <w:tabs>
                <w:tab w:val="left" w:pos="1418"/>
              </w:tabs>
              <w:snapToGrid w:val="0"/>
              <w:spacing w:before="50" w:after="50"/>
              <w:jc w:val="center"/>
              <w:rPr>
                <w:rFonts w:ascii="Times New Roman" w:hAnsi="Times New Roman"/>
                <w:spacing w:val="20"/>
                <w:u w:val="none" w:color="auto"/>
              </w:rPr>
            </w:pPr>
          </w:p>
        </w:tc>
        <w:tc>
          <w:tcPr>
            <w:tcW w:w="1080" w:type="dxa"/>
            <w:tcBorders>
              <w:top w:val="single" w:color="auto" w:sz="4" w:space="0"/>
              <w:left w:val="single" w:color="auto" w:sz="4" w:space="0"/>
              <w:bottom w:val="single" w:color="auto" w:sz="4" w:space="0"/>
              <w:right w:val="single" w:color="auto" w:sz="4" w:space="0"/>
            </w:tcBorders>
          </w:tcPr>
          <w:p w14:paraId="2B6C6881">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right w:val="single" w:color="auto" w:sz="4" w:space="0"/>
            </w:tcBorders>
          </w:tcPr>
          <w:p w14:paraId="7937FDF1">
            <w:pPr>
              <w:tabs>
                <w:tab w:val="left" w:pos="1418"/>
              </w:tabs>
              <w:snapToGrid w:val="0"/>
              <w:spacing w:before="50" w:after="50"/>
              <w:jc w:val="center"/>
              <w:rPr>
                <w:rFonts w:ascii="Times New Roman" w:hAnsi="Times New Roman"/>
                <w:spacing w:val="20"/>
                <w:u w:val="none" w:color="auto"/>
              </w:rPr>
            </w:pPr>
          </w:p>
        </w:tc>
        <w:tc>
          <w:tcPr>
            <w:tcW w:w="1440" w:type="dxa"/>
            <w:gridSpan w:val="2"/>
            <w:tcBorders>
              <w:top w:val="single" w:color="auto" w:sz="4" w:space="0"/>
              <w:left w:val="single" w:color="auto" w:sz="4" w:space="0"/>
              <w:bottom w:val="single" w:color="auto" w:sz="4" w:space="0"/>
              <w:right w:val="single" w:color="auto" w:sz="4" w:space="0"/>
            </w:tcBorders>
          </w:tcPr>
          <w:p w14:paraId="4BC899BC">
            <w:pPr>
              <w:tabs>
                <w:tab w:val="left" w:pos="1418"/>
              </w:tabs>
              <w:snapToGrid w:val="0"/>
              <w:spacing w:before="50" w:after="50"/>
              <w:jc w:val="center"/>
              <w:rPr>
                <w:rFonts w:ascii="Times New Roman" w:hAnsi="Times New Roman"/>
                <w:spacing w:val="20"/>
                <w:u w:val="none" w:color="auto"/>
              </w:rPr>
            </w:pPr>
          </w:p>
        </w:tc>
        <w:tc>
          <w:tcPr>
            <w:tcW w:w="1262" w:type="dxa"/>
            <w:tcBorders>
              <w:top w:val="single" w:color="auto" w:sz="4" w:space="0"/>
              <w:left w:val="single" w:color="auto" w:sz="4" w:space="0"/>
              <w:bottom w:val="single" w:color="auto" w:sz="4" w:space="0"/>
              <w:right w:val="single" w:color="auto" w:sz="4" w:space="0"/>
            </w:tcBorders>
          </w:tcPr>
          <w:p w14:paraId="5F8A543C">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03210B4E">
            <w:pPr>
              <w:tabs>
                <w:tab w:val="left" w:pos="1418"/>
              </w:tabs>
              <w:snapToGrid w:val="0"/>
              <w:spacing w:before="50" w:after="50"/>
              <w:jc w:val="center"/>
              <w:rPr>
                <w:rFonts w:ascii="Times New Roman" w:hAnsi="Times New Roman"/>
                <w:spacing w:val="20"/>
                <w:u w:val="none" w:color="auto"/>
              </w:rPr>
            </w:pPr>
          </w:p>
        </w:tc>
      </w:tr>
      <w:tr w14:paraId="688F3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16807DCB">
            <w:pPr>
              <w:tabs>
                <w:tab w:val="left" w:pos="1418"/>
              </w:tabs>
              <w:snapToGrid w:val="0"/>
              <w:spacing w:before="50" w:after="50"/>
              <w:jc w:val="center"/>
              <w:rPr>
                <w:rFonts w:ascii="Times New Roman" w:hAnsi="Times New Roman"/>
                <w:spacing w:val="20"/>
                <w:u w:val="none" w:color="auto"/>
              </w:rPr>
            </w:pPr>
          </w:p>
        </w:tc>
        <w:tc>
          <w:tcPr>
            <w:tcW w:w="2339" w:type="dxa"/>
            <w:tcBorders>
              <w:top w:val="single" w:color="auto" w:sz="4" w:space="0"/>
              <w:left w:val="single" w:color="auto" w:sz="4" w:space="0"/>
              <w:bottom w:val="single" w:color="auto" w:sz="4" w:space="0"/>
              <w:right w:val="single" w:color="auto" w:sz="4" w:space="0"/>
            </w:tcBorders>
          </w:tcPr>
          <w:p w14:paraId="457D0A75">
            <w:pPr>
              <w:tabs>
                <w:tab w:val="left" w:pos="1418"/>
              </w:tabs>
              <w:snapToGrid w:val="0"/>
              <w:spacing w:before="50" w:after="50"/>
              <w:jc w:val="center"/>
              <w:rPr>
                <w:rFonts w:ascii="Times New Roman" w:hAnsi="Times New Roman"/>
                <w:spacing w:val="20"/>
                <w:u w:val="none" w:color="auto"/>
              </w:rPr>
            </w:pPr>
          </w:p>
        </w:tc>
        <w:tc>
          <w:tcPr>
            <w:tcW w:w="1080" w:type="dxa"/>
            <w:tcBorders>
              <w:top w:val="single" w:color="auto" w:sz="4" w:space="0"/>
              <w:left w:val="single" w:color="auto" w:sz="4" w:space="0"/>
              <w:bottom w:val="single" w:color="auto" w:sz="4" w:space="0"/>
              <w:right w:val="single" w:color="auto" w:sz="4" w:space="0"/>
            </w:tcBorders>
          </w:tcPr>
          <w:p w14:paraId="70184C60">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right w:val="single" w:color="auto" w:sz="4" w:space="0"/>
            </w:tcBorders>
          </w:tcPr>
          <w:p w14:paraId="67B27396">
            <w:pPr>
              <w:tabs>
                <w:tab w:val="left" w:pos="1418"/>
              </w:tabs>
              <w:snapToGrid w:val="0"/>
              <w:spacing w:before="50" w:after="50"/>
              <w:jc w:val="center"/>
              <w:rPr>
                <w:rFonts w:ascii="Times New Roman" w:hAnsi="Times New Roman"/>
                <w:spacing w:val="20"/>
                <w:u w:val="none" w:color="auto"/>
              </w:rPr>
            </w:pPr>
          </w:p>
        </w:tc>
        <w:tc>
          <w:tcPr>
            <w:tcW w:w="1440" w:type="dxa"/>
            <w:gridSpan w:val="2"/>
            <w:tcBorders>
              <w:top w:val="single" w:color="auto" w:sz="4" w:space="0"/>
              <w:left w:val="single" w:color="auto" w:sz="4" w:space="0"/>
              <w:bottom w:val="single" w:color="auto" w:sz="4" w:space="0"/>
              <w:right w:val="single" w:color="auto" w:sz="4" w:space="0"/>
            </w:tcBorders>
          </w:tcPr>
          <w:p w14:paraId="3AD9DB12">
            <w:pPr>
              <w:tabs>
                <w:tab w:val="left" w:pos="1418"/>
              </w:tabs>
              <w:snapToGrid w:val="0"/>
              <w:spacing w:before="50" w:after="50"/>
              <w:jc w:val="center"/>
              <w:rPr>
                <w:rFonts w:ascii="Times New Roman" w:hAnsi="Times New Roman"/>
                <w:spacing w:val="20"/>
                <w:u w:val="none" w:color="auto"/>
              </w:rPr>
            </w:pPr>
          </w:p>
        </w:tc>
        <w:tc>
          <w:tcPr>
            <w:tcW w:w="1262" w:type="dxa"/>
            <w:tcBorders>
              <w:top w:val="single" w:color="auto" w:sz="4" w:space="0"/>
              <w:left w:val="single" w:color="auto" w:sz="4" w:space="0"/>
              <w:bottom w:val="single" w:color="auto" w:sz="4" w:space="0"/>
              <w:right w:val="single" w:color="auto" w:sz="4" w:space="0"/>
            </w:tcBorders>
          </w:tcPr>
          <w:p w14:paraId="319F16BD">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6AE486E7">
            <w:pPr>
              <w:tabs>
                <w:tab w:val="left" w:pos="1418"/>
              </w:tabs>
              <w:snapToGrid w:val="0"/>
              <w:spacing w:before="50" w:after="50"/>
              <w:jc w:val="center"/>
              <w:rPr>
                <w:rFonts w:ascii="Times New Roman" w:hAnsi="Times New Roman"/>
                <w:spacing w:val="20"/>
                <w:u w:val="none" w:color="auto"/>
              </w:rPr>
            </w:pPr>
          </w:p>
        </w:tc>
      </w:tr>
      <w:tr w14:paraId="770FF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570ED507">
            <w:pPr>
              <w:tabs>
                <w:tab w:val="left" w:pos="1418"/>
              </w:tabs>
              <w:snapToGrid w:val="0"/>
              <w:spacing w:before="50" w:after="50"/>
              <w:jc w:val="center"/>
              <w:rPr>
                <w:rFonts w:ascii="Times New Roman" w:hAnsi="Times New Roman"/>
                <w:spacing w:val="20"/>
                <w:u w:val="none" w:color="auto"/>
              </w:rPr>
            </w:pPr>
          </w:p>
        </w:tc>
        <w:tc>
          <w:tcPr>
            <w:tcW w:w="2339" w:type="dxa"/>
            <w:tcBorders>
              <w:top w:val="single" w:color="auto" w:sz="4" w:space="0"/>
              <w:left w:val="single" w:color="auto" w:sz="4" w:space="0"/>
              <w:bottom w:val="single" w:color="auto" w:sz="4" w:space="0"/>
              <w:right w:val="single" w:color="auto" w:sz="4" w:space="0"/>
            </w:tcBorders>
          </w:tcPr>
          <w:p w14:paraId="2BB10F86">
            <w:pPr>
              <w:tabs>
                <w:tab w:val="left" w:pos="1418"/>
              </w:tabs>
              <w:snapToGrid w:val="0"/>
              <w:spacing w:before="50" w:after="50"/>
              <w:jc w:val="center"/>
              <w:rPr>
                <w:rFonts w:ascii="Times New Roman" w:hAnsi="Times New Roman"/>
                <w:spacing w:val="20"/>
                <w:u w:val="none" w:color="auto"/>
              </w:rPr>
            </w:pPr>
          </w:p>
        </w:tc>
        <w:tc>
          <w:tcPr>
            <w:tcW w:w="1080" w:type="dxa"/>
            <w:tcBorders>
              <w:top w:val="single" w:color="auto" w:sz="4" w:space="0"/>
              <w:left w:val="single" w:color="auto" w:sz="4" w:space="0"/>
              <w:bottom w:val="single" w:color="auto" w:sz="4" w:space="0"/>
              <w:right w:val="single" w:color="auto" w:sz="4" w:space="0"/>
            </w:tcBorders>
          </w:tcPr>
          <w:p w14:paraId="5BFC18DF">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right w:val="single" w:color="auto" w:sz="4" w:space="0"/>
            </w:tcBorders>
          </w:tcPr>
          <w:p w14:paraId="2C2A8079">
            <w:pPr>
              <w:tabs>
                <w:tab w:val="left" w:pos="1418"/>
              </w:tabs>
              <w:snapToGrid w:val="0"/>
              <w:spacing w:before="50" w:after="50"/>
              <w:jc w:val="center"/>
              <w:rPr>
                <w:rFonts w:ascii="Times New Roman" w:hAnsi="Times New Roman"/>
                <w:spacing w:val="20"/>
                <w:u w:val="none" w:color="auto"/>
              </w:rPr>
            </w:pPr>
          </w:p>
        </w:tc>
        <w:tc>
          <w:tcPr>
            <w:tcW w:w="1440" w:type="dxa"/>
            <w:gridSpan w:val="2"/>
            <w:tcBorders>
              <w:top w:val="single" w:color="auto" w:sz="4" w:space="0"/>
              <w:left w:val="single" w:color="auto" w:sz="4" w:space="0"/>
              <w:bottom w:val="single" w:color="auto" w:sz="4" w:space="0"/>
              <w:right w:val="single" w:color="auto" w:sz="4" w:space="0"/>
            </w:tcBorders>
          </w:tcPr>
          <w:p w14:paraId="3F45F1E8">
            <w:pPr>
              <w:tabs>
                <w:tab w:val="left" w:pos="1418"/>
              </w:tabs>
              <w:snapToGrid w:val="0"/>
              <w:spacing w:before="50" w:after="50"/>
              <w:jc w:val="center"/>
              <w:rPr>
                <w:rFonts w:ascii="Times New Roman" w:hAnsi="Times New Roman"/>
                <w:spacing w:val="20"/>
                <w:u w:val="none" w:color="auto"/>
              </w:rPr>
            </w:pPr>
          </w:p>
        </w:tc>
        <w:tc>
          <w:tcPr>
            <w:tcW w:w="1262" w:type="dxa"/>
            <w:tcBorders>
              <w:top w:val="single" w:color="auto" w:sz="4" w:space="0"/>
              <w:left w:val="single" w:color="auto" w:sz="4" w:space="0"/>
              <w:bottom w:val="single" w:color="auto" w:sz="4" w:space="0"/>
              <w:right w:val="single" w:color="auto" w:sz="4" w:space="0"/>
            </w:tcBorders>
          </w:tcPr>
          <w:p w14:paraId="3B9EECE6">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32E4EEEC">
            <w:pPr>
              <w:tabs>
                <w:tab w:val="left" w:pos="1418"/>
              </w:tabs>
              <w:snapToGrid w:val="0"/>
              <w:spacing w:before="50" w:after="50"/>
              <w:jc w:val="center"/>
              <w:rPr>
                <w:rFonts w:ascii="Times New Roman" w:hAnsi="Times New Roman"/>
                <w:spacing w:val="20"/>
                <w:u w:val="none" w:color="auto"/>
              </w:rPr>
            </w:pPr>
          </w:p>
        </w:tc>
      </w:tr>
      <w:tr w14:paraId="3E9A2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1104EBEC">
            <w:pPr>
              <w:tabs>
                <w:tab w:val="left" w:pos="1418"/>
              </w:tabs>
              <w:snapToGrid w:val="0"/>
              <w:spacing w:before="50" w:after="50"/>
              <w:jc w:val="center"/>
              <w:rPr>
                <w:rFonts w:ascii="Times New Roman" w:hAnsi="Times New Roman"/>
                <w:spacing w:val="20"/>
                <w:u w:val="none" w:color="auto"/>
              </w:rPr>
            </w:pPr>
          </w:p>
        </w:tc>
        <w:tc>
          <w:tcPr>
            <w:tcW w:w="2339" w:type="dxa"/>
            <w:tcBorders>
              <w:top w:val="single" w:color="auto" w:sz="4" w:space="0"/>
              <w:left w:val="single" w:color="auto" w:sz="4" w:space="0"/>
              <w:bottom w:val="single" w:color="auto" w:sz="4" w:space="0"/>
              <w:right w:val="single" w:color="auto" w:sz="4" w:space="0"/>
            </w:tcBorders>
          </w:tcPr>
          <w:p w14:paraId="1B37A3EA">
            <w:pPr>
              <w:tabs>
                <w:tab w:val="left" w:pos="1418"/>
              </w:tabs>
              <w:snapToGrid w:val="0"/>
              <w:spacing w:before="50" w:after="50"/>
              <w:jc w:val="center"/>
              <w:rPr>
                <w:rFonts w:ascii="Times New Roman" w:hAnsi="Times New Roman"/>
                <w:spacing w:val="20"/>
                <w:u w:val="none" w:color="auto"/>
              </w:rPr>
            </w:pPr>
          </w:p>
        </w:tc>
        <w:tc>
          <w:tcPr>
            <w:tcW w:w="1080" w:type="dxa"/>
            <w:tcBorders>
              <w:top w:val="single" w:color="auto" w:sz="4" w:space="0"/>
              <w:left w:val="single" w:color="auto" w:sz="4" w:space="0"/>
              <w:bottom w:val="single" w:color="auto" w:sz="4" w:space="0"/>
              <w:right w:val="single" w:color="auto" w:sz="4" w:space="0"/>
            </w:tcBorders>
          </w:tcPr>
          <w:p w14:paraId="32F06455">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right w:val="single" w:color="auto" w:sz="4" w:space="0"/>
            </w:tcBorders>
          </w:tcPr>
          <w:p w14:paraId="47BE6DA4">
            <w:pPr>
              <w:tabs>
                <w:tab w:val="left" w:pos="1418"/>
              </w:tabs>
              <w:snapToGrid w:val="0"/>
              <w:spacing w:before="50" w:after="50"/>
              <w:jc w:val="center"/>
              <w:rPr>
                <w:rFonts w:ascii="Times New Roman" w:hAnsi="Times New Roman"/>
                <w:spacing w:val="20"/>
                <w:u w:val="none" w:color="auto"/>
              </w:rPr>
            </w:pPr>
          </w:p>
        </w:tc>
        <w:tc>
          <w:tcPr>
            <w:tcW w:w="1440" w:type="dxa"/>
            <w:gridSpan w:val="2"/>
            <w:tcBorders>
              <w:top w:val="single" w:color="auto" w:sz="4" w:space="0"/>
              <w:left w:val="single" w:color="auto" w:sz="4" w:space="0"/>
              <w:bottom w:val="single" w:color="auto" w:sz="4" w:space="0"/>
              <w:right w:val="single" w:color="auto" w:sz="4" w:space="0"/>
            </w:tcBorders>
          </w:tcPr>
          <w:p w14:paraId="6FC9058E">
            <w:pPr>
              <w:tabs>
                <w:tab w:val="left" w:pos="1418"/>
              </w:tabs>
              <w:snapToGrid w:val="0"/>
              <w:spacing w:before="50" w:after="50"/>
              <w:jc w:val="center"/>
              <w:rPr>
                <w:rFonts w:ascii="Times New Roman" w:hAnsi="Times New Roman"/>
                <w:spacing w:val="20"/>
                <w:u w:val="none" w:color="auto"/>
              </w:rPr>
            </w:pPr>
          </w:p>
        </w:tc>
        <w:tc>
          <w:tcPr>
            <w:tcW w:w="1262" w:type="dxa"/>
            <w:tcBorders>
              <w:top w:val="single" w:color="auto" w:sz="4" w:space="0"/>
              <w:left w:val="single" w:color="auto" w:sz="4" w:space="0"/>
              <w:bottom w:val="single" w:color="auto" w:sz="4" w:space="0"/>
              <w:right w:val="single" w:color="auto" w:sz="4" w:space="0"/>
            </w:tcBorders>
          </w:tcPr>
          <w:p w14:paraId="216C9BDF">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162DEA51">
            <w:pPr>
              <w:tabs>
                <w:tab w:val="left" w:pos="1418"/>
              </w:tabs>
              <w:snapToGrid w:val="0"/>
              <w:spacing w:before="50" w:after="50"/>
              <w:jc w:val="center"/>
              <w:rPr>
                <w:rFonts w:ascii="Times New Roman" w:hAnsi="Times New Roman"/>
                <w:spacing w:val="20"/>
                <w:u w:val="none" w:color="auto"/>
              </w:rPr>
            </w:pPr>
          </w:p>
        </w:tc>
      </w:tr>
      <w:tr w14:paraId="2D136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780451FD">
            <w:pPr>
              <w:tabs>
                <w:tab w:val="left" w:pos="1418"/>
              </w:tabs>
              <w:snapToGrid w:val="0"/>
              <w:spacing w:before="50" w:after="50"/>
              <w:jc w:val="center"/>
              <w:rPr>
                <w:rFonts w:ascii="Times New Roman" w:hAnsi="Times New Roman"/>
                <w:spacing w:val="20"/>
                <w:u w:val="none" w:color="auto"/>
              </w:rPr>
            </w:pPr>
          </w:p>
        </w:tc>
        <w:tc>
          <w:tcPr>
            <w:tcW w:w="2339" w:type="dxa"/>
            <w:tcBorders>
              <w:top w:val="single" w:color="auto" w:sz="4" w:space="0"/>
              <w:left w:val="single" w:color="auto" w:sz="4" w:space="0"/>
              <w:bottom w:val="single" w:color="auto" w:sz="4" w:space="0"/>
              <w:right w:val="single" w:color="auto" w:sz="4" w:space="0"/>
            </w:tcBorders>
          </w:tcPr>
          <w:p w14:paraId="35D6424E">
            <w:pPr>
              <w:tabs>
                <w:tab w:val="left" w:pos="1418"/>
              </w:tabs>
              <w:snapToGrid w:val="0"/>
              <w:spacing w:before="50" w:after="50"/>
              <w:jc w:val="center"/>
              <w:rPr>
                <w:rFonts w:ascii="Times New Roman" w:hAnsi="Times New Roman"/>
                <w:spacing w:val="20"/>
                <w:u w:val="none" w:color="auto"/>
              </w:rPr>
            </w:pPr>
          </w:p>
        </w:tc>
        <w:tc>
          <w:tcPr>
            <w:tcW w:w="1080" w:type="dxa"/>
            <w:tcBorders>
              <w:top w:val="single" w:color="auto" w:sz="4" w:space="0"/>
              <w:left w:val="single" w:color="auto" w:sz="4" w:space="0"/>
              <w:bottom w:val="single" w:color="auto" w:sz="4" w:space="0"/>
              <w:right w:val="single" w:color="auto" w:sz="4" w:space="0"/>
            </w:tcBorders>
          </w:tcPr>
          <w:p w14:paraId="275FB984">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right w:val="single" w:color="auto" w:sz="4" w:space="0"/>
            </w:tcBorders>
          </w:tcPr>
          <w:p w14:paraId="4E94AC98">
            <w:pPr>
              <w:tabs>
                <w:tab w:val="left" w:pos="1418"/>
              </w:tabs>
              <w:snapToGrid w:val="0"/>
              <w:spacing w:before="50" w:after="50"/>
              <w:jc w:val="center"/>
              <w:rPr>
                <w:rFonts w:ascii="Times New Roman" w:hAnsi="Times New Roman"/>
                <w:spacing w:val="20"/>
                <w:u w:val="none" w:color="auto"/>
              </w:rPr>
            </w:pPr>
          </w:p>
        </w:tc>
        <w:tc>
          <w:tcPr>
            <w:tcW w:w="1440" w:type="dxa"/>
            <w:gridSpan w:val="2"/>
            <w:tcBorders>
              <w:top w:val="single" w:color="auto" w:sz="4" w:space="0"/>
              <w:left w:val="single" w:color="auto" w:sz="4" w:space="0"/>
              <w:bottom w:val="single" w:color="auto" w:sz="4" w:space="0"/>
              <w:right w:val="single" w:color="auto" w:sz="4" w:space="0"/>
            </w:tcBorders>
          </w:tcPr>
          <w:p w14:paraId="3F58D258">
            <w:pPr>
              <w:tabs>
                <w:tab w:val="left" w:pos="1418"/>
              </w:tabs>
              <w:snapToGrid w:val="0"/>
              <w:spacing w:before="50" w:after="50"/>
              <w:jc w:val="center"/>
              <w:rPr>
                <w:rFonts w:ascii="Times New Roman" w:hAnsi="Times New Roman"/>
                <w:spacing w:val="20"/>
                <w:u w:val="none" w:color="auto"/>
              </w:rPr>
            </w:pPr>
          </w:p>
        </w:tc>
        <w:tc>
          <w:tcPr>
            <w:tcW w:w="1262" w:type="dxa"/>
            <w:tcBorders>
              <w:top w:val="single" w:color="auto" w:sz="4" w:space="0"/>
              <w:left w:val="single" w:color="auto" w:sz="4" w:space="0"/>
              <w:bottom w:val="single" w:color="auto" w:sz="4" w:space="0"/>
              <w:right w:val="single" w:color="auto" w:sz="4" w:space="0"/>
            </w:tcBorders>
          </w:tcPr>
          <w:p w14:paraId="0CFF79A5">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56B99C44">
            <w:pPr>
              <w:tabs>
                <w:tab w:val="left" w:pos="1418"/>
              </w:tabs>
              <w:snapToGrid w:val="0"/>
              <w:spacing w:before="50" w:after="50"/>
              <w:jc w:val="center"/>
              <w:rPr>
                <w:rFonts w:ascii="Times New Roman" w:hAnsi="Times New Roman"/>
                <w:spacing w:val="20"/>
                <w:u w:val="none" w:color="auto"/>
              </w:rPr>
            </w:pPr>
          </w:p>
        </w:tc>
      </w:tr>
      <w:tr w14:paraId="22F69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39" w:type="dxa"/>
            <w:tcBorders>
              <w:top w:val="single" w:color="auto" w:sz="4" w:space="0"/>
              <w:bottom w:val="single" w:color="auto" w:sz="4" w:space="0"/>
              <w:right w:val="single" w:color="auto" w:sz="4" w:space="0"/>
            </w:tcBorders>
          </w:tcPr>
          <w:p w14:paraId="0D2DA176">
            <w:pPr>
              <w:tabs>
                <w:tab w:val="left" w:pos="1418"/>
              </w:tabs>
              <w:snapToGrid w:val="0"/>
              <w:spacing w:before="50" w:after="50"/>
              <w:jc w:val="center"/>
              <w:rPr>
                <w:rFonts w:ascii="Times New Roman" w:hAnsi="Times New Roman"/>
                <w:spacing w:val="20"/>
                <w:u w:val="none" w:color="auto"/>
              </w:rPr>
            </w:pPr>
          </w:p>
        </w:tc>
        <w:tc>
          <w:tcPr>
            <w:tcW w:w="2339" w:type="dxa"/>
            <w:tcBorders>
              <w:top w:val="single" w:color="auto" w:sz="4" w:space="0"/>
              <w:left w:val="single" w:color="auto" w:sz="4" w:space="0"/>
              <w:bottom w:val="single" w:color="auto" w:sz="4" w:space="0"/>
              <w:right w:val="single" w:color="auto" w:sz="4" w:space="0"/>
            </w:tcBorders>
          </w:tcPr>
          <w:p w14:paraId="2E68F6E4">
            <w:pPr>
              <w:tabs>
                <w:tab w:val="left" w:pos="1418"/>
              </w:tabs>
              <w:snapToGrid w:val="0"/>
              <w:spacing w:before="50" w:after="50"/>
              <w:jc w:val="center"/>
              <w:rPr>
                <w:rFonts w:ascii="Times New Roman" w:hAnsi="Times New Roman"/>
                <w:spacing w:val="20"/>
                <w:u w:val="none" w:color="auto"/>
              </w:rPr>
            </w:pPr>
          </w:p>
        </w:tc>
        <w:tc>
          <w:tcPr>
            <w:tcW w:w="1080" w:type="dxa"/>
            <w:tcBorders>
              <w:top w:val="single" w:color="auto" w:sz="4" w:space="0"/>
              <w:left w:val="single" w:color="auto" w:sz="4" w:space="0"/>
              <w:bottom w:val="single" w:color="auto" w:sz="4" w:space="0"/>
              <w:right w:val="single" w:color="auto" w:sz="4" w:space="0"/>
            </w:tcBorders>
          </w:tcPr>
          <w:p w14:paraId="199429F0">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right w:val="single" w:color="auto" w:sz="4" w:space="0"/>
            </w:tcBorders>
          </w:tcPr>
          <w:p w14:paraId="098E500F">
            <w:pPr>
              <w:tabs>
                <w:tab w:val="left" w:pos="1418"/>
              </w:tabs>
              <w:snapToGrid w:val="0"/>
              <w:spacing w:before="50" w:after="50"/>
              <w:jc w:val="center"/>
              <w:rPr>
                <w:rFonts w:ascii="Times New Roman" w:hAnsi="Times New Roman"/>
                <w:spacing w:val="20"/>
                <w:u w:val="none" w:color="auto"/>
              </w:rPr>
            </w:pPr>
          </w:p>
        </w:tc>
        <w:tc>
          <w:tcPr>
            <w:tcW w:w="1440" w:type="dxa"/>
            <w:gridSpan w:val="2"/>
            <w:tcBorders>
              <w:top w:val="single" w:color="auto" w:sz="4" w:space="0"/>
              <w:left w:val="single" w:color="auto" w:sz="4" w:space="0"/>
              <w:bottom w:val="single" w:color="auto" w:sz="4" w:space="0"/>
              <w:right w:val="single" w:color="auto" w:sz="4" w:space="0"/>
            </w:tcBorders>
          </w:tcPr>
          <w:p w14:paraId="76C94B6B">
            <w:pPr>
              <w:tabs>
                <w:tab w:val="left" w:pos="1418"/>
              </w:tabs>
              <w:snapToGrid w:val="0"/>
              <w:spacing w:before="50" w:after="50"/>
              <w:jc w:val="center"/>
              <w:rPr>
                <w:rFonts w:ascii="Times New Roman" w:hAnsi="Times New Roman"/>
                <w:spacing w:val="20"/>
                <w:u w:val="none" w:color="auto"/>
              </w:rPr>
            </w:pPr>
          </w:p>
        </w:tc>
        <w:tc>
          <w:tcPr>
            <w:tcW w:w="1262" w:type="dxa"/>
            <w:tcBorders>
              <w:top w:val="single" w:color="auto" w:sz="4" w:space="0"/>
              <w:left w:val="single" w:color="auto" w:sz="4" w:space="0"/>
              <w:bottom w:val="single" w:color="auto" w:sz="4" w:space="0"/>
              <w:right w:val="single" w:color="auto" w:sz="4" w:space="0"/>
            </w:tcBorders>
          </w:tcPr>
          <w:p w14:paraId="694E84E2">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0C3DDEA9">
            <w:pPr>
              <w:tabs>
                <w:tab w:val="left" w:pos="1418"/>
              </w:tabs>
              <w:snapToGrid w:val="0"/>
              <w:spacing w:before="50" w:after="50"/>
              <w:jc w:val="center"/>
              <w:rPr>
                <w:rFonts w:ascii="Times New Roman" w:hAnsi="Times New Roman"/>
                <w:spacing w:val="20"/>
                <w:u w:val="none" w:color="auto"/>
              </w:rPr>
            </w:pPr>
          </w:p>
        </w:tc>
      </w:tr>
      <w:tr w14:paraId="75077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39" w:type="dxa"/>
            <w:tcBorders>
              <w:top w:val="single" w:color="auto" w:sz="4" w:space="0"/>
              <w:bottom w:val="single" w:color="auto" w:sz="4" w:space="0"/>
              <w:right w:val="single" w:color="auto" w:sz="4" w:space="0"/>
            </w:tcBorders>
          </w:tcPr>
          <w:p w14:paraId="0EF423F3">
            <w:pPr>
              <w:tabs>
                <w:tab w:val="left" w:pos="1418"/>
              </w:tabs>
              <w:snapToGrid w:val="0"/>
              <w:spacing w:before="50" w:after="50"/>
              <w:jc w:val="center"/>
              <w:rPr>
                <w:rFonts w:ascii="Times New Roman" w:hAnsi="Times New Roman"/>
                <w:spacing w:val="20"/>
                <w:u w:val="none" w:color="auto"/>
              </w:rPr>
            </w:pPr>
          </w:p>
        </w:tc>
        <w:tc>
          <w:tcPr>
            <w:tcW w:w="2339" w:type="dxa"/>
            <w:tcBorders>
              <w:top w:val="single" w:color="auto" w:sz="4" w:space="0"/>
              <w:left w:val="single" w:color="auto" w:sz="4" w:space="0"/>
              <w:bottom w:val="single" w:color="auto" w:sz="4" w:space="0"/>
              <w:right w:val="single" w:color="auto" w:sz="4" w:space="0"/>
            </w:tcBorders>
          </w:tcPr>
          <w:p w14:paraId="6965226B">
            <w:pPr>
              <w:tabs>
                <w:tab w:val="left" w:pos="1418"/>
              </w:tabs>
              <w:snapToGrid w:val="0"/>
              <w:spacing w:before="50" w:after="50"/>
              <w:jc w:val="center"/>
              <w:rPr>
                <w:rFonts w:ascii="Times New Roman" w:hAnsi="Times New Roman"/>
                <w:spacing w:val="20"/>
                <w:u w:val="none" w:color="auto"/>
              </w:rPr>
            </w:pPr>
            <w:r>
              <w:rPr>
                <w:rFonts w:ascii="Times New Roman" w:hAnsi="Times New Roman"/>
                <w:spacing w:val="20"/>
                <w:u w:val="none" w:color="auto"/>
              </w:rPr>
              <w:t>……</w:t>
            </w:r>
          </w:p>
        </w:tc>
        <w:tc>
          <w:tcPr>
            <w:tcW w:w="1080" w:type="dxa"/>
            <w:tcBorders>
              <w:top w:val="single" w:color="auto" w:sz="4" w:space="0"/>
              <w:left w:val="single" w:color="auto" w:sz="4" w:space="0"/>
              <w:bottom w:val="single" w:color="auto" w:sz="4" w:space="0"/>
              <w:right w:val="single" w:color="auto" w:sz="4" w:space="0"/>
            </w:tcBorders>
          </w:tcPr>
          <w:p w14:paraId="6601108C">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right w:val="single" w:color="auto" w:sz="4" w:space="0"/>
            </w:tcBorders>
          </w:tcPr>
          <w:p w14:paraId="58ED66A2">
            <w:pPr>
              <w:tabs>
                <w:tab w:val="left" w:pos="1418"/>
              </w:tabs>
              <w:snapToGrid w:val="0"/>
              <w:spacing w:before="50" w:after="50"/>
              <w:jc w:val="center"/>
              <w:rPr>
                <w:rFonts w:ascii="Times New Roman" w:hAnsi="Times New Roman"/>
                <w:spacing w:val="20"/>
                <w:u w:val="none" w:color="auto"/>
              </w:rPr>
            </w:pPr>
          </w:p>
        </w:tc>
        <w:tc>
          <w:tcPr>
            <w:tcW w:w="1440" w:type="dxa"/>
            <w:gridSpan w:val="2"/>
            <w:tcBorders>
              <w:top w:val="single" w:color="auto" w:sz="4" w:space="0"/>
              <w:left w:val="single" w:color="auto" w:sz="4" w:space="0"/>
              <w:bottom w:val="single" w:color="auto" w:sz="4" w:space="0"/>
              <w:right w:val="single" w:color="auto" w:sz="4" w:space="0"/>
            </w:tcBorders>
          </w:tcPr>
          <w:p w14:paraId="4E7DA6B0">
            <w:pPr>
              <w:tabs>
                <w:tab w:val="left" w:pos="1418"/>
              </w:tabs>
              <w:snapToGrid w:val="0"/>
              <w:spacing w:before="50" w:after="50"/>
              <w:jc w:val="center"/>
              <w:rPr>
                <w:rFonts w:ascii="Times New Roman" w:hAnsi="Times New Roman"/>
                <w:spacing w:val="20"/>
                <w:u w:val="none" w:color="auto"/>
              </w:rPr>
            </w:pPr>
          </w:p>
        </w:tc>
        <w:tc>
          <w:tcPr>
            <w:tcW w:w="1262" w:type="dxa"/>
            <w:tcBorders>
              <w:top w:val="single" w:color="auto" w:sz="4" w:space="0"/>
              <w:left w:val="single" w:color="auto" w:sz="4" w:space="0"/>
              <w:bottom w:val="single" w:color="auto" w:sz="4" w:space="0"/>
              <w:right w:val="single" w:color="auto" w:sz="4" w:space="0"/>
            </w:tcBorders>
          </w:tcPr>
          <w:p w14:paraId="573B32D9">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2CBCEAF5">
            <w:pPr>
              <w:tabs>
                <w:tab w:val="left" w:pos="1418"/>
              </w:tabs>
              <w:snapToGrid w:val="0"/>
              <w:spacing w:before="50" w:after="50"/>
              <w:jc w:val="center"/>
              <w:rPr>
                <w:rFonts w:ascii="Times New Roman" w:hAnsi="Times New Roman"/>
                <w:spacing w:val="20"/>
                <w:u w:val="none" w:color="auto"/>
              </w:rPr>
            </w:pPr>
          </w:p>
        </w:tc>
      </w:tr>
      <w:tr w14:paraId="08CCB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39" w:type="dxa"/>
            <w:tcBorders>
              <w:top w:val="single" w:color="auto" w:sz="4" w:space="0"/>
              <w:bottom w:val="single" w:color="auto" w:sz="4" w:space="0"/>
              <w:right w:val="single" w:color="auto" w:sz="4" w:space="0"/>
            </w:tcBorders>
          </w:tcPr>
          <w:p w14:paraId="22CF22CB">
            <w:pPr>
              <w:tabs>
                <w:tab w:val="left" w:pos="1418"/>
              </w:tabs>
              <w:snapToGrid w:val="0"/>
              <w:spacing w:before="50" w:after="50"/>
              <w:jc w:val="center"/>
              <w:rPr>
                <w:rFonts w:ascii="Times New Roman" w:hAnsi="Times New Roman"/>
                <w:spacing w:val="20"/>
                <w:u w:val="none" w:color="auto"/>
              </w:rPr>
            </w:pPr>
          </w:p>
        </w:tc>
        <w:tc>
          <w:tcPr>
            <w:tcW w:w="2339" w:type="dxa"/>
            <w:tcBorders>
              <w:top w:val="single" w:color="auto" w:sz="4" w:space="0"/>
              <w:left w:val="single" w:color="auto" w:sz="4" w:space="0"/>
              <w:bottom w:val="single" w:color="auto" w:sz="4" w:space="0"/>
              <w:right w:val="single" w:color="auto" w:sz="4" w:space="0"/>
            </w:tcBorders>
          </w:tcPr>
          <w:p w14:paraId="082C6590">
            <w:pPr>
              <w:tabs>
                <w:tab w:val="left" w:pos="1418"/>
              </w:tabs>
              <w:snapToGrid w:val="0"/>
              <w:spacing w:before="50" w:after="50"/>
              <w:jc w:val="center"/>
              <w:rPr>
                <w:rFonts w:ascii="Times New Roman" w:hAnsi="Times New Roman"/>
                <w:spacing w:val="20"/>
                <w:u w:val="none" w:color="auto"/>
              </w:rPr>
            </w:pPr>
          </w:p>
        </w:tc>
        <w:tc>
          <w:tcPr>
            <w:tcW w:w="1080" w:type="dxa"/>
            <w:tcBorders>
              <w:top w:val="single" w:color="auto" w:sz="4" w:space="0"/>
              <w:left w:val="single" w:color="auto" w:sz="4" w:space="0"/>
              <w:bottom w:val="single" w:color="auto" w:sz="4" w:space="0"/>
              <w:right w:val="single" w:color="auto" w:sz="4" w:space="0"/>
            </w:tcBorders>
          </w:tcPr>
          <w:p w14:paraId="03852953">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right w:val="single" w:color="auto" w:sz="4" w:space="0"/>
            </w:tcBorders>
          </w:tcPr>
          <w:p w14:paraId="37D674CE">
            <w:pPr>
              <w:tabs>
                <w:tab w:val="left" w:pos="1418"/>
              </w:tabs>
              <w:snapToGrid w:val="0"/>
              <w:spacing w:before="50" w:after="50"/>
              <w:jc w:val="center"/>
              <w:rPr>
                <w:rFonts w:ascii="Times New Roman" w:hAnsi="Times New Roman"/>
                <w:spacing w:val="20"/>
                <w:u w:val="none" w:color="auto"/>
              </w:rPr>
            </w:pPr>
          </w:p>
        </w:tc>
        <w:tc>
          <w:tcPr>
            <w:tcW w:w="1440" w:type="dxa"/>
            <w:gridSpan w:val="2"/>
            <w:tcBorders>
              <w:top w:val="single" w:color="auto" w:sz="4" w:space="0"/>
              <w:left w:val="single" w:color="auto" w:sz="4" w:space="0"/>
              <w:bottom w:val="single" w:color="auto" w:sz="4" w:space="0"/>
              <w:right w:val="single" w:color="auto" w:sz="4" w:space="0"/>
            </w:tcBorders>
          </w:tcPr>
          <w:p w14:paraId="101AC947">
            <w:pPr>
              <w:tabs>
                <w:tab w:val="left" w:pos="1418"/>
              </w:tabs>
              <w:snapToGrid w:val="0"/>
              <w:spacing w:before="50" w:after="50"/>
              <w:jc w:val="center"/>
              <w:rPr>
                <w:rFonts w:ascii="Times New Roman" w:hAnsi="Times New Roman"/>
                <w:spacing w:val="20"/>
                <w:u w:val="none" w:color="auto"/>
              </w:rPr>
            </w:pPr>
          </w:p>
        </w:tc>
        <w:tc>
          <w:tcPr>
            <w:tcW w:w="1262" w:type="dxa"/>
            <w:tcBorders>
              <w:top w:val="single" w:color="auto" w:sz="4" w:space="0"/>
              <w:left w:val="single" w:color="auto" w:sz="4" w:space="0"/>
              <w:bottom w:val="single" w:color="auto" w:sz="4" w:space="0"/>
              <w:right w:val="single" w:color="auto" w:sz="4" w:space="0"/>
            </w:tcBorders>
          </w:tcPr>
          <w:p w14:paraId="79DF5964">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1C78BBA4">
            <w:pPr>
              <w:tabs>
                <w:tab w:val="left" w:pos="1418"/>
              </w:tabs>
              <w:snapToGrid w:val="0"/>
              <w:spacing w:before="50" w:after="50"/>
              <w:jc w:val="center"/>
              <w:rPr>
                <w:rFonts w:ascii="Times New Roman" w:hAnsi="Times New Roman"/>
                <w:spacing w:val="20"/>
                <w:u w:val="none" w:color="auto"/>
              </w:rPr>
            </w:pPr>
          </w:p>
        </w:tc>
      </w:tr>
      <w:tr w14:paraId="3E071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bottom w:val="single" w:color="auto" w:sz="4" w:space="0"/>
            </w:tcBorders>
          </w:tcPr>
          <w:p w14:paraId="35A05EDF">
            <w:pPr>
              <w:tabs>
                <w:tab w:val="left" w:pos="1418"/>
              </w:tabs>
              <w:snapToGrid w:val="0"/>
              <w:spacing w:before="50" w:after="50"/>
              <w:jc w:val="center"/>
              <w:rPr>
                <w:rFonts w:ascii="Times New Roman" w:hAnsi="Times New Roman"/>
                <w:spacing w:val="20"/>
                <w:u w:val="none" w:color="auto"/>
              </w:rPr>
            </w:pPr>
          </w:p>
        </w:tc>
      </w:tr>
      <w:tr w14:paraId="63D44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40067F40">
            <w:pPr>
              <w:tabs>
                <w:tab w:val="left" w:pos="1418"/>
              </w:tabs>
              <w:snapToGrid w:val="0"/>
              <w:spacing w:before="50" w:after="50"/>
              <w:jc w:val="center"/>
              <w:rPr>
                <w:rFonts w:ascii="Times New Roman" w:hAnsi="Times New Roman"/>
                <w:spacing w:val="20"/>
                <w:u w:val="none" w:color="auto"/>
              </w:rPr>
            </w:pPr>
          </w:p>
        </w:tc>
        <w:tc>
          <w:tcPr>
            <w:tcW w:w="4859" w:type="dxa"/>
            <w:gridSpan w:val="3"/>
            <w:tcBorders>
              <w:top w:val="single" w:color="auto" w:sz="4" w:space="0"/>
              <w:left w:val="single" w:color="auto" w:sz="4" w:space="0"/>
              <w:bottom w:val="single" w:color="auto" w:sz="4" w:space="0"/>
              <w:right w:val="single" w:color="auto" w:sz="4" w:space="0"/>
            </w:tcBorders>
          </w:tcPr>
          <w:p w14:paraId="6BC6A308">
            <w:pPr>
              <w:tabs>
                <w:tab w:val="left" w:pos="1418"/>
              </w:tabs>
              <w:snapToGrid w:val="0"/>
              <w:spacing w:before="50" w:after="50"/>
              <w:rPr>
                <w:rFonts w:ascii="Times New Roman" w:hAnsi="Times New Roman"/>
                <w:spacing w:val="20"/>
                <w:u w:val="none" w:color="auto"/>
              </w:rPr>
            </w:pPr>
          </w:p>
        </w:tc>
        <w:tc>
          <w:tcPr>
            <w:tcW w:w="1440" w:type="dxa"/>
            <w:gridSpan w:val="2"/>
            <w:tcBorders>
              <w:top w:val="single" w:color="auto" w:sz="4" w:space="0"/>
              <w:left w:val="single" w:color="auto" w:sz="4" w:space="0"/>
              <w:bottom w:val="single" w:color="auto" w:sz="4" w:space="0"/>
              <w:right w:val="single" w:color="auto" w:sz="4" w:space="0"/>
            </w:tcBorders>
          </w:tcPr>
          <w:p w14:paraId="0518D194">
            <w:pPr>
              <w:tabs>
                <w:tab w:val="left" w:pos="1418"/>
              </w:tabs>
              <w:snapToGrid w:val="0"/>
              <w:spacing w:before="50" w:after="50"/>
              <w:jc w:val="center"/>
              <w:rPr>
                <w:rFonts w:ascii="Times New Roman" w:hAnsi="Times New Roman"/>
                <w:spacing w:val="20"/>
                <w:u w:val="none" w:color="auto"/>
              </w:rPr>
            </w:pPr>
          </w:p>
        </w:tc>
        <w:tc>
          <w:tcPr>
            <w:tcW w:w="1262" w:type="dxa"/>
            <w:tcBorders>
              <w:top w:val="single" w:color="auto" w:sz="4" w:space="0"/>
              <w:left w:val="single" w:color="auto" w:sz="4" w:space="0"/>
              <w:bottom w:val="single" w:color="auto" w:sz="4" w:space="0"/>
              <w:right w:val="single" w:color="auto" w:sz="4" w:space="0"/>
            </w:tcBorders>
          </w:tcPr>
          <w:p w14:paraId="0B1D10BA">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54A4B610">
            <w:pPr>
              <w:tabs>
                <w:tab w:val="left" w:pos="1418"/>
              </w:tabs>
              <w:snapToGrid w:val="0"/>
              <w:spacing w:before="50" w:after="50"/>
              <w:jc w:val="center"/>
              <w:rPr>
                <w:rFonts w:ascii="Times New Roman" w:hAnsi="Times New Roman"/>
                <w:spacing w:val="20"/>
                <w:u w:val="none" w:color="auto"/>
              </w:rPr>
            </w:pPr>
          </w:p>
        </w:tc>
      </w:tr>
      <w:tr w14:paraId="7B8F9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2C043094">
            <w:pPr>
              <w:tabs>
                <w:tab w:val="left" w:pos="1418"/>
              </w:tabs>
              <w:snapToGrid w:val="0"/>
              <w:spacing w:before="50" w:after="50"/>
              <w:jc w:val="center"/>
              <w:rPr>
                <w:rFonts w:ascii="Times New Roman" w:hAnsi="Times New Roman"/>
                <w:spacing w:val="20"/>
                <w:u w:val="none" w:color="auto"/>
              </w:rPr>
            </w:pPr>
          </w:p>
        </w:tc>
        <w:tc>
          <w:tcPr>
            <w:tcW w:w="4859" w:type="dxa"/>
            <w:gridSpan w:val="3"/>
            <w:tcBorders>
              <w:top w:val="single" w:color="auto" w:sz="4" w:space="0"/>
              <w:left w:val="single" w:color="auto" w:sz="4" w:space="0"/>
              <w:bottom w:val="single" w:color="auto" w:sz="4" w:space="0"/>
              <w:right w:val="single" w:color="auto" w:sz="4" w:space="0"/>
            </w:tcBorders>
          </w:tcPr>
          <w:p w14:paraId="7E1A3E2B">
            <w:pPr>
              <w:tabs>
                <w:tab w:val="left" w:pos="1418"/>
              </w:tabs>
              <w:snapToGrid w:val="0"/>
              <w:spacing w:before="50" w:after="50"/>
              <w:rPr>
                <w:rFonts w:ascii="Times New Roman" w:hAnsi="Times New Roman"/>
                <w:spacing w:val="20"/>
                <w:u w:val="none" w:color="auto"/>
              </w:rPr>
            </w:pPr>
          </w:p>
        </w:tc>
        <w:tc>
          <w:tcPr>
            <w:tcW w:w="1440" w:type="dxa"/>
            <w:gridSpan w:val="2"/>
            <w:tcBorders>
              <w:top w:val="single" w:color="auto" w:sz="4" w:space="0"/>
              <w:left w:val="single" w:color="auto" w:sz="4" w:space="0"/>
              <w:bottom w:val="single" w:color="auto" w:sz="4" w:space="0"/>
              <w:right w:val="single" w:color="auto" w:sz="4" w:space="0"/>
            </w:tcBorders>
          </w:tcPr>
          <w:p w14:paraId="24AA3E09">
            <w:pPr>
              <w:tabs>
                <w:tab w:val="left" w:pos="1418"/>
              </w:tabs>
              <w:snapToGrid w:val="0"/>
              <w:spacing w:before="50" w:after="50"/>
              <w:jc w:val="center"/>
              <w:rPr>
                <w:rFonts w:ascii="Times New Roman" w:hAnsi="Times New Roman"/>
                <w:spacing w:val="20"/>
                <w:u w:val="none" w:color="auto"/>
              </w:rPr>
            </w:pPr>
          </w:p>
        </w:tc>
        <w:tc>
          <w:tcPr>
            <w:tcW w:w="1262" w:type="dxa"/>
            <w:tcBorders>
              <w:top w:val="single" w:color="auto" w:sz="4" w:space="0"/>
              <w:left w:val="single" w:color="auto" w:sz="4" w:space="0"/>
              <w:bottom w:val="single" w:color="auto" w:sz="4" w:space="0"/>
              <w:right w:val="single" w:color="auto" w:sz="4" w:space="0"/>
            </w:tcBorders>
          </w:tcPr>
          <w:p w14:paraId="5068CEBF">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2EF88D8D">
            <w:pPr>
              <w:tabs>
                <w:tab w:val="left" w:pos="1418"/>
              </w:tabs>
              <w:snapToGrid w:val="0"/>
              <w:spacing w:before="50" w:after="50"/>
              <w:jc w:val="center"/>
              <w:rPr>
                <w:rFonts w:ascii="Times New Roman" w:hAnsi="Times New Roman"/>
                <w:spacing w:val="20"/>
                <w:u w:val="none" w:color="auto"/>
              </w:rPr>
            </w:pPr>
          </w:p>
        </w:tc>
      </w:tr>
      <w:tr w14:paraId="46CF5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39" w:type="dxa"/>
            <w:tcBorders>
              <w:top w:val="single" w:color="auto" w:sz="4" w:space="0"/>
              <w:bottom w:val="single" w:color="auto" w:sz="4" w:space="0"/>
              <w:right w:val="single" w:color="auto" w:sz="4" w:space="0"/>
            </w:tcBorders>
          </w:tcPr>
          <w:p w14:paraId="4CA16F5B">
            <w:pPr>
              <w:tabs>
                <w:tab w:val="left" w:pos="1418"/>
              </w:tabs>
              <w:snapToGrid w:val="0"/>
              <w:spacing w:before="50" w:after="50"/>
              <w:jc w:val="center"/>
              <w:rPr>
                <w:rFonts w:ascii="Times New Roman" w:hAnsi="Times New Roman"/>
                <w:spacing w:val="20"/>
                <w:u w:val="none" w:color="auto"/>
              </w:rPr>
            </w:pPr>
          </w:p>
        </w:tc>
        <w:tc>
          <w:tcPr>
            <w:tcW w:w="4859" w:type="dxa"/>
            <w:gridSpan w:val="3"/>
            <w:tcBorders>
              <w:top w:val="single" w:color="auto" w:sz="4" w:space="0"/>
              <w:left w:val="single" w:color="auto" w:sz="4" w:space="0"/>
              <w:bottom w:val="single" w:color="auto" w:sz="4" w:space="0"/>
              <w:right w:val="single" w:color="auto" w:sz="4" w:space="0"/>
            </w:tcBorders>
          </w:tcPr>
          <w:p w14:paraId="74AB7DD9">
            <w:pPr>
              <w:tabs>
                <w:tab w:val="left" w:pos="1418"/>
              </w:tabs>
              <w:snapToGrid w:val="0"/>
              <w:spacing w:before="50" w:after="50"/>
              <w:rPr>
                <w:rFonts w:ascii="Times New Roman" w:hAnsi="Times New Roman"/>
                <w:spacing w:val="20"/>
                <w:u w:val="none" w:color="auto"/>
              </w:rPr>
            </w:pPr>
          </w:p>
        </w:tc>
        <w:tc>
          <w:tcPr>
            <w:tcW w:w="1440" w:type="dxa"/>
            <w:gridSpan w:val="2"/>
            <w:tcBorders>
              <w:top w:val="single" w:color="auto" w:sz="4" w:space="0"/>
              <w:left w:val="single" w:color="auto" w:sz="4" w:space="0"/>
              <w:bottom w:val="single" w:color="auto" w:sz="4" w:space="0"/>
              <w:right w:val="single" w:color="auto" w:sz="4" w:space="0"/>
            </w:tcBorders>
          </w:tcPr>
          <w:p w14:paraId="45D9BB63">
            <w:pPr>
              <w:tabs>
                <w:tab w:val="left" w:pos="1418"/>
              </w:tabs>
              <w:snapToGrid w:val="0"/>
              <w:spacing w:before="50" w:after="50"/>
              <w:jc w:val="center"/>
              <w:rPr>
                <w:rFonts w:ascii="Times New Roman" w:hAnsi="Times New Roman"/>
                <w:spacing w:val="20"/>
                <w:u w:val="none" w:color="auto"/>
              </w:rPr>
            </w:pPr>
          </w:p>
        </w:tc>
        <w:tc>
          <w:tcPr>
            <w:tcW w:w="1262" w:type="dxa"/>
            <w:tcBorders>
              <w:top w:val="single" w:color="auto" w:sz="4" w:space="0"/>
              <w:left w:val="single" w:color="auto" w:sz="4" w:space="0"/>
              <w:bottom w:val="single" w:color="auto" w:sz="4" w:space="0"/>
              <w:right w:val="single" w:color="auto" w:sz="4" w:space="0"/>
            </w:tcBorders>
          </w:tcPr>
          <w:p w14:paraId="749B5C45">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41E9020C">
            <w:pPr>
              <w:tabs>
                <w:tab w:val="left" w:pos="1418"/>
              </w:tabs>
              <w:snapToGrid w:val="0"/>
              <w:spacing w:before="50" w:after="50"/>
              <w:jc w:val="center"/>
              <w:rPr>
                <w:rFonts w:ascii="Times New Roman" w:hAnsi="Times New Roman"/>
                <w:spacing w:val="20"/>
                <w:u w:val="none" w:color="auto"/>
              </w:rPr>
            </w:pPr>
          </w:p>
        </w:tc>
      </w:tr>
      <w:tr w14:paraId="71E8B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39" w:type="dxa"/>
            <w:tcBorders>
              <w:top w:val="single" w:color="auto" w:sz="4" w:space="0"/>
              <w:bottom w:val="single" w:color="auto" w:sz="4" w:space="0"/>
              <w:right w:val="single" w:color="auto" w:sz="4" w:space="0"/>
            </w:tcBorders>
          </w:tcPr>
          <w:p w14:paraId="48889462">
            <w:pPr>
              <w:tabs>
                <w:tab w:val="left" w:pos="1418"/>
              </w:tabs>
              <w:snapToGrid w:val="0"/>
              <w:spacing w:before="50" w:after="50"/>
              <w:jc w:val="center"/>
              <w:rPr>
                <w:rFonts w:ascii="Times New Roman" w:hAnsi="Times New Roman"/>
                <w:spacing w:val="20"/>
                <w:u w:val="none" w:color="auto"/>
              </w:rPr>
            </w:pPr>
          </w:p>
        </w:tc>
        <w:tc>
          <w:tcPr>
            <w:tcW w:w="4859" w:type="dxa"/>
            <w:gridSpan w:val="3"/>
            <w:tcBorders>
              <w:top w:val="single" w:color="auto" w:sz="4" w:space="0"/>
              <w:left w:val="single" w:color="auto" w:sz="4" w:space="0"/>
              <w:bottom w:val="single" w:color="auto" w:sz="4" w:space="0"/>
              <w:right w:val="single" w:color="auto" w:sz="4" w:space="0"/>
            </w:tcBorders>
          </w:tcPr>
          <w:p w14:paraId="675EF017">
            <w:pPr>
              <w:tabs>
                <w:tab w:val="left" w:pos="1418"/>
              </w:tabs>
              <w:snapToGrid w:val="0"/>
              <w:spacing w:before="50" w:after="50"/>
              <w:rPr>
                <w:rFonts w:ascii="Times New Roman" w:hAnsi="Times New Roman"/>
                <w:spacing w:val="20"/>
                <w:u w:val="none" w:color="auto"/>
              </w:rPr>
            </w:pPr>
          </w:p>
        </w:tc>
        <w:tc>
          <w:tcPr>
            <w:tcW w:w="1440" w:type="dxa"/>
            <w:gridSpan w:val="2"/>
            <w:tcBorders>
              <w:top w:val="single" w:color="auto" w:sz="4" w:space="0"/>
              <w:left w:val="single" w:color="auto" w:sz="4" w:space="0"/>
              <w:bottom w:val="single" w:color="auto" w:sz="4" w:space="0"/>
              <w:right w:val="single" w:color="auto" w:sz="4" w:space="0"/>
            </w:tcBorders>
          </w:tcPr>
          <w:p w14:paraId="40A544CA">
            <w:pPr>
              <w:tabs>
                <w:tab w:val="left" w:pos="1418"/>
              </w:tabs>
              <w:snapToGrid w:val="0"/>
              <w:spacing w:before="50" w:after="50"/>
              <w:jc w:val="center"/>
              <w:rPr>
                <w:rFonts w:ascii="Times New Roman" w:hAnsi="Times New Roman"/>
                <w:spacing w:val="20"/>
                <w:u w:val="none" w:color="auto"/>
              </w:rPr>
            </w:pPr>
          </w:p>
        </w:tc>
        <w:tc>
          <w:tcPr>
            <w:tcW w:w="1262" w:type="dxa"/>
            <w:tcBorders>
              <w:top w:val="single" w:color="auto" w:sz="4" w:space="0"/>
              <w:left w:val="single" w:color="auto" w:sz="4" w:space="0"/>
              <w:bottom w:val="single" w:color="auto" w:sz="4" w:space="0"/>
              <w:right w:val="single" w:color="auto" w:sz="4" w:space="0"/>
            </w:tcBorders>
          </w:tcPr>
          <w:p w14:paraId="7153E999">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0B87253D">
            <w:pPr>
              <w:tabs>
                <w:tab w:val="left" w:pos="1418"/>
              </w:tabs>
              <w:snapToGrid w:val="0"/>
              <w:spacing w:before="50" w:after="50"/>
              <w:jc w:val="center"/>
              <w:rPr>
                <w:rFonts w:ascii="Times New Roman" w:hAnsi="Times New Roman"/>
                <w:spacing w:val="20"/>
                <w:u w:val="none" w:color="auto"/>
              </w:rPr>
            </w:pPr>
          </w:p>
        </w:tc>
      </w:tr>
      <w:tr w14:paraId="59899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6273EBC2">
            <w:pPr>
              <w:tabs>
                <w:tab w:val="left" w:pos="1418"/>
              </w:tabs>
              <w:snapToGrid w:val="0"/>
              <w:spacing w:before="50" w:after="50"/>
              <w:jc w:val="center"/>
              <w:rPr>
                <w:rFonts w:ascii="Times New Roman" w:hAnsi="Times New Roman"/>
                <w:spacing w:val="20"/>
                <w:u w:val="none" w:color="auto"/>
              </w:rPr>
            </w:pPr>
          </w:p>
        </w:tc>
        <w:tc>
          <w:tcPr>
            <w:tcW w:w="4869" w:type="dxa"/>
            <w:gridSpan w:val="4"/>
            <w:tcBorders>
              <w:top w:val="single" w:color="auto" w:sz="4" w:space="0"/>
              <w:left w:val="single" w:color="auto" w:sz="4" w:space="0"/>
              <w:bottom w:val="single" w:color="auto" w:sz="4" w:space="0"/>
              <w:right w:val="single" w:color="auto" w:sz="4" w:space="0"/>
            </w:tcBorders>
          </w:tcPr>
          <w:p w14:paraId="711FDDDB">
            <w:pPr>
              <w:tabs>
                <w:tab w:val="left" w:pos="1418"/>
              </w:tabs>
              <w:snapToGrid w:val="0"/>
              <w:spacing w:before="50" w:after="50"/>
              <w:rPr>
                <w:rFonts w:ascii="Times New Roman" w:hAnsi="Times New Roman"/>
                <w:spacing w:val="20"/>
                <w:u w:val="none" w:color="auto"/>
              </w:rPr>
            </w:pPr>
          </w:p>
        </w:tc>
        <w:tc>
          <w:tcPr>
            <w:tcW w:w="2692" w:type="dxa"/>
            <w:gridSpan w:val="2"/>
            <w:tcBorders>
              <w:top w:val="single" w:color="auto" w:sz="4" w:space="0"/>
              <w:left w:val="single" w:color="auto" w:sz="4" w:space="0"/>
              <w:bottom w:val="single" w:color="auto" w:sz="4" w:space="0"/>
              <w:right w:val="single" w:color="auto" w:sz="4" w:space="0"/>
            </w:tcBorders>
          </w:tcPr>
          <w:p w14:paraId="0449A531">
            <w:pPr>
              <w:tabs>
                <w:tab w:val="left" w:pos="1418"/>
              </w:tabs>
              <w:snapToGrid w:val="0"/>
              <w:spacing w:before="50" w:after="50"/>
              <w:ind w:left="8"/>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4D6766F3">
            <w:pPr>
              <w:tabs>
                <w:tab w:val="left" w:pos="1418"/>
              </w:tabs>
              <w:snapToGrid w:val="0"/>
              <w:spacing w:before="50" w:after="50"/>
              <w:jc w:val="center"/>
              <w:rPr>
                <w:rFonts w:ascii="Times New Roman" w:hAnsi="Times New Roman"/>
                <w:spacing w:val="20"/>
                <w:u w:val="none" w:color="auto"/>
              </w:rPr>
            </w:pPr>
          </w:p>
        </w:tc>
      </w:tr>
      <w:tr w14:paraId="00438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5EE8061E">
            <w:pPr>
              <w:tabs>
                <w:tab w:val="left" w:pos="1418"/>
              </w:tabs>
              <w:snapToGrid w:val="0"/>
              <w:spacing w:before="50" w:after="50"/>
              <w:jc w:val="center"/>
              <w:rPr>
                <w:rFonts w:ascii="Times New Roman" w:hAnsi="Times New Roman"/>
                <w:spacing w:val="20"/>
                <w:u w:val="none" w:color="auto"/>
              </w:rPr>
            </w:pPr>
          </w:p>
        </w:tc>
        <w:tc>
          <w:tcPr>
            <w:tcW w:w="4869" w:type="dxa"/>
            <w:gridSpan w:val="4"/>
            <w:tcBorders>
              <w:top w:val="single" w:color="auto" w:sz="4" w:space="0"/>
              <w:left w:val="single" w:color="auto" w:sz="4" w:space="0"/>
              <w:bottom w:val="single" w:color="auto" w:sz="4" w:space="0"/>
              <w:right w:val="single" w:color="auto" w:sz="4" w:space="0"/>
            </w:tcBorders>
          </w:tcPr>
          <w:p w14:paraId="2E844896">
            <w:pPr>
              <w:tabs>
                <w:tab w:val="left" w:pos="1418"/>
              </w:tabs>
              <w:snapToGrid w:val="0"/>
              <w:spacing w:before="50" w:after="50"/>
              <w:rPr>
                <w:rFonts w:ascii="Times New Roman" w:hAnsi="Times New Roman"/>
                <w:spacing w:val="20"/>
                <w:u w:val="none" w:color="auto"/>
              </w:rPr>
            </w:pPr>
          </w:p>
        </w:tc>
        <w:tc>
          <w:tcPr>
            <w:tcW w:w="2692" w:type="dxa"/>
            <w:gridSpan w:val="2"/>
            <w:tcBorders>
              <w:top w:val="single" w:color="auto" w:sz="4" w:space="0"/>
              <w:left w:val="single" w:color="auto" w:sz="4" w:space="0"/>
              <w:bottom w:val="single" w:color="auto" w:sz="4" w:space="0"/>
              <w:right w:val="single" w:color="auto" w:sz="4" w:space="0"/>
            </w:tcBorders>
          </w:tcPr>
          <w:p w14:paraId="22285D26">
            <w:pPr>
              <w:tabs>
                <w:tab w:val="left" w:pos="1418"/>
              </w:tabs>
              <w:snapToGrid w:val="0"/>
              <w:spacing w:before="50" w:after="50"/>
              <w:ind w:left="8"/>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6263145B">
            <w:pPr>
              <w:tabs>
                <w:tab w:val="left" w:pos="1418"/>
              </w:tabs>
              <w:snapToGrid w:val="0"/>
              <w:spacing w:before="50" w:after="50"/>
              <w:jc w:val="center"/>
              <w:rPr>
                <w:rFonts w:ascii="Times New Roman" w:hAnsi="Times New Roman"/>
                <w:spacing w:val="20"/>
                <w:u w:val="none" w:color="auto"/>
              </w:rPr>
            </w:pPr>
          </w:p>
        </w:tc>
      </w:tr>
      <w:tr w14:paraId="12DB8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bottom w:val="single" w:color="auto" w:sz="4" w:space="0"/>
            </w:tcBorders>
          </w:tcPr>
          <w:p w14:paraId="21FF49ED">
            <w:pPr>
              <w:tabs>
                <w:tab w:val="left" w:pos="1418"/>
              </w:tabs>
              <w:snapToGrid w:val="0"/>
              <w:spacing w:before="50" w:after="50"/>
              <w:jc w:val="both"/>
              <w:rPr>
                <w:rFonts w:hint="eastAsia" w:ascii="宋体" w:hAnsi="宋体"/>
                <w:spacing w:val="20"/>
                <w:u w:val="none" w:color="auto"/>
              </w:rPr>
            </w:pPr>
            <w:r>
              <w:rPr>
                <w:rFonts w:hint="eastAsia" w:ascii="宋体" w:hAnsi="宋体"/>
                <w:spacing w:val="20"/>
                <w:u w:val="none" w:color="auto"/>
              </w:rPr>
              <w:t>合计（大写）</w:t>
            </w:r>
            <w:r>
              <w:rPr>
                <w:rFonts w:hint="eastAsia" w:ascii="宋体" w:hAnsi="宋体"/>
                <w:spacing w:val="20"/>
                <w:u w:val="none" w:color="auto"/>
              </w:rPr>
              <w:tab/>
            </w:r>
          </w:p>
        </w:tc>
      </w:tr>
    </w:tbl>
    <w:p w14:paraId="39745E3A">
      <w:pPr>
        <w:snapToGrid w:val="0"/>
        <w:rPr>
          <w:rFonts w:hint="eastAsia" w:ascii="宋体" w:hAnsi="宋体"/>
          <w:u w:val="none" w:color="auto"/>
        </w:rPr>
      </w:pPr>
    </w:p>
    <w:p w14:paraId="3BFC306B">
      <w:pPr>
        <w:snapToGrid w:val="0"/>
        <w:spacing w:before="50" w:after="50"/>
        <w:rPr>
          <w:rFonts w:hint="eastAsia" w:ascii="宋体" w:hAnsi="宋体"/>
          <w:u w:val="none" w:color="auto"/>
        </w:rPr>
      </w:pPr>
      <w:r>
        <w:rPr>
          <w:rFonts w:hint="eastAsia" w:ascii="宋体" w:hAnsi="宋体"/>
          <w:u w:val="none" w:color="auto"/>
        </w:rPr>
        <w:t>投标人名称（盖章）：</w:t>
      </w:r>
    </w:p>
    <w:p w14:paraId="71BAD7A5">
      <w:pPr>
        <w:snapToGrid w:val="0"/>
        <w:spacing w:before="50" w:after="50"/>
        <w:rPr>
          <w:rFonts w:hint="eastAsia" w:ascii="宋体" w:hAnsi="宋体"/>
          <w:u w:val="none" w:color="auto"/>
        </w:rPr>
      </w:pPr>
    </w:p>
    <w:p w14:paraId="2F88BE8C">
      <w:pPr>
        <w:snapToGrid w:val="0"/>
        <w:spacing w:before="50" w:after="50"/>
        <w:rPr>
          <w:rFonts w:hint="eastAsia" w:ascii="宋体" w:hAnsi="宋体"/>
          <w:u w:val="none" w:color="auto"/>
        </w:rPr>
      </w:pPr>
    </w:p>
    <w:p w14:paraId="677858C8">
      <w:pPr>
        <w:snapToGrid w:val="0"/>
        <w:spacing w:before="50" w:after="50"/>
        <w:rPr>
          <w:rFonts w:hint="eastAsia" w:ascii="宋体" w:hAnsi="宋体"/>
          <w:spacing w:val="20"/>
          <w:u w:val="none" w:color="auto"/>
        </w:rPr>
      </w:pPr>
      <w:r>
        <w:rPr>
          <w:rFonts w:hint="eastAsia" w:ascii="宋体" w:hAnsi="宋体"/>
          <w:spacing w:val="20"/>
          <w:u w:val="none" w:color="auto"/>
        </w:rPr>
        <w:t>日期：</w:t>
      </w:r>
    </w:p>
    <w:p w14:paraId="05315F15">
      <w:pPr>
        <w:snapToGrid w:val="0"/>
        <w:spacing w:before="50" w:after="50"/>
        <w:rPr>
          <w:rFonts w:hint="eastAsia" w:ascii="宋体" w:hAnsi="宋体"/>
          <w:u w:val="none" w:color="auto"/>
        </w:rPr>
      </w:pPr>
    </w:p>
    <w:p w14:paraId="7623D826">
      <w:pPr>
        <w:widowControl/>
        <w:ind w:left="424" w:leftChars="202"/>
        <w:jc w:val="left"/>
        <w:rPr>
          <w:kern w:val="0"/>
          <w:u w:val="none" w:color="auto"/>
        </w:rPr>
      </w:pPr>
    </w:p>
    <w:p w14:paraId="351D4C0F">
      <w:pPr>
        <w:snapToGrid w:val="0"/>
        <w:spacing w:before="50" w:after="50"/>
        <w:rPr>
          <w:rFonts w:hint="eastAsia" w:ascii="宋体" w:hAnsi="宋体"/>
          <w:u w:val="none" w:color="auto"/>
        </w:rPr>
      </w:pPr>
    </w:p>
    <w:p w14:paraId="6F486EDA">
      <w:pPr>
        <w:snapToGrid w:val="0"/>
        <w:spacing w:line="312" w:lineRule="auto"/>
        <w:ind w:right="-341"/>
        <w:rPr>
          <w:rFonts w:hint="eastAsia" w:ascii="宋体" w:hAnsi="宋体"/>
          <w:u w:val="none" w:color="auto"/>
        </w:rPr>
      </w:pPr>
    </w:p>
    <w:p w14:paraId="2F902A24">
      <w:pPr>
        <w:pStyle w:val="2"/>
        <w:rPr>
          <w:u w:val="none" w:color="auto"/>
        </w:rPr>
        <w:sectPr>
          <w:footerReference r:id="rId4" w:type="default"/>
          <w:pgSz w:w="11906" w:h="16838"/>
          <w:pgMar w:top="1440" w:right="1701" w:bottom="1440" w:left="1701" w:header="851" w:footer="851" w:gutter="0"/>
          <w:cols w:space="720" w:num="1"/>
          <w:docGrid w:type="lines" w:linePitch="312" w:charSpace="0"/>
        </w:sectPr>
      </w:pPr>
    </w:p>
    <w:p w14:paraId="2260F87A">
      <w:pPr>
        <w:pStyle w:val="12"/>
        <w:snapToGrid w:val="0"/>
        <w:spacing w:before="156"/>
        <w:rPr>
          <w:rFonts w:hint="eastAsia" w:hAnsi="宋体" w:eastAsia="宋体"/>
          <w:b/>
          <w:spacing w:val="20"/>
          <w:sz w:val="28"/>
          <w:u w:val="none" w:color="auto"/>
        </w:rPr>
      </w:pPr>
      <w:r>
        <w:rPr>
          <w:rFonts w:hint="eastAsia" w:hAnsi="宋体" w:eastAsia="宋体"/>
          <w:b/>
          <w:spacing w:val="20"/>
          <w:sz w:val="28"/>
          <w:u w:val="none" w:color="auto"/>
        </w:rPr>
        <w:t xml:space="preserve"> </w:t>
      </w:r>
    </w:p>
    <w:p w14:paraId="1BD87903">
      <w:pPr>
        <w:pStyle w:val="12"/>
        <w:snapToGrid w:val="0"/>
        <w:spacing w:before="156"/>
        <w:rPr>
          <w:rFonts w:hint="eastAsia" w:asciiTheme="minorEastAsia" w:hAnsiTheme="minorEastAsia" w:eastAsiaTheme="minorEastAsia"/>
          <w:b/>
          <w:sz w:val="28"/>
          <w:szCs w:val="28"/>
          <w:u w:val="none" w:color="auto"/>
        </w:rPr>
      </w:pPr>
      <w:r>
        <w:rPr>
          <w:rFonts w:hint="eastAsia" w:asciiTheme="minorEastAsia" w:hAnsiTheme="minorEastAsia" w:eastAsiaTheme="minorEastAsia"/>
          <w:b/>
          <w:sz w:val="28"/>
          <w:szCs w:val="28"/>
          <w:u w:val="none" w:color="auto"/>
        </w:rPr>
        <w:t>四、</w:t>
      </w:r>
    </w:p>
    <w:p w14:paraId="74108B98">
      <w:pPr>
        <w:snapToGrid w:val="0"/>
        <w:spacing w:before="120" w:beforeLines="50" w:after="50"/>
        <w:jc w:val="center"/>
        <w:rPr>
          <w:rFonts w:hint="eastAsia" w:asciiTheme="minorEastAsia" w:hAnsiTheme="minorEastAsia" w:eastAsiaTheme="minorEastAsia"/>
          <w:b/>
          <w:sz w:val="30"/>
          <w:szCs w:val="30"/>
          <w:u w:val="none" w:color="auto"/>
        </w:rPr>
      </w:pPr>
      <w:r>
        <w:rPr>
          <w:rFonts w:hint="eastAsia" w:asciiTheme="minorEastAsia" w:hAnsiTheme="minorEastAsia" w:eastAsiaTheme="minorEastAsia"/>
          <w:b/>
          <w:sz w:val="30"/>
          <w:szCs w:val="30"/>
          <w:u w:val="none" w:color="auto"/>
        </w:rPr>
        <w:t>投 标 函</w:t>
      </w:r>
    </w:p>
    <w:p w14:paraId="2F4020E3">
      <w:pPr>
        <w:snapToGrid w:val="0"/>
        <w:spacing w:line="360" w:lineRule="auto"/>
        <w:rPr>
          <w:rFonts w:hint="eastAsia" w:ascii="宋体" w:hAnsi="宋体"/>
          <w:u w:val="none" w:color="auto"/>
        </w:rPr>
      </w:pPr>
    </w:p>
    <w:p w14:paraId="3E44EA7A">
      <w:pPr>
        <w:snapToGrid w:val="0"/>
        <w:spacing w:line="336" w:lineRule="auto"/>
        <w:rPr>
          <w:rFonts w:hint="eastAsia" w:ascii="宋体" w:hAnsi="宋体"/>
          <w:u w:val="none" w:color="auto"/>
        </w:rPr>
      </w:pPr>
      <w:r>
        <w:rPr>
          <w:rFonts w:hint="eastAsia" w:ascii="宋体" w:hAnsi="宋体"/>
          <w:u w:val="none" w:color="auto"/>
        </w:rPr>
        <w:t>致：深圳市国信招标有限公司：</w:t>
      </w:r>
    </w:p>
    <w:p w14:paraId="787821FE">
      <w:pPr>
        <w:snapToGrid w:val="0"/>
        <w:spacing w:line="336" w:lineRule="auto"/>
        <w:ind w:firstLine="480"/>
        <w:rPr>
          <w:rFonts w:hint="eastAsia" w:ascii="宋体" w:hAnsi="宋体"/>
          <w:u w:val="none" w:color="auto"/>
        </w:rPr>
      </w:pPr>
      <w:r>
        <w:rPr>
          <w:rFonts w:hint="eastAsia" w:ascii="宋体" w:hAnsi="宋体"/>
          <w:u w:val="none" w:color="auto"/>
        </w:rPr>
        <w:t xml:space="preserve">根据贵方为 </w:t>
      </w:r>
      <w:r>
        <w:rPr>
          <w:rFonts w:ascii="宋体" w:hAnsi="宋体"/>
          <w:u w:val="single" w:color="auto"/>
        </w:rPr>
        <w:t xml:space="preserve">      </w:t>
      </w:r>
      <w:r>
        <w:rPr>
          <w:rFonts w:hint="eastAsia" w:ascii="宋体" w:hAnsi="宋体"/>
          <w:u w:val="none" w:color="auto"/>
        </w:rPr>
        <w:t>项目的招标公告（项目编号：____），同意如下：</w:t>
      </w:r>
    </w:p>
    <w:p w14:paraId="520B2220">
      <w:pPr>
        <w:spacing w:line="336" w:lineRule="auto"/>
        <w:ind w:firstLine="420" w:firstLineChars="200"/>
        <w:jc w:val="left"/>
        <w:rPr>
          <w:rFonts w:hint="eastAsia" w:ascii="宋体" w:hAnsi="宋体" w:cs="宋体"/>
          <w:szCs w:val="21"/>
          <w:u w:val="none" w:color="auto"/>
        </w:rPr>
      </w:pPr>
      <w:r>
        <w:rPr>
          <w:rFonts w:hint="eastAsia" w:ascii="宋体" w:hAnsi="宋体" w:cs="宋体"/>
          <w:szCs w:val="21"/>
          <w:u w:val="none" w:color="auto"/>
        </w:rPr>
        <w:t>1.我方已详细审查了磋商文件的全部内容及其相关补充文件（如有），并完全清晰理解全部内容及相关的补充文件（如有），不存在任何误解之处，同意放弃提出异议和质疑的权利。</w:t>
      </w:r>
    </w:p>
    <w:p w14:paraId="26DBCA12">
      <w:pPr>
        <w:spacing w:line="336" w:lineRule="auto"/>
        <w:ind w:firstLine="420" w:firstLineChars="200"/>
        <w:jc w:val="left"/>
        <w:rPr>
          <w:rFonts w:hint="eastAsia" w:ascii="宋体" w:hAnsi="宋体" w:cs="宋体"/>
          <w:szCs w:val="21"/>
          <w:u w:val="none" w:color="auto"/>
        </w:rPr>
      </w:pPr>
      <w:r>
        <w:rPr>
          <w:rFonts w:hint="eastAsia" w:ascii="宋体" w:hAnsi="宋体" w:cs="宋体"/>
          <w:szCs w:val="21"/>
          <w:u w:val="none" w:color="auto"/>
        </w:rPr>
        <w:t>2.我方遵守《中华人民共和国政府采购法》及相关法律法规的规定。同意磋商文件中所提到的无效标条款，并服从有关开标现场的会议纪律。否则，同意被废除投标资格。</w:t>
      </w:r>
    </w:p>
    <w:p w14:paraId="4E61AFEB">
      <w:pPr>
        <w:spacing w:line="336" w:lineRule="auto"/>
        <w:ind w:firstLine="420" w:firstLineChars="200"/>
        <w:jc w:val="left"/>
        <w:rPr>
          <w:rFonts w:hint="eastAsia" w:ascii="宋体" w:hAnsi="宋体" w:cs="宋体"/>
          <w:szCs w:val="21"/>
          <w:u w:val="none" w:color="auto"/>
        </w:rPr>
      </w:pPr>
      <w:r>
        <w:rPr>
          <w:rFonts w:hint="eastAsia" w:ascii="宋体" w:hAnsi="宋体" w:cs="宋体"/>
          <w:szCs w:val="21"/>
          <w:u w:val="none" w:color="auto"/>
        </w:rPr>
        <w:t>3.我方所提供的一次性投标报价均具充分的合理性和准确性，保证不存在低于成本的恶意报价行为，同时清楚理解到报价最低并非意味着必定获得合同授予资格。</w:t>
      </w:r>
    </w:p>
    <w:p w14:paraId="024C8A6F">
      <w:pPr>
        <w:spacing w:line="336" w:lineRule="auto"/>
        <w:ind w:firstLine="420" w:firstLineChars="200"/>
        <w:jc w:val="left"/>
        <w:rPr>
          <w:rFonts w:hint="eastAsia" w:ascii="宋体" w:hAnsi="宋体" w:cs="宋体"/>
          <w:szCs w:val="21"/>
          <w:u w:val="none" w:color="auto"/>
        </w:rPr>
      </w:pPr>
      <w:r>
        <w:rPr>
          <w:rFonts w:hint="eastAsia" w:ascii="宋体" w:hAnsi="宋体" w:cs="宋体"/>
          <w:szCs w:val="21"/>
          <w:u w:val="none" w:color="auto"/>
        </w:rPr>
        <w:t>4.投标有效期为自开标之日起90天内，如在投标有效期内撤回投标，我方同意被废除投标资格。</w:t>
      </w:r>
    </w:p>
    <w:p w14:paraId="00C88FFC">
      <w:pPr>
        <w:spacing w:line="336" w:lineRule="auto"/>
        <w:ind w:firstLine="420" w:firstLineChars="200"/>
        <w:jc w:val="left"/>
        <w:rPr>
          <w:rFonts w:hint="eastAsia" w:ascii="宋体" w:hAnsi="宋体" w:cs="宋体"/>
          <w:szCs w:val="21"/>
          <w:u w:val="none" w:color="auto"/>
        </w:rPr>
      </w:pPr>
      <w:r>
        <w:rPr>
          <w:rFonts w:hint="eastAsia" w:ascii="宋体" w:hAnsi="宋体" w:cs="宋体"/>
          <w:szCs w:val="21"/>
          <w:u w:val="none" w:color="auto"/>
        </w:rPr>
        <w:t>5.我方承诺参加政府采购活动前3年内在经营活动中没有重大违法记录和依法缴纳了税收（投标截止时间进行计算）。</w:t>
      </w:r>
    </w:p>
    <w:p w14:paraId="114221F2">
      <w:pPr>
        <w:spacing w:line="336" w:lineRule="auto"/>
        <w:ind w:firstLine="420" w:firstLineChars="200"/>
        <w:jc w:val="left"/>
        <w:rPr>
          <w:rFonts w:hint="eastAsia" w:ascii="宋体" w:hAnsi="宋体" w:cs="宋体"/>
          <w:szCs w:val="21"/>
          <w:u w:val="none" w:color="auto"/>
        </w:rPr>
      </w:pPr>
      <w:r>
        <w:rPr>
          <w:rFonts w:hint="eastAsia" w:ascii="宋体" w:hAnsi="宋体" w:cs="宋体"/>
          <w:szCs w:val="21"/>
          <w:u w:val="none" w:color="auto"/>
        </w:rPr>
        <w:t>6.我方承诺具备本项目履行合同所必需的设备和专业技术能力。</w:t>
      </w:r>
    </w:p>
    <w:p w14:paraId="0452F352">
      <w:pPr>
        <w:spacing w:line="336" w:lineRule="auto"/>
        <w:ind w:firstLine="420" w:firstLineChars="200"/>
        <w:jc w:val="left"/>
        <w:rPr>
          <w:rFonts w:hint="eastAsia" w:ascii="宋体" w:hAnsi="宋体" w:cs="宋体"/>
          <w:szCs w:val="21"/>
          <w:u w:val="none" w:color="auto"/>
        </w:rPr>
      </w:pPr>
      <w:r>
        <w:rPr>
          <w:rFonts w:hint="eastAsia" w:ascii="宋体" w:hAnsi="宋体" w:cs="宋体"/>
          <w:szCs w:val="21"/>
          <w:u w:val="none" w:color="auto"/>
        </w:rPr>
        <w:t>7.我方承诺所提供的一切投标文件已经认真严格审核，内容均为全面真实、准确有效且毫无保留，绝无任何遗漏、虚假、伪造和夸大的成份，若出现违背诚实信用和无如实告知之处，同意被废除投标资格和相关的处罚。</w:t>
      </w:r>
    </w:p>
    <w:p w14:paraId="38B60E33">
      <w:pPr>
        <w:spacing w:line="336" w:lineRule="auto"/>
        <w:ind w:firstLine="420" w:firstLineChars="200"/>
        <w:jc w:val="left"/>
        <w:rPr>
          <w:rFonts w:hint="eastAsia" w:ascii="宋体" w:hAnsi="宋体" w:cs="宋体"/>
          <w:szCs w:val="21"/>
          <w:u w:val="none" w:color="auto"/>
        </w:rPr>
      </w:pPr>
      <w:r>
        <w:rPr>
          <w:rFonts w:hint="eastAsia" w:ascii="宋体" w:hAnsi="宋体" w:cs="宋体"/>
          <w:szCs w:val="21"/>
          <w:u w:val="none" w:color="auto"/>
        </w:rPr>
        <w:t>8.我方承诺至开标之日止，未被“信用中国”（www.creditchina.gov.cn）、中国政府采购网（www.ccgp.gov.cn）列入失信被执行人、重大税收违法案件当事人名单、政府采购严重违法失信行为记录名单。</w:t>
      </w:r>
    </w:p>
    <w:p w14:paraId="00D34466">
      <w:pPr>
        <w:snapToGrid w:val="0"/>
        <w:spacing w:line="336" w:lineRule="auto"/>
        <w:ind w:firstLine="420" w:firstLineChars="200"/>
        <w:rPr>
          <w:rFonts w:hint="eastAsia" w:ascii="宋体" w:hAnsi="宋体"/>
          <w:u w:val="none" w:color="auto"/>
        </w:rPr>
      </w:pPr>
      <w:r>
        <w:rPr>
          <w:rFonts w:hint="eastAsia" w:ascii="宋体" w:hAnsi="宋体"/>
          <w:u w:val="none" w:color="auto"/>
        </w:rPr>
        <w:t>9.与本投标有关的一切正式往来信函请寄：</w:t>
      </w:r>
    </w:p>
    <w:p w14:paraId="6330B354">
      <w:pPr>
        <w:snapToGrid w:val="0"/>
        <w:spacing w:line="336" w:lineRule="auto"/>
        <w:rPr>
          <w:rFonts w:hint="eastAsia" w:ascii="宋体" w:hAnsi="宋体"/>
          <w:u w:val="none" w:color="auto"/>
        </w:rPr>
      </w:pPr>
      <w:r>
        <w:rPr>
          <w:rFonts w:hint="eastAsia" w:ascii="宋体" w:hAnsi="宋体"/>
          <w:u w:val="none" w:color="auto"/>
        </w:rPr>
        <w:t>地址：______________邮编：__________   电话：______________</w:t>
      </w:r>
    </w:p>
    <w:p w14:paraId="3AE03F06">
      <w:pPr>
        <w:snapToGrid w:val="0"/>
        <w:spacing w:line="336" w:lineRule="auto"/>
        <w:rPr>
          <w:rFonts w:hint="eastAsia" w:ascii="宋体" w:hAnsi="宋体"/>
          <w:u w:val="none" w:color="auto"/>
        </w:rPr>
      </w:pPr>
      <w:r>
        <w:rPr>
          <w:rFonts w:hint="eastAsia" w:ascii="宋体" w:hAnsi="宋体"/>
          <w:u w:val="none" w:color="auto"/>
        </w:rPr>
        <w:t xml:space="preserve">传真：______________ </w:t>
      </w:r>
    </w:p>
    <w:p w14:paraId="720130DD">
      <w:pPr>
        <w:snapToGrid w:val="0"/>
        <w:spacing w:line="336" w:lineRule="auto"/>
        <w:rPr>
          <w:rFonts w:hint="eastAsia" w:ascii="宋体" w:hAnsi="宋体"/>
          <w:u w:val="none" w:color="auto"/>
        </w:rPr>
      </w:pPr>
      <w:r>
        <w:rPr>
          <w:rFonts w:hint="eastAsia" w:ascii="宋体" w:hAnsi="宋体"/>
          <w:u w:val="none" w:color="auto"/>
        </w:rPr>
        <w:t>投标人名称(公章):___________________</w:t>
      </w:r>
    </w:p>
    <w:p w14:paraId="5B6C78FC">
      <w:pPr>
        <w:snapToGrid w:val="0"/>
        <w:spacing w:line="336" w:lineRule="auto"/>
        <w:rPr>
          <w:rFonts w:hint="eastAsia" w:ascii="宋体" w:hAnsi="宋体"/>
          <w:u w:val="none" w:color="auto"/>
        </w:rPr>
      </w:pPr>
      <w:r>
        <w:rPr>
          <w:rFonts w:hint="eastAsia" w:ascii="宋体" w:hAnsi="宋体"/>
          <w:u w:val="none" w:color="auto"/>
        </w:rPr>
        <w:t>开户银行：                      银行帐号：</w:t>
      </w:r>
    </w:p>
    <w:p w14:paraId="7A223CB0">
      <w:pPr>
        <w:pStyle w:val="12"/>
        <w:snapToGrid w:val="0"/>
        <w:spacing w:before="156"/>
        <w:rPr>
          <w:rFonts w:hint="eastAsia" w:asciiTheme="minorEastAsia" w:hAnsiTheme="minorEastAsia" w:eastAsiaTheme="minorEastAsia"/>
          <w:bCs/>
          <w:sz w:val="21"/>
          <w:u w:val="none" w:color="auto"/>
        </w:rPr>
      </w:pPr>
    </w:p>
    <w:p w14:paraId="34AD6A2B">
      <w:pPr>
        <w:pStyle w:val="12"/>
        <w:snapToGrid w:val="0"/>
        <w:spacing w:before="156"/>
        <w:ind w:firstLine="4620" w:firstLineChars="2200"/>
        <w:rPr>
          <w:rFonts w:hint="eastAsia" w:asciiTheme="minorEastAsia" w:hAnsiTheme="minorEastAsia" w:eastAsiaTheme="minorEastAsia"/>
          <w:bCs/>
          <w:sz w:val="21"/>
          <w:u w:val="none" w:color="auto"/>
        </w:rPr>
      </w:pPr>
      <w:r>
        <w:rPr>
          <w:rFonts w:hint="eastAsia" w:asciiTheme="minorEastAsia" w:hAnsiTheme="minorEastAsia" w:eastAsiaTheme="minorEastAsia"/>
          <w:bCs/>
          <w:sz w:val="21"/>
          <w:u w:val="none" w:color="auto"/>
        </w:rPr>
        <w:t xml:space="preserve">   日期:_____年___月___日</w:t>
      </w:r>
    </w:p>
    <w:p w14:paraId="0235A1B7">
      <w:pPr>
        <w:snapToGrid w:val="0"/>
        <w:spacing w:before="120" w:beforeLines="50" w:after="50"/>
        <w:jc w:val="left"/>
        <w:rPr>
          <w:rFonts w:hint="eastAsia" w:ascii="宋体" w:hAnsi="宋体"/>
          <w:b/>
          <w:bCs/>
          <w:sz w:val="28"/>
          <w:szCs w:val="28"/>
          <w:u w:val="none" w:color="auto"/>
        </w:rPr>
      </w:pPr>
    </w:p>
    <w:p w14:paraId="20FD06EC">
      <w:pPr>
        <w:pStyle w:val="2"/>
        <w:rPr>
          <w:rFonts w:hint="eastAsia" w:ascii="宋体" w:hAnsi="宋体"/>
          <w:b/>
          <w:bCs/>
          <w:sz w:val="28"/>
          <w:szCs w:val="28"/>
          <w:u w:val="none" w:color="auto"/>
        </w:rPr>
      </w:pPr>
    </w:p>
    <w:p w14:paraId="57CBA4C6">
      <w:pPr>
        <w:pStyle w:val="19"/>
        <w:rPr>
          <w:rFonts w:hint="eastAsia" w:ascii="宋体" w:hAnsi="宋体"/>
          <w:b/>
          <w:bCs/>
          <w:sz w:val="28"/>
          <w:szCs w:val="28"/>
          <w:u w:val="none" w:color="auto"/>
        </w:rPr>
      </w:pPr>
    </w:p>
    <w:p w14:paraId="150CB132">
      <w:pPr>
        <w:rPr>
          <w:u w:val="none" w:color="auto"/>
        </w:rPr>
      </w:pPr>
    </w:p>
    <w:p w14:paraId="164D70A5">
      <w:pPr>
        <w:snapToGrid w:val="0"/>
        <w:spacing w:before="120" w:beforeLines="50" w:after="50"/>
        <w:jc w:val="left"/>
        <w:rPr>
          <w:rFonts w:hint="eastAsia" w:ascii="宋体" w:hAnsi="宋体"/>
          <w:b/>
          <w:bCs/>
          <w:sz w:val="28"/>
          <w:szCs w:val="28"/>
          <w:u w:val="none" w:color="auto"/>
        </w:rPr>
      </w:pPr>
      <w:r>
        <w:rPr>
          <w:rFonts w:hint="eastAsia" w:ascii="宋体" w:hAnsi="宋体"/>
          <w:b/>
          <w:bCs/>
          <w:sz w:val="28"/>
          <w:szCs w:val="28"/>
          <w:u w:val="none" w:color="auto"/>
        </w:rPr>
        <w:t>五</w:t>
      </w:r>
      <w:r>
        <w:rPr>
          <w:rFonts w:ascii="宋体" w:hAnsi="宋体"/>
          <w:b/>
          <w:bCs/>
          <w:sz w:val="28"/>
          <w:szCs w:val="28"/>
          <w:u w:val="none" w:color="auto"/>
        </w:rPr>
        <w:t>、</w:t>
      </w:r>
    </w:p>
    <w:p w14:paraId="2880D14A">
      <w:pPr>
        <w:snapToGrid w:val="0"/>
        <w:spacing w:before="120" w:beforeLines="50" w:after="50"/>
        <w:jc w:val="center"/>
        <w:rPr>
          <w:rFonts w:hint="eastAsia" w:ascii="宋体" w:hAnsi="宋体"/>
          <w:b/>
          <w:sz w:val="30"/>
          <w:szCs w:val="30"/>
          <w:u w:val="none" w:color="auto"/>
        </w:rPr>
      </w:pPr>
      <w:r>
        <w:rPr>
          <w:rFonts w:hint="eastAsia" w:ascii="宋体" w:hAnsi="宋体"/>
          <w:b/>
          <w:sz w:val="30"/>
          <w:szCs w:val="30"/>
          <w:u w:val="none" w:color="auto"/>
        </w:rPr>
        <w:t>声明函</w:t>
      </w:r>
    </w:p>
    <w:p w14:paraId="525281CA">
      <w:pPr>
        <w:snapToGrid w:val="0"/>
        <w:spacing w:before="120" w:beforeLines="50" w:after="50" w:line="360" w:lineRule="auto"/>
        <w:rPr>
          <w:rFonts w:ascii="宋体"/>
          <w:szCs w:val="21"/>
          <w:u w:val="none" w:color="auto"/>
        </w:rPr>
      </w:pPr>
      <w:r>
        <w:rPr>
          <w:rFonts w:hint="eastAsia" w:ascii="宋体" w:hAnsi="宋体"/>
          <w:szCs w:val="21"/>
          <w:u w:val="none" w:color="auto"/>
        </w:rPr>
        <w:t>致：</w:t>
      </w:r>
      <w:r>
        <w:rPr>
          <w:rFonts w:ascii="宋体" w:hAnsi="宋体"/>
          <w:szCs w:val="21"/>
          <w:u w:val="none" w:color="auto"/>
        </w:rPr>
        <w:t>_</w:t>
      </w:r>
      <w:r>
        <w:rPr>
          <w:rFonts w:hint="eastAsia" w:ascii="宋体" w:hAnsi="宋体"/>
          <w:u w:val="none" w:color="auto"/>
        </w:rPr>
        <w:t>深圳市国信招标有限公司</w:t>
      </w:r>
      <w:r>
        <w:rPr>
          <w:rFonts w:hint="eastAsia" w:ascii="宋体" w:hAnsi="宋体"/>
          <w:szCs w:val="21"/>
          <w:u w:val="none" w:color="auto"/>
        </w:rPr>
        <w:t>：</w:t>
      </w:r>
    </w:p>
    <w:p w14:paraId="11397A81">
      <w:pPr>
        <w:pStyle w:val="2"/>
        <w:spacing w:line="360" w:lineRule="auto"/>
        <w:ind w:firstLine="480"/>
        <w:rPr>
          <w:rFonts w:ascii="宋体"/>
          <w:sz w:val="21"/>
          <w:szCs w:val="21"/>
          <w:u w:val="none" w:color="auto"/>
        </w:rPr>
      </w:pPr>
      <w:r>
        <w:rPr>
          <w:rFonts w:hint="eastAsia" w:ascii="宋体" w:hAnsi="宋体"/>
          <w:sz w:val="21"/>
          <w:szCs w:val="21"/>
          <w:u w:val="none" w:color="auto"/>
        </w:rPr>
        <w:t>我方</w:t>
      </w:r>
      <w:r>
        <w:rPr>
          <w:rFonts w:hint="eastAsia" w:ascii="宋体" w:hAnsi="宋体"/>
          <w:sz w:val="21"/>
          <w:szCs w:val="21"/>
          <w:u w:val="single" w:color="auto"/>
          <w:lang w:val="en-US" w:eastAsia="zh-CN"/>
        </w:rPr>
        <w:t xml:space="preserve">        </w:t>
      </w:r>
      <w:r>
        <w:rPr>
          <w:rFonts w:hint="eastAsia" w:ascii="宋体" w:hAnsi="宋体"/>
          <w:sz w:val="21"/>
          <w:szCs w:val="21"/>
          <w:u w:val="none" w:color="auto"/>
        </w:rPr>
        <w:t>（投标人）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sz w:val="21"/>
          <w:szCs w:val="21"/>
          <w:u w:val="none" w:color="auto"/>
        </w:rPr>
        <w:t>/</w:t>
      </w:r>
      <w:r>
        <w:rPr>
          <w:rFonts w:hint="eastAsia" w:ascii="宋体" w:hAnsi="宋体"/>
          <w:sz w:val="21"/>
          <w:szCs w:val="21"/>
          <w:u w:val="none" w:color="auto"/>
        </w:rPr>
        <w:t>中标</w:t>
      </w:r>
      <w:r>
        <w:rPr>
          <w:rFonts w:ascii="宋体" w:hAnsi="宋体"/>
          <w:sz w:val="21"/>
          <w:szCs w:val="21"/>
          <w:u w:val="none" w:color="auto"/>
        </w:rPr>
        <w:t>/</w:t>
      </w:r>
      <w:r>
        <w:rPr>
          <w:rFonts w:hint="eastAsia" w:ascii="宋体" w:hAnsi="宋体"/>
          <w:sz w:val="21"/>
          <w:szCs w:val="21"/>
          <w:u w:val="none" w:color="auto"/>
        </w:rPr>
        <w:t>签订合同），我方对此无任何异议。</w:t>
      </w:r>
    </w:p>
    <w:p w14:paraId="392E98EB">
      <w:pPr>
        <w:pStyle w:val="2"/>
        <w:spacing w:line="360" w:lineRule="auto"/>
        <w:ind w:firstLine="480"/>
        <w:rPr>
          <w:rFonts w:ascii="宋体"/>
          <w:sz w:val="21"/>
          <w:szCs w:val="21"/>
          <w:u w:val="none" w:color="auto"/>
        </w:rPr>
      </w:pPr>
      <w:r>
        <w:rPr>
          <w:rFonts w:hint="eastAsia" w:ascii="宋体" w:hAnsi="宋体"/>
          <w:sz w:val="21"/>
          <w:szCs w:val="21"/>
          <w:u w:val="none" w:color="auto"/>
        </w:rPr>
        <w:t>特此声明！</w:t>
      </w:r>
    </w:p>
    <w:p w14:paraId="69D71E15">
      <w:pPr>
        <w:pStyle w:val="2"/>
        <w:ind w:firstLine="480"/>
        <w:rPr>
          <w:rFonts w:ascii="宋体"/>
          <w:u w:val="none" w:color="auto"/>
        </w:rPr>
      </w:pPr>
    </w:p>
    <w:p w14:paraId="296C48D9">
      <w:pPr>
        <w:snapToGrid w:val="0"/>
        <w:spacing w:before="120" w:beforeLines="50"/>
        <w:ind w:firstLine="200"/>
        <w:rPr>
          <w:rFonts w:ascii="宋体"/>
          <w:u w:val="none" w:color="auto"/>
        </w:rPr>
      </w:pPr>
    </w:p>
    <w:p w14:paraId="3EC46B35">
      <w:pPr>
        <w:tabs>
          <w:tab w:val="left" w:pos="2340"/>
          <w:tab w:val="left" w:pos="2520"/>
          <w:tab w:val="left" w:pos="2700"/>
          <w:tab w:val="left" w:pos="3060"/>
        </w:tabs>
        <w:spacing w:line="360" w:lineRule="auto"/>
        <w:ind w:left="422" w:leftChars="201" w:firstLine="4679" w:firstLineChars="2307"/>
        <w:rPr>
          <w:rFonts w:hint="eastAsia" w:ascii="宋体" w:hAnsi="宋体"/>
          <w:b/>
          <w:spacing w:val="-4"/>
          <w:szCs w:val="21"/>
          <w:u w:val="none" w:color="auto"/>
        </w:rPr>
      </w:pPr>
      <w:r>
        <w:rPr>
          <w:rFonts w:hint="eastAsia" w:ascii="宋体" w:hAnsi="宋体"/>
          <w:b/>
          <w:spacing w:val="-4"/>
          <w:szCs w:val="21"/>
          <w:u w:val="none" w:color="auto"/>
        </w:rPr>
        <w:t>投标人名称：（盖章）</w:t>
      </w:r>
    </w:p>
    <w:p w14:paraId="3AA42DE2">
      <w:pPr>
        <w:tabs>
          <w:tab w:val="left" w:pos="2340"/>
          <w:tab w:val="left" w:pos="2520"/>
          <w:tab w:val="left" w:pos="2700"/>
          <w:tab w:val="left" w:pos="3060"/>
        </w:tabs>
        <w:spacing w:line="360" w:lineRule="auto"/>
        <w:ind w:left="422" w:leftChars="201" w:firstLine="4679" w:firstLineChars="2307"/>
        <w:rPr>
          <w:rFonts w:hint="eastAsia" w:ascii="宋体" w:hAnsi="宋体"/>
          <w:b/>
          <w:spacing w:val="-4"/>
          <w:szCs w:val="21"/>
          <w:u w:val="none" w:color="auto"/>
        </w:rPr>
      </w:pPr>
    </w:p>
    <w:p w14:paraId="4624E6FD">
      <w:pPr>
        <w:pStyle w:val="12"/>
        <w:snapToGrid w:val="0"/>
        <w:spacing w:before="156"/>
        <w:ind w:firstLine="5565" w:firstLineChars="2650"/>
        <w:rPr>
          <w:rFonts w:hint="eastAsia" w:hAnsi="宋体" w:eastAsia="宋体"/>
          <w:sz w:val="21"/>
          <w:szCs w:val="21"/>
          <w:u w:val="none" w:color="auto"/>
        </w:rPr>
      </w:pPr>
    </w:p>
    <w:p w14:paraId="64ECE9C2">
      <w:pPr>
        <w:pStyle w:val="12"/>
        <w:snapToGrid w:val="0"/>
        <w:spacing w:before="156"/>
        <w:ind w:firstLine="5565" w:firstLineChars="2650"/>
        <w:rPr>
          <w:rFonts w:hint="eastAsia" w:hAnsi="宋体" w:eastAsia="宋体"/>
          <w:sz w:val="21"/>
          <w:szCs w:val="21"/>
          <w:u w:val="none" w:color="auto"/>
        </w:rPr>
      </w:pPr>
      <w:r>
        <w:rPr>
          <w:rFonts w:hint="eastAsia" w:hAnsi="宋体" w:eastAsia="宋体"/>
          <w:sz w:val="21"/>
          <w:szCs w:val="21"/>
          <w:u w:val="none" w:color="auto"/>
        </w:rPr>
        <w:t>年    月    日</w:t>
      </w:r>
    </w:p>
    <w:p w14:paraId="3DDE06FB">
      <w:pPr>
        <w:pStyle w:val="12"/>
        <w:snapToGrid w:val="0"/>
        <w:spacing w:before="156"/>
        <w:rPr>
          <w:rFonts w:hAnsi="宋体"/>
          <w:b/>
          <w:u w:val="none" w:color="auto"/>
        </w:rPr>
      </w:pPr>
    </w:p>
    <w:p w14:paraId="1F3229C3">
      <w:pPr>
        <w:pStyle w:val="12"/>
        <w:snapToGrid w:val="0"/>
        <w:spacing w:before="156"/>
        <w:rPr>
          <w:rFonts w:hAnsi="宋体"/>
          <w:b/>
          <w:u w:val="none" w:color="auto"/>
        </w:rPr>
      </w:pPr>
    </w:p>
    <w:p w14:paraId="10859306">
      <w:pPr>
        <w:pStyle w:val="12"/>
        <w:snapToGrid w:val="0"/>
        <w:spacing w:before="156"/>
        <w:rPr>
          <w:rFonts w:hAnsi="宋体"/>
          <w:b/>
          <w:u w:val="none" w:color="auto"/>
        </w:rPr>
      </w:pPr>
    </w:p>
    <w:p w14:paraId="5A43BF38">
      <w:pPr>
        <w:pStyle w:val="12"/>
        <w:snapToGrid w:val="0"/>
        <w:spacing w:before="156"/>
        <w:rPr>
          <w:rFonts w:hAnsi="宋体"/>
          <w:b/>
          <w:u w:val="none" w:color="auto"/>
        </w:rPr>
      </w:pPr>
    </w:p>
    <w:p w14:paraId="6F8CD2D1">
      <w:pPr>
        <w:pStyle w:val="12"/>
        <w:snapToGrid w:val="0"/>
        <w:spacing w:before="156"/>
        <w:rPr>
          <w:rFonts w:hAnsi="宋体"/>
          <w:b/>
          <w:u w:val="none" w:color="auto"/>
        </w:rPr>
      </w:pPr>
    </w:p>
    <w:p w14:paraId="22715A86">
      <w:pPr>
        <w:pStyle w:val="12"/>
        <w:snapToGrid w:val="0"/>
        <w:spacing w:before="156"/>
        <w:rPr>
          <w:rFonts w:hAnsi="宋体"/>
          <w:b/>
          <w:u w:val="none" w:color="auto"/>
        </w:rPr>
      </w:pPr>
    </w:p>
    <w:p w14:paraId="62852EA4">
      <w:pPr>
        <w:pStyle w:val="12"/>
        <w:snapToGrid w:val="0"/>
        <w:spacing w:before="156"/>
        <w:rPr>
          <w:rFonts w:hAnsi="宋体"/>
          <w:b/>
          <w:u w:val="none" w:color="auto"/>
        </w:rPr>
      </w:pPr>
    </w:p>
    <w:p w14:paraId="47B5D94C">
      <w:pPr>
        <w:pStyle w:val="12"/>
        <w:snapToGrid w:val="0"/>
        <w:spacing w:before="156"/>
        <w:rPr>
          <w:rFonts w:hAnsi="宋体"/>
          <w:b/>
          <w:u w:val="none" w:color="auto"/>
        </w:rPr>
      </w:pPr>
    </w:p>
    <w:p w14:paraId="2DF1525B">
      <w:pPr>
        <w:pStyle w:val="12"/>
        <w:snapToGrid w:val="0"/>
        <w:spacing w:before="156"/>
        <w:rPr>
          <w:rFonts w:hAnsi="宋体"/>
          <w:b/>
          <w:u w:val="none" w:color="auto"/>
        </w:rPr>
      </w:pPr>
    </w:p>
    <w:p w14:paraId="171D3E56">
      <w:pPr>
        <w:rPr>
          <w:b/>
          <w:bCs/>
          <w:sz w:val="30"/>
          <w:szCs w:val="30"/>
          <w:u w:val="none" w:color="auto"/>
        </w:rPr>
      </w:pPr>
    </w:p>
    <w:p w14:paraId="133ACC8B">
      <w:pPr>
        <w:pStyle w:val="2"/>
        <w:rPr>
          <w:b/>
          <w:bCs/>
          <w:sz w:val="30"/>
          <w:szCs w:val="30"/>
          <w:u w:val="none" w:color="auto"/>
        </w:rPr>
      </w:pPr>
    </w:p>
    <w:p w14:paraId="5A2CD556">
      <w:pPr>
        <w:pStyle w:val="19"/>
        <w:rPr>
          <w:u w:val="none" w:color="auto"/>
        </w:rPr>
      </w:pPr>
    </w:p>
    <w:p w14:paraId="488053FD">
      <w:pPr>
        <w:rPr>
          <w:u w:val="none" w:color="auto"/>
        </w:rPr>
      </w:pPr>
    </w:p>
    <w:p w14:paraId="32586C5C">
      <w:pPr>
        <w:pStyle w:val="2"/>
        <w:rPr>
          <w:u w:val="none" w:color="auto"/>
        </w:rPr>
      </w:pPr>
    </w:p>
    <w:p w14:paraId="6A9138C6">
      <w:pPr>
        <w:pStyle w:val="19"/>
        <w:rPr>
          <w:u w:val="none" w:color="auto"/>
        </w:rPr>
      </w:pPr>
    </w:p>
    <w:p w14:paraId="4349F412">
      <w:pPr>
        <w:rPr>
          <w:b/>
          <w:bCs/>
          <w:sz w:val="30"/>
          <w:szCs w:val="30"/>
          <w:u w:val="none" w:color="auto"/>
        </w:rPr>
      </w:pPr>
      <w:r>
        <w:rPr>
          <w:rFonts w:hint="eastAsia"/>
          <w:b/>
          <w:bCs/>
          <w:sz w:val="30"/>
          <w:szCs w:val="30"/>
          <w:u w:val="none" w:color="auto"/>
        </w:rPr>
        <w:t>六、</w:t>
      </w:r>
    </w:p>
    <w:p w14:paraId="3E73353D">
      <w:pPr>
        <w:ind w:firstLine="3614" w:firstLineChars="1200"/>
        <w:rPr>
          <w:sz w:val="30"/>
          <w:szCs w:val="30"/>
          <w:u w:val="none" w:color="auto"/>
        </w:rPr>
      </w:pPr>
      <w:r>
        <w:rPr>
          <w:rFonts w:hint="eastAsia"/>
          <w:b/>
          <w:bCs/>
          <w:sz w:val="30"/>
          <w:szCs w:val="30"/>
          <w:u w:val="none" w:color="auto"/>
        </w:rPr>
        <w:t>廉政承诺书</w:t>
      </w:r>
    </w:p>
    <w:p w14:paraId="7E0D30DB">
      <w:pPr>
        <w:rPr>
          <w:b/>
          <w:bCs/>
          <w:sz w:val="28"/>
          <w:szCs w:val="28"/>
          <w:u w:val="none" w:color="auto"/>
        </w:rPr>
      </w:pPr>
    </w:p>
    <w:p w14:paraId="01896A7E">
      <w:pPr>
        <w:rPr>
          <w:b/>
          <w:bCs/>
          <w:sz w:val="24"/>
          <w:u w:val="none" w:color="auto"/>
        </w:rPr>
      </w:pPr>
      <w:r>
        <w:rPr>
          <w:rFonts w:hint="eastAsia"/>
          <w:b/>
          <w:bCs/>
          <w:sz w:val="24"/>
          <w:u w:val="none" w:color="auto"/>
        </w:rPr>
        <w:t>致：深圳市国信招标有限公司：</w:t>
      </w:r>
    </w:p>
    <w:p w14:paraId="06E4CAAB">
      <w:pPr>
        <w:spacing w:line="360" w:lineRule="auto"/>
        <w:ind w:firstLine="420" w:firstLineChars="200"/>
        <w:rPr>
          <w:rFonts w:hint="eastAsia" w:ascii="宋体" w:hAnsi="宋体" w:cs="仿宋"/>
          <w:szCs w:val="21"/>
          <w:u w:val="none" w:color="auto"/>
        </w:rPr>
      </w:pPr>
      <w:r>
        <w:rPr>
          <w:rFonts w:hint="eastAsia" w:ascii="宋体" w:hAnsi="宋体" w:cs="仿宋"/>
          <w:szCs w:val="21"/>
          <w:u w:val="none" w:color="auto"/>
        </w:rPr>
        <w:t>我单位响应你单位</w:t>
      </w:r>
      <w:r>
        <w:rPr>
          <w:rFonts w:hint="eastAsia" w:ascii="宋体" w:hAnsi="宋体" w:cs="仿宋"/>
          <w:szCs w:val="21"/>
          <w:u w:val="single" w:color="auto"/>
          <w:lang w:val="en-US" w:eastAsia="zh-CN"/>
        </w:rPr>
        <w:t xml:space="preserve">        </w:t>
      </w:r>
      <w:r>
        <w:rPr>
          <w:rFonts w:hint="eastAsia" w:ascii="宋体" w:hAnsi="宋体" w:cs="仿宋"/>
          <w:szCs w:val="21"/>
          <w:u w:val="none" w:color="auto"/>
        </w:rPr>
        <w:t>项目招标要求参加投标，在这次投标过程中和中标后，我们将严格遵守国家法律法规要求，并郑重承诺:</w:t>
      </w:r>
    </w:p>
    <w:p w14:paraId="17442C55">
      <w:pPr>
        <w:spacing w:line="360" w:lineRule="auto"/>
        <w:ind w:firstLine="420" w:firstLineChars="200"/>
        <w:rPr>
          <w:rFonts w:hint="eastAsia" w:ascii="宋体" w:hAnsi="宋体" w:cs="仿宋"/>
          <w:szCs w:val="21"/>
          <w:u w:val="none" w:color="auto"/>
        </w:rPr>
      </w:pPr>
      <w:r>
        <w:rPr>
          <w:rFonts w:hint="eastAsia" w:ascii="宋体" w:hAnsi="宋体" w:cs="仿宋"/>
          <w:szCs w:val="21"/>
          <w:u w:val="none" w:color="auto"/>
        </w:rPr>
        <w:t>一、不向项目有关人员及部门赠送礼金礼物、有价证券、回扣以及中介费、介绍费、咨询费等好处费。</w:t>
      </w:r>
    </w:p>
    <w:p w14:paraId="47AE63D6">
      <w:pPr>
        <w:spacing w:line="360" w:lineRule="auto"/>
        <w:ind w:firstLine="420" w:firstLineChars="200"/>
        <w:rPr>
          <w:rFonts w:hint="eastAsia" w:ascii="宋体" w:hAnsi="宋体" w:cs="仿宋"/>
          <w:szCs w:val="21"/>
          <w:u w:val="none" w:color="auto"/>
        </w:rPr>
      </w:pPr>
      <w:r>
        <w:rPr>
          <w:rFonts w:hint="eastAsia" w:ascii="宋体" w:hAnsi="宋体" w:cs="仿宋"/>
          <w:szCs w:val="21"/>
          <w:u w:val="none" w:color="auto"/>
        </w:rPr>
        <w:t>二、不为项目有关人员及部门报销应由你方单位或个人支付的费用;</w:t>
      </w:r>
    </w:p>
    <w:p w14:paraId="3918F5E0">
      <w:pPr>
        <w:spacing w:line="360" w:lineRule="auto"/>
        <w:ind w:firstLine="420" w:firstLineChars="200"/>
        <w:rPr>
          <w:rFonts w:hint="eastAsia" w:ascii="宋体" w:hAnsi="宋体" w:cs="仿宋"/>
          <w:szCs w:val="21"/>
          <w:u w:val="none" w:color="auto"/>
        </w:rPr>
      </w:pPr>
      <w:r>
        <w:rPr>
          <w:rFonts w:hint="eastAsia" w:ascii="宋体" w:hAnsi="宋体" w:cs="仿宋"/>
          <w:szCs w:val="21"/>
          <w:u w:val="none" w:color="auto"/>
        </w:rPr>
        <w:t>三、不向项目有关人员及部门提供有可能影响公正的宴请和健身娱乐等活动;</w:t>
      </w:r>
    </w:p>
    <w:p w14:paraId="0EC92721">
      <w:pPr>
        <w:spacing w:line="360" w:lineRule="auto"/>
        <w:ind w:firstLine="420" w:firstLineChars="200"/>
        <w:rPr>
          <w:rFonts w:hint="eastAsia" w:ascii="宋体" w:hAnsi="宋体" w:cs="仿宋"/>
          <w:szCs w:val="21"/>
          <w:u w:val="none" w:color="auto"/>
        </w:rPr>
      </w:pPr>
      <w:r>
        <w:rPr>
          <w:rFonts w:hint="eastAsia" w:ascii="宋体" w:hAnsi="宋体" w:cs="仿宋"/>
          <w:szCs w:val="21"/>
          <w:u w:val="none" w:color="auto"/>
        </w:rPr>
        <w:t>四、不为项目有关人员及部门出国(境)、旅游等提供方便；</w:t>
      </w:r>
    </w:p>
    <w:p w14:paraId="40DA9E92">
      <w:pPr>
        <w:spacing w:line="360" w:lineRule="auto"/>
        <w:ind w:firstLine="420" w:firstLineChars="200"/>
        <w:rPr>
          <w:rFonts w:hint="eastAsia" w:ascii="宋体" w:hAnsi="宋体" w:cs="仿宋"/>
          <w:szCs w:val="21"/>
          <w:u w:val="none" w:color="auto"/>
        </w:rPr>
      </w:pPr>
      <w:r>
        <w:rPr>
          <w:rFonts w:hint="eastAsia" w:ascii="宋体" w:hAnsi="宋体" w:cs="仿宋"/>
          <w:szCs w:val="21"/>
          <w:u w:val="none" w:color="auto"/>
        </w:rPr>
        <w:t>五、不为项目有关人员个人装修住房、婚丧嫁娶、配偶子女工作安排等提供好处;</w:t>
      </w:r>
    </w:p>
    <w:p w14:paraId="01CF771C">
      <w:pPr>
        <w:spacing w:line="360" w:lineRule="auto"/>
        <w:ind w:firstLine="420" w:firstLineChars="200"/>
        <w:rPr>
          <w:rFonts w:hint="eastAsia" w:ascii="宋体" w:hAnsi="宋体" w:cs="仿宋"/>
          <w:szCs w:val="21"/>
          <w:u w:val="none" w:color="auto"/>
        </w:rPr>
      </w:pPr>
      <w:r>
        <w:rPr>
          <w:rFonts w:hint="eastAsia" w:ascii="宋体" w:hAnsi="宋体" w:cs="仿宋"/>
          <w:szCs w:val="21"/>
          <w:u w:val="none" w:color="auto"/>
        </w:rPr>
        <w:t>六、严格遵守政府采购法、民法典等法律，诚实守信，合法经营，坚决抵制各种违法违纪行为。</w:t>
      </w:r>
    </w:p>
    <w:p w14:paraId="744A467E">
      <w:pPr>
        <w:spacing w:line="360" w:lineRule="auto"/>
        <w:ind w:firstLine="420" w:firstLineChars="200"/>
        <w:rPr>
          <w:rFonts w:hint="eastAsia" w:ascii="宋体" w:hAnsi="宋体" w:cs="仿宋"/>
          <w:szCs w:val="21"/>
          <w:u w:val="none" w:color="auto"/>
        </w:rPr>
      </w:pPr>
      <w:r>
        <w:rPr>
          <w:rFonts w:hint="eastAsia" w:ascii="宋体" w:hAnsi="宋体" w:cs="仿宋"/>
          <w:szCs w:val="21"/>
          <w:u w:val="none" w:color="auto"/>
        </w:rPr>
        <w:t>如违反上述承诺，你单位有权立即取消我单位投标、中标资格，有权拒绝我单位在一定时期内进入你单位进行项目建设或其他经营活动，并通报政府采购监管部门，由此引起的相应损失均由我单位承担。</w:t>
      </w:r>
    </w:p>
    <w:p w14:paraId="0AD17591">
      <w:pPr>
        <w:rPr>
          <w:rFonts w:hint="eastAsia" w:ascii="宋体" w:hAnsi="宋体"/>
          <w:szCs w:val="21"/>
          <w:u w:val="none" w:color="auto"/>
        </w:rPr>
      </w:pPr>
    </w:p>
    <w:p w14:paraId="245DFD4E">
      <w:pPr>
        <w:rPr>
          <w:rFonts w:hint="eastAsia" w:ascii="宋体" w:hAnsi="宋体" w:cs="仿宋"/>
          <w:szCs w:val="21"/>
          <w:u w:val="none" w:color="auto"/>
        </w:rPr>
      </w:pPr>
    </w:p>
    <w:p w14:paraId="430DA451">
      <w:pPr>
        <w:snapToGrid w:val="0"/>
        <w:spacing w:before="50" w:line="312" w:lineRule="auto"/>
        <w:jc w:val="left"/>
        <w:rPr>
          <w:rFonts w:hint="eastAsia" w:ascii="宋体" w:hAnsi="宋体"/>
          <w:b/>
          <w:spacing w:val="20"/>
          <w:sz w:val="28"/>
          <w:u w:val="none" w:color="auto"/>
        </w:rPr>
      </w:pPr>
      <w:r>
        <w:rPr>
          <w:rFonts w:hint="eastAsia" w:ascii="宋体" w:hAnsi="宋体"/>
          <w:u w:val="none" w:color="auto"/>
        </w:rPr>
        <w:t>投标人名称（盖章）：                      日期：</w:t>
      </w:r>
    </w:p>
    <w:p w14:paraId="25505E75">
      <w:pPr>
        <w:pStyle w:val="12"/>
        <w:snapToGrid w:val="0"/>
        <w:spacing w:before="156"/>
        <w:rPr>
          <w:rFonts w:hint="eastAsia" w:hAnsi="宋体" w:eastAsia="宋体"/>
          <w:b/>
          <w:spacing w:val="20"/>
          <w:sz w:val="28"/>
          <w:u w:val="none" w:color="auto"/>
        </w:rPr>
      </w:pPr>
    </w:p>
    <w:p w14:paraId="6A5AC3BD">
      <w:pPr>
        <w:pStyle w:val="12"/>
        <w:snapToGrid w:val="0"/>
        <w:spacing w:before="156"/>
        <w:rPr>
          <w:rFonts w:hint="eastAsia" w:hAnsi="宋体" w:eastAsia="宋体"/>
          <w:b/>
          <w:spacing w:val="20"/>
          <w:sz w:val="28"/>
          <w:u w:val="none" w:color="auto"/>
        </w:rPr>
      </w:pPr>
    </w:p>
    <w:p w14:paraId="77901965">
      <w:pPr>
        <w:pStyle w:val="12"/>
        <w:snapToGrid w:val="0"/>
        <w:spacing w:before="120"/>
        <w:rPr>
          <w:rFonts w:hint="eastAsia" w:asciiTheme="minorEastAsia" w:hAnsiTheme="minorEastAsia" w:eastAsiaTheme="minorEastAsia"/>
          <w:b/>
          <w:sz w:val="28"/>
          <w:u w:val="none" w:color="auto"/>
        </w:rPr>
      </w:pPr>
    </w:p>
    <w:p w14:paraId="23473697">
      <w:pPr>
        <w:pStyle w:val="12"/>
        <w:snapToGrid w:val="0"/>
        <w:spacing w:before="120"/>
        <w:rPr>
          <w:rFonts w:hint="eastAsia" w:asciiTheme="minorEastAsia" w:hAnsiTheme="minorEastAsia" w:eastAsiaTheme="minorEastAsia"/>
          <w:b/>
          <w:sz w:val="28"/>
          <w:u w:val="none" w:color="auto"/>
        </w:rPr>
      </w:pPr>
    </w:p>
    <w:p w14:paraId="274C5A60">
      <w:pPr>
        <w:pStyle w:val="12"/>
        <w:snapToGrid w:val="0"/>
        <w:spacing w:before="120"/>
        <w:rPr>
          <w:rFonts w:hint="eastAsia" w:asciiTheme="minorEastAsia" w:hAnsiTheme="minorEastAsia" w:eastAsiaTheme="minorEastAsia"/>
          <w:b/>
          <w:sz w:val="28"/>
          <w:u w:val="none" w:color="auto"/>
        </w:rPr>
      </w:pPr>
    </w:p>
    <w:p w14:paraId="14580E40">
      <w:pPr>
        <w:pStyle w:val="12"/>
        <w:snapToGrid w:val="0"/>
        <w:spacing w:before="120"/>
        <w:rPr>
          <w:rFonts w:hint="eastAsia" w:asciiTheme="minorEastAsia" w:hAnsiTheme="minorEastAsia" w:eastAsiaTheme="minorEastAsia"/>
          <w:b/>
          <w:sz w:val="28"/>
          <w:u w:val="none" w:color="auto"/>
        </w:rPr>
      </w:pPr>
    </w:p>
    <w:p w14:paraId="47A4950D">
      <w:pPr>
        <w:pStyle w:val="12"/>
        <w:snapToGrid w:val="0"/>
        <w:spacing w:before="120"/>
        <w:rPr>
          <w:rFonts w:hint="eastAsia" w:asciiTheme="minorEastAsia" w:hAnsiTheme="minorEastAsia" w:eastAsiaTheme="minorEastAsia"/>
          <w:b/>
          <w:sz w:val="28"/>
          <w:u w:val="none" w:color="auto"/>
        </w:rPr>
      </w:pPr>
    </w:p>
    <w:p w14:paraId="17A5916A">
      <w:pPr>
        <w:pStyle w:val="12"/>
        <w:snapToGrid w:val="0"/>
        <w:spacing w:before="120"/>
        <w:rPr>
          <w:rFonts w:hint="eastAsia" w:asciiTheme="minorEastAsia" w:hAnsiTheme="minorEastAsia" w:eastAsiaTheme="minorEastAsia"/>
          <w:b/>
          <w:sz w:val="28"/>
          <w:u w:val="none" w:color="auto"/>
        </w:rPr>
      </w:pPr>
    </w:p>
    <w:p w14:paraId="3E90844F">
      <w:pPr>
        <w:pStyle w:val="12"/>
        <w:snapToGrid w:val="0"/>
        <w:spacing w:before="120"/>
        <w:rPr>
          <w:rFonts w:hint="eastAsia" w:asciiTheme="minorEastAsia" w:hAnsiTheme="minorEastAsia" w:eastAsiaTheme="minorEastAsia"/>
          <w:b/>
          <w:sz w:val="28"/>
          <w:u w:val="none" w:color="auto"/>
        </w:rPr>
      </w:pPr>
    </w:p>
    <w:p w14:paraId="0F011009">
      <w:pPr>
        <w:pStyle w:val="12"/>
        <w:snapToGrid w:val="0"/>
        <w:spacing w:before="120"/>
        <w:rPr>
          <w:rFonts w:hint="eastAsia" w:asciiTheme="minorEastAsia" w:hAnsiTheme="minorEastAsia" w:eastAsiaTheme="minorEastAsia"/>
          <w:b/>
          <w:sz w:val="28"/>
          <w:u w:val="none" w:color="auto"/>
        </w:rPr>
      </w:pPr>
    </w:p>
    <w:p w14:paraId="3A18697F">
      <w:pPr>
        <w:pStyle w:val="12"/>
        <w:snapToGrid w:val="0"/>
        <w:spacing w:before="120"/>
        <w:rPr>
          <w:rFonts w:hint="eastAsia" w:asciiTheme="minorEastAsia" w:hAnsiTheme="minorEastAsia" w:eastAsiaTheme="minorEastAsia"/>
          <w:b/>
          <w:sz w:val="28"/>
          <w:u w:val="none" w:color="auto"/>
        </w:rPr>
      </w:pPr>
    </w:p>
    <w:p w14:paraId="18202510">
      <w:pPr>
        <w:pStyle w:val="12"/>
        <w:snapToGrid w:val="0"/>
        <w:spacing w:before="120"/>
        <w:rPr>
          <w:rFonts w:hint="eastAsia" w:asciiTheme="minorEastAsia" w:hAnsiTheme="minorEastAsia" w:eastAsiaTheme="minorEastAsia"/>
          <w:b/>
          <w:sz w:val="28"/>
          <w:u w:val="none" w:color="auto"/>
        </w:rPr>
      </w:pPr>
    </w:p>
    <w:p w14:paraId="20CA7A4D">
      <w:pPr>
        <w:snapToGrid w:val="0"/>
        <w:spacing w:line="360" w:lineRule="auto"/>
        <w:ind w:right="-341"/>
        <w:jc w:val="center"/>
        <w:rPr>
          <w:rFonts w:ascii="Times New Roman" w:hAnsi="Times New Roman"/>
          <w:b/>
          <w:sz w:val="28"/>
          <w:szCs w:val="28"/>
          <w:u w:val="none" w:color="auto"/>
        </w:rPr>
      </w:pPr>
    </w:p>
    <w:p w14:paraId="7C9DE667">
      <w:pPr>
        <w:snapToGrid w:val="0"/>
        <w:spacing w:line="360" w:lineRule="auto"/>
        <w:ind w:right="-341"/>
        <w:jc w:val="center"/>
        <w:rPr>
          <w:rFonts w:ascii="Times New Roman" w:hAnsi="Times New Roman"/>
          <w:b/>
          <w:sz w:val="28"/>
          <w:szCs w:val="28"/>
          <w:u w:val="none" w:color="auto"/>
        </w:rPr>
      </w:pPr>
    </w:p>
    <w:p w14:paraId="050AFA95">
      <w:pPr>
        <w:snapToGrid w:val="0"/>
        <w:spacing w:line="360" w:lineRule="auto"/>
        <w:ind w:right="-341"/>
        <w:jc w:val="center"/>
        <w:rPr>
          <w:rFonts w:hint="eastAsia" w:ascii="宋体" w:hAnsi="宋体" w:cs="宋体"/>
          <w:b/>
          <w:kern w:val="0"/>
          <w:sz w:val="28"/>
          <w:szCs w:val="28"/>
          <w:u w:val="none" w:color="auto"/>
        </w:rPr>
      </w:pPr>
      <w:r>
        <w:rPr>
          <w:rFonts w:hint="eastAsia" w:ascii="Times New Roman" w:hAnsi="Times New Roman"/>
          <w:b/>
          <w:sz w:val="28"/>
          <w:szCs w:val="28"/>
          <w:u w:val="none" w:color="auto"/>
        </w:rPr>
        <w:t>七、</w:t>
      </w:r>
      <w:r>
        <w:rPr>
          <w:rFonts w:hint="eastAsia" w:ascii="宋体" w:hAnsi="宋体" w:cs="宋体"/>
          <w:b/>
          <w:kern w:val="0"/>
          <w:sz w:val="28"/>
          <w:szCs w:val="28"/>
          <w:u w:val="none" w:color="auto"/>
        </w:rPr>
        <w:t>中小企业声明函（工程、服务）</w:t>
      </w:r>
    </w:p>
    <w:p w14:paraId="3469A37C">
      <w:pPr>
        <w:snapToGrid w:val="0"/>
        <w:spacing w:line="360" w:lineRule="auto"/>
        <w:ind w:right="-341"/>
        <w:rPr>
          <w:rFonts w:hint="eastAsia" w:ascii="宋体" w:hAnsi="宋体" w:cs="宋体"/>
          <w:kern w:val="0"/>
          <w:szCs w:val="21"/>
          <w:u w:val="none" w:color="auto"/>
        </w:rPr>
      </w:pPr>
    </w:p>
    <w:p w14:paraId="24772AF9">
      <w:pPr>
        <w:snapToGrid w:val="0"/>
        <w:spacing w:line="360" w:lineRule="auto"/>
        <w:ind w:right="-341"/>
        <w:rPr>
          <w:rFonts w:hint="eastAsia" w:ascii="宋体" w:hAnsi="宋体" w:cs="宋体"/>
          <w:kern w:val="0"/>
          <w:szCs w:val="21"/>
          <w:u w:val="none" w:color="auto"/>
        </w:rPr>
      </w:pPr>
    </w:p>
    <w:p w14:paraId="4AA3DA32">
      <w:pPr>
        <w:snapToGrid w:val="0"/>
        <w:spacing w:line="360" w:lineRule="auto"/>
        <w:ind w:right="-341" w:firstLine="420" w:firstLineChars="200"/>
        <w:rPr>
          <w:rFonts w:hint="eastAsia" w:ascii="宋体" w:hAnsi="宋体" w:cs="宋体"/>
          <w:kern w:val="0"/>
          <w:szCs w:val="21"/>
          <w:u w:val="none" w:color="auto"/>
        </w:rPr>
      </w:pPr>
      <w:r>
        <w:rPr>
          <w:rFonts w:hint="eastAsia" w:ascii="宋体" w:hAnsi="宋体" w:cs="宋体"/>
          <w:kern w:val="0"/>
          <w:szCs w:val="21"/>
          <w:u w:val="none" w:color="auto"/>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538F15A8">
      <w:pPr>
        <w:snapToGrid w:val="0"/>
        <w:spacing w:line="360" w:lineRule="auto"/>
        <w:ind w:right="-341" w:firstLine="420" w:firstLineChars="200"/>
        <w:rPr>
          <w:rFonts w:hint="eastAsia" w:ascii="宋体" w:hAnsi="宋体" w:cs="宋体"/>
          <w:kern w:val="0"/>
          <w:szCs w:val="21"/>
          <w:u w:val="none" w:color="auto"/>
        </w:rPr>
      </w:pPr>
      <w:r>
        <w:rPr>
          <w:rFonts w:hint="eastAsia" w:ascii="宋体" w:hAnsi="宋体" w:cs="宋体"/>
          <w:kern w:val="0"/>
          <w:szCs w:val="21"/>
          <w:u w:val="none" w:color="auto"/>
        </w:rPr>
        <w:t>1.（标的名称），属于（采购文件中明确的所属行业）；承建（承接）企业为（企业名称），从业人员人，营业收入为万元，资产总额为万元，属于（中型企业、小型企业、微型企业）；</w:t>
      </w:r>
    </w:p>
    <w:p w14:paraId="78E9A7C6">
      <w:pPr>
        <w:snapToGrid w:val="0"/>
        <w:spacing w:line="360" w:lineRule="auto"/>
        <w:ind w:right="-341" w:firstLine="420" w:firstLineChars="200"/>
        <w:rPr>
          <w:rFonts w:hint="eastAsia" w:ascii="宋体" w:hAnsi="宋体" w:cs="宋体"/>
          <w:kern w:val="0"/>
          <w:szCs w:val="21"/>
          <w:u w:val="none" w:color="auto"/>
        </w:rPr>
      </w:pPr>
      <w:r>
        <w:rPr>
          <w:rFonts w:hint="eastAsia" w:ascii="宋体" w:hAnsi="宋体" w:cs="宋体"/>
          <w:kern w:val="0"/>
          <w:szCs w:val="21"/>
          <w:u w:val="none" w:color="auto"/>
        </w:rPr>
        <w:t>2.（标的名称），属于（采购文件中明确的所属行业）；承建（承接）企业为（企业名称），从业人员人，营业收入为万元，资产总额为万元，属于（中型企业、小型企业、微型企业）；</w:t>
      </w:r>
    </w:p>
    <w:p w14:paraId="3C367367">
      <w:pPr>
        <w:snapToGrid w:val="0"/>
        <w:spacing w:line="360" w:lineRule="auto"/>
        <w:ind w:right="-341"/>
        <w:rPr>
          <w:rFonts w:hint="eastAsia" w:ascii="宋体" w:hAnsi="宋体" w:cs="宋体"/>
          <w:kern w:val="0"/>
          <w:szCs w:val="21"/>
          <w:u w:val="none" w:color="auto"/>
        </w:rPr>
      </w:pPr>
      <w:r>
        <w:rPr>
          <w:rFonts w:hint="eastAsia" w:ascii="宋体" w:hAnsi="宋体" w:cs="宋体"/>
          <w:kern w:val="0"/>
          <w:szCs w:val="21"/>
          <w:u w:val="none" w:color="auto"/>
        </w:rPr>
        <w:t>……</w:t>
      </w:r>
    </w:p>
    <w:p w14:paraId="2F895188">
      <w:pPr>
        <w:snapToGrid w:val="0"/>
        <w:spacing w:line="360" w:lineRule="auto"/>
        <w:ind w:right="-341" w:firstLine="420" w:firstLineChars="200"/>
        <w:rPr>
          <w:rFonts w:hint="eastAsia" w:ascii="宋体" w:hAnsi="宋体" w:cs="宋体"/>
          <w:kern w:val="0"/>
          <w:szCs w:val="21"/>
          <w:u w:val="none" w:color="auto"/>
        </w:rPr>
      </w:pPr>
      <w:r>
        <w:rPr>
          <w:rFonts w:hint="eastAsia" w:ascii="宋体" w:hAnsi="宋体" w:cs="宋体"/>
          <w:kern w:val="0"/>
          <w:szCs w:val="21"/>
          <w:u w:val="none" w:color="auto"/>
        </w:rPr>
        <w:t>以上企业，不属于大企业的分支机构，不存在控股股东为大企业的情形，也不存在与大企业的负责人为同一人的情形。</w:t>
      </w:r>
    </w:p>
    <w:p w14:paraId="72C77CB4">
      <w:pPr>
        <w:snapToGrid w:val="0"/>
        <w:spacing w:line="360" w:lineRule="auto"/>
        <w:ind w:right="-341" w:firstLine="420" w:firstLineChars="200"/>
        <w:rPr>
          <w:rFonts w:hint="eastAsia" w:ascii="宋体" w:hAnsi="宋体" w:cs="宋体"/>
          <w:kern w:val="0"/>
          <w:szCs w:val="21"/>
          <w:u w:val="none" w:color="auto"/>
        </w:rPr>
      </w:pPr>
      <w:r>
        <w:rPr>
          <w:rFonts w:hint="eastAsia" w:ascii="宋体" w:hAnsi="宋体" w:cs="宋体"/>
          <w:kern w:val="0"/>
          <w:szCs w:val="21"/>
          <w:u w:val="none" w:color="auto"/>
        </w:rPr>
        <w:t>本企业对上述声明内容的真实性负责。如有虚假，将依法承担相应责任。</w:t>
      </w:r>
    </w:p>
    <w:p w14:paraId="4A7CEE91">
      <w:pPr>
        <w:snapToGrid w:val="0"/>
        <w:spacing w:line="360" w:lineRule="auto"/>
        <w:ind w:right="-341"/>
        <w:rPr>
          <w:rFonts w:hint="eastAsia" w:ascii="宋体" w:hAnsi="宋体" w:cs="宋体"/>
          <w:kern w:val="0"/>
          <w:szCs w:val="21"/>
          <w:u w:val="none" w:color="auto"/>
        </w:rPr>
      </w:pPr>
    </w:p>
    <w:p w14:paraId="3BE2C85E">
      <w:pPr>
        <w:snapToGrid w:val="0"/>
        <w:spacing w:line="360" w:lineRule="auto"/>
        <w:ind w:right="-341"/>
        <w:rPr>
          <w:rFonts w:hint="eastAsia" w:ascii="宋体" w:hAnsi="宋体" w:cs="宋体"/>
          <w:kern w:val="0"/>
          <w:szCs w:val="21"/>
          <w:u w:val="none" w:color="auto"/>
        </w:rPr>
      </w:pPr>
      <w:r>
        <w:rPr>
          <w:rFonts w:hint="eastAsia" w:ascii="宋体" w:hAnsi="宋体" w:cs="宋体"/>
          <w:kern w:val="0"/>
          <w:szCs w:val="21"/>
          <w:u w:val="none" w:color="auto"/>
        </w:rPr>
        <w:t>企业名称（盖章）：</w:t>
      </w:r>
    </w:p>
    <w:p w14:paraId="5C5F7581">
      <w:pPr>
        <w:snapToGrid w:val="0"/>
        <w:spacing w:line="360" w:lineRule="auto"/>
        <w:ind w:right="-341"/>
        <w:jc w:val="left"/>
        <w:rPr>
          <w:rFonts w:hint="eastAsia" w:ascii="宋体" w:hAnsi="宋体" w:cs="宋体"/>
          <w:kern w:val="0"/>
          <w:szCs w:val="21"/>
          <w:u w:val="none" w:color="auto"/>
        </w:rPr>
      </w:pPr>
    </w:p>
    <w:p w14:paraId="2D89AC77">
      <w:pPr>
        <w:spacing w:line="360" w:lineRule="auto"/>
        <w:ind w:firstLine="630" w:firstLineChars="300"/>
        <w:rPr>
          <w:rFonts w:hint="eastAsia" w:ascii="宋体" w:hAnsi="宋体" w:eastAsia="等线"/>
          <w:szCs w:val="22"/>
          <w:u w:val="none" w:color="auto"/>
        </w:rPr>
        <w:sectPr>
          <w:pgSz w:w="11906" w:h="16838"/>
          <w:pgMar w:top="1304" w:right="1531" w:bottom="1304" w:left="1531" w:header="567" w:footer="1304" w:gutter="0"/>
          <w:cols w:space="720" w:num="1"/>
          <w:docGrid w:linePitch="286" w:charSpace="0"/>
        </w:sectPr>
      </w:pPr>
      <w:r>
        <w:rPr>
          <w:rFonts w:hint="eastAsia" w:ascii="宋体" w:hAnsi="宋体" w:cs="宋体"/>
          <w:kern w:val="0"/>
          <w:szCs w:val="21"/>
          <w:u w:val="none" w:color="auto"/>
        </w:rPr>
        <w:t>日期：</w:t>
      </w:r>
    </w:p>
    <w:p w14:paraId="12B35F77">
      <w:pPr>
        <w:snapToGrid w:val="0"/>
        <w:spacing w:line="360" w:lineRule="auto"/>
        <w:ind w:right="-341"/>
        <w:rPr>
          <w:rFonts w:ascii="Times New Roman" w:hAnsi="Times New Roman"/>
          <w:szCs w:val="22"/>
          <w:u w:val="none" w:color="auto"/>
        </w:rPr>
      </w:pPr>
    </w:p>
    <w:p w14:paraId="164D3DF8">
      <w:pPr>
        <w:spacing w:after="120"/>
        <w:rPr>
          <w:rFonts w:ascii="Times New Roman" w:hAnsi="Times New Roman"/>
          <w:szCs w:val="22"/>
          <w:u w:val="none" w:color="auto"/>
        </w:rPr>
      </w:pPr>
    </w:p>
    <w:p w14:paraId="0347E8A3">
      <w:pPr>
        <w:spacing w:line="360" w:lineRule="auto"/>
        <w:ind w:firstLine="3132" w:firstLineChars="1300"/>
        <w:rPr>
          <w:rFonts w:ascii="Times New Roman" w:hAnsi="Times New Roman"/>
          <w:b/>
          <w:sz w:val="24"/>
          <w:u w:val="none" w:color="auto"/>
        </w:rPr>
      </w:pPr>
      <w:r>
        <w:rPr>
          <w:rFonts w:hint="eastAsia" w:ascii="Times New Roman" w:hAnsi="Times New Roman"/>
          <w:b/>
          <w:sz w:val="24"/>
          <w:u w:val="none" w:color="auto"/>
        </w:rPr>
        <w:t>监狱企业声明函</w:t>
      </w:r>
    </w:p>
    <w:p w14:paraId="2E0BE807">
      <w:pPr>
        <w:spacing w:line="360" w:lineRule="auto"/>
        <w:ind w:firstLine="2640" w:firstLineChars="1100"/>
        <w:rPr>
          <w:rFonts w:ascii="Times New Roman" w:hAnsi="Times New Roman"/>
          <w:sz w:val="24"/>
          <w:u w:val="none" w:color="auto"/>
        </w:rPr>
      </w:pPr>
      <w:r>
        <w:rPr>
          <w:rFonts w:hint="eastAsia" w:ascii="Times New Roman" w:hAnsi="Times New Roman"/>
          <w:sz w:val="24"/>
          <w:u w:val="none" w:color="auto"/>
        </w:rPr>
        <w:t>【非监狱企业不用提供】</w:t>
      </w:r>
    </w:p>
    <w:p w14:paraId="24C468A0">
      <w:pPr>
        <w:spacing w:line="360" w:lineRule="auto"/>
        <w:ind w:firstLine="480"/>
        <w:rPr>
          <w:rFonts w:ascii="Times New Roman" w:hAnsi="Times New Roman"/>
          <w:szCs w:val="21"/>
          <w:u w:val="none" w:color="auto"/>
        </w:rPr>
      </w:pPr>
    </w:p>
    <w:p w14:paraId="04AEA6FD">
      <w:pPr>
        <w:spacing w:line="360" w:lineRule="auto"/>
        <w:ind w:firstLine="525" w:firstLineChars="250"/>
        <w:rPr>
          <w:rFonts w:ascii="Times New Roman" w:hAnsi="Times New Roman"/>
          <w:szCs w:val="21"/>
          <w:u w:val="none" w:color="auto"/>
        </w:rPr>
      </w:pPr>
      <w:r>
        <w:rPr>
          <w:rFonts w:hint="eastAsia" w:ascii="Times New Roman" w:hAnsi="Times New Roman"/>
          <w:szCs w:val="21"/>
          <w:u w:val="none" w:color="auto"/>
        </w:rPr>
        <w:t>监狱企业参加政府采购活动时，应当提供由省级以上监狱管理本企业郑重声明，根据《关于政府采购支持监狱企业发展有关问题的通知》（财库</w:t>
      </w:r>
      <w:r>
        <w:rPr>
          <w:rFonts w:ascii="Times New Roman" w:hAnsi="Times New Roman"/>
          <w:szCs w:val="21"/>
          <w:u w:val="none" w:color="auto"/>
        </w:rPr>
        <w:t>[2014]68</w:t>
      </w:r>
      <w:r>
        <w:rPr>
          <w:rFonts w:hint="eastAsia" w:ascii="Times New Roman" w:hAnsi="Times New Roman"/>
          <w:szCs w:val="21"/>
          <w:u w:val="none" w:color="auto"/>
        </w:rPr>
        <w:t>号）的规定，本企业为监狱企业。</w:t>
      </w:r>
    </w:p>
    <w:p w14:paraId="12239144">
      <w:pPr>
        <w:spacing w:line="360" w:lineRule="auto"/>
        <w:ind w:firstLine="480"/>
        <w:rPr>
          <w:rFonts w:ascii="Times New Roman" w:hAnsi="Times New Roman"/>
          <w:szCs w:val="21"/>
          <w:u w:val="none" w:color="auto"/>
        </w:rPr>
      </w:pPr>
      <w:r>
        <w:rPr>
          <w:rFonts w:hint="eastAsia" w:ascii="Times New Roman" w:hAnsi="Times New Roman"/>
          <w:szCs w:val="21"/>
          <w:u w:val="none" w:color="auto"/>
        </w:rPr>
        <w:t>根据上述标准，我企业属于监狱企业的理由为：。</w:t>
      </w:r>
    </w:p>
    <w:p w14:paraId="6A4BB1B6">
      <w:pPr>
        <w:spacing w:line="360" w:lineRule="auto"/>
        <w:ind w:firstLine="480"/>
        <w:rPr>
          <w:rFonts w:ascii="Times New Roman" w:hAnsi="Times New Roman"/>
          <w:szCs w:val="21"/>
          <w:u w:val="none" w:color="auto"/>
        </w:rPr>
      </w:pPr>
      <w:r>
        <w:rPr>
          <w:rFonts w:hint="eastAsia" w:ascii="Times New Roman" w:hAnsi="Times New Roman"/>
          <w:szCs w:val="21"/>
          <w:u w:val="none" w:color="auto"/>
        </w:rPr>
        <w:t>本企业为参加（项目名称：）（项目编号：）采购活动提供本企业的产品。</w:t>
      </w:r>
    </w:p>
    <w:p w14:paraId="7C435DD8">
      <w:pPr>
        <w:spacing w:line="360" w:lineRule="auto"/>
        <w:ind w:firstLine="480"/>
        <w:rPr>
          <w:rFonts w:ascii="Times New Roman" w:hAnsi="Times New Roman"/>
          <w:szCs w:val="21"/>
          <w:u w:val="none" w:color="auto"/>
        </w:rPr>
      </w:pPr>
      <w:r>
        <w:rPr>
          <w:rFonts w:hint="eastAsia" w:ascii="Times New Roman" w:hAnsi="Times New Roman"/>
          <w:szCs w:val="21"/>
          <w:u w:val="none" w:color="auto"/>
        </w:rPr>
        <w:t>本企业对上述声明的真实性负责。如有虚假，将依法承担相应责任。</w:t>
      </w:r>
    </w:p>
    <w:p w14:paraId="549D45EA">
      <w:pPr>
        <w:spacing w:line="360" w:lineRule="auto"/>
        <w:ind w:firstLine="480"/>
        <w:rPr>
          <w:rFonts w:ascii="Times New Roman" w:hAnsi="Times New Roman"/>
          <w:szCs w:val="21"/>
          <w:u w:val="none" w:color="auto"/>
        </w:rPr>
      </w:pPr>
    </w:p>
    <w:p w14:paraId="7B050471">
      <w:pPr>
        <w:spacing w:line="360" w:lineRule="auto"/>
        <w:ind w:firstLine="480"/>
        <w:rPr>
          <w:rFonts w:ascii="Times New Roman" w:hAnsi="Times New Roman"/>
          <w:szCs w:val="21"/>
          <w:u w:val="none" w:color="auto"/>
        </w:rPr>
      </w:pPr>
      <w:r>
        <w:rPr>
          <w:rFonts w:hint="eastAsia" w:ascii="Times New Roman" w:hAnsi="Times New Roman"/>
          <w:szCs w:val="21"/>
          <w:u w:val="none" w:color="auto"/>
        </w:rPr>
        <w:t>投标人名称（盖章）：</w:t>
      </w:r>
    </w:p>
    <w:p w14:paraId="707F4917">
      <w:pPr>
        <w:spacing w:line="360" w:lineRule="auto"/>
        <w:ind w:firstLine="480"/>
        <w:rPr>
          <w:rFonts w:ascii="Times New Roman" w:hAnsi="Times New Roman"/>
          <w:szCs w:val="21"/>
          <w:u w:val="none" w:color="auto"/>
        </w:rPr>
      </w:pPr>
      <w:r>
        <w:rPr>
          <w:rFonts w:hint="eastAsia" w:ascii="Times New Roman" w:hAnsi="Times New Roman"/>
          <w:szCs w:val="21"/>
          <w:u w:val="none" w:color="auto"/>
        </w:rPr>
        <w:t>日期：年月日</w:t>
      </w:r>
    </w:p>
    <w:p w14:paraId="00649306">
      <w:pPr>
        <w:spacing w:line="360" w:lineRule="auto"/>
        <w:ind w:firstLine="480"/>
        <w:rPr>
          <w:rFonts w:ascii="Times New Roman" w:hAnsi="Times New Roman"/>
          <w:szCs w:val="21"/>
          <w:u w:val="none" w:color="auto"/>
        </w:rPr>
      </w:pPr>
    </w:p>
    <w:p w14:paraId="50BA5C44">
      <w:pPr>
        <w:spacing w:line="360" w:lineRule="auto"/>
        <w:ind w:firstLine="480"/>
        <w:rPr>
          <w:rFonts w:ascii="Times New Roman" w:hAnsi="Times New Roman"/>
          <w:szCs w:val="21"/>
          <w:u w:val="none" w:color="auto"/>
        </w:rPr>
      </w:pPr>
    </w:p>
    <w:p w14:paraId="419AC49E">
      <w:pPr>
        <w:spacing w:line="360" w:lineRule="auto"/>
        <w:ind w:firstLine="480"/>
        <w:rPr>
          <w:rFonts w:ascii="Times New Roman" w:hAnsi="Times New Roman"/>
          <w:szCs w:val="21"/>
          <w:u w:val="none" w:color="auto"/>
        </w:rPr>
      </w:pPr>
      <w:r>
        <w:rPr>
          <w:rFonts w:hint="eastAsia" w:ascii="Times New Roman" w:hAnsi="Times New Roman"/>
          <w:szCs w:val="21"/>
          <w:u w:val="none" w:color="auto"/>
        </w:rPr>
        <w:t>投标人为监狱企业的提供此函。</w:t>
      </w:r>
    </w:p>
    <w:p w14:paraId="7E83EABD">
      <w:pPr>
        <w:spacing w:line="360" w:lineRule="auto"/>
        <w:ind w:firstLine="480"/>
        <w:rPr>
          <w:rFonts w:ascii="Times New Roman" w:hAnsi="Times New Roman"/>
          <w:szCs w:val="21"/>
          <w:u w:val="none" w:color="auto"/>
        </w:rPr>
      </w:pPr>
      <w:r>
        <w:rPr>
          <w:rFonts w:hint="eastAsia" w:ascii="Times New Roman" w:hAnsi="Times New Roman"/>
          <w:szCs w:val="21"/>
          <w:u w:val="none" w:color="auto"/>
        </w:rPr>
        <w:t>局、戒毒管理局（含新疆生产建设兵团）出具的属于监狱企业的证明文件。</w:t>
      </w:r>
    </w:p>
    <w:p w14:paraId="4C537ED9">
      <w:pPr>
        <w:spacing w:line="360" w:lineRule="auto"/>
        <w:ind w:firstLine="480"/>
        <w:rPr>
          <w:rFonts w:ascii="Times New Roman" w:hAnsi="Times New Roman"/>
          <w:szCs w:val="21"/>
          <w:u w:val="none" w:color="auto"/>
        </w:rPr>
      </w:pPr>
      <w:r>
        <w:rPr>
          <w:rFonts w:hint="eastAsia" w:ascii="Times New Roman" w:hAnsi="Times New Roman"/>
          <w:szCs w:val="21"/>
          <w:u w:val="none" w:color="auto"/>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5E4C12A">
      <w:pPr>
        <w:spacing w:line="360" w:lineRule="auto"/>
        <w:ind w:firstLine="480"/>
        <w:rPr>
          <w:rFonts w:ascii="Times New Roman" w:hAnsi="Times New Roman"/>
          <w:szCs w:val="21"/>
          <w:u w:val="none" w:color="auto"/>
        </w:rPr>
      </w:pPr>
    </w:p>
    <w:p w14:paraId="6F63839A">
      <w:pPr>
        <w:spacing w:line="360" w:lineRule="auto"/>
        <w:ind w:firstLine="480"/>
        <w:rPr>
          <w:rFonts w:ascii="Times New Roman" w:hAnsi="Times New Roman"/>
          <w:szCs w:val="21"/>
          <w:u w:val="none" w:color="auto"/>
        </w:rPr>
      </w:pPr>
    </w:p>
    <w:p w14:paraId="746AA9A9">
      <w:pPr>
        <w:spacing w:line="360" w:lineRule="auto"/>
        <w:ind w:firstLine="480"/>
        <w:rPr>
          <w:rFonts w:ascii="Times New Roman" w:hAnsi="Times New Roman"/>
          <w:szCs w:val="21"/>
          <w:u w:val="none" w:color="auto"/>
        </w:rPr>
      </w:pPr>
    </w:p>
    <w:p w14:paraId="6D7CC1EC">
      <w:pPr>
        <w:spacing w:line="360" w:lineRule="auto"/>
        <w:ind w:firstLine="480"/>
        <w:rPr>
          <w:rFonts w:ascii="Times New Roman" w:hAnsi="Times New Roman"/>
          <w:szCs w:val="21"/>
          <w:u w:val="none" w:color="auto"/>
        </w:rPr>
      </w:pPr>
    </w:p>
    <w:p w14:paraId="7A8CD23D">
      <w:pPr>
        <w:spacing w:line="360" w:lineRule="auto"/>
        <w:ind w:firstLine="480"/>
        <w:rPr>
          <w:rFonts w:ascii="Times New Roman" w:hAnsi="Times New Roman"/>
          <w:szCs w:val="21"/>
          <w:u w:val="none" w:color="auto"/>
        </w:rPr>
      </w:pPr>
    </w:p>
    <w:p w14:paraId="3DC6F538">
      <w:pPr>
        <w:spacing w:line="360" w:lineRule="auto"/>
        <w:ind w:firstLine="480"/>
        <w:rPr>
          <w:rFonts w:ascii="Times New Roman" w:hAnsi="Times New Roman"/>
          <w:szCs w:val="21"/>
          <w:u w:val="none" w:color="auto"/>
        </w:rPr>
      </w:pPr>
    </w:p>
    <w:p w14:paraId="45AE7A7A">
      <w:pPr>
        <w:spacing w:line="360" w:lineRule="auto"/>
        <w:ind w:firstLine="480"/>
        <w:rPr>
          <w:rFonts w:ascii="Times New Roman" w:hAnsi="Times New Roman"/>
          <w:szCs w:val="21"/>
          <w:u w:val="none" w:color="auto"/>
        </w:rPr>
      </w:pPr>
    </w:p>
    <w:p w14:paraId="12895BC0">
      <w:pPr>
        <w:spacing w:line="360" w:lineRule="auto"/>
        <w:ind w:firstLine="480"/>
        <w:rPr>
          <w:rFonts w:ascii="Times New Roman" w:hAnsi="Times New Roman"/>
          <w:szCs w:val="21"/>
          <w:u w:val="none" w:color="auto"/>
        </w:rPr>
      </w:pPr>
    </w:p>
    <w:p w14:paraId="19803F1E">
      <w:pPr>
        <w:spacing w:line="360" w:lineRule="auto"/>
        <w:ind w:firstLine="480"/>
        <w:rPr>
          <w:rFonts w:ascii="Times New Roman" w:hAnsi="Times New Roman"/>
          <w:szCs w:val="21"/>
          <w:u w:val="none" w:color="auto"/>
        </w:rPr>
      </w:pPr>
    </w:p>
    <w:p w14:paraId="30962687">
      <w:pPr>
        <w:spacing w:line="360" w:lineRule="auto"/>
        <w:ind w:firstLine="480"/>
        <w:rPr>
          <w:rFonts w:ascii="Times New Roman" w:hAnsi="Times New Roman"/>
          <w:szCs w:val="21"/>
          <w:u w:val="none" w:color="auto"/>
        </w:rPr>
      </w:pPr>
    </w:p>
    <w:p w14:paraId="783B6F48">
      <w:pPr>
        <w:spacing w:line="360" w:lineRule="auto"/>
        <w:ind w:firstLine="480"/>
        <w:rPr>
          <w:rFonts w:ascii="Times New Roman" w:hAnsi="Times New Roman"/>
          <w:szCs w:val="21"/>
          <w:u w:val="none" w:color="auto"/>
        </w:rPr>
      </w:pPr>
    </w:p>
    <w:p w14:paraId="0FF0C11C">
      <w:pPr>
        <w:spacing w:line="360" w:lineRule="auto"/>
        <w:ind w:firstLine="480"/>
        <w:rPr>
          <w:rFonts w:ascii="Times New Roman" w:hAnsi="Times New Roman"/>
          <w:szCs w:val="21"/>
          <w:u w:val="none" w:color="auto"/>
        </w:rPr>
      </w:pPr>
    </w:p>
    <w:p w14:paraId="0A166A91">
      <w:pPr>
        <w:spacing w:line="360" w:lineRule="auto"/>
        <w:ind w:firstLine="480"/>
        <w:rPr>
          <w:rFonts w:ascii="Times New Roman" w:hAnsi="Times New Roman"/>
          <w:szCs w:val="21"/>
          <w:u w:val="none" w:color="auto"/>
        </w:rPr>
      </w:pPr>
    </w:p>
    <w:p w14:paraId="3940F3A8">
      <w:pPr>
        <w:spacing w:line="360" w:lineRule="auto"/>
        <w:ind w:firstLine="105" w:firstLineChars="50"/>
        <w:rPr>
          <w:rFonts w:ascii="Times New Roman" w:hAnsi="Times New Roman"/>
          <w:szCs w:val="21"/>
          <w:u w:val="none" w:color="auto"/>
        </w:rPr>
      </w:pPr>
    </w:p>
    <w:p w14:paraId="2A073E12">
      <w:pPr>
        <w:spacing w:line="360" w:lineRule="auto"/>
        <w:rPr>
          <w:rFonts w:ascii="Times New Roman" w:hAnsi="Times New Roman"/>
          <w:b/>
          <w:sz w:val="24"/>
          <w:u w:val="none" w:color="auto"/>
        </w:rPr>
      </w:pPr>
    </w:p>
    <w:p w14:paraId="23BFF989">
      <w:pPr>
        <w:spacing w:line="360" w:lineRule="auto"/>
        <w:jc w:val="center"/>
        <w:rPr>
          <w:rFonts w:ascii="Times New Roman" w:hAnsi="Times New Roman"/>
          <w:b/>
          <w:sz w:val="24"/>
          <w:u w:val="none" w:color="auto"/>
        </w:rPr>
      </w:pPr>
    </w:p>
    <w:p w14:paraId="14F46EE8">
      <w:pPr>
        <w:spacing w:line="360" w:lineRule="auto"/>
        <w:jc w:val="center"/>
        <w:rPr>
          <w:rFonts w:ascii="Times New Roman" w:hAnsi="Times New Roman"/>
          <w:b/>
          <w:sz w:val="24"/>
          <w:u w:val="none" w:color="auto"/>
        </w:rPr>
      </w:pPr>
      <w:r>
        <w:rPr>
          <w:rFonts w:hint="eastAsia" w:ascii="Times New Roman" w:hAnsi="Times New Roman"/>
          <w:b/>
          <w:sz w:val="24"/>
          <w:u w:val="none" w:color="auto"/>
        </w:rPr>
        <w:t>残疾人福利性单位声明函</w:t>
      </w:r>
    </w:p>
    <w:p w14:paraId="70FE29A8">
      <w:pPr>
        <w:spacing w:line="360" w:lineRule="auto"/>
        <w:ind w:firstLine="2835" w:firstLineChars="1350"/>
        <w:rPr>
          <w:rFonts w:ascii="Times New Roman" w:hAnsi="Times New Roman"/>
          <w:szCs w:val="21"/>
          <w:u w:val="none" w:color="auto"/>
        </w:rPr>
      </w:pPr>
      <w:r>
        <w:rPr>
          <w:rFonts w:hint="eastAsia" w:ascii="Times New Roman" w:hAnsi="Times New Roman"/>
          <w:szCs w:val="21"/>
          <w:u w:val="none" w:color="auto"/>
        </w:rPr>
        <w:t>【非残疾人福利性单位不用提供】</w:t>
      </w:r>
    </w:p>
    <w:p w14:paraId="0EC2B78C">
      <w:pPr>
        <w:spacing w:line="360" w:lineRule="auto"/>
        <w:rPr>
          <w:rFonts w:ascii="Times New Roman" w:hAnsi="Times New Roman"/>
          <w:szCs w:val="21"/>
          <w:u w:val="none" w:color="auto"/>
        </w:rPr>
      </w:pPr>
    </w:p>
    <w:p w14:paraId="27D010E9">
      <w:pPr>
        <w:spacing w:line="360" w:lineRule="auto"/>
        <w:ind w:firstLine="420" w:firstLineChars="200"/>
        <w:rPr>
          <w:rFonts w:ascii="Times New Roman" w:hAnsi="Times New Roman"/>
          <w:szCs w:val="21"/>
          <w:u w:val="none" w:color="auto"/>
        </w:rPr>
      </w:pPr>
      <w:r>
        <w:rPr>
          <w:rFonts w:hint="eastAsia" w:ascii="Times New Roman" w:hAnsi="Times New Roman"/>
          <w:szCs w:val="21"/>
          <w:u w:val="none" w:color="auto"/>
        </w:rPr>
        <w:t>本单位郑重声明，根据《财政部民政部中国残疾人联合会关于促进残疾人就业政府采购政策的通知》（财库〔</w:t>
      </w:r>
      <w:r>
        <w:rPr>
          <w:rFonts w:ascii="Times New Roman" w:hAnsi="Times New Roman"/>
          <w:szCs w:val="21"/>
          <w:u w:val="none" w:color="auto"/>
        </w:rPr>
        <w:t>2017</w:t>
      </w:r>
      <w:r>
        <w:rPr>
          <w:rFonts w:hint="eastAsia" w:ascii="Times New Roman" w:hAnsi="Times New Roman"/>
          <w:szCs w:val="21"/>
          <w:u w:val="none" w:color="auto"/>
        </w:rPr>
        <w:t>〕</w:t>
      </w:r>
      <w:r>
        <w:rPr>
          <w:rFonts w:ascii="Times New Roman" w:hAnsi="Times New Roman"/>
          <w:szCs w:val="21"/>
          <w:u w:val="none" w:color="auto"/>
        </w:rPr>
        <w:t>141</w:t>
      </w:r>
      <w:r>
        <w:rPr>
          <w:rFonts w:hint="eastAsia" w:ascii="Times New Roman" w:hAnsi="Times New Roman"/>
          <w:szCs w:val="21"/>
          <w:u w:val="none" w:color="auto"/>
        </w:rPr>
        <w:t>号）的规定，本单位为符合条件的残疾人福利性单位，且本单位参加（采购人名称）单位的（项目名称）项目采购活动提供本单位制造的货物（由本单位承担工程</w:t>
      </w:r>
      <w:r>
        <w:rPr>
          <w:rFonts w:ascii="Times New Roman" w:hAnsi="Times New Roman"/>
          <w:szCs w:val="21"/>
          <w:u w:val="none" w:color="auto"/>
        </w:rPr>
        <w:t>/</w:t>
      </w:r>
      <w:r>
        <w:rPr>
          <w:rFonts w:hint="eastAsia" w:ascii="Times New Roman" w:hAnsi="Times New Roman"/>
          <w:szCs w:val="21"/>
          <w:u w:val="none" w:color="auto"/>
        </w:rPr>
        <w:t>提供服务），或者提供其他残疾人福利性单位制造的货物（不包括使用非残疾人福利性单位注册商标的货物）。</w:t>
      </w:r>
    </w:p>
    <w:p w14:paraId="610D6A96">
      <w:pPr>
        <w:spacing w:line="360" w:lineRule="auto"/>
        <w:ind w:firstLine="420" w:firstLineChars="200"/>
        <w:rPr>
          <w:rFonts w:ascii="Times New Roman" w:hAnsi="Times New Roman"/>
          <w:szCs w:val="21"/>
          <w:u w:val="none" w:color="auto"/>
        </w:rPr>
      </w:pPr>
      <w:r>
        <w:rPr>
          <w:rFonts w:hint="eastAsia" w:ascii="Times New Roman" w:hAnsi="Times New Roman"/>
          <w:szCs w:val="21"/>
          <w:u w:val="none" w:color="auto"/>
        </w:rPr>
        <w:t>本单位对上述声明的真实性负责。如有虚假，将依法承担相应责任。</w:t>
      </w:r>
    </w:p>
    <w:p w14:paraId="2B28F4FA">
      <w:pPr>
        <w:spacing w:line="360" w:lineRule="auto"/>
        <w:rPr>
          <w:rFonts w:ascii="Times New Roman" w:hAnsi="Times New Roman"/>
          <w:szCs w:val="21"/>
          <w:u w:val="none" w:color="auto"/>
        </w:rPr>
      </w:pPr>
    </w:p>
    <w:p w14:paraId="701DC67A">
      <w:pPr>
        <w:spacing w:line="360" w:lineRule="auto"/>
        <w:rPr>
          <w:rFonts w:ascii="Times New Roman" w:hAnsi="Times New Roman"/>
          <w:szCs w:val="21"/>
          <w:u w:val="none" w:color="auto"/>
        </w:rPr>
      </w:pPr>
    </w:p>
    <w:p w14:paraId="787D2E6A">
      <w:pPr>
        <w:spacing w:line="360" w:lineRule="auto"/>
        <w:rPr>
          <w:rFonts w:ascii="Times New Roman" w:hAnsi="Times New Roman"/>
          <w:szCs w:val="21"/>
          <w:u w:val="none" w:color="auto"/>
        </w:rPr>
      </w:pPr>
      <w:r>
        <w:rPr>
          <w:rFonts w:hint="eastAsia" w:ascii="Times New Roman" w:hAnsi="Times New Roman"/>
          <w:szCs w:val="21"/>
          <w:u w:val="none" w:color="auto"/>
        </w:rPr>
        <w:t>投标人名称（盖章）：</w:t>
      </w:r>
    </w:p>
    <w:p w14:paraId="6B036A29">
      <w:pPr>
        <w:spacing w:line="360" w:lineRule="auto"/>
        <w:rPr>
          <w:rFonts w:ascii="Times New Roman" w:hAnsi="Times New Roman"/>
          <w:szCs w:val="21"/>
          <w:u w:val="none" w:color="auto"/>
        </w:rPr>
      </w:pPr>
      <w:r>
        <w:rPr>
          <w:rFonts w:hint="eastAsia" w:ascii="Times New Roman" w:hAnsi="Times New Roman"/>
          <w:szCs w:val="21"/>
          <w:u w:val="none" w:color="auto"/>
        </w:rPr>
        <w:t>日期：年月日</w:t>
      </w:r>
    </w:p>
    <w:p w14:paraId="5FD6FDBD">
      <w:pPr>
        <w:spacing w:line="360" w:lineRule="auto"/>
        <w:ind w:firstLine="480"/>
        <w:rPr>
          <w:rFonts w:ascii="Times New Roman" w:hAnsi="Times New Roman"/>
          <w:szCs w:val="21"/>
          <w:u w:val="none" w:color="auto"/>
        </w:rPr>
      </w:pPr>
      <w:r>
        <w:rPr>
          <w:rFonts w:hint="eastAsia" w:ascii="Times New Roman" w:hAnsi="Times New Roman"/>
          <w:szCs w:val="21"/>
          <w:u w:val="none" w:color="auto"/>
        </w:rPr>
        <w:t>说明：投标人为残疾人福利性单位的提供此函。</w:t>
      </w:r>
    </w:p>
    <w:p w14:paraId="6B30CA5E">
      <w:pPr>
        <w:snapToGrid w:val="0"/>
        <w:spacing w:line="360" w:lineRule="auto"/>
        <w:ind w:right="-341"/>
        <w:rPr>
          <w:rFonts w:ascii="Times New Roman" w:hAnsi="Times New Roman"/>
          <w:szCs w:val="22"/>
          <w:u w:val="none" w:color="auto"/>
        </w:rPr>
      </w:pPr>
    </w:p>
    <w:p w14:paraId="1D42D072">
      <w:pPr>
        <w:snapToGrid w:val="0"/>
        <w:spacing w:line="360" w:lineRule="auto"/>
        <w:ind w:right="-341"/>
        <w:rPr>
          <w:rFonts w:ascii="Times New Roman" w:hAnsi="Times New Roman"/>
          <w:szCs w:val="22"/>
          <w:u w:val="none" w:color="auto"/>
        </w:rPr>
      </w:pPr>
    </w:p>
    <w:p w14:paraId="18C28FAD">
      <w:pPr>
        <w:snapToGrid w:val="0"/>
        <w:spacing w:before="120" w:line="312" w:lineRule="auto"/>
        <w:ind w:right="-341"/>
        <w:jc w:val="center"/>
        <w:rPr>
          <w:rFonts w:ascii="Times New Roman" w:hAnsi="Times New Roman"/>
          <w:szCs w:val="22"/>
          <w:u w:val="none" w:color="auto"/>
        </w:rPr>
      </w:pPr>
    </w:p>
    <w:p w14:paraId="4B2B5338">
      <w:pPr>
        <w:snapToGrid w:val="0"/>
        <w:spacing w:line="360" w:lineRule="auto"/>
        <w:ind w:right="-341"/>
        <w:rPr>
          <w:rFonts w:ascii="Times New Roman" w:hAnsi="Times New Roman"/>
          <w:szCs w:val="22"/>
          <w:u w:val="none" w:color="auto"/>
        </w:rPr>
      </w:pPr>
    </w:p>
    <w:p w14:paraId="074FFB26">
      <w:pPr>
        <w:snapToGrid w:val="0"/>
        <w:spacing w:line="312" w:lineRule="auto"/>
        <w:ind w:right="-341"/>
        <w:rPr>
          <w:rFonts w:ascii="Times New Roman" w:hAnsi="Times New Roman"/>
          <w:b/>
          <w:szCs w:val="22"/>
          <w:u w:val="none" w:color="auto"/>
        </w:rPr>
      </w:pPr>
    </w:p>
    <w:p w14:paraId="4B9F2DFE">
      <w:pPr>
        <w:snapToGrid w:val="0"/>
        <w:spacing w:line="312" w:lineRule="auto"/>
        <w:ind w:right="-341"/>
        <w:rPr>
          <w:rFonts w:ascii="Times New Roman" w:hAnsi="Times New Roman"/>
          <w:b/>
          <w:szCs w:val="22"/>
          <w:u w:val="none" w:color="auto"/>
        </w:rPr>
      </w:pPr>
    </w:p>
    <w:p w14:paraId="4A40CE4B">
      <w:pPr>
        <w:snapToGrid w:val="0"/>
        <w:spacing w:line="312" w:lineRule="auto"/>
        <w:ind w:right="-341"/>
        <w:rPr>
          <w:rFonts w:ascii="Times New Roman" w:hAnsi="Times New Roman"/>
          <w:b/>
          <w:szCs w:val="22"/>
          <w:u w:val="none" w:color="auto"/>
        </w:rPr>
      </w:pPr>
    </w:p>
    <w:p w14:paraId="0F9E8E1E">
      <w:pPr>
        <w:snapToGrid w:val="0"/>
        <w:spacing w:line="312" w:lineRule="auto"/>
        <w:ind w:right="-341"/>
        <w:rPr>
          <w:rFonts w:ascii="Times New Roman" w:hAnsi="Times New Roman"/>
          <w:b/>
          <w:szCs w:val="22"/>
          <w:u w:val="none" w:color="auto"/>
        </w:rPr>
      </w:pPr>
    </w:p>
    <w:p w14:paraId="3FD0FDCD">
      <w:pPr>
        <w:snapToGrid w:val="0"/>
        <w:spacing w:line="312" w:lineRule="auto"/>
        <w:ind w:right="-341"/>
        <w:rPr>
          <w:rFonts w:ascii="Times New Roman" w:hAnsi="Times New Roman"/>
          <w:b/>
          <w:szCs w:val="22"/>
          <w:u w:val="none" w:color="auto"/>
        </w:rPr>
      </w:pPr>
    </w:p>
    <w:p w14:paraId="74C667B4">
      <w:pPr>
        <w:snapToGrid w:val="0"/>
        <w:spacing w:line="312" w:lineRule="auto"/>
        <w:ind w:right="-341"/>
        <w:rPr>
          <w:rFonts w:ascii="Times New Roman" w:hAnsi="Times New Roman"/>
          <w:b/>
          <w:szCs w:val="22"/>
          <w:u w:val="none" w:color="auto"/>
        </w:rPr>
      </w:pPr>
    </w:p>
    <w:p w14:paraId="31EA65D4">
      <w:pPr>
        <w:snapToGrid w:val="0"/>
        <w:spacing w:line="312" w:lineRule="auto"/>
        <w:ind w:right="-341"/>
        <w:rPr>
          <w:rFonts w:ascii="Times New Roman" w:hAnsi="Times New Roman"/>
          <w:b/>
          <w:szCs w:val="22"/>
          <w:u w:val="none" w:color="auto"/>
        </w:rPr>
      </w:pPr>
    </w:p>
    <w:p w14:paraId="7F741F2F">
      <w:pPr>
        <w:snapToGrid w:val="0"/>
        <w:spacing w:before="120" w:line="312" w:lineRule="auto"/>
        <w:ind w:right="-341"/>
        <w:rPr>
          <w:rFonts w:ascii="Times New Roman" w:hAnsi="Times New Roman"/>
          <w:b/>
          <w:sz w:val="32"/>
          <w:szCs w:val="22"/>
          <w:u w:val="none" w:color="auto"/>
        </w:rPr>
      </w:pPr>
    </w:p>
    <w:p w14:paraId="449A0665">
      <w:pPr>
        <w:rPr>
          <w:rFonts w:ascii="Times New Roman" w:hAnsi="Times New Roman"/>
          <w:sz w:val="18"/>
          <w:u w:val="none" w:color="auto"/>
        </w:rPr>
      </w:pPr>
    </w:p>
    <w:p w14:paraId="7EF2BE20">
      <w:pPr>
        <w:spacing w:after="120"/>
        <w:rPr>
          <w:rFonts w:ascii="Times New Roman" w:hAnsi="Times New Roman"/>
          <w:szCs w:val="22"/>
          <w:u w:val="none" w:color="auto"/>
        </w:rPr>
      </w:pPr>
    </w:p>
    <w:p w14:paraId="16DDF649">
      <w:pPr>
        <w:snapToGrid w:val="0"/>
        <w:spacing w:before="50" w:line="312" w:lineRule="auto"/>
        <w:rPr>
          <w:rFonts w:ascii="Times New Roman" w:hAnsi="Times New Roman"/>
          <w:b/>
          <w:sz w:val="24"/>
          <w:szCs w:val="22"/>
          <w:u w:val="none" w:color="auto"/>
        </w:rPr>
      </w:pPr>
    </w:p>
    <w:p w14:paraId="12F6E3C7">
      <w:pPr>
        <w:snapToGrid w:val="0"/>
        <w:spacing w:before="50" w:line="312" w:lineRule="auto"/>
        <w:jc w:val="center"/>
        <w:rPr>
          <w:rFonts w:ascii="Times New Roman" w:hAnsi="Times New Roman"/>
          <w:b/>
          <w:sz w:val="24"/>
          <w:szCs w:val="22"/>
          <w:u w:val="none" w:color="auto"/>
        </w:rPr>
      </w:pPr>
    </w:p>
    <w:p w14:paraId="6646CE95">
      <w:pPr>
        <w:snapToGrid w:val="0"/>
        <w:spacing w:before="50" w:line="312" w:lineRule="auto"/>
        <w:jc w:val="center"/>
        <w:rPr>
          <w:rFonts w:ascii="Times New Roman" w:hAnsi="Times New Roman"/>
          <w:b/>
          <w:sz w:val="24"/>
          <w:szCs w:val="22"/>
          <w:u w:val="none" w:color="auto"/>
        </w:rPr>
      </w:pPr>
    </w:p>
    <w:p w14:paraId="6AEC8578">
      <w:pPr>
        <w:snapToGrid w:val="0"/>
        <w:spacing w:before="50" w:line="312" w:lineRule="auto"/>
        <w:jc w:val="center"/>
        <w:rPr>
          <w:rFonts w:ascii="Times New Roman" w:hAnsi="Times New Roman"/>
          <w:b/>
          <w:sz w:val="24"/>
          <w:szCs w:val="22"/>
          <w:u w:val="none" w:color="auto"/>
        </w:rPr>
      </w:pPr>
    </w:p>
    <w:p w14:paraId="79AF834C">
      <w:pPr>
        <w:snapToGrid w:val="0"/>
        <w:spacing w:before="50" w:line="312" w:lineRule="auto"/>
        <w:jc w:val="center"/>
        <w:rPr>
          <w:rFonts w:ascii="Times New Roman" w:hAnsi="Times New Roman"/>
          <w:b/>
          <w:sz w:val="24"/>
          <w:szCs w:val="22"/>
          <w:u w:val="none" w:color="auto"/>
        </w:rPr>
      </w:pPr>
    </w:p>
    <w:p w14:paraId="331AAC8C">
      <w:pPr>
        <w:snapToGrid w:val="0"/>
        <w:spacing w:before="50" w:line="312" w:lineRule="auto"/>
        <w:jc w:val="center"/>
        <w:rPr>
          <w:rFonts w:ascii="Times New Roman" w:hAnsi="Times New Roman"/>
          <w:b/>
          <w:sz w:val="24"/>
          <w:szCs w:val="22"/>
          <w:u w:val="none" w:color="auto"/>
        </w:rPr>
      </w:pPr>
    </w:p>
    <w:p w14:paraId="622C4041">
      <w:pPr>
        <w:snapToGrid w:val="0"/>
        <w:spacing w:before="120" w:line="312" w:lineRule="auto"/>
        <w:ind w:right="-341"/>
        <w:rPr>
          <w:rFonts w:ascii="Times New Roman" w:hAnsi="Times New Roman"/>
          <w:b/>
          <w:sz w:val="28"/>
          <w:szCs w:val="28"/>
          <w:u w:val="none" w:color="auto"/>
        </w:rPr>
      </w:pPr>
    </w:p>
    <w:p w14:paraId="7611D19B">
      <w:pPr>
        <w:pStyle w:val="12"/>
        <w:snapToGrid w:val="0"/>
        <w:spacing w:before="120"/>
        <w:rPr>
          <w:rFonts w:hint="eastAsia" w:asciiTheme="minorEastAsia" w:hAnsiTheme="minorEastAsia" w:eastAsiaTheme="minorEastAsia"/>
          <w:b/>
          <w:sz w:val="28"/>
          <w:u w:val="none" w:color="auto"/>
        </w:rPr>
      </w:pPr>
    </w:p>
    <w:p w14:paraId="15DDBA70">
      <w:pPr>
        <w:snapToGrid w:val="0"/>
        <w:spacing w:before="50" w:line="312" w:lineRule="auto"/>
        <w:jc w:val="center"/>
        <w:rPr>
          <w:rFonts w:ascii="Times New Roman" w:hAnsi="Times New Roman"/>
          <w:b/>
          <w:sz w:val="24"/>
          <w:u w:val="none" w:color="auto"/>
        </w:rPr>
      </w:pPr>
      <w:r>
        <w:rPr>
          <w:rFonts w:hint="eastAsia" w:ascii="Times New Roman" w:hAnsi="Times New Roman"/>
          <w:b/>
          <w:sz w:val="24"/>
          <w:u w:val="none" w:color="auto"/>
        </w:rPr>
        <w:t>八、商务响应表：</w:t>
      </w:r>
    </w:p>
    <w:p w14:paraId="64A02699">
      <w:pPr>
        <w:snapToGrid w:val="0"/>
        <w:spacing w:before="50" w:line="312" w:lineRule="auto"/>
        <w:jc w:val="center"/>
        <w:rPr>
          <w:rFonts w:ascii="Times New Roman" w:hAnsi="Times New Roman"/>
          <w:b/>
          <w:sz w:val="24"/>
          <w:u w:val="none" w:color="auto"/>
        </w:rPr>
      </w:pPr>
    </w:p>
    <w:p w14:paraId="7A186E1D">
      <w:pPr>
        <w:snapToGrid w:val="0"/>
        <w:spacing w:line="312" w:lineRule="auto"/>
        <w:rPr>
          <w:rFonts w:ascii="Times New Roman" w:hAnsi="Times New Roman"/>
          <w:u w:val="none" w:color="auto"/>
        </w:rPr>
      </w:pPr>
      <w:r>
        <w:rPr>
          <w:rFonts w:hint="eastAsia" w:ascii="Times New Roman" w:hAnsi="Times New Roman"/>
          <w:u w:val="none" w:color="auto"/>
        </w:rPr>
        <w:t>项目名称：</w:t>
      </w:r>
    </w:p>
    <w:p w14:paraId="4425D22E">
      <w:pPr>
        <w:snapToGrid w:val="0"/>
        <w:spacing w:line="312" w:lineRule="auto"/>
        <w:rPr>
          <w:rFonts w:ascii="Times New Roman" w:hAnsi="Times New Roman"/>
          <w:u w:val="none" w:color="auto"/>
        </w:rPr>
      </w:pPr>
      <w:r>
        <w:rPr>
          <w:rFonts w:hint="eastAsia" w:ascii="Times New Roman" w:hAnsi="Times New Roman"/>
          <w:u w:val="none" w:color="auto"/>
        </w:rPr>
        <w:t>项目编号：</w:t>
      </w:r>
    </w:p>
    <w:tbl>
      <w:tblPr>
        <w:tblStyle w:val="29"/>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14:paraId="120A6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vAlign w:val="center"/>
          </w:tcPr>
          <w:p w14:paraId="18DBBC78">
            <w:pPr>
              <w:snapToGrid w:val="0"/>
              <w:spacing w:before="120" w:beforeLines="50" w:line="312" w:lineRule="auto"/>
              <w:jc w:val="center"/>
              <w:rPr>
                <w:rFonts w:ascii="Times New Roman" w:hAnsi="Times New Roman"/>
                <w:b/>
                <w:u w:val="none" w:color="auto"/>
              </w:rPr>
            </w:pPr>
            <w:r>
              <w:rPr>
                <w:rFonts w:hint="eastAsia" w:ascii="Times New Roman" w:hAnsi="Times New Roman"/>
                <w:b/>
                <w:u w:val="none" w:color="auto"/>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00D89E00">
            <w:pPr>
              <w:snapToGrid w:val="0"/>
              <w:spacing w:before="120" w:beforeLines="50" w:line="312" w:lineRule="auto"/>
              <w:jc w:val="center"/>
              <w:rPr>
                <w:rFonts w:ascii="Times New Roman" w:hAnsi="Times New Roman"/>
                <w:b/>
                <w:u w:val="none" w:color="auto"/>
              </w:rPr>
            </w:pPr>
            <w:r>
              <w:rPr>
                <w:rFonts w:hint="eastAsia" w:ascii="Times New Roman" w:hAnsi="Times New Roman"/>
                <w:b/>
                <w:u w:val="none" w:color="auto"/>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3EE4B10E">
            <w:pPr>
              <w:snapToGrid w:val="0"/>
              <w:spacing w:before="120" w:beforeLines="50" w:line="312" w:lineRule="auto"/>
              <w:jc w:val="center"/>
              <w:rPr>
                <w:rFonts w:ascii="Times New Roman" w:hAnsi="Times New Roman"/>
                <w:b/>
                <w:u w:val="none" w:color="auto"/>
              </w:rPr>
            </w:pPr>
            <w:r>
              <w:rPr>
                <w:rFonts w:hint="eastAsia" w:ascii="Times New Roman" w:hAnsi="Times New Roman"/>
                <w:b/>
                <w:u w:val="none" w:color="auto"/>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14:paraId="1936FFC8">
            <w:pPr>
              <w:snapToGrid w:val="0"/>
              <w:spacing w:before="120" w:beforeLines="50" w:line="312" w:lineRule="auto"/>
              <w:jc w:val="center"/>
              <w:rPr>
                <w:rFonts w:ascii="Times New Roman" w:hAnsi="Times New Roman"/>
                <w:b/>
                <w:u w:val="none" w:color="auto"/>
              </w:rPr>
            </w:pPr>
            <w:r>
              <w:rPr>
                <w:rFonts w:hint="eastAsia" w:ascii="Times New Roman" w:hAnsi="Times New Roman"/>
                <w:b/>
                <w:u w:val="none" w:color="auto"/>
              </w:rPr>
              <w:t>投标人的承诺或说明</w:t>
            </w:r>
          </w:p>
        </w:tc>
      </w:tr>
      <w:tr w14:paraId="35CF1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14:paraId="18FF2565">
            <w:pPr>
              <w:snapToGrid w:val="0"/>
              <w:spacing w:before="120" w:beforeLines="50" w:line="312" w:lineRule="auto"/>
              <w:rPr>
                <w:rFonts w:ascii="Times New Roman" w:hAnsi="Times New Roman"/>
                <w:sz w:val="24"/>
                <w:u w:val="none" w:color="auto"/>
              </w:rPr>
            </w:pPr>
          </w:p>
        </w:tc>
        <w:tc>
          <w:tcPr>
            <w:tcW w:w="3240" w:type="dxa"/>
            <w:tcBorders>
              <w:top w:val="single" w:color="auto" w:sz="4" w:space="0"/>
              <w:left w:val="single" w:color="auto" w:sz="4" w:space="0"/>
              <w:bottom w:val="single" w:color="auto" w:sz="4" w:space="0"/>
              <w:right w:val="single" w:color="auto" w:sz="4" w:space="0"/>
            </w:tcBorders>
          </w:tcPr>
          <w:p w14:paraId="28D8A9B3">
            <w:pPr>
              <w:snapToGrid w:val="0"/>
              <w:spacing w:before="120" w:beforeLines="50" w:after="360" w:line="312" w:lineRule="auto"/>
              <w:rPr>
                <w:rFonts w:ascii="Times New Roman" w:hAnsi="Times New Roman"/>
                <w:b/>
                <w:bCs/>
                <w:kern w:val="44"/>
                <w:sz w:val="24"/>
                <w:szCs w:val="20"/>
                <w:u w:val="none" w:color="auto"/>
              </w:rPr>
            </w:pPr>
          </w:p>
        </w:tc>
        <w:tc>
          <w:tcPr>
            <w:tcW w:w="1260" w:type="dxa"/>
            <w:tcBorders>
              <w:top w:val="single" w:color="auto" w:sz="4" w:space="0"/>
              <w:left w:val="single" w:color="auto" w:sz="4" w:space="0"/>
              <w:bottom w:val="single" w:color="auto" w:sz="4" w:space="0"/>
              <w:right w:val="single" w:color="auto" w:sz="4" w:space="0"/>
            </w:tcBorders>
          </w:tcPr>
          <w:p w14:paraId="5A2FA627">
            <w:pPr>
              <w:snapToGrid w:val="0"/>
              <w:spacing w:before="120" w:beforeLines="50" w:after="360" w:line="312" w:lineRule="auto"/>
              <w:rPr>
                <w:rFonts w:ascii="Times New Roman" w:hAnsi="Times New Roman"/>
                <w:b/>
                <w:bCs/>
                <w:kern w:val="44"/>
                <w:sz w:val="24"/>
                <w:szCs w:val="20"/>
                <w:u w:val="none" w:color="auto"/>
              </w:rPr>
            </w:pPr>
          </w:p>
        </w:tc>
        <w:tc>
          <w:tcPr>
            <w:tcW w:w="3020" w:type="dxa"/>
            <w:tcBorders>
              <w:top w:val="single" w:color="auto" w:sz="4" w:space="0"/>
              <w:left w:val="single" w:color="auto" w:sz="4" w:space="0"/>
              <w:bottom w:val="single" w:color="auto" w:sz="4" w:space="0"/>
              <w:right w:val="single" w:color="auto" w:sz="4" w:space="0"/>
            </w:tcBorders>
          </w:tcPr>
          <w:p w14:paraId="570F849C">
            <w:pPr>
              <w:snapToGrid w:val="0"/>
              <w:spacing w:before="120" w:beforeLines="50" w:after="360" w:line="312" w:lineRule="auto"/>
              <w:rPr>
                <w:rFonts w:ascii="Times New Roman" w:hAnsi="Times New Roman"/>
                <w:b/>
                <w:bCs/>
                <w:kern w:val="44"/>
                <w:sz w:val="24"/>
                <w:szCs w:val="20"/>
                <w:u w:val="none" w:color="auto"/>
              </w:rPr>
            </w:pPr>
          </w:p>
        </w:tc>
      </w:tr>
      <w:tr w14:paraId="19242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14:paraId="68B55DD8">
            <w:pPr>
              <w:widowControl/>
              <w:tabs>
                <w:tab w:val="left" w:pos="420"/>
                <w:tab w:val="left" w:pos="1418"/>
              </w:tabs>
              <w:overflowPunct w:val="0"/>
              <w:autoSpaceDE w:val="0"/>
              <w:autoSpaceDN w:val="0"/>
              <w:adjustRightInd w:val="0"/>
              <w:snapToGrid w:val="0"/>
              <w:spacing w:line="312" w:lineRule="auto"/>
              <w:jc w:val="center"/>
              <w:textAlignment w:val="baseline"/>
              <w:rPr>
                <w:rFonts w:ascii="Times New Roman" w:hAnsi="Times New Roman"/>
                <w:kern w:val="0"/>
                <w:sz w:val="24"/>
                <w:u w:val="none" w:color="auto"/>
              </w:rPr>
            </w:pPr>
          </w:p>
        </w:tc>
        <w:tc>
          <w:tcPr>
            <w:tcW w:w="3240" w:type="dxa"/>
            <w:tcBorders>
              <w:top w:val="single" w:color="auto" w:sz="4" w:space="0"/>
              <w:left w:val="single" w:color="auto" w:sz="4" w:space="0"/>
              <w:bottom w:val="single" w:color="auto" w:sz="4" w:space="0"/>
              <w:right w:val="single" w:color="auto" w:sz="4" w:space="0"/>
            </w:tcBorders>
          </w:tcPr>
          <w:p w14:paraId="6B3B0253">
            <w:pPr>
              <w:snapToGrid w:val="0"/>
              <w:spacing w:before="120" w:beforeLines="50" w:line="312" w:lineRule="auto"/>
              <w:rPr>
                <w:rFonts w:ascii="Times New Roman" w:hAnsi="Times New Roman"/>
                <w:sz w:val="24"/>
                <w:u w:val="none" w:color="auto"/>
              </w:rPr>
            </w:pPr>
          </w:p>
        </w:tc>
        <w:tc>
          <w:tcPr>
            <w:tcW w:w="1260" w:type="dxa"/>
            <w:tcBorders>
              <w:top w:val="single" w:color="auto" w:sz="4" w:space="0"/>
              <w:left w:val="single" w:color="auto" w:sz="4" w:space="0"/>
              <w:bottom w:val="single" w:color="auto" w:sz="4" w:space="0"/>
              <w:right w:val="single" w:color="auto" w:sz="4" w:space="0"/>
            </w:tcBorders>
          </w:tcPr>
          <w:p w14:paraId="7251FAB1">
            <w:pPr>
              <w:snapToGrid w:val="0"/>
              <w:spacing w:before="120" w:beforeLines="50" w:after="360" w:line="312" w:lineRule="auto"/>
              <w:rPr>
                <w:rFonts w:ascii="Times New Roman" w:hAnsi="Times New Roman"/>
                <w:b/>
                <w:bCs/>
                <w:kern w:val="44"/>
                <w:sz w:val="24"/>
                <w:szCs w:val="20"/>
                <w:u w:val="none" w:color="auto"/>
              </w:rPr>
            </w:pPr>
          </w:p>
        </w:tc>
        <w:tc>
          <w:tcPr>
            <w:tcW w:w="3020" w:type="dxa"/>
            <w:tcBorders>
              <w:top w:val="single" w:color="auto" w:sz="4" w:space="0"/>
              <w:left w:val="single" w:color="auto" w:sz="4" w:space="0"/>
              <w:bottom w:val="single" w:color="auto" w:sz="4" w:space="0"/>
              <w:right w:val="single" w:color="auto" w:sz="4" w:space="0"/>
            </w:tcBorders>
          </w:tcPr>
          <w:p w14:paraId="402E3A4E">
            <w:pPr>
              <w:snapToGrid w:val="0"/>
              <w:spacing w:before="120" w:beforeLines="50" w:after="360" w:line="312" w:lineRule="auto"/>
              <w:rPr>
                <w:rFonts w:ascii="Times New Roman" w:hAnsi="Times New Roman"/>
                <w:b/>
                <w:bCs/>
                <w:kern w:val="44"/>
                <w:sz w:val="24"/>
                <w:szCs w:val="20"/>
                <w:u w:val="none" w:color="auto"/>
              </w:rPr>
            </w:pPr>
          </w:p>
        </w:tc>
      </w:tr>
      <w:tr w14:paraId="1F60C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vAlign w:val="center"/>
          </w:tcPr>
          <w:p w14:paraId="5EAEF92B">
            <w:pPr>
              <w:snapToGrid w:val="0"/>
              <w:spacing w:line="312" w:lineRule="auto"/>
              <w:jc w:val="center"/>
              <w:rPr>
                <w:rFonts w:ascii="Times New Roman" w:hAnsi="Times New Roman"/>
                <w:sz w:val="24"/>
                <w:u w:val="none" w:color="auto"/>
              </w:rPr>
            </w:pPr>
          </w:p>
        </w:tc>
        <w:tc>
          <w:tcPr>
            <w:tcW w:w="3240" w:type="dxa"/>
            <w:tcBorders>
              <w:top w:val="single" w:color="auto" w:sz="4" w:space="0"/>
              <w:left w:val="single" w:color="auto" w:sz="4" w:space="0"/>
              <w:bottom w:val="single" w:color="auto" w:sz="4" w:space="0"/>
              <w:right w:val="single" w:color="auto" w:sz="4" w:space="0"/>
            </w:tcBorders>
          </w:tcPr>
          <w:p w14:paraId="4E447DA2">
            <w:pPr>
              <w:snapToGrid w:val="0"/>
              <w:spacing w:before="120" w:beforeLines="50" w:line="312" w:lineRule="auto"/>
              <w:rPr>
                <w:rFonts w:ascii="Times New Roman" w:hAnsi="Times New Roman"/>
                <w:sz w:val="24"/>
                <w:u w:val="none" w:color="auto"/>
              </w:rPr>
            </w:pPr>
          </w:p>
        </w:tc>
        <w:tc>
          <w:tcPr>
            <w:tcW w:w="1260" w:type="dxa"/>
            <w:tcBorders>
              <w:top w:val="single" w:color="auto" w:sz="4" w:space="0"/>
              <w:left w:val="single" w:color="auto" w:sz="4" w:space="0"/>
              <w:bottom w:val="single" w:color="auto" w:sz="4" w:space="0"/>
              <w:right w:val="single" w:color="auto" w:sz="4" w:space="0"/>
            </w:tcBorders>
          </w:tcPr>
          <w:p w14:paraId="1202AF92">
            <w:pPr>
              <w:snapToGrid w:val="0"/>
              <w:spacing w:before="120" w:beforeLines="50" w:after="360" w:line="312" w:lineRule="auto"/>
              <w:ind w:left="43"/>
              <w:rPr>
                <w:rFonts w:ascii="Times New Roman" w:hAnsi="Times New Roman"/>
                <w:b/>
                <w:bCs/>
                <w:kern w:val="44"/>
                <w:sz w:val="24"/>
                <w:szCs w:val="20"/>
                <w:u w:val="none" w:color="auto"/>
              </w:rPr>
            </w:pPr>
          </w:p>
        </w:tc>
        <w:tc>
          <w:tcPr>
            <w:tcW w:w="3020" w:type="dxa"/>
            <w:tcBorders>
              <w:top w:val="single" w:color="auto" w:sz="4" w:space="0"/>
              <w:left w:val="single" w:color="auto" w:sz="4" w:space="0"/>
              <w:bottom w:val="single" w:color="auto" w:sz="4" w:space="0"/>
              <w:right w:val="single" w:color="auto" w:sz="4" w:space="0"/>
            </w:tcBorders>
          </w:tcPr>
          <w:p w14:paraId="3D24057B">
            <w:pPr>
              <w:snapToGrid w:val="0"/>
              <w:spacing w:before="120" w:beforeLines="50" w:after="360" w:line="312" w:lineRule="auto"/>
              <w:ind w:left="43"/>
              <w:rPr>
                <w:rFonts w:ascii="Times New Roman" w:hAnsi="Times New Roman"/>
                <w:b/>
                <w:bCs/>
                <w:kern w:val="44"/>
                <w:sz w:val="24"/>
                <w:szCs w:val="20"/>
                <w:u w:val="none" w:color="auto"/>
              </w:rPr>
            </w:pPr>
          </w:p>
        </w:tc>
      </w:tr>
      <w:tr w14:paraId="1AFBA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14:paraId="1F41BAD5">
            <w:pPr>
              <w:snapToGrid w:val="0"/>
              <w:spacing w:line="312" w:lineRule="auto"/>
              <w:jc w:val="center"/>
              <w:rPr>
                <w:rFonts w:ascii="Times New Roman" w:hAnsi="Times New Roman"/>
                <w:sz w:val="24"/>
                <w:u w:val="none" w:color="auto"/>
              </w:rPr>
            </w:pPr>
          </w:p>
        </w:tc>
        <w:tc>
          <w:tcPr>
            <w:tcW w:w="3240" w:type="dxa"/>
            <w:tcBorders>
              <w:top w:val="single" w:color="auto" w:sz="4" w:space="0"/>
              <w:left w:val="single" w:color="auto" w:sz="4" w:space="0"/>
              <w:bottom w:val="single" w:color="auto" w:sz="4" w:space="0"/>
              <w:right w:val="single" w:color="auto" w:sz="4" w:space="0"/>
            </w:tcBorders>
          </w:tcPr>
          <w:p w14:paraId="73C3937E">
            <w:pPr>
              <w:snapToGrid w:val="0"/>
              <w:spacing w:before="120" w:beforeLines="50" w:line="312" w:lineRule="auto"/>
              <w:rPr>
                <w:rFonts w:ascii="Times New Roman" w:hAnsi="Times New Roman"/>
                <w:sz w:val="24"/>
                <w:u w:val="none" w:color="auto"/>
              </w:rPr>
            </w:pPr>
          </w:p>
        </w:tc>
        <w:tc>
          <w:tcPr>
            <w:tcW w:w="1260" w:type="dxa"/>
            <w:tcBorders>
              <w:top w:val="single" w:color="auto" w:sz="4" w:space="0"/>
              <w:left w:val="single" w:color="auto" w:sz="4" w:space="0"/>
              <w:bottom w:val="single" w:color="auto" w:sz="4" w:space="0"/>
              <w:right w:val="single" w:color="auto" w:sz="4" w:space="0"/>
            </w:tcBorders>
          </w:tcPr>
          <w:p w14:paraId="5A113D89">
            <w:pPr>
              <w:snapToGrid w:val="0"/>
              <w:spacing w:before="120" w:beforeLines="50" w:after="360" w:line="312" w:lineRule="auto"/>
              <w:rPr>
                <w:rFonts w:ascii="Times New Roman" w:hAnsi="Times New Roman"/>
                <w:b/>
                <w:bCs/>
                <w:kern w:val="44"/>
                <w:sz w:val="24"/>
                <w:szCs w:val="20"/>
                <w:u w:val="none" w:color="auto"/>
              </w:rPr>
            </w:pPr>
          </w:p>
        </w:tc>
        <w:tc>
          <w:tcPr>
            <w:tcW w:w="3020" w:type="dxa"/>
            <w:tcBorders>
              <w:top w:val="single" w:color="auto" w:sz="4" w:space="0"/>
              <w:left w:val="single" w:color="auto" w:sz="4" w:space="0"/>
              <w:bottom w:val="single" w:color="auto" w:sz="4" w:space="0"/>
              <w:right w:val="single" w:color="auto" w:sz="4" w:space="0"/>
            </w:tcBorders>
          </w:tcPr>
          <w:p w14:paraId="119676FB">
            <w:pPr>
              <w:snapToGrid w:val="0"/>
              <w:spacing w:before="120" w:beforeLines="50" w:after="360" w:line="312" w:lineRule="auto"/>
              <w:rPr>
                <w:rFonts w:ascii="Times New Roman" w:hAnsi="Times New Roman"/>
                <w:b/>
                <w:bCs/>
                <w:kern w:val="44"/>
                <w:sz w:val="24"/>
                <w:szCs w:val="20"/>
                <w:u w:val="none" w:color="auto"/>
              </w:rPr>
            </w:pPr>
          </w:p>
        </w:tc>
      </w:tr>
      <w:tr w14:paraId="0F77B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018D3BDD">
            <w:pPr>
              <w:snapToGrid w:val="0"/>
              <w:spacing w:before="120" w:beforeLines="50" w:line="312" w:lineRule="auto"/>
              <w:rPr>
                <w:rFonts w:ascii="Times New Roman" w:hAnsi="Times New Roman"/>
                <w:sz w:val="24"/>
                <w:u w:val="none" w:color="auto"/>
              </w:rPr>
            </w:pPr>
          </w:p>
        </w:tc>
        <w:tc>
          <w:tcPr>
            <w:tcW w:w="3240" w:type="dxa"/>
            <w:tcBorders>
              <w:top w:val="single" w:color="auto" w:sz="4" w:space="0"/>
              <w:left w:val="single" w:color="auto" w:sz="4" w:space="0"/>
              <w:bottom w:val="single" w:color="auto" w:sz="4" w:space="0"/>
              <w:right w:val="single" w:color="auto" w:sz="4" w:space="0"/>
            </w:tcBorders>
          </w:tcPr>
          <w:p w14:paraId="339CD4D1">
            <w:pPr>
              <w:snapToGrid w:val="0"/>
              <w:spacing w:before="120" w:beforeLines="50" w:after="360" w:line="312" w:lineRule="auto"/>
              <w:rPr>
                <w:rFonts w:ascii="Times New Roman" w:hAnsi="Times New Roman"/>
                <w:b/>
                <w:bCs/>
                <w:kern w:val="44"/>
                <w:sz w:val="24"/>
                <w:szCs w:val="20"/>
                <w:u w:val="none" w:color="auto"/>
              </w:rPr>
            </w:pPr>
          </w:p>
        </w:tc>
        <w:tc>
          <w:tcPr>
            <w:tcW w:w="1260" w:type="dxa"/>
            <w:tcBorders>
              <w:top w:val="single" w:color="auto" w:sz="4" w:space="0"/>
              <w:left w:val="single" w:color="auto" w:sz="4" w:space="0"/>
              <w:bottom w:val="single" w:color="auto" w:sz="4" w:space="0"/>
              <w:right w:val="single" w:color="auto" w:sz="4" w:space="0"/>
            </w:tcBorders>
          </w:tcPr>
          <w:p w14:paraId="77F2BFB7">
            <w:pPr>
              <w:snapToGrid w:val="0"/>
              <w:spacing w:before="120" w:beforeLines="50" w:after="360" w:line="312" w:lineRule="auto"/>
              <w:rPr>
                <w:rFonts w:ascii="Times New Roman" w:hAnsi="Times New Roman"/>
                <w:b/>
                <w:bCs/>
                <w:kern w:val="44"/>
                <w:sz w:val="24"/>
                <w:szCs w:val="20"/>
                <w:u w:val="none" w:color="auto"/>
              </w:rPr>
            </w:pPr>
          </w:p>
        </w:tc>
        <w:tc>
          <w:tcPr>
            <w:tcW w:w="3020" w:type="dxa"/>
            <w:tcBorders>
              <w:top w:val="single" w:color="auto" w:sz="4" w:space="0"/>
              <w:left w:val="single" w:color="auto" w:sz="4" w:space="0"/>
              <w:bottom w:val="single" w:color="auto" w:sz="4" w:space="0"/>
              <w:right w:val="single" w:color="auto" w:sz="4" w:space="0"/>
            </w:tcBorders>
          </w:tcPr>
          <w:p w14:paraId="12056A60">
            <w:pPr>
              <w:snapToGrid w:val="0"/>
              <w:spacing w:before="120" w:beforeLines="50" w:after="360" w:line="312" w:lineRule="auto"/>
              <w:rPr>
                <w:rFonts w:ascii="Times New Roman" w:hAnsi="Times New Roman"/>
                <w:b/>
                <w:bCs/>
                <w:kern w:val="44"/>
                <w:sz w:val="24"/>
                <w:szCs w:val="20"/>
                <w:u w:val="none" w:color="auto"/>
              </w:rPr>
            </w:pPr>
          </w:p>
        </w:tc>
      </w:tr>
      <w:tr w14:paraId="043DD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378C1F69">
            <w:pPr>
              <w:snapToGrid w:val="0"/>
              <w:spacing w:before="120" w:beforeLines="50" w:line="312" w:lineRule="auto"/>
              <w:rPr>
                <w:rFonts w:ascii="Times New Roman" w:hAnsi="Times New Roman"/>
                <w:sz w:val="24"/>
                <w:u w:val="none" w:color="auto"/>
              </w:rPr>
            </w:pPr>
          </w:p>
        </w:tc>
        <w:tc>
          <w:tcPr>
            <w:tcW w:w="3240" w:type="dxa"/>
            <w:tcBorders>
              <w:top w:val="single" w:color="auto" w:sz="4" w:space="0"/>
              <w:left w:val="single" w:color="auto" w:sz="4" w:space="0"/>
              <w:bottom w:val="single" w:color="auto" w:sz="4" w:space="0"/>
              <w:right w:val="single" w:color="auto" w:sz="4" w:space="0"/>
            </w:tcBorders>
          </w:tcPr>
          <w:p w14:paraId="242C258E">
            <w:pPr>
              <w:snapToGrid w:val="0"/>
              <w:spacing w:before="120" w:beforeLines="50" w:after="360" w:line="312" w:lineRule="auto"/>
              <w:rPr>
                <w:rFonts w:ascii="Times New Roman" w:hAnsi="Times New Roman"/>
                <w:b/>
                <w:bCs/>
                <w:kern w:val="44"/>
                <w:sz w:val="24"/>
                <w:szCs w:val="20"/>
                <w:u w:val="none" w:color="auto"/>
              </w:rPr>
            </w:pPr>
          </w:p>
        </w:tc>
        <w:tc>
          <w:tcPr>
            <w:tcW w:w="1260" w:type="dxa"/>
            <w:tcBorders>
              <w:top w:val="single" w:color="auto" w:sz="4" w:space="0"/>
              <w:left w:val="single" w:color="auto" w:sz="4" w:space="0"/>
              <w:bottom w:val="single" w:color="auto" w:sz="4" w:space="0"/>
              <w:right w:val="single" w:color="auto" w:sz="4" w:space="0"/>
            </w:tcBorders>
          </w:tcPr>
          <w:p w14:paraId="3D50665B">
            <w:pPr>
              <w:snapToGrid w:val="0"/>
              <w:spacing w:before="120" w:beforeLines="50" w:after="360" w:line="312" w:lineRule="auto"/>
              <w:rPr>
                <w:rFonts w:ascii="Times New Roman" w:hAnsi="Times New Roman"/>
                <w:b/>
                <w:bCs/>
                <w:kern w:val="44"/>
                <w:sz w:val="24"/>
                <w:szCs w:val="20"/>
                <w:u w:val="none" w:color="auto"/>
              </w:rPr>
            </w:pPr>
          </w:p>
        </w:tc>
        <w:tc>
          <w:tcPr>
            <w:tcW w:w="3020" w:type="dxa"/>
            <w:tcBorders>
              <w:top w:val="single" w:color="auto" w:sz="4" w:space="0"/>
              <w:left w:val="single" w:color="auto" w:sz="4" w:space="0"/>
              <w:bottom w:val="single" w:color="auto" w:sz="4" w:space="0"/>
              <w:right w:val="single" w:color="auto" w:sz="4" w:space="0"/>
            </w:tcBorders>
          </w:tcPr>
          <w:p w14:paraId="7B211D79">
            <w:pPr>
              <w:snapToGrid w:val="0"/>
              <w:spacing w:before="120" w:beforeLines="50" w:after="360" w:line="312" w:lineRule="auto"/>
              <w:rPr>
                <w:rFonts w:ascii="Times New Roman" w:hAnsi="Times New Roman"/>
                <w:b/>
                <w:bCs/>
                <w:kern w:val="44"/>
                <w:sz w:val="24"/>
                <w:szCs w:val="20"/>
                <w:u w:val="none" w:color="auto"/>
              </w:rPr>
            </w:pPr>
          </w:p>
        </w:tc>
      </w:tr>
    </w:tbl>
    <w:p w14:paraId="21817593">
      <w:pPr>
        <w:widowControl/>
        <w:spacing w:line="312" w:lineRule="auto"/>
        <w:jc w:val="left"/>
        <w:rPr>
          <w:rFonts w:ascii="Times New Roman" w:hAnsi="Times New Roman"/>
          <w:kern w:val="0"/>
          <w:sz w:val="24"/>
          <w:u w:val="none" w:color="auto"/>
        </w:rPr>
        <w:sectPr>
          <w:pgSz w:w="11906" w:h="16838"/>
          <w:pgMar w:top="1304" w:right="1531" w:bottom="1304" w:left="1531" w:header="1304" w:footer="1304" w:gutter="0"/>
          <w:cols w:space="720" w:num="1"/>
        </w:sectPr>
      </w:pPr>
    </w:p>
    <w:p w14:paraId="460230A8">
      <w:pPr>
        <w:pStyle w:val="12"/>
        <w:snapToGrid w:val="0"/>
        <w:spacing w:before="156"/>
        <w:rPr>
          <w:rFonts w:hint="eastAsia" w:asciiTheme="minorEastAsia" w:hAnsiTheme="minorEastAsia" w:eastAsiaTheme="minorEastAsia"/>
          <w:b/>
          <w:sz w:val="28"/>
          <w:szCs w:val="28"/>
          <w:u w:val="none" w:color="auto"/>
        </w:rPr>
      </w:pPr>
      <w:r>
        <w:rPr>
          <w:rFonts w:hint="eastAsia" w:asciiTheme="minorEastAsia" w:hAnsiTheme="minorEastAsia" w:eastAsiaTheme="minorEastAsia"/>
          <w:b/>
          <w:sz w:val="28"/>
          <w:szCs w:val="28"/>
          <w:u w:val="none" w:color="auto"/>
        </w:rPr>
        <w:t>九、投标人的类似成功案例的业绩证明文件</w:t>
      </w:r>
    </w:p>
    <w:p w14:paraId="0B4B7484">
      <w:pPr>
        <w:pStyle w:val="20"/>
        <w:snapToGrid w:val="0"/>
        <w:ind w:left="420" w:hanging="420"/>
        <w:rPr>
          <w:rFonts w:hint="eastAsia" w:ascii="宋体" w:hAnsi="宋体"/>
          <w:sz w:val="24"/>
          <w:u w:val="none" w:color="auto"/>
        </w:rPr>
      </w:pPr>
      <w:r>
        <w:rPr>
          <w:rFonts w:hint="eastAsia" w:ascii="宋体" w:hAnsi="宋体"/>
          <w:sz w:val="21"/>
          <w:u w:val="none" w:color="auto"/>
        </w:rPr>
        <w:t>投标人同类项目实施情况一览表格式：（投标人同类项目合同复印件</w:t>
      </w:r>
      <w:r>
        <w:rPr>
          <w:rFonts w:hint="eastAsia" w:ascii="宋体" w:hAnsi="宋体"/>
          <w:sz w:val="21"/>
          <w:u w:val="none" w:color="auto"/>
          <w:lang w:eastAsia="zh-CN"/>
        </w:rPr>
        <w:t>，</w:t>
      </w:r>
      <w:r>
        <w:rPr>
          <w:rFonts w:hint="eastAsia" w:ascii="宋体" w:hAnsi="宋体"/>
          <w:sz w:val="21"/>
          <w:u w:val="none" w:color="auto"/>
        </w:rPr>
        <w:t>格式</w:t>
      </w:r>
      <w:r>
        <w:rPr>
          <w:rFonts w:hint="eastAsia" w:ascii="宋体" w:hAnsi="宋体"/>
          <w:sz w:val="21"/>
          <w:u w:val="none" w:color="auto"/>
          <w:lang w:val="en-US" w:eastAsia="zh-CN"/>
        </w:rPr>
        <w:t>可</w:t>
      </w:r>
      <w:r>
        <w:rPr>
          <w:rFonts w:hint="eastAsia" w:ascii="宋体" w:hAnsi="宋体"/>
          <w:sz w:val="21"/>
          <w:u w:val="none" w:color="auto"/>
        </w:rPr>
        <w:t>自拟）</w:t>
      </w:r>
    </w:p>
    <w:tbl>
      <w:tblPr>
        <w:tblStyle w:val="29"/>
        <w:tblW w:w="138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5"/>
        <w:gridCol w:w="5640"/>
        <w:gridCol w:w="3624"/>
      </w:tblGrid>
      <w:tr w14:paraId="485B1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4615" w:type="dxa"/>
            <w:vMerge w:val="restart"/>
            <w:tcBorders>
              <w:top w:val="single" w:color="auto" w:sz="4" w:space="0"/>
              <w:left w:val="single" w:color="auto" w:sz="4" w:space="0"/>
              <w:bottom w:val="single" w:color="auto" w:sz="4" w:space="0"/>
              <w:right w:val="single" w:color="auto" w:sz="4" w:space="0"/>
            </w:tcBorders>
            <w:vAlign w:val="center"/>
          </w:tcPr>
          <w:p w14:paraId="673A14AE">
            <w:pPr>
              <w:snapToGrid w:val="0"/>
              <w:spacing w:line="240" w:lineRule="exact"/>
              <w:jc w:val="center"/>
              <w:rPr>
                <w:rFonts w:hint="eastAsia" w:ascii="宋体" w:hAnsi="宋体"/>
                <w:sz w:val="18"/>
                <w:u w:val="none" w:color="auto"/>
              </w:rPr>
            </w:pPr>
            <w:r>
              <w:rPr>
                <w:rFonts w:hint="eastAsia" w:ascii="宋体" w:hAnsi="宋体"/>
                <w:sz w:val="18"/>
                <w:u w:val="none" w:color="auto"/>
              </w:rPr>
              <w:t>采购单位名称</w:t>
            </w:r>
          </w:p>
        </w:tc>
        <w:tc>
          <w:tcPr>
            <w:tcW w:w="5640" w:type="dxa"/>
            <w:vMerge w:val="restart"/>
            <w:tcBorders>
              <w:top w:val="single" w:color="auto" w:sz="4" w:space="0"/>
              <w:left w:val="single" w:color="auto" w:sz="4" w:space="0"/>
              <w:bottom w:val="single" w:color="auto" w:sz="4" w:space="0"/>
              <w:right w:val="single" w:color="auto" w:sz="4" w:space="0"/>
            </w:tcBorders>
            <w:vAlign w:val="center"/>
          </w:tcPr>
          <w:p w14:paraId="3A3AE313">
            <w:pPr>
              <w:snapToGrid w:val="0"/>
              <w:spacing w:line="240" w:lineRule="exact"/>
              <w:jc w:val="center"/>
              <w:rPr>
                <w:rFonts w:hint="eastAsia" w:ascii="宋体" w:hAnsi="宋体"/>
                <w:sz w:val="18"/>
                <w:u w:val="none" w:color="auto"/>
              </w:rPr>
            </w:pPr>
            <w:r>
              <w:rPr>
                <w:rFonts w:hint="eastAsia" w:ascii="宋体" w:hAnsi="宋体"/>
                <w:sz w:val="18"/>
                <w:u w:val="none" w:color="auto"/>
              </w:rPr>
              <w:t xml:space="preserve"> 项目名称</w:t>
            </w:r>
          </w:p>
        </w:tc>
        <w:tc>
          <w:tcPr>
            <w:tcW w:w="3624" w:type="dxa"/>
            <w:vMerge w:val="restart"/>
            <w:tcBorders>
              <w:top w:val="single" w:color="auto" w:sz="4" w:space="0"/>
              <w:left w:val="single" w:color="auto" w:sz="4" w:space="0"/>
              <w:bottom w:val="single" w:color="auto" w:sz="4" w:space="0"/>
              <w:right w:val="single" w:color="auto" w:sz="4" w:space="0"/>
            </w:tcBorders>
            <w:vAlign w:val="center"/>
          </w:tcPr>
          <w:p w14:paraId="61DC565B">
            <w:pPr>
              <w:snapToGrid w:val="0"/>
              <w:spacing w:line="240" w:lineRule="exact"/>
              <w:jc w:val="center"/>
              <w:rPr>
                <w:rFonts w:hint="eastAsia" w:ascii="宋体" w:hAnsi="宋体"/>
                <w:sz w:val="18"/>
                <w:u w:val="none" w:color="auto"/>
              </w:rPr>
            </w:pPr>
            <w:r>
              <w:rPr>
                <w:rFonts w:hint="eastAsia" w:ascii="宋体" w:hAnsi="宋体"/>
                <w:sz w:val="18"/>
                <w:u w:val="none" w:color="auto"/>
              </w:rPr>
              <w:t>合同金额</w:t>
            </w:r>
          </w:p>
          <w:p w14:paraId="3D596D7F">
            <w:pPr>
              <w:snapToGrid w:val="0"/>
              <w:spacing w:line="240" w:lineRule="exact"/>
              <w:jc w:val="center"/>
              <w:rPr>
                <w:rFonts w:hint="eastAsia" w:ascii="宋体" w:hAnsi="宋体"/>
                <w:sz w:val="18"/>
                <w:u w:val="none" w:color="auto"/>
              </w:rPr>
            </w:pPr>
            <w:r>
              <w:rPr>
                <w:rFonts w:hint="eastAsia" w:ascii="宋体" w:hAnsi="宋体"/>
                <w:sz w:val="18"/>
                <w:u w:val="none" w:color="auto"/>
              </w:rPr>
              <w:t>（万元）</w:t>
            </w:r>
          </w:p>
        </w:tc>
      </w:tr>
      <w:tr w14:paraId="73EB1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4615" w:type="dxa"/>
            <w:vMerge w:val="continue"/>
            <w:tcBorders>
              <w:top w:val="single" w:color="auto" w:sz="4" w:space="0"/>
              <w:left w:val="single" w:color="auto" w:sz="4" w:space="0"/>
              <w:bottom w:val="single" w:color="auto" w:sz="4" w:space="0"/>
              <w:right w:val="single" w:color="auto" w:sz="4" w:space="0"/>
            </w:tcBorders>
            <w:vAlign w:val="center"/>
          </w:tcPr>
          <w:p w14:paraId="7C5E6D7E">
            <w:pPr>
              <w:widowControl/>
              <w:jc w:val="left"/>
              <w:rPr>
                <w:rFonts w:hint="eastAsia" w:ascii="宋体" w:hAnsi="宋体"/>
                <w:sz w:val="18"/>
                <w:u w:val="none" w:color="auto"/>
              </w:rPr>
            </w:pPr>
          </w:p>
        </w:tc>
        <w:tc>
          <w:tcPr>
            <w:tcW w:w="5640" w:type="dxa"/>
            <w:vMerge w:val="continue"/>
            <w:tcBorders>
              <w:top w:val="single" w:color="auto" w:sz="4" w:space="0"/>
              <w:left w:val="single" w:color="auto" w:sz="4" w:space="0"/>
              <w:bottom w:val="single" w:color="auto" w:sz="4" w:space="0"/>
              <w:right w:val="single" w:color="auto" w:sz="4" w:space="0"/>
            </w:tcBorders>
            <w:vAlign w:val="center"/>
          </w:tcPr>
          <w:p w14:paraId="5292C117">
            <w:pPr>
              <w:widowControl/>
              <w:jc w:val="left"/>
              <w:rPr>
                <w:rFonts w:hint="eastAsia" w:ascii="宋体" w:hAnsi="宋体"/>
                <w:sz w:val="18"/>
                <w:u w:val="none" w:color="auto"/>
              </w:rPr>
            </w:pPr>
          </w:p>
        </w:tc>
        <w:tc>
          <w:tcPr>
            <w:tcW w:w="3624" w:type="dxa"/>
            <w:vMerge w:val="continue"/>
            <w:tcBorders>
              <w:top w:val="single" w:color="auto" w:sz="4" w:space="0"/>
              <w:left w:val="single" w:color="auto" w:sz="4" w:space="0"/>
              <w:bottom w:val="single" w:color="auto" w:sz="4" w:space="0"/>
              <w:right w:val="single" w:color="auto" w:sz="4" w:space="0"/>
            </w:tcBorders>
            <w:vAlign w:val="center"/>
          </w:tcPr>
          <w:p w14:paraId="400FA239">
            <w:pPr>
              <w:widowControl/>
              <w:jc w:val="left"/>
              <w:rPr>
                <w:rFonts w:hint="eastAsia" w:ascii="宋体" w:hAnsi="宋体"/>
                <w:sz w:val="18"/>
                <w:u w:val="none" w:color="auto"/>
              </w:rPr>
            </w:pPr>
          </w:p>
        </w:tc>
      </w:tr>
      <w:tr w14:paraId="1A3FF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4615" w:type="dxa"/>
            <w:tcBorders>
              <w:top w:val="single" w:color="auto" w:sz="4" w:space="0"/>
              <w:left w:val="single" w:color="auto" w:sz="4" w:space="0"/>
              <w:bottom w:val="single" w:color="auto" w:sz="4" w:space="0"/>
              <w:right w:val="single" w:color="auto" w:sz="4" w:space="0"/>
            </w:tcBorders>
          </w:tcPr>
          <w:p w14:paraId="5300DC86">
            <w:pPr>
              <w:snapToGrid w:val="0"/>
              <w:spacing w:line="240" w:lineRule="exact"/>
              <w:jc w:val="left"/>
              <w:rPr>
                <w:rFonts w:hint="eastAsia" w:ascii="宋体" w:hAnsi="宋体"/>
                <w:sz w:val="18"/>
                <w:u w:val="none" w:color="auto"/>
              </w:rPr>
            </w:pPr>
          </w:p>
        </w:tc>
        <w:tc>
          <w:tcPr>
            <w:tcW w:w="5640" w:type="dxa"/>
            <w:tcBorders>
              <w:top w:val="single" w:color="auto" w:sz="4" w:space="0"/>
              <w:left w:val="single" w:color="auto" w:sz="4" w:space="0"/>
              <w:bottom w:val="single" w:color="auto" w:sz="4" w:space="0"/>
              <w:right w:val="single" w:color="auto" w:sz="4" w:space="0"/>
            </w:tcBorders>
          </w:tcPr>
          <w:p w14:paraId="3C348DC0">
            <w:pPr>
              <w:snapToGrid w:val="0"/>
              <w:spacing w:line="240" w:lineRule="exact"/>
              <w:jc w:val="left"/>
              <w:rPr>
                <w:rFonts w:hint="eastAsia" w:ascii="宋体" w:hAnsi="宋体"/>
                <w:sz w:val="18"/>
                <w:u w:val="none" w:color="auto"/>
              </w:rPr>
            </w:pPr>
          </w:p>
        </w:tc>
        <w:tc>
          <w:tcPr>
            <w:tcW w:w="3624" w:type="dxa"/>
            <w:tcBorders>
              <w:top w:val="single" w:color="auto" w:sz="4" w:space="0"/>
              <w:left w:val="single" w:color="auto" w:sz="4" w:space="0"/>
              <w:bottom w:val="single" w:color="auto" w:sz="4" w:space="0"/>
              <w:right w:val="single" w:color="auto" w:sz="4" w:space="0"/>
            </w:tcBorders>
          </w:tcPr>
          <w:p w14:paraId="0210A6F9">
            <w:pPr>
              <w:snapToGrid w:val="0"/>
              <w:spacing w:line="240" w:lineRule="exact"/>
              <w:jc w:val="left"/>
              <w:rPr>
                <w:rFonts w:hint="eastAsia" w:ascii="宋体" w:hAnsi="宋体"/>
                <w:sz w:val="18"/>
                <w:u w:val="none" w:color="auto"/>
              </w:rPr>
            </w:pPr>
          </w:p>
        </w:tc>
      </w:tr>
      <w:tr w14:paraId="6AFEA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5" w:type="dxa"/>
            <w:tcBorders>
              <w:top w:val="single" w:color="auto" w:sz="4" w:space="0"/>
              <w:left w:val="single" w:color="auto" w:sz="4" w:space="0"/>
              <w:bottom w:val="single" w:color="auto" w:sz="4" w:space="0"/>
              <w:right w:val="single" w:color="auto" w:sz="4" w:space="0"/>
            </w:tcBorders>
          </w:tcPr>
          <w:p w14:paraId="5625D45D">
            <w:pPr>
              <w:snapToGrid w:val="0"/>
              <w:spacing w:before="50" w:after="156" w:afterLines="50" w:line="400" w:lineRule="exact"/>
              <w:jc w:val="left"/>
              <w:rPr>
                <w:rFonts w:hint="eastAsia" w:ascii="宋体" w:hAnsi="宋体"/>
                <w:sz w:val="24"/>
                <w:u w:val="none" w:color="auto"/>
              </w:rPr>
            </w:pPr>
          </w:p>
        </w:tc>
        <w:tc>
          <w:tcPr>
            <w:tcW w:w="5640" w:type="dxa"/>
            <w:tcBorders>
              <w:top w:val="single" w:color="auto" w:sz="4" w:space="0"/>
              <w:left w:val="single" w:color="auto" w:sz="4" w:space="0"/>
              <w:bottom w:val="single" w:color="auto" w:sz="4" w:space="0"/>
              <w:right w:val="single" w:color="auto" w:sz="4" w:space="0"/>
            </w:tcBorders>
          </w:tcPr>
          <w:p w14:paraId="2E44A7F0">
            <w:pPr>
              <w:snapToGrid w:val="0"/>
              <w:spacing w:before="50" w:after="156" w:afterLines="50" w:line="400" w:lineRule="exact"/>
              <w:jc w:val="left"/>
              <w:rPr>
                <w:rFonts w:hint="eastAsia" w:ascii="宋体" w:hAnsi="宋体"/>
                <w:b/>
                <w:bCs/>
                <w:kern w:val="44"/>
                <w:sz w:val="24"/>
                <w:szCs w:val="44"/>
                <w:u w:val="none" w:color="auto"/>
              </w:rPr>
            </w:pPr>
          </w:p>
        </w:tc>
        <w:tc>
          <w:tcPr>
            <w:tcW w:w="3624" w:type="dxa"/>
            <w:tcBorders>
              <w:top w:val="single" w:color="auto" w:sz="4" w:space="0"/>
              <w:left w:val="single" w:color="auto" w:sz="4" w:space="0"/>
              <w:bottom w:val="single" w:color="auto" w:sz="4" w:space="0"/>
              <w:right w:val="single" w:color="auto" w:sz="4" w:space="0"/>
            </w:tcBorders>
          </w:tcPr>
          <w:p w14:paraId="7201E5DE">
            <w:pPr>
              <w:snapToGrid w:val="0"/>
              <w:spacing w:before="50" w:after="156" w:afterLines="50" w:line="400" w:lineRule="exact"/>
              <w:jc w:val="left"/>
              <w:rPr>
                <w:rFonts w:hint="eastAsia" w:ascii="宋体" w:hAnsi="宋体"/>
                <w:b/>
                <w:bCs/>
                <w:kern w:val="44"/>
                <w:sz w:val="24"/>
                <w:szCs w:val="44"/>
                <w:u w:val="none" w:color="auto"/>
              </w:rPr>
            </w:pPr>
          </w:p>
        </w:tc>
      </w:tr>
      <w:tr w14:paraId="4530C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4615" w:type="dxa"/>
            <w:tcBorders>
              <w:top w:val="single" w:color="auto" w:sz="4" w:space="0"/>
              <w:left w:val="single" w:color="auto" w:sz="4" w:space="0"/>
              <w:bottom w:val="single" w:color="auto" w:sz="4" w:space="0"/>
              <w:right w:val="single" w:color="auto" w:sz="4" w:space="0"/>
            </w:tcBorders>
          </w:tcPr>
          <w:p w14:paraId="47F39C10">
            <w:pPr>
              <w:snapToGrid w:val="0"/>
              <w:spacing w:before="50" w:after="156" w:afterLines="50" w:line="400" w:lineRule="exact"/>
              <w:jc w:val="left"/>
              <w:rPr>
                <w:rFonts w:hint="eastAsia" w:ascii="宋体" w:hAnsi="宋体"/>
                <w:sz w:val="24"/>
                <w:u w:val="none" w:color="auto"/>
              </w:rPr>
            </w:pPr>
          </w:p>
        </w:tc>
        <w:tc>
          <w:tcPr>
            <w:tcW w:w="5640" w:type="dxa"/>
            <w:tcBorders>
              <w:top w:val="single" w:color="auto" w:sz="4" w:space="0"/>
              <w:left w:val="single" w:color="auto" w:sz="4" w:space="0"/>
              <w:bottom w:val="single" w:color="auto" w:sz="4" w:space="0"/>
              <w:right w:val="single" w:color="auto" w:sz="4" w:space="0"/>
            </w:tcBorders>
          </w:tcPr>
          <w:p w14:paraId="1DE721B9">
            <w:pPr>
              <w:snapToGrid w:val="0"/>
              <w:spacing w:before="50" w:after="156" w:afterLines="50" w:line="400" w:lineRule="exact"/>
              <w:jc w:val="left"/>
              <w:rPr>
                <w:rFonts w:hint="eastAsia" w:ascii="宋体" w:hAnsi="宋体"/>
                <w:b/>
                <w:bCs/>
                <w:kern w:val="44"/>
                <w:sz w:val="24"/>
                <w:szCs w:val="44"/>
                <w:u w:val="none" w:color="auto"/>
              </w:rPr>
            </w:pPr>
          </w:p>
        </w:tc>
        <w:tc>
          <w:tcPr>
            <w:tcW w:w="3624" w:type="dxa"/>
            <w:tcBorders>
              <w:top w:val="single" w:color="auto" w:sz="4" w:space="0"/>
              <w:left w:val="single" w:color="auto" w:sz="4" w:space="0"/>
              <w:bottom w:val="single" w:color="auto" w:sz="4" w:space="0"/>
              <w:right w:val="single" w:color="auto" w:sz="4" w:space="0"/>
            </w:tcBorders>
          </w:tcPr>
          <w:p w14:paraId="113B7426">
            <w:pPr>
              <w:snapToGrid w:val="0"/>
              <w:spacing w:before="50" w:after="156" w:afterLines="50" w:line="400" w:lineRule="exact"/>
              <w:jc w:val="left"/>
              <w:rPr>
                <w:rFonts w:hint="eastAsia" w:ascii="宋体" w:hAnsi="宋体"/>
                <w:b/>
                <w:bCs/>
                <w:kern w:val="44"/>
                <w:sz w:val="24"/>
                <w:szCs w:val="44"/>
                <w:u w:val="none" w:color="auto"/>
              </w:rPr>
            </w:pPr>
          </w:p>
        </w:tc>
      </w:tr>
      <w:tr w14:paraId="1ADDC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5" w:type="dxa"/>
            <w:tcBorders>
              <w:top w:val="single" w:color="auto" w:sz="4" w:space="0"/>
              <w:left w:val="single" w:color="auto" w:sz="4" w:space="0"/>
              <w:bottom w:val="single" w:color="auto" w:sz="4" w:space="0"/>
              <w:right w:val="single" w:color="auto" w:sz="4" w:space="0"/>
            </w:tcBorders>
          </w:tcPr>
          <w:p w14:paraId="4A1B50F0">
            <w:pPr>
              <w:snapToGrid w:val="0"/>
              <w:spacing w:before="50" w:after="156" w:afterLines="50" w:line="400" w:lineRule="exact"/>
              <w:jc w:val="left"/>
              <w:rPr>
                <w:rFonts w:hint="eastAsia" w:ascii="宋体" w:hAnsi="宋体"/>
                <w:sz w:val="24"/>
                <w:u w:val="none" w:color="auto"/>
              </w:rPr>
            </w:pPr>
          </w:p>
        </w:tc>
        <w:tc>
          <w:tcPr>
            <w:tcW w:w="5640" w:type="dxa"/>
            <w:tcBorders>
              <w:top w:val="single" w:color="auto" w:sz="4" w:space="0"/>
              <w:left w:val="single" w:color="auto" w:sz="4" w:space="0"/>
              <w:bottom w:val="single" w:color="auto" w:sz="4" w:space="0"/>
              <w:right w:val="single" w:color="auto" w:sz="4" w:space="0"/>
            </w:tcBorders>
          </w:tcPr>
          <w:p w14:paraId="3A1CA95F">
            <w:pPr>
              <w:snapToGrid w:val="0"/>
              <w:spacing w:before="50" w:after="156" w:afterLines="50" w:line="400" w:lineRule="exact"/>
              <w:jc w:val="left"/>
              <w:rPr>
                <w:rFonts w:hint="eastAsia" w:ascii="宋体" w:hAnsi="宋体"/>
                <w:b/>
                <w:bCs/>
                <w:kern w:val="44"/>
                <w:sz w:val="24"/>
                <w:szCs w:val="44"/>
                <w:u w:val="none" w:color="auto"/>
              </w:rPr>
            </w:pPr>
          </w:p>
        </w:tc>
        <w:tc>
          <w:tcPr>
            <w:tcW w:w="3624" w:type="dxa"/>
            <w:tcBorders>
              <w:top w:val="single" w:color="auto" w:sz="4" w:space="0"/>
              <w:left w:val="single" w:color="auto" w:sz="4" w:space="0"/>
              <w:bottom w:val="single" w:color="auto" w:sz="4" w:space="0"/>
              <w:right w:val="single" w:color="auto" w:sz="4" w:space="0"/>
            </w:tcBorders>
          </w:tcPr>
          <w:p w14:paraId="01F901BD">
            <w:pPr>
              <w:snapToGrid w:val="0"/>
              <w:spacing w:before="50" w:after="156" w:afterLines="50" w:line="400" w:lineRule="exact"/>
              <w:jc w:val="left"/>
              <w:rPr>
                <w:rFonts w:hint="eastAsia" w:ascii="宋体" w:hAnsi="宋体"/>
                <w:b/>
                <w:bCs/>
                <w:kern w:val="44"/>
                <w:sz w:val="24"/>
                <w:szCs w:val="44"/>
                <w:u w:val="none" w:color="auto"/>
              </w:rPr>
            </w:pPr>
          </w:p>
        </w:tc>
      </w:tr>
      <w:tr w14:paraId="5E954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5" w:type="dxa"/>
            <w:tcBorders>
              <w:top w:val="single" w:color="auto" w:sz="4" w:space="0"/>
              <w:left w:val="single" w:color="auto" w:sz="4" w:space="0"/>
              <w:bottom w:val="single" w:color="auto" w:sz="4" w:space="0"/>
              <w:right w:val="single" w:color="auto" w:sz="4" w:space="0"/>
            </w:tcBorders>
          </w:tcPr>
          <w:p w14:paraId="53C0303F">
            <w:pPr>
              <w:snapToGrid w:val="0"/>
              <w:spacing w:before="50" w:after="156" w:afterLines="50" w:line="400" w:lineRule="exact"/>
              <w:jc w:val="left"/>
              <w:rPr>
                <w:rFonts w:hint="eastAsia" w:ascii="宋体" w:hAnsi="宋体"/>
                <w:sz w:val="24"/>
                <w:u w:val="none" w:color="auto"/>
              </w:rPr>
            </w:pPr>
          </w:p>
        </w:tc>
        <w:tc>
          <w:tcPr>
            <w:tcW w:w="5640" w:type="dxa"/>
            <w:tcBorders>
              <w:top w:val="single" w:color="auto" w:sz="4" w:space="0"/>
              <w:left w:val="single" w:color="auto" w:sz="4" w:space="0"/>
              <w:bottom w:val="single" w:color="auto" w:sz="4" w:space="0"/>
              <w:right w:val="single" w:color="auto" w:sz="4" w:space="0"/>
            </w:tcBorders>
          </w:tcPr>
          <w:p w14:paraId="59454D58">
            <w:pPr>
              <w:snapToGrid w:val="0"/>
              <w:spacing w:before="50" w:after="156" w:afterLines="50" w:line="400" w:lineRule="exact"/>
              <w:jc w:val="left"/>
              <w:rPr>
                <w:rFonts w:hint="eastAsia" w:ascii="宋体" w:hAnsi="宋体"/>
                <w:b/>
                <w:bCs/>
                <w:kern w:val="44"/>
                <w:sz w:val="24"/>
                <w:szCs w:val="44"/>
                <w:u w:val="none" w:color="auto"/>
              </w:rPr>
            </w:pPr>
          </w:p>
        </w:tc>
        <w:tc>
          <w:tcPr>
            <w:tcW w:w="3624" w:type="dxa"/>
            <w:tcBorders>
              <w:top w:val="single" w:color="auto" w:sz="4" w:space="0"/>
              <w:left w:val="single" w:color="auto" w:sz="4" w:space="0"/>
              <w:bottom w:val="single" w:color="auto" w:sz="4" w:space="0"/>
              <w:right w:val="single" w:color="auto" w:sz="4" w:space="0"/>
            </w:tcBorders>
          </w:tcPr>
          <w:p w14:paraId="2EA83748">
            <w:pPr>
              <w:snapToGrid w:val="0"/>
              <w:spacing w:before="50" w:after="156" w:afterLines="50" w:line="400" w:lineRule="exact"/>
              <w:jc w:val="left"/>
              <w:rPr>
                <w:rFonts w:hint="eastAsia" w:ascii="宋体" w:hAnsi="宋体"/>
                <w:b/>
                <w:bCs/>
                <w:kern w:val="44"/>
                <w:sz w:val="24"/>
                <w:szCs w:val="44"/>
                <w:u w:val="none" w:color="auto"/>
              </w:rPr>
            </w:pPr>
          </w:p>
        </w:tc>
      </w:tr>
    </w:tbl>
    <w:p w14:paraId="10F47E94">
      <w:pPr>
        <w:pStyle w:val="10"/>
        <w:snapToGrid w:val="0"/>
        <w:rPr>
          <w:rFonts w:hint="eastAsia" w:ascii="宋体" w:hAnsi="宋体" w:eastAsia="宋体"/>
          <w:sz w:val="21"/>
          <w:u w:val="none" w:color="auto"/>
        </w:rPr>
      </w:pPr>
    </w:p>
    <w:p w14:paraId="631E3B2B">
      <w:pPr>
        <w:snapToGrid w:val="0"/>
        <w:spacing w:before="50" w:after="50"/>
        <w:rPr>
          <w:rFonts w:hint="eastAsia" w:ascii="宋体" w:hAnsi="宋体"/>
          <w:spacing w:val="20"/>
          <w:u w:val="none" w:color="auto"/>
        </w:rPr>
      </w:pPr>
      <w:r>
        <w:rPr>
          <w:rFonts w:hint="eastAsia" w:ascii="宋体" w:hAnsi="宋体"/>
          <w:b/>
          <w:spacing w:val="-4"/>
          <w:szCs w:val="21"/>
          <w:u w:val="none" w:color="auto"/>
        </w:rPr>
        <w:t xml:space="preserve">投标人名称：（盖章）                                                      </w:t>
      </w:r>
    </w:p>
    <w:p w14:paraId="0F53DCBB">
      <w:pPr>
        <w:widowControl/>
        <w:ind w:firstLine="9580" w:firstLineChars="4544"/>
        <w:jc w:val="left"/>
        <w:rPr>
          <w:rFonts w:hint="eastAsia" w:ascii="宋体" w:hAnsi="宋体"/>
          <w:sz w:val="30"/>
          <w:u w:val="none" w:color="auto"/>
        </w:rPr>
      </w:pPr>
      <w:r>
        <w:rPr>
          <w:rFonts w:hint="eastAsia"/>
          <w:b/>
          <w:u w:val="none" w:color="auto"/>
        </w:rPr>
        <w:t>日期：</w:t>
      </w:r>
    </w:p>
    <w:p w14:paraId="06E51400">
      <w:pPr>
        <w:widowControl/>
        <w:jc w:val="left"/>
        <w:rPr>
          <w:rFonts w:hint="eastAsia" w:ascii="宋体" w:hAnsi="宋体"/>
          <w:kern w:val="0"/>
          <w:sz w:val="30"/>
          <w:u w:val="none" w:color="auto"/>
        </w:rPr>
        <w:sectPr>
          <w:pgSz w:w="16838" w:h="11906" w:orient="landscape"/>
          <w:pgMar w:top="1418" w:right="1361" w:bottom="924" w:left="1134" w:header="851" w:footer="992" w:gutter="0"/>
          <w:cols w:space="720" w:num="1"/>
          <w:docGrid w:type="lines" w:linePitch="312" w:charSpace="0"/>
        </w:sectPr>
      </w:pPr>
    </w:p>
    <w:p w14:paraId="28A592A8">
      <w:pPr>
        <w:pStyle w:val="12"/>
        <w:snapToGrid w:val="0"/>
        <w:spacing w:before="120"/>
        <w:rPr>
          <w:rFonts w:hint="eastAsia" w:asciiTheme="minorEastAsia" w:hAnsiTheme="minorEastAsia" w:eastAsiaTheme="minorEastAsia"/>
          <w:b/>
          <w:sz w:val="28"/>
          <w:szCs w:val="28"/>
          <w:u w:val="none" w:color="auto"/>
        </w:rPr>
      </w:pPr>
      <w:r>
        <w:rPr>
          <w:rFonts w:hint="eastAsia" w:asciiTheme="minorEastAsia" w:hAnsiTheme="minorEastAsia" w:eastAsiaTheme="minorEastAsia"/>
          <w:b/>
          <w:sz w:val="28"/>
          <w:szCs w:val="28"/>
          <w:u w:val="none" w:color="auto"/>
        </w:rPr>
        <w:t>十、 项目实施人员（主要从业人员及其技术资格）一览表</w:t>
      </w:r>
    </w:p>
    <w:p w14:paraId="30D360B5">
      <w:pPr>
        <w:snapToGrid w:val="0"/>
        <w:spacing w:before="156" w:beforeLines="50" w:after="50"/>
        <w:jc w:val="center"/>
        <w:rPr>
          <w:rFonts w:hint="eastAsia" w:ascii="宋体" w:hAnsi="宋体"/>
          <w:b/>
          <w:sz w:val="22"/>
          <w:u w:val="none" w:color="auto"/>
        </w:rPr>
      </w:pPr>
    </w:p>
    <w:p w14:paraId="78D1418E">
      <w:pPr>
        <w:rPr>
          <w:rFonts w:hint="eastAsia" w:ascii="宋体" w:hAnsi="宋体"/>
          <w:u w:val="none" w:color="auto"/>
        </w:rPr>
      </w:pPr>
    </w:p>
    <w:p w14:paraId="5AE55E78">
      <w:pPr>
        <w:rPr>
          <w:rFonts w:hint="eastAsia" w:ascii="宋体" w:hAnsi="宋体"/>
          <w:u w:val="none" w:color="auto"/>
        </w:rPr>
      </w:pPr>
      <w:r>
        <w:rPr>
          <w:rFonts w:hint="eastAsia" w:ascii="宋体" w:hAnsi="宋体"/>
          <w:u w:val="none" w:color="auto"/>
        </w:rPr>
        <w:t>项目名称：</w:t>
      </w:r>
    </w:p>
    <w:p w14:paraId="48BFE068">
      <w:pPr>
        <w:snapToGrid w:val="0"/>
        <w:spacing w:line="360" w:lineRule="auto"/>
        <w:rPr>
          <w:rFonts w:ascii="宋体"/>
          <w:u w:val="none" w:color="auto"/>
        </w:rPr>
      </w:pPr>
      <w:r>
        <w:rPr>
          <w:rFonts w:hint="eastAsia" w:ascii="宋体" w:hAnsi="宋体"/>
          <w:u w:val="none" w:color="auto"/>
        </w:rPr>
        <w:t>项目编号：</w:t>
      </w:r>
    </w:p>
    <w:tbl>
      <w:tblPr>
        <w:tblStyle w:val="29"/>
        <w:tblW w:w="836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4"/>
        <w:gridCol w:w="1004"/>
        <w:gridCol w:w="1663"/>
        <w:gridCol w:w="1260"/>
        <w:gridCol w:w="2663"/>
      </w:tblGrid>
      <w:tr w14:paraId="35E59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vAlign w:val="center"/>
          </w:tcPr>
          <w:p w14:paraId="1A14C3E3">
            <w:pPr>
              <w:snapToGrid w:val="0"/>
              <w:spacing w:before="156" w:beforeLines="50" w:after="50"/>
              <w:jc w:val="center"/>
              <w:rPr>
                <w:rFonts w:hint="eastAsia" w:ascii="宋体" w:hAnsi="宋体"/>
                <w:u w:val="none" w:color="auto"/>
              </w:rPr>
            </w:pPr>
            <w:r>
              <w:rPr>
                <w:rFonts w:hint="eastAsia" w:ascii="宋体" w:hAnsi="宋体"/>
                <w:u w:val="none" w:color="auto"/>
              </w:rPr>
              <w:t>编号</w:t>
            </w:r>
          </w:p>
        </w:tc>
        <w:tc>
          <w:tcPr>
            <w:tcW w:w="1004" w:type="dxa"/>
            <w:tcBorders>
              <w:top w:val="single" w:color="auto" w:sz="4" w:space="0"/>
              <w:left w:val="single" w:color="auto" w:sz="4" w:space="0"/>
              <w:bottom w:val="single" w:color="auto" w:sz="4" w:space="0"/>
              <w:right w:val="single" w:color="auto" w:sz="4" w:space="0"/>
            </w:tcBorders>
            <w:vAlign w:val="center"/>
          </w:tcPr>
          <w:p w14:paraId="6164DC89">
            <w:pPr>
              <w:snapToGrid w:val="0"/>
              <w:spacing w:before="156" w:beforeLines="50" w:after="50"/>
              <w:jc w:val="center"/>
              <w:rPr>
                <w:rFonts w:hint="eastAsia" w:ascii="宋体" w:hAnsi="宋体"/>
                <w:u w:val="none" w:color="auto"/>
              </w:rPr>
            </w:pPr>
            <w:r>
              <w:rPr>
                <w:rFonts w:hint="eastAsia" w:ascii="宋体" w:hAnsi="宋体"/>
                <w:u w:val="none" w:color="auto"/>
              </w:rPr>
              <w:t>姓名</w:t>
            </w:r>
          </w:p>
        </w:tc>
        <w:tc>
          <w:tcPr>
            <w:tcW w:w="1663" w:type="dxa"/>
            <w:tcBorders>
              <w:top w:val="single" w:color="auto" w:sz="4" w:space="0"/>
              <w:left w:val="single" w:color="auto" w:sz="4" w:space="0"/>
              <w:bottom w:val="single" w:color="auto" w:sz="4" w:space="0"/>
              <w:right w:val="single" w:color="auto" w:sz="4" w:space="0"/>
            </w:tcBorders>
            <w:vAlign w:val="center"/>
          </w:tcPr>
          <w:p w14:paraId="4F44B580">
            <w:pPr>
              <w:snapToGrid w:val="0"/>
              <w:spacing w:before="156" w:beforeLines="50" w:after="50"/>
              <w:jc w:val="center"/>
              <w:rPr>
                <w:rFonts w:hint="eastAsia" w:ascii="宋体" w:hAnsi="宋体"/>
                <w:u w:val="none" w:color="auto"/>
              </w:rPr>
            </w:pPr>
            <w:r>
              <w:rPr>
                <w:rFonts w:hint="eastAsia" w:ascii="宋体" w:hAnsi="宋体"/>
                <w:u w:val="none" w:color="auto"/>
              </w:rPr>
              <w:t>职务</w:t>
            </w:r>
          </w:p>
        </w:tc>
        <w:tc>
          <w:tcPr>
            <w:tcW w:w="1260" w:type="dxa"/>
            <w:tcBorders>
              <w:top w:val="single" w:color="auto" w:sz="4" w:space="0"/>
              <w:left w:val="single" w:color="auto" w:sz="4" w:space="0"/>
              <w:bottom w:val="single" w:color="auto" w:sz="4" w:space="0"/>
              <w:right w:val="single" w:color="auto" w:sz="4" w:space="0"/>
            </w:tcBorders>
            <w:vAlign w:val="center"/>
          </w:tcPr>
          <w:p w14:paraId="45E2BDC2">
            <w:pPr>
              <w:snapToGrid w:val="0"/>
              <w:spacing w:before="156" w:beforeLines="50" w:after="50"/>
              <w:jc w:val="center"/>
              <w:rPr>
                <w:rFonts w:hint="eastAsia" w:ascii="宋体" w:hAnsi="宋体"/>
                <w:u w:val="none" w:color="auto"/>
              </w:rPr>
            </w:pPr>
            <w:r>
              <w:rPr>
                <w:rFonts w:hint="eastAsia" w:ascii="宋体" w:hAnsi="宋体"/>
                <w:u w:val="none" w:color="auto"/>
              </w:rPr>
              <w:t>性别</w:t>
            </w:r>
          </w:p>
        </w:tc>
        <w:tc>
          <w:tcPr>
            <w:tcW w:w="2663" w:type="dxa"/>
            <w:tcBorders>
              <w:top w:val="single" w:color="auto" w:sz="4" w:space="0"/>
              <w:left w:val="single" w:color="auto" w:sz="4" w:space="0"/>
              <w:bottom w:val="single" w:color="auto" w:sz="4" w:space="0"/>
              <w:right w:val="single" w:color="auto" w:sz="4" w:space="0"/>
            </w:tcBorders>
            <w:vAlign w:val="center"/>
          </w:tcPr>
          <w:p w14:paraId="50FB03C2">
            <w:pPr>
              <w:snapToGrid w:val="0"/>
              <w:spacing w:before="156" w:beforeLines="50" w:after="50"/>
              <w:jc w:val="center"/>
              <w:rPr>
                <w:rFonts w:hint="eastAsia" w:ascii="宋体" w:hAnsi="宋体"/>
                <w:u w:val="none" w:color="auto"/>
              </w:rPr>
            </w:pPr>
            <w:r>
              <w:rPr>
                <w:rFonts w:hint="eastAsia" w:ascii="宋体" w:hAnsi="宋体"/>
                <w:u w:val="none" w:color="auto"/>
              </w:rPr>
              <w:t>年龄</w:t>
            </w:r>
          </w:p>
        </w:tc>
      </w:tr>
      <w:tr w14:paraId="2160B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tcPr>
          <w:p w14:paraId="6474F7F1">
            <w:pPr>
              <w:snapToGrid w:val="0"/>
              <w:spacing w:before="156" w:beforeLines="50" w:after="50"/>
              <w:rPr>
                <w:rFonts w:hint="eastAsia" w:ascii="宋体" w:hAnsi="宋体"/>
                <w:sz w:val="24"/>
                <w:u w:val="none" w:color="auto"/>
              </w:rPr>
            </w:pPr>
          </w:p>
        </w:tc>
        <w:tc>
          <w:tcPr>
            <w:tcW w:w="1004" w:type="dxa"/>
            <w:tcBorders>
              <w:top w:val="single" w:color="auto" w:sz="4" w:space="0"/>
              <w:left w:val="single" w:color="auto" w:sz="4" w:space="0"/>
              <w:bottom w:val="single" w:color="auto" w:sz="4" w:space="0"/>
              <w:right w:val="single" w:color="auto" w:sz="4" w:space="0"/>
            </w:tcBorders>
          </w:tcPr>
          <w:p w14:paraId="6C8DCBF9">
            <w:pPr>
              <w:snapToGrid w:val="0"/>
              <w:spacing w:before="156" w:beforeLines="50" w:after="50"/>
              <w:rPr>
                <w:rFonts w:hint="eastAsia" w:ascii="宋体" w:hAnsi="宋体"/>
                <w:sz w:val="24"/>
                <w:u w:val="none" w:color="auto"/>
              </w:rPr>
            </w:pPr>
          </w:p>
        </w:tc>
        <w:tc>
          <w:tcPr>
            <w:tcW w:w="1663" w:type="dxa"/>
            <w:tcBorders>
              <w:top w:val="single" w:color="auto" w:sz="4" w:space="0"/>
              <w:left w:val="single" w:color="auto" w:sz="4" w:space="0"/>
              <w:bottom w:val="single" w:color="auto" w:sz="4" w:space="0"/>
              <w:right w:val="single" w:color="auto" w:sz="4" w:space="0"/>
            </w:tcBorders>
          </w:tcPr>
          <w:p w14:paraId="65A9F3E2">
            <w:pPr>
              <w:snapToGrid w:val="0"/>
              <w:spacing w:before="156" w:beforeLines="50" w:after="50"/>
              <w:rPr>
                <w:rFonts w:hint="eastAsia" w:ascii="宋体" w:hAnsi="宋体"/>
                <w:sz w:val="24"/>
                <w:u w:val="none" w:color="auto"/>
              </w:rPr>
            </w:pPr>
          </w:p>
        </w:tc>
        <w:tc>
          <w:tcPr>
            <w:tcW w:w="1260" w:type="dxa"/>
            <w:tcBorders>
              <w:top w:val="single" w:color="auto" w:sz="4" w:space="0"/>
              <w:left w:val="single" w:color="auto" w:sz="4" w:space="0"/>
              <w:bottom w:val="single" w:color="auto" w:sz="4" w:space="0"/>
              <w:right w:val="single" w:color="auto" w:sz="4" w:space="0"/>
            </w:tcBorders>
          </w:tcPr>
          <w:p w14:paraId="0607038F">
            <w:pPr>
              <w:snapToGrid w:val="0"/>
              <w:spacing w:before="156" w:beforeLines="50" w:after="50"/>
              <w:rPr>
                <w:rFonts w:hint="eastAsia" w:ascii="宋体" w:hAnsi="宋体"/>
                <w:sz w:val="24"/>
                <w:u w:val="none" w:color="auto"/>
              </w:rPr>
            </w:pPr>
          </w:p>
        </w:tc>
        <w:tc>
          <w:tcPr>
            <w:tcW w:w="2663" w:type="dxa"/>
            <w:tcBorders>
              <w:top w:val="single" w:color="auto" w:sz="4" w:space="0"/>
              <w:left w:val="single" w:color="auto" w:sz="4" w:space="0"/>
              <w:bottom w:val="single" w:color="auto" w:sz="4" w:space="0"/>
              <w:right w:val="single" w:color="auto" w:sz="4" w:space="0"/>
            </w:tcBorders>
          </w:tcPr>
          <w:p w14:paraId="3448CF75">
            <w:pPr>
              <w:snapToGrid w:val="0"/>
              <w:spacing w:before="156" w:beforeLines="50" w:after="50"/>
              <w:rPr>
                <w:rFonts w:hint="eastAsia" w:ascii="宋体" w:hAnsi="宋体"/>
                <w:sz w:val="24"/>
                <w:u w:val="none" w:color="auto"/>
              </w:rPr>
            </w:pPr>
          </w:p>
        </w:tc>
      </w:tr>
      <w:tr w14:paraId="792E5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tcPr>
          <w:p w14:paraId="405755B0">
            <w:pPr>
              <w:snapToGrid w:val="0"/>
              <w:spacing w:before="156" w:beforeLines="50" w:after="50"/>
              <w:rPr>
                <w:rFonts w:hint="eastAsia" w:ascii="宋体" w:hAnsi="宋体"/>
                <w:sz w:val="24"/>
                <w:u w:val="none" w:color="auto"/>
              </w:rPr>
            </w:pPr>
          </w:p>
        </w:tc>
        <w:tc>
          <w:tcPr>
            <w:tcW w:w="1004" w:type="dxa"/>
            <w:tcBorders>
              <w:top w:val="single" w:color="auto" w:sz="4" w:space="0"/>
              <w:left w:val="single" w:color="auto" w:sz="4" w:space="0"/>
              <w:bottom w:val="single" w:color="auto" w:sz="4" w:space="0"/>
              <w:right w:val="single" w:color="auto" w:sz="4" w:space="0"/>
            </w:tcBorders>
          </w:tcPr>
          <w:p w14:paraId="6A73E708">
            <w:pPr>
              <w:snapToGrid w:val="0"/>
              <w:spacing w:before="156" w:beforeLines="50" w:after="50"/>
              <w:rPr>
                <w:rFonts w:hint="eastAsia" w:ascii="宋体" w:hAnsi="宋体"/>
                <w:sz w:val="24"/>
                <w:u w:val="none" w:color="auto"/>
              </w:rPr>
            </w:pPr>
          </w:p>
        </w:tc>
        <w:tc>
          <w:tcPr>
            <w:tcW w:w="1663" w:type="dxa"/>
            <w:tcBorders>
              <w:top w:val="single" w:color="auto" w:sz="4" w:space="0"/>
              <w:left w:val="single" w:color="auto" w:sz="4" w:space="0"/>
              <w:bottom w:val="single" w:color="auto" w:sz="4" w:space="0"/>
              <w:right w:val="single" w:color="auto" w:sz="4" w:space="0"/>
            </w:tcBorders>
          </w:tcPr>
          <w:p w14:paraId="03D33062">
            <w:pPr>
              <w:snapToGrid w:val="0"/>
              <w:spacing w:before="156" w:beforeLines="50" w:after="50"/>
              <w:rPr>
                <w:rFonts w:hint="eastAsia" w:ascii="宋体" w:hAnsi="宋体"/>
                <w:sz w:val="24"/>
                <w:u w:val="none" w:color="auto"/>
              </w:rPr>
            </w:pPr>
          </w:p>
        </w:tc>
        <w:tc>
          <w:tcPr>
            <w:tcW w:w="1260" w:type="dxa"/>
            <w:tcBorders>
              <w:top w:val="single" w:color="auto" w:sz="4" w:space="0"/>
              <w:left w:val="single" w:color="auto" w:sz="4" w:space="0"/>
              <w:bottom w:val="single" w:color="auto" w:sz="4" w:space="0"/>
              <w:right w:val="single" w:color="auto" w:sz="4" w:space="0"/>
            </w:tcBorders>
          </w:tcPr>
          <w:p w14:paraId="029B0AE9">
            <w:pPr>
              <w:snapToGrid w:val="0"/>
              <w:spacing w:before="156" w:beforeLines="50" w:after="50"/>
              <w:rPr>
                <w:rFonts w:hint="eastAsia" w:ascii="宋体" w:hAnsi="宋体"/>
                <w:sz w:val="24"/>
                <w:u w:val="none" w:color="auto"/>
              </w:rPr>
            </w:pPr>
          </w:p>
        </w:tc>
        <w:tc>
          <w:tcPr>
            <w:tcW w:w="2663" w:type="dxa"/>
            <w:tcBorders>
              <w:top w:val="single" w:color="auto" w:sz="4" w:space="0"/>
              <w:left w:val="single" w:color="auto" w:sz="4" w:space="0"/>
              <w:bottom w:val="single" w:color="auto" w:sz="4" w:space="0"/>
              <w:right w:val="single" w:color="auto" w:sz="4" w:space="0"/>
            </w:tcBorders>
          </w:tcPr>
          <w:p w14:paraId="49940068">
            <w:pPr>
              <w:snapToGrid w:val="0"/>
              <w:spacing w:before="156" w:beforeLines="50" w:after="50"/>
              <w:rPr>
                <w:rFonts w:hint="eastAsia" w:ascii="宋体" w:hAnsi="宋体"/>
                <w:sz w:val="24"/>
                <w:u w:val="none" w:color="auto"/>
              </w:rPr>
            </w:pPr>
          </w:p>
        </w:tc>
      </w:tr>
      <w:tr w14:paraId="4BE4F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tcPr>
          <w:p w14:paraId="3F00B73A">
            <w:pPr>
              <w:snapToGrid w:val="0"/>
              <w:spacing w:before="156" w:beforeLines="50" w:after="50"/>
              <w:rPr>
                <w:rFonts w:hint="eastAsia" w:ascii="宋体" w:hAnsi="宋体"/>
                <w:sz w:val="24"/>
                <w:u w:val="none" w:color="auto"/>
              </w:rPr>
            </w:pPr>
          </w:p>
        </w:tc>
        <w:tc>
          <w:tcPr>
            <w:tcW w:w="1004" w:type="dxa"/>
            <w:tcBorders>
              <w:top w:val="single" w:color="auto" w:sz="4" w:space="0"/>
              <w:left w:val="single" w:color="auto" w:sz="4" w:space="0"/>
              <w:bottom w:val="single" w:color="auto" w:sz="4" w:space="0"/>
              <w:right w:val="single" w:color="auto" w:sz="4" w:space="0"/>
            </w:tcBorders>
          </w:tcPr>
          <w:p w14:paraId="41BD6517">
            <w:pPr>
              <w:snapToGrid w:val="0"/>
              <w:spacing w:before="156" w:beforeLines="50" w:after="50"/>
              <w:rPr>
                <w:rFonts w:hint="eastAsia" w:ascii="宋体" w:hAnsi="宋体"/>
                <w:sz w:val="24"/>
                <w:u w:val="none" w:color="auto"/>
              </w:rPr>
            </w:pPr>
          </w:p>
        </w:tc>
        <w:tc>
          <w:tcPr>
            <w:tcW w:w="1663" w:type="dxa"/>
            <w:tcBorders>
              <w:top w:val="single" w:color="auto" w:sz="4" w:space="0"/>
              <w:left w:val="single" w:color="auto" w:sz="4" w:space="0"/>
              <w:bottom w:val="single" w:color="auto" w:sz="4" w:space="0"/>
              <w:right w:val="single" w:color="auto" w:sz="4" w:space="0"/>
            </w:tcBorders>
          </w:tcPr>
          <w:p w14:paraId="5D969912">
            <w:pPr>
              <w:pStyle w:val="13"/>
              <w:snapToGrid w:val="0"/>
              <w:spacing w:before="156" w:beforeLines="50" w:after="50"/>
              <w:ind w:left="5250"/>
              <w:rPr>
                <w:rFonts w:hint="eastAsia" w:ascii="宋体" w:hAnsi="宋体" w:eastAsia="宋体"/>
                <w:kern w:val="2"/>
                <w:sz w:val="24"/>
                <w:u w:val="none" w:color="auto"/>
              </w:rPr>
            </w:pPr>
          </w:p>
        </w:tc>
        <w:tc>
          <w:tcPr>
            <w:tcW w:w="1260" w:type="dxa"/>
            <w:tcBorders>
              <w:top w:val="single" w:color="auto" w:sz="4" w:space="0"/>
              <w:left w:val="single" w:color="auto" w:sz="4" w:space="0"/>
              <w:bottom w:val="single" w:color="auto" w:sz="4" w:space="0"/>
              <w:right w:val="single" w:color="auto" w:sz="4" w:space="0"/>
            </w:tcBorders>
          </w:tcPr>
          <w:p w14:paraId="3E985258">
            <w:pPr>
              <w:snapToGrid w:val="0"/>
              <w:spacing w:before="156" w:beforeLines="50" w:after="50"/>
              <w:rPr>
                <w:rFonts w:hint="eastAsia" w:ascii="宋体" w:hAnsi="宋体"/>
                <w:sz w:val="24"/>
                <w:u w:val="none" w:color="auto"/>
              </w:rPr>
            </w:pPr>
          </w:p>
        </w:tc>
        <w:tc>
          <w:tcPr>
            <w:tcW w:w="2663" w:type="dxa"/>
            <w:tcBorders>
              <w:top w:val="single" w:color="auto" w:sz="4" w:space="0"/>
              <w:left w:val="single" w:color="auto" w:sz="4" w:space="0"/>
              <w:bottom w:val="single" w:color="auto" w:sz="4" w:space="0"/>
              <w:right w:val="single" w:color="auto" w:sz="4" w:space="0"/>
            </w:tcBorders>
          </w:tcPr>
          <w:p w14:paraId="2E93A148">
            <w:pPr>
              <w:snapToGrid w:val="0"/>
              <w:spacing w:before="156" w:beforeLines="50" w:after="50"/>
              <w:rPr>
                <w:rFonts w:hint="eastAsia" w:ascii="宋体" w:hAnsi="宋体"/>
                <w:sz w:val="24"/>
                <w:u w:val="none" w:color="auto"/>
              </w:rPr>
            </w:pPr>
          </w:p>
        </w:tc>
      </w:tr>
      <w:tr w14:paraId="05A04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tcPr>
          <w:p w14:paraId="44C01992">
            <w:pPr>
              <w:snapToGrid w:val="0"/>
              <w:spacing w:before="156" w:beforeLines="50" w:after="50"/>
              <w:rPr>
                <w:rFonts w:hint="eastAsia" w:ascii="宋体" w:hAnsi="宋体"/>
                <w:sz w:val="24"/>
                <w:u w:val="none" w:color="auto"/>
              </w:rPr>
            </w:pPr>
          </w:p>
        </w:tc>
        <w:tc>
          <w:tcPr>
            <w:tcW w:w="1004" w:type="dxa"/>
            <w:tcBorders>
              <w:top w:val="single" w:color="auto" w:sz="4" w:space="0"/>
              <w:left w:val="single" w:color="auto" w:sz="4" w:space="0"/>
              <w:bottom w:val="single" w:color="auto" w:sz="4" w:space="0"/>
              <w:right w:val="single" w:color="auto" w:sz="4" w:space="0"/>
            </w:tcBorders>
          </w:tcPr>
          <w:p w14:paraId="29A77E57">
            <w:pPr>
              <w:snapToGrid w:val="0"/>
              <w:spacing w:before="156" w:beforeLines="50" w:after="50"/>
              <w:rPr>
                <w:rFonts w:hint="eastAsia" w:ascii="宋体" w:hAnsi="宋体"/>
                <w:sz w:val="24"/>
                <w:u w:val="none" w:color="auto"/>
              </w:rPr>
            </w:pPr>
          </w:p>
        </w:tc>
        <w:tc>
          <w:tcPr>
            <w:tcW w:w="1663" w:type="dxa"/>
            <w:tcBorders>
              <w:top w:val="single" w:color="auto" w:sz="4" w:space="0"/>
              <w:left w:val="single" w:color="auto" w:sz="4" w:space="0"/>
              <w:bottom w:val="single" w:color="auto" w:sz="4" w:space="0"/>
              <w:right w:val="single" w:color="auto" w:sz="4" w:space="0"/>
            </w:tcBorders>
          </w:tcPr>
          <w:p w14:paraId="07C3A085">
            <w:pPr>
              <w:snapToGrid w:val="0"/>
              <w:spacing w:before="156" w:beforeLines="50" w:after="50"/>
              <w:rPr>
                <w:rFonts w:hint="eastAsia" w:ascii="宋体" w:hAnsi="宋体"/>
                <w:sz w:val="24"/>
                <w:u w:val="none" w:color="auto"/>
              </w:rPr>
            </w:pPr>
          </w:p>
        </w:tc>
        <w:tc>
          <w:tcPr>
            <w:tcW w:w="1260" w:type="dxa"/>
            <w:tcBorders>
              <w:top w:val="single" w:color="auto" w:sz="4" w:space="0"/>
              <w:left w:val="single" w:color="auto" w:sz="4" w:space="0"/>
              <w:bottom w:val="single" w:color="auto" w:sz="4" w:space="0"/>
              <w:right w:val="single" w:color="auto" w:sz="4" w:space="0"/>
            </w:tcBorders>
          </w:tcPr>
          <w:p w14:paraId="4FBB5543">
            <w:pPr>
              <w:snapToGrid w:val="0"/>
              <w:spacing w:before="156" w:beforeLines="50" w:after="50"/>
              <w:rPr>
                <w:rFonts w:hint="eastAsia" w:ascii="宋体" w:hAnsi="宋体"/>
                <w:sz w:val="24"/>
                <w:u w:val="none" w:color="auto"/>
              </w:rPr>
            </w:pPr>
          </w:p>
        </w:tc>
        <w:tc>
          <w:tcPr>
            <w:tcW w:w="2663" w:type="dxa"/>
            <w:tcBorders>
              <w:top w:val="single" w:color="auto" w:sz="4" w:space="0"/>
              <w:left w:val="single" w:color="auto" w:sz="4" w:space="0"/>
              <w:bottom w:val="single" w:color="auto" w:sz="4" w:space="0"/>
              <w:right w:val="single" w:color="auto" w:sz="4" w:space="0"/>
            </w:tcBorders>
          </w:tcPr>
          <w:p w14:paraId="5A30698A">
            <w:pPr>
              <w:snapToGrid w:val="0"/>
              <w:spacing w:before="156" w:beforeLines="50" w:after="50"/>
              <w:rPr>
                <w:rFonts w:hint="eastAsia" w:ascii="宋体" w:hAnsi="宋体"/>
                <w:sz w:val="24"/>
                <w:u w:val="none" w:color="auto"/>
              </w:rPr>
            </w:pPr>
          </w:p>
        </w:tc>
      </w:tr>
      <w:tr w14:paraId="3DA4E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tcPr>
          <w:p w14:paraId="153BB3AB">
            <w:pPr>
              <w:snapToGrid w:val="0"/>
              <w:spacing w:before="156" w:beforeLines="50" w:after="50"/>
              <w:rPr>
                <w:rFonts w:hint="eastAsia" w:ascii="宋体" w:hAnsi="宋体"/>
                <w:sz w:val="24"/>
                <w:u w:val="none" w:color="auto"/>
              </w:rPr>
            </w:pPr>
          </w:p>
        </w:tc>
        <w:tc>
          <w:tcPr>
            <w:tcW w:w="1004" w:type="dxa"/>
            <w:tcBorders>
              <w:top w:val="single" w:color="auto" w:sz="4" w:space="0"/>
              <w:left w:val="single" w:color="auto" w:sz="4" w:space="0"/>
              <w:bottom w:val="single" w:color="auto" w:sz="4" w:space="0"/>
              <w:right w:val="single" w:color="auto" w:sz="4" w:space="0"/>
            </w:tcBorders>
          </w:tcPr>
          <w:p w14:paraId="0E9556F1">
            <w:pPr>
              <w:snapToGrid w:val="0"/>
              <w:spacing w:before="156" w:beforeLines="50" w:after="50"/>
              <w:rPr>
                <w:rFonts w:hint="eastAsia" w:ascii="宋体" w:hAnsi="宋体"/>
                <w:sz w:val="24"/>
                <w:u w:val="none" w:color="auto"/>
              </w:rPr>
            </w:pPr>
          </w:p>
        </w:tc>
        <w:tc>
          <w:tcPr>
            <w:tcW w:w="1663" w:type="dxa"/>
            <w:tcBorders>
              <w:top w:val="single" w:color="auto" w:sz="4" w:space="0"/>
              <w:left w:val="single" w:color="auto" w:sz="4" w:space="0"/>
              <w:bottom w:val="single" w:color="auto" w:sz="4" w:space="0"/>
              <w:right w:val="single" w:color="auto" w:sz="4" w:space="0"/>
            </w:tcBorders>
          </w:tcPr>
          <w:p w14:paraId="4D4D7654">
            <w:pPr>
              <w:snapToGrid w:val="0"/>
              <w:spacing w:before="156" w:beforeLines="50" w:after="50"/>
              <w:rPr>
                <w:rFonts w:hint="eastAsia" w:ascii="宋体" w:hAnsi="宋体"/>
                <w:sz w:val="24"/>
                <w:u w:val="none" w:color="auto"/>
              </w:rPr>
            </w:pPr>
          </w:p>
        </w:tc>
        <w:tc>
          <w:tcPr>
            <w:tcW w:w="1260" w:type="dxa"/>
            <w:tcBorders>
              <w:top w:val="single" w:color="auto" w:sz="4" w:space="0"/>
              <w:left w:val="single" w:color="auto" w:sz="4" w:space="0"/>
              <w:bottom w:val="single" w:color="auto" w:sz="4" w:space="0"/>
              <w:right w:val="single" w:color="auto" w:sz="4" w:space="0"/>
            </w:tcBorders>
          </w:tcPr>
          <w:p w14:paraId="13184C50">
            <w:pPr>
              <w:snapToGrid w:val="0"/>
              <w:spacing w:before="156" w:beforeLines="50" w:after="50"/>
              <w:rPr>
                <w:rFonts w:hint="eastAsia" w:ascii="宋体" w:hAnsi="宋体"/>
                <w:sz w:val="24"/>
                <w:u w:val="none" w:color="auto"/>
              </w:rPr>
            </w:pPr>
          </w:p>
        </w:tc>
        <w:tc>
          <w:tcPr>
            <w:tcW w:w="2663" w:type="dxa"/>
            <w:tcBorders>
              <w:top w:val="single" w:color="auto" w:sz="4" w:space="0"/>
              <w:left w:val="single" w:color="auto" w:sz="4" w:space="0"/>
              <w:bottom w:val="single" w:color="auto" w:sz="4" w:space="0"/>
              <w:right w:val="single" w:color="auto" w:sz="4" w:space="0"/>
            </w:tcBorders>
          </w:tcPr>
          <w:p w14:paraId="7E090942">
            <w:pPr>
              <w:snapToGrid w:val="0"/>
              <w:spacing w:before="156" w:beforeLines="50" w:after="50"/>
              <w:rPr>
                <w:rFonts w:hint="eastAsia" w:ascii="宋体" w:hAnsi="宋体"/>
                <w:sz w:val="24"/>
                <w:u w:val="none" w:color="auto"/>
              </w:rPr>
            </w:pPr>
          </w:p>
        </w:tc>
      </w:tr>
      <w:tr w14:paraId="5704A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tcPr>
          <w:p w14:paraId="5A118CB8">
            <w:pPr>
              <w:snapToGrid w:val="0"/>
              <w:spacing w:before="156" w:beforeLines="50" w:after="50"/>
              <w:rPr>
                <w:rFonts w:hint="eastAsia" w:ascii="宋体" w:hAnsi="宋体"/>
                <w:sz w:val="24"/>
                <w:u w:val="none" w:color="auto"/>
              </w:rPr>
            </w:pPr>
          </w:p>
        </w:tc>
        <w:tc>
          <w:tcPr>
            <w:tcW w:w="1004" w:type="dxa"/>
            <w:tcBorders>
              <w:top w:val="single" w:color="auto" w:sz="4" w:space="0"/>
              <w:left w:val="single" w:color="auto" w:sz="4" w:space="0"/>
              <w:bottom w:val="single" w:color="auto" w:sz="4" w:space="0"/>
              <w:right w:val="single" w:color="auto" w:sz="4" w:space="0"/>
            </w:tcBorders>
          </w:tcPr>
          <w:p w14:paraId="25493608">
            <w:pPr>
              <w:snapToGrid w:val="0"/>
              <w:spacing w:before="156" w:beforeLines="50" w:after="50"/>
              <w:rPr>
                <w:rFonts w:hint="eastAsia" w:ascii="宋体" w:hAnsi="宋体"/>
                <w:sz w:val="24"/>
                <w:u w:val="none" w:color="auto"/>
              </w:rPr>
            </w:pPr>
          </w:p>
        </w:tc>
        <w:tc>
          <w:tcPr>
            <w:tcW w:w="1663" w:type="dxa"/>
            <w:tcBorders>
              <w:top w:val="single" w:color="auto" w:sz="4" w:space="0"/>
              <w:left w:val="single" w:color="auto" w:sz="4" w:space="0"/>
              <w:bottom w:val="single" w:color="auto" w:sz="4" w:space="0"/>
              <w:right w:val="single" w:color="auto" w:sz="4" w:space="0"/>
            </w:tcBorders>
          </w:tcPr>
          <w:p w14:paraId="5796AF30">
            <w:pPr>
              <w:snapToGrid w:val="0"/>
              <w:spacing w:before="156" w:beforeLines="50" w:after="50"/>
              <w:rPr>
                <w:rFonts w:hint="eastAsia" w:ascii="宋体" w:hAnsi="宋体"/>
                <w:sz w:val="24"/>
                <w:u w:val="none" w:color="auto"/>
              </w:rPr>
            </w:pPr>
          </w:p>
        </w:tc>
        <w:tc>
          <w:tcPr>
            <w:tcW w:w="1260" w:type="dxa"/>
            <w:tcBorders>
              <w:top w:val="single" w:color="auto" w:sz="4" w:space="0"/>
              <w:left w:val="single" w:color="auto" w:sz="4" w:space="0"/>
              <w:bottom w:val="single" w:color="auto" w:sz="4" w:space="0"/>
              <w:right w:val="single" w:color="auto" w:sz="4" w:space="0"/>
            </w:tcBorders>
          </w:tcPr>
          <w:p w14:paraId="7A1AEBCD">
            <w:pPr>
              <w:snapToGrid w:val="0"/>
              <w:spacing w:before="156" w:beforeLines="50" w:after="50"/>
              <w:rPr>
                <w:rFonts w:hint="eastAsia" w:ascii="宋体" w:hAnsi="宋体"/>
                <w:sz w:val="24"/>
                <w:u w:val="none" w:color="auto"/>
              </w:rPr>
            </w:pPr>
          </w:p>
        </w:tc>
        <w:tc>
          <w:tcPr>
            <w:tcW w:w="2663" w:type="dxa"/>
            <w:tcBorders>
              <w:top w:val="single" w:color="auto" w:sz="4" w:space="0"/>
              <w:left w:val="single" w:color="auto" w:sz="4" w:space="0"/>
              <w:bottom w:val="single" w:color="auto" w:sz="4" w:space="0"/>
              <w:right w:val="single" w:color="auto" w:sz="4" w:space="0"/>
            </w:tcBorders>
          </w:tcPr>
          <w:p w14:paraId="4D89822C">
            <w:pPr>
              <w:snapToGrid w:val="0"/>
              <w:spacing w:before="156" w:beforeLines="50" w:after="50"/>
              <w:rPr>
                <w:rFonts w:hint="eastAsia" w:ascii="宋体" w:hAnsi="宋体"/>
                <w:sz w:val="24"/>
                <w:u w:val="none" w:color="auto"/>
              </w:rPr>
            </w:pPr>
          </w:p>
        </w:tc>
      </w:tr>
      <w:tr w14:paraId="66278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tcPr>
          <w:p w14:paraId="060E629F">
            <w:pPr>
              <w:snapToGrid w:val="0"/>
              <w:spacing w:before="156" w:beforeLines="50" w:after="50"/>
              <w:rPr>
                <w:rFonts w:hint="eastAsia" w:ascii="宋体" w:hAnsi="宋体"/>
                <w:sz w:val="24"/>
                <w:u w:val="none" w:color="auto"/>
              </w:rPr>
            </w:pPr>
          </w:p>
        </w:tc>
        <w:tc>
          <w:tcPr>
            <w:tcW w:w="1004" w:type="dxa"/>
            <w:tcBorders>
              <w:top w:val="single" w:color="auto" w:sz="4" w:space="0"/>
              <w:left w:val="single" w:color="auto" w:sz="4" w:space="0"/>
              <w:bottom w:val="single" w:color="auto" w:sz="4" w:space="0"/>
              <w:right w:val="single" w:color="auto" w:sz="4" w:space="0"/>
            </w:tcBorders>
          </w:tcPr>
          <w:p w14:paraId="5A06D236">
            <w:pPr>
              <w:snapToGrid w:val="0"/>
              <w:spacing w:before="156" w:beforeLines="50" w:after="50"/>
              <w:rPr>
                <w:rFonts w:hint="eastAsia" w:ascii="宋体" w:hAnsi="宋体"/>
                <w:sz w:val="24"/>
                <w:u w:val="none" w:color="auto"/>
              </w:rPr>
            </w:pPr>
          </w:p>
        </w:tc>
        <w:tc>
          <w:tcPr>
            <w:tcW w:w="1663" w:type="dxa"/>
            <w:tcBorders>
              <w:top w:val="single" w:color="auto" w:sz="4" w:space="0"/>
              <w:left w:val="single" w:color="auto" w:sz="4" w:space="0"/>
              <w:bottom w:val="single" w:color="auto" w:sz="4" w:space="0"/>
              <w:right w:val="single" w:color="auto" w:sz="4" w:space="0"/>
            </w:tcBorders>
          </w:tcPr>
          <w:p w14:paraId="79B1A040">
            <w:pPr>
              <w:snapToGrid w:val="0"/>
              <w:spacing w:before="156" w:beforeLines="50" w:after="50"/>
              <w:rPr>
                <w:rFonts w:hint="eastAsia" w:ascii="宋体" w:hAnsi="宋体"/>
                <w:sz w:val="24"/>
                <w:u w:val="none" w:color="auto"/>
              </w:rPr>
            </w:pPr>
          </w:p>
        </w:tc>
        <w:tc>
          <w:tcPr>
            <w:tcW w:w="1260" w:type="dxa"/>
            <w:tcBorders>
              <w:top w:val="single" w:color="auto" w:sz="4" w:space="0"/>
              <w:left w:val="single" w:color="auto" w:sz="4" w:space="0"/>
              <w:bottom w:val="single" w:color="auto" w:sz="4" w:space="0"/>
              <w:right w:val="single" w:color="auto" w:sz="4" w:space="0"/>
            </w:tcBorders>
          </w:tcPr>
          <w:p w14:paraId="27D83455">
            <w:pPr>
              <w:snapToGrid w:val="0"/>
              <w:spacing w:before="156" w:beforeLines="50" w:after="50"/>
              <w:rPr>
                <w:rFonts w:hint="eastAsia" w:ascii="宋体" w:hAnsi="宋体"/>
                <w:sz w:val="24"/>
                <w:u w:val="none" w:color="auto"/>
              </w:rPr>
            </w:pPr>
          </w:p>
        </w:tc>
        <w:tc>
          <w:tcPr>
            <w:tcW w:w="2663" w:type="dxa"/>
            <w:tcBorders>
              <w:top w:val="single" w:color="auto" w:sz="4" w:space="0"/>
              <w:left w:val="single" w:color="auto" w:sz="4" w:space="0"/>
              <w:bottom w:val="single" w:color="auto" w:sz="4" w:space="0"/>
              <w:right w:val="single" w:color="auto" w:sz="4" w:space="0"/>
            </w:tcBorders>
          </w:tcPr>
          <w:p w14:paraId="560DAE53">
            <w:pPr>
              <w:snapToGrid w:val="0"/>
              <w:spacing w:before="156" w:beforeLines="50" w:after="50"/>
              <w:rPr>
                <w:rFonts w:hint="eastAsia" w:ascii="宋体" w:hAnsi="宋体"/>
                <w:sz w:val="24"/>
                <w:u w:val="none" w:color="auto"/>
              </w:rPr>
            </w:pPr>
          </w:p>
        </w:tc>
      </w:tr>
      <w:tr w14:paraId="0984D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tcPr>
          <w:p w14:paraId="01095A36">
            <w:pPr>
              <w:snapToGrid w:val="0"/>
              <w:spacing w:before="156" w:beforeLines="50" w:after="50"/>
              <w:rPr>
                <w:rFonts w:hint="eastAsia" w:ascii="宋体" w:hAnsi="宋体"/>
                <w:sz w:val="24"/>
                <w:u w:val="none" w:color="auto"/>
              </w:rPr>
            </w:pPr>
          </w:p>
        </w:tc>
        <w:tc>
          <w:tcPr>
            <w:tcW w:w="1004" w:type="dxa"/>
            <w:tcBorders>
              <w:top w:val="single" w:color="auto" w:sz="4" w:space="0"/>
              <w:left w:val="single" w:color="auto" w:sz="4" w:space="0"/>
              <w:bottom w:val="single" w:color="auto" w:sz="4" w:space="0"/>
              <w:right w:val="single" w:color="auto" w:sz="4" w:space="0"/>
            </w:tcBorders>
          </w:tcPr>
          <w:p w14:paraId="178381A5">
            <w:pPr>
              <w:snapToGrid w:val="0"/>
              <w:spacing w:before="156" w:beforeLines="50" w:after="50"/>
              <w:rPr>
                <w:rFonts w:hint="eastAsia" w:ascii="宋体" w:hAnsi="宋体"/>
                <w:sz w:val="24"/>
                <w:u w:val="none" w:color="auto"/>
              </w:rPr>
            </w:pPr>
          </w:p>
        </w:tc>
        <w:tc>
          <w:tcPr>
            <w:tcW w:w="1663" w:type="dxa"/>
            <w:tcBorders>
              <w:top w:val="single" w:color="auto" w:sz="4" w:space="0"/>
              <w:left w:val="single" w:color="auto" w:sz="4" w:space="0"/>
              <w:bottom w:val="single" w:color="auto" w:sz="4" w:space="0"/>
              <w:right w:val="single" w:color="auto" w:sz="4" w:space="0"/>
            </w:tcBorders>
          </w:tcPr>
          <w:p w14:paraId="2CD1135D">
            <w:pPr>
              <w:snapToGrid w:val="0"/>
              <w:spacing w:before="156" w:beforeLines="50" w:after="50"/>
              <w:rPr>
                <w:rFonts w:hint="eastAsia" w:ascii="宋体" w:hAnsi="宋体"/>
                <w:sz w:val="24"/>
                <w:u w:val="none" w:color="auto"/>
              </w:rPr>
            </w:pPr>
          </w:p>
        </w:tc>
        <w:tc>
          <w:tcPr>
            <w:tcW w:w="1260" w:type="dxa"/>
            <w:tcBorders>
              <w:top w:val="single" w:color="auto" w:sz="4" w:space="0"/>
              <w:left w:val="single" w:color="auto" w:sz="4" w:space="0"/>
              <w:bottom w:val="single" w:color="auto" w:sz="4" w:space="0"/>
              <w:right w:val="single" w:color="auto" w:sz="4" w:space="0"/>
            </w:tcBorders>
          </w:tcPr>
          <w:p w14:paraId="523D76B7">
            <w:pPr>
              <w:snapToGrid w:val="0"/>
              <w:spacing w:before="156" w:beforeLines="50" w:after="50"/>
              <w:rPr>
                <w:rFonts w:hint="eastAsia" w:ascii="宋体" w:hAnsi="宋体"/>
                <w:sz w:val="24"/>
                <w:u w:val="none" w:color="auto"/>
              </w:rPr>
            </w:pPr>
          </w:p>
        </w:tc>
        <w:tc>
          <w:tcPr>
            <w:tcW w:w="2663" w:type="dxa"/>
            <w:tcBorders>
              <w:top w:val="single" w:color="auto" w:sz="4" w:space="0"/>
              <w:left w:val="single" w:color="auto" w:sz="4" w:space="0"/>
              <w:bottom w:val="single" w:color="auto" w:sz="4" w:space="0"/>
              <w:right w:val="single" w:color="auto" w:sz="4" w:space="0"/>
            </w:tcBorders>
          </w:tcPr>
          <w:p w14:paraId="46A21CBE">
            <w:pPr>
              <w:snapToGrid w:val="0"/>
              <w:spacing w:before="156" w:beforeLines="50" w:after="50"/>
              <w:rPr>
                <w:rFonts w:hint="eastAsia" w:ascii="宋体" w:hAnsi="宋体"/>
                <w:sz w:val="24"/>
                <w:u w:val="none" w:color="auto"/>
              </w:rPr>
            </w:pPr>
          </w:p>
        </w:tc>
      </w:tr>
      <w:tr w14:paraId="68A72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tcPr>
          <w:p w14:paraId="5C661BB3">
            <w:pPr>
              <w:snapToGrid w:val="0"/>
              <w:spacing w:before="156" w:beforeLines="50" w:after="50"/>
              <w:rPr>
                <w:rFonts w:hint="eastAsia" w:ascii="宋体" w:hAnsi="宋体"/>
                <w:sz w:val="24"/>
                <w:u w:val="none" w:color="auto"/>
              </w:rPr>
            </w:pPr>
          </w:p>
        </w:tc>
        <w:tc>
          <w:tcPr>
            <w:tcW w:w="1004" w:type="dxa"/>
            <w:tcBorders>
              <w:top w:val="single" w:color="auto" w:sz="4" w:space="0"/>
              <w:left w:val="single" w:color="auto" w:sz="4" w:space="0"/>
              <w:bottom w:val="single" w:color="auto" w:sz="4" w:space="0"/>
              <w:right w:val="single" w:color="auto" w:sz="4" w:space="0"/>
            </w:tcBorders>
          </w:tcPr>
          <w:p w14:paraId="7B6AAC8E">
            <w:pPr>
              <w:snapToGrid w:val="0"/>
              <w:spacing w:before="156" w:beforeLines="50" w:after="50"/>
              <w:rPr>
                <w:rFonts w:hint="eastAsia" w:ascii="宋体" w:hAnsi="宋体"/>
                <w:sz w:val="24"/>
                <w:u w:val="none" w:color="auto"/>
              </w:rPr>
            </w:pPr>
          </w:p>
        </w:tc>
        <w:tc>
          <w:tcPr>
            <w:tcW w:w="1663" w:type="dxa"/>
            <w:tcBorders>
              <w:top w:val="single" w:color="auto" w:sz="4" w:space="0"/>
              <w:left w:val="single" w:color="auto" w:sz="4" w:space="0"/>
              <w:bottom w:val="single" w:color="auto" w:sz="4" w:space="0"/>
              <w:right w:val="single" w:color="auto" w:sz="4" w:space="0"/>
            </w:tcBorders>
          </w:tcPr>
          <w:p w14:paraId="6A0C3375">
            <w:pPr>
              <w:snapToGrid w:val="0"/>
              <w:spacing w:before="156" w:beforeLines="50" w:after="50"/>
              <w:rPr>
                <w:rFonts w:hint="eastAsia" w:ascii="宋体" w:hAnsi="宋体"/>
                <w:sz w:val="24"/>
                <w:u w:val="none" w:color="auto"/>
              </w:rPr>
            </w:pPr>
          </w:p>
        </w:tc>
        <w:tc>
          <w:tcPr>
            <w:tcW w:w="1260" w:type="dxa"/>
            <w:tcBorders>
              <w:top w:val="single" w:color="auto" w:sz="4" w:space="0"/>
              <w:left w:val="single" w:color="auto" w:sz="4" w:space="0"/>
              <w:bottom w:val="single" w:color="auto" w:sz="4" w:space="0"/>
              <w:right w:val="single" w:color="auto" w:sz="4" w:space="0"/>
            </w:tcBorders>
          </w:tcPr>
          <w:p w14:paraId="1F9B58B8">
            <w:pPr>
              <w:snapToGrid w:val="0"/>
              <w:spacing w:before="156" w:beforeLines="50" w:after="50"/>
              <w:rPr>
                <w:rFonts w:hint="eastAsia" w:ascii="宋体" w:hAnsi="宋体"/>
                <w:sz w:val="24"/>
                <w:u w:val="none" w:color="auto"/>
              </w:rPr>
            </w:pPr>
          </w:p>
        </w:tc>
        <w:tc>
          <w:tcPr>
            <w:tcW w:w="2663" w:type="dxa"/>
            <w:tcBorders>
              <w:top w:val="single" w:color="auto" w:sz="4" w:space="0"/>
              <w:left w:val="single" w:color="auto" w:sz="4" w:space="0"/>
              <w:bottom w:val="single" w:color="auto" w:sz="4" w:space="0"/>
              <w:right w:val="single" w:color="auto" w:sz="4" w:space="0"/>
            </w:tcBorders>
          </w:tcPr>
          <w:p w14:paraId="2260D5DE">
            <w:pPr>
              <w:snapToGrid w:val="0"/>
              <w:spacing w:before="156" w:beforeLines="50" w:after="50"/>
              <w:rPr>
                <w:rFonts w:hint="eastAsia" w:ascii="宋体" w:hAnsi="宋体"/>
                <w:sz w:val="24"/>
                <w:u w:val="none" w:color="auto"/>
              </w:rPr>
            </w:pPr>
          </w:p>
        </w:tc>
      </w:tr>
    </w:tbl>
    <w:p w14:paraId="1A48E915">
      <w:pPr>
        <w:snapToGrid w:val="0"/>
        <w:spacing w:before="50" w:after="156" w:afterLines="50"/>
        <w:jc w:val="left"/>
        <w:rPr>
          <w:rFonts w:hint="eastAsia" w:ascii="宋体" w:hAnsi="宋体"/>
          <w:u w:val="none" w:color="auto"/>
        </w:rPr>
      </w:pPr>
      <w:r>
        <w:rPr>
          <w:rFonts w:hint="eastAsia" w:ascii="宋体" w:hAnsi="宋体"/>
          <w:u w:val="none" w:color="auto"/>
        </w:rPr>
        <w:t>注：在填写时，如本表格不适合投标单位的实际情况，可根据本表格式自行划表填写</w:t>
      </w:r>
    </w:p>
    <w:p w14:paraId="0948B550">
      <w:pPr>
        <w:snapToGrid w:val="0"/>
        <w:spacing w:before="50" w:after="156" w:afterLines="50"/>
        <w:jc w:val="left"/>
        <w:rPr>
          <w:rFonts w:hint="eastAsia" w:ascii="宋体" w:hAnsi="宋体"/>
          <w:u w:val="none" w:color="auto"/>
        </w:rPr>
      </w:pPr>
    </w:p>
    <w:p w14:paraId="272EAE25">
      <w:pPr>
        <w:snapToGrid w:val="0"/>
        <w:spacing w:before="50" w:after="156" w:afterLines="50"/>
        <w:jc w:val="left"/>
        <w:rPr>
          <w:rFonts w:hint="eastAsia" w:ascii="宋体" w:hAnsi="宋体"/>
          <w:u w:val="none" w:color="auto"/>
        </w:rPr>
      </w:pPr>
    </w:p>
    <w:p w14:paraId="3560D032">
      <w:pPr>
        <w:snapToGrid w:val="0"/>
        <w:spacing w:before="50" w:after="50"/>
        <w:rPr>
          <w:rFonts w:hint="eastAsia" w:ascii="宋体" w:hAnsi="宋体"/>
          <w:b/>
          <w:spacing w:val="-4"/>
          <w:szCs w:val="21"/>
          <w:u w:val="none" w:color="auto"/>
        </w:rPr>
      </w:pPr>
      <w:r>
        <w:rPr>
          <w:rFonts w:hint="eastAsia" w:ascii="宋体" w:hAnsi="宋体"/>
          <w:b/>
          <w:spacing w:val="-4"/>
          <w:szCs w:val="21"/>
          <w:u w:val="none" w:color="auto"/>
        </w:rPr>
        <w:t xml:space="preserve">投标人名称（盖章） </w:t>
      </w:r>
    </w:p>
    <w:p w14:paraId="542C85E9">
      <w:pPr>
        <w:snapToGrid w:val="0"/>
        <w:spacing w:before="50" w:after="50"/>
        <w:rPr>
          <w:rFonts w:hint="eastAsia" w:ascii="宋体" w:hAnsi="宋体"/>
          <w:b/>
          <w:spacing w:val="-4"/>
          <w:szCs w:val="21"/>
          <w:u w:val="none" w:color="auto"/>
        </w:rPr>
      </w:pPr>
    </w:p>
    <w:p w14:paraId="2E2216A7">
      <w:pPr>
        <w:snapToGrid w:val="0"/>
        <w:spacing w:before="50" w:after="156" w:afterLines="50"/>
        <w:jc w:val="left"/>
        <w:rPr>
          <w:rFonts w:hint="eastAsia" w:ascii="宋体" w:hAnsi="宋体"/>
          <w:sz w:val="24"/>
          <w:u w:val="none" w:color="auto"/>
        </w:rPr>
      </w:pPr>
      <w:r>
        <w:rPr>
          <w:rFonts w:hint="eastAsia"/>
          <w:b/>
          <w:u w:val="none" w:color="auto"/>
        </w:rPr>
        <w:t>日期：</w:t>
      </w:r>
    </w:p>
    <w:p w14:paraId="42A9F3B8">
      <w:pPr>
        <w:snapToGrid w:val="0"/>
        <w:spacing w:before="50" w:after="156" w:afterLines="50"/>
        <w:jc w:val="left"/>
        <w:rPr>
          <w:rFonts w:hint="eastAsia" w:ascii="宋体" w:hAnsi="宋体"/>
          <w:sz w:val="24"/>
          <w:u w:val="none" w:color="auto"/>
        </w:rPr>
      </w:pPr>
    </w:p>
    <w:p w14:paraId="3E3BA501">
      <w:pPr>
        <w:snapToGrid w:val="0"/>
        <w:spacing w:before="156" w:beforeLines="50" w:after="50"/>
        <w:jc w:val="center"/>
        <w:rPr>
          <w:rFonts w:hint="eastAsia" w:ascii="宋体" w:hAnsi="宋体"/>
          <w:b/>
          <w:sz w:val="22"/>
          <w:u w:val="none" w:color="auto"/>
        </w:rPr>
      </w:pPr>
    </w:p>
    <w:p w14:paraId="6F216E3E">
      <w:pPr>
        <w:snapToGrid w:val="0"/>
        <w:spacing w:before="156" w:beforeLines="50" w:after="50"/>
        <w:rPr>
          <w:rFonts w:hint="eastAsia" w:ascii="宋体" w:hAnsi="宋体"/>
          <w:b/>
          <w:color w:val="FF0000"/>
          <w:sz w:val="22"/>
          <w:u w:val="none" w:color="auto"/>
        </w:rPr>
      </w:pPr>
    </w:p>
    <w:p w14:paraId="51D180CE">
      <w:pPr>
        <w:snapToGrid w:val="0"/>
        <w:spacing w:before="156" w:beforeLines="50" w:after="50"/>
        <w:rPr>
          <w:rFonts w:hint="eastAsia" w:ascii="宋体" w:hAnsi="宋体"/>
          <w:b/>
          <w:sz w:val="22"/>
          <w:u w:val="none" w:color="auto"/>
        </w:rPr>
      </w:pPr>
    </w:p>
    <w:p w14:paraId="47930C3A">
      <w:pPr>
        <w:spacing w:line="360" w:lineRule="auto"/>
        <w:rPr>
          <w:rFonts w:hint="eastAsia" w:cs="仿宋_GB2312" w:asciiTheme="minorEastAsia" w:hAnsiTheme="minorEastAsia" w:eastAsiaTheme="minorEastAsia"/>
          <w:b/>
          <w:bCs/>
          <w:sz w:val="30"/>
          <w:szCs w:val="30"/>
          <w:u w:val="none" w:color="auto"/>
        </w:rPr>
      </w:pPr>
    </w:p>
    <w:p w14:paraId="298BE14E">
      <w:pPr>
        <w:spacing w:line="360" w:lineRule="auto"/>
        <w:rPr>
          <w:rFonts w:hint="eastAsia" w:cs="仿宋_GB2312" w:asciiTheme="minorEastAsia" w:hAnsiTheme="minorEastAsia" w:eastAsiaTheme="minorEastAsia"/>
          <w:b/>
          <w:bCs/>
          <w:sz w:val="30"/>
          <w:szCs w:val="30"/>
          <w:u w:val="none" w:color="auto"/>
        </w:rPr>
      </w:pPr>
    </w:p>
    <w:p w14:paraId="08375D3C">
      <w:pPr>
        <w:spacing w:line="360" w:lineRule="auto"/>
        <w:rPr>
          <w:rFonts w:hint="eastAsia" w:cs="仿宋_GB2312" w:asciiTheme="minorEastAsia" w:hAnsiTheme="minorEastAsia" w:eastAsiaTheme="minorEastAsia"/>
          <w:b/>
          <w:bCs/>
          <w:sz w:val="30"/>
          <w:szCs w:val="30"/>
          <w:u w:val="none" w:color="auto"/>
        </w:rPr>
      </w:pPr>
    </w:p>
    <w:p w14:paraId="21BB617C">
      <w:pPr>
        <w:spacing w:line="360" w:lineRule="auto"/>
        <w:rPr>
          <w:rFonts w:hint="eastAsia" w:cs="仿宋_GB2312" w:asciiTheme="minorEastAsia" w:hAnsiTheme="minorEastAsia" w:eastAsiaTheme="minorEastAsia"/>
          <w:b/>
          <w:bCs/>
          <w:sz w:val="30"/>
          <w:szCs w:val="30"/>
          <w:u w:val="none" w:color="auto"/>
        </w:rPr>
      </w:pPr>
    </w:p>
    <w:p w14:paraId="1BB3042D">
      <w:pPr>
        <w:pStyle w:val="2"/>
        <w:rPr>
          <w:u w:val="none" w:color="auto"/>
        </w:rPr>
      </w:pPr>
      <w:r>
        <w:rPr>
          <w:rFonts w:hint="eastAsia"/>
          <w:u w:val="none" w:color="auto"/>
        </w:rPr>
        <w:t xml:space="preserve"> </w:t>
      </w:r>
    </w:p>
    <w:p w14:paraId="7CF4531F">
      <w:pPr>
        <w:pStyle w:val="2"/>
        <w:rPr>
          <w:sz w:val="28"/>
          <w:szCs w:val="28"/>
          <w:u w:val="none" w:color="auto"/>
        </w:rPr>
      </w:pPr>
      <w:r>
        <w:rPr>
          <w:rFonts w:hint="eastAsia"/>
          <w:sz w:val="28"/>
          <w:szCs w:val="28"/>
          <w:u w:val="none" w:color="auto"/>
        </w:rPr>
        <w:t>十一、</w:t>
      </w:r>
    </w:p>
    <w:p w14:paraId="4C2714DE">
      <w:pPr>
        <w:snapToGrid w:val="0"/>
        <w:spacing w:before="50" w:after="156" w:afterLines="50"/>
        <w:jc w:val="center"/>
        <w:rPr>
          <w:rFonts w:hint="eastAsia" w:ascii="宋体" w:hAnsi="宋体"/>
          <w:b/>
          <w:sz w:val="28"/>
          <w:szCs w:val="28"/>
          <w:u w:val="none" w:color="auto"/>
        </w:rPr>
      </w:pPr>
      <w:r>
        <w:rPr>
          <w:rFonts w:hint="eastAsia" w:ascii="宋体" w:hAnsi="宋体"/>
          <w:b/>
          <w:sz w:val="28"/>
          <w:szCs w:val="28"/>
          <w:u w:val="none" w:color="auto"/>
        </w:rPr>
        <w:t>技术响应表格式：</w:t>
      </w:r>
    </w:p>
    <w:p w14:paraId="7008AD63">
      <w:pPr>
        <w:rPr>
          <w:rFonts w:hint="eastAsia" w:ascii="宋体" w:hAnsi="宋体"/>
          <w:szCs w:val="22"/>
          <w:u w:val="none" w:color="auto"/>
        </w:rPr>
      </w:pPr>
    </w:p>
    <w:p w14:paraId="0FE9C0F3">
      <w:pPr>
        <w:rPr>
          <w:rFonts w:hint="eastAsia" w:ascii="宋体" w:hAnsi="宋体"/>
          <w:szCs w:val="22"/>
          <w:u w:val="none" w:color="auto"/>
        </w:rPr>
      </w:pPr>
    </w:p>
    <w:p w14:paraId="35D65412">
      <w:pPr>
        <w:rPr>
          <w:rFonts w:hint="eastAsia" w:ascii="宋体" w:hAnsi="宋体"/>
          <w:szCs w:val="22"/>
          <w:u w:val="none" w:color="auto"/>
        </w:rPr>
      </w:pPr>
      <w:r>
        <w:rPr>
          <w:rFonts w:hint="eastAsia" w:ascii="宋体" w:hAnsi="宋体"/>
          <w:szCs w:val="22"/>
          <w:u w:val="none" w:color="auto"/>
        </w:rPr>
        <w:t>项目名称：</w:t>
      </w:r>
    </w:p>
    <w:p w14:paraId="1F91394D">
      <w:pPr>
        <w:snapToGrid w:val="0"/>
        <w:spacing w:line="360" w:lineRule="auto"/>
        <w:rPr>
          <w:rFonts w:ascii="宋体" w:hAnsi="Times New Roman"/>
          <w:szCs w:val="22"/>
          <w:u w:val="none" w:color="auto"/>
        </w:rPr>
      </w:pPr>
      <w:r>
        <w:rPr>
          <w:rFonts w:hint="eastAsia" w:ascii="宋体" w:hAnsi="宋体"/>
          <w:szCs w:val="22"/>
          <w:u w:val="none" w:color="auto"/>
        </w:rPr>
        <w:t>项目编号：</w:t>
      </w:r>
    </w:p>
    <w:tbl>
      <w:tblPr>
        <w:tblStyle w:val="29"/>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1B441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14:paraId="4556E753">
            <w:pPr>
              <w:snapToGrid w:val="0"/>
              <w:spacing w:after="295"/>
              <w:jc w:val="center"/>
              <w:outlineLvl w:val="0"/>
              <w:rPr>
                <w:rFonts w:hint="eastAsia" w:ascii="宋体" w:hAnsi="宋体"/>
                <w:sz w:val="24"/>
                <w:szCs w:val="22"/>
                <w:u w:val="none" w:color="auto"/>
              </w:rPr>
            </w:pPr>
            <w:r>
              <w:rPr>
                <w:rFonts w:hint="eastAsia" w:ascii="宋体" w:hAnsi="宋体"/>
                <w:sz w:val="24"/>
                <w:szCs w:val="22"/>
                <w:u w:val="none" w:color="auto"/>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304F7CFB">
            <w:pPr>
              <w:snapToGrid w:val="0"/>
              <w:spacing w:after="295"/>
              <w:jc w:val="center"/>
              <w:outlineLvl w:val="0"/>
              <w:rPr>
                <w:rFonts w:hint="eastAsia" w:ascii="宋体" w:hAnsi="宋体"/>
                <w:sz w:val="24"/>
                <w:szCs w:val="22"/>
                <w:u w:val="none" w:color="auto"/>
              </w:rPr>
            </w:pPr>
            <w:r>
              <w:rPr>
                <w:rFonts w:hint="eastAsia" w:ascii="宋体" w:hAnsi="宋体"/>
                <w:sz w:val="24"/>
                <w:szCs w:val="22"/>
                <w:u w:val="none" w:color="auto"/>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12532075">
            <w:pPr>
              <w:snapToGrid w:val="0"/>
              <w:spacing w:after="295"/>
              <w:jc w:val="center"/>
              <w:outlineLvl w:val="0"/>
              <w:rPr>
                <w:rFonts w:hint="eastAsia" w:ascii="宋体" w:hAnsi="宋体"/>
                <w:sz w:val="24"/>
                <w:szCs w:val="22"/>
                <w:u w:val="none" w:color="auto"/>
              </w:rPr>
            </w:pPr>
            <w:r>
              <w:rPr>
                <w:rFonts w:hint="eastAsia" w:ascii="宋体" w:hAnsi="宋体"/>
                <w:sz w:val="24"/>
                <w:szCs w:val="22"/>
                <w:u w:val="none" w:color="auto"/>
              </w:rPr>
              <w:t>偏离情况</w:t>
            </w:r>
          </w:p>
        </w:tc>
      </w:tr>
      <w:tr w14:paraId="74C50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14:paraId="27AA7E5C">
            <w:pPr>
              <w:snapToGrid w:val="0"/>
              <w:spacing w:after="295"/>
              <w:jc w:val="center"/>
              <w:outlineLvl w:val="0"/>
              <w:rPr>
                <w:rFonts w:hint="eastAsia" w:ascii="宋体" w:hAnsi="宋体"/>
                <w:sz w:val="24"/>
                <w:szCs w:val="22"/>
                <w:u w:val="none" w:color="auto"/>
              </w:rPr>
            </w:pPr>
            <w:r>
              <w:rPr>
                <w:rFonts w:hint="eastAsia" w:ascii="宋体" w:hAnsi="宋体"/>
                <w:sz w:val="24"/>
                <w:szCs w:val="22"/>
                <w:u w:val="none" w:color="auto"/>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1D21C0D5">
            <w:pPr>
              <w:snapToGrid w:val="0"/>
              <w:spacing w:after="295"/>
              <w:jc w:val="center"/>
              <w:outlineLvl w:val="0"/>
              <w:rPr>
                <w:rFonts w:hint="eastAsia" w:ascii="宋体" w:hAnsi="宋体"/>
                <w:sz w:val="24"/>
                <w:szCs w:val="22"/>
                <w:u w:val="none" w:color="auto"/>
              </w:rPr>
            </w:pPr>
            <w:r>
              <w:rPr>
                <w:rFonts w:hint="eastAsia" w:ascii="宋体" w:hAnsi="宋体"/>
                <w:sz w:val="24"/>
                <w:szCs w:val="22"/>
                <w:u w:val="none" w:color="auto"/>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2E67415D">
            <w:pPr>
              <w:snapToGrid w:val="0"/>
              <w:spacing w:after="295"/>
              <w:jc w:val="center"/>
              <w:outlineLvl w:val="0"/>
              <w:rPr>
                <w:rFonts w:hint="eastAsia" w:ascii="宋体" w:hAnsi="宋体"/>
                <w:sz w:val="24"/>
                <w:szCs w:val="22"/>
                <w:u w:val="none" w:color="auto"/>
              </w:rPr>
            </w:pPr>
            <w:r>
              <w:rPr>
                <w:rFonts w:hint="eastAsia" w:ascii="宋体" w:hAnsi="宋体"/>
                <w:sz w:val="24"/>
                <w:szCs w:val="22"/>
                <w:u w:val="none" w:color="auto"/>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11FD6C44">
            <w:pPr>
              <w:snapToGrid w:val="0"/>
              <w:spacing w:after="295"/>
              <w:jc w:val="center"/>
              <w:outlineLvl w:val="0"/>
              <w:rPr>
                <w:rFonts w:hint="eastAsia" w:ascii="宋体" w:hAnsi="宋体"/>
                <w:sz w:val="24"/>
                <w:szCs w:val="22"/>
                <w:u w:val="none" w:color="auto"/>
              </w:rPr>
            </w:pPr>
            <w:r>
              <w:rPr>
                <w:rFonts w:hint="eastAsia" w:ascii="宋体" w:hAnsi="宋体"/>
                <w:sz w:val="24"/>
                <w:szCs w:val="22"/>
                <w:u w:val="none" w:color="auto"/>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7952FA52">
            <w:pPr>
              <w:widowControl/>
              <w:jc w:val="left"/>
              <w:rPr>
                <w:rFonts w:hint="eastAsia" w:ascii="宋体" w:hAnsi="宋体"/>
                <w:sz w:val="24"/>
                <w:szCs w:val="22"/>
                <w:u w:val="none" w:color="auto"/>
              </w:rPr>
            </w:pPr>
          </w:p>
        </w:tc>
      </w:tr>
      <w:tr w14:paraId="6F1FF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14:paraId="4CD2C293">
            <w:pPr>
              <w:snapToGrid w:val="0"/>
              <w:spacing w:after="295"/>
              <w:jc w:val="center"/>
              <w:outlineLvl w:val="0"/>
              <w:rPr>
                <w:rFonts w:hint="eastAsia" w:ascii="宋体" w:hAnsi="宋体"/>
                <w:sz w:val="24"/>
                <w:szCs w:val="22"/>
                <w:u w:val="none" w:color="auto"/>
              </w:rPr>
            </w:pPr>
          </w:p>
        </w:tc>
        <w:tc>
          <w:tcPr>
            <w:tcW w:w="2280" w:type="dxa"/>
            <w:tcBorders>
              <w:top w:val="single" w:color="auto" w:sz="4" w:space="0"/>
              <w:left w:val="single" w:color="auto" w:sz="4" w:space="0"/>
              <w:bottom w:val="single" w:color="auto" w:sz="4" w:space="0"/>
              <w:right w:val="single" w:color="auto" w:sz="4" w:space="0"/>
            </w:tcBorders>
            <w:vAlign w:val="center"/>
          </w:tcPr>
          <w:p w14:paraId="1BC87AB5">
            <w:pPr>
              <w:snapToGrid w:val="0"/>
              <w:spacing w:after="295" w:line="120" w:lineRule="exact"/>
              <w:jc w:val="center"/>
              <w:outlineLvl w:val="0"/>
              <w:rPr>
                <w:rFonts w:hint="eastAsia" w:ascii="宋体" w:hAnsi="宋体"/>
                <w:sz w:val="24"/>
                <w:szCs w:val="22"/>
                <w:u w:val="none" w:color="auto"/>
              </w:rPr>
            </w:pPr>
          </w:p>
        </w:tc>
        <w:tc>
          <w:tcPr>
            <w:tcW w:w="2040" w:type="dxa"/>
            <w:tcBorders>
              <w:top w:val="single" w:color="auto" w:sz="4" w:space="0"/>
              <w:left w:val="single" w:color="auto" w:sz="4" w:space="0"/>
              <w:bottom w:val="single" w:color="auto" w:sz="4" w:space="0"/>
              <w:right w:val="single" w:color="auto" w:sz="4" w:space="0"/>
            </w:tcBorders>
            <w:vAlign w:val="center"/>
          </w:tcPr>
          <w:p w14:paraId="16FC6EFC">
            <w:pPr>
              <w:snapToGrid w:val="0"/>
              <w:spacing w:after="295" w:line="120" w:lineRule="exact"/>
              <w:jc w:val="center"/>
              <w:outlineLvl w:val="0"/>
              <w:rPr>
                <w:rFonts w:hint="eastAsia" w:ascii="宋体" w:hAnsi="宋体"/>
                <w:sz w:val="24"/>
                <w:szCs w:val="22"/>
                <w:u w:val="none" w:color="auto"/>
              </w:rPr>
            </w:pPr>
          </w:p>
        </w:tc>
        <w:tc>
          <w:tcPr>
            <w:tcW w:w="1604" w:type="dxa"/>
            <w:tcBorders>
              <w:top w:val="single" w:color="auto" w:sz="4" w:space="0"/>
              <w:left w:val="single" w:color="auto" w:sz="4" w:space="0"/>
              <w:bottom w:val="single" w:color="auto" w:sz="4" w:space="0"/>
              <w:right w:val="single" w:color="auto" w:sz="4" w:space="0"/>
            </w:tcBorders>
            <w:vAlign w:val="center"/>
          </w:tcPr>
          <w:p w14:paraId="1EA90EFB">
            <w:pPr>
              <w:snapToGrid w:val="0"/>
              <w:spacing w:after="295" w:line="120" w:lineRule="exact"/>
              <w:jc w:val="center"/>
              <w:outlineLvl w:val="0"/>
              <w:rPr>
                <w:rFonts w:hint="eastAsia" w:ascii="宋体" w:hAnsi="宋体"/>
                <w:sz w:val="24"/>
                <w:szCs w:val="22"/>
                <w:u w:val="none" w:color="auto"/>
              </w:rPr>
            </w:pPr>
          </w:p>
        </w:tc>
        <w:tc>
          <w:tcPr>
            <w:tcW w:w="1423" w:type="dxa"/>
            <w:tcBorders>
              <w:top w:val="single" w:color="auto" w:sz="4" w:space="0"/>
              <w:left w:val="single" w:color="auto" w:sz="4" w:space="0"/>
              <w:bottom w:val="single" w:color="auto" w:sz="4" w:space="0"/>
              <w:right w:val="single" w:color="auto" w:sz="4" w:space="0"/>
            </w:tcBorders>
            <w:vAlign w:val="center"/>
          </w:tcPr>
          <w:p w14:paraId="4884894C">
            <w:pPr>
              <w:snapToGrid w:val="0"/>
              <w:spacing w:after="295" w:line="120" w:lineRule="exact"/>
              <w:jc w:val="center"/>
              <w:outlineLvl w:val="0"/>
              <w:rPr>
                <w:rFonts w:hint="eastAsia" w:ascii="宋体" w:hAnsi="宋体"/>
                <w:sz w:val="24"/>
                <w:szCs w:val="22"/>
                <w:u w:val="none" w:color="auto"/>
              </w:rPr>
            </w:pPr>
          </w:p>
        </w:tc>
      </w:tr>
      <w:tr w14:paraId="2262C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05876BB7">
            <w:pPr>
              <w:rPr>
                <w:rFonts w:hint="eastAsia" w:ascii="宋体" w:hAnsi="宋体"/>
                <w:szCs w:val="22"/>
                <w:u w:val="none" w:color="auto"/>
              </w:rPr>
            </w:pPr>
          </w:p>
        </w:tc>
        <w:tc>
          <w:tcPr>
            <w:tcW w:w="2280" w:type="dxa"/>
            <w:tcBorders>
              <w:top w:val="single" w:color="auto" w:sz="4" w:space="0"/>
              <w:left w:val="single" w:color="auto" w:sz="4" w:space="0"/>
              <w:bottom w:val="single" w:color="auto" w:sz="4" w:space="0"/>
              <w:right w:val="single" w:color="auto" w:sz="4" w:space="0"/>
            </w:tcBorders>
            <w:vAlign w:val="center"/>
          </w:tcPr>
          <w:p w14:paraId="460280AB">
            <w:pPr>
              <w:snapToGrid w:val="0"/>
              <w:spacing w:after="295" w:line="120" w:lineRule="exact"/>
              <w:outlineLvl w:val="0"/>
              <w:rPr>
                <w:rFonts w:hint="eastAsia" w:ascii="宋体" w:hAnsi="宋体"/>
                <w:sz w:val="24"/>
                <w:szCs w:val="22"/>
                <w:u w:val="none" w:color="auto"/>
              </w:rPr>
            </w:pPr>
          </w:p>
        </w:tc>
        <w:tc>
          <w:tcPr>
            <w:tcW w:w="2040" w:type="dxa"/>
            <w:tcBorders>
              <w:top w:val="single" w:color="auto" w:sz="4" w:space="0"/>
              <w:left w:val="single" w:color="auto" w:sz="4" w:space="0"/>
              <w:bottom w:val="single" w:color="auto" w:sz="4" w:space="0"/>
              <w:right w:val="single" w:color="auto" w:sz="4" w:space="0"/>
            </w:tcBorders>
          </w:tcPr>
          <w:p w14:paraId="00C28473">
            <w:pPr>
              <w:snapToGrid w:val="0"/>
              <w:spacing w:after="295" w:line="120" w:lineRule="exact"/>
              <w:outlineLvl w:val="0"/>
              <w:rPr>
                <w:rFonts w:hint="eastAsia" w:ascii="宋体" w:hAnsi="宋体"/>
                <w:sz w:val="24"/>
                <w:szCs w:val="22"/>
                <w:u w:val="none" w:color="auto"/>
              </w:rPr>
            </w:pPr>
          </w:p>
        </w:tc>
        <w:tc>
          <w:tcPr>
            <w:tcW w:w="1604" w:type="dxa"/>
            <w:tcBorders>
              <w:top w:val="single" w:color="auto" w:sz="4" w:space="0"/>
              <w:left w:val="single" w:color="auto" w:sz="4" w:space="0"/>
              <w:bottom w:val="single" w:color="auto" w:sz="4" w:space="0"/>
              <w:right w:val="single" w:color="auto" w:sz="4" w:space="0"/>
            </w:tcBorders>
          </w:tcPr>
          <w:p w14:paraId="51F83F64">
            <w:pPr>
              <w:snapToGrid w:val="0"/>
              <w:spacing w:after="295" w:line="120" w:lineRule="exact"/>
              <w:outlineLvl w:val="0"/>
              <w:rPr>
                <w:rFonts w:hint="eastAsia" w:ascii="宋体" w:hAnsi="宋体"/>
                <w:sz w:val="24"/>
                <w:szCs w:val="22"/>
                <w:u w:val="none" w:color="auto"/>
              </w:rPr>
            </w:pPr>
          </w:p>
        </w:tc>
        <w:tc>
          <w:tcPr>
            <w:tcW w:w="1423" w:type="dxa"/>
            <w:tcBorders>
              <w:top w:val="single" w:color="auto" w:sz="4" w:space="0"/>
              <w:left w:val="single" w:color="auto" w:sz="4" w:space="0"/>
              <w:bottom w:val="single" w:color="auto" w:sz="4" w:space="0"/>
              <w:right w:val="single" w:color="auto" w:sz="4" w:space="0"/>
            </w:tcBorders>
          </w:tcPr>
          <w:p w14:paraId="3706B9AD">
            <w:pPr>
              <w:snapToGrid w:val="0"/>
              <w:spacing w:after="295" w:line="120" w:lineRule="exact"/>
              <w:outlineLvl w:val="0"/>
              <w:rPr>
                <w:rFonts w:hint="eastAsia" w:ascii="宋体" w:hAnsi="宋体"/>
                <w:sz w:val="24"/>
                <w:szCs w:val="22"/>
                <w:u w:val="none" w:color="auto"/>
              </w:rPr>
            </w:pPr>
          </w:p>
        </w:tc>
      </w:tr>
      <w:tr w14:paraId="03A52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14:paraId="77D7A727">
            <w:pPr>
              <w:rPr>
                <w:rFonts w:hint="eastAsia" w:ascii="宋体" w:hAnsi="宋体"/>
                <w:szCs w:val="22"/>
                <w:u w:val="none" w:color="auto"/>
              </w:rPr>
            </w:pPr>
          </w:p>
        </w:tc>
        <w:tc>
          <w:tcPr>
            <w:tcW w:w="2280" w:type="dxa"/>
            <w:tcBorders>
              <w:top w:val="single" w:color="auto" w:sz="4" w:space="0"/>
              <w:left w:val="single" w:color="auto" w:sz="4" w:space="0"/>
              <w:bottom w:val="single" w:color="auto" w:sz="4" w:space="0"/>
              <w:right w:val="single" w:color="auto" w:sz="4" w:space="0"/>
            </w:tcBorders>
            <w:vAlign w:val="center"/>
          </w:tcPr>
          <w:p w14:paraId="281623BF">
            <w:pPr>
              <w:snapToGrid w:val="0"/>
              <w:spacing w:after="295" w:line="120" w:lineRule="exact"/>
              <w:rPr>
                <w:rFonts w:hint="eastAsia" w:ascii="宋体" w:hAnsi="宋体"/>
                <w:sz w:val="24"/>
                <w:szCs w:val="22"/>
                <w:u w:val="none" w:color="auto"/>
              </w:rPr>
            </w:pPr>
          </w:p>
        </w:tc>
        <w:tc>
          <w:tcPr>
            <w:tcW w:w="2040" w:type="dxa"/>
            <w:tcBorders>
              <w:top w:val="single" w:color="auto" w:sz="4" w:space="0"/>
              <w:left w:val="single" w:color="auto" w:sz="4" w:space="0"/>
              <w:bottom w:val="single" w:color="auto" w:sz="4" w:space="0"/>
              <w:right w:val="single" w:color="auto" w:sz="4" w:space="0"/>
            </w:tcBorders>
          </w:tcPr>
          <w:p w14:paraId="1520FABC">
            <w:pPr>
              <w:snapToGrid w:val="0"/>
              <w:spacing w:after="295" w:line="120" w:lineRule="exact"/>
              <w:rPr>
                <w:rFonts w:hint="eastAsia" w:ascii="宋体" w:hAnsi="宋体"/>
                <w:sz w:val="24"/>
                <w:szCs w:val="22"/>
                <w:u w:val="none" w:color="auto"/>
              </w:rPr>
            </w:pPr>
          </w:p>
        </w:tc>
        <w:tc>
          <w:tcPr>
            <w:tcW w:w="1604" w:type="dxa"/>
            <w:tcBorders>
              <w:top w:val="single" w:color="auto" w:sz="4" w:space="0"/>
              <w:left w:val="single" w:color="auto" w:sz="4" w:space="0"/>
              <w:bottom w:val="single" w:color="auto" w:sz="4" w:space="0"/>
              <w:right w:val="single" w:color="auto" w:sz="4" w:space="0"/>
            </w:tcBorders>
          </w:tcPr>
          <w:p w14:paraId="4DABD913">
            <w:pPr>
              <w:snapToGrid w:val="0"/>
              <w:spacing w:after="295" w:line="120" w:lineRule="exact"/>
              <w:rPr>
                <w:rFonts w:hint="eastAsia" w:ascii="宋体" w:hAnsi="宋体"/>
                <w:sz w:val="24"/>
                <w:szCs w:val="22"/>
                <w:u w:val="none" w:color="auto"/>
              </w:rPr>
            </w:pPr>
          </w:p>
        </w:tc>
        <w:tc>
          <w:tcPr>
            <w:tcW w:w="1423" w:type="dxa"/>
            <w:tcBorders>
              <w:top w:val="single" w:color="auto" w:sz="4" w:space="0"/>
              <w:left w:val="single" w:color="auto" w:sz="4" w:space="0"/>
              <w:bottom w:val="single" w:color="auto" w:sz="4" w:space="0"/>
              <w:right w:val="single" w:color="auto" w:sz="4" w:space="0"/>
            </w:tcBorders>
          </w:tcPr>
          <w:p w14:paraId="295859EC">
            <w:pPr>
              <w:snapToGrid w:val="0"/>
              <w:spacing w:after="295" w:line="120" w:lineRule="exact"/>
              <w:rPr>
                <w:rFonts w:hint="eastAsia" w:ascii="宋体" w:hAnsi="宋体"/>
                <w:sz w:val="24"/>
                <w:szCs w:val="22"/>
                <w:u w:val="none" w:color="auto"/>
              </w:rPr>
            </w:pPr>
          </w:p>
        </w:tc>
      </w:tr>
      <w:tr w14:paraId="64523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0ED42FE">
            <w:pPr>
              <w:rPr>
                <w:rFonts w:hint="eastAsia" w:ascii="宋体" w:hAnsi="宋体"/>
                <w:szCs w:val="22"/>
                <w:u w:val="none" w:color="auto"/>
              </w:rPr>
            </w:pPr>
          </w:p>
        </w:tc>
        <w:tc>
          <w:tcPr>
            <w:tcW w:w="2280" w:type="dxa"/>
            <w:tcBorders>
              <w:top w:val="single" w:color="auto" w:sz="4" w:space="0"/>
              <w:left w:val="single" w:color="auto" w:sz="4" w:space="0"/>
              <w:bottom w:val="single" w:color="auto" w:sz="4" w:space="0"/>
              <w:right w:val="single" w:color="auto" w:sz="4" w:space="0"/>
            </w:tcBorders>
            <w:vAlign w:val="center"/>
          </w:tcPr>
          <w:p w14:paraId="3BD4E895">
            <w:pPr>
              <w:snapToGrid w:val="0"/>
              <w:spacing w:after="295" w:line="120" w:lineRule="exact"/>
              <w:outlineLvl w:val="0"/>
              <w:rPr>
                <w:rFonts w:hint="eastAsia" w:ascii="宋体" w:hAnsi="宋体"/>
                <w:sz w:val="24"/>
                <w:szCs w:val="22"/>
                <w:u w:val="none" w:color="auto"/>
              </w:rPr>
            </w:pPr>
          </w:p>
        </w:tc>
        <w:tc>
          <w:tcPr>
            <w:tcW w:w="2040" w:type="dxa"/>
            <w:tcBorders>
              <w:top w:val="single" w:color="auto" w:sz="4" w:space="0"/>
              <w:left w:val="single" w:color="auto" w:sz="4" w:space="0"/>
              <w:bottom w:val="single" w:color="auto" w:sz="4" w:space="0"/>
              <w:right w:val="single" w:color="auto" w:sz="4" w:space="0"/>
            </w:tcBorders>
          </w:tcPr>
          <w:p w14:paraId="2B5BAF92">
            <w:pPr>
              <w:snapToGrid w:val="0"/>
              <w:spacing w:after="295" w:line="120" w:lineRule="exact"/>
              <w:outlineLvl w:val="0"/>
              <w:rPr>
                <w:rFonts w:hint="eastAsia" w:ascii="宋体" w:hAnsi="宋体"/>
                <w:sz w:val="24"/>
                <w:szCs w:val="22"/>
                <w:u w:val="none" w:color="auto"/>
              </w:rPr>
            </w:pPr>
          </w:p>
        </w:tc>
        <w:tc>
          <w:tcPr>
            <w:tcW w:w="1604" w:type="dxa"/>
            <w:tcBorders>
              <w:top w:val="single" w:color="auto" w:sz="4" w:space="0"/>
              <w:left w:val="single" w:color="auto" w:sz="4" w:space="0"/>
              <w:bottom w:val="single" w:color="auto" w:sz="4" w:space="0"/>
              <w:right w:val="single" w:color="auto" w:sz="4" w:space="0"/>
            </w:tcBorders>
          </w:tcPr>
          <w:p w14:paraId="776FF8C2">
            <w:pPr>
              <w:snapToGrid w:val="0"/>
              <w:spacing w:after="295" w:line="120" w:lineRule="exact"/>
              <w:outlineLvl w:val="0"/>
              <w:rPr>
                <w:rFonts w:hint="eastAsia" w:ascii="宋体" w:hAnsi="宋体"/>
                <w:sz w:val="24"/>
                <w:szCs w:val="22"/>
                <w:u w:val="none" w:color="auto"/>
              </w:rPr>
            </w:pPr>
          </w:p>
        </w:tc>
        <w:tc>
          <w:tcPr>
            <w:tcW w:w="1423" w:type="dxa"/>
            <w:tcBorders>
              <w:top w:val="single" w:color="auto" w:sz="4" w:space="0"/>
              <w:left w:val="single" w:color="auto" w:sz="4" w:space="0"/>
              <w:bottom w:val="single" w:color="auto" w:sz="4" w:space="0"/>
              <w:right w:val="single" w:color="auto" w:sz="4" w:space="0"/>
            </w:tcBorders>
          </w:tcPr>
          <w:p w14:paraId="5A9851D2">
            <w:pPr>
              <w:snapToGrid w:val="0"/>
              <w:spacing w:after="295" w:line="120" w:lineRule="exact"/>
              <w:outlineLvl w:val="0"/>
              <w:rPr>
                <w:rFonts w:hint="eastAsia" w:ascii="宋体" w:hAnsi="宋体"/>
                <w:sz w:val="24"/>
                <w:szCs w:val="22"/>
                <w:u w:val="none" w:color="auto"/>
              </w:rPr>
            </w:pPr>
          </w:p>
        </w:tc>
      </w:tr>
      <w:tr w14:paraId="1C6B4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39F8E1C">
            <w:pPr>
              <w:rPr>
                <w:rFonts w:hint="eastAsia" w:ascii="宋体" w:hAnsi="宋体"/>
                <w:szCs w:val="22"/>
                <w:u w:val="none" w:color="auto"/>
              </w:rPr>
            </w:pPr>
          </w:p>
        </w:tc>
        <w:tc>
          <w:tcPr>
            <w:tcW w:w="2280" w:type="dxa"/>
            <w:tcBorders>
              <w:top w:val="single" w:color="auto" w:sz="4" w:space="0"/>
              <w:left w:val="single" w:color="auto" w:sz="4" w:space="0"/>
              <w:bottom w:val="single" w:color="auto" w:sz="4" w:space="0"/>
              <w:right w:val="single" w:color="auto" w:sz="4" w:space="0"/>
            </w:tcBorders>
            <w:vAlign w:val="center"/>
          </w:tcPr>
          <w:p w14:paraId="597FD477">
            <w:pPr>
              <w:snapToGrid w:val="0"/>
              <w:spacing w:after="295" w:line="120" w:lineRule="exact"/>
              <w:outlineLvl w:val="0"/>
              <w:rPr>
                <w:rFonts w:hint="eastAsia" w:ascii="宋体" w:hAnsi="宋体"/>
                <w:sz w:val="24"/>
                <w:szCs w:val="22"/>
                <w:u w:val="none" w:color="auto"/>
              </w:rPr>
            </w:pPr>
          </w:p>
        </w:tc>
        <w:tc>
          <w:tcPr>
            <w:tcW w:w="2040" w:type="dxa"/>
            <w:tcBorders>
              <w:top w:val="single" w:color="auto" w:sz="4" w:space="0"/>
              <w:left w:val="single" w:color="auto" w:sz="4" w:space="0"/>
              <w:bottom w:val="single" w:color="auto" w:sz="4" w:space="0"/>
              <w:right w:val="single" w:color="auto" w:sz="4" w:space="0"/>
            </w:tcBorders>
          </w:tcPr>
          <w:p w14:paraId="57205D09">
            <w:pPr>
              <w:snapToGrid w:val="0"/>
              <w:spacing w:after="295" w:line="120" w:lineRule="exact"/>
              <w:outlineLvl w:val="0"/>
              <w:rPr>
                <w:rFonts w:hint="eastAsia" w:ascii="宋体" w:hAnsi="宋体"/>
                <w:sz w:val="24"/>
                <w:szCs w:val="22"/>
                <w:u w:val="none" w:color="auto"/>
              </w:rPr>
            </w:pPr>
          </w:p>
        </w:tc>
        <w:tc>
          <w:tcPr>
            <w:tcW w:w="1604" w:type="dxa"/>
            <w:tcBorders>
              <w:top w:val="single" w:color="auto" w:sz="4" w:space="0"/>
              <w:left w:val="single" w:color="auto" w:sz="4" w:space="0"/>
              <w:bottom w:val="single" w:color="auto" w:sz="4" w:space="0"/>
              <w:right w:val="single" w:color="auto" w:sz="4" w:space="0"/>
            </w:tcBorders>
          </w:tcPr>
          <w:p w14:paraId="4F34327B">
            <w:pPr>
              <w:snapToGrid w:val="0"/>
              <w:spacing w:after="295" w:line="120" w:lineRule="exact"/>
              <w:outlineLvl w:val="0"/>
              <w:rPr>
                <w:rFonts w:hint="eastAsia" w:ascii="宋体" w:hAnsi="宋体"/>
                <w:sz w:val="24"/>
                <w:szCs w:val="22"/>
                <w:u w:val="none" w:color="auto"/>
              </w:rPr>
            </w:pPr>
          </w:p>
        </w:tc>
        <w:tc>
          <w:tcPr>
            <w:tcW w:w="1423" w:type="dxa"/>
            <w:tcBorders>
              <w:top w:val="single" w:color="auto" w:sz="4" w:space="0"/>
              <w:left w:val="single" w:color="auto" w:sz="4" w:space="0"/>
              <w:bottom w:val="single" w:color="auto" w:sz="4" w:space="0"/>
              <w:right w:val="single" w:color="auto" w:sz="4" w:space="0"/>
            </w:tcBorders>
          </w:tcPr>
          <w:p w14:paraId="30C92742">
            <w:pPr>
              <w:snapToGrid w:val="0"/>
              <w:spacing w:after="295" w:line="120" w:lineRule="exact"/>
              <w:outlineLvl w:val="0"/>
              <w:rPr>
                <w:rFonts w:hint="eastAsia" w:ascii="宋体" w:hAnsi="宋体"/>
                <w:sz w:val="24"/>
                <w:szCs w:val="22"/>
                <w:u w:val="none" w:color="auto"/>
              </w:rPr>
            </w:pPr>
          </w:p>
        </w:tc>
      </w:tr>
      <w:tr w14:paraId="0F5E9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708B7D5B">
            <w:pPr>
              <w:rPr>
                <w:rFonts w:hint="eastAsia" w:ascii="宋体" w:hAnsi="宋体"/>
                <w:szCs w:val="22"/>
                <w:u w:val="none" w:color="auto"/>
              </w:rPr>
            </w:pPr>
          </w:p>
        </w:tc>
        <w:tc>
          <w:tcPr>
            <w:tcW w:w="2280" w:type="dxa"/>
            <w:tcBorders>
              <w:top w:val="single" w:color="auto" w:sz="4" w:space="0"/>
              <w:left w:val="single" w:color="auto" w:sz="4" w:space="0"/>
              <w:bottom w:val="single" w:color="auto" w:sz="4" w:space="0"/>
              <w:right w:val="single" w:color="auto" w:sz="4" w:space="0"/>
            </w:tcBorders>
            <w:vAlign w:val="center"/>
          </w:tcPr>
          <w:p w14:paraId="22061C92">
            <w:pPr>
              <w:snapToGrid w:val="0"/>
              <w:spacing w:after="295" w:line="120" w:lineRule="exact"/>
              <w:outlineLvl w:val="0"/>
              <w:rPr>
                <w:rFonts w:hint="eastAsia" w:ascii="宋体" w:hAnsi="宋体"/>
                <w:sz w:val="24"/>
                <w:szCs w:val="22"/>
                <w:u w:val="none" w:color="auto"/>
              </w:rPr>
            </w:pPr>
          </w:p>
        </w:tc>
        <w:tc>
          <w:tcPr>
            <w:tcW w:w="2040" w:type="dxa"/>
            <w:tcBorders>
              <w:top w:val="single" w:color="auto" w:sz="4" w:space="0"/>
              <w:left w:val="single" w:color="auto" w:sz="4" w:space="0"/>
              <w:bottom w:val="single" w:color="auto" w:sz="4" w:space="0"/>
              <w:right w:val="single" w:color="auto" w:sz="4" w:space="0"/>
            </w:tcBorders>
          </w:tcPr>
          <w:p w14:paraId="5D834980">
            <w:pPr>
              <w:snapToGrid w:val="0"/>
              <w:spacing w:after="295" w:line="120" w:lineRule="exact"/>
              <w:outlineLvl w:val="0"/>
              <w:rPr>
                <w:rFonts w:hint="eastAsia" w:ascii="宋体" w:hAnsi="宋体"/>
                <w:sz w:val="24"/>
                <w:szCs w:val="22"/>
                <w:u w:val="none" w:color="auto"/>
              </w:rPr>
            </w:pPr>
          </w:p>
        </w:tc>
        <w:tc>
          <w:tcPr>
            <w:tcW w:w="1604" w:type="dxa"/>
            <w:tcBorders>
              <w:top w:val="single" w:color="auto" w:sz="4" w:space="0"/>
              <w:left w:val="single" w:color="auto" w:sz="4" w:space="0"/>
              <w:bottom w:val="single" w:color="auto" w:sz="4" w:space="0"/>
              <w:right w:val="single" w:color="auto" w:sz="4" w:space="0"/>
            </w:tcBorders>
          </w:tcPr>
          <w:p w14:paraId="04B8689E">
            <w:pPr>
              <w:snapToGrid w:val="0"/>
              <w:spacing w:after="295" w:line="120" w:lineRule="exact"/>
              <w:outlineLvl w:val="0"/>
              <w:rPr>
                <w:rFonts w:hint="eastAsia" w:ascii="宋体" w:hAnsi="宋体"/>
                <w:sz w:val="24"/>
                <w:szCs w:val="22"/>
                <w:u w:val="none" w:color="auto"/>
              </w:rPr>
            </w:pPr>
          </w:p>
        </w:tc>
        <w:tc>
          <w:tcPr>
            <w:tcW w:w="1423" w:type="dxa"/>
            <w:tcBorders>
              <w:top w:val="single" w:color="auto" w:sz="4" w:space="0"/>
              <w:left w:val="single" w:color="auto" w:sz="4" w:space="0"/>
              <w:bottom w:val="single" w:color="auto" w:sz="4" w:space="0"/>
              <w:right w:val="single" w:color="auto" w:sz="4" w:space="0"/>
            </w:tcBorders>
          </w:tcPr>
          <w:p w14:paraId="00CCA4A2">
            <w:pPr>
              <w:snapToGrid w:val="0"/>
              <w:spacing w:after="295" w:line="120" w:lineRule="exact"/>
              <w:outlineLvl w:val="0"/>
              <w:rPr>
                <w:rFonts w:hint="eastAsia" w:ascii="宋体" w:hAnsi="宋体"/>
                <w:sz w:val="24"/>
                <w:szCs w:val="22"/>
                <w:u w:val="none" w:color="auto"/>
              </w:rPr>
            </w:pPr>
          </w:p>
        </w:tc>
      </w:tr>
      <w:tr w14:paraId="6D686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51BF9DC2">
            <w:pPr>
              <w:rPr>
                <w:rFonts w:hint="eastAsia" w:ascii="宋体" w:hAnsi="宋体"/>
                <w:szCs w:val="22"/>
                <w:u w:val="none" w:color="auto"/>
              </w:rPr>
            </w:pPr>
          </w:p>
        </w:tc>
        <w:tc>
          <w:tcPr>
            <w:tcW w:w="2280" w:type="dxa"/>
            <w:tcBorders>
              <w:top w:val="single" w:color="auto" w:sz="4" w:space="0"/>
              <w:left w:val="single" w:color="auto" w:sz="4" w:space="0"/>
              <w:bottom w:val="single" w:color="auto" w:sz="4" w:space="0"/>
              <w:right w:val="single" w:color="auto" w:sz="4" w:space="0"/>
            </w:tcBorders>
            <w:vAlign w:val="center"/>
          </w:tcPr>
          <w:p w14:paraId="7BEF788F">
            <w:pPr>
              <w:snapToGrid w:val="0"/>
              <w:spacing w:after="295" w:line="120" w:lineRule="exact"/>
              <w:outlineLvl w:val="0"/>
              <w:rPr>
                <w:rFonts w:hint="eastAsia" w:ascii="宋体" w:hAnsi="宋体"/>
                <w:sz w:val="24"/>
                <w:szCs w:val="22"/>
                <w:u w:val="none" w:color="auto"/>
              </w:rPr>
            </w:pPr>
          </w:p>
        </w:tc>
        <w:tc>
          <w:tcPr>
            <w:tcW w:w="2040" w:type="dxa"/>
            <w:tcBorders>
              <w:top w:val="single" w:color="auto" w:sz="4" w:space="0"/>
              <w:left w:val="single" w:color="auto" w:sz="4" w:space="0"/>
              <w:bottom w:val="single" w:color="auto" w:sz="4" w:space="0"/>
              <w:right w:val="single" w:color="auto" w:sz="4" w:space="0"/>
            </w:tcBorders>
          </w:tcPr>
          <w:p w14:paraId="54F08F7F">
            <w:pPr>
              <w:snapToGrid w:val="0"/>
              <w:spacing w:after="295" w:line="120" w:lineRule="exact"/>
              <w:outlineLvl w:val="0"/>
              <w:rPr>
                <w:rFonts w:hint="eastAsia" w:ascii="宋体" w:hAnsi="宋体"/>
                <w:sz w:val="24"/>
                <w:szCs w:val="22"/>
                <w:u w:val="none" w:color="auto"/>
              </w:rPr>
            </w:pPr>
          </w:p>
        </w:tc>
        <w:tc>
          <w:tcPr>
            <w:tcW w:w="1604" w:type="dxa"/>
            <w:tcBorders>
              <w:top w:val="single" w:color="auto" w:sz="4" w:space="0"/>
              <w:left w:val="single" w:color="auto" w:sz="4" w:space="0"/>
              <w:bottom w:val="single" w:color="auto" w:sz="4" w:space="0"/>
              <w:right w:val="single" w:color="auto" w:sz="4" w:space="0"/>
            </w:tcBorders>
          </w:tcPr>
          <w:p w14:paraId="1E5702B1">
            <w:pPr>
              <w:snapToGrid w:val="0"/>
              <w:spacing w:after="295" w:line="120" w:lineRule="exact"/>
              <w:outlineLvl w:val="0"/>
              <w:rPr>
                <w:rFonts w:hint="eastAsia" w:ascii="宋体" w:hAnsi="宋体"/>
                <w:sz w:val="24"/>
                <w:szCs w:val="22"/>
                <w:u w:val="none" w:color="auto"/>
              </w:rPr>
            </w:pPr>
          </w:p>
        </w:tc>
        <w:tc>
          <w:tcPr>
            <w:tcW w:w="1423" w:type="dxa"/>
            <w:tcBorders>
              <w:top w:val="single" w:color="auto" w:sz="4" w:space="0"/>
              <w:left w:val="single" w:color="auto" w:sz="4" w:space="0"/>
              <w:bottom w:val="single" w:color="auto" w:sz="4" w:space="0"/>
              <w:right w:val="single" w:color="auto" w:sz="4" w:space="0"/>
            </w:tcBorders>
          </w:tcPr>
          <w:p w14:paraId="45FB8C49">
            <w:pPr>
              <w:snapToGrid w:val="0"/>
              <w:spacing w:after="295" w:line="120" w:lineRule="exact"/>
              <w:outlineLvl w:val="0"/>
              <w:rPr>
                <w:rFonts w:hint="eastAsia" w:ascii="宋体" w:hAnsi="宋体"/>
                <w:sz w:val="24"/>
                <w:szCs w:val="22"/>
                <w:u w:val="none" w:color="auto"/>
              </w:rPr>
            </w:pPr>
          </w:p>
        </w:tc>
      </w:tr>
      <w:tr w14:paraId="05A9E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6566A8C">
            <w:pPr>
              <w:rPr>
                <w:rFonts w:hint="eastAsia" w:ascii="宋体" w:hAnsi="宋体"/>
                <w:szCs w:val="22"/>
                <w:u w:val="none" w:color="auto"/>
              </w:rPr>
            </w:pPr>
          </w:p>
        </w:tc>
        <w:tc>
          <w:tcPr>
            <w:tcW w:w="2280" w:type="dxa"/>
            <w:tcBorders>
              <w:top w:val="single" w:color="auto" w:sz="4" w:space="0"/>
              <w:left w:val="single" w:color="auto" w:sz="4" w:space="0"/>
              <w:bottom w:val="single" w:color="auto" w:sz="4" w:space="0"/>
              <w:right w:val="single" w:color="auto" w:sz="4" w:space="0"/>
            </w:tcBorders>
            <w:vAlign w:val="center"/>
          </w:tcPr>
          <w:p w14:paraId="3DFCEF9B">
            <w:pPr>
              <w:snapToGrid w:val="0"/>
              <w:spacing w:after="295" w:line="120" w:lineRule="exact"/>
              <w:outlineLvl w:val="0"/>
              <w:rPr>
                <w:rFonts w:hint="eastAsia" w:ascii="宋体" w:hAnsi="宋体"/>
                <w:sz w:val="24"/>
                <w:szCs w:val="22"/>
                <w:u w:val="none" w:color="auto"/>
              </w:rPr>
            </w:pPr>
          </w:p>
        </w:tc>
        <w:tc>
          <w:tcPr>
            <w:tcW w:w="2040" w:type="dxa"/>
            <w:tcBorders>
              <w:top w:val="single" w:color="auto" w:sz="4" w:space="0"/>
              <w:left w:val="single" w:color="auto" w:sz="4" w:space="0"/>
              <w:bottom w:val="single" w:color="auto" w:sz="4" w:space="0"/>
              <w:right w:val="single" w:color="auto" w:sz="4" w:space="0"/>
            </w:tcBorders>
          </w:tcPr>
          <w:p w14:paraId="7CFAEA2A">
            <w:pPr>
              <w:snapToGrid w:val="0"/>
              <w:spacing w:after="295" w:line="120" w:lineRule="exact"/>
              <w:outlineLvl w:val="0"/>
              <w:rPr>
                <w:rFonts w:hint="eastAsia" w:ascii="宋体" w:hAnsi="宋体"/>
                <w:sz w:val="24"/>
                <w:szCs w:val="22"/>
                <w:u w:val="none" w:color="auto"/>
              </w:rPr>
            </w:pPr>
          </w:p>
        </w:tc>
        <w:tc>
          <w:tcPr>
            <w:tcW w:w="1604" w:type="dxa"/>
            <w:tcBorders>
              <w:top w:val="single" w:color="auto" w:sz="4" w:space="0"/>
              <w:left w:val="single" w:color="auto" w:sz="4" w:space="0"/>
              <w:bottom w:val="single" w:color="auto" w:sz="4" w:space="0"/>
              <w:right w:val="single" w:color="auto" w:sz="4" w:space="0"/>
            </w:tcBorders>
          </w:tcPr>
          <w:p w14:paraId="061844CA">
            <w:pPr>
              <w:snapToGrid w:val="0"/>
              <w:spacing w:after="295" w:line="120" w:lineRule="exact"/>
              <w:outlineLvl w:val="0"/>
              <w:rPr>
                <w:rFonts w:hint="eastAsia" w:ascii="宋体" w:hAnsi="宋体"/>
                <w:sz w:val="24"/>
                <w:szCs w:val="22"/>
                <w:u w:val="none" w:color="auto"/>
              </w:rPr>
            </w:pPr>
          </w:p>
        </w:tc>
        <w:tc>
          <w:tcPr>
            <w:tcW w:w="1423" w:type="dxa"/>
            <w:tcBorders>
              <w:top w:val="single" w:color="auto" w:sz="4" w:space="0"/>
              <w:left w:val="single" w:color="auto" w:sz="4" w:space="0"/>
              <w:bottom w:val="single" w:color="auto" w:sz="4" w:space="0"/>
              <w:right w:val="single" w:color="auto" w:sz="4" w:space="0"/>
            </w:tcBorders>
          </w:tcPr>
          <w:p w14:paraId="665BA92D">
            <w:pPr>
              <w:snapToGrid w:val="0"/>
              <w:spacing w:after="295" w:line="120" w:lineRule="exact"/>
              <w:outlineLvl w:val="0"/>
              <w:rPr>
                <w:rFonts w:hint="eastAsia" w:ascii="宋体" w:hAnsi="宋体"/>
                <w:sz w:val="24"/>
                <w:szCs w:val="22"/>
                <w:u w:val="none" w:color="auto"/>
              </w:rPr>
            </w:pPr>
          </w:p>
        </w:tc>
      </w:tr>
      <w:tr w14:paraId="0B185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3221B12B">
            <w:pPr>
              <w:rPr>
                <w:rFonts w:hint="eastAsia" w:ascii="宋体" w:hAnsi="宋体"/>
                <w:szCs w:val="22"/>
                <w:u w:val="none" w:color="auto"/>
              </w:rPr>
            </w:pPr>
          </w:p>
        </w:tc>
        <w:tc>
          <w:tcPr>
            <w:tcW w:w="2280" w:type="dxa"/>
            <w:tcBorders>
              <w:top w:val="single" w:color="auto" w:sz="4" w:space="0"/>
              <w:left w:val="single" w:color="auto" w:sz="4" w:space="0"/>
              <w:bottom w:val="single" w:color="auto" w:sz="4" w:space="0"/>
              <w:right w:val="single" w:color="auto" w:sz="4" w:space="0"/>
            </w:tcBorders>
            <w:vAlign w:val="center"/>
          </w:tcPr>
          <w:p w14:paraId="3248FA49">
            <w:pPr>
              <w:snapToGrid w:val="0"/>
              <w:spacing w:after="295" w:line="120" w:lineRule="exact"/>
              <w:outlineLvl w:val="0"/>
              <w:rPr>
                <w:rFonts w:hint="eastAsia" w:ascii="宋体" w:hAnsi="宋体"/>
                <w:sz w:val="24"/>
                <w:szCs w:val="22"/>
                <w:u w:val="none" w:color="auto"/>
              </w:rPr>
            </w:pPr>
          </w:p>
        </w:tc>
        <w:tc>
          <w:tcPr>
            <w:tcW w:w="2040" w:type="dxa"/>
            <w:tcBorders>
              <w:top w:val="single" w:color="auto" w:sz="4" w:space="0"/>
              <w:left w:val="single" w:color="auto" w:sz="4" w:space="0"/>
              <w:bottom w:val="single" w:color="auto" w:sz="4" w:space="0"/>
              <w:right w:val="single" w:color="auto" w:sz="4" w:space="0"/>
            </w:tcBorders>
          </w:tcPr>
          <w:p w14:paraId="7023CF98">
            <w:pPr>
              <w:snapToGrid w:val="0"/>
              <w:spacing w:after="295" w:line="120" w:lineRule="exact"/>
              <w:outlineLvl w:val="0"/>
              <w:rPr>
                <w:rFonts w:hint="eastAsia" w:ascii="宋体" w:hAnsi="宋体"/>
                <w:sz w:val="24"/>
                <w:szCs w:val="22"/>
                <w:u w:val="none" w:color="auto"/>
              </w:rPr>
            </w:pPr>
          </w:p>
        </w:tc>
        <w:tc>
          <w:tcPr>
            <w:tcW w:w="1604" w:type="dxa"/>
            <w:tcBorders>
              <w:top w:val="single" w:color="auto" w:sz="4" w:space="0"/>
              <w:left w:val="single" w:color="auto" w:sz="4" w:space="0"/>
              <w:bottom w:val="single" w:color="auto" w:sz="4" w:space="0"/>
              <w:right w:val="single" w:color="auto" w:sz="4" w:space="0"/>
            </w:tcBorders>
          </w:tcPr>
          <w:p w14:paraId="0B3F5E82">
            <w:pPr>
              <w:snapToGrid w:val="0"/>
              <w:spacing w:after="295" w:line="120" w:lineRule="exact"/>
              <w:outlineLvl w:val="0"/>
              <w:rPr>
                <w:rFonts w:hint="eastAsia" w:ascii="宋体" w:hAnsi="宋体"/>
                <w:sz w:val="24"/>
                <w:szCs w:val="22"/>
                <w:u w:val="none" w:color="auto"/>
              </w:rPr>
            </w:pPr>
          </w:p>
        </w:tc>
        <w:tc>
          <w:tcPr>
            <w:tcW w:w="1423" w:type="dxa"/>
            <w:tcBorders>
              <w:top w:val="single" w:color="auto" w:sz="4" w:space="0"/>
              <w:left w:val="single" w:color="auto" w:sz="4" w:space="0"/>
              <w:bottom w:val="single" w:color="auto" w:sz="4" w:space="0"/>
              <w:right w:val="single" w:color="auto" w:sz="4" w:space="0"/>
            </w:tcBorders>
          </w:tcPr>
          <w:p w14:paraId="727DBE8C">
            <w:pPr>
              <w:snapToGrid w:val="0"/>
              <w:spacing w:after="295" w:line="120" w:lineRule="exact"/>
              <w:outlineLvl w:val="0"/>
              <w:rPr>
                <w:rFonts w:hint="eastAsia" w:ascii="宋体" w:hAnsi="宋体"/>
                <w:sz w:val="24"/>
                <w:szCs w:val="22"/>
                <w:u w:val="none" w:color="auto"/>
              </w:rPr>
            </w:pPr>
          </w:p>
        </w:tc>
      </w:tr>
      <w:tr w14:paraId="0B532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12D4B16D">
            <w:pPr>
              <w:rPr>
                <w:rFonts w:hint="eastAsia" w:ascii="宋体" w:hAnsi="宋体"/>
                <w:szCs w:val="22"/>
                <w:u w:val="none" w:color="auto"/>
              </w:rPr>
            </w:pPr>
          </w:p>
        </w:tc>
        <w:tc>
          <w:tcPr>
            <w:tcW w:w="2280" w:type="dxa"/>
            <w:tcBorders>
              <w:top w:val="single" w:color="auto" w:sz="4" w:space="0"/>
              <w:left w:val="single" w:color="auto" w:sz="4" w:space="0"/>
              <w:bottom w:val="single" w:color="auto" w:sz="4" w:space="0"/>
              <w:right w:val="single" w:color="auto" w:sz="4" w:space="0"/>
            </w:tcBorders>
            <w:vAlign w:val="center"/>
          </w:tcPr>
          <w:p w14:paraId="455FB994">
            <w:pPr>
              <w:snapToGrid w:val="0"/>
              <w:spacing w:after="295" w:line="120" w:lineRule="exact"/>
              <w:outlineLvl w:val="0"/>
              <w:rPr>
                <w:rFonts w:hint="eastAsia" w:ascii="宋体" w:hAnsi="宋体"/>
                <w:sz w:val="24"/>
                <w:szCs w:val="22"/>
                <w:u w:val="none" w:color="auto"/>
              </w:rPr>
            </w:pPr>
          </w:p>
        </w:tc>
        <w:tc>
          <w:tcPr>
            <w:tcW w:w="2040" w:type="dxa"/>
            <w:tcBorders>
              <w:top w:val="single" w:color="auto" w:sz="4" w:space="0"/>
              <w:left w:val="single" w:color="auto" w:sz="4" w:space="0"/>
              <w:bottom w:val="single" w:color="auto" w:sz="4" w:space="0"/>
              <w:right w:val="single" w:color="auto" w:sz="4" w:space="0"/>
            </w:tcBorders>
          </w:tcPr>
          <w:p w14:paraId="3640FC91">
            <w:pPr>
              <w:snapToGrid w:val="0"/>
              <w:spacing w:after="295" w:line="120" w:lineRule="exact"/>
              <w:outlineLvl w:val="0"/>
              <w:rPr>
                <w:rFonts w:hint="eastAsia" w:ascii="宋体" w:hAnsi="宋体"/>
                <w:sz w:val="24"/>
                <w:szCs w:val="22"/>
                <w:u w:val="none" w:color="auto"/>
              </w:rPr>
            </w:pPr>
          </w:p>
        </w:tc>
        <w:tc>
          <w:tcPr>
            <w:tcW w:w="1604" w:type="dxa"/>
            <w:tcBorders>
              <w:top w:val="single" w:color="auto" w:sz="4" w:space="0"/>
              <w:left w:val="single" w:color="auto" w:sz="4" w:space="0"/>
              <w:bottom w:val="single" w:color="auto" w:sz="4" w:space="0"/>
              <w:right w:val="single" w:color="auto" w:sz="4" w:space="0"/>
            </w:tcBorders>
          </w:tcPr>
          <w:p w14:paraId="17CD7217">
            <w:pPr>
              <w:snapToGrid w:val="0"/>
              <w:spacing w:after="295" w:line="120" w:lineRule="exact"/>
              <w:outlineLvl w:val="0"/>
              <w:rPr>
                <w:rFonts w:hint="eastAsia" w:ascii="宋体" w:hAnsi="宋体"/>
                <w:sz w:val="24"/>
                <w:szCs w:val="22"/>
                <w:u w:val="none" w:color="auto"/>
              </w:rPr>
            </w:pPr>
          </w:p>
        </w:tc>
        <w:tc>
          <w:tcPr>
            <w:tcW w:w="1423" w:type="dxa"/>
            <w:tcBorders>
              <w:top w:val="single" w:color="auto" w:sz="4" w:space="0"/>
              <w:left w:val="single" w:color="auto" w:sz="4" w:space="0"/>
              <w:bottom w:val="single" w:color="auto" w:sz="4" w:space="0"/>
              <w:right w:val="single" w:color="auto" w:sz="4" w:space="0"/>
            </w:tcBorders>
          </w:tcPr>
          <w:p w14:paraId="218BDF23">
            <w:pPr>
              <w:snapToGrid w:val="0"/>
              <w:spacing w:after="295" w:line="120" w:lineRule="exact"/>
              <w:outlineLvl w:val="0"/>
              <w:rPr>
                <w:rFonts w:hint="eastAsia" w:ascii="宋体" w:hAnsi="宋体"/>
                <w:sz w:val="24"/>
                <w:szCs w:val="22"/>
                <w:u w:val="none" w:color="auto"/>
              </w:rPr>
            </w:pPr>
          </w:p>
        </w:tc>
      </w:tr>
      <w:tr w14:paraId="69ACB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7BECC4DF">
            <w:pPr>
              <w:rPr>
                <w:rFonts w:hint="eastAsia" w:ascii="宋体" w:hAnsi="宋体"/>
                <w:szCs w:val="22"/>
                <w:u w:val="none" w:color="auto"/>
              </w:rPr>
            </w:pPr>
          </w:p>
        </w:tc>
        <w:tc>
          <w:tcPr>
            <w:tcW w:w="2280" w:type="dxa"/>
            <w:tcBorders>
              <w:top w:val="single" w:color="auto" w:sz="4" w:space="0"/>
              <w:left w:val="single" w:color="auto" w:sz="4" w:space="0"/>
              <w:bottom w:val="single" w:color="auto" w:sz="4" w:space="0"/>
              <w:right w:val="single" w:color="auto" w:sz="4" w:space="0"/>
            </w:tcBorders>
            <w:vAlign w:val="center"/>
          </w:tcPr>
          <w:p w14:paraId="0D7853E3">
            <w:pPr>
              <w:snapToGrid w:val="0"/>
              <w:spacing w:after="295" w:line="120" w:lineRule="exact"/>
              <w:outlineLvl w:val="0"/>
              <w:rPr>
                <w:rFonts w:hint="eastAsia" w:ascii="宋体" w:hAnsi="宋体"/>
                <w:sz w:val="24"/>
                <w:szCs w:val="22"/>
                <w:u w:val="none" w:color="auto"/>
              </w:rPr>
            </w:pPr>
          </w:p>
        </w:tc>
        <w:tc>
          <w:tcPr>
            <w:tcW w:w="2040" w:type="dxa"/>
            <w:tcBorders>
              <w:top w:val="single" w:color="auto" w:sz="4" w:space="0"/>
              <w:left w:val="single" w:color="auto" w:sz="4" w:space="0"/>
              <w:bottom w:val="single" w:color="auto" w:sz="4" w:space="0"/>
              <w:right w:val="single" w:color="auto" w:sz="4" w:space="0"/>
            </w:tcBorders>
          </w:tcPr>
          <w:p w14:paraId="3669F8E6">
            <w:pPr>
              <w:snapToGrid w:val="0"/>
              <w:spacing w:after="295" w:line="120" w:lineRule="exact"/>
              <w:outlineLvl w:val="0"/>
              <w:rPr>
                <w:rFonts w:hint="eastAsia" w:ascii="宋体" w:hAnsi="宋体"/>
                <w:sz w:val="24"/>
                <w:szCs w:val="22"/>
                <w:u w:val="none" w:color="auto"/>
              </w:rPr>
            </w:pPr>
          </w:p>
        </w:tc>
        <w:tc>
          <w:tcPr>
            <w:tcW w:w="1604" w:type="dxa"/>
            <w:tcBorders>
              <w:top w:val="single" w:color="auto" w:sz="4" w:space="0"/>
              <w:left w:val="single" w:color="auto" w:sz="4" w:space="0"/>
              <w:bottom w:val="single" w:color="auto" w:sz="4" w:space="0"/>
              <w:right w:val="single" w:color="auto" w:sz="4" w:space="0"/>
            </w:tcBorders>
          </w:tcPr>
          <w:p w14:paraId="7AA0761A">
            <w:pPr>
              <w:snapToGrid w:val="0"/>
              <w:spacing w:after="295" w:line="120" w:lineRule="exact"/>
              <w:outlineLvl w:val="0"/>
              <w:rPr>
                <w:rFonts w:hint="eastAsia" w:ascii="宋体" w:hAnsi="宋体"/>
                <w:sz w:val="24"/>
                <w:szCs w:val="22"/>
                <w:u w:val="none" w:color="auto"/>
              </w:rPr>
            </w:pPr>
          </w:p>
        </w:tc>
        <w:tc>
          <w:tcPr>
            <w:tcW w:w="1423" w:type="dxa"/>
            <w:tcBorders>
              <w:top w:val="single" w:color="auto" w:sz="4" w:space="0"/>
              <w:left w:val="single" w:color="auto" w:sz="4" w:space="0"/>
              <w:bottom w:val="single" w:color="auto" w:sz="4" w:space="0"/>
              <w:right w:val="single" w:color="auto" w:sz="4" w:space="0"/>
            </w:tcBorders>
          </w:tcPr>
          <w:p w14:paraId="794EB32B">
            <w:pPr>
              <w:snapToGrid w:val="0"/>
              <w:spacing w:after="295" w:line="120" w:lineRule="exact"/>
              <w:outlineLvl w:val="0"/>
              <w:rPr>
                <w:rFonts w:hint="eastAsia" w:ascii="宋体" w:hAnsi="宋体"/>
                <w:sz w:val="24"/>
                <w:szCs w:val="22"/>
                <w:u w:val="none" w:color="auto"/>
              </w:rPr>
            </w:pPr>
          </w:p>
        </w:tc>
      </w:tr>
    </w:tbl>
    <w:p w14:paraId="0BDABFE6">
      <w:pPr>
        <w:snapToGrid w:val="0"/>
        <w:spacing w:before="50" w:after="50"/>
        <w:rPr>
          <w:rFonts w:hint="eastAsia" w:ascii="宋体" w:hAnsi="宋体"/>
          <w:b/>
          <w:szCs w:val="22"/>
          <w:u w:val="none" w:color="auto"/>
        </w:rPr>
      </w:pPr>
    </w:p>
    <w:p w14:paraId="136CCEE0">
      <w:pPr>
        <w:snapToGrid w:val="0"/>
        <w:spacing w:before="50" w:after="50"/>
        <w:rPr>
          <w:rFonts w:hint="eastAsia" w:ascii="宋体" w:hAnsi="宋体"/>
          <w:b/>
          <w:spacing w:val="20"/>
          <w:sz w:val="24"/>
          <w:szCs w:val="22"/>
          <w:u w:val="none" w:color="auto"/>
        </w:rPr>
      </w:pPr>
    </w:p>
    <w:p w14:paraId="767D151F">
      <w:pPr>
        <w:snapToGrid w:val="0"/>
        <w:spacing w:before="50" w:after="50"/>
        <w:rPr>
          <w:rFonts w:hint="eastAsia" w:ascii="宋体" w:hAnsi="宋体"/>
          <w:szCs w:val="22"/>
          <w:u w:val="none" w:color="auto"/>
        </w:rPr>
      </w:pPr>
    </w:p>
    <w:p w14:paraId="695936EA">
      <w:pPr>
        <w:snapToGrid w:val="0"/>
        <w:ind w:left="2" w:right="-817" w:rightChars="-389"/>
        <w:rPr>
          <w:rFonts w:hint="eastAsia" w:ascii="宋体" w:hAnsi="宋体"/>
          <w:szCs w:val="22"/>
          <w:u w:val="none" w:color="auto"/>
        </w:rPr>
      </w:pPr>
    </w:p>
    <w:p w14:paraId="440F1308">
      <w:pPr>
        <w:snapToGrid w:val="0"/>
        <w:spacing w:before="50" w:after="50"/>
        <w:rPr>
          <w:rFonts w:hint="eastAsia" w:ascii="宋体" w:hAnsi="宋体"/>
          <w:sz w:val="24"/>
          <w:szCs w:val="22"/>
          <w:u w:val="none" w:color="auto"/>
        </w:rPr>
      </w:pPr>
      <w:r>
        <w:rPr>
          <w:rFonts w:hint="eastAsia" w:ascii="宋体" w:hAnsi="宋体"/>
          <w:szCs w:val="22"/>
          <w:u w:val="none" w:color="auto"/>
        </w:rPr>
        <w:t>投标人名称（盖章）：</w:t>
      </w:r>
      <w:r>
        <w:rPr>
          <w:rFonts w:hint="eastAsia" w:ascii="宋体" w:hAnsi="宋体"/>
          <w:spacing w:val="20"/>
          <w:szCs w:val="22"/>
          <w:u w:val="none" w:color="auto"/>
        </w:rPr>
        <w:t>日期：</w:t>
      </w:r>
    </w:p>
    <w:p w14:paraId="3D9C308A">
      <w:pPr>
        <w:snapToGrid w:val="0"/>
        <w:spacing w:before="50" w:after="156" w:afterLines="50"/>
        <w:jc w:val="left"/>
        <w:rPr>
          <w:rFonts w:hint="eastAsia" w:ascii="宋体" w:hAnsi="宋体"/>
          <w:b/>
          <w:sz w:val="24"/>
          <w:szCs w:val="22"/>
          <w:u w:val="none" w:color="auto"/>
        </w:rPr>
      </w:pPr>
    </w:p>
    <w:p w14:paraId="7FA33135">
      <w:pPr>
        <w:snapToGrid w:val="0"/>
        <w:spacing w:before="50" w:after="156" w:afterLines="50"/>
        <w:ind w:firstLine="3092" w:firstLineChars="1100"/>
        <w:jc w:val="left"/>
        <w:rPr>
          <w:rFonts w:hint="eastAsia" w:ascii="宋体" w:hAnsi="宋体"/>
          <w:b/>
          <w:color w:val="000000"/>
          <w:sz w:val="28"/>
          <w:u w:val="none" w:color="auto"/>
        </w:rPr>
      </w:pPr>
    </w:p>
    <w:p w14:paraId="6BFF916C">
      <w:pPr>
        <w:snapToGrid w:val="0"/>
        <w:spacing w:before="50" w:after="156" w:afterLines="50"/>
        <w:ind w:firstLine="3092" w:firstLineChars="1100"/>
        <w:jc w:val="left"/>
        <w:rPr>
          <w:rFonts w:hint="eastAsia" w:ascii="宋体" w:hAnsi="宋体"/>
          <w:b/>
          <w:color w:val="000000"/>
          <w:sz w:val="28"/>
          <w:u w:val="none" w:color="auto"/>
        </w:rPr>
      </w:pPr>
    </w:p>
    <w:p w14:paraId="629C93DB">
      <w:pPr>
        <w:snapToGrid w:val="0"/>
        <w:spacing w:before="50" w:after="156" w:afterLines="50"/>
        <w:ind w:firstLine="3092" w:firstLineChars="1100"/>
        <w:jc w:val="left"/>
        <w:rPr>
          <w:rFonts w:hint="eastAsia" w:ascii="宋体" w:hAnsi="宋体"/>
          <w:b/>
          <w:color w:val="000000"/>
          <w:sz w:val="28"/>
          <w:u w:val="none" w:color="auto"/>
        </w:rPr>
      </w:pPr>
    </w:p>
    <w:p w14:paraId="31E3D5D6">
      <w:pPr>
        <w:snapToGrid w:val="0"/>
        <w:spacing w:before="50" w:after="156" w:afterLines="50"/>
        <w:ind w:firstLine="3092" w:firstLineChars="1100"/>
        <w:jc w:val="left"/>
        <w:rPr>
          <w:rFonts w:hint="eastAsia" w:ascii="宋体" w:hAnsi="宋体"/>
          <w:b/>
          <w:color w:val="000000"/>
          <w:sz w:val="28"/>
          <w:u w:val="none" w:color="auto"/>
        </w:rPr>
      </w:pPr>
      <w:r>
        <w:rPr>
          <w:rFonts w:hint="eastAsia" w:ascii="宋体" w:hAnsi="宋体"/>
          <w:b/>
          <w:color w:val="000000"/>
          <w:sz w:val="28"/>
          <w:u w:val="none" w:color="auto"/>
        </w:rPr>
        <w:t>最终报价一览表</w:t>
      </w:r>
    </w:p>
    <w:p w14:paraId="3403512C">
      <w:pPr>
        <w:rPr>
          <w:rFonts w:hint="eastAsia" w:ascii="宋体" w:hAnsi="宋体"/>
          <w:color w:val="000000"/>
          <w:u w:val="none" w:color="auto"/>
        </w:rPr>
      </w:pPr>
    </w:p>
    <w:p w14:paraId="156E2391">
      <w:pPr>
        <w:rPr>
          <w:rFonts w:hint="eastAsia" w:asciiTheme="minorEastAsia" w:hAnsiTheme="minorEastAsia" w:eastAsiaTheme="minorEastAsia"/>
          <w:color w:val="000000"/>
          <w:u w:val="none" w:color="auto"/>
        </w:rPr>
      </w:pPr>
      <w:r>
        <w:rPr>
          <w:rFonts w:hint="eastAsia" w:ascii="宋体" w:hAnsi="宋体"/>
          <w:color w:val="000000"/>
          <w:u w:val="none" w:color="auto"/>
        </w:rPr>
        <w:t>项目</w:t>
      </w:r>
      <w:r>
        <w:rPr>
          <w:rFonts w:hint="eastAsia" w:asciiTheme="minorEastAsia" w:hAnsiTheme="minorEastAsia" w:eastAsiaTheme="minorEastAsia"/>
          <w:color w:val="000000"/>
          <w:u w:val="none" w:color="auto"/>
        </w:rPr>
        <w:t>名称：</w:t>
      </w:r>
    </w:p>
    <w:p w14:paraId="3082BF54">
      <w:pPr>
        <w:tabs>
          <w:tab w:val="left" w:pos="450"/>
          <w:tab w:val="left" w:pos="1734"/>
          <w:tab w:val="left" w:pos="2814"/>
          <w:tab w:val="left" w:pos="3894"/>
          <w:tab w:val="left" w:pos="5334"/>
          <w:tab w:val="left" w:pos="6414"/>
          <w:tab w:val="left" w:pos="7254"/>
          <w:tab w:val="left" w:pos="8160"/>
          <w:tab w:val="left" w:pos="9654"/>
        </w:tabs>
        <w:spacing w:line="360" w:lineRule="auto"/>
        <w:rPr>
          <w:rFonts w:hint="eastAsia" w:asciiTheme="minorEastAsia" w:hAnsiTheme="minorEastAsia" w:eastAsiaTheme="minorEastAsia"/>
          <w:b/>
          <w:color w:val="000000"/>
          <w:szCs w:val="21"/>
          <w:u w:val="none" w:color="auto"/>
        </w:rPr>
      </w:pPr>
      <w:r>
        <w:rPr>
          <w:rFonts w:hint="eastAsia" w:asciiTheme="minorEastAsia" w:hAnsiTheme="minorEastAsia" w:eastAsiaTheme="minorEastAsia"/>
          <w:color w:val="000000"/>
          <w:u w:val="none" w:color="auto"/>
        </w:rPr>
        <w:t>项目编号：</w:t>
      </w:r>
    </w:p>
    <w:p w14:paraId="05884A32">
      <w:pPr>
        <w:pStyle w:val="3"/>
        <w:ind w:firstLine="0" w:firstLineChars="0"/>
        <w:rPr>
          <w:u w:val="none" w:color="auto"/>
        </w:rPr>
      </w:pPr>
      <w:r>
        <w:rPr>
          <w:rFonts w:asciiTheme="minorEastAsia" w:hAnsiTheme="minorEastAsia" w:eastAsiaTheme="minorEastAsia"/>
          <w:sz w:val="21"/>
          <w:szCs w:val="21"/>
          <w:u w:val="none" w:color="auto"/>
        </w:rPr>
        <w:t xml:space="preserve">                                                         </w:t>
      </w:r>
      <w:r>
        <w:rPr>
          <w:rFonts w:hint="eastAsia" w:asciiTheme="minorEastAsia" w:hAnsiTheme="minorEastAsia" w:eastAsiaTheme="minorEastAsia"/>
          <w:sz w:val="21"/>
          <w:szCs w:val="21"/>
          <w:u w:val="none" w:color="auto"/>
        </w:rPr>
        <w:t xml:space="preserve"> 单位：人民币元  </w:t>
      </w:r>
    </w:p>
    <w:tbl>
      <w:tblPr>
        <w:tblStyle w:val="29"/>
        <w:tblW w:w="950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004"/>
        <w:gridCol w:w="2448"/>
        <w:gridCol w:w="4819"/>
        <w:gridCol w:w="1238"/>
      </w:tblGrid>
      <w:tr w14:paraId="4639F2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1004" w:type="dxa"/>
            <w:tcBorders>
              <w:right w:val="single" w:color="auto" w:sz="4" w:space="0"/>
            </w:tcBorders>
            <w:vAlign w:val="center"/>
          </w:tcPr>
          <w:p w14:paraId="674330F6">
            <w:pPr>
              <w:jc w:val="center"/>
              <w:rPr>
                <w:rFonts w:hint="eastAsia" w:ascii="宋体" w:hAnsi="宋体"/>
                <w:b/>
                <w:szCs w:val="21"/>
                <w:u w:val="none" w:color="auto"/>
              </w:rPr>
            </w:pPr>
            <w:r>
              <w:rPr>
                <w:rFonts w:hint="eastAsia" w:ascii="宋体" w:hAnsi="宋体"/>
                <w:b/>
                <w:szCs w:val="21"/>
                <w:u w:val="none" w:color="auto"/>
              </w:rPr>
              <w:t>序号</w:t>
            </w:r>
          </w:p>
        </w:tc>
        <w:tc>
          <w:tcPr>
            <w:tcW w:w="2448" w:type="dxa"/>
            <w:tcBorders>
              <w:left w:val="single" w:color="auto" w:sz="4" w:space="0"/>
              <w:right w:val="single" w:color="auto" w:sz="4" w:space="0"/>
            </w:tcBorders>
            <w:vAlign w:val="center"/>
          </w:tcPr>
          <w:p w14:paraId="6ABCD7C8">
            <w:pPr>
              <w:ind w:left="424" w:leftChars="202" w:firstLine="422" w:firstLineChars="200"/>
              <w:rPr>
                <w:rFonts w:hint="eastAsia" w:ascii="宋体" w:hAnsi="宋体"/>
                <w:b/>
                <w:szCs w:val="21"/>
                <w:u w:val="none" w:color="auto"/>
              </w:rPr>
            </w:pPr>
            <w:r>
              <w:rPr>
                <w:rFonts w:hint="eastAsia" w:ascii="宋体" w:hAnsi="宋体"/>
                <w:b/>
                <w:szCs w:val="21"/>
                <w:u w:val="none" w:color="auto"/>
              </w:rPr>
              <w:t>名称</w:t>
            </w:r>
          </w:p>
        </w:tc>
        <w:tc>
          <w:tcPr>
            <w:tcW w:w="4819" w:type="dxa"/>
            <w:tcBorders>
              <w:left w:val="single" w:color="auto" w:sz="4" w:space="0"/>
              <w:right w:val="single" w:color="auto" w:sz="4" w:space="0"/>
            </w:tcBorders>
            <w:vAlign w:val="center"/>
          </w:tcPr>
          <w:p w14:paraId="3ECAE4E6">
            <w:pPr>
              <w:jc w:val="center"/>
              <w:rPr>
                <w:rFonts w:hint="eastAsia" w:ascii="宋体" w:hAnsi="宋体"/>
                <w:b/>
                <w:szCs w:val="21"/>
                <w:u w:val="none" w:color="auto"/>
              </w:rPr>
            </w:pPr>
            <w:r>
              <w:rPr>
                <w:rFonts w:hint="eastAsia" w:ascii="宋体" w:hAnsi="宋体"/>
                <w:b/>
                <w:szCs w:val="21"/>
                <w:u w:val="none" w:color="auto"/>
              </w:rPr>
              <w:t xml:space="preserve"> 投标报价</w:t>
            </w:r>
          </w:p>
        </w:tc>
        <w:tc>
          <w:tcPr>
            <w:tcW w:w="1238" w:type="dxa"/>
            <w:tcBorders>
              <w:left w:val="single" w:color="auto" w:sz="4" w:space="0"/>
            </w:tcBorders>
            <w:vAlign w:val="center"/>
          </w:tcPr>
          <w:p w14:paraId="6401EFA8">
            <w:pPr>
              <w:ind w:left="424" w:leftChars="202"/>
              <w:jc w:val="center"/>
              <w:rPr>
                <w:rFonts w:hint="eastAsia" w:ascii="宋体" w:hAnsi="宋体"/>
                <w:b/>
                <w:szCs w:val="21"/>
                <w:u w:val="none" w:color="auto"/>
              </w:rPr>
            </w:pPr>
            <w:r>
              <w:rPr>
                <w:rFonts w:hint="eastAsia" w:ascii="宋体" w:hAnsi="宋体" w:cs="宋体"/>
                <w:b/>
                <w:szCs w:val="21"/>
                <w:u w:val="none" w:color="auto"/>
              </w:rPr>
              <w:t>备注</w:t>
            </w:r>
          </w:p>
        </w:tc>
      </w:tr>
      <w:tr w14:paraId="14F5D6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54" w:hRule="atLeast"/>
          <w:jc w:val="center"/>
        </w:trPr>
        <w:tc>
          <w:tcPr>
            <w:tcW w:w="1004" w:type="dxa"/>
            <w:tcBorders>
              <w:right w:val="single" w:color="auto" w:sz="4" w:space="0"/>
            </w:tcBorders>
            <w:vAlign w:val="center"/>
          </w:tcPr>
          <w:p w14:paraId="288C70EA">
            <w:pPr>
              <w:autoSpaceDE w:val="0"/>
              <w:autoSpaceDN w:val="0"/>
              <w:adjustRightInd w:val="0"/>
              <w:spacing w:line="400" w:lineRule="exact"/>
              <w:ind w:left="424" w:leftChars="202"/>
              <w:rPr>
                <w:rFonts w:hint="eastAsia" w:ascii="宋体" w:hAnsi="宋体"/>
                <w:szCs w:val="21"/>
                <w:u w:val="none" w:color="auto"/>
                <w:lang w:val="zh-CN"/>
              </w:rPr>
            </w:pPr>
          </w:p>
        </w:tc>
        <w:tc>
          <w:tcPr>
            <w:tcW w:w="2448" w:type="dxa"/>
            <w:tcBorders>
              <w:left w:val="single" w:color="auto" w:sz="4" w:space="0"/>
              <w:right w:val="single" w:color="auto" w:sz="4" w:space="0"/>
            </w:tcBorders>
            <w:vAlign w:val="center"/>
          </w:tcPr>
          <w:p w14:paraId="602A31AD">
            <w:pPr>
              <w:ind w:left="424" w:leftChars="202"/>
              <w:jc w:val="center"/>
              <w:rPr>
                <w:rFonts w:hint="eastAsia" w:ascii="宋体" w:hAnsi="宋体"/>
                <w:szCs w:val="21"/>
                <w:u w:val="none" w:color="auto"/>
              </w:rPr>
            </w:pPr>
          </w:p>
        </w:tc>
        <w:tc>
          <w:tcPr>
            <w:tcW w:w="4819" w:type="dxa"/>
            <w:tcBorders>
              <w:left w:val="single" w:color="auto" w:sz="4" w:space="0"/>
              <w:right w:val="single" w:color="auto" w:sz="4" w:space="0"/>
            </w:tcBorders>
            <w:vAlign w:val="center"/>
          </w:tcPr>
          <w:p w14:paraId="714E1622">
            <w:pPr>
              <w:ind w:left="424" w:leftChars="202"/>
              <w:jc w:val="center"/>
              <w:rPr>
                <w:rFonts w:hint="eastAsia" w:ascii="宋体" w:hAnsi="宋体"/>
                <w:szCs w:val="21"/>
                <w:u w:val="none" w:color="auto"/>
              </w:rPr>
            </w:pPr>
          </w:p>
        </w:tc>
        <w:tc>
          <w:tcPr>
            <w:tcW w:w="1238" w:type="dxa"/>
            <w:tcBorders>
              <w:left w:val="single" w:color="auto" w:sz="4" w:space="0"/>
            </w:tcBorders>
            <w:vAlign w:val="center"/>
          </w:tcPr>
          <w:p w14:paraId="76343C26">
            <w:pPr>
              <w:ind w:left="424" w:leftChars="202"/>
              <w:jc w:val="center"/>
              <w:rPr>
                <w:rFonts w:hint="eastAsia" w:ascii="宋体" w:hAnsi="宋体"/>
                <w:szCs w:val="21"/>
                <w:u w:val="none" w:color="auto"/>
              </w:rPr>
            </w:pPr>
          </w:p>
        </w:tc>
      </w:tr>
      <w:tr w14:paraId="24CAE6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54" w:hRule="atLeast"/>
          <w:jc w:val="center"/>
        </w:trPr>
        <w:tc>
          <w:tcPr>
            <w:tcW w:w="1004" w:type="dxa"/>
            <w:tcBorders>
              <w:right w:val="single" w:color="auto" w:sz="4" w:space="0"/>
            </w:tcBorders>
            <w:vAlign w:val="center"/>
          </w:tcPr>
          <w:p w14:paraId="606F58D3">
            <w:pPr>
              <w:autoSpaceDE w:val="0"/>
              <w:autoSpaceDN w:val="0"/>
              <w:adjustRightInd w:val="0"/>
              <w:spacing w:line="400" w:lineRule="exact"/>
              <w:ind w:left="424" w:leftChars="202"/>
              <w:rPr>
                <w:rFonts w:hint="eastAsia" w:ascii="宋体" w:hAnsi="宋体"/>
                <w:szCs w:val="21"/>
                <w:u w:val="none" w:color="auto"/>
                <w:lang w:val="zh-CN"/>
              </w:rPr>
            </w:pPr>
            <w:r>
              <w:rPr>
                <w:rFonts w:hint="eastAsia" w:ascii="宋体" w:hAnsi="宋体"/>
                <w:szCs w:val="21"/>
                <w:u w:val="none" w:color="auto"/>
                <w:lang w:val="zh-CN"/>
              </w:rPr>
              <w:t>合计</w:t>
            </w:r>
          </w:p>
        </w:tc>
        <w:tc>
          <w:tcPr>
            <w:tcW w:w="8505" w:type="dxa"/>
            <w:gridSpan w:val="3"/>
            <w:tcBorders>
              <w:left w:val="single" w:color="auto" w:sz="4" w:space="0"/>
            </w:tcBorders>
            <w:vAlign w:val="center"/>
          </w:tcPr>
          <w:p w14:paraId="3C6BB451">
            <w:pPr>
              <w:rPr>
                <w:rFonts w:hint="eastAsia" w:ascii="宋体" w:hAnsi="宋体"/>
                <w:szCs w:val="21"/>
                <w:u w:val="none" w:color="auto"/>
              </w:rPr>
            </w:pPr>
            <w:r>
              <w:rPr>
                <w:rFonts w:hint="eastAsia" w:ascii="宋体" w:hAnsi="宋体"/>
                <w:szCs w:val="21"/>
                <w:u w:val="none" w:color="auto"/>
              </w:rPr>
              <w:t>大写：</w:t>
            </w:r>
          </w:p>
        </w:tc>
      </w:tr>
    </w:tbl>
    <w:p w14:paraId="1C19909B">
      <w:pPr>
        <w:tabs>
          <w:tab w:val="left" w:pos="450"/>
          <w:tab w:val="left" w:pos="1734"/>
          <w:tab w:val="left" w:pos="2814"/>
          <w:tab w:val="left" w:pos="3894"/>
          <w:tab w:val="left" w:pos="5334"/>
          <w:tab w:val="left" w:pos="6414"/>
          <w:tab w:val="left" w:pos="7254"/>
          <w:tab w:val="left" w:pos="8160"/>
          <w:tab w:val="left" w:pos="9654"/>
        </w:tabs>
        <w:spacing w:line="360" w:lineRule="auto"/>
        <w:rPr>
          <w:rFonts w:hint="eastAsia" w:ascii="宋体" w:hAnsi="宋体"/>
          <w:color w:val="000000"/>
          <w:u w:val="none" w:color="auto"/>
        </w:rPr>
      </w:pPr>
    </w:p>
    <w:p w14:paraId="2B1B5E52">
      <w:pPr>
        <w:tabs>
          <w:tab w:val="left" w:pos="450"/>
          <w:tab w:val="left" w:pos="1734"/>
          <w:tab w:val="left" w:pos="2814"/>
          <w:tab w:val="left" w:pos="3894"/>
          <w:tab w:val="left" w:pos="5334"/>
          <w:tab w:val="left" w:pos="6414"/>
          <w:tab w:val="left" w:pos="7254"/>
          <w:tab w:val="left" w:pos="8160"/>
          <w:tab w:val="left" w:pos="9654"/>
        </w:tabs>
        <w:spacing w:line="360" w:lineRule="auto"/>
        <w:rPr>
          <w:rFonts w:hint="eastAsia" w:ascii="宋体" w:hAnsi="宋体"/>
          <w:color w:val="000000"/>
          <w:u w:val="none" w:color="auto"/>
        </w:rPr>
      </w:pPr>
    </w:p>
    <w:p w14:paraId="7E49433F">
      <w:pPr>
        <w:tabs>
          <w:tab w:val="left" w:pos="450"/>
          <w:tab w:val="left" w:pos="1734"/>
          <w:tab w:val="left" w:pos="2814"/>
          <w:tab w:val="left" w:pos="3894"/>
          <w:tab w:val="left" w:pos="5334"/>
          <w:tab w:val="left" w:pos="6414"/>
          <w:tab w:val="left" w:pos="7254"/>
          <w:tab w:val="left" w:pos="8160"/>
          <w:tab w:val="left" w:pos="9654"/>
        </w:tabs>
        <w:spacing w:line="360" w:lineRule="auto"/>
        <w:rPr>
          <w:rFonts w:hint="eastAsia" w:ascii="宋体" w:hAnsi="宋体"/>
          <w:color w:val="000000"/>
          <w:u w:val="none" w:color="auto"/>
        </w:rPr>
      </w:pPr>
      <w:r>
        <w:rPr>
          <w:rFonts w:hint="eastAsia" w:ascii="宋体" w:hAnsi="宋体"/>
          <w:color w:val="000000"/>
          <w:u w:val="none" w:color="auto"/>
        </w:rPr>
        <w:t>有关承诺：</w:t>
      </w:r>
    </w:p>
    <w:p w14:paraId="3B65B454">
      <w:pPr>
        <w:tabs>
          <w:tab w:val="left" w:pos="450"/>
          <w:tab w:val="left" w:pos="1734"/>
          <w:tab w:val="left" w:pos="2814"/>
          <w:tab w:val="left" w:pos="3894"/>
          <w:tab w:val="left" w:pos="5334"/>
          <w:tab w:val="left" w:pos="6414"/>
          <w:tab w:val="left" w:pos="7254"/>
          <w:tab w:val="left" w:pos="8160"/>
          <w:tab w:val="left" w:pos="9654"/>
        </w:tabs>
        <w:spacing w:line="360" w:lineRule="auto"/>
        <w:rPr>
          <w:rFonts w:hint="eastAsia" w:asciiTheme="minorEastAsia" w:hAnsiTheme="minorEastAsia" w:eastAsiaTheme="minorEastAsia"/>
          <w:color w:val="000000"/>
          <w:u w:val="none" w:color="auto"/>
        </w:rPr>
      </w:pPr>
    </w:p>
    <w:p w14:paraId="7664DF18">
      <w:pPr>
        <w:tabs>
          <w:tab w:val="left" w:pos="450"/>
          <w:tab w:val="left" w:pos="1734"/>
          <w:tab w:val="left" w:pos="2814"/>
          <w:tab w:val="left" w:pos="3894"/>
          <w:tab w:val="left" w:pos="5334"/>
          <w:tab w:val="left" w:pos="6414"/>
          <w:tab w:val="left" w:pos="7254"/>
          <w:tab w:val="left" w:pos="8160"/>
          <w:tab w:val="left" w:pos="9654"/>
        </w:tabs>
        <w:spacing w:line="360" w:lineRule="auto"/>
        <w:rPr>
          <w:rFonts w:hint="eastAsia" w:asciiTheme="minorEastAsia" w:hAnsiTheme="minorEastAsia" w:eastAsiaTheme="minorEastAsia"/>
          <w:color w:val="000000"/>
          <w:u w:val="none" w:color="auto"/>
        </w:rPr>
      </w:pPr>
    </w:p>
    <w:p w14:paraId="65F50023">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Theme="minorEastAsia" w:hAnsiTheme="minorEastAsia" w:eastAsiaTheme="minorEastAsia"/>
          <w:color w:val="000000"/>
          <w:u w:val="none" w:color="auto"/>
        </w:rPr>
      </w:pPr>
    </w:p>
    <w:p w14:paraId="3E819EFB">
      <w:pPr>
        <w:tabs>
          <w:tab w:val="left" w:pos="654"/>
          <w:tab w:val="left" w:pos="1734"/>
          <w:tab w:val="left" w:pos="2814"/>
          <w:tab w:val="left" w:pos="3894"/>
          <w:tab w:val="left" w:pos="5334"/>
          <w:tab w:val="left" w:pos="6414"/>
          <w:tab w:val="left" w:pos="7254"/>
          <w:tab w:val="left" w:pos="8574"/>
          <w:tab w:val="left" w:pos="9654"/>
        </w:tabs>
        <w:spacing w:line="360" w:lineRule="auto"/>
        <w:ind w:firstLine="2730" w:firstLineChars="1300"/>
        <w:rPr>
          <w:rFonts w:hint="eastAsia" w:asciiTheme="minorEastAsia" w:hAnsiTheme="minorEastAsia" w:eastAsiaTheme="minorEastAsia"/>
          <w:color w:val="000000"/>
          <w:u w:val="none" w:color="auto"/>
        </w:rPr>
      </w:pPr>
    </w:p>
    <w:p w14:paraId="09475CC9">
      <w:pPr>
        <w:tabs>
          <w:tab w:val="left" w:pos="654"/>
          <w:tab w:val="left" w:pos="1734"/>
          <w:tab w:val="left" w:pos="2814"/>
          <w:tab w:val="left" w:pos="3894"/>
          <w:tab w:val="left" w:pos="5334"/>
          <w:tab w:val="left" w:pos="6414"/>
          <w:tab w:val="left" w:pos="7254"/>
          <w:tab w:val="left" w:pos="8574"/>
          <w:tab w:val="left" w:pos="9654"/>
        </w:tabs>
        <w:spacing w:line="360" w:lineRule="auto"/>
        <w:ind w:firstLine="3885" w:firstLineChars="1850"/>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投标人名称：</w:t>
      </w:r>
    </w:p>
    <w:p w14:paraId="7F99CD88">
      <w:pPr>
        <w:tabs>
          <w:tab w:val="left" w:pos="654"/>
          <w:tab w:val="left" w:pos="1734"/>
          <w:tab w:val="left" w:pos="2814"/>
          <w:tab w:val="left" w:pos="3894"/>
          <w:tab w:val="left" w:pos="5334"/>
          <w:tab w:val="left" w:pos="6414"/>
          <w:tab w:val="left" w:pos="7254"/>
          <w:tab w:val="left" w:pos="8574"/>
          <w:tab w:val="left" w:pos="9654"/>
        </w:tabs>
        <w:spacing w:line="360" w:lineRule="auto"/>
        <w:ind w:firstLine="3885" w:firstLineChars="1850"/>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日 期：</w:t>
      </w:r>
    </w:p>
    <w:p w14:paraId="6424D9D6">
      <w:pPr>
        <w:autoSpaceDE w:val="0"/>
        <w:autoSpaceDN w:val="0"/>
        <w:adjustRightInd w:val="0"/>
        <w:spacing w:line="360" w:lineRule="auto"/>
        <w:rPr>
          <w:rFonts w:hint="eastAsia" w:asciiTheme="minorEastAsia" w:hAnsiTheme="minorEastAsia" w:eastAsiaTheme="minorEastAsia"/>
          <w:b/>
          <w:color w:val="000000"/>
          <w:u w:val="none" w:color="auto"/>
          <w:lang w:val="zh-CN"/>
        </w:rPr>
      </w:pPr>
    </w:p>
    <w:p w14:paraId="4F3CC312">
      <w:pPr>
        <w:rPr>
          <w:rFonts w:hint="eastAsia" w:asciiTheme="minorEastAsia" w:hAnsiTheme="minorEastAsia" w:eastAsiaTheme="minorEastAsia"/>
          <w:color w:val="000000"/>
          <w:u w:val="none" w:color="auto"/>
        </w:rPr>
      </w:pPr>
      <w:r>
        <w:rPr>
          <w:rFonts w:hint="eastAsia" w:asciiTheme="minorEastAsia" w:hAnsiTheme="minorEastAsia" w:eastAsiaTheme="minorEastAsia"/>
          <w:b/>
          <w:color w:val="000000"/>
          <w:u w:val="none" w:color="auto"/>
          <w:lang w:val="zh-CN"/>
        </w:rPr>
        <w:t xml:space="preserve"> </w:t>
      </w:r>
    </w:p>
    <w:p w14:paraId="5E56DEB3">
      <w:pPr>
        <w:rPr>
          <w:rFonts w:hint="eastAsia" w:asciiTheme="minorEastAsia" w:hAnsiTheme="minorEastAsia" w:eastAsiaTheme="minorEastAsia"/>
          <w:color w:val="000000"/>
          <w:u w:val="none" w:color="auto"/>
        </w:rPr>
      </w:pPr>
    </w:p>
    <w:p w14:paraId="1CE3F00E">
      <w:pPr>
        <w:rPr>
          <w:rFonts w:hint="eastAsia" w:asciiTheme="minorEastAsia" w:hAnsiTheme="minorEastAsia" w:eastAsiaTheme="minorEastAsia"/>
          <w:color w:val="000000"/>
          <w:u w:val="none" w:color="auto"/>
        </w:rPr>
      </w:pPr>
    </w:p>
    <w:p w14:paraId="159F7DD8">
      <w:pPr>
        <w:widowControl/>
        <w:jc w:val="left"/>
        <w:rPr>
          <w:rFonts w:hint="eastAsia" w:asciiTheme="minorEastAsia" w:hAnsiTheme="minorEastAsia" w:eastAsiaTheme="minorEastAsia"/>
          <w:b/>
          <w:u w:val="none" w:color="auto"/>
        </w:rPr>
      </w:pPr>
    </w:p>
    <w:p w14:paraId="486E7BCC">
      <w:pPr>
        <w:tabs>
          <w:tab w:val="left" w:pos="654"/>
          <w:tab w:val="left" w:pos="1734"/>
          <w:tab w:val="left" w:pos="2814"/>
          <w:tab w:val="left" w:pos="3894"/>
          <w:tab w:val="left" w:pos="5334"/>
          <w:tab w:val="left" w:pos="6414"/>
          <w:tab w:val="left" w:pos="7254"/>
          <w:tab w:val="left" w:pos="8574"/>
          <w:tab w:val="left" w:pos="9654"/>
        </w:tabs>
        <w:spacing w:line="360" w:lineRule="auto"/>
        <w:ind w:firstLine="3045" w:firstLineChars="1450"/>
        <w:rPr>
          <w:rFonts w:hint="eastAsia" w:asciiTheme="minorEastAsia" w:hAnsiTheme="minorEastAsia" w:eastAsiaTheme="minorEastAsia"/>
          <w:u w:val="none" w:color="auto"/>
        </w:rPr>
      </w:pPr>
    </w:p>
    <w:sectPr>
      <w:headerReference r:id="rId5" w:type="default"/>
      <w:footerReference r:id="rId6" w:type="default"/>
      <w:pgSz w:w="11906" w:h="16838"/>
      <w:pgMar w:top="1304" w:right="1531" w:bottom="1304" w:left="1531" w:header="1304"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使用中文字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3834642"/>
      <w:docPartObj>
        <w:docPartGallery w:val="autotext"/>
      </w:docPartObj>
    </w:sdtPr>
    <w:sdtContent>
      <w:p w14:paraId="62EE5167">
        <w:pPr>
          <w:pStyle w:val="16"/>
          <w:jc w:val="right"/>
          <w:rPr>
            <w:rFonts w:hint="eastAsia"/>
          </w:rPr>
        </w:pPr>
        <w:r>
          <w:fldChar w:fldCharType="begin"/>
        </w:r>
        <w:r>
          <w:instrText xml:space="preserve">PAGE   \* MERGEFORMAT</w:instrText>
        </w:r>
        <w:r>
          <w:fldChar w:fldCharType="separate"/>
        </w:r>
        <w:r>
          <w:rPr>
            <w:lang w:val="zh-CN"/>
          </w:rPr>
          <w:t>2</w:t>
        </w:r>
        <w:r>
          <w:fldChar w:fldCharType="end"/>
        </w:r>
      </w:p>
    </w:sdtContent>
  </w:sdt>
  <w:p w14:paraId="7543358B">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27D26">
    <w:pPr>
      <w:pStyle w:val="16"/>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88752622"/>
                          </w:sdtPr>
                          <w:sdtContent>
                            <w:p w14:paraId="1A9B0E18">
                              <w:pPr>
                                <w:pStyle w:val="16"/>
                                <w:jc w:val="right"/>
                              </w:pPr>
                              <w:r>
                                <w:fldChar w:fldCharType="begin"/>
                              </w:r>
                              <w:r>
                                <w:instrText xml:space="preserve"> PAGE   \* MERGEFORMAT </w:instrText>
                              </w:r>
                              <w:r>
                                <w:fldChar w:fldCharType="separate"/>
                              </w:r>
                              <w:r>
                                <w:rPr>
                                  <w:lang w:val="zh-CN"/>
                                </w:rPr>
                                <w:t>33</w:t>
                              </w:r>
                              <w:r>
                                <w:rPr>
                                  <w:lang w:val="zh-CN"/>
                                </w:rPr>
                                <w:fldChar w:fldCharType="end"/>
                              </w:r>
                            </w:p>
                          </w:sdtContent>
                        </w:sdt>
                        <w:p w14:paraId="36870213">
                          <w:pPr>
                            <w:pStyle w:val="2"/>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sdt>
                    <w:sdtPr>
                      <w:id w:val="88752622"/>
                    </w:sdtPr>
                    <w:sdtContent>
                      <w:p w14:paraId="1A9B0E18">
                        <w:pPr>
                          <w:pStyle w:val="16"/>
                          <w:jc w:val="right"/>
                        </w:pPr>
                        <w:r>
                          <w:fldChar w:fldCharType="begin"/>
                        </w:r>
                        <w:r>
                          <w:instrText xml:space="preserve"> PAGE   \* MERGEFORMAT </w:instrText>
                        </w:r>
                        <w:r>
                          <w:fldChar w:fldCharType="separate"/>
                        </w:r>
                        <w:r>
                          <w:rPr>
                            <w:lang w:val="zh-CN"/>
                          </w:rPr>
                          <w:t>33</w:t>
                        </w:r>
                        <w:r>
                          <w:rPr>
                            <w:lang w:val="zh-CN"/>
                          </w:rPr>
                          <w:fldChar w:fldCharType="end"/>
                        </w:r>
                      </w:p>
                    </w:sdtContent>
                  </w:sdt>
                  <w:p w14:paraId="36870213">
                    <w:pPr>
                      <w:pStyle w:val="2"/>
                    </w:pPr>
                  </w:p>
                </w:txbxContent>
              </v:textbox>
            </v:shape>
          </w:pict>
        </mc:Fallback>
      </mc:AlternateContent>
    </w:r>
  </w:p>
  <w:p w14:paraId="48ACA40E">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CA00B">
    <w:pPr>
      <w:pStyle w:val="1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6205" cy="1397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14:paraId="76A87714">
                          <w:pPr>
                            <w:pStyle w:val="16"/>
                          </w:pPr>
                          <w:r>
                            <w:fldChar w:fldCharType="begin"/>
                          </w:r>
                          <w:r>
                            <w:instrText xml:space="preserve"> PAGE  \* MERGEFORMAT </w:instrText>
                          </w:r>
                          <w:r>
                            <w:fldChar w:fldCharType="separate"/>
                          </w:r>
                          <w:r>
                            <w:t>34</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1pt;width:9.15pt;mso-position-horizontal:right;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Bi6WFNAAAAADAQAADwAAAAAAAAABACAAAAAiAAAAZHJzL2Rvd25y&#10;ZXYueG1sUEsBAhQAFAAAAAgAh07iQOJGp8/NAQAAlwMAAA4AAAAAAAAAAQAgAAAAHwEAAGRycy9l&#10;Mm9Eb2MueG1sUEsFBgAAAAAGAAYAWQEAAF4FAAAAAA==&#10;">
              <v:fill on="f" focussize="0,0"/>
              <v:stroke on="f"/>
              <v:imagedata o:title=""/>
              <o:lock v:ext="edit" aspectratio="f"/>
              <v:textbox inset="0mm,0mm,0mm,0mm" style="mso-fit-shape-to-text:t;">
                <w:txbxContent>
                  <w:p w14:paraId="76A87714">
                    <w:pPr>
                      <w:pStyle w:val="1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0C91F">
    <w:pPr>
      <w:pStyle w:val="17"/>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F4ED79"/>
    <w:multiLevelType w:val="singleLevel"/>
    <w:tmpl w:val="F9F4ED79"/>
    <w:lvl w:ilvl="0" w:tentative="0">
      <w:start w:val="1"/>
      <w:numFmt w:val="decimal"/>
      <w:lvlText w:val="%1."/>
      <w:lvlJc w:val="left"/>
      <w:pPr>
        <w:tabs>
          <w:tab w:val="left" w:pos="312"/>
        </w:tabs>
      </w:pPr>
    </w:lvl>
  </w:abstractNum>
  <w:abstractNum w:abstractNumId="1">
    <w:nsid w:val="0000000A"/>
    <w:multiLevelType w:val="singleLevel"/>
    <w:tmpl w:val="0000000A"/>
    <w:lvl w:ilvl="0" w:tentative="0">
      <w:start w:val="1"/>
      <w:numFmt w:val="decimal"/>
      <w:suff w:val="nothing"/>
      <w:lvlText w:val="%1）"/>
      <w:lvlJc w:val="left"/>
      <w:rPr>
        <w:rFonts w:cs="Times New Roman"/>
      </w:rPr>
    </w:lvl>
  </w:abstractNum>
  <w:abstractNum w:abstractNumId="2">
    <w:nsid w:val="0000000F"/>
    <w:multiLevelType w:val="multilevel"/>
    <w:tmpl w:val="0000000F"/>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0000012"/>
    <w:multiLevelType w:val="singleLevel"/>
    <w:tmpl w:val="00000012"/>
    <w:lvl w:ilvl="0" w:tentative="0">
      <w:start w:val="1"/>
      <w:numFmt w:val="decimal"/>
      <w:pStyle w:val="7"/>
      <w:lvlText w:val="%1."/>
      <w:lvlJc w:val="left"/>
      <w:pPr>
        <w:tabs>
          <w:tab w:val="left" w:pos="360"/>
        </w:tabs>
        <w:ind w:left="360" w:hanging="360"/>
      </w:pPr>
    </w:lvl>
  </w:abstractNum>
  <w:abstractNum w:abstractNumId="4">
    <w:nsid w:val="0C34DE15"/>
    <w:multiLevelType w:val="singleLevel"/>
    <w:tmpl w:val="0C34DE15"/>
    <w:lvl w:ilvl="0" w:tentative="0">
      <w:start w:val="1"/>
      <w:numFmt w:val="decimal"/>
      <w:lvlText w:val="%1."/>
      <w:lvlJc w:val="left"/>
      <w:pPr>
        <w:tabs>
          <w:tab w:val="left" w:pos="312"/>
        </w:tabs>
      </w:pPr>
    </w:lvl>
  </w:abstractNum>
  <w:abstractNum w:abstractNumId="5">
    <w:nsid w:val="225A8346"/>
    <w:multiLevelType w:val="singleLevel"/>
    <w:tmpl w:val="225A8346"/>
    <w:lvl w:ilvl="0" w:tentative="0">
      <w:start w:val="1"/>
      <w:numFmt w:val="decimal"/>
      <w:lvlText w:val="%1."/>
      <w:lvlJc w:val="left"/>
      <w:pPr>
        <w:tabs>
          <w:tab w:val="left" w:pos="312"/>
        </w:tabs>
      </w:pPr>
    </w:lvl>
  </w:abstractNum>
  <w:abstractNum w:abstractNumId="6">
    <w:nsid w:val="4DD4552D"/>
    <w:multiLevelType w:val="singleLevel"/>
    <w:tmpl w:val="4DD4552D"/>
    <w:lvl w:ilvl="0" w:tentative="0">
      <w:start w:val="1"/>
      <w:numFmt w:val="decimal"/>
      <w:lvlText w:val="%1."/>
      <w:lvlJc w:val="left"/>
      <w:pPr>
        <w:tabs>
          <w:tab w:val="left" w:pos="312"/>
        </w:tabs>
      </w:p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ZDNiNjc4N2Y5YzJiNWY0NjQxMTBmZmRlYWU5ZTMifQ=="/>
  </w:docVars>
  <w:rsids>
    <w:rsidRoot w:val="004A05B2"/>
    <w:rsid w:val="0000431A"/>
    <w:rsid w:val="00007F48"/>
    <w:rsid w:val="00025886"/>
    <w:rsid w:val="000512F6"/>
    <w:rsid w:val="00055AD8"/>
    <w:rsid w:val="00096CE8"/>
    <w:rsid w:val="00116485"/>
    <w:rsid w:val="001B2087"/>
    <w:rsid w:val="001D39BA"/>
    <w:rsid w:val="001F474F"/>
    <w:rsid w:val="002114A5"/>
    <w:rsid w:val="00251C0B"/>
    <w:rsid w:val="00254FEB"/>
    <w:rsid w:val="002817DF"/>
    <w:rsid w:val="0028776A"/>
    <w:rsid w:val="002A1075"/>
    <w:rsid w:val="002A2939"/>
    <w:rsid w:val="002C10F2"/>
    <w:rsid w:val="002C5D8E"/>
    <w:rsid w:val="002F2398"/>
    <w:rsid w:val="002F266E"/>
    <w:rsid w:val="003A0DB1"/>
    <w:rsid w:val="003A204C"/>
    <w:rsid w:val="003C5580"/>
    <w:rsid w:val="003E4248"/>
    <w:rsid w:val="003E6F26"/>
    <w:rsid w:val="00403A11"/>
    <w:rsid w:val="00403C3F"/>
    <w:rsid w:val="00440351"/>
    <w:rsid w:val="004609B1"/>
    <w:rsid w:val="00461E44"/>
    <w:rsid w:val="0047314E"/>
    <w:rsid w:val="00490E06"/>
    <w:rsid w:val="004A05B2"/>
    <w:rsid w:val="004A1F2A"/>
    <w:rsid w:val="004E1383"/>
    <w:rsid w:val="004E3D3A"/>
    <w:rsid w:val="004F1C78"/>
    <w:rsid w:val="00505967"/>
    <w:rsid w:val="00524F43"/>
    <w:rsid w:val="00525DCB"/>
    <w:rsid w:val="005356A5"/>
    <w:rsid w:val="00537603"/>
    <w:rsid w:val="00555F65"/>
    <w:rsid w:val="005B1427"/>
    <w:rsid w:val="005C4520"/>
    <w:rsid w:val="00611867"/>
    <w:rsid w:val="006220A1"/>
    <w:rsid w:val="00637FCC"/>
    <w:rsid w:val="00650667"/>
    <w:rsid w:val="00683731"/>
    <w:rsid w:val="006855AA"/>
    <w:rsid w:val="006965E4"/>
    <w:rsid w:val="00696D84"/>
    <w:rsid w:val="006A5AFC"/>
    <w:rsid w:val="006E49D6"/>
    <w:rsid w:val="007C5B50"/>
    <w:rsid w:val="007E105C"/>
    <w:rsid w:val="008043B9"/>
    <w:rsid w:val="008228A0"/>
    <w:rsid w:val="00826FAE"/>
    <w:rsid w:val="008514E0"/>
    <w:rsid w:val="00857C29"/>
    <w:rsid w:val="00857C61"/>
    <w:rsid w:val="00883E96"/>
    <w:rsid w:val="00895626"/>
    <w:rsid w:val="008C6670"/>
    <w:rsid w:val="008E650B"/>
    <w:rsid w:val="00903FEF"/>
    <w:rsid w:val="00917ADE"/>
    <w:rsid w:val="00926A66"/>
    <w:rsid w:val="00943571"/>
    <w:rsid w:val="00946233"/>
    <w:rsid w:val="00955240"/>
    <w:rsid w:val="00964DF3"/>
    <w:rsid w:val="00964EA7"/>
    <w:rsid w:val="00973363"/>
    <w:rsid w:val="00987ED2"/>
    <w:rsid w:val="00991F18"/>
    <w:rsid w:val="00993123"/>
    <w:rsid w:val="009F13E7"/>
    <w:rsid w:val="00A15B35"/>
    <w:rsid w:val="00A24D93"/>
    <w:rsid w:val="00A5093E"/>
    <w:rsid w:val="00AC49BF"/>
    <w:rsid w:val="00B120D7"/>
    <w:rsid w:val="00B52273"/>
    <w:rsid w:val="00B60797"/>
    <w:rsid w:val="00BA4161"/>
    <w:rsid w:val="00BF20BE"/>
    <w:rsid w:val="00C0389F"/>
    <w:rsid w:val="00C07D22"/>
    <w:rsid w:val="00C31DB8"/>
    <w:rsid w:val="00C376B9"/>
    <w:rsid w:val="00C40BF9"/>
    <w:rsid w:val="00C54144"/>
    <w:rsid w:val="00C65FB5"/>
    <w:rsid w:val="00C87B54"/>
    <w:rsid w:val="00CC545B"/>
    <w:rsid w:val="00CE72AE"/>
    <w:rsid w:val="00CF083D"/>
    <w:rsid w:val="00D0253B"/>
    <w:rsid w:val="00D23095"/>
    <w:rsid w:val="00D561BF"/>
    <w:rsid w:val="00D726C6"/>
    <w:rsid w:val="00DE047B"/>
    <w:rsid w:val="00DE3F62"/>
    <w:rsid w:val="00DE5871"/>
    <w:rsid w:val="00E13D30"/>
    <w:rsid w:val="00E448D1"/>
    <w:rsid w:val="00E7554E"/>
    <w:rsid w:val="00E82E93"/>
    <w:rsid w:val="00E90B46"/>
    <w:rsid w:val="00E970E5"/>
    <w:rsid w:val="00EC7A02"/>
    <w:rsid w:val="00F17EB7"/>
    <w:rsid w:val="00F33DF5"/>
    <w:rsid w:val="00F47CDD"/>
    <w:rsid w:val="00F715C5"/>
    <w:rsid w:val="00F93925"/>
    <w:rsid w:val="01803BF6"/>
    <w:rsid w:val="0196601E"/>
    <w:rsid w:val="01C40DDD"/>
    <w:rsid w:val="01D31328"/>
    <w:rsid w:val="01E2173A"/>
    <w:rsid w:val="01FA47FF"/>
    <w:rsid w:val="0293658B"/>
    <w:rsid w:val="02C80459"/>
    <w:rsid w:val="030E2030"/>
    <w:rsid w:val="03190CB5"/>
    <w:rsid w:val="03885E3A"/>
    <w:rsid w:val="03E77005"/>
    <w:rsid w:val="04425FE9"/>
    <w:rsid w:val="04D06B3D"/>
    <w:rsid w:val="04DB00C6"/>
    <w:rsid w:val="04FA2D68"/>
    <w:rsid w:val="053E0EA6"/>
    <w:rsid w:val="055C30DB"/>
    <w:rsid w:val="056F2E0E"/>
    <w:rsid w:val="05877CE9"/>
    <w:rsid w:val="05BE78F1"/>
    <w:rsid w:val="05F542FB"/>
    <w:rsid w:val="0607025A"/>
    <w:rsid w:val="06293905"/>
    <w:rsid w:val="0661499E"/>
    <w:rsid w:val="06640499"/>
    <w:rsid w:val="0683047D"/>
    <w:rsid w:val="06BA630B"/>
    <w:rsid w:val="07026384"/>
    <w:rsid w:val="076D72ED"/>
    <w:rsid w:val="07B44167"/>
    <w:rsid w:val="08000695"/>
    <w:rsid w:val="08144141"/>
    <w:rsid w:val="082A6CC4"/>
    <w:rsid w:val="08FA69E9"/>
    <w:rsid w:val="09AC2D72"/>
    <w:rsid w:val="09AF4121"/>
    <w:rsid w:val="09B554AF"/>
    <w:rsid w:val="0A02152C"/>
    <w:rsid w:val="0AB17A25"/>
    <w:rsid w:val="0B1A1A6E"/>
    <w:rsid w:val="0B1B1342"/>
    <w:rsid w:val="0B1D330C"/>
    <w:rsid w:val="0B372620"/>
    <w:rsid w:val="0B5036E2"/>
    <w:rsid w:val="0BAC00AA"/>
    <w:rsid w:val="0C2B475D"/>
    <w:rsid w:val="0C3E0D93"/>
    <w:rsid w:val="0C605D28"/>
    <w:rsid w:val="0C7B485D"/>
    <w:rsid w:val="0CE2480D"/>
    <w:rsid w:val="0D11236F"/>
    <w:rsid w:val="0D3D5594"/>
    <w:rsid w:val="0D766989"/>
    <w:rsid w:val="0D85327C"/>
    <w:rsid w:val="0DED346A"/>
    <w:rsid w:val="0E7C659C"/>
    <w:rsid w:val="0EF44384"/>
    <w:rsid w:val="0EFD148A"/>
    <w:rsid w:val="0F8718E9"/>
    <w:rsid w:val="0FA9856D"/>
    <w:rsid w:val="0FB0647D"/>
    <w:rsid w:val="0FF34FA4"/>
    <w:rsid w:val="0FFE370C"/>
    <w:rsid w:val="103C4BBC"/>
    <w:rsid w:val="109F2152"/>
    <w:rsid w:val="10A36062"/>
    <w:rsid w:val="10DB3A4D"/>
    <w:rsid w:val="10DC1574"/>
    <w:rsid w:val="10E133CD"/>
    <w:rsid w:val="117619C8"/>
    <w:rsid w:val="11991213"/>
    <w:rsid w:val="11FC011F"/>
    <w:rsid w:val="121A67F7"/>
    <w:rsid w:val="12307DC9"/>
    <w:rsid w:val="12425F39"/>
    <w:rsid w:val="124F64A1"/>
    <w:rsid w:val="12696E37"/>
    <w:rsid w:val="128B14A3"/>
    <w:rsid w:val="12A460C1"/>
    <w:rsid w:val="12E91781"/>
    <w:rsid w:val="12F9465F"/>
    <w:rsid w:val="13427DB4"/>
    <w:rsid w:val="139F6FB4"/>
    <w:rsid w:val="13CD286F"/>
    <w:rsid w:val="14423DE3"/>
    <w:rsid w:val="14D02DF5"/>
    <w:rsid w:val="14F41582"/>
    <w:rsid w:val="15DB44F0"/>
    <w:rsid w:val="161D2412"/>
    <w:rsid w:val="163F682C"/>
    <w:rsid w:val="169528F0"/>
    <w:rsid w:val="16B77F1B"/>
    <w:rsid w:val="16DB47A7"/>
    <w:rsid w:val="17481711"/>
    <w:rsid w:val="17832737"/>
    <w:rsid w:val="17966920"/>
    <w:rsid w:val="17AC00A5"/>
    <w:rsid w:val="18910E95"/>
    <w:rsid w:val="18982224"/>
    <w:rsid w:val="18B13D26"/>
    <w:rsid w:val="18D5184F"/>
    <w:rsid w:val="18F55681"/>
    <w:rsid w:val="18F83308"/>
    <w:rsid w:val="190E2CCE"/>
    <w:rsid w:val="1945415A"/>
    <w:rsid w:val="194C4F1D"/>
    <w:rsid w:val="197B520E"/>
    <w:rsid w:val="19C257AA"/>
    <w:rsid w:val="1A2E1092"/>
    <w:rsid w:val="1A352420"/>
    <w:rsid w:val="1A402B73"/>
    <w:rsid w:val="1A765D9C"/>
    <w:rsid w:val="1B4072CF"/>
    <w:rsid w:val="1BA23AE5"/>
    <w:rsid w:val="1BAF6B07"/>
    <w:rsid w:val="1C35495A"/>
    <w:rsid w:val="1C390AF4"/>
    <w:rsid w:val="1C6B3FA4"/>
    <w:rsid w:val="1C850D11"/>
    <w:rsid w:val="1CCF7AEE"/>
    <w:rsid w:val="1D70223B"/>
    <w:rsid w:val="1DDD4649"/>
    <w:rsid w:val="1DE63104"/>
    <w:rsid w:val="1DE66E3C"/>
    <w:rsid w:val="1E0D3603"/>
    <w:rsid w:val="1E114F52"/>
    <w:rsid w:val="1E2307E2"/>
    <w:rsid w:val="1E806DE7"/>
    <w:rsid w:val="1EC12DFC"/>
    <w:rsid w:val="1F600DB4"/>
    <w:rsid w:val="1F8F25D3"/>
    <w:rsid w:val="1F9C084C"/>
    <w:rsid w:val="1F9E2816"/>
    <w:rsid w:val="1FD53D5E"/>
    <w:rsid w:val="200A3A07"/>
    <w:rsid w:val="20674ED5"/>
    <w:rsid w:val="208E4638"/>
    <w:rsid w:val="20B32788"/>
    <w:rsid w:val="20F030CF"/>
    <w:rsid w:val="212426DC"/>
    <w:rsid w:val="2136082C"/>
    <w:rsid w:val="227974F7"/>
    <w:rsid w:val="228C745A"/>
    <w:rsid w:val="22F4274D"/>
    <w:rsid w:val="234D7183"/>
    <w:rsid w:val="23506800"/>
    <w:rsid w:val="23607DE2"/>
    <w:rsid w:val="2368207F"/>
    <w:rsid w:val="23B60259"/>
    <w:rsid w:val="23D26F32"/>
    <w:rsid w:val="23DE58D7"/>
    <w:rsid w:val="240D3AC6"/>
    <w:rsid w:val="24853FA4"/>
    <w:rsid w:val="25290DD3"/>
    <w:rsid w:val="253D662D"/>
    <w:rsid w:val="259B1248"/>
    <w:rsid w:val="25B156D0"/>
    <w:rsid w:val="25DA3E7C"/>
    <w:rsid w:val="26211AAB"/>
    <w:rsid w:val="264834DB"/>
    <w:rsid w:val="268F3A57"/>
    <w:rsid w:val="26A347A4"/>
    <w:rsid w:val="26A56238"/>
    <w:rsid w:val="274C0DA9"/>
    <w:rsid w:val="274E68CF"/>
    <w:rsid w:val="27C22E19"/>
    <w:rsid w:val="288A1B89"/>
    <w:rsid w:val="28A32C4B"/>
    <w:rsid w:val="28F17E5A"/>
    <w:rsid w:val="296F0D7F"/>
    <w:rsid w:val="29724362"/>
    <w:rsid w:val="29B449E4"/>
    <w:rsid w:val="29EE4BD1"/>
    <w:rsid w:val="2A07545B"/>
    <w:rsid w:val="2A8940C2"/>
    <w:rsid w:val="2A8B3997"/>
    <w:rsid w:val="2B34402E"/>
    <w:rsid w:val="2B681F2A"/>
    <w:rsid w:val="2B8E7BE2"/>
    <w:rsid w:val="2BC74EA2"/>
    <w:rsid w:val="2C1E763D"/>
    <w:rsid w:val="2C444745"/>
    <w:rsid w:val="2C4958B7"/>
    <w:rsid w:val="2C6D5A4A"/>
    <w:rsid w:val="2C712206"/>
    <w:rsid w:val="2C714E0E"/>
    <w:rsid w:val="2C8114F5"/>
    <w:rsid w:val="2C9A25B7"/>
    <w:rsid w:val="2CF32B34"/>
    <w:rsid w:val="2D4C7283"/>
    <w:rsid w:val="2DD85145"/>
    <w:rsid w:val="2E140111"/>
    <w:rsid w:val="2E4A5917"/>
    <w:rsid w:val="2E682FCF"/>
    <w:rsid w:val="2EC76F67"/>
    <w:rsid w:val="2EE92046"/>
    <w:rsid w:val="2F670B4E"/>
    <w:rsid w:val="2FED2BB4"/>
    <w:rsid w:val="3049057C"/>
    <w:rsid w:val="305E56A9"/>
    <w:rsid w:val="31175F84"/>
    <w:rsid w:val="314D19A6"/>
    <w:rsid w:val="316A4C98"/>
    <w:rsid w:val="31813D45"/>
    <w:rsid w:val="31882854"/>
    <w:rsid w:val="31A97BB2"/>
    <w:rsid w:val="31CB5F1C"/>
    <w:rsid w:val="31E9589C"/>
    <w:rsid w:val="32333292"/>
    <w:rsid w:val="323B0398"/>
    <w:rsid w:val="32470AEB"/>
    <w:rsid w:val="32537490"/>
    <w:rsid w:val="32843AED"/>
    <w:rsid w:val="32A1736D"/>
    <w:rsid w:val="32D00AE0"/>
    <w:rsid w:val="33222C62"/>
    <w:rsid w:val="338B4A07"/>
    <w:rsid w:val="33D41358"/>
    <w:rsid w:val="33D600DE"/>
    <w:rsid w:val="33E70DC0"/>
    <w:rsid w:val="33F20F2A"/>
    <w:rsid w:val="34266533"/>
    <w:rsid w:val="34D16D92"/>
    <w:rsid w:val="351849C1"/>
    <w:rsid w:val="35243899"/>
    <w:rsid w:val="35642BA4"/>
    <w:rsid w:val="35741372"/>
    <w:rsid w:val="36054F45"/>
    <w:rsid w:val="3623361D"/>
    <w:rsid w:val="364A0BAA"/>
    <w:rsid w:val="37225683"/>
    <w:rsid w:val="37377CE4"/>
    <w:rsid w:val="37636C46"/>
    <w:rsid w:val="38241589"/>
    <w:rsid w:val="38975BFC"/>
    <w:rsid w:val="38D10AEB"/>
    <w:rsid w:val="38E30E42"/>
    <w:rsid w:val="39194B48"/>
    <w:rsid w:val="39316051"/>
    <w:rsid w:val="394E7563"/>
    <w:rsid w:val="39553AED"/>
    <w:rsid w:val="396B4C34"/>
    <w:rsid w:val="39B9537D"/>
    <w:rsid w:val="39E15381"/>
    <w:rsid w:val="3A2D4A6A"/>
    <w:rsid w:val="3A5E69D2"/>
    <w:rsid w:val="3A604B4F"/>
    <w:rsid w:val="3AEE244B"/>
    <w:rsid w:val="3AF630AE"/>
    <w:rsid w:val="3B3C308E"/>
    <w:rsid w:val="3B8701AA"/>
    <w:rsid w:val="3C2C0526"/>
    <w:rsid w:val="3C522566"/>
    <w:rsid w:val="3C6978B0"/>
    <w:rsid w:val="3CCE2083"/>
    <w:rsid w:val="3D344362"/>
    <w:rsid w:val="3D8E3A72"/>
    <w:rsid w:val="3D9F5C7F"/>
    <w:rsid w:val="3DBF1E7D"/>
    <w:rsid w:val="3E012496"/>
    <w:rsid w:val="3E976355"/>
    <w:rsid w:val="3EBF63DB"/>
    <w:rsid w:val="3ED75D52"/>
    <w:rsid w:val="3FB83028"/>
    <w:rsid w:val="40093884"/>
    <w:rsid w:val="405A7913"/>
    <w:rsid w:val="40622392"/>
    <w:rsid w:val="40C46477"/>
    <w:rsid w:val="410B311F"/>
    <w:rsid w:val="411F0979"/>
    <w:rsid w:val="412D35A2"/>
    <w:rsid w:val="415D5C35"/>
    <w:rsid w:val="41E55C2A"/>
    <w:rsid w:val="42310E70"/>
    <w:rsid w:val="4235270E"/>
    <w:rsid w:val="427A2817"/>
    <w:rsid w:val="42C94373"/>
    <w:rsid w:val="42D62BD9"/>
    <w:rsid w:val="42F24F61"/>
    <w:rsid w:val="4420119C"/>
    <w:rsid w:val="44352E99"/>
    <w:rsid w:val="44486D52"/>
    <w:rsid w:val="44C31FA8"/>
    <w:rsid w:val="456D6663"/>
    <w:rsid w:val="45CC15DB"/>
    <w:rsid w:val="46447925"/>
    <w:rsid w:val="46BC33FE"/>
    <w:rsid w:val="46DD15C6"/>
    <w:rsid w:val="46EF41D8"/>
    <w:rsid w:val="47A10846"/>
    <w:rsid w:val="481728B6"/>
    <w:rsid w:val="481E59F2"/>
    <w:rsid w:val="482A25E9"/>
    <w:rsid w:val="48901345"/>
    <w:rsid w:val="48981C49"/>
    <w:rsid w:val="489B7043"/>
    <w:rsid w:val="48B620CF"/>
    <w:rsid w:val="48C4659A"/>
    <w:rsid w:val="48E94252"/>
    <w:rsid w:val="49425710"/>
    <w:rsid w:val="49531683"/>
    <w:rsid w:val="49830203"/>
    <w:rsid w:val="49CF3448"/>
    <w:rsid w:val="4A0D74B7"/>
    <w:rsid w:val="4A1672C9"/>
    <w:rsid w:val="4B133808"/>
    <w:rsid w:val="4B187071"/>
    <w:rsid w:val="4B2A6BA7"/>
    <w:rsid w:val="4B412913"/>
    <w:rsid w:val="4BA26598"/>
    <w:rsid w:val="4BBC17AA"/>
    <w:rsid w:val="4BEA27BB"/>
    <w:rsid w:val="4C20442F"/>
    <w:rsid w:val="4C59349D"/>
    <w:rsid w:val="4C7C5E5E"/>
    <w:rsid w:val="4CCB4839"/>
    <w:rsid w:val="4D211181"/>
    <w:rsid w:val="4D7762D0"/>
    <w:rsid w:val="4DA75F0B"/>
    <w:rsid w:val="4DEB6A31"/>
    <w:rsid w:val="4E555EE6"/>
    <w:rsid w:val="4EB778A0"/>
    <w:rsid w:val="4ED212E5"/>
    <w:rsid w:val="4EFF69A9"/>
    <w:rsid w:val="4F8B6063"/>
    <w:rsid w:val="4FBA6948"/>
    <w:rsid w:val="4FDC066D"/>
    <w:rsid w:val="50056862"/>
    <w:rsid w:val="500656EA"/>
    <w:rsid w:val="507765E7"/>
    <w:rsid w:val="50C80BF1"/>
    <w:rsid w:val="512C5624"/>
    <w:rsid w:val="517A638F"/>
    <w:rsid w:val="523307FC"/>
    <w:rsid w:val="523B2BB4"/>
    <w:rsid w:val="525F5585"/>
    <w:rsid w:val="527252B8"/>
    <w:rsid w:val="52887F46"/>
    <w:rsid w:val="52A018A7"/>
    <w:rsid w:val="532C190B"/>
    <w:rsid w:val="53DF24DA"/>
    <w:rsid w:val="54067C9D"/>
    <w:rsid w:val="541771E9"/>
    <w:rsid w:val="542474E3"/>
    <w:rsid w:val="54897EDE"/>
    <w:rsid w:val="54DC4C6B"/>
    <w:rsid w:val="55056F6F"/>
    <w:rsid w:val="55214D74"/>
    <w:rsid w:val="55320D2F"/>
    <w:rsid w:val="553B4087"/>
    <w:rsid w:val="55B6370E"/>
    <w:rsid w:val="561346BC"/>
    <w:rsid w:val="56BC4138"/>
    <w:rsid w:val="573B211D"/>
    <w:rsid w:val="5814296E"/>
    <w:rsid w:val="587578B0"/>
    <w:rsid w:val="588673C8"/>
    <w:rsid w:val="5895585D"/>
    <w:rsid w:val="59097FF9"/>
    <w:rsid w:val="593C3F2A"/>
    <w:rsid w:val="596F2552"/>
    <w:rsid w:val="599B569F"/>
    <w:rsid w:val="5A0031AA"/>
    <w:rsid w:val="5A251B3E"/>
    <w:rsid w:val="5A8802F3"/>
    <w:rsid w:val="5A98768B"/>
    <w:rsid w:val="5A9A53AC"/>
    <w:rsid w:val="5AEF428F"/>
    <w:rsid w:val="5B3255E5"/>
    <w:rsid w:val="5B9C6656"/>
    <w:rsid w:val="5BDB6D8C"/>
    <w:rsid w:val="5BE74621"/>
    <w:rsid w:val="5BEA2363"/>
    <w:rsid w:val="5C390BF5"/>
    <w:rsid w:val="5C45759A"/>
    <w:rsid w:val="5C5E240A"/>
    <w:rsid w:val="5C8F4507"/>
    <w:rsid w:val="5C950521"/>
    <w:rsid w:val="5CE62B2B"/>
    <w:rsid w:val="5D1C654D"/>
    <w:rsid w:val="5D9B1B67"/>
    <w:rsid w:val="5DF15A4C"/>
    <w:rsid w:val="5E0F7E5F"/>
    <w:rsid w:val="5EB56C59"/>
    <w:rsid w:val="5EF534F9"/>
    <w:rsid w:val="5EF656A8"/>
    <w:rsid w:val="5F21568F"/>
    <w:rsid w:val="5F69359F"/>
    <w:rsid w:val="5F824661"/>
    <w:rsid w:val="5FAB7A77"/>
    <w:rsid w:val="5FE4166A"/>
    <w:rsid w:val="5FE60A36"/>
    <w:rsid w:val="5FF437B1"/>
    <w:rsid w:val="603D6F06"/>
    <w:rsid w:val="607466A0"/>
    <w:rsid w:val="608368E3"/>
    <w:rsid w:val="609D1CF7"/>
    <w:rsid w:val="60A46F85"/>
    <w:rsid w:val="610417D1"/>
    <w:rsid w:val="61371BA7"/>
    <w:rsid w:val="615D0EE2"/>
    <w:rsid w:val="61803188"/>
    <w:rsid w:val="61B9080E"/>
    <w:rsid w:val="61E810F3"/>
    <w:rsid w:val="6208709F"/>
    <w:rsid w:val="623E51B7"/>
    <w:rsid w:val="625F7819"/>
    <w:rsid w:val="62E21FE6"/>
    <w:rsid w:val="62F95F66"/>
    <w:rsid w:val="63144620"/>
    <w:rsid w:val="63870498"/>
    <w:rsid w:val="63921E8A"/>
    <w:rsid w:val="639F57E1"/>
    <w:rsid w:val="63AB4186"/>
    <w:rsid w:val="640970FF"/>
    <w:rsid w:val="643D4109"/>
    <w:rsid w:val="64601415"/>
    <w:rsid w:val="64D771FD"/>
    <w:rsid w:val="652A557F"/>
    <w:rsid w:val="66304E17"/>
    <w:rsid w:val="66EC51E2"/>
    <w:rsid w:val="66F9345B"/>
    <w:rsid w:val="66FB3677"/>
    <w:rsid w:val="671B5AC7"/>
    <w:rsid w:val="671D498D"/>
    <w:rsid w:val="67582877"/>
    <w:rsid w:val="676905E0"/>
    <w:rsid w:val="67980EC5"/>
    <w:rsid w:val="690600B1"/>
    <w:rsid w:val="690D143F"/>
    <w:rsid w:val="69180510"/>
    <w:rsid w:val="696E0130"/>
    <w:rsid w:val="696F3EA8"/>
    <w:rsid w:val="6979104D"/>
    <w:rsid w:val="697E40EB"/>
    <w:rsid w:val="6A627569"/>
    <w:rsid w:val="6A7F2007"/>
    <w:rsid w:val="6ACE4BFE"/>
    <w:rsid w:val="6AF05745"/>
    <w:rsid w:val="6B086362"/>
    <w:rsid w:val="6B0D1787"/>
    <w:rsid w:val="6B182A49"/>
    <w:rsid w:val="6B8974A3"/>
    <w:rsid w:val="6B9419A4"/>
    <w:rsid w:val="6B9551F6"/>
    <w:rsid w:val="6BA047ED"/>
    <w:rsid w:val="6BAF4A30"/>
    <w:rsid w:val="6CC83FFB"/>
    <w:rsid w:val="6CE95D1F"/>
    <w:rsid w:val="6D046415"/>
    <w:rsid w:val="6D15645B"/>
    <w:rsid w:val="6D157495"/>
    <w:rsid w:val="6D21195D"/>
    <w:rsid w:val="6D293365"/>
    <w:rsid w:val="6D9263B7"/>
    <w:rsid w:val="6E0D0360"/>
    <w:rsid w:val="6E201C15"/>
    <w:rsid w:val="6EC32CCC"/>
    <w:rsid w:val="6EF2710D"/>
    <w:rsid w:val="6F3E2352"/>
    <w:rsid w:val="6F4A31C3"/>
    <w:rsid w:val="6F5E59CD"/>
    <w:rsid w:val="6F881522"/>
    <w:rsid w:val="6FE85359"/>
    <w:rsid w:val="6FEE3A4D"/>
    <w:rsid w:val="708A54DB"/>
    <w:rsid w:val="709D4933"/>
    <w:rsid w:val="71667EB0"/>
    <w:rsid w:val="71686ACA"/>
    <w:rsid w:val="718C1A9B"/>
    <w:rsid w:val="71A843FB"/>
    <w:rsid w:val="71A87F57"/>
    <w:rsid w:val="71E15C18"/>
    <w:rsid w:val="71E52F59"/>
    <w:rsid w:val="723709C8"/>
    <w:rsid w:val="72A44BC2"/>
    <w:rsid w:val="72C214EC"/>
    <w:rsid w:val="73A9720A"/>
    <w:rsid w:val="73AD396D"/>
    <w:rsid w:val="74145D78"/>
    <w:rsid w:val="744B00B0"/>
    <w:rsid w:val="746D040B"/>
    <w:rsid w:val="74D55507"/>
    <w:rsid w:val="754C32EF"/>
    <w:rsid w:val="757A1C0A"/>
    <w:rsid w:val="7589009F"/>
    <w:rsid w:val="758B02BC"/>
    <w:rsid w:val="75952EE8"/>
    <w:rsid w:val="75B82733"/>
    <w:rsid w:val="75E31EA6"/>
    <w:rsid w:val="76742AFE"/>
    <w:rsid w:val="768865A9"/>
    <w:rsid w:val="769A3F4E"/>
    <w:rsid w:val="76D87530"/>
    <w:rsid w:val="76DE441B"/>
    <w:rsid w:val="773D7394"/>
    <w:rsid w:val="776E579F"/>
    <w:rsid w:val="778E4093"/>
    <w:rsid w:val="779127BE"/>
    <w:rsid w:val="77BA68CF"/>
    <w:rsid w:val="77DC3EB1"/>
    <w:rsid w:val="77DC6181"/>
    <w:rsid w:val="77F51B55"/>
    <w:rsid w:val="780F6F82"/>
    <w:rsid w:val="787212BF"/>
    <w:rsid w:val="78812A48"/>
    <w:rsid w:val="78A91184"/>
    <w:rsid w:val="78B638A1"/>
    <w:rsid w:val="794A5A1C"/>
    <w:rsid w:val="79A63CDC"/>
    <w:rsid w:val="7A293BFF"/>
    <w:rsid w:val="7A3D2190"/>
    <w:rsid w:val="7A637111"/>
    <w:rsid w:val="7AB94F83"/>
    <w:rsid w:val="7B2A40D3"/>
    <w:rsid w:val="7B580C40"/>
    <w:rsid w:val="7B8C2698"/>
    <w:rsid w:val="7BF72207"/>
    <w:rsid w:val="7C921F30"/>
    <w:rsid w:val="7CC665AD"/>
    <w:rsid w:val="7CDE6F23"/>
    <w:rsid w:val="7D2D3A06"/>
    <w:rsid w:val="7D627B54"/>
    <w:rsid w:val="7D9B3066"/>
    <w:rsid w:val="7E1213EC"/>
    <w:rsid w:val="7E1A2A46"/>
    <w:rsid w:val="7E1C7D03"/>
    <w:rsid w:val="7E464D80"/>
    <w:rsid w:val="7E4E3930"/>
    <w:rsid w:val="7E5F1551"/>
    <w:rsid w:val="7E8458A8"/>
    <w:rsid w:val="7E9F26E2"/>
    <w:rsid w:val="7ECB1729"/>
    <w:rsid w:val="7EE60311"/>
    <w:rsid w:val="7EEEF926"/>
    <w:rsid w:val="7F5259A6"/>
    <w:rsid w:val="7F6A37A6"/>
    <w:rsid w:val="7F79F917"/>
    <w:rsid w:val="7F7B4D83"/>
    <w:rsid w:val="7F840B01"/>
    <w:rsid w:val="7F9376EC"/>
    <w:rsid w:val="7F980752"/>
    <w:rsid w:val="7FA6238E"/>
    <w:rsid w:val="7FC6434A"/>
    <w:rsid w:val="7FF013FF"/>
    <w:rsid w:val="7FFBA995"/>
    <w:rsid w:val="AADF8241"/>
    <w:rsid w:val="DFF5E3DA"/>
    <w:rsid w:val="EDCF08EF"/>
    <w:rsid w:val="F3FD49C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nhideWhenUsed="0" w:uiPriority="0"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iPriority="99" w:name="Body Text 2"/>
    <w:lsdException w:uiPriority="99"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7"/>
    <w:qFormat/>
    <w:uiPriority w:val="99"/>
    <w:pPr>
      <w:keepNext/>
      <w:keepLines/>
      <w:spacing w:before="340" w:after="330" w:line="576" w:lineRule="auto"/>
      <w:outlineLvl w:val="0"/>
    </w:pPr>
    <w:rPr>
      <w:b/>
      <w:kern w:val="44"/>
      <w:sz w:val="44"/>
    </w:rPr>
  </w:style>
  <w:style w:type="paragraph" w:styleId="5">
    <w:name w:val="heading 2"/>
    <w:basedOn w:val="1"/>
    <w:next w:val="1"/>
    <w:link w:val="38"/>
    <w:qFormat/>
    <w:uiPriority w:val="0"/>
    <w:pPr>
      <w:keepNext/>
      <w:keepLines/>
      <w:spacing w:line="360" w:lineRule="auto"/>
      <w:outlineLvl w:val="1"/>
    </w:pPr>
    <w:rPr>
      <w:rFonts w:ascii="Cambria" w:hAnsi="Cambria"/>
      <w:b/>
      <w:bCs/>
      <w:szCs w:val="32"/>
    </w:rPr>
  </w:style>
  <w:style w:type="paragraph" w:styleId="6">
    <w:name w:val="heading 3"/>
    <w:basedOn w:val="1"/>
    <w:next w:val="1"/>
    <w:link w:val="39"/>
    <w:qFormat/>
    <w:uiPriority w:val="0"/>
    <w:pPr>
      <w:keepNext/>
      <w:keepLines/>
      <w:outlineLvl w:val="2"/>
    </w:pPr>
    <w:rPr>
      <w:b/>
      <w:bCs/>
      <w:kern w:val="0"/>
      <w:sz w:val="20"/>
      <w:szCs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0"/>
    <w:qFormat/>
    <w:uiPriority w:val="0"/>
    <w:pPr>
      <w:spacing w:after="120"/>
    </w:pPr>
    <w:rPr>
      <w:sz w:val="24"/>
    </w:rPr>
  </w:style>
  <w:style w:type="paragraph" w:styleId="3">
    <w:name w:val="Body Text First Indent"/>
    <w:basedOn w:val="2"/>
    <w:next w:val="1"/>
    <w:qFormat/>
    <w:uiPriority w:val="0"/>
    <w:pPr>
      <w:ind w:firstLine="420" w:firstLineChars="100"/>
    </w:pPr>
    <w:rPr>
      <w:kern w:val="0"/>
    </w:rPr>
  </w:style>
  <w:style w:type="paragraph" w:styleId="7">
    <w:name w:val="List Number"/>
    <w:basedOn w:val="1"/>
    <w:qFormat/>
    <w:uiPriority w:val="0"/>
    <w:pPr>
      <w:numPr>
        <w:ilvl w:val="0"/>
        <w:numId w:val="1"/>
      </w:numPr>
    </w:pPr>
  </w:style>
  <w:style w:type="paragraph" w:styleId="8">
    <w:name w:val="Normal Indent"/>
    <w:basedOn w:val="1"/>
    <w:next w:val="9"/>
    <w:qFormat/>
    <w:uiPriority w:val="0"/>
    <w:pPr>
      <w:ind w:firstLine="488"/>
    </w:pPr>
  </w:style>
  <w:style w:type="paragraph" w:styleId="9">
    <w:name w:val="Body Text Indent"/>
    <w:basedOn w:val="1"/>
    <w:next w:val="1"/>
    <w:link w:val="42"/>
    <w:unhideWhenUsed/>
    <w:qFormat/>
    <w:uiPriority w:val="99"/>
    <w:pPr>
      <w:spacing w:line="200" w:lineRule="exact"/>
      <w:ind w:firstLine="301"/>
    </w:pPr>
    <w:rPr>
      <w:rFonts w:ascii="宋体" w:hAnsi="Courier New"/>
      <w:spacing w:val="-4"/>
      <w:kern w:val="0"/>
      <w:sz w:val="18"/>
    </w:rPr>
  </w:style>
  <w:style w:type="paragraph" w:styleId="10">
    <w:name w:val="caption"/>
    <w:basedOn w:val="1"/>
    <w:next w:val="1"/>
    <w:qFormat/>
    <w:uiPriority w:val="99"/>
    <w:pPr>
      <w:spacing w:before="152" w:after="160"/>
    </w:pPr>
    <w:rPr>
      <w:rFonts w:ascii="Arial" w:hAnsi="Arial" w:eastAsia="黑体"/>
      <w:sz w:val="20"/>
    </w:rPr>
  </w:style>
  <w:style w:type="paragraph" w:styleId="11">
    <w:name w:val="annotation text"/>
    <w:basedOn w:val="1"/>
    <w:link w:val="41"/>
    <w:qFormat/>
    <w:uiPriority w:val="0"/>
    <w:pPr>
      <w:jc w:val="left"/>
    </w:pPr>
  </w:style>
  <w:style w:type="paragraph" w:styleId="12">
    <w:name w:val="Plain Text"/>
    <w:basedOn w:val="1"/>
    <w:link w:val="53"/>
    <w:qFormat/>
    <w:uiPriority w:val="0"/>
    <w:rPr>
      <w:rFonts w:ascii="宋体" w:hAnsi="Courier New" w:eastAsia="仿宋_GB2312"/>
      <w:sz w:val="30"/>
    </w:rPr>
  </w:style>
  <w:style w:type="paragraph" w:styleId="13">
    <w:name w:val="Date"/>
    <w:basedOn w:val="1"/>
    <w:next w:val="1"/>
    <w:link w:val="54"/>
    <w:unhideWhenUsed/>
    <w:qFormat/>
    <w:uiPriority w:val="0"/>
    <w:pPr>
      <w:ind w:left="2500" w:leftChars="2500" w:right="150"/>
    </w:pPr>
    <w:rPr>
      <w:rFonts w:ascii="Times New Roman" w:hAnsi="Times New Roman" w:eastAsia="楷体_GB2312"/>
      <w:kern w:val="0"/>
      <w:sz w:val="32"/>
      <w:szCs w:val="22"/>
    </w:rPr>
  </w:style>
  <w:style w:type="paragraph" w:styleId="14">
    <w:name w:val="Body Text Indent 2"/>
    <w:basedOn w:val="1"/>
    <w:link w:val="46"/>
    <w:qFormat/>
    <w:uiPriority w:val="99"/>
    <w:pPr>
      <w:snapToGrid w:val="0"/>
      <w:ind w:firstLine="542" w:firstLineChars="225"/>
    </w:pPr>
    <w:rPr>
      <w:kern w:val="0"/>
      <w:sz w:val="24"/>
    </w:rPr>
  </w:style>
  <w:style w:type="paragraph" w:styleId="15">
    <w:name w:val="Balloon Text"/>
    <w:basedOn w:val="1"/>
    <w:link w:val="55"/>
    <w:qFormat/>
    <w:uiPriority w:val="0"/>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99"/>
  </w:style>
  <w:style w:type="paragraph" w:styleId="19">
    <w:name w:val="toc 4"/>
    <w:basedOn w:val="1"/>
    <w:next w:val="1"/>
    <w:qFormat/>
    <w:uiPriority w:val="39"/>
    <w:pPr>
      <w:ind w:left="630"/>
      <w:jc w:val="left"/>
    </w:pPr>
    <w:rPr>
      <w:rFonts w:cs="Calibri"/>
      <w:sz w:val="18"/>
      <w:szCs w:val="18"/>
    </w:rPr>
  </w:style>
  <w:style w:type="paragraph" w:styleId="20">
    <w:name w:val="List"/>
    <w:basedOn w:val="1"/>
    <w:unhideWhenUsed/>
    <w:qFormat/>
    <w:uiPriority w:val="99"/>
    <w:pPr>
      <w:ind w:left="200" w:hanging="200" w:hangingChars="200"/>
    </w:pPr>
    <w:rPr>
      <w:sz w:val="28"/>
    </w:rPr>
  </w:style>
  <w:style w:type="paragraph" w:styleId="21">
    <w:name w:val="Body Text Indent 3"/>
    <w:basedOn w:val="1"/>
    <w:link w:val="49"/>
    <w:unhideWhenUsed/>
    <w:qFormat/>
    <w:uiPriority w:val="99"/>
    <w:pPr>
      <w:snapToGrid w:val="0"/>
      <w:ind w:firstLine="480" w:firstLineChars="200"/>
      <w:jc w:val="left"/>
    </w:pPr>
    <w:rPr>
      <w:rFonts w:ascii="仿宋_GB2312" w:hAnsi="宋体" w:eastAsia="仿宋_GB2312"/>
      <w:color w:val="000000"/>
      <w:kern w:val="0"/>
      <w:sz w:val="24"/>
    </w:rPr>
  </w:style>
  <w:style w:type="paragraph" w:styleId="22">
    <w:name w:val="toc 2"/>
    <w:basedOn w:val="1"/>
    <w:next w:val="1"/>
    <w:qFormat/>
    <w:uiPriority w:val="0"/>
    <w:pPr>
      <w:ind w:left="420" w:leftChars="200"/>
    </w:pPr>
  </w:style>
  <w:style w:type="paragraph" w:styleId="23">
    <w:name w:val="Body Text 2"/>
    <w:basedOn w:val="1"/>
    <w:link w:val="50"/>
    <w:semiHidden/>
    <w:unhideWhenUsed/>
    <w:qFormat/>
    <w:uiPriority w:val="99"/>
    <w:pPr>
      <w:spacing w:after="120" w:line="480" w:lineRule="auto"/>
    </w:pPr>
  </w:style>
  <w:style w:type="paragraph" w:styleId="24">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5">
    <w:name w:val="Normal (Web)"/>
    <w:basedOn w:val="1"/>
    <w:qFormat/>
    <w:uiPriority w:val="99"/>
    <w:pPr>
      <w:spacing w:before="100" w:beforeAutospacing="1" w:after="100" w:afterAutospacing="1"/>
      <w:jc w:val="left"/>
    </w:pPr>
    <w:rPr>
      <w:kern w:val="0"/>
      <w:sz w:val="24"/>
    </w:rPr>
  </w:style>
  <w:style w:type="paragraph" w:styleId="26">
    <w:name w:val="index 1"/>
    <w:basedOn w:val="1"/>
    <w:next w:val="1"/>
    <w:qFormat/>
    <w:uiPriority w:val="0"/>
    <w:pPr>
      <w:tabs>
        <w:tab w:val="left" w:pos="900"/>
      </w:tabs>
      <w:adjustRightInd w:val="0"/>
      <w:ind w:firstLine="420" w:firstLineChars="200"/>
    </w:pPr>
    <w:rPr>
      <w:rFonts w:ascii="宋体" w:hAnsi="宋体"/>
      <w:szCs w:val="22"/>
    </w:rPr>
  </w:style>
  <w:style w:type="paragraph" w:styleId="27">
    <w:name w:val="Title"/>
    <w:basedOn w:val="1"/>
    <w:next w:val="1"/>
    <w:link w:val="104"/>
    <w:qFormat/>
    <w:uiPriority w:val="10"/>
    <w:pPr>
      <w:widowControl/>
      <w:overflowPunct w:val="0"/>
      <w:autoSpaceDE w:val="0"/>
      <w:autoSpaceDN w:val="0"/>
      <w:adjustRightInd w:val="0"/>
      <w:jc w:val="center"/>
      <w:textAlignment w:val="baseline"/>
    </w:pPr>
    <w:rPr>
      <w:rFonts w:ascii="宋体" w:hAnsi="Times New Roman"/>
      <w:kern w:val="0"/>
      <w:sz w:val="30"/>
      <w:szCs w:val="30"/>
    </w:rPr>
  </w:style>
  <w:style w:type="paragraph" w:styleId="28">
    <w:name w:val="Body Text First Indent 2"/>
    <w:basedOn w:val="9"/>
    <w:qFormat/>
    <w:uiPriority w:val="99"/>
    <w:pPr>
      <w:spacing w:after="120" w:line="240" w:lineRule="auto"/>
      <w:ind w:left="420" w:leftChars="200" w:firstLine="420" w:firstLineChars="200"/>
    </w:pPr>
    <w:rPr>
      <w:rFonts w:ascii="Calibri" w:hAnsi="Calibri"/>
      <w:spacing w:val="0"/>
      <w:kern w:val="2"/>
      <w:sz w:val="21"/>
    </w:rPr>
  </w:style>
  <w:style w:type="table" w:styleId="30">
    <w:name w:val="Table Grid"/>
    <w:basedOn w:val="29"/>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2">
    <w:name w:val="Strong"/>
    <w:basedOn w:val="31"/>
    <w:qFormat/>
    <w:uiPriority w:val="0"/>
  </w:style>
  <w:style w:type="character" w:styleId="33">
    <w:name w:val="Hyperlink"/>
    <w:qFormat/>
    <w:uiPriority w:val="99"/>
    <w:rPr>
      <w:color w:val="0000FF"/>
      <w:u w:val="single"/>
    </w:rPr>
  </w:style>
  <w:style w:type="character" w:styleId="34">
    <w:name w:val="annotation reference"/>
    <w:basedOn w:val="31"/>
    <w:semiHidden/>
    <w:unhideWhenUsed/>
    <w:qFormat/>
    <w:uiPriority w:val="99"/>
    <w:rPr>
      <w:sz w:val="21"/>
      <w:szCs w:val="21"/>
    </w:rPr>
  </w:style>
  <w:style w:type="character" w:customStyle="1" w:styleId="35">
    <w:name w:val="页眉 字符"/>
    <w:basedOn w:val="31"/>
    <w:link w:val="17"/>
    <w:semiHidden/>
    <w:qFormat/>
    <w:uiPriority w:val="99"/>
    <w:rPr>
      <w:sz w:val="18"/>
      <w:szCs w:val="18"/>
    </w:rPr>
  </w:style>
  <w:style w:type="character" w:customStyle="1" w:styleId="36">
    <w:name w:val="页脚 字符"/>
    <w:basedOn w:val="31"/>
    <w:link w:val="16"/>
    <w:qFormat/>
    <w:uiPriority w:val="99"/>
    <w:rPr>
      <w:sz w:val="18"/>
      <w:szCs w:val="18"/>
    </w:rPr>
  </w:style>
  <w:style w:type="character" w:customStyle="1" w:styleId="37">
    <w:name w:val="标题 1 字符"/>
    <w:basedOn w:val="31"/>
    <w:link w:val="4"/>
    <w:qFormat/>
    <w:uiPriority w:val="99"/>
    <w:rPr>
      <w:rFonts w:ascii="Calibri" w:hAnsi="Calibri" w:eastAsia="宋体" w:cs="Times New Roman"/>
      <w:b/>
      <w:kern w:val="44"/>
      <w:sz w:val="44"/>
      <w:szCs w:val="24"/>
    </w:rPr>
  </w:style>
  <w:style w:type="character" w:customStyle="1" w:styleId="38">
    <w:name w:val="标题 2 字符"/>
    <w:basedOn w:val="31"/>
    <w:link w:val="5"/>
    <w:qFormat/>
    <w:uiPriority w:val="0"/>
    <w:rPr>
      <w:rFonts w:ascii="Cambria" w:hAnsi="Cambria" w:eastAsia="宋体" w:cs="Times New Roman"/>
      <w:b/>
      <w:bCs/>
      <w:szCs w:val="32"/>
    </w:rPr>
  </w:style>
  <w:style w:type="character" w:customStyle="1" w:styleId="39">
    <w:name w:val="标题 3 字符"/>
    <w:basedOn w:val="31"/>
    <w:link w:val="6"/>
    <w:qFormat/>
    <w:uiPriority w:val="0"/>
    <w:rPr>
      <w:rFonts w:ascii="Calibri" w:hAnsi="Calibri" w:eastAsia="宋体" w:cs="Times New Roman"/>
      <w:b/>
      <w:bCs/>
      <w:kern w:val="0"/>
      <w:sz w:val="20"/>
      <w:szCs w:val="32"/>
    </w:rPr>
  </w:style>
  <w:style w:type="character" w:customStyle="1" w:styleId="40">
    <w:name w:val="正文文本 字符"/>
    <w:basedOn w:val="31"/>
    <w:link w:val="2"/>
    <w:qFormat/>
    <w:uiPriority w:val="0"/>
    <w:rPr>
      <w:rFonts w:ascii="Calibri" w:hAnsi="Calibri" w:eastAsia="宋体" w:cs="Times New Roman"/>
      <w:sz w:val="24"/>
      <w:szCs w:val="24"/>
    </w:rPr>
  </w:style>
  <w:style w:type="character" w:customStyle="1" w:styleId="41">
    <w:name w:val="批注文字 字符"/>
    <w:basedOn w:val="31"/>
    <w:link w:val="11"/>
    <w:qFormat/>
    <w:uiPriority w:val="0"/>
    <w:rPr>
      <w:rFonts w:ascii="Calibri" w:hAnsi="Calibri" w:eastAsia="宋体" w:cs="Times New Roman"/>
      <w:szCs w:val="24"/>
    </w:rPr>
  </w:style>
  <w:style w:type="character" w:customStyle="1" w:styleId="42">
    <w:name w:val="正文文本缩进 字符"/>
    <w:basedOn w:val="31"/>
    <w:link w:val="9"/>
    <w:qFormat/>
    <w:uiPriority w:val="99"/>
    <w:rPr>
      <w:rFonts w:ascii="宋体" w:hAnsi="Courier New" w:eastAsia="宋体" w:cs="Times New Roman"/>
      <w:spacing w:val="-4"/>
      <w:kern w:val="0"/>
      <w:sz w:val="18"/>
      <w:szCs w:val="24"/>
    </w:rPr>
  </w:style>
  <w:style w:type="character" w:customStyle="1" w:styleId="43">
    <w:name w:val="纯文本 Char"/>
    <w:basedOn w:val="31"/>
    <w:link w:val="44"/>
    <w:qFormat/>
    <w:uiPriority w:val="99"/>
    <w:rPr>
      <w:rFonts w:ascii="宋体" w:hAnsi="Courier New" w:eastAsia="宋体" w:cs="Courier New"/>
      <w:szCs w:val="21"/>
    </w:rPr>
  </w:style>
  <w:style w:type="paragraph" w:customStyle="1" w:styleId="44">
    <w:name w:val="纯文本1"/>
    <w:basedOn w:val="1"/>
    <w:link w:val="43"/>
    <w:qFormat/>
    <w:uiPriority w:val="99"/>
    <w:pPr>
      <w:spacing w:beforeLines="50" w:afterLines="50" w:line="400" w:lineRule="exact"/>
    </w:pPr>
    <w:rPr>
      <w:rFonts w:ascii="宋体" w:hAnsi="Courier New" w:cs="Courier New"/>
      <w:szCs w:val="21"/>
    </w:rPr>
  </w:style>
  <w:style w:type="character" w:customStyle="1" w:styleId="45">
    <w:name w:val="日期 Char"/>
    <w:basedOn w:val="31"/>
    <w:qFormat/>
    <w:uiPriority w:val="0"/>
    <w:rPr>
      <w:rFonts w:ascii="Calibri" w:hAnsi="Calibri" w:eastAsia="宋体" w:cs="Times New Roman"/>
      <w:szCs w:val="24"/>
    </w:rPr>
  </w:style>
  <w:style w:type="character" w:customStyle="1" w:styleId="46">
    <w:name w:val="正文文本缩进 2 字符"/>
    <w:basedOn w:val="31"/>
    <w:link w:val="14"/>
    <w:qFormat/>
    <w:uiPriority w:val="99"/>
    <w:rPr>
      <w:rFonts w:ascii="Calibri" w:hAnsi="Calibri" w:eastAsia="宋体" w:cs="Times New Roman"/>
      <w:kern w:val="0"/>
      <w:sz w:val="24"/>
      <w:szCs w:val="24"/>
    </w:rPr>
  </w:style>
  <w:style w:type="character" w:customStyle="1" w:styleId="47">
    <w:name w:val="批注框文本 Char"/>
    <w:basedOn w:val="31"/>
    <w:link w:val="48"/>
    <w:qFormat/>
    <w:uiPriority w:val="0"/>
    <w:rPr>
      <w:rFonts w:ascii="Calibri" w:hAnsi="Calibri" w:eastAsia="宋体" w:cs="Times New Roman"/>
      <w:sz w:val="18"/>
      <w:szCs w:val="18"/>
    </w:rPr>
  </w:style>
  <w:style w:type="paragraph" w:customStyle="1" w:styleId="48">
    <w:name w:val="批注框文本1"/>
    <w:basedOn w:val="1"/>
    <w:link w:val="47"/>
    <w:qFormat/>
    <w:uiPriority w:val="0"/>
    <w:rPr>
      <w:sz w:val="18"/>
      <w:szCs w:val="18"/>
    </w:rPr>
  </w:style>
  <w:style w:type="character" w:customStyle="1" w:styleId="49">
    <w:name w:val="正文文本缩进 3 字符"/>
    <w:basedOn w:val="31"/>
    <w:link w:val="21"/>
    <w:qFormat/>
    <w:uiPriority w:val="99"/>
    <w:rPr>
      <w:rFonts w:ascii="仿宋_GB2312" w:hAnsi="宋体" w:eastAsia="仿宋_GB2312" w:cs="Times New Roman"/>
      <w:color w:val="000000"/>
      <w:kern w:val="0"/>
      <w:sz w:val="24"/>
      <w:szCs w:val="24"/>
    </w:rPr>
  </w:style>
  <w:style w:type="character" w:customStyle="1" w:styleId="50">
    <w:name w:val="正文文本 2 字符"/>
    <w:basedOn w:val="31"/>
    <w:link w:val="23"/>
    <w:semiHidden/>
    <w:qFormat/>
    <w:uiPriority w:val="99"/>
    <w:rPr>
      <w:rFonts w:ascii="Calibri" w:hAnsi="Calibri" w:eastAsia="宋体" w:cs="Times New Roman"/>
      <w:szCs w:val="24"/>
    </w:rPr>
  </w:style>
  <w:style w:type="character" w:customStyle="1" w:styleId="51">
    <w:name w:val="HTML 预设格式 字符"/>
    <w:basedOn w:val="31"/>
    <w:link w:val="24"/>
    <w:qFormat/>
    <w:uiPriority w:val="99"/>
    <w:rPr>
      <w:rFonts w:ascii="宋体" w:hAnsi="宋体" w:eastAsia="宋体" w:cs="宋体"/>
      <w:kern w:val="0"/>
      <w:sz w:val="24"/>
      <w:szCs w:val="24"/>
    </w:rPr>
  </w:style>
  <w:style w:type="paragraph" w:customStyle="1" w:styleId="52">
    <w:name w:val="表格文字"/>
    <w:basedOn w:val="1"/>
    <w:next w:val="2"/>
    <w:qFormat/>
    <w:uiPriority w:val="0"/>
    <w:pPr>
      <w:jc w:val="left"/>
    </w:pPr>
    <w:rPr>
      <w:kern w:val="21"/>
      <w:szCs w:val="21"/>
    </w:rPr>
  </w:style>
  <w:style w:type="character" w:customStyle="1" w:styleId="53">
    <w:name w:val="纯文本 字符"/>
    <w:basedOn w:val="31"/>
    <w:link w:val="12"/>
    <w:qFormat/>
    <w:locked/>
    <w:uiPriority w:val="0"/>
    <w:rPr>
      <w:rFonts w:ascii="宋体" w:hAnsi="Courier New" w:eastAsia="仿宋_GB2312" w:cs="Times New Roman"/>
      <w:sz w:val="30"/>
      <w:szCs w:val="24"/>
    </w:rPr>
  </w:style>
  <w:style w:type="character" w:customStyle="1" w:styleId="54">
    <w:name w:val="日期 字符"/>
    <w:basedOn w:val="31"/>
    <w:link w:val="13"/>
    <w:qFormat/>
    <w:locked/>
    <w:uiPriority w:val="0"/>
    <w:rPr>
      <w:rFonts w:ascii="Times New Roman" w:hAnsi="Times New Roman" w:eastAsia="楷体_GB2312" w:cs="Times New Roman"/>
      <w:kern w:val="0"/>
      <w:sz w:val="32"/>
    </w:rPr>
  </w:style>
  <w:style w:type="character" w:customStyle="1" w:styleId="55">
    <w:name w:val="批注框文本 字符"/>
    <w:basedOn w:val="31"/>
    <w:link w:val="15"/>
    <w:qFormat/>
    <w:uiPriority w:val="0"/>
    <w:rPr>
      <w:rFonts w:ascii="Calibri" w:hAnsi="Calibri" w:eastAsia="宋体" w:cs="Times New Roman"/>
      <w:sz w:val="18"/>
      <w:szCs w:val="18"/>
    </w:rPr>
  </w:style>
  <w:style w:type="character" w:customStyle="1" w:styleId="56">
    <w:name w:val="批注主题 Char"/>
    <w:basedOn w:val="41"/>
    <w:link w:val="57"/>
    <w:qFormat/>
    <w:uiPriority w:val="0"/>
    <w:rPr>
      <w:rFonts w:ascii="Calibri" w:hAnsi="Calibri" w:eastAsia="宋体" w:cs="Times New Roman"/>
      <w:b/>
      <w:bCs/>
      <w:szCs w:val="24"/>
    </w:rPr>
  </w:style>
  <w:style w:type="paragraph" w:customStyle="1" w:styleId="57">
    <w:name w:val="批注主题1"/>
    <w:basedOn w:val="11"/>
    <w:next w:val="11"/>
    <w:link w:val="56"/>
    <w:qFormat/>
    <w:uiPriority w:val="0"/>
    <w:rPr>
      <w:b/>
      <w:bCs/>
    </w:rPr>
  </w:style>
  <w:style w:type="paragraph" w:customStyle="1" w:styleId="58">
    <w:name w:val="正文文本缩进1"/>
    <w:basedOn w:val="1"/>
    <w:qFormat/>
    <w:uiPriority w:val="0"/>
    <w:pPr>
      <w:spacing w:line="200" w:lineRule="exact"/>
      <w:ind w:firstLine="301"/>
    </w:pPr>
    <w:rPr>
      <w:rFonts w:ascii="宋体" w:hAnsi="Courier New"/>
      <w:spacing w:val="-4"/>
      <w:kern w:val="0"/>
      <w:sz w:val="18"/>
    </w:rPr>
  </w:style>
  <w:style w:type="paragraph" w:customStyle="1" w:styleId="59">
    <w:name w:val="纯文本2"/>
    <w:basedOn w:val="1"/>
    <w:qFormat/>
    <w:uiPriority w:val="0"/>
    <w:rPr>
      <w:rFonts w:ascii="宋体" w:hAnsi="Courier New" w:eastAsia="仿宋_GB2312"/>
      <w:sz w:val="30"/>
    </w:rPr>
  </w:style>
  <w:style w:type="paragraph" w:customStyle="1" w:styleId="60">
    <w:name w:val="普通(网站)1"/>
    <w:basedOn w:val="1"/>
    <w:qFormat/>
    <w:uiPriority w:val="0"/>
    <w:pPr>
      <w:spacing w:beforeAutospacing="1" w:afterAutospacing="1"/>
      <w:jc w:val="left"/>
    </w:pPr>
    <w:rPr>
      <w:kern w:val="0"/>
      <w:sz w:val="24"/>
    </w:rPr>
  </w:style>
  <w:style w:type="paragraph" w:customStyle="1" w:styleId="61">
    <w:name w:val="正文缩进1"/>
    <w:basedOn w:val="1"/>
    <w:qFormat/>
    <w:uiPriority w:val="0"/>
    <w:pPr>
      <w:ind w:firstLine="420" w:firstLineChars="200"/>
    </w:pPr>
  </w:style>
  <w:style w:type="paragraph" w:customStyle="1" w:styleId="62">
    <w:name w:val="正文文本 31"/>
    <w:basedOn w:val="1"/>
    <w:qFormat/>
    <w:uiPriority w:val="0"/>
    <w:pPr>
      <w:spacing w:after="120"/>
    </w:pPr>
    <w:rPr>
      <w:kern w:val="0"/>
      <w:sz w:val="16"/>
      <w:szCs w:val="16"/>
    </w:rPr>
  </w:style>
  <w:style w:type="paragraph" w:customStyle="1" w:styleId="63">
    <w:name w:val="正文文本缩进11"/>
    <w:basedOn w:val="1"/>
    <w:qFormat/>
    <w:uiPriority w:val="0"/>
    <w:pPr>
      <w:spacing w:line="200" w:lineRule="exact"/>
      <w:ind w:firstLine="301"/>
    </w:pPr>
    <w:rPr>
      <w:szCs w:val="20"/>
    </w:rPr>
  </w:style>
  <w:style w:type="paragraph" w:customStyle="1" w:styleId="64">
    <w:name w:val="文本块1"/>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65">
    <w:name w:val="正文文本缩进 21"/>
    <w:basedOn w:val="1"/>
    <w:qFormat/>
    <w:uiPriority w:val="0"/>
    <w:pPr>
      <w:snapToGrid w:val="0"/>
      <w:ind w:firstLine="542" w:firstLineChars="225"/>
    </w:pPr>
    <w:rPr>
      <w:kern w:val="0"/>
      <w:sz w:val="24"/>
    </w:rPr>
  </w:style>
  <w:style w:type="paragraph" w:customStyle="1" w:styleId="66">
    <w:name w:val="正文文本缩进 31"/>
    <w:basedOn w:val="1"/>
    <w:qFormat/>
    <w:uiPriority w:val="0"/>
    <w:pPr>
      <w:snapToGrid w:val="0"/>
      <w:ind w:firstLine="480" w:firstLineChars="200"/>
      <w:jc w:val="left"/>
    </w:pPr>
    <w:rPr>
      <w:rFonts w:ascii="仿宋_GB2312" w:hAnsi="宋体" w:eastAsia="仿宋_GB2312"/>
      <w:color w:val="000000"/>
      <w:sz w:val="24"/>
    </w:rPr>
  </w:style>
  <w:style w:type="paragraph" w:customStyle="1" w:styleId="67">
    <w:name w:val="普通(网站)11"/>
    <w:basedOn w:val="1"/>
    <w:qFormat/>
    <w:uiPriority w:val="0"/>
    <w:pPr>
      <w:widowControl/>
      <w:spacing w:beforeAutospacing="1" w:afterAutospacing="1"/>
      <w:jc w:val="left"/>
    </w:pPr>
    <w:rPr>
      <w:rFonts w:ascii="宋体" w:hAnsi="宋体"/>
      <w:kern w:val="0"/>
      <w:sz w:val="24"/>
    </w:rPr>
  </w:style>
  <w:style w:type="paragraph" w:customStyle="1" w:styleId="68">
    <w:name w:val="p15"/>
    <w:basedOn w:val="1"/>
    <w:qFormat/>
    <w:uiPriority w:val="0"/>
    <w:pPr>
      <w:widowControl/>
      <w:spacing w:line="200" w:lineRule="atLeast"/>
      <w:ind w:firstLine="301"/>
    </w:pPr>
    <w:rPr>
      <w:rFonts w:ascii="宋体" w:hAnsi="宋体" w:cs="宋体"/>
      <w:spacing w:val="-4"/>
      <w:kern w:val="0"/>
      <w:sz w:val="18"/>
      <w:szCs w:val="18"/>
    </w:rPr>
  </w:style>
  <w:style w:type="paragraph" w:customStyle="1" w:styleId="6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0">
    <w:name w:val="列表 21"/>
    <w:basedOn w:val="1"/>
    <w:qFormat/>
    <w:uiPriority w:val="0"/>
    <w:pPr>
      <w:ind w:left="200" w:leftChars="200" w:hanging="200" w:hangingChars="200"/>
    </w:pPr>
    <w:rPr>
      <w:sz w:val="28"/>
      <w:szCs w:val="20"/>
    </w:rPr>
  </w:style>
  <w:style w:type="paragraph" w:customStyle="1" w:styleId="71">
    <w:name w:val="默认段落字体 Para Char Char Char Char Char Char Char Char Char1 Char Char Char Char"/>
    <w:basedOn w:val="1"/>
    <w:qFormat/>
    <w:uiPriority w:val="99"/>
    <w:rPr>
      <w:rFonts w:ascii="Tahoma" w:hAnsi="Tahoma"/>
      <w:sz w:val="24"/>
      <w:szCs w:val="20"/>
    </w:rPr>
  </w:style>
  <w:style w:type="paragraph" w:customStyle="1" w:styleId="72">
    <w:name w:val="纯文本21"/>
    <w:basedOn w:val="1"/>
    <w:qFormat/>
    <w:uiPriority w:val="0"/>
    <w:pPr>
      <w:spacing w:beforeLines="50" w:afterLines="50" w:line="400" w:lineRule="exact"/>
    </w:pPr>
    <w:rPr>
      <w:rFonts w:ascii="宋体" w:hAnsi="Courier New"/>
      <w:szCs w:val="21"/>
    </w:rPr>
  </w:style>
  <w:style w:type="paragraph" w:customStyle="1" w:styleId="73">
    <w:name w:val="彩色列表 - 强调文字颜色 11"/>
    <w:basedOn w:val="1"/>
    <w:qFormat/>
    <w:uiPriority w:val="0"/>
    <w:pPr>
      <w:ind w:firstLine="420" w:firstLineChars="200"/>
    </w:pPr>
  </w:style>
  <w:style w:type="paragraph" w:customStyle="1" w:styleId="74">
    <w:name w:val="修订1"/>
    <w:qFormat/>
    <w:uiPriority w:val="0"/>
    <w:rPr>
      <w:rFonts w:ascii="Calibri" w:hAnsi="Calibri" w:eastAsia="宋体" w:cs="Times New Roman"/>
      <w:kern w:val="2"/>
      <w:sz w:val="21"/>
      <w:szCs w:val="24"/>
      <w:lang w:val="en-US" w:eastAsia="zh-CN" w:bidi="ar-SA"/>
    </w:rPr>
  </w:style>
  <w:style w:type="paragraph" w:customStyle="1" w:styleId="75">
    <w:name w:val="列出段落1"/>
    <w:basedOn w:val="1"/>
    <w:qFormat/>
    <w:uiPriority w:val="99"/>
    <w:pPr>
      <w:ind w:firstLine="420" w:firstLineChars="200"/>
    </w:pPr>
  </w:style>
  <w:style w:type="paragraph" w:customStyle="1" w:styleId="76">
    <w:name w:val="纯文本3"/>
    <w:basedOn w:val="1"/>
    <w:qFormat/>
    <w:uiPriority w:val="0"/>
    <w:pPr>
      <w:adjustRightInd w:val="0"/>
      <w:textAlignment w:val="baseline"/>
    </w:pPr>
    <w:rPr>
      <w:rFonts w:ascii="宋体" w:hAnsi="Courier New" w:eastAsia="楷体_GB2312"/>
      <w:sz w:val="26"/>
      <w:szCs w:val="20"/>
    </w:rPr>
  </w:style>
  <w:style w:type="paragraph" w:customStyle="1" w:styleId="7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78">
    <w:name w:val="正文段"/>
    <w:basedOn w:val="1"/>
    <w:qFormat/>
    <w:uiPriority w:val="0"/>
    <w:pPr>
      <w:autoSpaceDE w:val="0"/>
      <w:autoSpaceDN w:val="0"/>
      <w:adjustRightInd w:val="0"/>
      <w:spacing w:before="100" w:after="100" w:line="300" w:lineRule="auto"/>
      <w:ind w:left="2108" w:hanging="708"/>
      <w:jc w:val="left"/>
    </w:pPr>
    <w:rPr>
      <w:rFonts w:ascii="Times New Roman" w:hAnsi="Times New Roman"/>
      <w:w w:val="105"/>
      <w:kern w:val="0"/>
      <w:sz w:val="24"/>
      <w:szCs w:val="20"/>
    </w:rPr>
  </w:style>
  <w:style w:type="paragraph" w:customStyle="1" w:styleId="79">
    <w:name w:val="纯文本4"/>
    <w:basedOn w:val="1"/>
    <w:qFormat/>
    <w:uiPriority w:val="0"/>
    <w:pPr>
      <w:adjustRightInd w:val="0"/>
      <w:textAlignment w:val="baseline"/>
    </w:pPr>
    <w:rPr>
      <w:rFonts w:ascii="宋体" w:hAnsi="Courier New" w:eastAsia="楷体_GB2312"/>
      <w:sz w:val="26"/>
      <w:szCs w:val="20"/>
    </w:rPr>
  </w:style>
  <w:style w:type="paragraph" w:customStyle="1" w:styleId="80">
    <w:name w:val="Table Paragraph"/>
    <w:basedOn w:val="1"/>
    <w:qFormat/>
    <w:uiPriority w:val="0"/>
    <w:pPr>
      <w:jc w:val="left"/>
    </w:pPr>
    <w:rPr>
      <w:kern w:val="0"/>
      <w:sz w:val="22"/>
      <w:szCs w:val="22"/>
      <w:lang w:eastAsia="en-US"/>
    </w:rPr>
  </w:style>
  <w:style w:type="character" w:customStyle="1" w:styleId="81">
    <w:name w:val="批注引用1"/>
    <w:basedOn w:val="31"/>
    <w:qFormat/>
    <w:uiPriority w:val="0"/>
    <w:rPr>
      <w:sz w:val="21"/>
      <w:szCs w:val="21"/>
    </w:rPr>
  </w:style>
  <w:style w:type="character" w:customStyle="1" w:styleId="82">
    <w:name w:val="标题 2 Char Char"/>
    <w:qFormat/>
    <w:uiPriority w:val="0"/>
    <w:rPr>
      <w:rFonts w:eastAsia="宋体"/>
      <w:kern w:val="2"/>
      <w:sz w:val="28"/>
      <w:lang w:val="en-US" w:eastAsia="zh-CN" w:bidi="ar-SA"/>
    </w:rPr>
  </w:style>
  <w:style w:type="paragraph" w:customStyle="1" w:styleId="83">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4">
    <w:name w:val="列表段落1"/>
    <w:basedOn w:val="1"/>
    <w:unhideWhenUsed/>
    <w:qFormat/>
    <w:uiPriority w:val="34"/>
    <w:pPr>
      <w:ind w:firstLine="420" w:firstLineChars="200"/>
    </w:pPr>
  </w:style>
  <w:style w:type="paragraph" w:customStyle="1" w:styleId="85">
    <w:name w:val="纯文本5"/>
    <w:basedOn w:val="1"/>
    <w:qFormat/>
    <w:uiPriority w:val="0"/>
    <w:rPr>
      <w:rFonts w:ascii="宋体" w:hAnsi="Courier New" w:eastAsia="仿宋_GB2312"/>
      <w:sz w:val="30"/>
    </w:rPr>
  </w:style>
  <w:style w:type="paragraph" w:customStyle="1" w:styleId="86">
    <w:name w:val="文本块2"/>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87">
    <w:name w:val="正文文本缩进2"/>
    <w:basedOn w:val="1"/>
    <w:qFormat/>
    <w:uiPriority w:val="0"/>
    <w:pPr>
      <w:spacing w:line="200" w:lineRule="exact"/>
      <w:ind w:firstLine="301"/>
    </w:pPr>
    <w:rPr>
      <w:rFonts w:ascii="宋体" w:hAnsi="Courier New"/>
      <w:spacing w:val="-4"/>
      <w:kern w:val="0"/>
      <w:sz w:val="18"/>
    </w:rPr>
  </w:style>
  <w:style w:type="paragraph" w:customStyle="1" w:styleId="88">
    <w:name w:val="正文文本 32"/>
    <w:basedOn w:val="1"/>
    <w:qFormat/>
    <w:uiPriority w:val="0"/>
    <w:pPr>
      <w:spacing w:after="120"/>
    </w:pPr>
    <w:rPr>
      <w:kern w:val="0"/>
      <w:sz w:val="16"/>
      <w:szCs w:val="16"/>
    </w:rPr>
  </w:style>
  <w:style w:type="paragraph" w:customStyle="1" w:styleId="89">
    <w:name w:val="Body Text Indent1"/>
    <w:basedOn w:val="1"/>
    <w:qFormat/>
    <w:uiPriority w:val="99"/>
    <w:pPr>
      <w:spacing w:line="200" w:lineRule="exact"/>
      <w:ind w:firstLine="301"/>
    </w:pPr>
    <w:rPr>
      <w:rFonts w:ascii="宋体" w:hAnsi="Courier New"/>
      <w:spacing w:val="-4"/>
      <w:kern w:val="0"/>
      <w:sz w:val="18"/>
    </w:rPr>
  </w:style>
  <w:style w:type="paragraph" w:styleId="90">
    <w:name w:val="List Paragraph"/>
    <w:basedOn w:val="1"/>
    <w:unhideWhenUsed/>
    <w:qFormat/>
    <w:uiPriority w:val="34"/>
    <w:pPr>
      <w:ind w:firstLine="420" w:firstLineChars="200"/>
    </w:pPr>
  </w:style>
  <w:style w:type="paragraph" w:customStyle="1" w:styleId="91">
    <w:name w:val="[Normal]"/>
    <w:qFormat/>
    <w:uiPriority w:val="0"/>
    <w:rPr>
      <w:rFonts w:ascii="方正仿宋简体" w:hAnsi="方正仿宋简体" w:eastAsia="方正仿宋简体" w:cs="Courier New"/>
      <w:sz w:val="24"/>
      <w:szCs w:val="22"/>
      <w:lang w:val="zh-CN" w:eastAsia="zh-CN" w:bidi="ar-SA"/>
    </w:rPr>
  </w:style>
  <w:style w:type="paragraph" w:customStyle="1" w:styleId="92">
    <w:name w:val="书籍标题1"/>
    <w:basedOn w:val="1"/>
    <w:next w:val="1"/>
    <w:qFormat/>
    <w:uiPriority w:val="99"/>
    <w:pPr>
      <w:pageBreakBefore/>
      <w:widowControl/>
      <w:tabs>
        <w:tab w:val="left" w:pos="840"/>
      </w:tabs>
      <w:spacing w:beforeLines="200"/>
      <w:ind w:left="990" w:right="150" w:hanging="360"/>
      <w:jc w:val="center"/>
      <w:outlineLvl w:val="0"/>
    </w:pPr>
    <w:rPr>
      <w:rFonts w:ascii="Times New Roman" w:hAnsi="Times New Roman" w:eastAsia="黑体"/>
      <w:b/>
      <w:spacing w:val="20"/>
      <w:kern w:val="44"/>
      <w:sz w:val="44"/>
      <w:szCs w:val="22"/>
    </w:rPr>
  </w:style>
  <w:style w:type="character" w:customStyle="1" w:styleId="93">
    <w:name w:val="正文首行缩进2字符 Char Char"/>
    <w:link w:val="94"/>
    <w:qFormat/>
    <w:uiPriority w:val="0"/>
    <w:rPr>
      <w:rFonts w:ascii="Times New Roman" w:hAnsi="Times New Roman"/>
      <w:sz w:val="24"/>
    </w:rPr>
  </w:style>
  <w:style w:type="paragraph" w:customStyle="1" w:styleId="94">
    <w:name w:val="正文首行缩进2字符"/>
    <w:basedOn w:val="1"/>
    <w:link w:val="93"/>
    <w:qFormat/>
    <w:uiPriority w:val="0"/>
    <w:pPr>
      <w:spacing w:line="360" w:lineRule="auto"/>
      <w:ind w:firstLine="200" w:firstLineChars="200"/>
    </w:pPr>
    <w:rPr>
      <w:rFonts w:ascii="Times New Roman" w:hAnsi="Times New Roman" w:eastAsiaTheme="minorEastAsia" w:cstheme="minorBidi"/>
      <w:sz w:val="24"/>
      <w:szCs w:val="22"/>
    </w:rPr>
  </w:style>
  <w:style w:type="paragraph" w:customStyle="1" w:styleId="95">
    <w:name w:val="修订2"/>
    <w:hidden/>
    <w:unhideWhenUsed/>
    <w:qFormat/>
    <w:uiPriority w:val="99"/>
    <w:rPr>
      <w:rFonts w:ascii="Calibri" w:hAnsi="Calibri" w:eastAsia="宋体" w:cs="Times New Roman"/>
      <w:kern w:val="2"/>
      <w:sz w:val="21"/>
      <w:szCs w:val="24"/>
      <w:lang w:val="en-US" w:eastAsia="zh-CN" w:bidi="ar-SA"/>
    </w:rPr>
  </w:style>
  <w:style w:type="paragraph" w:customStyle="1" w:styleId="96">
    <w:name w:val="【正文】"/>
    <w:basedOn w:val="1"/>
    <w:link w:val="97"/>
    <w:qFormat/>
    <w:uiPriority w:val="0"/>
    <w:pPr>
      <w:spacing w:line="440" w:lineRule="exact"/>
      <w:ind w:firstLine="480" w:firstLineChars="200"/>
    </w:pPr>
    <w:rPr>
      <w:rFonts w:ascii="仿宋_GB2312" w:hAnsi="Times New Roman" w:eastAsia="仿宋_GB2312"/>
      <w:color w:val="000000"/>
      <w:kern w:val="0"/>
      <w:sz w:val="24"/>
      <w:szCs w:val="21"/>
    </w:rPr>
  </w:style>
  <w:style w:type="character" w:customStyle="1" w:styleId="97">
    <w:name w:val="【正文】 字符"/>
    <w:link w:val="96"/>
    <w:qFormat/>
    <w:uiPriority w:val="0"/>
    <w:rPr>
      <w:rFonts w:ascii="仿宋_GB2312" w:hAnsi="Times New Roman" w:eastAsia="仿宋_GB2312" w:cs="Times New Roman"/>
      <w:color w:val="000000"/>
      <w:kern w:val="0"/>
      <w:sz w:val="24"/>
      <w:szCs w:val="21"/>
    </w:rPr>
  </w:style>
  <w:style w:type="paragraph" w:customStyle="1" w:styleId="98">
    <w:name w:val="WPSOffice手动目录 1"/>
    <w:qFormat/>
    <w:uiPriority w:val="0"/>
    <w:rPr>
      <w:rFonts w:ascii="Times New Roman" w:hAnsi="Times New Roman" w:eastAsia="宋体" w:cs="Times New Roman"/>
      <w:lang w:val="en-US" w:eastAsia="zh-CN" w:bidi="ar-SA"/>
    </w:rPr>
  </w:style>
  <w:style w:type="paragraph" w:customStyle="1" w:styleId="99">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2"/>
    </w:rPr>
  </w:style>
  <w:style w:type="paragraph" w:customStyle="1" w:styleId="100">
    <w:name w:val="_Style 4"/>
    <w:basedOn w:val="1"/>
    <w:qFormat/>
    <w:uiPriority w:val="34"/>
    <w:pPr>
      <w:ind w:firstLine="420" w:firstLineChars="200"/>
      <w:jc w:val="left"/>
    </w:pPr>
    <w:rPr>
      <w:kern w:val="0"/>
      <w:sz w:val="18"/>
      <w:lang w:eastAsia="zh-TW"/>
    </w:rPr>
  </w:style>
  <w:style w:type="paragraph" w:customStyle="1" w:styleId="101">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102">
    <w:name w:val="列出段落2"/>
    <w:basedOn w:val="1"/>
    <w:qFormat/>
    <w:uiPriority w:val="0"/>
    <w:pPr>
      <w:spacing w:line="360" w:lineRule="auto"/>
      <w:ind w:firstLine="420" w:firstLineChars="200"/>
    </w:pPr>
    <w:rPr>
      <w:rFonts w:ascii="仿宋_GB2312" w:hAnsi="仿宋_GB2312"/>
      <w:kern w:val="0"/>
      <w:sz w:val="24"/>
      <w:szCs w:val="21"/>
    </w:rPr>
  </w:style>
  <w:style w:type="paragraph" w:customStyle="1" w:styleId="103">
    <w:name w:val="样式 首行缩进:  0 字符"/>
    <w:basedOn w:val="1"/>
    <w:qFormat/>
    <w:uiPriority w:val="0"/>
    <w:pPr>
      <w:spacing w:line="360" w:lineRule="auto"/>
      <w:ind w:firstLine="200" w:firstLineChars="200"/>
    </w:pPr>
    <w:rPr>
      <w:rFonts w:ascii="Arial" w:hAnsi="Arial"/>
      <w:kern w:val="0"/>
      <w:sz w:val="20"/>
      <w:szCs w:val="20"/>
    </w:rPr>
  </w:style>
  <w:style w:type="character" w:customStyle="1" w:styleId="104">
    <w:name w:val="标题 字符"/>
    <w:basedOn w:val="31"/>
    <w:link w:val="27"/>
    <w:qFormat/>
    <w:uiPriority w:val="10"/>
    <w:rPr>
      <w:rFonts w:ascii="宋体" w:hAnsi="Times New Roman" w:eastAsia="宋体" w:cs="Times New Roman"/>
      <w:sz w:val="30"/>
      <w:szCs w:val="30"/>
    </w:rPr>
  </w:style>
  <w:style w:type="character" w:customStyle="1" w:styleId="105">
    <w:name w:val="font61"/>
    <w:basedOn w:val="31"/>
    <w:qFormat/>
    <w:uiPriority w:val="0"/>
    <w:rPr>
      <w:rFonts w:ascii="Arial" w:hAnsi="Arial" w:eastAsia="宋体" w:cs="Arial"/>
      <w:color w:val="000000"/>
      <w:sz w:val="20"/>
      <w:szCs w:val="20"/>
      <w:u w:val="none"/>
    </w:rPr>
  </w:style>
  <w:style w:type="paragraph" w:customStyle="1" w:styleId="106">
    <w:name w:val="msoplaintext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基本段落]"/>
    <w:basedOn w:val="1"/>
    <w:qFormat/>
    <w:uiPriority w:val="99"/>
    <w:pPr>
      <w:autoSpaceDE w:val="0"/>
      <w:autoSpaceDN w:val="0"/>
      <w:adjustRightInd w:val="0"/>
      <w:spacing w:line="288" w:lineRule="auto"/>
    </w:pPr>
    <w:rPr>
      <w:rFonts w:ascii="宋体" w:cs="宋体"/>
      <w:color w:val="000000"/>
      <w:kern w:val="0"/>
      <w:sz w:val="24"/>
      <w:lang w:val="zh-CN"/>
    </w:rPr>
  </w:style>
  <w:style w:type="paragraph" w:customStyle="1" w:styleId="108">
    <w:name w:val="正文1"/>
    <w:basedOn w:val="1"/>
    <w:qFormat/>
    <w:uiPriority w:val="0"/>
    <w:pPr>
      <w:tabs>
        <w:tab w:val="left" w:pos="420"/>
      </w:tabs>
      <w:spacing w:line="360" w:lineRule="auto"/>
      <w:ind w:firstLine="432"/>
    </w:pPr>
    <w:rPr>
      <w:rFonts w:ascii="宋体" w:hAnsi="宋体"/>
      <w:b/>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44</Pages>
  <Words>8965</Words>
  <Characters>9636</Characters>
  <Lines>212</Lines>
  <Paragraphs>59</Paragraphs>
  <TotalTime>17</TotalTime>
  <ScaleCrop>false</ScaleCrop>
  <LinksUpToDate>false</LinksUpToDate>
  <CharactersWithSpaces>9729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2022-01-06T02:07:00Z</dcterms:created>
  <dc:creator>ape</dc:creator>
  <cp:lastModifiedBy>小朋友要去上学了</cp:lastModifiedBy>
  <cp:lastPrinted>2024-09-23T09:54:00Z</cp:lastPrinted>
  <dcterms:modified xsi:type="dcterms:W3CDTF">2025-06-17T01:48:31Z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9B3CF1725C1B4EB19DF6FCCDAE9E3727_13</vt:lpwstr>
  </property>
  <property fmtid="{D5CDD505-2E9C-101B-9397-08002B2CF9AE}" pid="4" name="KSOTemplateDocerSaveRecord">
    <vt:lpwstr>eyJoZGlkIjoiOTVlZDNiNjc4N2Y5YzJiNWY0NjQxMTBmZmRlYWU5ZTMiLCJ1c2VySWQiOiI1MzgwNTcwNjcifQ==</vt:lpwstr>
  </property>
</Properties>
</file>