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浙江省商务厅课题咨询研究服务</w:t>
      </w:r>
      <w:r>
        <w:rPr>
          <w:rFonts w:hint="eastAsia" w:cs="仿宋_GB2312" w:asciiTheme="minorEastAsia" w:hAnsiTheme="minorEastAsia" w:eastAsiaTheme="minorEastAsia"/>
          <w:b/>
          <w:color w:val="auto"/>
          <w:sz w:val="44"/>
          <w:szCs w:val="44"/>
          <w:highlight w:val="none"/>
        </w:rPr>
        <w:t>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pStyle w:val="74"/>
        <w:rPr>
          <w:color w:val="auto"/>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24382</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浙江省商务厅课题咨询研究服务项目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5月27日09点30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24382</w:t>
      </w:r>
      <w:r>
        <w:rPr>
          <w:rFonts w:hint="eastAsia" w:asciiTheme="minorEastAsia" w:hAnsiTheme="minorEastAsia" w:eastAsiaTheme="minorEastAsia"/>
          <w:bCs/>
          <w:color w:val="auto"/>
          <w:sz w:val="24"/>
          <w:highlight w:val="none"/>
          <w:lang w:val="en-US" w:eastAsia="zh-CN"/>
        </w:rPr>
        <w:t xml:space="preserve"> </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浙江省商务厅课题咨询研究服务项目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rPr>
        <w:t>9808</w:t>
      </w:r>
      <w:r>
        <w:rPr>
          <w:rFonts w:hint="eastAsia" w:asciiTheme="minorEastAsia" w:hAnsiTheme="minorEastAsia" w:eastAsiaTheme="minorEastAsia"/>
          <w:b w:val="0"/>
          <w:bCs/>
          <w:color w:val="auto"/>
          <w:sz w:val="24"/>
          <w:highlight w:val="none"/>
          <w:lang w:val="en-US" w:eastAsia="zh-CN"/>
        </w:rPr>
        <w:t>00</w:t>
      </w:r>
    </w:p>
    <w:p>
      <w:pPr>
        <w:spacing w:line="360" w:lineRule="auto"/>
        <w:ind w:firstLine="48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rPr>
        <w:t>9808</w:t>
      </w:r>
      <w:r>
        <w:rPr>
          <w:rFonts w:hint="eastAsia" w:asciiTheme="minorEastAsia" w:hAnsiTheme="minorEastAsia" w:eastAsiaTheme="minorEastAsia"/>
          <w:b w:val="0"/>
          <w:bCs/>
          <w:color w:val="auto"/>
          <w:sz w:val="24"/>
          <w:highlight w:val="none"/>
          <w:lang w:val="en-US" w:eastAsia="zh-CN"/>
        </w:rPr>
        <w:t>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浙江省商务厅课题咨询研究服务项目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浙江省商务厅课题咨询研究服务项目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合同签订之日起至2024年10月31日</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35393800"/>
      <w:bookmarkStart w:id="21" w:name="_Toc28359014"/>
      <w:bookmarkStart w:id="22" w:name="_Toc2835909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5月27</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5月27日09点30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802"/>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5月27日09点30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地点：杭州市拱墅区彩云路105号锦盛大楼8楼评标室，</w:t>
      </w:r>
      <w:r>
        <w:rPr>
          <w:rFonts w:hint="eastAsia" w:cs="宋体" w:asciiTheme="minorEastAsia" w:hAnsiTheme="minorEastAsia" w:eastAsiaTheme="minorEastAsia"/>
          <w:color w:val="auto"/>
          <w:sz w:val="24"/>
          <w:highlight w:val="none"/>
        </w:rPr>
        <w:t>政采云平台（https://www.zcygov.cn/）。</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94"/>
      <w:bookmarkStart w:id="33" w:name="_Toc28359017"/>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35393806"/>
      <w:bookmarkStart w:id="43" w:name="_Toc28359019"/>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项目联系人（询问）：曹晨旸</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项目联系方式（询问）：0571-87052122</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质疑联系人：熊朝辉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质疑联系方式：0571-87050884  </w:t>
      </w:r>
    </w:p>
    <w:p>
      <w:pPr>
        <w:pStyle w:val="3"/>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方正</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pPr>
        <w:spacing w:line="360" w:lineRule="auto"/>
        <w:rPr>
          <w:rFonts w:asciiTheme="minorEastAsia" w:hAnsiTheme="minorEastAsia" w:eastAsiaTheme="minorEastAsia"/>
          <w:b/>
          <w:color w:val="auto"/>
          <w:sz w:val="24"/>
          <w:highlight w:val="none"/>
        </w:rPr>
      </w:pPr>
      <w:bookmarkStart w:id="49" w:name="_Toc35393808"/>
      <w:bookmarkStart w:id="50" w:name="_Toc35393639"/>
      <w:bookmarkStart w:id="51" w:name="_Toc2835909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pPr>
        <w:pStyle w:val="74"/>
        <w:ind w:firstLine="463" w:firstLineChars="193"/>
        <w:rPr>
          <w:color w:val="auto"/>
          <w:highlight w:val="none"/>
        </w:rPr>
      </w:pPr>
      <w:r>
        <w:rPr>
          <w:rFonts w:hint="eastAsia" w:hAnsi="宋体"/>
          <w:color w:val="auto"/>
          <w:highlight w:val="none"/>
        </w:rPr>
        <w:t>预算金额未达100万元的采购项目，由采购人处理采购争议。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浙江省商务厅课题咨询研究服务项目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p>
          <w:p>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57669"/>
      <w:bookmarkEnd w:id="55"/>
      <w:bookmarkStart w:id="56" w:name="_Hlt68072990"/>
      <w:bookmarkEnd w:id="56"/>
      <w:bookmarkStart w:id="57" w:name="_Hlt74730295"/>
      <w:bookmarkEnd w:id="57"/>
      <w:bookmarkStart w:id="58" w:name="_Hlt75236011"/>
      <w:bookmarkEnd w:id="58"/>
      <w:bookmarkStart w:id="59" w:name="_Hlt74707468"/>
      <w:bookmarkEnd w:id="59"/>
      <w:bookmarkStart w:id="60" w:name="_Hlt75236290"/>
      <w:bookmarkEnd w:id="60"/>
      <w:bookmarkStart w:id="61" w:name="_Hlt74729768"/>
      <w:bookmarkEnd w:id="61"/>
      <w:bookmarkStart w:id="62" w:name="_Hlt75236101"/>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浙江省商务厅课题咨询研究服务项目</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98.08</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pPr>
              <w:widowControl/>
              <w:snapToGrid w:val="0"/>
              <w:spacing w:line="360" w:lineRule="auto"/>
              <w:jc w:val="center"/>
              <w:rPr>
                <w:rFonts w:ascii="宋体" w:hAnsi="宋体" w:cs="宋体"/>
                <w:bCs/>
                <w:color w:val="auto"/>
                <w:kern w:val="0"/>
                <w:szCs w:val="21"/>
                <w:highlight w:val="none"/>
              </w:rPr>
            </w:pPr>
          </w:p>
        </w:tc>
      </w:tr>
    </w:tbl>
    <w:p>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pPr>
        <w:suppressAutoHyphens/>
        <w:spacing w:line="67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一、项目名称（概况）</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本项目是课题咨询研究服务类项目，预算金额</w:t>
      </w:r>
      <w:r>
        <w:rPr>
          <w:rFonts w:hint="eastAsia" w:ascii="宋体" w:hAnsi="宋体" w:cs="宋体"/>
          <w:bCs/>
          <w:color w:val="auto"/>
          <w:sz w:val="24"/>
          <w:szCs w:val="24"/>
          <w:highlight w:val="none"/>
          <w:lang w:val="en-US" w:eastAsia="zh-CN"/>
        </w:rPr>
        <w:t>98.08</w:t>
      </w:r>
      <w:r>
        <w:rPr>
          <w:rFonts w:hint="eastAsia" w:ascii="宋体" w:hAnsi="宋体" w:eastAsia="宋体" w:cs="宋体"/>
          <w:bCs/>
          <w:color w:val="auto"/>
          <w:sz w:val="24"/>
          <w:szCs w:val="24"/>
          <w:highlight w:val="none"/>
        </w:rPr>
        <w:t>万元。具体包含</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项重点调研课题，分别是《以高水平开放促进深层次改革 加快建设高能级开放强省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《共同富裕背景下促进品质消费公平共享的机制研究》。旨在通过调查研究，围绕</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项课题主题和方向，形成具有理论贡献、创新价值、实践指引的调查研究成果。</w:t>
      </w:r>
    </w:p>
    <w:p>
      <w:pPr>
        <w:widowControl/>
        <w:shd w:val="clear" w:color="auto" w:fill="FFFFFF"/>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按要求完成课题报告及相关扩展研究成果，课题具体内容包括：</w:t>
      </w:r>
    </w:p>
    <w:p>
      <w:pPr>
        <w:widowControl/>
        <w:shd w:val="clear" w:color="auto" w:fill="FFFFFF"/>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1.以高水平开放促进深层次改革 加快建设高能级开放强省</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研究内容：全面学习贯彻习近平总书记关于改革开放的重要论述和考察浙江时的重要讲话精神，深入贯彻落实中央有关重要会议精神，深入研究新征程上更大力度推进改革破题、开放破局的思路举措，围绕建设高能级开放强省、深化“地瓜经济”提能升级“一号开放工程”，持续深化自贸区提升发展、利用外资、做大外贸、服务业开放、数字化发展等方面改革研究。</w:t>
      </w:r>
    </w:p>
    <w:p>
      <w:pPr>
        <w:widowControl/>
        <w:shd w:val="clear" w:color="auto" w:fill="FFFFFF"/>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2.共同富裕背景下促进品质消费公平共享的机制研究</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研究内容：全面贯彻落实习近平总书记关于共同富裕的重要论述和考察浙江重要讲话精神，聚焦“在推进共同富裕中先行示范”的指示要求，对标高质量发展建设共同富裕示范区的目标要求，深入分析我省近年来居民实际消费水平差距和消费结构变动趋势，研究提出有利于消费提质升级、促进消费可持续增长、使居民能消费敢消费愿消费的机制。</w:t>
      </w:r>
    </w:p>
    <w:p>
      <w:pPr>
        <w:widowControl/>
        <w:shd w:val="clear" w:color="auto" w:fill="FFFFFF"/>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pPr>
        <w:widowControl/>
        <w:shd w:val="clear" w:color="auto" w:fill="FFFFFF"/>
        <w:spacing w:line="5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签订合同后10个工作日内，支付合同总额的70%；提交最终项目成果并验收通过后，支付合同款总额的30%。</w:t>
      </w:r>
    </w:p>
    <w:p>
      <w:pPr>
        <w:widowControl/>
        <w:shd w:val="clear" w:color="auto" w:fill="FFFFFF"/>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四、项目执行时间</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合同签订之日至202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月3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日。</w:t>
      </w:r>
    </w:p>
    <w:p>
      <w:pPr>
        <w:widowControl/>
        <w:shd w:val="clear" w:color="auto" w:fill="FFFFFF"/>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五、团队人员要求</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1.项目团队人员配备齐整，课题相关的调研、方案汇报、报告撰写等完成课题所需的关键性工作，须由项目负责人带队负责。</w:t>
      </w:r>
    </w:p>
    <w:p>
      <w:pPr>
        <w:widowControl/>
        <w:shd w:val="clear" w:color="auto" w:fill="FFFFFF"/>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2.项目团队主要成员须承担过相关领域课题研究。</w:t>
      </w:r>
    </w:p>
    <w:p>
      <w:pPr>
        <w:widowControl/>
        <w:shd w:val="clear" w:color="auto" w:fill="FFFFFF"/>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六、验收标准</w:t>
      </w:r>
    </w:p>
    <w:p>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bCs/>
          <w:color w:val="auto"/>
          <w:sz w:val="24"/>
          <w:szCs w:val="24"/>
          <w:highlight w:val="none"/>
        </w:rPr>
        <w:t>项目团队所提交的课题成果，须符合省</w:t>
      </w:r>
      <w:r>
        <w:rPr>
          <w:rFonts w:hint="eastAsia" w:ascii="宋体" w:hAnsi="宋体" w:eastAsia="宋体" w:cs="宋体"/>
          <w:bCs/>
          <w:color w:val="auto"/>
          <w:sz w:val="24"/>
          <w:szCs w:val="24"/>
          <w:highlight w:val="none"/>
          <w:lang w:eastAsia="zh-CN"/>
        </w:rPr>
        <w:t>委</w:t>
      </w:r>
      <w:r>
        <w:rPr>
          <w:rFonts w:hint="eastAsia" w:ascii="宋体" w:hAnsi="宋体" w:eastAsia="宋体" w:cs="宋体"/>
          <w:bCs/>
          <w:color w:val="auto"/>
          <w:sz w:val="24"/>
          <w:szCs w:val="24"/>
          <w:highlight w:val="none"/>
        </w:rPr>
        <w:t>领导课题有关验收要求</w:t>
      </w:r>
      <w:r>
        <w:rPr>
          <w:rFonts w:hint="eastAsia" w:ascii="宋体" w:hAnsi="宋体" w:eastAsia="宋体" w:cs="宋体"/>
          <w:i w:val="0"/>
          <w:iCs/>
          <w:color w:val="auto"/>
          <w:sz w:val="24"/>
          <w:szCs w:val="24"/>
          <w:highlight w:val="none"/>
        </w:rPr>
        <w:t>。</w:t>
      </w:r>
    </w:p>
    <w:p>
      <w:pPr>
        <w:pStyle w:val="59"/>
        <w:rPr>
          <w:rFonts w:hint="eastAsia" w:ascii="宋体" w:hAnsi="宋体" w:eastAsia="宋体" w:cs="宋体"/>
          <w:color w:val="auto"/>
          <w:sz w:val="21"/>
          <w:szCs w:val="21"/>
          <w:highlight w:val="none"/>
          <w:lang w:val="en-US" w:eastAsia="zh-CN"/>
        </w:rPr>
      </w:pPr>
    </w:p>
    <w:p>
      <w:pPr>
        <w:jc w:val="left"/>
        <w:rPr>
          <w:rFonts w:cs="仿宋_GB2312" w:asciiTheme="minorEastAsia" w:hAnsiTheme="minorEastAsia" w:eastAsiaTheme="minorEastAsia"/>
          <w:b/>
          <w:color w:val="auto"/>
          <w:sz w:val="36"/>
          <w:szCs w:val="36"/>
          <w:highlight w:val="none"/>
        </w:rPr>
      </w:pP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87"/>
        <w:gridCol w:w="4318"/>
        <w:gridCol w:w="741"/>
        <w:gridCol w:w="10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36" w:type="dxa"/>
            <w:vAlign w:val="center"/>
          </w:tcPr>
          <w:p>
            <w:pPr>
              <w:pStyle w:val="393"/>
              <w:spacing w:before="0"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505" w:type="dxa"/>
            <w:gridSpan w:val="2"/>
            <w:vAlign w:val="center"/>
          </w:tcPr>
          <w:p>
            <w:pPr>
              <w:pStyle w:val="393"/>
              <w:spacing w:before="0"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741" w:type="dxa"/>
            <w:vAlign w:val="center"/>
          </w:tcPr>
          <w:p>
            <w:pPr>
              <w:pStyle w:val="393"/>
              <w:spacing w:before="0"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权重</w:t>
            </w:r>
          </w:p>
        </w:tc>
        <w:tc>
          <w:tcPr>
            <w:tcW w:w="1026" w:type="dxa"/>
            <w:vAlign w:val="center"/>
          </w:tcPr>
          <w:p>
            <w:pPr>
              <w:pStyle w:val="393"/>
              <w:spacing w:before="0"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主观分/客观分属性</w:t>
            </w:r>
          </w:p>
        </w:tc>
        <w:tc>
          <w:tcPr>
            <w:tcW w:w="1278" w:type="dxa"/>
            <w:vAlign w:val="center"/>
          </w:tcPr>
          <w:p>
            <w:pPr>
              <w:pStyle w:val="393"/>
              <w:spacing w:before="0" w:line="240" w:lineRule="auto"/>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磋商文件中评审标准相应的商务技术资料目录</w:t>
            </w:r>
            <w:r>
              <w:rPr>
                <w:rFonts w:hint="eastAsia" w:ascii="宋体" w:hAnsi="宋体" w:cs="宋体"/>
                <w:color w:val="auto"/>
                <w:sz w:val="21"/>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6" w:type="dxa"/>
            <w:vAlign w:val="center"/>
          </w:tcPr>
          <w:p>
            <w:pPr>
              <w:pStyle w:val="393"/>
              <w:spacing w:before="0" w:line="360" w:lineRule="auto"/>
              <w:ind w:firstLine="0" w:firstLineChars="0"/>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5505" w:type="dxa"/>
            <w:gridSpan w:val="2"/>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投标人202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w:t>
            </w:r>
            <w:r>
              <w:rPr>
                <w:rFonts w:hint="eastAsia" w:ascii="宋体" w:hAnsi="宋体" w:cs="宋体"/>
                <w:color w:val="auto"/>
                <w:szCs w:val="21"/>
                <w:highlight w:val="none"/>
                <w:lang w:eastAsia="zh-CN"/>
              </w:rPr>
              <w:t>以签订</w:t>
            </w:r>
            <w:r>
              <w:rPr>
                <w:rFonts w:hint="eastAsia" w:ascii="宋体" w:hAnsi="宋体" w:cs="宋体"/>
                <w:color w:val="auto"/>
                <w:szCs w:val="21"/>
                <w:highlight w:val="none"/>
              </w:rPr>
              <w:t>合同时间为准）</w:t>
            </w:r>
            <w:r>
              <w:rPr>
                <w:rFonts w:hint="eastAsia" w:ascii="宋体" w:hAnsi="宋体" w:cs="宋体"/>
                <w:bCs/>
                <w:color w:val="auto"/>
                <w:szCs w:val="21"/>
                <w:highlight w:val="none"/>
              </w:rPr>
              <w:t>承担类似项目</w:t>
            </w:r>
            <w:r>
              <w:rPr>
                <w:rFonts w:hint="eastAsia" w:ascii="宋体" w:hAnsi="宋体" w:cs="宋体"/>
                <w:color w:val="auto"/>
                <w:szCs w:val="21"/>
                <w:highlight w:val="none"/>
              </w:rPr>
              <w:t>的情况，</w:t>
            </w:r>
            <w:r>
              <w:rPr>
                <w:rFonts w:hint="eastAsia" w:ascii="宋体" w:hAnsi="宋体" w:cs="宋体"/>
                <w:color w:val="auto"/>
                <w:szCs w:val="21"/>
                <w:highlight w:val="none"/>
                <w:lang w:val="zh-CN"/>
              </w:rPr>
              <w:t>根据提供的合同复印件</w:t>
            </w:r>
            <w:r>
              <w:rPr>
                <w:rFonts w:hint="eastAsia" w:ascii="宋体" w:hAnsi="宋体" w:cs="宋体"/>
                <w:color w:val="auto"/>
                <w:szCs w:val="21"/>
                <w:highlight w:val="none"/>
              </w:rPr>
              <w:t>或用户验收报告项目实例证明，每份有效业绩得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741" w:type="dxa"/>
            <w:vAlign w:val="center"/>
          </w:tcPr>
          <w:p>
            <w:pPr>
              <w:tabs>
                <w:tab w:val="left" w:pos="3679"/>
                <w:tab w:val="left" w:pos="8799"/>
              </w:tabs>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026" w:type="dxa"/>
            <w:vAlign w:val="center"/>
          </w:tcPr>
          <w:p>
            <w:pPr>
              <w:pStyle w:val="393"/>
              <w:spacing w:before="0" w:line="360" w:lineRule="auto"/>
              <w:ind w:firstLine="0" w:firstLineChars="0"/>
              <w:jc w:val="center"/>
              <w:rPr>
                <w:rFonts w:ascii="宋体" w:hAnsi="宋体" w:cs="宋体"/>
                <w:color w:val="auto"/>
                <w:sz w:val="21"/>
                <w:szCs w:val="21"/>
                <w:highlight w:val="none"/>
              </w:rPr>
            </w:pPr>
            <w:r>
              <w:rPr>
                <w:rFonts w:hint="eastAsia" w:ascii="宋体" w:hAnsi="宋体" w:cs="宋体"/>
                <w:bCs/>
                <w:color w:val="auto"/>
                <w:kern w:val="0"/>
                <w:sz w:val="21"/>
                <w:szCs w:val="21"/>
                <w:highlight w:val="none"/>
              </w:rPr>
              <w:t>客观分</w:t>
            </w:r>
          </w:p>
        </w:tc>
        <w:tc>
          <w:tcPr>
            <w:tcW w:w="1278" w:type="dxa"/>
            <w:vAlign w:val="center"/>
          </w:tcPr>
          <w:p>
            <w:pPr>
              <w:pStyle w:val="393"/>
              <w:spacing w:before="0" w:line="360" w:lineRule="auto"/>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36" w:type="dxa"/>
            <w:vMerge w:val="restart"/>
            <w:vAlign w:val="center"/>
          </w:tcPr>
          <w:p>
            <w:pPr>
              <w:pStyle w:val="393"/>
              <w:spacing w:before="0"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87" w:type="dxa"/>
            <w:vMerge w:val="restart"/>
            <w:vAlign w:val="center"/>
          </w:tcPr>
          <w:p>
            <w:pPr>
              <w:spacing w:line="276"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项目人员配备</w:t>
            </w:r>
          </w:p>
          <w:p>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（20分）</w:t>
            </w:r>
          </w:p>
        </w:tc>
        <w:tc>
          <w:tcPr>
            <w:tcW w:w="4318" w:type="dxa"/>
            <w:vAlign w:val="center"/>
          </w:tcPr>
          <w:p>
            <w:pPr>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项目团队分工合理性（5分）</w:t>
            </w:r>
            <w:r>
              <w:rPr>
                <w:rFonts w:hint="eastAsia" w:ascii="宋体" w:hAnsi="宋体" w:cs="宋体"/>
                <w:color w:val="auto"/>
                <w:szCs w:val="21"/>
                <w:highlight w:val="none"/>
                <w:lang w:eastAsia="zh-CN"/>
              </w:rPr>
              <w:t>：</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根据拟投入本项目人员的人力资源安排、职责岗位分工进行评审，安排合理、职责分工明确的得5分；人员安排符合招标需求且有效的岗位分工，但个人资质较欠缺的得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分；人员安排内容表述缺项或者内容表述不清楚得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分；人员安排简单可行性较差的不得分。</w:t>
            </w:r>
          </w:p>
        </w:tc>
        <w:tc>
          <w:tcPr>
            <w:tcW w:w="741" w:type="dxa"/>
            <w:vAlign w:val="center"/>
          </w:tcPr>
          <w:p>
            <w:pPr>
              <w:tabs>
                <w:tab w:val="left" w:pos="3679"/>
                <w:tab w:val="left" w:pos="8799"/>
              </w:tabs>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026" w:type="dxa"/>
            <w:vAlign w:val="center"/>
          </w:tcPr>
          <w:p>
            <w:pPr>
              <w:pStyle w:val="393"/>
              <w:spacing w:before="0" w:line="360" w:lineRule="auto"/>
              <w:ind w:firstLine="0" w:firstLineChars="0"/>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主观分</w:t>
            </w:r>
          </w:p>
        </w:tc>
        <w:tc>
          <w:tcPr>
            <w:tcW w:w="1278" w:type="dxa"/>
            <w:vAlign w:val="center"/>
          </w:tcPr>
          <w:p>
            <w:pPr>
              <w:pStyle w:val="393"/>
              <w:spacing w:before="0" w:line="360" w:lineRule="auto"/>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36" w:type="dxa"/>
            <w:vMerge w:val="continue"/>
            <w:vAlign w:val="center"/>
          </w:tcPr>
          <w:p>
            <w:pPr>
              <w:pStyle w:val="393"/>
              <w:spacing w:before="0" w:line="360" w:lineRule="auto"/>
              <w:ind w:firstLine="0" w:firstLineChars="0"/>
              <w:jc w:val="center"/>
              <w:rPr>
                <w:rFonts w:ascii="宋体" w:hAnsi="宋体" w:cs="宋体"/>
                <w:color w:val="auto"/>
                <w:sz w:val="21"/>
                <w:szCs w:val="21"/>
                <w:highlight w:val="none"/>
              </w:rPr>
            </w:pPr>
          </w:p>
        </w:tc>
        <w:tc>
          <w:tcPr>
            <w:tcW w:w="1187" w:type="dxa"/>
            <w:vMerge w:val="continue"/>
            <w:vAlign w:val="center"/>
          </w:tcPr>
          <w:p>
            <w:pPr>
              <w:spacing w:line="276" w:lineRule="auto"/>
              <w:rPr>
                <w:rFonts w:hint="eastAsia" w:ascii="宋体" w:hAnsi="宋体" w:cs="宋体"/>
                <w:color w:val="auto"/>
                <w:szCs w:val="21"/>
                <w:highlight w:val="none"/>
              </w:rPr>
            </w:pPr>
          </w:p>
        </w:tc>
        <w:tc>
          <w:tcPr>
            <w:tcW w:w="4318" w:type="dxa"/>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项目组成员</w:t>
            </w:r>
            <w:r>
              <w:rPr>
                <w:rFonts w:hint="eastAsia" w:ascii="宋体" w:hAnsi="宋体" w:cs="宋体"/>
                <w:color w:val="auto"/>
                <w:szCs w:val="21"/>
                <w:highlight w:val="none"/>
                <w:lang w:val="en-US" w:eastAsia="zh-CN"/>
              </w:rPr>
              <w:t>专业能力</w:t>
            </w:r>
            <w:r>
              <w:rPr>
                <w:rFonts w:hint="eastAsia" w:ascii="宋体" w:hAnsi="宋体" w:cs="宋体"/>
                <w:color w:val="auto"/>
                <w:szCs w:val="21"/>
                <w:highlight w:val="none"/>
              </w:rPr>
              <w:t>评分（</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1.项目组成员具有中级及以上职称的，每提供1人得1分（在投标文件中需提供职称证书等相关证明文件，否则不得分）。本项最高得5分。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2.项目组成员中具有硕士及以上学位的，每提供1人得1分；不提供不得分。本项最高得5分。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3.项目组成员具备与项目所需相当的研究能力，曾为政府决策咨询提供重要参考（要求提供近三年内的研究成果并附政府领导批示页，一一对应，两者缺一不可。）每个得1分，本项最高5分。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注：响应文件中需提供以上人员相关证书扫描件或复印件并加盖公章，不提供不得分。</w:t>
            </w:r>
          </w:p>
        </w:tc>
        <w:tc>
          <w:tcPr>
            <w:tcW w:w="741" w:type="dxa"/>
            <w:vAlign w:val="center"/>
          </w:tcPr>
          <w:p>
            <w:pPr>
              <w:tabs>
                <w:tab w:val="left" w:pos="3679"/>
                <w:tab w:val="left" w:pos="8799"/>
              </w:tabs>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026" w:type="dxa"/>
            <w:vAlign w:val="center"/>
          </w:tcPr>
          <w:p>
            <w:pPr>
              <w:pStyle w:val="393"/>
              <w:spacing w:before="0" w:line="360" w:lineRule="auto"/>
              <w:ind w:firstLine="0" w:firstLineChars="0"/>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客观分</w:t>
            </w:r>
          </w:p>
        </w:tc>
        <w:tc>
          <w:tcPr>
            <w:tcW w:w="1278" w:type="dxa"/>
            <w:vAlign w:val="center"/>
          </w:tcPr>
          <w:p>
            <w:pPr>
              <w:pStyle w:val="393"/>
              <w:spacing w:before="0" w:line="360" w:lineRule="auto"/>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Merge w:val="restart"/>
            <w:vAlign w:val="center"/>
          </w:tcPr>
          <w:p>
            <w:pPr>
              <w:pStyle w:val="393"/>
              <w:spacing w:before="0" w:line="36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87" w:type="dxa"/>
            <w:vMerge w:val="restart"/>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项目内容理解与需求响应</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（40分）</w:t>
            </w:r>
          </w:p>
        </w:tc>
        <w:tc>
          <w:tcPr>
            <w:tcW w:w="431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1.供应商对“高水平开放”与“深层次改革”的理解准确、到位的得5分，基本符合项目情况的得3分，略有不足的得1分，未提供的不得分。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2.供应商对浙江开放提升的归纳总结准确、到位的得5分，基本符合项目情况的得3分，略有不足的得1分，未提供的不得分。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3.供应商总结提炼国内外开放提升经验，选取案例具有典型性、特征归纳准确的得5分，基本符合项目情况的得3分，略有不足的得1分，未提供的不得分。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4.供应商对浙江建设高能级开放强省的思路和举措符合浙江实际的得5分，基本符合项目情况的得3分，略有不足的得1分，未提供的不得分。</w:t>
            </w:r>
          </w:p>
        </w:tc>
        <w:tc>
          <w:tcPr>
            <w:tcW w:w="741" w:type="dxa"/>
            <w:vAlign w:val="center"/>
          </w:tcPr>
          <w:p>
            <w:pPr>
              <w:widowControl/>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02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278" w:type="dxa"/>
            <w:vMerge w:val="restart"/>
            <w:vAlign w:val="center"/>
          </w:tcPr>
          <w:p>
            <w:pPr>
              <w:pStyle w:val="393"/>
              <w:spacing w:before="0" w:line="360" w:lineRule="auto"/>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6" w:type="dxa"/>
            <w:vMerge w:val="continue"/>
            <w:vAlign w:val="center"/>
          </w:tcPr>
          <w:p>
            <w:pPr>
              <w:pStyle w:val="15"/>
              <w:spacing w:line="360" w:lineRule="auto"/>
              <w:ind w:left="0" w:leftChars="0" w:firstLine="0" w:firstLineChars="0"/>
              <w:jc w:val="left"/>
              <w:rPr>
                <w:color w:val="auto"/>
                <w:highlight w:val="none"/>
              </w:rPr>
            </w:pPr>
          </w:p>
        </w:tc>
        <w:tc>
          <w:tcPr>
            <w:tcW w:w="1187" w:type="dxa"/>
            <w:vMerge w:val="continue"/>
            <w:vAlign w:val="center"/>
          </w:tcPr>
          <w:p>
            <w:pPr>
              <w:pStyle w:val="15"/>
              <w:spacing w:line="276" w:lineRule="auto"/>
              <w:ind w:left="0" w:leftChars="0" w:firstLine="0" w:firstLineChars="0"/>
              <w:jc w:val="left"/>
              <w:rPr>
                <w:color w:val="auto"/>
                <w:highlight w:val="none"/>
              </w:rPr>
            </w:pPr>
          </w:p>
        </w:tc>
        <w:tc>
          <w:tcPr>
            <w:tcW w:w="431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1.供应商对“品质消费”与“公平共享”的理解准确、到位的得5分，基本符合项目情况的得3分，略有不足的得1分，未提供的不得分。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2.供应商对浙江省居民实际消费水平分析准确、到位的得5分，基本符合项目情况的得3分，略有不足的得1分，未提供的不得分。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3.供应商对促进品质消费公平共享体制机制障碍的归纳总结准确、到位的得5分，基本符合项目情况的得3分，略有不足的得1分，未提供的不得分。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4.供应商对促进品质消费公平共享体制机制建设的思路和举措符合浙江实际的得5分，基本符合项目情况的得3分，略有不足的得1分，未提供的不得分。</w:t>
            </w:r>
          </w:p>
        </w:tc>
        <w:tc>
          <w:tcPr>
            <w:tcW w:w="741" w:type="dxa"/>
            <w:vAlign w:val="center"/>
          </w:tcPr>
          <w:p>
            <w:pPr>
              <w:pStyle w:val="15"/>
              <w:spacing w:line="360" w:lineRule="auto"/>
              <w:ind w:left="0" w:leftChars="0" w:firstLine="0" w:firstLine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20</w:t>
            </w:r>
          </w:p>
        </w:tc>
        <w:tc>
          <w:tcPr>
            <w:tcW w:w="1026" w:type="dxa"/>
            <w:vAlign w:val="center"/>
          </w:tcPr>
          <w:p>
            <w:pPr>
              <w:pStyle w:val="15"/>
              <w:spacing w:line="360" w:lineRule="auto"/>
              <w:ind w:left="0" w:leftChars="0" w:firstLine="0" w:firstLineChars="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278" w:type="dxa"/>
            <w:vMerge w:val="continue"/>
            <w:vAlign w:val="center"/>
          </w:tcPr>
          <w:p>
            <w:pPr>
              <w:pStyle w:val="15"/>
              <w:spacing w:line="360" w:lineRule="auto"/>
              <w:ind w:left="0" w:leftChars="0" w:firstLine="0" w:firstLineChars="0"/>
              <w:jc w:val="left"/>
              <w:rPr>
                <w:rFonts w:hint="eastAsia"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pStyle w:val="393"/>
              <w:spacing w:before="0" w:line="36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87"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工作计划和项目进度控制</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（14</w:t>
            </w:r>
            <w:bookmarkStart w:id="79" w:name="_GoBack"/>
            <w:bookmarkEnd w:id="79"/>
            <w:r>
              <w:rPr>
                <w:rFonts w:hint="eastAsia" w:hAnsi="宋体" w:cs="宋体"/>
                <w:color w:val="auto"/>
                <w:sz w:val="21"/>
                <w:szCs w:val="21"/>
                <w:highlight w:val="none"/>
                <w:lang w:val="en-US" w:eastAsia="zh-CN"/>
              </w:rPr>
              <w:t>分）</w:t>
            </w:r>
          </w:p>
        </w:tc>
        <w:tc>
          <w:tcPr>
            <w:tcW w:w="431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提供实施进度计划方案：</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1、针对本项目制定详细的实施计划（0-5分）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2、针对项目实施提供相应的保障措施及方案（0-4分）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3、实施进度计划的合理性、可操作性（0-5分）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单项打分依据：方案较详尽、准确且合理可行的，得满分；方案基本合理可行的，3分；略有欠缺的得1分，不符合实际情况和方案不合理的不得分。</w:t>
            </w:r>
          </w:p>
        </w:tc>
        <w:tc>
          <w:tcPr>
            <w:tcW w:w="741" w:type="dxa"/>
            <w:vAlign w:val="center"/>
          </w:tcPr>
          <w:p>
            <w:pPr>
              <w:widowControl/>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02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278" w:type="dxa"/>
            <w:vAlign w:val="center"/>
          </w:tcPr>
          <w:p>
            <w:pPr>
              <w:pStyle w:val="393"/>
              <w:spacing w:before="0" w:line="360" w:lineRule="auto"/>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6" w:type="dxa"/>
            <w:vMerge w:val="restart"/>
            <w:vAlign w:val="center"/>
          </w:tcPr>
          <w:p>
            <w:pPr>
              <w:pStyle w:val="393"/>
              <w:spacing w:before="0" w:line="36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87" w:type="dxa"/>
            <w:vMerge w:val="restart"/>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质量保证及后续服务保障</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（15分）</w:t>
            </w:r>
          </w:p>
        </w:tc>
        <w:tc>
          <w:tcPr>
            <w:tcW w:w="431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有关措施保障：</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1.服务保障措施（4分）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2.知识产权保护措施（3分）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3.应急预案措施（3分）</w:t>
            </w:r>
          </w:p>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单项打分依据：方案较详尽、内容完整且较合理可行的，得满分；方案基本合理可行的，得2分；略有欠缺的得1分，不符合或未提供的不得分。（注：提供相关保障措施方案）</w:t>
            </w:r>
          </w:p>
        </w:tc>
        <w:tc>
          <w:tcPr>
            <w:tcW w:w="741" w:type="dxa"/>
            <w:vAlign w:val="center"/>
          </w:tcPr>
          <w:p>
            <w:pPr>
              <w:pStyle w:val="15"/>
              <w:spacing w:line="276" w:lineRule="auto"/>
              <w:ind w:left="0" w:leftChars="0" w:firstLine="0" w:firstLine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1026" w:type="dxa"/>
            <w:vAlign w:val="center"/>
          </w:tcPr>
          <w:p>
            <w:pPr>
              <w:pStyle w:val="15"/>
              <w:spacing w:line="276" w:lineRule="auto"/>
              <w:ind w:left="0" w:leftChars="0" w:firstLine="0" w:firstLineChars="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27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6" w:type="dxa"/>
            <w:vMerge w:val="continue"/>
            <w:vAlign w:val="center"/>
          </w:tcPr>
          <w:p>
            <w:pPr>
              <w:pStyle w:val="15"/>
              <w:spacing w:line="276" w:lineRule="auto"/>
              <w:ind w:left="0" w:leftChars="0" w:firstLine="0" w:firstLineChars="0"/>
              <w:jc w:val="left"/>
              <w:rPr>
                <w:color w:val="auto"/>
                <w:highlight w:val="none"/>
              </w:rPr>
            </w:pPr>
          </w:p>
        </w:tc>
        <w:tc>
          <w:tcPr>
            <w:tcW w:w="1187" w:type="dxa"/>
            <w:vMerge w:val="continue"/>
            <w:vAlign w:val="center"/>
          </w:tcPr>
          <w:p>
            <w:pPr>
              <w:pStyle w:val="15"/>
              <w:spacing w:line="276" w:lineRule="auto"/>
              <w:ind w:left="0" w:leftChars="0" w:firstLine="0" w:firstLineChars="0"/>
              <w:jc w:val="left"/>
              <w:rPr>
                <w:color w:val="auto"/>
                <w:highlight w:val="none"/>
              </w:rPr>
            </w:pPr>
          </w:p>
        </w:tc>
        <w:tc>
          <w:tcPr>
            <w:tcW w:w="431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有专职人员长期维持后续服务保障，与采购人日常配合能高效落实的得5分，略有不足的得3分，不能满足或未提供的不得分。</w:t>
            </w:r>
          </w:p>
        </w:tc>
        <w:tc>
          <w:tcPr>
            <w:tcW w:w="741" w:type="dxa"/>
            <w:vAlign w:val="center"/>
          </w:tcPr>
          <w:p>
            <w:pPr>
              <w:pStyle w:val="15"/>
              <w:spacing w:line="276" w:lineRule="auto"/>
              <w:ind w:left="0" w:leftChars="0" w:firstLine="0" w:firstLine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1026" w:type="dxa"/>
            <w:vAlign w:val="center"/>
          </w:tcPr>
          <w:p>
            <w:pPr>
              <w:pStyle w:val="15"/>
              <w:spacing w:line="276" w:lineRule="auto"/>
              <w:ind w:left="0" w:leftChars="0" w:firstLine="0" w:firstLineChars="0"/>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主观分</w:t>
            </w:r>
          </w:p>
        </w:tc>
        <w:tc>
          <w:tcPr>
            <w:tcW w:w="1278" w:type="dxa"/>
            <w:vAlign w:val="center"/>
          </w:tcPr>
          <w:p>
            <w:pPr>
              <w:pStyle w:val="15"/>
              <w:spacing w:line="276" w:lineRule="auto"/>
              <w:ind w:left="0" w:leftChars="0" w:firstLine="0" w:firstLineChars="0"/>
              <w:jc w:val="left"/>
              <w:rPr>
                <w:rFonts w:hint="eastAsia"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6" w:type="dxa"/>
            <w:vAlign w:val="center"/>
          </w:tcPr>
          <w:p>
            <w:pPr>
              <w:pStyle w:val="15"/>
              <w:spacing w:line="276" w:lineRule="auto"/>
              <w:ind w:left="0" w:leftChars="0" w:firstLine="0" w:firstLineChars="0"/>
              <w:jc w:val="center"/>
              <w:rPr>
                <w:color w:val="auto"/>
                <w:highlight w:val="none"/>
              </w:rPr>
            </w:pPr>
            <w:r>
              <w:rPr>
                <w:rFonts w:hint="eastAsia"/>
                <w:color w:val="auto"/>
                <w:sz w:val="21"/>
                <w:szCs w:val="21"/>
                <w:highlight w:val="none"/>
              </w:rPr>
              <w:t>6</w:t>
            </w:r>
          </w:p>
        </w:tc>
        <w:tc>
          <w:tcPr>
            <w:tcW w:w="5505" w:type="dxa"/>
            <w:gridSpan w:val="2"/>
            <w:vAlign w:val="center"/>
          </w:tcPr>
          <w:p>
            <w:pPr>
              <w:pStyle w:val="15"/>
              <w:spacing w:line="276" w:lineRule="auto"/>
              <w:ind w:left="0" w:leftChars="0" w:firstLine="0" w:firstLineChars="0"/>
              <w:jc w:val="both"/>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有效最后报价的最低价作为评审基准价，其最低报价为满分；按［最后报价得分=（评审基准价/最后报价）*10］的计算公式计算。</w:t>
            </w:r>
          </w:p>
          <w:p>
            <w:pPr>
              <w:pStyle w:val="15"/>
              <w:spacing w:line="276" w:lineRule="auto"/>
              <w:ind w:left="0" w:leftChars="0" w:firstLine="0" w:firstLineChars="0"/>
              <w:jc w:val="both"/>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评审过程中，不得去掉报价中的最高报价和最低报价。</w:t>
            </w:r>
          </w:p>
          <w:p>
            <w:pPr>
              <w:pStyle w:val="15"/>
              <w:spacing w:line="276" w:lineRule="auto"/>
              <w:ind w:left="0" w:leftChars="0" w:firstLine="0" w:firstLineChars="0"/>
              <w:jc w:val="both"/>
              <w:rPr>
                <w:rFonts w:hint="default" w:hAnsi="Times New Roman" w:cs="Times New Roman"/>
                <w:color w:val="auto"/>
                <w:sz w:val="28"/>
                <w:szCs w:val="20"/>
                <w:highlight w:val="none"/>
                <w:lang w:val="en-US" w:eastAsia="zh-CN"/>
              </w:rPr>
            </w:pPr>
            <w:r>
              <w:rPr>
                <w:rFonts w:hint="eastAsia" w:hAnsi="宋体" w:cs="宋体"/>
                <w:color w:val="auto"/>
                <w:sz w:val="21"/>
                <w:szCs w:val="21"/>
                <w:highlight w:val="none"/>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pPr>
              <w:pStyle w:val="15"/>
              <w:spacing w:line="276" w:lineRule="auto"/>
              <w:ind w:left="0" w:leftChars="0" w:firstLine="0" w:firstLine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1026" w:type="dxa"/>
            <w:vAlign w:val="center"/>
          </w:tcPr>
          <w:p>
            <w:pPr>
              <w:pStyle w:val="15"/>
              <w:spacing w:line="276" w:lineRule="auto"/>
              <w:ind w:left="0" w:leftChars="0" w:firstLine="0" w:firstLineChars="0"/>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价格分</w:t>
            </w:r>
          </w:p>
        </w:tc>
        <w:tc>
          <w:tcPr>
            <w:tcW w:w="1278" w:type="dxa"/>
            <w:vAlign w:val="center"/>
          </w:tcPr>
          <w:p>
            <w:pPr>
              <w:pStyle w:val="15"/>
              <w:spacing w:line="276" w:lineRule="auto"/>
              <w:ind w:left="0" w:leftChars="0" w:firstLine="0" w:firstLineChars="0"/>
              <w:jc w:val="left"/>
              <w:rPr>
                <w:rFonts w:hint="default" w:hAnsi="Times New Roman" w:cs="Times New Roman"/>
                <w:color w:val="auto"/>
                <w:sz w:val="28"/>
                <w:szCs w:val="20"/>
                <w:highlight w:val="none"/>
                <w:lang w:val="en-US" w:eastAsia="zh-CN"/>
              </w:rPr>
            </w:pP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8"/>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pPr>
        <w:spacing w:line="360" w:lineRule="auto"/>
        <w:jc w:val="center"/>
        <w:rPr>
          <w:rFonts w:hint="eastAsia"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pPr>
        <w:spacing w:line="360" w:lineRule="auto"/>
        <w:jc w:val="center"/>
        <w:rPr>
          <w:rFonts w:hint="eastAsia" w:ascii="宋体" w:hAnsi="宋体"/>
          <w:b/>
          <w:color w:val="auto"/>
          <w:sz w:val="24"/>
          <w:highlight w:val="none"/>
        </w:rPr>
      </w:pPr>
    </w:p>
    <w:p>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pPr>
        <w:ind w:firstLine="3132" w:firstLineChars="650"/>
        <w:rPr>
          <w:rFonts w:eastAsia="黑体"/>
          <w:b/>
          <w:color w:val="auto"/>
          <w:sz w:val="48"/>
          <w:highlight w:val="none"/>
        </w:rPr>
      </w:pPr>
    </w:p>
    <w:bookmarkEnd w:id="70"/>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pPr>
        <w:jc w:val="center"/>
        <w:rPr>
          <w:rFonts w:ascii="宋体" w:hAnsi="宋体"/>
          <w:color w:val="auto"/>
          <w:sz w:val="36"/>
          <w:highlight w:val="none"/>
        </w:rPr>
      </w:pPr>
      <w:r>
        <w:rPr>
          <w:rFonts w:ascii="宋体" w:hAnsi="宋体"/>
          <w:color w:val="auto"/>
          <w:sz w:val="36"/>
          <w:highlight w:val="none"/>
        </w:rPr>
        <w:t xml:space="preserve">  </w:t>
      </w:r>
    </w:p>
    <w:p>
      <w:pPr>
        <w:jc w:val="center"/>
        <w:rPr>
          <w:rFonts w:ascii="宋体" w:hAnsi="宋体"/>
          <w:color w:val="auto"/>
          <w:sz w:val="36"/>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签订合同后10个工作日内，支付合同总额的70%；提交最终项目成果并验收通过后，支付合同款总额的30%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24382</w:t>
      </w:r>
      <w:r>
        <w:rPr>
          <w:rFonts w:hint="eastAsia" w:cs="仿宋_GB2312" w:asciiTheme="minorEastAsia" w:hAnsiTheme="minorEastAsia" w:eastAsiaTheme="minorEastAsia"/>
          <w:color w:val="auto"/>
          <w:sz w:val="24"/>
          <w:highlight w:val="none"/>
        </w:rPr>
        <w:t>】的有关活动，并对此项目进行响应。为此：</w:t>
      </w:r>
    </w:p>
    <w:p>
      <w:pPr>
        <w:pStyle w:val="108"/>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kern w:val="0"/>
          <w:sz w:val="24"/>
          <w:highlight w:val="none"/>
          <w:lang w:val="zh-CN"/>
        </w:rPr>
        <w:t>【项目编号：HCZX-24382】</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kern w:val="0"/>
          <w:sz w:val="24"/>
          <w:highlight w:val="none"/>
          <w:lang w:val="zh-CN"/>
        </w:rPr>
        <w:t>【项目编号：HCZX-24382】响应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24382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kern w:val="0"/>
          <w:sz w:val="24"/>
          <w:highlight w:val="none"/>
          <w:lang w:val="zh-CN"/>
        </w:rPr>
        <w:t>【项目编号：HCZX-24382】政府采购响应的一切事项，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浙江省商务厅课题咨询研究服务项目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24382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ind w:firstLine="643"/>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浙江省商务厅课题咨询研究服务项目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24382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pPr>
        <w:snapToGrid w:val="0"/>
        <w:spacing w:line="360" w:lineRule="auto"/>
        <w:rPr>
          <w:rFonts w:cs="仿宋_GB2312" w:asciiTheme="minorEastAsia" w:hAnsiTheme="minorEastAsia" w:eastAsiaTheme="minorEastAsia"/>
          <w:color w:val="auto"/>
          <w:sz w:val="24"/>
          <w:highlight w:val="none"/>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pPr>
        <w:snapToGrid w:val="0"/>
        <w:spacing w:line="360" w:lineRule="auto"/>
        <w:rPr>
          <w:rFonts w:cs="仿宋_GB2312" w:asciiTheme="minorEastAsia" w:hAnsiTheme="minorEastAsia" w:eastAsiaTheme="minorEastAsia"/>
          <w:color w:val="auto"/>
          <w:sz w:val="24"/>
          <w:highlight w:val="none"/>
          <w:u w:val="dotted"/>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pPr>
        <w:spacing w:line="360" w:lineRule="auto"/>
        <w:rPr>
          <w:rFonts w:cs="仿宋_GB2312" w:asciiTheme="minorEastAsia" w:hAnsiTheme="minorEastAsia" w:eastAsiaTheme="minorEastAsia"/>
          <w:color w:val="auto"/>
          <w:sz w:val="24"/>
          <w:highlight w:val="none"/>
          <w:u w:val="dotted"/>
        </w:rPr>
      </w:pP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u w:val="singl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浙江省商务厅课题咨询研究服务项目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浙江省商务厅课题咨询研究服务项目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5" w:name="_Toc131845147"/>
    <w:bookmarkStart w:id="76" w:name="_Toc36110187"/>
    <w:bookmarkStart w:id="77" w:name="_Toc164085800"/>
    <w:bookmarkStart w:id="78" w:name="_Toc91899912"/>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C56903"/>
    <w:rsid w:val="01CD7566"/>
    <w:rsid w:val="021B2B71"/>
    <w:rsid w:val="02693471"/>
    <w:rsid w:val="02A0618D"/>
    <w:rsid w:val="02B272FF"/>
    <w:rsid w:val="02B524D4"/>
    <w:rsid w:val="02C227B3"/>
    <w:rsid w:val="02DA0C0E"/>
    <w:rsid w:val="03B10EED"/>
    <w:rsid w:val="03DD35E4"/>
    <w:rsid w:val="04206073"/>
    <w:rsid w:val="05073F4F"/>
    <w:rsid w:val="05810D93"/>
    <w:rsid w:val="059C797B"/>
    <w:rsid w:val="06450013"/>
    <w:rsid w:val="065A6178"/>
    <w:rsid w:val="070B4DB8"/>
    <w:rsid w:val="07536A42"/>
    <w:rsid w:val="075562B7"/>
    <w:rsid w:val="07716F4D"/>
    <w:rsid w:val="078D1C71"/>
    <w:rsid w:val="079B438E"/>
    <w:rsid w:val="083F2F13"/>
    <w:rsid w:val="08687FE8"/>
    <w:rsid w:val="08B60D54"/>
    <w:rsid w:val="090917CB"/>
    <w:rsid w:val="0928674D"/>
    <w:rsid w:val="093D20B4"/>
    <w:rsid w:val="096B2097"/>
    <w:rsid w:val="09BB60A9"/>
    <w:rsid w:val="09E55D95"/>
    <w:rsid w:val="09E57B43"/>
    <w:rsid w:val="0A5B7E63"/>
    <w:rsid w:val="0B043D3E"/>
    <w:rsid w:val="0C6C713C"/>
    <w:rsid w:val="0C87121B"/>
    <w:rsid w:val="0CC5766E"/>
    <w:rsid w:val="0CCC6D98"/>
    <w:rsid w:val="0D931E71"/>
    <w:rsid w:val="0DF702FE"/>
    <w:rsid w:val="0E3F698B"/>
    <w:rsid w:val="0E480687"/>
    <w:rsid w:val="0E6B430B"/>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3072A44"/>
    <w:rsid w:val="137B1616"/>
    <w:rsid w:val="138E124B"/>
    <w:rsid w:val="13906D71"/>
    <w:rsid w:val="13946D00"/>
    <w:rsid w:val="145044FA"/>
    <w:rsid w:val="150A2B53"/>
    <w:rsid w:val="1527276E"/>
    <w:rsid w:val="1542409B"/>
    <w:rsid w:val="15506787"/>
    <w:rsid w:val="15895853"/>
    <w:rsid w:val="164B6AF4"/>
    <w:rsid w:val="17A76437"/>
    <w:rsid w:val="17C52D61"/>
    <w:rsid w:val="17E53404"/>
    <w:rsid w:val="18055854"/>
    <w:rsid w:val="18610CDC"/>
    <w:rsid w:val="18695DE3"/>
    <w:rsid w:val="189866C8"/>
    <w:rsid w:val="18B319A9"/>
    <w:rsid w:val="18DB41EE"/>
    <w:rsid w:val="18F948B4"/>
    <w:rsid w:val="192166BD"/>
    <w:rsid w:val="1983088B"/>
    <w:rsid w:val="1A516B2E"/>
    <w:rsid w:val="1A911621"/>
    <w:rsid w:val="1A9A04D5"/>
    <w:rsid w:val="1AA255DC"/>
    <w:rsid w:val="1AE9320B"/>
    <w:rsid w:val="1B15788C"/>
    <w:rsid w:val="1B2A271F"/>
    <w:rsid w:val="1B46240B"/>
    <w:rsid w:val="1B537AC1"/>
    <w:rsid w:val="1B890139"/>
    <w:rsid w:val="1BA57132"/>
    <w:rsid w:val="1C5237EF"/>
    <w:rsid w:val="1C5B1EE6"/>
    <w:rsid w:val="1CDC0B3F"/>
    <w:rsid w:val="1CF33ECD"/>
    <w:rsid w:val="1D266CE1"/>
    <w:rsid w:val="1D293D92"/>
    <w:rsid w:val="1D3963AF"/>
    <w:rsid w:val="1D5A3F4C"/>
    <w:rsid w:val="1E4F15D7"/>
    <w:rsid w:val="1E557950"/>
    <w:rsid w:val="1E714A66"/>
    <w:rsid w:val="1E7D4396"/>
    <w:rsid w:val="1EBE505F"/>
    <w:rsid w:val="1FA71CAB"/>
    <w:rsid w:val="1FE868A9"/>
    <w:rsid w:val="2054426F"/>
    <w:rsid w:val="207E512B"/>
    <w:rsid w:val="20A10B5A"/>
    <w:rsid w:val="20AA51EA"/>
    <w:rsid w:val="211E26D6"/>
    <w:rsid w:val="21283D08"/>
    <w:rsid w:val="21BD282F"/>
    <w:rsid w:val="224D407F"/>
    <w:rsid w:val="23445482"/>
    <w:rsid w:val="23700025"/>
    <w:rsid w:val="243A0633"/>
    <w:rsid w:val="246300E9"/>
    <w:rsid w:val="24C96FB7"/>
    <w:rsid w:val="250E5D48"/>
    <w:rsid w:val="252A72C7"/>
    <w:rsid w:val="25A54728"/>
    <w:rsid w:val="25B440B3"/>
    <w:rsid w:val="25B85CB3"/>
    <w:rsid w:val="261750D0"/>
    <w:rsid w:val="26296BB1"/>
    <w:rsid w:val="264779F7"/>
    <w:rsid w:val="264B6B28"/>
    <w:rsid w:val="278E314B"/>
    <w:rsid w:val="27BD6D7E"/>
    <w:rsid w:val="27C9130D"/>
    <w:rsid w:val="282868D6"/>
    <w:rsid w:val="288527C5"/>
    <w:rsid w:val="28B52365"/>
    <w:rsid w:val="28E6210D"/>
    <w:rsid w:val="2927387C"/>
    <w:rsid w:val="2AA1365A"/>
    <w:rsid w:val="2B465B0F"/>
    <w:rsid w:val="2B541EBF"/>
    <w:rsid w:val="2B7036E6"/>
    <w:rsid w:val="2C9F3729"/>
    <w:rsid w:val="2CD31625"/>
    <w:rsid w:val="2D214FC0"/>
    <w:rsid w:val="2D497F94"/>
    <w:rsid w:val="2D7C1CBC"/>
    <w:rsid w:val="2D8A43D9"/>
    <w:rsid w:val="2DD13DB6"/>
    <w:rsid w:val="2DD15014"/>
    <w:rsid w:val="2DEA131C"/>
    <w:rsid w:val="2E332AA1"/>
    <w:rsid w:val="2E8B2B4F"/>
    <w:rsid w:val="2E8C4181"/>
    <w:rsid w:val="2ED075DC"/>
    <w:rsid w:val="2EF069F5"/>
    <w:rsid w:val="2F126434"/>
    <w:rsid w:val="2FAF0127"/>
    <w:rsid w:val="2FD25781"/>
    <w:rsid w:val="2FFB511A"/>
    <w:rsid w:val="300A1801"/>
    <w:rsid w:val="30913CD1"/>
    <w:rsid w:val="309A0DD7"/>
    <w:rsid w:val="30E3277E"/>
    <w:rsid w:val="3140197F"/>
    <w:rsid w:val="31570A76"/>
    <w:rsid w:val="318765DF"/>
    <w:rsid w:val="319C6071"/>
    <w:rsid w:val="32987720"/>
    <w:rsid w:val="32DB72BE"/>
    <w:rsid w:val="32DC7485"/>
    <w:rsid w:val="33D309A5"/>
    <w:rsid w:val="33D91C17"/>
    <w:rsid w:val="33FB4AD5"/>
    <w:rsid w:val="342E63AB"/>
    <w:rsid w:val="345D260B"/>
    <w:rsid w:val="34DF14AF"/>
    <w:rsid w:val="35F42D38"/>
    <w:rsid w:val="363964A4"/>
    <w:rsid w:val="365302AE"/>
    <w:rsid w:val="36624145"/>
    <w:rsid w:val="36631C6B"/>
    <w:rsid w:val="36767BF1"/>
    <w:rsid w:val="36B91444"/>
    <w:rsid w:val="373A09AA"/>
    <w:rsid w:val="374B24EE"/>
    <w:rsid w:val="375673DD"/>
    <w:rsid w:val="37CA2D84"/>
    <w:rsid w:val="38A31F2B"/>
    <w:rsid w:val="38AD71CE"/>
    <w:rsid w:val="38D86941"/>
    <w:rsid w:val="38ED3A6E"/>
    <w:rsid w:val="390D65DD"/>
    <w:rsid w:val="391B682D"/>
    <w:rsid w:val="39A13F14"/>
    <w:rsid w:val="39F204E9"/>
    <w:rsid w:val="3A1F234D"/>
    <w:rsid w:val="3ABB2F58"/>
    <w:rsid w:val="3BD678D4"/>
    <w:rsid w:val="3BDF7FE6"/>
    <w:rsid w:val="3C1A2DCC"/>
    <w:rsid w:val="3C5F759A"/>
    <w:rsid w:val="3D4D2D2E"/>
    <w:rsid w:val="3D5C78D4"/>
    <w:rsid w:val="3E096188"/>
    <w:rsid w:val="3EC040FF"/>
    <w:rsid w:val="3F051B12"/>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8B2DD0"/>
    <w:rsid w:val="47F0329D"/>
    <w:rsid w:val="486F747C"/>
    <w:rsid w:val="48940C70"/>
    <w:rsid w:val="48C061F1"/>
    <w:rsid w:val="48D65E3E"/>
    <w:rsid w:val="49804BB7"/>
    <w:rsid w:val="49C805F8"/>
    <w:rsid w:val="4A3D2AA8"/>
    <w:rsid w:val="4AD4683C"/>
    <w:rsid w:val="4AD541FC"/>
    <w:rsid w:val="4ADA0FDC"/>
    <w:rsid w:val="4B11183E"/>
    <w:rsid w:val="4B4C2876"/>
    <w:rsid w:val="4C4F6AC2"/>
    <w:rsid w:val="4C60482B"/>
    <w:rsid w:val="4CAC5CC3"/>
    <w:rsid w:val="4CB16E35"/>
    <w:rsid w:val="4CFB4554"/>
    <w:rsid w:val="4CFE4613"/>
    <w:rsid w:val="4D023B34"/>
    <w:rsid w:val="4D861CF6"/>
    <w:rsid w:val="4DDA685F"/>
    <w:rsid w:val="4E141D71"/>
    <w:rsid w:val="4E54216E"/>
    <w:rsid w:val="4E636855"/>
    <w:rsid w:val="4E8A4DEC"/>
    <w:rsid w:val="4E950123"/>
    <w:rsid w:val="4F42290E"/>
    <w:rsid w:val="4F8C437A"/>
    <w:rsid w:val="50BB4CD3"/>
    <w:rsid w:val="516E3547"/>
    <w:rsid w:val="5177465B"/>
    <w:rsid w:val="51A0432A"/>
    <w:rsid w:val="51F721EB"/>
    <w:rsid w:val="527140E5"/>
    <w:rsid w:val="5292508F"/>
    <w:rsid w:val="52A96B6F"/>
    <w:rsid w:val="52C8137C"/>
    <w:rsid w:val="54684BC5"/>
    <w:rsid w:val="54843081"/>
    <w:rsid w:val="54907C78"/>
    <w:rsid w:val="54D756D6"/>
    <w:rsid w:val="550764A4"/>
    <w:rsid w:val="551926E0"/>
    <w:rsid w:val="559B4B26"/>
    <w:rsid w:val="55AF05D2"/>
    <w:rsid w:val="55E069DD"/>
    <w:rsid w:val="564E1B99"/>
    <w:rsid w:val="56515F3B"/>
    <w:rsid w:val="56D025AE"/>
    <w:rsid w:val="570117CE"/>
    <w:rsid w:val="572B71CA"/>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DA1AA5"/>
    <w:rsid w:val="5D177188"/>
    <w:rsid w:val="5D9A2B83"/>
    <w:rsid w:val="5DB20402"/>
    <w:rsid w:val="5DE11544"/>
    <w:rsid w:val="5E0A45F7"/>
    <w:rsid w:val="5E261785"/>
    <w:rsid w:val="5E9B5B97"/>
    <w:rsid w:val="5FCC5339"/>
    <w:rsid w:val="602C1292"/>
    <w:rsid w:val="609664CC"/>
    <w:rsid w:val="60E53485"/>
    <w:rsid w:val="61054A27"/>
    <w:rsid w:val="611B4D6D"/>
    <w:rsid w:val="611D2366"/>
    <w:rsid w:val="614122CC"/>
    <w:rsid w:val="61CB5995"/>
    <w:rsid w:val="6280132C"/>
    <w:rsid w:val="62885958"/>
    <w:rsid w:val="62C6396E"/>
    <w:rsid w:val="62DC37E2"/>
    <w:rsid w:val="644B16ED"/>
    <w:rsid w:val="64AC465A"/>
    <w:rsid w:val="64CE2EAA"/>
    <w:rsid w:val="654F3237"/>
    <w:rsid w:val="65F755BB"/>
    <w:rsid w:val="661B43E6"/>
    <w:rsid w:val="662E75B1"/>
    <w:rsid w:val="66342C2E"/>
    <w:rsid w:val="663E784C"/>
    <w:rsid w:val="667473F9"/>
    <w:rsid w:val="66C51A03"/>
    <w:rsid w:val="676034DA"/>
    <w:rsid w:val="67954B54"/>
    <w:rsid w:val="685867EC"/>
    <w:rsid w:val="687675A9"/>
    <w:rsid w:val="6892776D"/>
    <w:rsid w:val="68DE3D38"/>
    <w:rsid w:val="690F3409"/>
    <w:rsid w:val="69C51D1A"/>
    <w:rsid w:val="6A0E36C1"/>
    <w:rsid w:val="6A8C4F3A"/>
    <w:rsid w:val="6AA81420"/>
    <w:rsid w:val="6B7E4876"/>
    <w:rsid w:val="6B7E6624"/>
    <w:rsid w:val="6B8D6867"/>
    <w:rsid w:val="6BDB3A77"/>
    <w:rsid w:val="6C05633C"/>
    <w:rsid w:val="6CED3A62"/>
    <w:rsid w:val="6D9914F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5319EF"/>
    <w:rsid w:val="78F32400"/>
    <w:rsid w:val="78FF66E6"/>
    <w:rsid w:val="790F1C77"/>
    <w:rsid w:val="798474FC"/>
    <w:rsid w:val="79A47B9E"/>
    <w:rsid w:val="7A37E424"/>
    <w:rsid w:val="7A57526B"/>
    <w:rsid w:val="7A67303B"/>
    <w:rsid w:val="7A8377B3"/>
    <w:rsid w:val="7AAB1D04"/>
    <w:rsid w:val="7ABA4368"/>
    <w:rsid w:val="7AD149C3"/>
    <w:rsid w:val="7B110377"/>
    <w:rsid w:val="7B257FFD"/>
    <w:rsid w:val="7C2B1DA5"/>
    <w:rsid w:val="7C6149D1"/>
    <w:rsid w:val="7CA852AF"/>
    <w:rsid w:val="7CD95DB0"/>
    <w:rsid w:val="7CF564C4"/>
    <w:rsid w:val="7D20578D"/>
    <w:rsid w:val="7D9046C1"/>
    <w:rsid w:val="7DCF5781"/>
    <w:rsid w:val="7DF4317E"/>
    <w:rsid w:val="7E57351B"/>
    <w:rsid w:val="7E64308B"/>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1"/>
    <w:link w:val="511"/>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4"/>
    <w:autoRedefine/>
    <w:qFormat/>
    <w:uiPriority w:val="0"/>
    <w:pPr>
      <w:spacing w:line="480" w:lineRule="exact"/>
      <w:ind w:firstLine="480" w:firstLineChars="200"/>
    </w:pPr>
    <w:rPr>
      <w:rFonts w:ascii="宋体" w:hAnsi="宋体"/>
      <w:sz w:val="24"/>
    </w:rPr>
  </w:style>
  <w:style w:type="paragraph" w:styleId="24">
    <w:name w:val="Body Text First Indent 2"/>
    <w:basedOn w:val="23"/>
    <w:next w:val="1"/>
    <w:link w:val="501"/>
    <w:autoRedefine/>
    <w:qFormat/>
    <w:uiPriority w:val="0"/>
    <w:pPr>
      <w:adjustRightInd/>
      <w:spacing w:after="120" w:line="240" w:lineRule="auto"/>
      <w:ind w:left="420" w:leftChars="200" w:firstLine="210"/>
    </w:pPr>
    <w:rPr>
      <w:sz w:val="21"/>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link w:val="544"/>
    <w:autoRedefine/>
    <w:qFormat/>
    <w:uiPriority w:val="0"/>
    <w:pPr>
      <w:ind w:firstLine="420"/>
    </w:pPr>
    <w:rPr>
      <w:szCs w:val="20"/>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文章标题"/>
    <w:next w:val="7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4">
    <w:name w:val="首行缩进"/>
    <w:basedOn w:val="1"/>
    <w:autoRedefine/>
    <w:qFormat/>
    <w:uiPriority w:val="0"/>
    <w:pPr>
      <w:spacing w:line="360" w:lineRule="auto"/>
      <w:ind w:firstLine="480" w:firstLineChars="200"/>
    </w:pPr>
    <w:rPr>
      <w:rFonts w:ascii="宋体"/>
      <w:sz w:val="24"/>
      <w:szCs w:val="20"/>
    </w:rPr>
  </w:style>
  <w:style w:type="paragraph" w:customStyle="1" w:styleId="75">
    <w:name w:val="Default"/>
    <w:next w:val="76"/>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autoRedefine/>
    <w:qFormat/>
    <w:uiPriority w:val="0"/>
    <w:pPr>
      <w:tabs>
        <w:tab w:val="left" w:pos="2790"/>
        <w:tab w:val="left" w:pos="4230"/>
      </w:tabs>
      <w:spacing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autoRedefine/>
    <w:qFormat/>
    <w:uiPriority w:val="0"/>
    <w:pPr>
      <w:adjustRightInd/>
      <w:spacing w:line="288" w:lineRule="auto"/>
      <w:ind w:firstLine="425" w:firstLineChars="200"/>
    </w:pPr>
  </w:style>
  <w:style w:type="paragraph" w:customStyle="1" w:styleId="82">
    <w:name w:val="Char1 Char Char Char"/>
    <w:basedOn w:val="1"/>
    <w:autoRedefine/>
    <w:qFormat/>
    <w:uiPriority w:val="0"/>
    <w:rPr>
      <w:rFonts w:ascii="Tahoma" w:hAnsi="Tahoma"/>
      <w:sz w:val="24"/>
      <w:szCs w:val="20"/>
    </w:rPr>
  </w:style>
  <w:style w:type="paragraph" w:customStyle="1" w:styleId="8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autoRedefine/>
    <w:qFormat/>
    <w:uiPriority w:val="0"/>
    <w:pPr>
      <w:spacing w:afterLines="50"/>
      <w:jc w:val="left"/>
      <w:outlineLvl w:val="3"/>
    </w:pPr>
    <w:rPr>
      <w:sz w:val="24"/>
      <w:szCs w:val="24"/>
    </w:rPr>
  </w:style>
  <w:style w:type="paragraph" w:customStyle="1" w:styleId="8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autoRedefine/>
    <w:qFormat/>
    <w:uiPriority w:val="0"/>
    <w:pPr>
      <w:numPr>
        <w:ilvl w:val="1"/>
        <w:numId w:val="4"/>
      </w:numPr>
      <w:adjustRightInd/>
    </w:pPr>
  </w:style>
  <w:style w:type="paragraph" w:customStyle="1" w:styleId="90">
    <w:name w:val="Char3"/>
    <w:basedOn w:val="1"/>
    <w:autoRedefine/>
    <w:qFormat/>
    <w:uiPriority w:val="0"/>
    <w:pPr>
      <w:adjustRightInd/>
    </w:pPr>
    <w:rPr>
      <w:rFonts w:ascii="仿宋_GB2312" w:eastAsia="仿宋_GB2312"/>
      <w:b/>
      <w:sz w:val="32"/>
      <w:szCs w:val="32"/>
    </w:rPr>
  </w:style>
  <w:style w:type="paragraph" w:customStyle="1" w:styleId="91">
    <w:name w:val="Char Char1 Char Char Char Char Char Char"/>
    <w:basedOn w:val="1"/>
    <w:autoRedefine/>
    <w:qFormat/>
    <w:uiPriority w:val="0"/>
    <w:rPr>
      <w:rFonts w:ascii="仿宋_GB2312" w:eastAsia="仿宋_GB2312"/>
      <w:b/>
      <w:sz w:val="32"/>
      <w:szCs w:val="20"/>
    </w:rPr>
  </w:style>
  <w:style w:type="paragraph" w:customStyle="1" w:styleId="92">
    <w:name w:val="文本正文 Char"/>
    <w:basedOn w:val="1"/>
    <w:autoRedefine/>
    <w:qFormat/>
    <w:uiPriority w:val="0"/>
    <w:pPr>
      <w:spacing w:line="360" w:lineRule="auto"/>
      <w:ind w:firstLine="200" w:firstLineChars="200"/>
    </w:pPr>
    <w:rPr>
      <w:kern w:val="0"/>
      <w:sz w:val="24"/>
      <w:szCs w:val="20"/>
    </w:rPr>
  </w:style>
  <w:style w:type="paragraph" w:customStyle="1" w:styleId="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5"/>
    <w:next w:val="75"/>
    <w:autoRedefine/>
    <w:qFormat/>
    <w:uiPriority w:val="0"/>
    <w:pPr>
      <w:spacing w:after="68"/>
    </w:pPr>
    <w:rPr>
      <w:rFonts w:ascii="FHLHE E+ Futura Bk" w:eastAsia="FHLHE E+ Futura Bk" w:cs="Times New Roman"/>
      <w:color w:val="auto"/>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0"/>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8"/>
    <w:autoRedefine/>
    <w:qFormat/>
    <w:uiPriority w:val="0"/>
    <w:pPr>
      <w:tabs>
        <w:tab w:val="left" w:pos="2356"/>
      </w:tabs>
    </w:pPr>
  </w:style>
  <w:style w:type="paragraph" w:customStyle="1" w:styleId="173">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Lines="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2"/>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5"/>
    <w:next w:val="75"/>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5"/>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4"/>
    <w:next w:val="141"/>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6"/>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24"/>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8"/>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71"/>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5"/>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 w:type="paragraph" w:customStyle="1" w:styleId="633">
    <w:name w:val="正文-公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32814</Words>
  <Characters>34146</Characters>
  <Lines>261</Lines>
  <Paragraphs>73</Paragraphs>
  <TotalTime>4</TotalTime>
  <ScaleCrop>false</ScaleCrop>
  <LinksUpToDate>false</LinksUpToDate>
  <CharactersWithSpaces>36929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2024-05-17T10:01:58Z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1D7D0CD2F1694D3E898CB7EA1BC12A15_13</vt:lpwstr>
  </property>
</Properties>
</file>