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color w:val="auto"/>
          <w:sz w:val="24"/>
          <w:highlight w:val="none"/>
          <w:lang w:val="en-US" w:eastAsia="zh-CN"/>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浙江省减污降碳协同增效管理系统</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监理服务</w:t>
      </w:r>
      <w:r>
        <w:rPr>
          <w:rFonts w:hint="eastAsia" w:ascii="宋体" w:hAnsi="宋体" w:cs="宋体"/>
          <w:color w:val="auto"/>
          <w:sz w:val="48"/>
          <w:szCs w:val="48"/>
          <w:highlight w:val="none"/>
        </w:rPr>
        <w:t>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编号:HCZX-</w:t>
      </w:r>
      <w:r>
        <w:rPr>
          <w:rFonts w:hint="eastAsia" w:ascii="宋体" w:hAnsi="宋体" w:cs="宋体"/>
          <w:color w:val="auto"/>
          <w:sz w:val="30"/>
          <w:szCs w:val="30"/>
          <w:highlight w:val="none"/>
          <w:lang w:eastAsia="zh-CN"/>
        </w:rPr>
        <w:t>22091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ind w:firstLine="420"/>
        <w:jc w:val="center"/>
        <w:rPr>
          <w:rFonts w:ascii="宋体" w:hAnsi="宋体" w:cs="宋体"/>
          <w:color w:val="auto"/>
          <w:sz w:val="32"/>
          <w:szCs w:val="32"/>
          <w:highlight w:val="none"/>
        </w:rPr>
      </w:pPr>
      <w:r>
        <w:rPr>
          <w:rFonts w:hint="eastAsia" w:ascii="宋体" w:hAnsi="宋体" w:cs="宋体"/>
          <w:color w:val="auto"/>
          <w:sz w:val="32"/>
          <w:szCs w:val="32"/>
          <w:highlight w:val="none"/>
        </w:rPr>
        <w:t>浙江省生态环境科学设计研究院</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华诚工程咨询集团有限公司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二〇二二年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浙江省减污降碳协同增效管理系统监理服务</w:t>
      </w:r>
      <w:r>
        <w:rPr>
          <w:rFonts w:hint="eastAsia" w:ascii="宋体" w:hAnsi="宋体" w:cs="宋体"/>
          <w:color w:val="auto"/>
          <w:sz w:val="24"/>
          <w:highlight w:val="none"/>
          <w:u w:val="single"/>
        </w:rPr>
        <w:t>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color w:val="auto"/>
          <w:kern w:val="2"/>
          <w:sz w:val="24"/>
          <w:szCs w:val="24"/>
          <w:highlight w:val="none"/>
        </w:rPr>
        <w:t>https://www.zcygov.cn/）获取（下载）招标文件，并于</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点00分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72" w:firstLineChars="196"/>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rPr>
        <w:t>HCZX-</w:t>
      </w:r>
      <w:r>
        <w:rPr>
          <w:rFonts w:hint="eastAsia" w:ascii="宋体" w:hAnsi="宋体" w:cs="宋体"/>
          <w:color w:val="auto"/>
          <w:sz w:val="24"/>
          <w:highlight w:val="none"/>
          <w:lang w:eastAsia="zh-CN"/>
        </w:rPr>
        <w:t>22091</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浙江省减污降碳协同增效管理系统监理服务</w:t>
      </w:r>
      <w:r>
        <w:rPr>
          <w:rFonts w:hint="eastAsia" w:ascii="宋体" w:hAnsi="宋体" w:cs="宋体"/>
          <w:color w:val="auto"/>
          <w:sz w:val="24"/>
          <w:highlight w:val="none"/>
        </w:rPr>
        <w:t>项目</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0000</w:t>
      </w:r>
    </w:p>
    <w:p>
      <w:pPr>
        <w:pStyle w:val="1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遵循国家、省、市信息系统项目建设和监理的标准和规范，按照“四控、三管、一协调”的原则，对浙江省减污降碳协同增效管理系统监理服务项目提供第三方全过程监理服务，监理服务范围主要包括合同签订、应用软件开发、设备和系统购置、安装调试、系统测试、系统培训、试运行和验收，系统移交及相关文档起草和管理等项目建设各个环节。详见招标文件第三部分采购需求</w:t>
      </w:r>
      <w:r>
        <w:rPr>
          <w:rFonts w:hint="eastAsia" w:hAnsi="宋体" w:cs="宋体"/>
          <w:bCs/>
          <w:color w:val="auto"/>
          <w:kern w:val="2"/>
          <w:sz w:val="24"/>
          <w:szCs w:val="24"/>
          <w:highlight w:val="none"/>
        </w:rPr>
        <w:t>。</w:t>
      </w:r>
    </w:p>
    <w:p>
      <w:pPr>
        <w:pStyle w:val="8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color w:val="auto"/>
          <w:sz w:val="21"/>
          <w:szCs w:val="21"/>
          <w:highlight w:val="none"/>
        </w:rPr>
        <w:t>合同签订生效之日起至</w:t>
      </w:r>
      <w:r>
        <w:rPr>
          <w:rFonts w:hint="eastAsia" w:ascii="宋体" w:hAnsi="宋体" w:cs="宋体"/>
          <w:color w:val="auto"/>
          <w:sz w:val="21"/>
          <w:szCs w:val="21"/>
          <w:highlight w:val="none"/>
          <w:lang w:eastAsia="zh-CN"/>
        </w:rPr>
        <w:t>浙江省减污降碳协同增效管理系统建设</w:t>
      </w:r>
      <w:r>
        <w:rPr>
          <w:rFonts w:hint="eastAsia" w:ascii="宋体" w:hAnsi="宋体" w:cs="宋体"/>
          <w:color w:val="auto"/>
          <w:sz w:val="21"/>
          <w:szCs w:val="21"/>
          <w:highlight w:val="none"/>
        </w:rPr>
        <w:t>项目终审验收</w:t>
      </w:r>
      <w:r>
        <w:rPr>
          <w:rFonts w:hint="eastAsia" w:ascii="宋体" w:hAnsi="宋体" w:cs="宋体"/>
          <w:color w:val="auto"/>
          <w:sz w:val="21"/>
          <w:szCs w:val="21"/>
          <w:highlight w:val="none"/>
          <w:lang w:val="en-US" w:eastAsia="zh-CN"/>
        </w:rPr>
        <w:t>完成</w:t>
      </w:r>
      <w:r>
        <w:rPr>
          <w:rFonts w:hint="eastAsia" w:ascii="宋体" w:hAnsi="宋体" w:cs="宋体"/>
          <w:color w:val="auto"/>
          <w:sz w:val="21"/>
          <w:szCs w:val="21"/>
          <w:highlight w:val="none"/>
          <w:lang w:eastAsia="zh-CN"/>
        </w:rPr>
        <w:t>。</w:t>
      </w:r>
    </w:p>
    <w:p>
      <w:pPr>
        <w:pStyle w:val="15"/>
        <w:spacing w:line="360" w:lineRule="auto"/>
        <w:ind w:firstLine="480"/>
        <w:rPr>
          <w:rFonts w:hAnsi="宋体" w:cs="宋体"/>
          <w:b/>
          <w:color w:val="auto"/>
          <w:sz w:val="24"/>
          <w:highlight w:val="none"/>
        </w:rPr>
      </w:pPr>
      <w:r>
        <w:rPr>
          <w:rFonts w:hint="eastAsia" w:hAnsi="宋体" w:cs="宋体"/>
          <w:b/>
          <w:color w:val="auto"/>
          <w:sz w:val="24"/>
          <w:highlight w:val="none"/>
        </w:rPr>
        <w:t>本项目接受联合体投标：</w:t>
      </w:r>
      <w:sdt>
        <w:sdtPr>
          <w:rPr>
            <w:rFonts w:hint="eastAsia" w:ascii="仿宋" w:hAnsi="仿宋" w:eastAsia="仿宋" w:cs="Arial"/>
            <w:color w:val="auto"/>
            <w:kern w:val="0"/>
            <w:sz w:val="24"/>
            <w:highlight w:val="none"/>
          </w:rPr>
          <w:id w:val="-1765526721"/>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00FE"/>
          </w:r>
        </w:sdtContent>
      </w:sdt>
      <w:r>
        <w:rPr>
          <w:rFonts w:hint="eastAsia" w:hAnsi="宋体" w:cs="宋体"/>
          <w:b/>
          <w:color w:val="auto"/>
          <w:sz w:val="24"/>
          <w:highlight w:val="none"/>
        </w:rPr>
        <w:t>是，</w:t>
      </w:r>
      <w:sdt>
        <w:sdtPr>
          <w:rPr>
            <w:rFonts w:hint="eastAsia" w:ascii="仿宋" w:hAnsi="仿宋" w:eastAsia="仿宋" w:cs="Arial"/>
            <w:color w:val="auto"/>
            <w:kern w:val="0"/>
            <w:sz w:val="24"/>
            <w:highlight w:val="none"/>
          </w:rPr>
          <w:id w:val="507637016"/>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00A8"/>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2.落实政府采购政策需满足的资格要求：</w:t>
      </w:r>
    </w:p>
    <w:p>
      <w:pPr>
        <w:spacing w:line="360" w:lineRule="auto"/>
        <w:ind w:firstLine="480" w:firstLineChars="200"/>
        <w:rPr>
          <w:rFonts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r>
        <w:rPr>
          <w:rFonts w:hint="eastAsia" w:ascii="MS Gothic" w:hAnsi="MS Gothic" w:cs="宋体"/>
          <w:color w:val="auto"/>
          <w:kern w:val="0"/>
          <w:sz w:val="24"/>
          <w:highlight w:val="none"/>
        </w:rPr>
        <w:t>☐</w:t>
      </w:r>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pPr>
        <w:spacing w:line="360" w:lineRule="auto"/>
        <w:ind w:firstLine="897" w:firstLineChars="374"/>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2022年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点00分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bookmarkStart w:id="432" w:name="_GoBack"/>
      <w:bookmarkEnd w:id="432"/>
      <w:r>
        <w:rPr>
          <w:rFonts w:hint="eastAsia" w:ascii="宋体" w:hAnsi="宋体" w:cs="宋体"/>
          <w:color w:val="auto"/>
          <w:sz w:val="24"/>
          <w:highlight w:val="none"/>
          <w:u w:val="single"/>
        </w:rPr>
        <w:t>点00分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4.其他事项：（1）供应商注册：供应商如需参与本项目，应为浙江政府采购注册供应商。（2）本项目采取电子招投标，电子招投标有关事项说明： A.本项目通过“浙江政府采购网（http://zfcg.czt.zj.gov.cn）”实行电子投标，供应商须安装客户端软件，并按照采购文件和电子交易平台的要求制作投标文件。 客户端软件下载方式：供应商可通过“浙江政府采购网-下载专区-电子交易客户端”进行下载。 B.供应商须申领CA，并在浙江政府采购网完成绑定方可进行投标文件的编制，CA相关操作可参考“浙江政府采购网-下载专区-电子交易客户端-CA驱动和申领流程”。 C.供应商登录浙江政府采购网（http://zfcg.czt.zj.gov.cn/）进入政采云系统“项目采购”模块“获取采购文件”菜单，进行网上获取采购文件。通过本公告下方“游客，浏览采购文件”下载的采购文件仅供浏览。</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称：浙江省生态环境科学设计研究院</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址：杭州市天目山路109号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项目联系人（询问）：罗海宁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项目联系方式（询问）：0571-87999083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徐茂蓉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质疑联系方式：13606512536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称：华诚工程咨询集团有限公司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址：杭州市拱墅区彩云路105号锦盛大楼</w:t>
      </w:r>
      <w:r>
        <w:rPr>
          <w:rFonts w:ascii="宋体" w:hAnsi="宋体" w:cs="宋体"/>
          <w:color w:val="auto"/>
          <w:sz w:val="24"/>
          <w:highlight w:val="none"/>
        </w:rPr>
        <w:t>8</w:t>
      </w:r>
      <w:r>
        <w:rPr>
          <w:rFonts w:hint="eastAsia" w:ascii="宋体" w:hAnsi="宋体" w:cs="宋体"/>
          <w:color w:val="auto"/>
          <w:sz w:val="24"/>
          <w:highlight w:val="none"/>
        </w:rPr>
        <w:t>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 0571-85179364/18058728210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质疑联系人：金册玲</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名称：浙江省财政厅政府采购监管处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地址：杭州市环城西路37号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联系人：倪文良、吴聪瑜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监督投诉电话：0571-87057615、87058489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4"/>
        <w:spacing w:line="360" w:lineRule="auto"/>
        <w:ind w:firstLine="480" w:firstLineChars="200"/>
        <w:rPr>
          <w:rFonts w:hAnsi="宋体" w:cs="宋体"/>
          <w:color w:val="auto"/>
          <w:sz w:val="24"/>
          <w:szCs w:val="24"/>
          <w:highlight w:val="none"/>
        </w:rPr>
      </w:pP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3"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p>
          <w:p>
            <w:pPr>
              <w:snapToGrid w:val="0"/>
              <w:spacing w:line="360" w:lineRule="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（2）方案讲解演示可选择以下其中一种方式：</w:t>
            </w:r>
          </w:p>
          <w:p>
            <w:pPr>
              <w:snapToGrid w:val="0"/>
              <w:spacing w:line="360" w:lineRule="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方式二：交易中心现场讲解演示。现场讲解地点为    ，讲解演示所用电脑等设备由投标人自备。现场讲解演示人员进场时提供讲解人员名单（加盖公章）及身份证明，否则不得讲解演示。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b w:val="0"/>
                <w:bCs/>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B</w:t>
            </w: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浙江省减污降碳协同增效管理系统监理服务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，属于行业；</w:t>
            </w:r>
            <w:r>
              <w:rPr>
                <w:rFonts w:hint="eastAsia" w:ascii="宋体" w:hAnsi="宋体" w:cs="宋体"/>
                <w:color w:val="auto"/>
                <w:kern w:val="0"/>
                <w:sz w:val="24"/>
                <w:highlight w:val="none"/>
                <w:u w:val="single"/>
              </w:rPr>
              <w:t>软件和信息技术服务业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浙江省杭州市拱墅区彩云路105号锦盛大楼8楼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中标人在领取中标通知书时，须向采购代理机构支付招标代理服务费，参照国家计委计价格【2002】1980号文件收费标准向中标人收取代理服务费。请投标人报价时给予考虑。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无</w:t>
            </w:r>
            <w:r>
              <w:rPr>
                <w:rFonts w:hint="eastAsia" w:ascii="宋体" w:hAnsi="宋体" w:cs="宋体"/>
                <w:b/>
                <w:color w:val="auto"/>
                <w:kern w:val="0"/>
                <w:sz w:val="24"/>
                <w:highlight w:val="none"/>
              </w:rPr>
              <w:t>。</w:t>
            </w:r>
          </w:p>
        </w:tc>
      </w:tr>
    </w:tbl>
    <w:p>
      <w:pPr>
        <w:snapToGrid w:val="0"/>
        <w:spacing w:line="360" w:lineRule="auto"/>
        <w:jc w:val="center"/>
        <w:rPr>
          <w:rFonts w:ascii="宋体" w:hAnsi="宋体" w:cs="宋体"/>
          <w:b/>
          <w:color w:val="auto"/>
          <w:sz w:val="32"/>
          <w:szCs w:val="20"/>
          <w:highlight w:val="none"/>
        </w:rPr>
      </w:pPr>
    </w:p>
    <w:bookmarkEnd w:id="10"/>
    <w:p>
      <w:pPr>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系指实质性要求条款，“★”系产品采购项目中单一产品或核心产品，“</w:t>
      </w:r>
      <w:sdt>
        <w:sdtPr>
          <w:rPr>
            <w:rFonts w:hint="eastAsia" w:ascii="仿宋_GB2312" w:hAnsi="仿宋" w:eastAsia="仿宋_GB2312" w:cs="Arial"/>
            <w:color w:val="auto"/>
            <w:kern w:val="0"/>
            <w:sz w:val="24"/>
            <w:highlight w:val="none"/>
          </w:rPr>
          <w:id w:val="512970236"/>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4.3.5 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p>
    <w:p>
      <w:pPr>
        <w:rPr>
          <w:rFonts w:ascii="宋体" w:hAnsi="宋体" w:cs="宋体"/>
          <w:b/>
          <w:color w:val="auto"/>
          <w:sz w:val="30"/>
          <w:szCs w:val="20"/>
          <w:highlight w:val="none"/>
        </w:rPr>
      </w:pPr>
      <w:r>
        <w:rPr>
          <w:rFonts w:hint="eastAsia" w:ascii="宋体" w:hAnsi="宋体" w:cs="宋体"/>
          <w:b/>
          <w:color w:val="auto"/>
          <w:sz w:val="30"/>
          <w:szCs w:val="20"/>
          <w:highlight w:val="none"/>
        </w:rPr>
        <w:br w:type="page"/>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11.1.2落实政府采购政策需满足的资格要求；</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11.1.3本项目的特定资格要求。</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11.2.3联合协议；（如有）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11.2.4分包意向协议；（如有）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11.2.6评标标准相应的商务技术资料；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8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15.5投标人仅提交备份投标文件，没有在电子交易平台传输递交投标文件的，投标无效。</w:t>
      </w:r>
    </w:p>
    <w:p>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第13项规定</w:t>
      </w:r>
      <w:r>
        <w:rPr>
          <w:rFonts w:hint="eastAsia" w:cs="宋体"/>
          <w:color w:val="auto"/>
          <w:szCs w:val="21"/>
          <w:highlight w:val="none"/>
        </w:rPr>
        <w:t>的情形之一的，投标无效：</w:t>
      </w:r>
    </w:p>
    <w:p>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643"/>
        <w:rPr>
          <w:rFonts w:ascii="宋体" w:hAnsi="宋体" w:cs="宋体"/>
          <w:b/>
          <w:color w:val="auto"/>
          <w:sz w:val="32"/>
          <w:highlight w:val="none"/>
        </w:rPr>
      </w:pPr>
    </w:p>
    <w:p>
      <w:pPr>
        <w:rPr>
          <w:rFonts w:ascii="宋体" w:hAnsi="宋体" w:cs="宋体"/>
          <w:b/>
          <w:color w:val="auto"/>
          <w:sz w:val="32"/>
          <w:highlight w:val="none"/>
        </w:rPr>
      </w:pPr>
      <w:r>
        <w:rPr>
          <w:rFonts w:hint="eastAsia" w:ascii="宋体" w:hAnsi="宋体" w:cs="宋体"/>
          <w:b/>
          <w:color w:val="auto"/>
          <w:sz w:val="32"/>
          <w:highlight w:val="none"/>
        </w:rPr>
        <w:br w:type="page"/>
      </w:r>
    </w:p>
    <w:p>
      <w:pPr>
        <w:pStyle w:val="8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4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pPr>
        <w:pStyle w:val="24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采购人或采购机构依据法律法规和招标文件的规定，对投标人的基本资格条件、特定资格条件进行审查。</w:t>
      </w:r>
    </w:p>
    <w:p>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采购人将自收到评审报告之日起5个工作日内通过电子交易平台在评审报告推荐的中标候选人中按顺序确定中标供应商。</w:t>
      </w:r>
    </w:p>
    <w:p>
      <w:pPr>
        <w:pStyle w:val="8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8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b/>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。履约保证金的数额不得超过政府采购合同金额的2.5%。鼓励和支持供应商以银行、保险公司出具的保函形式提供履约保证金。</w:t>
      </w:r>
      <w:r>
        <w:rPr>
          <w:rFonts w:hint="eastAsia" w:ascii="宋体" w:hAnsi="宋体" w:cs="宋体"/>
          <w:b/>
          <w:color w:val="auto"/>
          <w:sz w:val="24"/>
          <w:highlight w:val="none"/>
        </w:rPr>
        <w:t>采购人不得拒收履约保函。</w:t>
      </w:r>
    </w:p>
    <w:p>
      <w:pPr>
        <w:tabs>
          <w:tab w:val="left" w:pos="0"/>
        </w:tabs>
        <w:spacing w:line="360" w:lineRule="auto"/>
        <w:ind w:firstLine="482"/>
        <w:rPr>
          <w:rFonts w:ascii="宋体" w:hAnsi="宋体" w:cs="宋体"/>
          <w:color w:val="auto"/>
          <w:sz w:val="24"/>
          <w:szCs w:val="20"/>
          <w:highlight w:val="none"/>
        </w:rPr>
      </w:pPr>
      <w:r>
        <w:rPr>
          <w:rFonts w:hint="eastAsia" w:ascii="宋体" w:hAnsi="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3"/>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8"/>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8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68072990"/>
      <w:bookmarkEnd w:id="15"/>
      <w:bookmarkStart w:id="16" w:name="_Hlt74707468"/>
      <w:bookmarkEnd w:id="16"/>
      <w:bookmarkStart w:id="17" w:name="_Hlt68057669"/>
      <w:bookmarkEnd w:id="17"/>
      <w:bookmarkStart w:id="18" w:name="_Hlt74714665"/>
      <w:bookmarkEnd w:id="18"/>
      <w:bookmarkStart w:id="19" w:name="_Hlt68403820"/>
      <w:bookmarkEnd w:id="19"/>
      <w:bookmarkStart w:id="20" w:name="_Hlt75236290"/>
      <w:bookmarkEnd w:id="20"/>
      <w:bookmarkStart w:id="21" w:name="_Hlt68073093"/>
      <w:bookmarkEnd w:id="21"/>
      <w:bookmarkStart w:id="22" w:name="_Hlt68072998"/>
      <w:bookmarkEnd w:id="22"/>
      <w:bookmarkStart w:id="23" w:name="_Hlt75236101"/>
      <w:bookmarkEnd w:id="23"/>
      <w:bookmarkStart w:id="24" w:name="_Hlt75236011"/>
      <w:bookmarkEnd w:id="24"/>
      <w:bookmarkStart w:id="25" w:name="_Hlt74729768"/>
      <w:bookmarkEnd w:id="25"/>
    </w:p>
    <w:bookmarkEnd w:id="11"/>
    <w:bookmarkEnd w:id="12"/>
    <w:p>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pPr>
        <w:spacing w:line="360" w:lineRule="auto"/>
        <w:ind w:firstLine="181" w:firstLineChars="50"/>
        <w:rPr>
          <w:rFonts w:ascii="宋体" w:hAnsi="宋体" w:cs="宋体"/>
          <w:b/>
          <w:color w:val="auto"/>
          <w:sz w:val="36"/>
          <w:szCs w:val="36"/>
          <w:highlight w:val="none"/>
        </w:rPr>
      </w:pPr>
    </w:p>
    <w:p>
      <w:pPr>
        <w:pStyle w:val="148"/>
        <w:numPr>
          <w:ilvl w:val="1"/>
          <w:numId w:val="0"/>
        </w:numPr>
        <w:tabs>
          <w:tab w:val="left" w:pos="1320"/>
          <w:tab w:val="clear" w:pos="840"/>
        </w:tabs>
        <w:spacing w:before="0" w:beforeLines="0" w:after="0" w:line="360" w:lineRule="auto"/>
        <w:ind w:leftChars="0" w:firstLine="482" w:firstLineChars="200"/>
        <w:rPr>
          <w:rFonts w:hint="default" w:ascii="宋体" w:hAnsi="宋体" w:eastAsia="宋体" w:cs="宋体"/>
          <w:color w:val="auto"/>
          <w:sz w:val="24"/>
          <w:szCs w:val="24"/>
          <w:highlight w:val="none"/>
          <w:lang w:val="en-US" w:eastAsia="zh-CN"/>
        </w:rPr>
      </w:pPr>
      <w:bookmarkStart w:id="27" w:name="_Toc43303504"/>
      <w:bookmarkStart w:id="28" w:name="_Toc1052"/>
      <w:bookmarkStart w:id="29" w:name="_Toc34570131"/>
      <w:bookmarkStart w:id="30" w:name="_Toc5278"/>
      <w:bookmarkStart w:id="31" w:name="_Toc17268015"/>
      <w:bookmarkStart w:id="32" w:name="_Toc19086"/>
      <w:bookmarkStart w:id="33" w:name="_Toc37705887"/>
      <w:bookmarkStart w:id="34" w:name="_Toc37705633"/>
      <w:r>
        <w:rPr>
          <w:rFonts w:hint="eastAsia" w:ascii="宋体" w:hAnsi="宋体" w:eastAsia="宋体" w:cs="宋体"/>
          <w:color w:val="auto"/>
          <w:sz w:val="24"/>
          <w:szCs w:val="24"/>
          <w:highlight w:val="none"/>
          <w:lang w:val="en-US" w:eastAsia="zh-CN"/>
        </w:rPr>
        <w:t>一、监理服务内容</w:t>
      </w:r>
    </w:p>
    <w:tbl>
      <w:tblPr>
        <w:tblStyle w:val="64"/>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2"/>
        <w:gridCol w:w="1950"/>
        <w:gridCol w:w="700"/>
        <w:gridCol w:w="717"/>
        <w:gridCol w:w="483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722" w:type="dxa"/>
            <w:tcBorders>
              <w:top w:val="double" w:color="000000" w:sz="6" w:space="0"/>
              <w:left w:val="double" w:color="000000" w:sz="6" w:space="0"/>
              <w:bottom w:val="single" w:color="000000" w:sz="6" w:space="0"/>
              <w:right w:val="single" w:color="000000" w:sz="6" w:space="0"/>
            </w:tcBorders>
            <w:noWrap w:val="0"/>
            <w:vAlign w:val="center"/>
          </w:tcPr>
          <w:p>
            <w:pPr>
              <w:pStyle w:val="59"/>
              <w:spacing w:line="360" w:lineRule="auto"/>
              <w:jc w:val="center"/>
              <w:rPr>
                <w:rFonts w:hint="eastAsia" w:ascii="宋体" w:hAnsi="宋体" w:eastAsia="宋体" w:cs="宋体"/>
                <w:color w:val="auto"/>
                <w:sz w:val="21"/>
                <w:szCs w:val="21"/>
                <w:highlight w:val="none"/>
              </w:rPr>
            </w:pPr>
            <w:bookmarkStart w:id="35" w:name="_Toc480192716"/>
            <w:r>
              <w:rPr>
                <w:rFonts w:hint="eastAsia" w:ascii="宋体" w:hAnsi="宋体" w:eastAsia="宋体" w:cs="宋体"/>
                <w:color w:val="auto"/>
                <w:sz w:val="21"/>
                <w:szCs w:val="21"/>
                <w:highlight w:val="none"/>
              </w:rPr>
              <w:t>序号</w:t>
            </w:r>
          </w:p>
        </w:tc>
        <w:tc>
          <w:tcPr>
            <w:tcW w:w="1950" w:type="dxa"/>
            <w:tcBorders>
              <w:top w:val="double" w:color="000000" w:sz="6" w:space="0"/>
              <w:left w:val="single" w:color="000000" w:sz="6" w:space="0"/>
              <w:bottom w:val="single" w:color="000000" w:sz="6" w:space="0"/>
              <w:right w:val="single" w:color="000000" w:sz="6" w:space="0"/>
            </w:tcBorders>
            <w:noWrap w:val="0"/>
            <w:vAlign w:val="center"/>
          </w:tcPr>
          <w:p>
            <w:pPr>
              <w:pStyle w:val="5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00" w:type="dxa"/>
            <w:tcBorders>
              <w:top w:val="double" w:color="000000" w:sz="6" w:space="0"/>
              <w:left w:val="single" w:color="000000" w:sz="6" w:space="0"/>
              <w:bottom w:val="single" w:color="000000" w:sz="6" w:space="0"/>
              <w:right w:val="single" w:color="000000" w:sz="6" w:space="0"/>
            </w:tcBorders>
            <w:noWrap w:val="0"/>
            <w:vAlign w:val="center"/>
          </w:tcPr>
          <w:p>
            <w:pPr>
              <w:pStyle w:val="5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17" w:type="dxa"/>
            <w:tcBorders>
              <w:top w:val="double" w:color="000000" w:sz="6" w:space="0"/>
              <w:left w:val="single" w:color="000000" w:sz="6" w:space="0"/>
              <w:bottom w:val="single" w:color="000000" w:sz="6" w:space="0"/>
              <w:right w:val="single" w:color="000000" w:sz="6" w:space="0"/>
            </w:tcBorders>
            <w:noWrap w:val="0"/>
            <w:vAlign w:val="center"/>
          </w:tcPr>
          <w:p>
            <w:pPr>
              <w:pStyle w:val="5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4839" w:type="dxa"/>
            <w:tcBorders>
              <w:top w:val="double" w:color="000000" w:sz="6" w:space="0"/>
              <w:left w:val="single" w:color="000000" w:sz="6" w:space="0"/>
              <w:bottom w:val="single" w:color="000000" w:sz="6" w:space="0"/>
              <w:right w:val="double" w:color="000000" w:sz="6" w:space="0"/>
            </w:tcBorders>
            <w:noWrap w:val="0"/>
            <w:vAlign w:val="center"/>
          </w:tcPr>
          <w:p>
            <w:pPr>
              <w:pStyle w:val="5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监理服务内容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2" w:type="dxa"/>
            <w:tcBorders>
              <w:top w:val="single" w:color="000000" w:sz="6" w:space="0"/>
              <w:left w:val="double" w:color="000000" w:sz="6" w:space="0"/>
              <w:bottom w:val="double" w:color="000000" w:sz="6" w:space="0"/>
              <w:right w:val="single" w:color="000000" w:sz="6" w:space="0"/>
            </w:tcBorders>
            <w:noWrap w:val="0"/>
            <w:vAlign w:val="center"/>
          </w:tcPr>
          <w:p>
            <w:pPr>
              <w:pStyle w:val="59"/>
              <w:spacing w:line="360" w:lineRule="auto"/>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1</w:t>
            </w:r>
          </w:p>
        </w:tc>
        <w:tc>
          <w:tcPr>
            <w:tcW w:w="1950" w:type="dxa"/>
            <w:tcBorders>
              <w:top w:val="single" w:color="000000" w:sz="6" w:space="0"/>
              <w:left w:val="single" w:color="000000" w:sz="6" w:space="0"/>
              <w:bottom w:val="double" w:color="000000" w:sz="6" w:space="0"/>
              <w:right w:val="single" w:color="000000" w:sz="6" w:space="0"/>
            </w:tcBorders>
            <w:noWrap w:val="0"/>
            <w:vAlign w:val="center"/>
          </w:tcPr>
          <w:p>
            <w:pPr>
              <w:pStyle w:val="59"/>
              <w:spacing w:line="360" w:lineRule="auto"/>
              <w:jc w:val="center"/>
              <w:rPr>
                <w:rFonts w:hint="default" w:ascii="宋体" w:hAnsi="宋体" w:eastAsia="宋体" w:cs="宋体"/>
                <w:caps/>
                <w:color w:val="auto"/>
                <w:sz w:val="21"/>
                <w:szCs w:val="21"/>
                <w:highlight w:val="none"/>
                <w:lang w:val="en-US" w:eastAsia="zh-CN"/>
              </w:rPr>
            </w:pPr>
            <w:r>
              <w:rPr>
                <w:rFonts w:hint="eastAsia" w:ascii="宋体" w:hAnsi="宋体" w:eastAsia="宋体" w:cs="宋体"/>
                <w:caps/>
                <w:color w:val="auto"/>
                <w:sz w:val="21"/>
                <w:szCs w:val="21"/>
                <w:highlight w:val="none"/>
                <w:lang w:val="en-US" w:eastAsia="zh-CN"/>
              </w:rPr>
              <w:t>浙江省减污降碳协同增效管理系统监理</w:t>
            </w:r>
            <w:r>
              <w:rPr>
                <w:rFonts w:hint="eastAsia" w:cs="宋体"/>
                <w:caps/>
                <w:color w:val="auto"/>
                <w:sz w:val="21"/>
                <w:szCs w:val="21"/>
                <w:highlight w:val="none"/>
                <w:lang w:val="en-US" w:eastAsia="zh-CN"/>
              </w:rPr>
              <w:t>服务项目</w:t>
            </w:r>
          </w:p>
        </w:tc>
        <w:tc>
          <w:tcPr>
            <w:tcW w:w="700" w:type="dxa"/>
            <w:tcBorders>
              <w:top w:val="single" w:color="000000" w:sz="6" w:space="0"/>
              <w:left w:val="single" w:color="000000" w:sz="6" w:space="0"/>
              <w:bottom w:val="double" w:color="000000" w:sz="6" w:space="0"/>
              <w:right w:val="single" w:color="000000" w:sz="6" w:space="0"/>
            </w:tcBorders>
            <w:noWrap w:val="0"/>
            <w:vAlign w:val="center"/>
          </w:tcPr>
          <w:p>
            <w:pPr>
              <w:pStyle w:val="59"/>
              <w:spacing w:line="360" w:lineRule="auto"/>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1</w:t>
            </w:r>
          </w:p>
        </w:tc>
        <w:tc>
          <w:tcPr>
            <w:tcW w:w="717" w:type="dxa"/>
            <w:tcBorders>
              <w:top w:val="single" w:color="000000" w:sz="6" w:space="0"/>
              <w:left w:val="single" w:color="000000" w:sz="6" w:space="0"/>
              <w:bottom w:val="double" w:color="000000" w:sz="6" w:space="0"/>
              <w:right w:val="single" w:color="000000" w:sz="6" w:space="0"/>
            </w:tcBorders>
            <w:noWrap w:val="0"/>
            <w:vAlign w:val="center"/>
          </w:tcPr>
          <w:p>
            <w:pPr>
              <w:pStyle w:val="59"/>
              <w:spacing w:line="360" w:lineRule="auto"/>
              <w:jc w:val="center"/>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项</w:t>
            </w:r>
          </w:p>
        </w:tc>
        <w:tc>
          <w:tcPr>
            <w:tcW w:w="4839" w:type="dxa"/>
            <w:tcBorders>
              <w:top w:val="single" w:color="000000" w:sz="6" w:space="0"/>
              <w:left w:val="single" w:color="000000" w:sz="6" w:space="0"/>
              <w:bottom w:val="double" w:color="000000" w:sz="6" w:space="0"/>
              <w:right w:val="double" w:color="000000" w:sz="6" w:space="0"/>
            </w:tcBorders>
            <w:noWrap w:val="0"/>
            <w:vAlign w:val="center"/>
          </w:tcPr>
          <w:p>
            <w:pPr>
              <w:adjustRightInd w:val="0"/>
              <w:snapToGrid w:val="0"/>
              <w:spacing w:line="360" w:lineRule="auto"/>
              <w:ind w:firstLine="420" w:firstLineChars="200"/>
              <w:rPr>
                <w:rFonts w:hint="eastAsia" w:ascii="宋体" w:hAnsi="宋体" w:eastAsia="宋体" w:cs="宋体"/>
                <w:caps/>
                <w:color w:val="auto"/>
                <w:sz w:val="21"/>
                <w:szCs w:val="21"/>
                <w:highlight w:val="none"/>
              </w:rPr>
            </w:pPr>
            <w:r>
              <w:rPr>
                <w:rFonts w:hint="eastAsia" w:ascii="宋体" w:hAnsi="宋体" w:eastAsia="宋体" w:cs="宋体"/>
                <w:caps/>
                <w:color w:val="auto"/>
                <w:sz w:val="21"/>
                <w:szCs w:val="21"/>
                <w:highlight w:val="none"/>
              </w:rPr>
              <w:t>遵循国家、省、市信息系统项目建设和监理的标准和规范，按照“四控、三管、一协调”的原则，对</w:t>
            </w:r>
            <w:r>
              <w:rPr>
                <w:rFonts w:hint="eastAsia" w:ascii="宋体" w:hAnsi="宋体" w:eastAsia="宋体" w:cs="宋体"/>
                <w:caps/>
                <w:color w:val="auto"/>
                <w:sz w:val="21"/>
                <w:szCs w:val="21"/>
                <w:highlight w:val="none"/>
                <w:lang w:val="en-US" w:eastAsia="zh-CN"/>
              </w:rPr>
              <w:t>浙江省减污降碳协同增效管理系统监理</w:t>
            </w:r>
            <w:r>
              <w:rPr>
                <w:rFonts w:hint="eastAsia" w:cs="宋体"/>
                <w:caps/>
                <w:color w:val="auto"/>
                <w:sz w:val="21"/>
                <w:szCs w:val="21"/>
                <w:highlight w:val="none"/>
                <w:lang w:val="en-US" w:eastAsia="zh-CN"/>
              </w:rPr>
              <w:t>服务项目</w:t>
            </w:r>
            <w:r>
              <w:rPr>
                <w:rFonts w:hint="eastAsia" w:ascii="宋体" w:hAnsi="宋体" w:eastAsia="宋体" w:cs="宋体"/>
                <w:caps/>
                <w:color w:val="auto"/>
                <w:sz w:val="21"/>
                <w:szCs w:val="21"/>
                <w:highlight w:val="none"/>
              </w:rPr>
              <w:t>提供第三方</w:t>
            </w:r>
            <w:r>
              <w:rPr>
                <w:rFonts w:hint="eastAsia" w:ascii="宋体" w:hAnsi="宋体" w:eastAsia="宋体" w:cs="宋体"/>
                <w:caps/>
                <w:color w:val="auto"/>
                <w:sz w:val="21"/>
                <w:szCs w:val="21"/>
                <w:highlight w:val="none"/>
                <w:lang w:val="en-US" w:eastAsia="zh-CN"/>
              </w:rPr>
              <w:t>全过程</w:t>
            </w:r>
            <w:r>
              <w:rPr>
                <w:rFonts w:hint="eastAsia" w:ascii="宋体" w:hAnsi="宋体" w:eastAsia="宋体" w:cs="宋体"/>
                <w:caps/>
                <w:color w:val="auto"/>
                <w:sz w:val="21"/>
                <w:szCs w:val="21"/>
                <w:highlight w:val="none"/>
              </w:rPr>
              <w:t>监理服务，监理服务范围主要包括合同签订、</w:t>
            </w:r>
            <w:r>
              <w:rPr>
                <w:rFonts w:hint="eastAsia" w:ascii="宋体" w:hAnsi="宋体" w:eastAsia="宋体" w:cs="宋体"/>
                <w:bCs/>
                <w:color w:val="auto"/>
                <w:sz w:val="21"/>
                <w:szCs w:val="21"/>
                <w:highlight w:val="none"/>
              </w:rPr>
              <w:t>应用软件开发、设备和系统购置、安装调试、</w:t>
            </w:r>
            <w:r>
              <w:rPr>
                <w:rFonts w:hint="eastAsia" w:ascii="宋体" w:hAnsi="宋体" w:eastAsia="宋体" w:cs="宋体"/>
                <w:caps/>
                <w:color w:val="auto"/>
                <w:sz w:val="21"/>
                <w:szCs w:val="21"/>
                <w:highlight w:val="none"/>
              </w:rPr>
              <w:t>系统测试、系统培训、试运行和验收，系统移交及相关文档起草和管理等项目建设各个环节。</w:t>
            </w:r>
          </w:p>
        </w:tc>
      </w:tr>
    </w:tbl>
    <w:p>
      <w:pPr>
        <w:spacing w:line="360" w:lineRule="auto"/>
        <w:ind w:firstLine="420" w:firstLineChars="200"/>
        <w:rPr>
          <w:rFonts w:ascii="宋体" w:hAnsi="宋体"/>
          <w:color w:val="auto"/>
          <w:szCs w:val="30"/>
          <w:highlight w:val="none"/>
        </w:rPr>
      </w:pPr>
    </w:p>
    <w:bookmarkEnd w:id="27"/>
    <w:bookmarkEnd w:id="28"/>
    <w:bookmarkEnd w:id="29"/>
    <w:bookmarkEnd w:id="30"/>
    <w:bookmarkEnd w:id="31"/>
    <w:bookmarkEnd w:id="32"/>
    <w:bookmarkEnd w:id="33"/>
    <w:bookmarkEnd w:id="34"/>
    <w:bookmarkEnd w:id="35"/>
    <w:p>
      <w:pPr>
        <w:pStyle w:val="148"/>
        <w:numPr>
          <w:ilvl w:val="1"/>
          <w:numId w:val="0"/>
        </w:numPr>
        <w:tabs>
          <w:tab w:val="left" w:pos="1320"/>
          <w:tab w:val="clear" w:pos="840"/>
        </w:tabs>
        <w:spacing w:before="0" w:beforeLines="0" w:after="0" w:line="360" w:lineRule="auto"/>
        <w:ind w:leftChars="0" w:firstLine="482" w:firstLineChars="200"/>
        <w:rPr>
          <w:rFonts w:ascii="宋体" w:hAnsi="宋体" w:eastAsia="宋体" w:cs="宋体"/>
          <w:color w:val="auto"/>
          <w:sz w:val="24"/>
          <w:szCs w:val="24"/>
          <w:highlight w:val="none"/>
        </w:rPr>
      </w:pPr>
      <w:bookmarkStart w:id="36" w:name="_Toc15817"/>
      <w:bookmarkStart w:id="37" w:name="_Toc17582"/>
      <w:bookmarkStart w:id="38" w:name="_Toc14108"/>
      <w:r>
        <w:rPr>
          <w:rFonts w:hint="eastAsia" w:ascii="宋体" w:hAnsi="宋体" w:eastAsia="宋体" w:cs="宋体"/>
          <w:color w:val="auto"/>
          <w:sz w:val="24"/>
          <w:szCs w:val="24"/>
          <w:highlight w:val="none"/>
          <w:lang w:val="en-US" w:eastAsia="zh-CN"/>
        </w:rPr>
        <w:t>二</w:t>
      </w:r>
      <w:r>
        <w:rPr>
          <w:rFonts w:ascii="宋体" w:hAnsi="宋体" w:eastAsia="宋体" w:cs="宋体"/>
          <w:color w:val="auto"/>
          <w:sz w:val="24"/>
          <w:szCs w:val="24"/>
          <w:highlight w:val="none"/>
        </w:rPr>
        <w:t>、监理服务范围</w:t>
      </w:r>
      <w:bookmarkEnd w:id="36"/>
      <w:bookmarkEnd w:id="37"/>
      <w:bookmarkEnd w:id="38"/>
    </w:p>
    <w:p>
      <w:pPr>
        <w:rPr>
          <w:rFonts w:hint="eastAsia" w:ascii="宋体" w:hAnsi="宋体" w:eastAsia="宋体" w:cs="宋体"/>
          <w:snapToGrid w:val="0"/>
          <w:color w:val="auto"/>
          <w:highlight w:val="none"/>
        </w:rPr>
      </w:pPr>
      <w:r>
        <w:rPr>
          <w:rFonts w:hint="eastAsia" w:ascii="宋体" w:hAnsi="宋体" w:eastAsia="宋体" w:cs="宋体"/>
          <w:bCs/>
          <w:color w:val="auto"/>
          <w:sz w:val="21"/>
          <w:szCs w:val="21"/>
          <w:highlight w:val="none"/>
        </w:rPr>
        <w:t>对浙江省减污降碳协同增效管理系统监理服务</w:t>
      </w:r>
      <w:r>
        <w:rPr>
          <w:rFonts w:hint="eastAsia" w:cs="宋体"/>
          <w:caps/>
          <w:color w:val="auto"/>
          <w:sz w:val="21"/>
          <w:szCs w:val="21"/>
          <w:highlight w:val="none"/>
          <w:lang w:val="en-US" w:eastAsia="zh-CN"/>
        </w:rPr>
        <w:t>项目</w:t>
      </w:r>
      <w:r>
        <w:rPr>
          <w:rFonts w:hint="eastAsia" w:ascii="宋体" w:hAnsi="宋体" w:eastAsia="宋体" w:cs="宋体"/>
          <w:bCs/>
          <w:color w:val="auto"/>
          <w:sz w:val="21"/>
          <w:szCs w:val="21"/>
          <w:highlight w:val="none"/>
        </w:rPr>
        <w:t>提供</w:t>
      </w:r>
      <w:r>
        <w:rPr>
          <w:rFonts w:hint="eastAsia" w:ascii="宋体" w:hAnsi="宋体" w:cs="宋体"/>
          <w:bCs/>
          <w:color w:val="auto"/>
          <w:sz w:val="21"/>
          <w:szCs w:val="21"/>
          <w:highlight w:val="none"/>
          <w:lang w:val="en-US" w:eastAsia="zh-CN"/>
        </w:rPr>
        <w:t>全过程</w:t>
      </w:r>
      <w:r>
        <w:rPr>
          <w:rFonts w:hint="eastAsia" w:ascii="宋体" w:hAnsi="宋体" w:eastAsia="宋体" w:cs="宋体"/>
          <w:bCs/>
          <w:color w:val="auto"/>
          <w:sz w:val="21"/>
          <w:szCs w:val="21"/>
          <w:highlight w:val="none"/>
        </w:rPr>
        <w:t>监理</w:t>
      </w:r>
      <w:r>
        <w:rPr>
          <w:rFonts w:hint="eastAsia" w:ascii="宋体" w:hAnsi="宋体" w:cs="宋体"/>
          <w:bCs/>
          <w:color w:val="auto"/>
          <w:sz w:val="21"/>
          <w:szCs w:val="21"/>
          <w:highlight w:val="none"/>
          <w:lang w:val="en-US" w:eastAsia="zh-CN"/>
        </w:rPr>
        <w:t>服务</w:t>
      </w:r>
      <w:r>
        <w:rPr>
          <w:rFonts w:hint="eastAsia" w:ascii="宋体" w:hAnsi="宋体" w:cs="宋体"/>
          <w:snapToGrid w:val="0"/>
          <w:color w:val="auto"/>
          <w:highlight w:val="none"/>
          <w:lang w:eastAsia="zh-CN"/>
        </w:rPr>
        <w:t>，</w:t>
      </w:r>
      <w:r>
        <w:rPr>
          <w:rFonts w:hint="eastAsia" w:ascii="宋体" w:hAnsi="宋体" w:cs="宋体"/>
          <w:snapToGrid w:val="0"/>
          <w:color w:val="auto"/>
          <w:highlight w:val="none"/>
          <w:lang w:val="en-US" w:eastAsia="zh-CN"/>
        </w:rPr>
        <w:t>主要</w:t>
      </w:r>
      <w:r>
        <w:rPr>
          <w:rFonts w:hint="eastAsia" w:ascii="宋体" w:hAnsi="宋体" w:eastAsia="宋体" w:cs="宋体"/>
          <w:snapToGrid w:val="0"/>
          <w:color w:val="auto"/>
          <w:highlight w:val="none"/>
        </w:rPr>
        <w:t>包括：</w:t>
      </w:r>
    </w:p>
    <w:p>
      <w:pPr>
        <w:pStyle w:val="34"/>
        <w:adjustRightInd w:val="0"/>
        <w:snapToGrid w:val="0"/>
        <w:spacing w:line="360" w:lineRule="auto"/>
        <w:ind w:firstLine="42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（一）协助采购人前期项目采购工作</w:t>
      </w:r>
    </w:p>
    <w:p>
      <w:pPr>
        <w:pStyle w:val="34"/>
        <w:adjustRightInd w:val="0"/>
        <w:snapToGrid w:val="0"/>
        <w:spacing w:line="360" w:lineRule="auto"/>
        <w:ind w:firstLine="42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项目的前期辅助采购人完成项目采购准备和策划工作，协助采购人完成项目采购过程中建设需求的编制与采购配合等工作。</w:t>
      </w:r>
    </w:p>
    <w:p>
      <w:pPr>
        <w:pStyle w:val="34"/>
        <w:adjustRightInd w:val="0"/>
        <w:snapToGrid w:val="0"/>
        <w:spacing w:line="360" w:lineRule="auto"/>
        <w:ind w:firstLine="42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（二）协助采购人做好合同审核工作</w:t>
      </w:r>
    </w:p>
    <w:p>
      <w:pPr>
        <w:pStyle w:val="34"/>
        <w:adjustRightInd w:val="0"/>
        <w:snapToGrid w:val="0"/>
        <w:spacing w:line="360" w:lineRule="auto"/>
        <w:ind w:firstLine="42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监理单位</w:t>
      </w:r>
      <w:r>
        <w:rPr>
          <w:rFonts w:hint="eastAsia" w:ascii="宋体" w:hAnsi="宋体" w:eastAsia="宋体" w:cs="宋体"/>
          <w:snapToGrid w:val="0"/>
          <w:color w:val="auto"/>
          <w:highlight w:val="none"/>
          <w:lang w:val="en-US" w:eastAsia="zh-CN"/>
        </w:rPr>
        <w:t>入</w:t>
      </w:r>
      <w:r>
        <w:rPr>
          <w:rFonts w:hint="eastAsia" w:ascii="宋体" w:hAnsi="宋体" w:eastAsia="宋体" w:cs="宋体"/>
          <w:snapToGrid w:val="0"/>
          <w:color w:val="auto"/>
          <w:highlight w:val="none"/>
        </w:rPr>
        <w:t>场后，根据采购人的要求，参与采购人与承建单位合同的讨论，协助采购人完成项目合同的编写工作，提出监理修改建议。</w:t>
      </w:r>
    </w:p>
    <w:p>
      <w:pPr>
        <w:pStyle w:val="34"/>
        <w:adjustRightInd w:val="0"/>
        <w:snapToGrid w:val="0"/>
        <w:spacing w:line="360" w:lineRule="auto"/>
        <w:ind w:firstLine="42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三</w:t>
      </w:r>
      <w:r>
        <w:rPr>
          <w:rFonts w:hint="eastAsia" w:ascii="宋体" w:hAnsi="宋体" w:eastAsia="宋体" w:cs="宋体"/>
          <w:snapToGrid w:val="0"/>
          <w:color w:val="auto"/>
          <w:highlight w:val="none"/>
        </w:rPr>
        <w:t>）协助采购人建立相关项目管理制度</w:t>
      </w:r>
    </w:p>
    <w:p>
      <w:pPr>
        <w:pStyle w:val="34"/>
        <w:adjustRightInd w:val="0"/>
        <w:snapToGrid w:val="0"/>
        <w:spacing w:line="360" w:lineRule="auto"/>
        <w:ind w:firstLine="42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根据采购人实际项目管理的需求，协助采购人制定相关项目管理制度。</w:t>
      </w:r>
    </w:p>
    <w:p>
      <w:pPr>
        <w:pStyle w:val="34"/>
        <w:adjustRightInd w:val="0"/>
        <w:snapToGrid w:val="0"/>
        <w:spacing w:line="360" w:lineRule="auto"/>
        <w:ind w:firstLine="42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四</w:t>
      </w:r>
      <w:r>
        <w:rPr>
          <w:rFonts w:hint="eastAsia" w:ascii="宋体" w:hAnsi="宋体" w:eastAsia="宋体" w:cs="宋体"/>
          <w:snapToGrid w:val="0"/>
          <w:color w:val="auto"/>
          <w:highlight w:val="none"/>
        </w:rPr>
        <w:t>）全程参与项目日常监理工作</w:t>
      </w:r>
    </w:p>
    <w:p>
      <w:pPr>
        <w:numPr>
          <w:ilvl w:val="1"/>
          <w:numId w:val="1"/>
        </w:numPr>
        <w:adjustRightInd w:val="0"/>
        <w:snapToGrid w:val="0"/>
        <w:spacing w:line="360" w:lineRule="auto"/>
        <w:ind w:left="0" w:firstLine="420" w:firstLineChars="200"/>
        <w:rPr>
          <w:rFonts w:ascii="宋体" w:hAnsi="宋体" w:cs="宋体"/>
          <w:color w:val="auto"/>
          <w:szCs w:val="21"/>
          <w:highlight w:val="none"/>
        </w:rPr>
      </w:pPr>
      <w:r>
        <w:rPr>
          <w:rFonts w:ascii="宋体" w:hAnsi="宋体" w:cs="宋体"/>
          <w:color w:val="auto"/>
          <w:szCs w:val="21"/>
          <w:highlight w:val="none"/>
        </w:rPr>
        <w:t>质量控制</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开工前监理单位审核实施方案、实施计划、质量管理计划等。监理单位针对本项目建设内容做好以下质量控制：</w:t>
      </w:r>
    </w:p>
    <w:p>
      <w:pPr>
        <w:numPr>
          <w:ilvl w:val="0"/>
          <w:numId w:val="2"/>
        </w:numPr>
        <w:adjustRightInd w:val="0"/>
        <w:snapToGrid w:val="0"/>
        <w:spacing w:line="360" w:lineRule="auto"/>
        <w:ind w:hanging="5" w:firstLineChars="0"/>
        <w:rPr>
          <w:rFonts w:hint="eastAsia" w:ascii="宋体" w:hAnsi="宋体" w:cs="宋体"/>
          <w:bCs w:val="0"/>
          <w:color w:val="auto"/>
          <w:kern w:val="2"/>
          <w:szCs w:val="21"/>
          <w:highlight w:val="none"/>
        </w:rPr>
      </w:pPr>
      <w:r>
        <w:rPr>
          <w:rFonts w:hint="eastAsia" w:ascii="宋体" w:hAnsi="宋体" w:cs="宋体"/>
          <w:bCs w:val="0"/>
          <w:color w:val="auto"/>
          <w:kern w:val="2"/>
          <w:szCs w:val="21"/>
          <w:highlight w:val="none"/>
          <w:lang w:val="en-US" w:eastAsia="zh-CN"/>
        </w:rPr>
        <w:t>硬件设备</w:t>
      </w:r>
      <w:r>
        <w:rPr>
          <w:rFonts w:hint="eastAsia" w:ascii="宋体" w:hAnsi="宋体" w:cs="宋体"/>
          <w:bCs w:val="0"/>
          <w:color w:val="auto"/>
          <w:kern w:val="2"/>
          <w:szCs w:val="21"/>
          <w:highlight w:val="none"/>
        </w:rPr>
        <w:t>的</w:t>
      </w:r>
      <w:r>
        <w:rPr>
          <w:rFonts w:hint="eastAsia" w:ascii="宋体" w:hAnsi="宋体" w:cs="宋体"/>
          <w:bCs w:val="0"/>
          <w:color w:val="auto"/>
          <w:kern w:val="2"/>
          <w:szCs w:val="21"/>
          <w:highlight w:val="none"/>
          <w:lang w:val="en-US" w:eastAsia="zh-CN"/>
        </w:rPr>
        <w:t>质量</w:t>
      </w:r>
      <w:r>
        <w:rPr>
          <w:rFonts w:hint="eastAsia" w:ascii="宋体" w:hAnsi="宋体" w:cs="宋体"/>
          <w:bCs w:val="0"/>
          <w:color w:val="auto"/>
          <w:kern w:val="2"/>
          <w:szCs w:val="21"/>
          <w:highlight w:val="none"/>
        </w:rPr>
        <w:t>控制</w:t>
      </w:r>
    </w:p>
    <w:p>
      <w:pPr>
        <w:adjustRightInd w:val="0"/>
        <w:snapToGrid w:val="0"/>
        <w:spacing w:line="360" w:lineRule="auto"/>
        <w:ind w:firstLine="420" w:firstLineChars="200"/>
        <w:rPr>
          <w:rFonts w:hint="eastAsia" w:ascii="宋体" w:hAnsi="宋体" w:eastAsia="宋体" w:cs="宋体"/>
          <w:bCs w:val="0"/>
          <w:color w:val="auto"/>
          <w:kern w:val="2"/>
          <w:szCs w:val="21"/>
          <w:highlight w:val="none"/>
          <w:lang w:eastAsia="zh-CN"/>
        </w:rPr>
      </w:pPr>
      <w:r>
        <w:rPr>
          <w:rFonts w:hint="eastAsia"/>
          <w:color w:val="auto"/>
          <w:highlight w:val="none"/>
          <w:lang w:val="en-US" w:eastAsia="zh-CN"/>
        </w:rPr>
        <w:t>协助采购人统筹做好项目建设内容所含硬件设备的质量控制。</w:t>
      </w:r>
      <w:r>
        <w:rPr>
          <w:rFonts w:hint="eastAsia"/>
          <w:color w:val="auto"/>
          <w:highlight w:val="none"/>
        </w:rPr>
        <w:t>做好</w:t>
      </w:r>
      <w:r>
        <w:rPr>
          <w:rFonts w:hint="eastAsia"/>
          <w:color w:val="auto"/>
          <w:highlight w:val="none"/>
          <w:lang w:val="en-US" w:eastAsia="zh-CN"/>
        </w:rPr>
        <w:t>硬件设备</w:t>
      </w:r>
      <w:r>
        <w:rPr>
          <w:rFonts w:hint="eastAsia"/>
          <w:color w:val="auto"/>
          <w:highlight w:val="none"/>
        </w:rPr>
        <w:t>到货清点、核验工作，检查项目使用材料、设备的规格型号、配置、质量与数量；负责对到货的硬件设备和软件产品的合格证、检测报告和准用证进行审查，出具检查记录</w:t>
      </w:r>
      <w:r>
        <w:rPr>
          <w:rFonts w:hint="eastAsia"/>
          <w:color w:val="auto"/>
          <w:highlight w:val="none"/>
          <w:lang w:eastAsia="zh-CN"/>
        </w:rPr>
        <w:t>；</w:t>
      </w:r>
      <w:r>
        <w:rPr>
          <w:rFonts w:hint="eastAsia" w:ascii="宋体" w:hAnsi="宋体" w:cs="宋体"/>
          <w:bCs w:val="0"/>
          <w:color w:val="auto"/>
          <w:kern w:val="2"/>
          <w:szCs w:val="21"/>
          <w:highlight w:val="none"/>
        </w:rPr>
        <w:t>对设备安装、系统软件的安装调试进行</w:t>
      </w:r>
      <w:r>
        <w:rPr>
          <w:rFonts w:hint="eastAsia" w:ascii="宋体" w:hAnsi="宋体" w:cs="宋体"/>
          <w:bCs w:val="0"/>
          <w:color w:val="auto"/>
          <w:kern w:val="2"/>
          <w:szCs w:val="21"/>
          <w:highlight w:val="none"/>
          <w:lang w:val="en-US" w:eastAsia="zh-CN"/>
        </w:rPr>
        <w:t>旁站跟踪</w:t>
      </w:r>
      <w:r>
        <w:rPr>
          <w:rFonts w:hint="eastAsia"/>
          <w:color w:val="auto"/>
          <w:highlight w:val="none"/>
          <w:lang w:eastAsia="zh-CN"/>
        </w:rPr>
        <w:t>。</w:t>
      </w:r>
    </w:p>
    <w:p>
      <w:pPr>
        <w:numPr>
          <w:ilvl w:val="0"/>
          <w:numId w:val="2"/>
        </w:numPr>
        <w:adjustRightInd w:val="0"/>
        <w:snapToGrid w:val="0"/>
        <w:spacing w:line="360" w:lineRule="auto"/>
        <w:ind w:hanging="5"/>
        <w:rPr>
          <w:rFonts w:ascii="宋体" w:hAnsi="宋体" w:cs="宋体"/>
          <w:color w:val="auto"/>
          <w:szCs w:val="21"/>
          <w:highlight w:val="none"/>
        </w:rPr>
      </w:pPr>
      <w:r>
        <w:rPr>
          <w:rFonts w:ascii="宋体" w:hAnsi="宋体" w:cs="宋体"/>
          <w:color w:val="auto"/>
          <w:szCs w:val="21"/>
          <w:highlight w:val="none"/>
        </w:rPr>
        <w:t>软件开发设计质量控制</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审核承建单位提交的软件开发计划和软件改造建设方案，并提出监理意见。</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在对项目建设详细了解的基础上，协助项目采购人和承建单位，对各个子系统、应用模块等应用软件的需求分析、详细设计、编码测试、系统安装调试、系统试运行等进行把关。</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系统需求分析监理应要求承建单位为系统需求分析过程的实施提交详细的计划，督促承建单位按照计划的要求开展系统需求分析活动，监督承建单位解决系统需求分析中发现的问题和不合格项，并提出监理意见。</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设计阶段促使承建单位提交的软件工程项目计划合理、可行，并与承建合同相符，促使承建单位系统需求分析符合正确性、完备性、准确性、可测试性和一致性，促使承建单位的系统设计方案满足软件工程项目的系统需求和有关的法规、标准，并符合承建合同的要求。</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软件编码监理控制软件编码阶段的工程进度，监督软件编码的编程风格和质量，使得软件编码阶段的工作能可靠、高效地实现软件设计的目标，同时符合软件过程规范的要求。</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测试阶段监理对软件测试工程活动进行跟踪、审查和评估。</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对源代码、开发文件移交给采购人的过程进行监督。</w:t>
      </w:r>
    </w:p>
    <w:p>
      <w:pPr>
        <w:numPr>
          <w:ilvl w:val="0"/>
          <w:numId w:val="2"/>
        </w:numPr>
        <w:adjustRightInd w:val="0"/>
        <w:snapToGrid w:val="0"/>
        <w:spacing w:line="360" w:lineRule="auto"/>
        <w:ind w:hanging="5"/>
        <w:rPr>
          <w:rFonts w:ascii="宋体" w:hAnsi="宋体" w:cs="宋体"/>
          <w:color w:val="auto"/>
          <w:szCs w:val="21"/>
          <w:highlight w:val="none"/>
        </w:rPr>
      </w:pPr>
      <w:r>
        <w:rPr>
          <w:rFonts w:ascii="宋体" w:hAnsi="宋体" w:cs="宋体"/>
          <w:color w:val="auto"/>
          <w:szCs w:val="21"/>
          <w:highlight w:val="none"/>
        </w:rPr>
        <w:t>软</w:t>
      </w:r>
      <w:r>
        <w:rPr>
          <w:rFonts w:hint="eastAsia" w:ascii="宋体" w:hAnsi="宋体" w:cs="宋体"/>
          <w:color w:val="auto"/>
          <w:szCs w:val="21"/>
          <w:highlight w:val="none"/>
          <w:lang w:val="en-US" w:eastAsia="zh-CN"/>
        </w:rPr>
        <w:t>硬</w:t>
      </w:r>
      <w:r>
        <w:rPr>
          <w:rFonts w:ascii="宋体" w:hAnsi="宋体" w:cs="宋体"/>
          <w:color w:val="auto"/>
          <w:szCs w:val="21"/>
          <w:highlight w:val="none"/>
        </w:rPr>
        <w:t>件应用培训的质量控制</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审核承建单位的培训计划和培训方案。</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监督承建单位实施其培训计划，并征求采购人的反馈意见。</w:t>
      </w:r>
    </w:p>
    <w:p>
      <w:pPr>
        <w:numPr>
          <w:ilvl w:val="0"/>
          <w:numId w:val="2"/>
        </w:numPr>
        <w:adjustRightInd w:val="0"/>
        <w:snapToGrid w:val="0"/>
        <w:spacing w:line="360" w:lineRule="auto"/>
        <w:ind w:hanging="5"/>
        <w:rPr>
          <w:rFonts w:ascii="宋体" w:hAnsi="宋体" w:cs="宋体"/>
          <w:color w:val="auto"/>
          <w:szCs w:val="21"/>
          <w:highlight w:val="none"/>
        </w:rPr>
      </w:pPr>
      <w:r>
        <w:rPr>
          <w:rFonts w:ascii="宋体" w:hAnsi="宋体" w:cs="宋体"/>
          <w:color w:val="auto"/>
          <w:szCs w:val="21"/>
          <w:highlight w:val="none"/>
        </w:rPr>
        <w:t>服务内容的质量控制</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审核承建单位的服务方案。</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跟踪、检查承建单位的服务过程，形成相应检查记录。</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对承建单位服务质量进行评估，形成相应的评估报告。</w:t>
      </w:r>
    </w:p>
    <w:p>
      <w:pPr>
        <w:numPr>
          <w:ilvl w:val="1"/>
          <w:numId w:val="1"/>
        </w:numPr>
        <w:adjustRightInd w:val="0"/>
        <w:snapToGrid w:val="0"/>
        <w:spacing w:line="360" w:lineRule="auto"/>
        <w:ind w:left="0" w:firstLine="420" w:firstLineChars="200"/>
        <w:rPr>
          <w:rFonts w:ascii="宋体" w:hAnsi="宋体" w:cs="宋体"/>
          <w:color w:val="auto"/>
          <w:szCs w:val="21"/>
          <w:highlight w:val="none"/>
        </w:rPr>
      </w:pPr>
      <w:r>
        <w:rPr>
          <w:rFonts w:ascii="宋体" w:hAnsi="宋体" w:cs="宋体"/>
          <w:color w:val="auto"/>
          <w:szCs w:val="21"/>
          <w:highlight w:val="none"/>
        </w:rPr>
        <w:t>进度控制</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审核和确认承建单位的项目进度计划和进度控制节点。根据承建单位的进度计划，监理单位制定详细的监理计划，明确项目进度控制节点和要点。</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对项目实施进度进行实时跟踪，并要求承建单位对进度计划进行动态调整，以确保项目的阶段和总体进度目标的实现。</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监理单位应有检查项目进度的机制，应有进度延期的预警机制，应能准确评估局部进度出现偏差对整体项目的影响。当工期目标严重偏离时，应及时指出，并提出对策建议，同时督促承建单位尽快采取措施。</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应建立项目进度协调与控制机制，分析进度延期原因的能力，应有跟踪解决导致进度延期原因的措施或方法。</w:t>
      </w:r>
    </w:p>
    <w:p>
      <w:pPr>
        <w:numPr>
          <w:ilvl w:val="1"/>
          <w:numId w:val="1"/>
        </w:numPr>
        <w:adjustRightInd w:val="0"/>
        <w:snapToGrid w:val="0"/>
        <w:spacing w:line="360" w:lineRule="auto"/>
        <w:ind w:left="0" w:firstLine="420" w:firstLineChars="200"/>
        <w:rPr>
          <w:rFonts w:ascii="宋体" w:hAnsi="宋体" w:cs="宋体"/>
          <w:color w:val="auto"/>
          <w:szCs w:val="21"/>
          <w:highlight w:val="none"/>
        </w:rPr>
      </w:pPr>
      <w:r>
        <w:rPr>
          <w:rFonts w:ascii="宋体" w:hAnsi="宋体" w:cs="宋体"/>
          <w:color w:val="auto"/>
          <w:szCs w:val="21"/>
          <w:highlight w:val="none"/>
        </w:rPr>
        <w:t>变更及投资控制</w:t>
      </w:r>
    </w:p>
    <w:p>
      <w:pPr>
        <w:adjustRightInd w:val="0"/>
        <w:snapToGrid w:val="0"/>
        <w:spacing w:line="360" w:lineRule="auto"/>
        <w:ind w:firstLine="420" w:firstLineChars="200"/>
        <w:rPr>
          <w:rFonts w:ascii="宋体" w:hAnsi="宋体" w:cs="宋体"/>
          <w:color w:val="auto"/>
          <w:szCs w:val="21"/>
          <w:highlight w:val="none"/>
        </w:rPr>
      </w:pPr>
      <w:r>
        <w:rPr>
          <w:rFonts w:hint="eastAsia"/>
          <w:color w:val="auto"/>
          <w:highlight w:val="none"/>
        </w:rPr>
        <w:t>对项目建设不可预见费的开支使用情况进行技术性审核并提出意见</w:t>
      </w:r>
      <w:r>
        <w:rPr>
          <w:rFonts w:ascii="宋体" w:hAnsi="宋体" w:cs="宋体"/>
          <w:color w:val="auto"/>
          <w:szCs w:val="21"/>
          <w:highlight w:val="none"/>
        </w:rPr>
        <w:t>，确保投资控制在合理、性价比高的范围内。</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对项目整体需求范围进行控制，使得项目整体需求范围不产生较大的偏离，对新增的需求，提供相关处理建议。</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对项目过程中产生的项目延期及变更进行审核，确保变更原因合理。</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监理单位应协调采购人和承建单位提供充分的变更信息，以支持对变更请求的成本管控，并做好变更记录。由于变更引起服务费用的改变，应按照信息系统服务合同的相关条款执行。在信息系统服务合同中没有规定的，应在变更实施前与采购人和承建单位协商确定变更导致的服务费用变化，并做好服务备忘录。</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参与设计变更、施工变更的</w:t>
      </w:r>
      <w:r>
        <w:rPr>
          <w:rFonts w:hint="eastAsia" w:ascii="宋体" w:hAnsi="宋体" w:cs="宋体"/>
          <w:color w:val="auto"/>
          <w:szCs w:val="21"/>
          <w:highlight w:val="none"/>
          <w:lang w:val="en-US" w:eastAsia="zh-CN"/>
        </w:rPr>
        <w:t>审查确认</w:t>
      </w:r>
      <w:r>
        <w:rPr>
          <w:rFonts w:ascii="宋体" w:hAnsi="宋体" w:cs="宋体"/>
          <w:color w:val="auto"/>
          <w:szCs w:val="21"/>
          <w:highlight w:val="none"/>
        </w:rPr>
        <w:t>，复核变更的工程量。受理索赔申请，进行</w:t>
      </w:r>
      <w:r>
        <w:rPr>
          <w:rFonts w:hint="eastAsia" w:ascii="宋体" w:hAnsi="宋体" w:cs="宋体"/>
          <w:color w:val="auto"/>
          <w:szCs w:val="21"/>
          <w:highlight w:val="none"/>
        </w:rPr>
        <w:t>索赔审查，与承建单位和建设单位协商索赔费用</w:t>
      </w:r>
      <w:r>
        <w:rPr>
          <w:rFonts w:ascii="宋体" w:hAnsi="宋体" w:cs="宋体"/>
          <w:color w:val="auto"/>
          <w:szCs w:val="21"/>
          <w:highlight w:val="none"/>
        </w:rPr>
        <w:t>。依据委托人授权</w:t>
      </w:r>
      <w:r>
        <w:rPr>
          <w:rFonts w:hint="eastAsia" w:ascii="宋体" w:hAnsi="宋体" w:cs="宋体"/>
          <w:color w:val="auto"/>
          <w:szCs w:val="21"/>
          <w:highlight w:val="none"/>
          <w:lang w:val="en-US" w:eastAsia="zh-CN"/>
        </w:rPr>
        <w:t>协调</w:t>
      </w:r>
      <w:r>
        <w:rPr>
          <w:rFonts w:ascii="宋体" w:hAnsi="宋体" w:cs="宋体"/>
          <w:color w:val="auto"/>
          <w:szCs w:val="21"/>
          <w:highlight w:val="none"/>
        </w:rPr>
        <w:t>合同与工程变更，</w:t>
      </w:r>
      <w:r>
        <w:rPr>
          <w:rFonts w:hint="eastAsia" w:ascii="宋体" w:hAnsi="宋体" w:cs="宋体"/>
          <w:color w:val="auto"/>
          <w:szCs w:val="21"/>
          <w:highlight w:val="none"/>
          <w:lang w:val="en-US" w:eastAsia="zh-CN"/>
        </w:rPr>
        <w:t>并提出监理意见</w:t>
      </w:r>
      <w:r>
        <w:rPr>
          <w:rFonts w:ascii="宋体" w:hAnsi="宋体" w:cs="宋体"/>
          <w:color w:val="auto"/>
          <w:szCs w:val="21"/>
          <w:highlight w:val="none"/>
        </w:rPr>
        <w:t>。</w:t>
      </w:r>
    </w:p>
    <w:p>
      <w:pPr>
        <w:numPr>
          <w:ilvl w:val="1"/>
          <w:numId w:val="1"/>
        </w:numPr>
        <w:adjustRightInd w:val="0"/>
        <w:snapToGrid w:val="0"/>
        <w:spacing w:line="360" w:lineRule="auto"/>
        <w:ind w:left="0" w:firstLine="420" w:firstLineChars="200"/>
        <w:rPr>
          <w:rFonts w:ascii="宋体" w:hAnsi="宋体" w:cs="宋体"/>
          <w:color w:val="auto"/>
          <w:szCs w:val="21"/>
          <w:highlight w:val="none"/>
        </w:rPr>
      </w:pPr>
      <w:r>
        <w:rPr>
          <w:rFonts w:ascii="宋体" w:hAnsi="宋体" w:cs="宋体"/>
          <w:color w:val="auto"/>
          <w:szCs w:val="21"/>
          <w:highlight w:val="none"/>
        </w:rPr>
        <w:t>合同管理</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跟踪检查合同的执行情况，协助采购人处理费用索赔与合同争议调解。</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对合同工期的延误和延期进行处理。</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（1）监理单位应制定明确的合理的项目延期受理条件。</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（2）监理单位应有针对项目延期影响的评估方法。</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（3）监理单位应建立项目延期的协商沟通制度。  </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（4）监理单位有项目延期费用索赔的评估方法或协调机制。</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监理单位应有控制合同变更的流程和方法, 确保不出现随意变更现象。</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根据合同约定，审核承建单位提交的支付申请，签发付款凭证。</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全面管理施工合同，检查工程承建单位的开工准备工作，下达开工令。</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项目验收时，提交合同完成功能对照表，为项目验收提供参考依据。</w:t>
      </w:r>
    </w:p>
    <w:p>
      <w:pPr>
        <w:numPr>
          <w:ilvl w:val="1"/>
          <w:numId w:val="1"/>
        </w:numPr>
        <w:adjustRightInd w:val="0"/>
        <w:snapToGrid w:val="0"/>
        <w:spacing w:line="360" w:lineRule="auto"/>
        <w:ind w:left="0" w:firstLine="420" w:firstLineChars="200"/>
        <w:rPr>
          <w:rFonts w:ascii="宋体" w:hAnsi="宋体" w:cs="宋体"/>
          <w:color w:val="auto"/>
          <w:szCs w:val="21"/>
          <w:highlight w:val="none"/>
        </w:rPr>
      </w:pPr>
      <w:r>
        <w:rPr>
          <w:rFonts w:ascii="宋体" w:hAnsi="宋体" w:cs="宋体"/>
          <w:color w:val="auto"/>
          <w:szCs w:val="21"/>
          <w:highlight w:val="none"/>
        </w:rPr>
        <w:t>文档资料管理</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做好监理</w:t>
      </w:r>
      <w:r>
        <w:rPr>
          <w:rFonts w:hint="eastAsia" w:ascii="宋体" w:hAnsi="宋体" w:cs="宋体"/>
          <w:color w:val="auto"/>
          <w:szCs w:val="21"/>
          <w:highlight w:val="none"/>
          <w:lang w:val="en-US" w:eastAsia="zh-CN"/>
        </w:rPr>
        <w:t>记录</w:t>
      </w:r>
      <w:r>
        <w:rPr>
          <w:rFonts w:ascii="宋体" w:hAnsi="宋体" w:cs="宋体"/>
          <w:color w:val="auto"/>
          <w:szCs w:val="21"/>
          <w:highlight w:val="none"/>
        </w:rPr>
        <w:t>及项目大事记。</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（1）协助采购人建立重大事件处理的预案。</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（2）发生重大事件时，应跟踪事件的解决过程，做好记录。</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（3）协助采购人对重大事件的解决过程进行总结，改进处理机制。</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做好合同批复等各类往来文件的批复和存档。监理单位应及时审批承建单位提供的服务报告和申请文件，并签署监理意见，同时需要做好监理工作的各项记录，对所有往来文档进行合理的分类与管理。</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做好项目例会、协调会、技术专题会等会议的会议纪要。监理单位应建立完整的项目例会的管理制度；确定各种例会的启动流程和参加对象。监理单位应有项目例会的结果跟踪制度。</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管理好实施期间的各类技术文档。文档分类保管，项目建设过程各类文档不得丢失。</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项目监理周报。每周提交项目监理周报，内容包括：项目总体建设进度、本周建设内容、下周建设计划、监理本周工作内容、下周监理工作计划、项目存在问题和建议、需求采购人协调和明确事项。</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监理建议书。</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监理通知。</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各种会议纪要。</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阶段性项目总结。</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各承建方提交的技术文档。</w:t>
      </w:r>
    </w:p>
    <w:p>
      <w:pPr>
        <w:numPr>
          <w:ilvl w:val="1"/>
          <w:numId w:val="1"/>
        </w:numPr>
        <w:adjustRightInd w:val="0"/>
        <w:snapToGrid w:val="0"/>
        <w:spacing w:line="360" w:lineRule="auto"/>
        <w:ind w:left="0" w:firstLine="420" w:firstLineChars="200"/>
        <w:rPr>
          <w:rFonts w:ascii="宋体" w:hAnsi="宋体" w:cs="宋体"/>
          <w:color w:val="auto"/>
          <w:szCs w:val="21"/>
          <w:highlight w:val="none"/>
        </w:rPr>
      </w:pPr>
      <w:r>
        <w:rPr>
          <w:rFonts w:ascii="宋体" w:hAnsi="宋体" w:cs="宋体"/>
          <w:color w:val="auto"/>
          <w:szCs w:val="21"/>
          <w:highlight w:val="none"/>
        </w:rPr>
        <w:t>协调项目各方工作关系</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监理单位应该通过必要的会议制度来实施协调工作，包括并不限于：</w:t>
      </w:r>
    </w:p>
    <w:p>
      <w:pPr>
        <w:numPr>
          <w:ilvl w:val="0"/>
          <w:numId w:val="3"/>
        </w:numPr>
        <w:adjustRightInd w:val="0"/>
        <w:snapToGrid w:val="0"/>
        <w:spacing w:line="360" w:lineRule="auto"/>
        <w:ind w:hanging="5"/>
        <w:rPr>
          <w:rFonts w:ascii="宋体" w:hAnsi="宋体" w:cs="宋体"/>
          <w:color w:val="auto"/>
          <w:szCs w:val="21"/>
          <w:highlight w:val="none"/>
        </w:rPr>
      </w:pPr>
      <w:r>
        <w:rPr>
          <w:rFonts w:ascii="宋体" w:hAnsi="宋体" w:cs="宋体"/>
          <w:color w:val="auto"/>
          <w:szCs w:val="21"/>
          <w:highlight w:val="none"/>
        </w:rPr>
        <w:t>现场会</w:t>
      </w:r>
    </w:p>
    <w:p>
      <w:pPr>
        <w:numPr>
          <w:ilvl w:val="0"/>
          <w:numId w:val="3"/>
        </w:numPr>
        <w:adjustRightInd w:val="0"/>
        <w:snapToGrid w:val="0"/>
        <w:spacing w:line="360" w:lineRule="auto"/>
        <w:ind w:hanging="5"/>
        <w:rPr>
          <w:rFonts w:ascii="宋体" w:hAnsi="宋体" w:cs="宋体"/>
          <w:color w:val="auto"/>
          <w:szCs w:val="21"/>
          <w:highlight w:val="none"/>
        </w:rPr>
      </w:pPr>
      <w:r>
        <w:rPr>
          <w:rFonts w:ascii="宋体" w:hAnsi="宋体" w:cs="宋体"/>
          <w:color w:val="auto"/>
          <w:szCs w:val="21"/>
          <w:highlight w:val="none"/>
        </w:rPr>
        <w:t>监理交底会</w:t>
      </w:r>
    </w:p>
    <w:p>
      <w:pPr>
        <w:numPr>
          <w:ilvl w:val="0"/>
          <w:numId w:val="3"/>
        </w:numPr>
        <w:adjustRightInd w:val="0"/>
        <w:snapToGrid w:val="0"/>
        <w:spacing w:line="360" w:lineRule="auto"/>
        <w:ind w:hanging="5"/>
        <w:rPr>
          <w:rFonts w:ascii="宋体" w:hAnsi="宋体" w:cs="宋体"/>
          <w:color w:val="auto"/>
          <w:szCs w:val="21"/>
          <w:highlight w:val="none"/>
        </w:rPr>
      </w:pPr>
      <w:r>
        <w:rPr>
          <w:rFonts w:ascii="宋体" w:hAnsi="宋体" w:cs="宋体"/>
          <w:color w:val="auto"/>
          <w:szCs w:val="21"/>
          <w:highlight w:val="none"/>
        </w:rPr>
        <w:t>周例会</w:t>
      </w:r>
    </w:p>
    <w:p>
      <w:pPr>
        <w:numPr>
          <w:ilvl w:val="0"/>
          <w:numId w:val="3"/>
        </w:numPr>
        <w:adjustRightInd w:val="0"/>
        <w:snapToGrid w:val="0"/>
        <w:spacing w:line="360" w:lineRule="auto"/>
        <w:ind w:hanging="5"/>
        <w:rPr>
          <w:rFonts w:ascii="宋体" w:hAnsi="宋体" w:cs="宋体"/>
          <w:color w:val="auto"/>
          <w:szCs w:val="21"/>
          <w:highlight w:val="none"/>
        </w:rPr>
      </w:pPr>
      <w:r>
        <w:rPr>
          <w:rFonts w:ascii="宋体" w:hAnsi="宋体" w:cs="宋体"/>
          <w:color w:val="auto"/>
          <w:szCs w:val="21"/>
          <w:highlight w:val="none"/>
        </w:rPr>
        <w:t>监理协调会</w:t>
      </w:r>
    </w:p>
    <w:p>
      <w:pPr>
        <w:numPr>
          <w:ilvl w:val="0"/>
          <w:numId w:val="3"/>
        </w:numPr>
        <w:adjustRightInd w:val="0"/>
        <w:snapToGrid w:val="0"/>
        <w:spacing w:line="360" w:lineRule="auto"/>
        <w:ind w:hanging="5"/>
        <w:rPr>
          <w:rFonts w:ascii="宋体" w:hAnsi="宋体" w:cs="宋体"/>
          <w:color w:val="auto"/>
          <w:szCs w:val="21"/>
          <w:highlight w:val="none"/>
        </w:rPr>
      </w:pPr>
      <w:r>
        <w:rPr>
          <w:rFonts w:ascii="宋体" w:hAnsi="宋体" w:cs="宋体"/>
          <w:color w:val="auto"/>
          <w:szCs w:val="21"/>
          <w:highlight w:val="none"/>
        </w:rPr>
        <w:t>专题讨论会</w:t>
      </w:r>
    </w:p>
    <w:p>
      <w:pPr>
        <w:numPr>
          <w:ilvl w:val="0"/>
          <w:numId w:val="3"/>
        </w:numPr>
        <w:adjustRightInd w:val="0"/>
        <w:snapToGrid w:val="0"/>
        <w:spacing w:line="360" w:lineRule="auto"/>
        <w:ind w:hanging="5"/>
        <w:rPr>
          <w:rFonts w:ascii="宋体" w:hAnsi="宋体" w:cs="宋体"/>
          <w:color w:val="auto"/>
          <w:szCs w:val="21"/>
          <w:highlight w:val="none"/>
        </w:rPr>
      </w:pPr>
      <w:r>
        <w:rPr>
          <w:rFonts w:ascii="宋体" w:hAnsi="宋体" w:cs="宋体"/>
          <w:color w:val="auto"/>
          <w:szCs w:val="21"/>
          <w:highlight w:val="none"/>
        </w:rPr>
        <w:t>专家论证会</w:t>
      </w:r>
    </w:p>
    <w:p>
      <w:pPr>
        <w:numPr>
          <w:ilvl w:val="0"/>
          <w:numId w:val="3"/>
        </w:numPr>
        <w:adjustRightInd w:val="0"/>
        <w:snapToGrid w:val="0"/>
        <w:spacing w:line="360" w:lineRule="auto"/>
        <w:ind w:hanging="5"/>
        <w:rPr>
          <w:rFonts w:ascii="宋体" w:hAnsi="宋体" w:cs="宋体"/>
          <w:color w:val="auto"/>
          <w:szCs w:val="21"/>
          <w:highlight w:val="none"/>
        </w:rPr>
      </w:pPr>
      <w:r>
        <w:rPr>
          <w:rFonts w:ascii="宋体" w:hAnsi="宋体" w:cs="宋体"/>
          <w:color w:val="auto"/>
          <w:szCs w:val="21"/>
          <w:highlight w:val="none"/>
        </w:rPr>
        <w:t>阶段工作总结会</w:t>
      </w:r>
    </w:p>
    <w:p>
      <w:pPr>
        <w:numPr>
          <w:ilvl w:val="0"/>
          <w:numId w:val="3"/>
        </w:numPr>
        <w:adjustRightInd w:val="0"/>
        <w:snapToGrid w:val="0"/>
        <w:spacing w:line="360" w:lineRule="auto"/>
        <w:ind w:hanging="5"/>
        <w:rPr>
          <w:rFonts w:ascii="宋体" w:hAnsi="宋体" w:cs="宋体"/>
          <w:color w:val="auto"/>
          <w:szCs w:val="21"/>
          <w:highlight w:val="none"/>
        </w:rPr>
      </w:pPr>
      <w:r>
        <w:rPr>
          <w:rFonts w:ascii="宋体" w:hAnsi="宋体" w:cs="宋体"/>
          <w:color w:val="auto"/>
          <w:szCs w:val="21"/>
          <w:highlight w:val="none"/>
        </w:rPr>
        <w:t>问题通报会</w:t>
      </w:r>
    </w:p>
    <w:p>
      <w:pPr>
        <w:numPr>
          <w:ilvl w:val="0"/>
          <w:numId w:val="3"/>
        </w:numPr>
        <w:adjustRightInd w:val="0"/>
        <w:snapToGrid w:val="0"/>
        <w:spacing w:line="360" w:lineRule="auto"/>
        <w:ind w:hanging="5"/>
        <w:rPr>
          <w:rFonts w:ascii="宋体" w:hAnsi="宋体" w:cs="宋体"/>
          <w:color w:val="auto"/>
          <w:szCs w:val="21"/>
          <w:highlight w:val="none"/>
        </w:rPr>
      </w:pPr>
      <w:r>
        <w:rPr>
          <w:rFonts w:ascii="宋体" w:hAnsi="宋体" w:cs="宋体"/>
          <w:color w:val="auto"/>
          <w:szCs w:val="21"/>
          <w:highlight w:val="none"/>
        </w:rPr>
        <w:t>阶段及最终验收会</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会前制定会议计划，</w:t>
      </w:r>
      <w:r>
        <w:rPr>
          <w:rFonts w:ascii="宋体" w:hAnsi="宋体" w:cs="宋体"/>
          <w:color w:val="auto"/>
          <w:szCs w:val="21"/>
          <w:highlight w:val="none"/>
        </w:rPr>
        <w:t>会后形成详细会议记录，并对会议提出的问题，监理进行跟踪、落实、检查。</w:t>
      </w:r>
    </w:p>
    <w:p>
      <w:pPr>
        <w:pStyle w:val="26"/>
        <w:ind w:firstLine="420" w:firstLineChars="200"/>
        <w:rPr>
          <w:rFonts w:hint="eastAsia" w:eastAsia="宋体"/>
          <w:color w:val="auto"/>
          <w:sz w:val="21"/>
          <w:szCs w:val="16"/>
          <w:highlight w:val="none"/>
        </w:rPr>
      </w:pPr>
      <w:r>
        <w:rPr>
          <w:rFonts w:hint="eastAsia" w:ascii="宋体" w:hAnsi="宋体" w:eastAsia="宋体" w:cs="宋体"/>
          <w:color w:val="auto"/>
          <w:sz w:val="21"/>
          <w:szCs w:val="18"/>
          <w:highlight w:val="none"/>
        </w:rPr>
        <w:t>经采购人委托，负责协调与本项目有关部门的工作关系。</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经采购人委托，负责协调本项目所涉及的各承建单位之间的工作关系，并协调解决项目建设过程中的各类纠纷。</w:t>
      </w:r>
    </w:p>
    <w:p>
      <w:pPr>
        <w:numPr>
          <w:ilvl w:val="1"/>
          <w:numId w:val="1"/>
        </w:numPr>
        <w:adjustRightInd w:val="0"/>
        <w:snapToGrid w:val="0"/>
        <w:spacing w:line="360" w:lineRule="auto"/>
        <w:ind w:left="0" w:firstLine="420" w:firstLineChars="200"/>
        <w:rPr>
          <w:rFonts w:ascii="宋体" w:hAnsi="宋体" w:cs="宋体"/>
          <w:color w:val="auto"/>
          <w:szCs w:val="21"/>
          <w:highlight w:val="none"/>
        </w:rPr>
      </w:pPr>
      <w:r>
        <w:rPr>
          <w:rFonts w:ascii="宋体" w:hAnsi="宋体" w:cs="宋体"/>
          <w:color w:val="auto"/>
          <w:szCs w:val="21"/>
          <w:highlight w:val="none"/>
        </w:rPr>
        <w:t>安全、文明监督</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系统安全</w:t>
      </w:r>
    </w:p>
    <w:p>
      <w:pPr>
        <w:numPr>
          <w:ilvl w:val="0"/>
          <w:numId w:val="4"/>
        </w:numPr>
        <w:adjustRightInd w:val="0"/>
        <w:snapToGrid w:val="0"/>
        <w:spacing w:line="360" w:lineRule="auto"/>
        <w:ind w:left="0" w:firstLine="420" w:firstLineChars="200"/>
        <w:rPr>
          <w:rFonts w:ascii="宋体" w:hAnsi="宋体" w:cs="宋体"/>
          <w:color w:val="auto"/>
          <w:szCs w:val="21"/>
          <w:highlight w:val="none"/>
        </w:rPr>
      </w:pPr>
      <w:r>
        <w:rPr>
          <w:rFonts w:ascii="宋体" w:hAnsi="宋体" w:cs="宋体"/>
          <w:color w:val="auto"/>
          <w:szCs w:val="21"/>
          <w:highlight w:val="none"/>
        </w:rPr>
        <w:t>协助采购人制定系统安全管理制度和各项措施，确保系统安全管理制度的落实和有效实施。</w:t>
      </w:r>
    </w:p>
    <w:p>
      <w:pPr>
        <w:numPr>
          <w:ilvl w:val="0"/>
          <w:numId w:val="4"/>
        </w:numPr>
        <w:adjustRightInd w:val="0"/>
        <w:snapToGrid w:val="0"/>
        <w:spacing w:line="360" w:lineRule="auto"/>
        <w:ind w:left="0" w:firstLine="420" w:firstLineChars="200"/>
        <w:rPr>
          <w:rFonts w:ascii="宋体" w:hAnsi="宋体" w:cs="宋体"/>
          <w:color w:val="auto"/>
          <w:szCs w:val="21"/>
          <w:highlight w:val="none"/>
        </w:rPr>
      </w:pPr>
      <w:r>
        <w:rPr>
          <w:rFonts w:ascii="宋体" w:hAnsi="宋体" w:cs="宋体"/>
          <w:color w:val="auto"/>
          <w:szCs w:val="21"/>
          <w:highlight w:val="none"/>
        </w:rPr>
        <w:t>做好日常安全的检查和巡查工作，及时做好安全教育工作，避免系统安全事故的发生。</w:t>
      </w:r>
    </w:p>
    <w:p>
      <w:pPr>
        <w:numPr>
          <w:ilvl w:val="0"/>
          <w:numId w:val="4"/>
        </w:numPr>
        <w:adjustRightInd w:val="0"/>
        <w:snapToGrid w:val="0"/>
        <w:spacing w:line="360" w:lineRule="auto"/>
        <w:ind w:left="0" w:firstLine="420" w:firstLineChars="200"/>
        <w:rPr>
          <w:rFonts w:ascii="宋体" w:hAnsi="宋体" w:cs="宋体"/>
          <w:color w:val="auto"/>
          <w:szCs w:val="21"/>
          <w:highlight w:val="none"/>
        </w:rPr>
      </w:pPr>
      <w:r>
        <w:rPr>
          <w:rFonts w:ascii="宋体" w:hAnsi="宋体" w:cs="宋体"/>
          <w:color w:val="auto"/>
          <w:szCs w:val="21"/>
          <w:highlight w:val="none"/>
        </w:rPr>
        <w:t>监理单位应及时发现安全隐患并消除，发生安全事故后应第一时间</w:t>
      </w:r>
      <w:r>
        <w:rPr>
          <w:rFonts w:hint="eastAsia" w:ascii="宋体" w:hAnsi="宋体" w:cs="宋体"/>
          <w:color w:val="auto"/>
          <w:szCs w:val="21"/>
          <w:highlight w:val="none"/>
        </w:rPr>
        <w:t>督促施工单位组织抢救、保护事故现场的同时，督促承建单位如实向建设单位报告，如承建单位不能及时上报，现场监理人员通知项目总监后，由总监及时向建设单位报告情况</w:t>
      </w:r>
      <w:r>
        <w:rPr>
          <w:rFonts w:hint="eastAsia" w:ascii="宋体" w:hAnsi="宋体" w:cs="宋体"/>
          <w:color w:val="auto"/>
          <w:szCs w:val="21"/>
          <w:highlight w:val="none"/>
          <w:lang w:eastAsia="zh-CN"/>
        </w:rPr>
        <w:t>。</w:t>
      </w:r>
    </w:p>
    <w:p>
      <w:pPr>
        <w:numPr>
          <w:ilvl w:val="0"/>
          <w:numId w:val="4"/>
        </w:numPr>
        <w:adjustRightInd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协助建设单位做好</w:t>
      </w:r>
      <w:r>
        <w:rPr>
          <w:rFonts w:ascii="宋体" w:hAnsi="宋体" w:cs="宋体"/>
          <w:color w:val="auto"/>
          <w:szCs w:val="21"/>
          <w:highlight w:val="none"/>
        </w:rPr>
        <w:t>项目建设过程中所涉及的政府机密数据和个人信息数据资料的保护</w:t>
      </w:r>
      <w:r>
        <w:rPr>
          <w:rFonts w:hint="eastAsia" w:ascii="宋体" w:hAnsi="宋体" w:cs="宋体"/>
          <w:color w:val="auto"/>
          <w:szCs w:val="21"/>
          <w:highlight w:val="none"/>
          <w:lang w:val="en-US" w:eastAsia="zh-CN"/>
        </w:rPr>
        <w:t>监管</w:t>
      </w:r>
      <w:r>
        <w:rPr>
          <w:rFonts w:ascii="宋体" w:hAnsi="宋体" w:cs="宋体"/>
          <w:color w:val="auto"/>
          <w:szCs w:val="21"/>
          <w:highlight w:val="none"/>
        </w:rPr>
        <w:t>。</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安全监督</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（1）审查安全措施、劳动防护和环境保护设施等，并负责检查、督促落实执行。参加重大安全事故调查并提出处理意见。</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（2）督促承建单位依照安全生产的法规、规定、标准及监理合同的要求，分析不同的施工阶段和施工工序中可能会发生的安全隐患，制定相应的安全技术措施，并对措施的实施情况进行监理。</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（3）督促承建单位落实安全交底制度。</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（4）检查审核承建单位的使用设备数量、性能、检修证，以及特殊工种作业人员操作证等，确保机械设备的正常运转，消除安全隐患。</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文明施工监督</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（1）审查文明施工措施并督促落实执行。</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（2）督促、检查承建单位办理各类政府主管部门许可证及申报。</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（3）对检查中发现的问题，要以书面通知承建单位进行整改，并将整改情况及时向委托人汇报。</w:t>
      </w:r>
    </w:p>
    <w:p>
      <w:pPr>
        <w:numPr>
          <w:ilvl w:val="1"/>
          <w:numId w:val="1"/>
        </w:numPr>
        <w:adjustRightInd w:val="0"/>
        <w:snapToGrid w:val="0"/>
        <w:spacing w:line="360" w:lineRule="auto"/>
        <w:ind w:left="0" w:firstLine="420" w:firstLineChars="200"/>
        <w:rPr>
          <w:rFonts w:ascii="宋体" w:hAnsi="宋体" w:cs="宋体"/>
          <w:color w:val="auto"/>
          <w:szCs w:val="21"/>
          <w:highlight w:val="none"/>
        </w:rPr>
      </w:pPr>
      <w:r>
        <w:rPr>
          <w:rFonts w:ascii="宋体" w:hAnsi="宋体" w:cs="宋体"/>
          <w:color w:val="auto"/>
          <w:szCs w:val="21"/>
          <w:highlight w:val="none"/>
        </w:rPr>
        <w:t>知识产权的管理</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（1）审核承建单位提供的成品软件的授权是否合法，督促开发过程使用软件的知识产权问题管理，确保使用到本项目的软件和建设过程中无违反知识产权的行为；</w:t>
      </w:r>
    </w:p>
    <w:p>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（2）督促承建单位提供针对本项目定制开发的软件源代码，并审核源代码的完整性、可读性等，并督促做好源代码的移交工作。</w:t>
      </w:r>
    </w:p>
    <w:p>
      <w:pPr>
        <w:pStyle w:val="148"/>
        <w:numPr>
          <w:ilvl w:val="1"/>
          <w:numId w:val="0"/>
        </w:numPr>
        <w:tabs>
          <w:tab w:val="left" w:pos="1320"/>
          <w:tab w:val="clear" w:pos="840"/>
        </w:tabs>
        <w:spacing w:before="0" w:beforeLines="0" w:after="0" w:line="360" w:lineRule="auto"/>
        <w:ind w:leftChars="0"/>
        <w:rPr>
          <w:rFonts w:ascii="宋体" w:hAnsi="宋体" w:eastAsia="宋体" w:cs="宋体"/>
          <w:color w:val="auto"/>
          <w:sz w:val="24"/>
          <w:szCs w:val="24"/>
          <w:highlight w:val="none"/>
        </w:rPr>
      </w:pPr>
      <w:bookmarkStart w:id="39" w:name="_Toc516499494"/>
      <w:bookmarkStart w:id="40" w:name="_Toc14479"/>
      <w:bookmarkStart w:id="41" w:name="_Toc20082"/>
      <w:r>
        <w:rPr>
          <w:rFonts w:hint="eastAsia" w:ascii="宋体" w:hAnsi="宋体" w:eastAsia="宋体" w:cs="宋体"/>
          <w:color w:val="auto"/>
          <w:sz w:val="24"/>
          <w:szCs w:val="24"/>
          <w:highlight w:val="none"/>
          <w:lang w:val="en-US" w:eastAsia="zh-CN"/>
        </w:rPr>
        <w:t>三</w:t>
      </w:r>
      <w:r>
        <w:rPr>
          <w:rFonts w:ascii="宋体" w:hAnsi="宋体" w:eastAsia="宋体" w:cs="宋体"/>
          <w:color w:val="auto"/>
          <w:sz w:val="24"/>
          <w:szCs w:val="24"/>
          <w:highlight w:val="none"/>
        </w:rPr>
        <w:t>、监理服务准则</w:t>
      </w:r>
      <w:bookmarkEnd w:id="39"/>
      <w:bookmarkEnd w:id="40"/>
      <w:bookmarkEnd w:id="41"/>
    </w:p>
    <w:p>
      <w:pPr>
        <w:pStyle w:val="34"/>
        <w:adjustRightInd w:val="0"/>
        <w:snapToGrid w:val="0"/>
        <w:spacing w:line="360" w:lineRule="auto"/>
        <w:ind w:firstLine="415" w:firstLineChars="198"/>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遵照</w:t>
      </w:r>
      <w:r>
        <w:rPr>
          <w:rFonts w:hint="eastAsia" w:ascii="宋体" w:hAnsi="宋体" w:eastAsia="宋体" w:cs="宋体"/>
          <w:snapToGrid w:val="0"/>
          <w:color w:val="auto"/>
          <w:highlight w:val="none"/>
          <w:lang w:val="en-US" w:eastAsia="zh-CN"/>
        </w:rPr>
        <w:t>国家</w:t>
      </w:r>
      <w:r>
        <w:rPr>
          <w:rFonts w:hint="eastAsia" w:ascii="宋体" w:hAnsi="宋体" w:eastAsia="宋体" w:cs="宋体"/>
          <w:snapToGrid w:val="0"/>
          <w:color w:val="auto"/>
          <w:highlight w:val="none"/>
        </w:rPr>
        <w:t>有关规定，以“守法、诚信、公正、科学”的准则执业，维护采购人与承建单位的合法权益。具体应做到：</w:t>
      </w:r>
    </w:p>
    <w:p>
      <w:pPr>
        <w:pStyle w:val="34"/>
        <w:adjustRightInd w:val="0"/>
        <w:snapToGrid w:val="0"/>
        <w:spacing w:line="360" w:lineRule="auto"/>
        <w:ind w:firstLine="415" w:firstLineChars="198"/>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1.执行有关项目建设的法律、法规、规范、标准和制度，履行监理合同规定的义务和职责。</w:t>
      </w:r>
    </w:p>
    <w:p>
      <w:pPr>
        <w:pStyle w:val="34"/>
        <w:adjustRightInd w:val="0"/>
        <w:snapToGrid w:val="0"/>
        <w:spacing w:line="360" w:lineRule="auto"/>
        <w:ind w:firstLine="415" w:firstLineChars="198"/>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2.不收受被监理单位的任何礼金。</w:t>
      </w:r>
    </w:p>
    <w:p>
      <w:pPr>
        <w:pStyle w:val="34"/>
        <w:adjustRightInd w:val="0"/>
        <w:snapToGrid w:val="0"/>
        <w:spacing w:line="360" w:lineRule="auto"/>
        <w:ind w:firstLine="415" w:firstLineChars="198"/>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3.不泄漏所监理项目各方认为需要保密的事项。</w:t>
      </w:r>
    </w:p>
    <w:p>
      <w:pPr>
        <w:pStyle w:val="34"/>
        <w:adjustRightInd w:val="0"/>
        <w:snapToGrid w:val="0"/>
        <w:spacing w:line="360" w:lineRule="auto"/>
        <w:ind w:firstLine="415" w:firstLineChars="198"/>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4.遵守国家的法律和政府的有关条例、规定和办法等。</w:t>
      </w:r>
    </w:p>
    <w:p>
      <w:pPr>
        <w:pStyle w:val="34"/>
        <w:adjustRightInd w:val="0"/>
        <w:snapToGrid w:val="0"/>
        <w:spacing w:line="360" w:lineRule="auto"/>
        <w:ind w:firstLine="415" w:firstLineChars="198"/>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5.坚持公正的立场，独立、公正地处理有关各方的争议。</w:t>
      </w:r>
    </w:p>
    <w:p>
      <w:pPr>
        <w:pStyle w:val="34"/>
        <w:adjustRightInd w:val="0"/>
        <w:snapToGrid w:val="0"/>
        <w:spacing w:line="360" w:lineRule="auto"/>
        <w:ind w:firstLine="415" w:firstLineChars="198"/>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6.坚持科学的态度和实事求是的原则。</w:t>
      </w:r>
    </w:p>
    <w:p>
      <w:pPr>
        <w:pStyle w:val="34"/>
        <w:adjustRightInd w:val="0"/>
        <w:snapToGrid w:val="0"/>
        <w:spacing w:line="360" w:lineRule="auto"/>
        <w:ind w:firstLine="415" w:firstLineChars="198"/>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7.在坚持按监理合同的规定向采购人提供技术服务的同时，帮助被监理者完成起担负的建设任务。</w:t>
      </w:r>
    </w:p>
    <w:p>
      <w:pPr>
        <w:pStyle w:val="34"/>
        <w:adjustRightInd w:val="0"/>
        <w:snapToGrid w:val="0"/>
        <w:ind w:firstLine="415" w:firstLineChars="198"/>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8.不泄漏所监理的项目需保密的事项。</w:t>
      </w:r>
    </w:p>
    <w:p>
      <w:pPr>
        <w:pStyle w:val="148"/>
        <w:numPr>
          <w:ilvl w:val="1"/>
          <w:numId w:val="0"/>
        </w:numPr>
        <w:tabs>
          <w:tab w:val="left" w:pos="1320"/>
          <w:tab w:val="clear" w:pos="840"/>
        </w:tabs>
        <w:spacing w:before="120"/>
        <w:ind w:leftChars="0"/>
        <w:rPr>
          <w:rFonts w:ascii="宋体" w:hAnsi="宋体" w:eastAsia="宋体" w:cs="宋体"/>
          <w:color w:val="auto"/>
          <w:sz w:val="24"/>
          <w:szCs w:val="24"/>
          <w:highlight w:val="none"/>
        </w:rPr>
      </w:pPr>
      <w:bookmarkStart w:id="42" w:name="_Toc5229"/>
      <w:bookmarkStart w:id="43" w:name="_Toc516499492"/>
      <w:bookmarkStart w:id="44" w:name="_Toc2693"/>
      <w:r>
        <w:rPr>
          <w:rFonts w:hint="eastAsia" w:ascii="宋体" w:hAnsi="宋体" w:eastAsia="宋体" w:cs="宋体"/>
          <w:color w:val="auto"/>
          <w:sz w:val="24"/>
          <w:szCs w:val="24"/>
          <w:highlight w:val="none"/>
          <w:lang w:val="en-US" w:eastAsia="zh-CN"/>
        </w:rPr>
        <w:t>四</w:t>
      </w:r>
      <w:r>
        <w:rPr>
          <w:rFonts w:ascii="宋体" w:hAnsi="宋体" w:eastAsia="宋体" w:cs="宋体"/>
          <w:color w:val="auto"/>
          <w:sz w:val="24"/>
          <w:szCs w:val="24"/>
          <w:highlight w:val="none"/>
        </w:rPr>
        <w:t>、监理服务要求</w:t>
      </w:r>
      <w:bookmarkEnd w:id="42"/>
      <w:bookmarkEnd w:id="43"/>
      <w:bookmarkEnd w:id="44"/>
    </w:p>
    <w:p>
      <w:pPr>
        <w:spacing w:line="360" w:lineRule="auto"/>
        <w:ind w:firstLine="420" w:firstLineChars="200"/>
        <w:rPr>
          <w:rFonts w:hint="eastAsia"/>
          <w:color w:val="auto"/>
          <w:highlight w:val="none"/>
        </w:rPr>
      </w:pPr>
      <w:r>
        <w:rPr>
          <w:rFonts w:hint="eastAsia" w:ascii="宋体" w:hAnsi="宋体" w:cs="宋体"/>
          <w:color w:val="auto"/>
          <w:szCs w:val="21"/>
          <w:highlight w:val="none"/>
        </w:rPr>
        <w:t>在</w:t>
      </w:r>
      <w:r>
        <w:rPr>
          <w:rFonts w:hint="eastAsia" w:ascii="宋体" w:hAnsi="宋体" w:eastAsia="宋体" w:cs="宋体"/>
          <w:caps/>
          <w:color w:val="auto"/>
          <w:sz w:val="21"/>
          <w:szCs w:val="21"/>
          <w:highlight w:val="none"/>
          <w:lang w:val="en-US" w:eastAsia="zh-CN"/>
        </w:rPr>
        <w:t>浙江省减污降碳协同增效管理系统监理</w:t>
      </w:r>
      <w:r>
        <w:rPr>
          <w:rFonts w:hint="eastAsia" w:cs="宋体"/>
          <w:caps/>
          <w:color w:val="auto"/>
          <w:sz w:val="21"/>
          <w:szCs w:val="21"/>
          <w:highlight w:val="none"/>
          <w:lang w:val="en-US" w:eastAsia="zh-CN"/>
        </w:rPr>
        <w:t>服务项目</w:t>
      </w:r>
      <w:r>
        <w:rPr>
          <w:rFonts w:hint="eastAsia" w:ascii="宋体" w:hAnsi="宋体" w:eastAsia="宋体" w:cs="宋体"/>
          <w:caps/>
          <w:color w:val="auto"/>
          <w:sz w:val="21"/>
          <w:szCs w:val="21"/>
          <w:highlight w:val="none"/>
        </w:rPr>
        <w:t>监理</w:t>
      </w:r>
      <w:r>
        <w:rPr>
          <w:rFonts w:hint="eastAsia" w:cs="宋体"/>
          <w:caps/>
          <w:color w:val="auto"/>
          <w:sz w:val="21"/>
          <w:szCs w:val="21"/>
          <w:highlight w:val="none"/>
          <w:lang w:val="en-US" w:eastAsia="zh-CN"/>
        </w:rPr>
        <w:t>服务</w:t>
      </w:r>
      <w:r>
        <w:rPr>
          <w:rFonts w:hint="eastAsia" w:ascii="宋体" w:hAnsi="宋体" w:cs="宋体"/>
          <w:color w:val="auto"/>
          <w:szCs w:val="21"/>
          <w:highlight w:val="none"/>
        </w:rPr>
        <w:t>全过程实施中</w:t>
      </w:r>
      <w:r>
        <w:rPr>
          <w:rFonts w:hint="eastAsia" w:ascii="宋体" w:hAnsi="宋体" w:cs="宋体"/>
          <w:color w:val="auto"/>
          <w:szCs w:val="21"/>
          <w:highlight w:val="none"/>
          <w:lang w:eastAsia="zh-CN"/>
        </w:rPr>
        <w:t>，</w:t>
      </w:r>
      <w:r>
        <w:rPr>
          <w:rFonts w:hint="eastAsia" w:ascii="宋体" w:hAnsi="宋体" w:cs="宋体"/>
          <w:color w:val="auto"/>
          <w:szCs w:val="21"/>
          <w:highlight w:val="none"/>
        </w:rPr>
        <w:t>监理通过质量、进度、成本控制和合同管理、变更管理、配置管理、文档管理、人员管理、信息管理以及有效的沟通管理机制，以确保</w:t>
      </w:r>
      <w:r>
        <w:rPr>
          <w:rFonts w:hint="eastAsia" w:ascii="宋体" w:hAnsi="宋体" w:eastAsia="宋体" w:cs="宋体"/>
          <w:caps/>
          <w:color w:val="auto"/>
          <w:sz w:val="21"/>
          <w:szCs w:val="21"/>
          <w:highlight w:val="none"/>
          <w:lang w:val="en-US" w:eastAsia="zh-CN"/>
        </w:rPr>
        <w:t>浙江省减污降碳协同增效管理系统监理</w:t>
      </w:r>
      <w:r>
        <w:rPr>
          <w:rFonts w:hint="eastAsia" w:cs="宋体"/>
          <w:caps/>
          <w:color w:val="auto"/>
          <w:sz w:val="21"/>
          <w:szCs w:val="21"/>
          <w:highlight w:val="none"/>
          <w:lang w:val="en-US" w:eastAsia="zh-CN"/>
        </w:rPr>
        <w:t>服务项目</w:t>
      </w:r>
      <w:r>
        <w:rPr>
          <w:rFonts w:hint="eastAsia" w:ascii="宋体" w:hAnsi="宋体" w:eastAsia="宋体" w:cs="宋体"/>
          <w:caps/>
          <w:color w:val="auto"/>
          <w:sz w:val="21"/>
          <w:szCs w:val="21"/>
          <w:highlight w:val="none"/>
        </w:rPr>
        <w:t>监理</w:t>
      </w:r>
      <w:r>
        <w:rPr>
          <w:rFonts w:hint="eastAsia" w:ascii="宋体" w:hAnsi="宋体" w:cs="宋体"/>
          <w:color w:val="auto"/>
          <w:szCs w:val="21"/>
          <w:highlight w:val="none"/>
        </w:rPr>
        <w:t>服务质量优质、项目效益明显，实现</w:t>
      </w:r>
      <w:r>
        <w:rPr>
          <w:rFonts w:hint="eastAsia" w:ascii="宋体" w:hAnsi="宋体" w:eastAsia="宋体" w:cs="宋体"/>
          <w:caps/>
          <w:color w:val="auto"/>
          <w:sz w:val="21"/>
          <w:szCs w:val="21"/>
          <w:highlight w:val="none"/>
          <w:lang w:val="en-US" w:eastAsia="zh-CN"/>
        </w:rPr>
        <w:t>浙江省减污降碳协同增效管理系统监理</w:t>
      </w:r>
      <w:r>
        <w:rPr>
          <w:rFonts w:hint="eastAsia" w:cs="宋体"/>
          <w:caps/>
          <w:color w:val="auto"/>
          <w:sz w:val="21"/>
          <w:szCs w:val="21"/>
          <w:highlight w:val="none"/>
          <w:lang w:val="en-US" w:eastAsia="zh-CN"/>
        </w:rPr>
        <w:t>服务项目</w:t>
      </w:r>
      <w:r>
        <w:rPr>
          <w:rFonts w:hint="eastAsia" w:ascii="宋体" w:hAnsi="宋体" w:cs="宋体"/>
          <w:color w:val="auto"/>
          <w:szCs w:val="21"/>
          <w:highlight w:val="none"/>
          <w:lang w:val="en-US" w:eastAsia="zh-CN"/>
        </w:rPr>
        <w:t>监理</w:t>
      </w:r>
      <w:r>
        <w:rPr>
          <w:rFonts w:hint="eastAsia" w:ascii="宋体" w:hAnsi="宋体" w:cs="宋体"/>
          <w:color w:val="auto"/>
          <w:szCs w:val="21"/>
          <w:highlight w:val="none"/>
        </w:rPr>
        <w:t>服务工作高效、有序地顺利完成。</w:t>
      </w:r>
    </w:p>
    <w:p>
      <w:pPr>
        <w:spacing w:line="360" w:lineRule="auto"/>
        <w:ind w:firstLine="420" w:firstLineChars="200"/>
        <w:rPr>
          <w:rFonts w:hint="eastAsia"/>
          <w:color w:val="auto"/>
          <w:highlight w:val="none"/>
        </w:rPr>
      </w:pPr>
      <w:r>
        <w:rPr>
          <w:rFonts w:hint="eastAsia"/>
          <w:color w:val="auto"/>
          <w:highlight w:val="none"/>
        </w:rPr>
        <w:t>1.监理方在履行本合同期间，应遵守监理职业准则和行为规范，应用合理的技能为</w:t>
      </w:r>
      <w:r>
        <w:rPr>
          <w:rFonts w:hint="eastAsia"/>
          <w:color w:val="auto"/>
          <w:highlight w:val="none"/>
          <w:lang w:eastAsia="zh-CN"/>
        </w:rPr>
        <w:t>采购人</w:t>
      </w:r>
      <w:r>
        <w:rPr>
          <w:rFonts w:hint="eastAsia"/>
          <w:color w:val="auto"/>
          <w:highlight w:val="none"/>
        </w:rPr>
        <w:t>提供与其监理方资质水平相适应的服务，通过科学、认真、勤奋与高效工作，实现</w:t>
      </w:r>
      <w:r>
        <w:rPr>
          <w:rFonts w:hint="eastAsia" w:ascii="宋体" w:hAnsi="宋体" w:eastAsia="宋体" w:cs="宋体"/>
          <w:caps/>
          <w:color w:val="auto"/>
          <w:sz w:val="21"/>
          <w:szCs w:val="21"/>
          <w:highlight w:val="none"/>
          <w:lang w:val="en-US" w:eastAsia="zh-CN"/>
        </w:rPr>
        <w:t>浙江省减污降碳协同增效管理系统监理</w:t>
      </w:r>
      <w:r>
        <w:rPr>
          <w:rFonts w:hint="eastAsia" w:cs="宋体"/>
          <w:caps/>
          <w:color w:val="auto"/>
          <w:sz w:val="21"/>
          <w:szCs w:val="21"/>
          <w:highlight w:val="none"/>
          <w:lang w:val="en-US" w:eastAsia="zh-CN"/>
        </w:rPr>
        <w:t>服务</w:t>
      </w:r>
      <w:r>
        <w:rPr>
          <w:rFonts w:hint="eastAsia" w:ascii="宋体" w:hAnsi="宋体" w:cs="宋体"/>
          <w:color w:val="auto"/>
          <w:szCs w:val="21"/>
          <w:highlight w:val="none"/>
          <w:lang w:val="en-US" w:eastAsia="zh-CN"/>
        </w:rPr>
        <w:t>项目监理服务</w:t>
      </w:r>
      <w:r>
        <w:rPr>
          <w:rFonts w:hint="eastAsia"/>
          <w:color w:val="auto"/>
          <w:highlight w:val="none"/>
        </w:rPr>
        <w:t>合同约定的目标。</w:t>
      </w:r>
    </w:p>
    <w:p>
      <w:pPr>
        <w:spacing w:line="360" w:lineRule="auto"/>
        <w:ind w:firstLine="420" w:firstLineChars="200"/>
        <w:rPr>
          <w:rFonts w:hint="eastAsia"/>
          <w:color w:val="auto"/>
          <w:highlight w:val="none"/>
        </w:rPr>
      </w:pPr>
      <w:r>
        <w:rPr>
          <w:rFonts w:hint="eastAsia"/>
          <w:color w:val="auto"/>
          <w:highlight w:val="none"/>
        </w:rPr>
        <w:t>2.监理方应按照“公正、独立、科学”的原则开展</w:t>
      </w:r>
      <w:r>
        <w:rPr>
          <w:rFonts w:hint="eastAsia" w:ascii="宋体" w:hAnsi="宋体" w:eastAsia="宋体" w:cs="宋体"/>
          <w:caps/>
          <w:color w:val="auto"/>
          <w:sz w:val="21"/>
          <w:szCs w:val="21"/>
          <w:highlight w:val="none"/>
          <w:lang w:val="en-US" w:eastAsia="zh-CN"/>
        </w:rPr>
        <w:t>浙江省减污降碳协同增效管理系统监理</w:t>
      </w:r>
      <w:r>
        <w:rPr>
          <w:rFonts w:hint="eastAsia" w:cs="宋体"/>
          <w:caps/>
          <w:color w:val="auto"/>
          <w:sz w:val="21"/>
          <w:szCs w:val="21"/>
          <w:highlight w:val="none"/>
          <w:lang w:val="en-US" w:eastAsia="zh-CN"/>
        </w:rPr>
        <w:t>服务项目</w:t>
      </w:r>
      <w:r>
        <w:rPr>
          <w:rFonts w:hint="eastAsia" w:ascii="宋体" w:hAnsi="宋体" w:eastAsia="宋体" w:cs="宋体"/>
          <w:caps/>
          <w:color w:val="auto"/>
          <w:sz w:val="21"/>
          <w:szCs w:val="21"/>
          <w:highlight w:val="none"/>
        </w:rPr>
        <w:t>监理</w:t>
      </w:r>
      <w:r>
        <w:rPr>
          <w:rFonts w:hint="eastAsia" w:cs="宋体"/>
          <w:caps/>
          <w:color w:val="auto"/>
          <w:sz w:val="21"/>
          <w:szCs w:val="21"/>
          <w:highlight w:val="none"/>
          <w:lang w:val="en-US" w:eastAsia="zh-CN"/>
        </w:rPr>
        <w:t>服务</w:t>
      </w:r>
      <w:r>
        <w:rPr>
          <w:rFonts w:hint="eastAsia"/>
          <w:color w:val="auto"/>
          <w:highlight w:val="none"/>
        </w:rPr>
        <w:t>工作，除合同约定的具体业务外，还应协助</w:t>
      </w:r>
      <w:r>
        <w:rPr>
          <w:rFonts w:hint="eastAsia"/>
          <w:color w:val="auto"/>
          <w:highlight w:val="none"/>
          <w:lang w:eastAsia="zh-CN"/>
        </w:rPr>
        <w:t>采购人</w:t>
      </w:r>
      <w:r>
        <w:rPr>
          <w:rFonts w:hint="eastAsia"/>
          <w:color w:val="auto"/>
          <w:highlight w:val="none"/>
        </w:rPr>
        <w:t>协调本项目实施过程中涉及周边工作环境等方面的工作；配合主体工程与其它项目的衔接等方面的相关工作;公正地维护</w:t>
      </w:r>
      <w:r>
        <w:rPr>
          <w:rFonts w:hint="eastAsia"/>
          <w:color w:val="auto"/>
          <w:highlight w:val="none"/>
          <w:lang w:eastAsia="zh-CN"/>
        </w:rPr>
        <w:t>采购人</w:t>
      </w:r>
      <w:r>
        <w:rPr>
          <w:rFonts w:hint="eastAsia"/>
          <w:color w:val="auto"/>
          <w:highlight w:val="none"/>
        </w:rPr>
        <w:t>的合法权益，为</w:t>
      </w:r>
      <w:r>
        <w:rPr>
          <w:rFonts w:hint="eastAsia"/>
          <w:color w:val="auto"/>
          <w:highlight w:val="none"/>
          <w:lang w:eastAsia="zh-CN"/>
        </w:rPr>
        <w:t>采购人</w:t>
      </w:r>
      <w:r>
        <w:rPr>
          <w:rFonts w:hint="eastAsia"/>
          <w:color w:val="auto"/>
          <w:highlight w:val="none"/>
        </w:rPr>
        <w:t>提供优质服务。</w:t>
      </w:r>
    </w:p>
    <w:p>
      <w:pPr>
        <w:spacing w:line="360" w:lineRule="auto"/>
        <w:ind w:firstLine="420" w:firstLineChars="200"/>
        <w:rPr>
          <w:rFonts w:hint="eastAsia"/>
          <w:color w:val="auto"/>
          <w:highlight w:val="none"/>
        </w:rPr>
      </w:pPr>
      <w:r>
        <w:rPr>
          <w:rFonts w:hint="eastAsia"/>
          <w:color w:val="auto"/>
          <w:highlight w:val="none"/>
          <w:lang w:val="en-US" w:eastAsia="zh-CN"/>
        </w:rPr>
        <w:t>3</w:t>
      </w:r>
      <w:r>
        <w:rPr>
          <w:rFonts w:hint="eastAsia"/>
          <w:color w:val="auto"/>
          <w:highlight w:val="none"/>
        </w:rPr>
        <w:t>.监理方主要人员的资质应在监理规范中详细描述，并得到</w:t>
      </w:r>
      <w:r>
        <w:rPr>
          <w:rFonts w:hint="eastAsia"/>
          <w:color w:val="auto"/>
          <w:highlight w:val="none"/>
          <w:lang w:eastAsia="zh-CN"/>
        </w:rPr>
        <w:t>采购人</w:t>
      </w:r>
      <w:r>
        <w:rPr>
          <w:rFonts w:hint="eastAsia"/>
          <w:color w:val="auto"/>
          <w:highlight w:val="none"/>
        </w:rPr>
        <w:t>的认可。监理方的专业配置和人员组成应合理，派驻进场的监理人员的素质、数量、专业及层次结构等必须满足项目监理工作和项目进展的需要。</w:t>
      </w:r>
    </w:p>
    <w:p>
      <w:pPr>
        <w:spacing w:line="360" w:lineRule="auto"/>
        <w:ind w:firstLine="420" w:firstLineChars="200"/>
        <w:rPr>
          <w:rFonts w:hint="eastAsia"/>
          <w:color w:val="auto"/>
          <w:highlight w:val="none"/>
        </w:rPr>
      </w:pPr>
      <w:r>
        <w:rPr>
          <w:rFonts w:hint="eastAsia"/>
          <w:color w:val="auto"/>
          <w:highlight w:val="none"/>
          <w:lang w:val="en-US" w:eastAsia="zh-CN"/>
        </w:rPr>
        <w:t>4</w:t>
      </w:r>
      <w:r>
        <w:rPr>
          <w:rFonts w:hint="eastAsia"/>
          <w:color w:val="auto"/>
          <w:highlight w:val="none"/>
        </w:rPr>
        <w:t>.严格按照国家有关法律、法规及技术规范进行管理，对项目的每一个阶段进行全过程的监理，保证项目的过程质量，从而确保整个项目的质量。</w:t>
      </w:r>
    </w:p>
    <w:p>
      <w:pPr>
        <w:spacing w:line="360" w:lineRule="auto"/>
        <w:ind w:firstLine="420" w:firstLineChars="200"/>
        <w:rPr>
          <w:rFonts w:hint="eastAsia"/>
          <w:color w:val="auto"/>
          <w:highlight w:val="none"/>
        </w:rPr>
      </w:pPr>
      <w:r>
        <w:rPr>
          <w:rFonts w:hint="eastAsia"/>
          <w:color w:val="auto"/>
          <w:highlight w:val="none"/>
          <w:lang w:val="en-US" w:eastAsia="zh-CN"/>
        </w:rPr>
        <w:t>5</w:t>
      </w:r>
      <w:r>
        <w:rPr>
          <w:rFonts w:hint="eastAsia"/>
          <w:color w:val="auto"/>
          <w:highlight w:val="none"/>
        </w:rPr>
        <w:t>.根据项目的实际情况，协助</w:t>
      </w:r>
      <w:r>
        <w:rPr>
          <w:rFonts w:hint="eastAsia"/>
          <w:color w:val="auto"/>
          <w:highlight w:val="none"/>
          <w:lang w:eastAsia="zh-CN"/>
        </w:rPr>
        <w:t>采购人</w:t>
      </w:r>
      <w:r>
        <w:rPr>
          <w:rFonts w:hint="eastAsia"/>
          <w:color w:val="auto"/>
          <w:highlight w:val="none"/>
        </w:rPr>
        <w:t>制定合理的工期目标和进度计划，并对项目进度进行动态跟踪和控制，保证项目按照预定工期顺利进行。</w:t>
      </w:r>
    </w:p>
    <w:p>
      <w:pPr>
        <w:spacing w:line="360" w:lineRule="auto"/>
        <w:ind w:firstLine="420" w:firstLineChars="200"/>
        <w:rPr>
          <w:rFonts w:hint="eastAsia"/>
          <w:color w:val="auto"/>
          <w:highlight w:val="none"/>
        </w:rPr>
      </w:pPr>
      <w:r>
        <w:rPr>
          <w:rFonts w:hint="eastAsia"/>
          <w:color w:val="auto"/>
          <w:highlight w:val="none"/>
          <w:lang w:val="en-US" w:eastAsia="zh-CN"/>
        </w:rPr>
        <w:t>6</w:t>
      </w:r>
      <w:r>
        <w:rPr>
          <w:rFonts w:hint="eastAsia"/>
          <w:color w:val="auto"/>
          <w:highlight w:val="none"/>
        </w:rPr>
        <w:t>.在本项目监理中，监理方应协助</w:t>
      </w:r>
      <w:r>
        <w:rPr>
          <w:rFonts w:hint="eastAsia"/>
          <w:color w:val="auto"/>
          <w:highlight w:val="none"/>
          <w:lang w:eastAsia="zh-CN"/>
        </w:rPr>
        <w:t>采购人</w:t>
      </w:r>
      <w:r>
        <w:rPr>
          <w:rFonts w:hint="eastAsia"/>
          <w:color w:val="auto"/>
          <w:highlight w:val="none"/>
        </w:rPr>
        <w:t>对项目进行全面的风险分析，正确评估项目风险，制定合理的风险管理方案，监控和化解风险，当项目出现问题时能尽快纠正，减少项目损失，最终保证项目目标的实现。</w:t>
      </w:r>
    </w:p>
    <w:p>
      <w:pPr>
        <w:spacing w:line="360" w:lineRule="auto"/>
        <w:ind w:firstLine="420" w:firstLineChars="200"/>
        <w:rPr>
          <w:rFonts w:hint="eastAsia"/>
          <w:color w:val="auto"/>
          <w:highlight w:val="none"/>
        </w:rPr>
      </w:pPr>
      <w:r>
        <w:rPr>
          <w:rFonts w:hint="eastAsia"/>
          <w:color w:val="auto"/>
          <w:highlight w:val="none"/>
          <w:lang w:val="en-US" w:eastAsia="zh-CN"/>
        </w:rPr>
        <w:t>7</w:t>
      </w:r>
      <w:r>
        <w:rPr>
          <w:rFonts w:hint="eastAsia"/>
          <w:color w:val="auto"/>
          <w:highlight w:val="none"/>
        </w:rPr>
        <w:t>.监理方参与</w:t>
      </w:r>
      <w:r>
        <w:rPr>
          <w:rFonts w:hint="eastAsia"/>
          <w:color w:val="auto"/>
          <w:highlight w:val="none"/>
          <w:lang w:val="en-US" w:eastAsia="zh-CN"/>
        </w:rPr>
        <w:t>承建</w:t>
      </w:r>
      <w:r>
        <w:rPr>
          <w:rFonts w:hint="eastAsia"/>
          <w:color w:val="auto"/>
          <w:highlight w:val="none"/>
        </w:rPr>
        <w:t>单位的验收计划、验收资料的制定和审核，监理方在验收阶段提供完整的监理验收资料和监理验收总结报告，验收完成后对项目进行总结和对验收发现的问题进行督促整改、跟踪解决等工作。</w:t>
      </w:r>
    </w:p>
    <w:p>
      <w:pPr>
        <w:spacing w:line="360" w:lineRule="auto"/>
        <w:ind w:firstLine="420" w:firstLineChars="200"/>
        <w:rPr>
          <w:rFonts w:hint="eastAsia"/>
          <w:color w:val="auto"/>
          <w:highlight w:val="none"/>
        </w:rPr>
      </w:pPr>
      <w:r>
        <w:rPr>
          <w:rFonts w:hint="eastAsia"/>
          <w:color w:val="auto"/>
          <w:highlight w:val="none"/>
          <w:lang w:val="en-US" w:eastAsia="zh-CN"/>
        </w:rPr>
        <w:t>8</w:t>
      </w:r>
      <w:r>
        <w:rPr>
          <w:rFonts w:hint="eastAsia"/>
          <w:color w:val="auto"/>
          <w:highlight w:val="none"/>
        </w:rPr>
        <w:t>.监理方应充分将其项目管理专业知识及技能运用到本项目的监理工作中，协助</w:t>
      </w:r>
      <w:r>
        <w:rPr>
          <w:rFonts w:hint="eastAsia"/>
          <w:color w:val="auto"/>
          <w:highlight w:val="none"/>
          <w:lang w:eastAsia="zh-CN"/>
        </w:rPr>
        <w:t>采购人</w:t>
      </w:r>
      <w:r>
        <w:rPr>
          <w:rFonts w:hint="eastAsia"/>
          <w:color w:val="auto"/>
          <w:highlight w:val="none"/>
        </w:rPr>
        <w:t>进行项目管理，保证本项目高效、保质、节约地完成。</w:t>
      </w:r>
    </w:p>
    <w:p>
      <w:pPr>
        <w:spacing w:line="360" w:lineRule="auto"/>
        <w:ind w:firstLine="420" w:firstLineChars="200"/>
        <w:rPr>
          <w:rFonts w:hint="eastAsia"/>
          <w:color w:val="auto"/>
          <w:highlight w:val="none"/>
        </w:rPr>
      </w:pPr>
      <w:r>
        <w:rPr>
          <w:rFonts w:hint="eastAsia"/>
          <w:color w:val="auto"/>
          <w:highlight w:val="none"/>
          <w:lang w:val="en-US" w:eastAsia="zh-CN"/>
        </w:rPr>
        <w:t>9</w:t>
      </w:r>
      <w:r>
        <w:rPr>
          <w:rFonts w:hint="eastAsia"/>
          <w:color w:val="auto"/>
          <w:highlight w:val="none"/>
        </w:rPr>
        <w:t>.监理方要充分履行其在项目组织协调方面的职责与义务，建立有效的沟通与协商制度，确保项目参与各方的信息能够及时、畅通、完整进行传递。</w:t>
      </w:r>
    </w:p>
    <w:p>
      <w:pPr>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.监理方还应结合自身积累的项目管理经验、所了解的行业信息以及自身具备的其他资源，向</w:t>
      </w:r>
      <w:r>
        <w:rPr>
          <w:rFonts w:hint="eastAsia"/>
          <w:color w:val="auto"/>
          <w:highlight w:val="none"/>
          <w:lang w:eastAsia="zh-CN"/>
        </w:rPr>
        <w:t>采购人</w:t>
      </w:r>
      <w:r>
        <w:rPr>
          <w:rFonts w:hint="eastAsia"/>
          <w:color w:val="auto"/>
          <w:highlight w:val="none"/>
        </w:rPr>
        <w:t>提供一定的如项目实施、项目管理、经费管理、档案管理、验收管理等方面的建议。</w:t>
      </w:r>
    </w:p>
    <w:p>
      <w:pPr>
        <w:snapToGrid w:val="0"/>
        <w:ind w:firstLine="420" w:firstLineChars="200"/>
        <w:rPr>
          <w:rFonts w:ascii="宋体" w:hAnsi="宋体" w:cs="宋体"/>
          <w:color w:val="auto"/>
          <w:highlight w:val="none"/>
        </w:rPr>
      </w:pPr>
    </w:p>
    <w:p>
      <w:pPr>
        <w:pStyle w:val="148"/>
        <w:numPr>
          <w:ilvl w:val="1"/>
          <w:numId w:val="0"/>
        </w:numPr>
        <w:tabs>
          <w:tab w:val="left" w:pos="1320"/>
          <w:tab w:val="clear" w:pos="840"/>
        </w:tabs>
        <w:spacing w:before="0" w:beforeLines="0" w:after="0" w:line="360" w:lineRule="auto"/>
        <w:ind w:leftChars="0"/>
        <w:rPr>
          <w:rFonts w:ascii="宋体" w:hAnsi="宋体" w:eastAsia="宋体" w:cs="宋体"/>
          <w:color w:val="auto"/>
          <w:sz w:val="24"/>
          <w:szCs w:val="24"/>
          <w:highlight w:val="none"/>
        </w:rPr>
      </w:pPr>
      <w:bookmarkStart w:id="45" w:name="_Toc42009611"/>
      <w:bookmarkStart w:id="46" w:name="_Toc19819"/>
      <w:bookmarkStart w:id="47" w:name="_Toc15844"/>
      <w:bookmarkStart w:id="48" w:name="_Toc17269"/>
      <w:r>
        <w:rPr>
          <w:rFonts w:hint="eastAsia" w:ascii="宋体" w:hAnsi="宋体" w:eastAsia="宋体" w:cs="宋体"/>
          <w:color w:val="auto"/>
          <w:sz w:val="24"/>
          <w:szCs w:val="24"/>
          <w:highlight w:val="none"/>
          <w:lang w:val="en-US" w:eastAsia="zh-CN"/>
        </w:rPr>
        <w:t>五</w:t>
      </w:r>
      <w:r>
        <w:rPr>
          <w:rFonts w:ascii="宋体" w:hAnsi="宋体" w:eastAsia="宋体" w:cs="宋体"/>
          <w:color w:val="auto"/>
          <w:sz w:val="24"/>
          <w:szCs w:val="24"/>
          <w:highlight w:val="none"/>
        </w:rPr>
        <w:t>、对监理方的要求</w:t>
      </w:r>
      <w:bookmarkEnd w:id="45"/>
      <w:bookmarkEnd w:id="46"/>
      <w:bookmarkEnd w:id="47"/>
      <w:bookmarkEnd w:id="48"/>
    </w:p>
    <w:p>
      <w:pPr>
        <w:numPr>
          <w:ilvl w:val="2"/>
          <w:numId w:val="0"/>
        </w:numPr>
        <w:snapToGrid w:val="0"/>
        <w:spacing w:line="360" w:lineRule="auto"/>
        <w:ind w:leftChars="0" w:firstLine="420" w:firstLineChars="200"/>
        <w:jc w:val="left"/>
        <w:rPr>
          <w:rFonts w:hint="default" w:ascii="宋体" w:hAnsi="宋体" w:eastAsia="宋体" w:cs="宋体"/>
          <w:color w:val="auto"/>
          <w:sz w:val="21"/>
          <w:szCs w:val="22"/>
          <w:highlight w:val="none"/>
        </w:rPr>
      </w:pPr>
      <w:bookmarkStart w:id="49" w:name="_Toc42009612"/>
      <w:bookmarkStart w:id="50" w:name="_Toc21479"/>
      <w:bookmarkStart w:id="51" w:name="_Toc16406"/>
      <w:r>
        <w:rPr>
          <w:rFonts w:hint="eastAsia" w:ascii="宋体" w:hAnsi="宋体" w:eastAsia="宋体" w:cs="宋体"/>
          <w:caps/>
          <w:color w:val="auto"/>
          <w:sz w:val="21"/>
          <w:szCs w:val="21"/>
          <w:highlight w:val="none"/>
          <w:lang w:val="en-US" w:eastAsia="zh-CN"/>
        </w:rPr>
        <w:t>浙江省减污降碳协同增效管理系统监理</w:t>
      </w:r>
      <w:r>
        <w:rPr>
          <w:rFonts w:hint="eastAsia" w:cs="宋体"/>
          <w:caps/>
          <w:color w:val="auto"/>
          <w:sz w:val="21"/>
          <w:szCs w:val="21"/>
          <w:highlight w:val="none"/>
          <w:lang w:val="en-US" w:eastAsia="zh-CN"/>
        </w:rPr>
        <w:t>服务项目</w:t>
      </w:r>
      <w:r>
        <w:rPr>
          <w:rFonts w:hint="eastAsia" w:ascii="宋体" w:hAnsi="宋体" w:cs="宋体"/>
          <w:color w:val="auto"/>
          <w:szCs w:val="21"/>
          <w:highlight w:val="none"/>
          <w:lang w:val="en-US" w:eastAsia="zh-CN"/>
        </w:rPr>
        <w:t>全过程监理</w:t>
      </w:r>
      <w:r>
        <w:rPr>
          <w:rFonts w:hint="eastAsia" w:ascii="宋体" w:hAnsi="宋体" w:cs="宋体"/>
          <w:color w:val="auto"/>
          <w:szCs w:val="22"/>
          <w:highlight w:val="none"/>
        </w:rPr>
        <w:t>的实施是一项复杂的系统工程，业务范围广、涉及</w:t>
      </w:r>
      <w:r>
        <w:rPr>
          <w:rFonts w:hint="eastAsia" w:ascii="宋体" w:hAnsi="宋体" w:cs="宋体"/>
          <w:color w:val="auto"/>
          <w:szCs w:val="22"/>
          <w:highlight w:val="none"/>
          <w:lang w:val="en-US" w:eastAsia="zh-CN"/>
        </w:rPr>
        <w:t>领域</w:t>
      </w:r>
      <w:r>
        <w:rPr>
          <w:rFonts w:hint="eastAsia" w:ascii="宋体" w:hAnsi="宋体" w:cs="宋体"/>
          <w:color w:val="auto"/>
          <w:szCs w:val="22"/>
          <w:highlight w:val="none"/>
        </w:rPr>
        <w:t>多，投入的专业设备、技术人员数量大。</w:t>
      </w:r>
      <w:r>
        <w:rPr>
          <w:rFonts w:hint="eastAsia" w:ascii="宋体" w:hAnsi="宋体" w:cs="宋体"/>
          <w:color w:val="auto"/>
          <w:szCs w:val="22"/>
          <w:highlight w:val="none"/>
          <w:lang w:val="en-US" w:eastAsia="zh-CN"/>
        </w:rPr>
        <w:t>监理单位应具有丰富的行业经验、良好的社会信誉、强劲的专业实力和务实的技术团队，要求具有</w:t>
      </w:r>
      <w:r>
        <w:rPr>
          <w:rStyle w:val="841"/>
          <w:rFonts w:hint="eastAsia" w:ascii="宋体" w:hAnsi="宋体" w:cs="宋体"/>
          <w:color w:val="auto"/>
          <w:sz w:val="21"/>
          <w:szCs w:val="21"/>
          <w:highlight w:val="none"/>
          <w:lang w:val="en-US" w:eastAsia="zh-CN" w:bidi="ar"/>
        </w:rPr>
        <w:t>ITSS</w:t>
      </w:r>
      <w:r>
        <w:rPr>
          <w:rFonts w:hint="eastAsia" w:ascii="宋体" w:hAnsi="宋体" w:cs="宋体"/>
          <w:bCs/>
          <w:caps w:val="0"/>
          <w:snapToGrid/>
          <w:color w:val="auto"/>
          <w:spacing w:val="0"/>
          <w:w w:val="100"/>
          <w:kern w:val="2"/>
          <w:position w:val="0"/>
          <w:szCs w:val="21"/>
          <w:highlight w:val="none"/>
          <w:lang w:bidi="ar"/>
        </w:rPr>
        <w:t>信息技术服务咨询设计标准符合性</w:t>
      </w:r>
      <w:r>
        <w:rPr>
          <w:rFonts w:hint="eastAsia" w:ascii="宋体" w:hAnsi="宋体" w:cs="宋体"/>
          <w:bCs/>
          <w:color w:val="auto"/>
          <w:kern w:val="0"/>
          <w:szCs w:val="21"/>
          <w:highlight w:val="none"/>
          <w:lang w:val="en-US" w:eastAsia="zh-CN" w:bidi="ar"/>
        </w:rPr>
        <w:t>资质</w:t>
      </w:r>
      <w:r>
        <w:rPr>
          <w:rStyle w:val="841"/>
          <w:rFonts w:hint="eastAsia" w:ascii="宋体" w:hAnsi="宋体" w:eastAsia="宋体" w:cs="宋体"/>
          <w:color w:val="auto"/>
          <w:sz w:val="21"/>
          <w:szCs w:val="21"/>
          <w:highlight w:val="none"/>
          <w:lang w:val="en-US" w:eastAsia="zh-CN" w:bidi="ar"/>
        </w:rPr>
        <w:t>和</w:t>
      </w:r>
      <w:r>
        <w:rPr>
          <w:rStyle w:val="841"/>
          <w:rFonts w:hint="eastAsia" w:ascii="宋体" w:hAnsi="宋体" w:eastAsia="宋体" w:cs="宋体"/>
          <w:color w:val="auto"/>
          <w:sz w:val="21"/>
          <w:szCs w:val="21"/>
          <w:highlight w:val="none"/>
          <w:lang w:bidi="ar"/>
        </w:rPr>
        <w:t>CNAS实验室认可</w:t>
      </w:r>
      <w:r>
        <w:rPr>
          <w:rStyle w:val="841"/>
          <w:rFonts w:hint="eastAsia" w:ascii="宋体" w:hAnsi="宋体" w:eastAsia="宋体" w:cs="宋体"/>
          <w:color w:val="auto"/>
          <w:sz w:val="21"/>
          <w:szCs w:val="21"/>
          <w:highlight w:val="none"/>
          <w:lang w:val="en-US" w:eastAsia="zh-CN" w:bidi="ar"/>
        </w:rPr>
        <w:t>证书</w:t>
      </w:r>
      <w:r>
        <w:rPr>
          <w:rStyle w:val="841"/>
          <w:rFonts w:hint="eastAsia" w:ascii="宋体" w:hAnsi="宋体" w:eastAsia="宋体" w:cs="宋体"/>
          <w:color w:val="auto"/>
          <w:sz w:val="21"/>
          <w:szCs w:val="21"/>
          <w:highlight w:val="none"/>
          <w:lang w:eastAsia="zh-CN" w:bidi="ar"/>
        </w:rPr>
        <w:t>，</w:t>
      </w:r>
      <w:r>
        <w:rPr>
          <w:rFonts w:hint="eastAsia" w:ascii="宋体" w:hAnsi="宋体" w:eastAsia="宋体" w:cs="宋体"/>
          <w:bCs/>
          <w:color w:val="auto"/>
          <w:kern w:val="0"/>
          <w:szCs w:val="21"/>
          <w:highlight w:val="none"/>
          <w:lang w:val="en-US" w:eastAsia="zh-CN" w:bidi="ar"/>
        </w:rPr>
        <w:t>具备</w:t>
      </w:r>
      <w:r>
        <w:rPr>
          <w:rFonts w:hint="eastAsia" w:ascii="宋体" w:hAnsi="宋体" w:eastAsia="宋体" w:cs="宋体"/>
          <w:color w:val="auto"/>
          <w:szCs w:val="21"/>
          <w:highlight w:val="none"/>
        </w:rPr>
        <w:t>性能测试软件、漏洞扫描工具、信息安全等级保护检查工具箱</w:t>
      </w:r>
      <w:r>
        <w:rPr>
          <w:rFonts w:hint="eastAsia" w:ascii="宋体" w:hAnsi="宋体" w:eastAsia="宋体" w:cs="宋体"/>
          <w:color w:val="auto"/>
          <w:szCs w:val="21"/>
          <w:highlight w:val="none"/>
          <w:lang w:val="en-US" w:eastAsia="zh-CN"/>
        </w:rPr>
        <w:t>等监理工具</w:t>
      </w:r>
      <w:r>
        <w:rPr>
          <w:rFonts w:hint="eastAsia" w:ascii="宋体" w:hAnsi="宋体" w:eastAsia="宋体" w:cs="宋体"/>
          <w:bCs/>
          <w:color w:val="auto"/>
          <w:kern w:val="0"/>
          <w:szCs w:val="21"/>
          <w:highlight w:val="none"/>
          <w:lang w:eastAsia="zh-CN" w:bidi="ar"/>
        </w:rPr>
        <w:t>，</w:t>
      </w:r>
      <w:r>
        <w:rPr>
          <w:rStyle w:val="841"/>
          <w:rFonts w:hint="eastAsia" w:ascii="宋体" w:hAnsi="宋体" w:eastAsia="宋体" w:cs="宋体"/>
          <w:color w:val="auto"/>
          <w:sz w:val="21"/>
          <w:szCs w:val="21"/>
          <w:highlight w:val="none"/>
          <w:lang w:val="en-US" w:eastAsia="zh-CN" w:bidi="ar"/>
        </w:rPr>
        <w:t>参与过现行</w:t>
      </w:r>
      <w:r>
        <w:rPr>
          <w:rFonts w:hint="eastAsia" w:ascii="宋体" w:hAnsi="宋体" w:eastAsia="宋体" w:cs="宋体"/>
          <w:bCs/>
          <w:color w:val="auto"/>
          <w:kern w:val="0"/>
          <w:szCs w:val="21"/>
          <w:highlight w:val="none"/>
          <w:lang w:bidi="ar"/>
        </w:rPr>
        <w:t>&lt;&lt;信息技术服务监理&gt;&gt;国家标准（GB）编制</w:t>
      </w:r>
      <w:r>
        <w:rPr>
          <w:rStyle w:val="841"/>
          <w:rFonts w:hint="eastAsia" w:ascii="宋体" w:hAnsi="宋体" w:eastAsia="宋体" w:cs="宋体"/>
          <w:color w:val="auto"/>
          <w:sz w:val="21"/>
          <w:szCs w:val="21"/>
          <w:highlight w:val="none"/>
          <w:lang w:val="en-US" w:eastAsia="zh-CN" w:bidi="ar"/>
        </w:rPr>
        <w:t>等。</w:t>
      </w:r>
    </w:p>
    <w:p>
      <w:pPr>
        <w:pStyle w:val="4"/>
        <w:numPr>
          <w:ilvl w:val="2"/>
          <w:numId w:val="0"/>
        </w:numPr>
        <w:tabs>
          <w:tab w:val="left" w:pos="1275"/>
          <w:tab w:val="clear" w:pos="900"/>
        </w:tabs>
        <w:snapToGrid w:val="0"/>
        <w:spacing w:line="360" w:lineRule="auto"/>
        <w:ind w:leftChars="0"/>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ascii="宋体" w:hAnsi="宋体" w:cs="宋体"/>
          <w:color w:val="auto"/>
          <w:sz w:val="21"/>
          <w:szCs w:val="21"/>
          <w:highlight w:val="none"/>
        </w:rPr>
        <w:t>团队要求</w:t>
      </w:r>
      <w:bookmarkEnd w:id="49"/>
      <w:bookmarkEnd w:id="50"/>
      <w:bookmarkEnd w:id="51"/>
    </w:p>
    <w:p>
      <w:pPr>
        <w:spacing w:line="360" w:lineRule="auto"/>
        <w:ind w:firstLineChars="200"/>
        <w:rPr>
          <w:rFonts w:hint="eastAsia" w:ascii="宋体" w:hAnsi="宋体" w:eastAsia="宋体" w:cs="宋体"/>
          <w:color w:val="auto"/>
          <w:highlight w:val="none"/>
        </w:rPr>
      </w:pPr>
      <w:r>
        <w:rPr>
          <w:rFonts w:hint="eastAsia"/>
          <w:color w:val="auto"/>
          <w:highlight w:val="none"/>
        </w:rPr>
        <w:t>监理</w:t>
      </w:r>
      <w:r>
        <w:rPr>
          <w:rFonts w:hint="eastAsia"/>
          <w:color w:val="auto"/>
          <w:highlight w:val="none"/>
          <w:lang w:val="en-US" w:eastAsia="zh-CN"/>
        </w:rPr>
        <w:t>单位</w:t>
      </w:r>
      <w:r>
        <w:rPr>
          <w:rFonts w:hint="eastAsia"/>
          <w:color w:val="auto"/>
          <w:highlight w:val="none"/>
        </w:rPr>
        <w:t>需组建不少于</w:t>
      </w:r>
      <w:r>
        <w:rPr>
          <w:rFonts w:hint="eastAsia"/>
          <w:color w:val="auto"/>
          <w:highlight w:val="none"/>
          <w:lang w:val="en-US" w:eastAsia="zh-CN"/>
        </w:rPr>
        <w:t>4</w:t>
      </w:r>
      <w:r>
        <w:rPr>
          <w:rFonts w:hint="eastAsia"/>
          <w:color w:val="auto"/>
          <w:highlight w:val="none"/>
        </w:rPr>
        <w:t>人的监理团队</w:t>
      </w:r>
      <w:r>
        <w:rPr>
          <w:rFonts w:hint="eastAsia" w:ascii="宋体" w:hAnsi="宋体" w:eastAsia="宋体" w:cs="宋体"/>
          <w:color w:val="auto"/>
          <w:highlight w:val="none"/>
        </w:rPr>
        <w:t>（不允许外聘，投标文件中</w:t>
      </w:r>
      <w:r>
        <w:rPr>
          <w:rFonts w:hint="eastAsia" w:ascii="宋体" w:hAnsi="宋体" w:cs="宋体"/>
          <w:color w:val="auto"/>
          <w:highlight w:val="none"/>
          <w:lang w:val="en-US" w:eastAsia="zh-CN"/>
        </w:rPr>
        <w:t>需</w:t>
      </w:r>
      <w:r>
        <w:rPr>
          <w:rFonts w:hint="eastAsia" w:ascii="宋体" w:hAnsi="宋体" w:eastAsia="宋体" w:cs="宋体"/>
          <w:color w:val="auto"/>
          <w:highlight w:val="none"/>
        </w:rPr>
        <w:t>提供监理人员在本单位缴纳的</w:t>
      </w:r>
      <w:r>
        <w:rPr>
          <w:rFonts w:hint="eastAsia" w:ascii="宋体" w:hAnsi="宋体" w:cs="宋体"/>
          <w:color w:val="auto"/>
          <w:highlight w:val="none"/>
          <w:lang w:val="en-US" w:eastAsia="zh-CN"/>
        </w:rPr>
        <w:t>近三个月</w:t>
      </w:r>
      <w:r>
        <w:rPr>
          <w:rFonts w:hint="eastAsia" w:ascii="宋体" w:hAnsi="宋体" w:eastAsia="宋体" w:cs="宋体"/>
          <w:color w:val="auto"/>
          <w:highlight w:val="none"/>
        </w:rPr>
        <w:t>社保参保证明，无证明视为外聘人员）</w:t>
      </w:r>
      <w:r>
        <w:rPr>
          <w:rFonts w:hint="eastAsia"/>
          <w:color w:val="auto"/>
          <w:highlight w:val="none"/>
        </w:rPr>
        <w:t>，至少包括总监理工程师1名，总监理工程师代表1名，专业监理工程师</w:t>
      </w:r>
      <w:r>
        <w:rPr>
          <w:rFonts w:hint="eastAsia"/>
          <w:color w:val="auto"/>
          <w:highlight w:val="none"/>
          <w:lang w:val="en-US" w:eastAsia="zh-CN"/>
        </w:rPr>
        <w:t>1</w:t>
      </w:r>
      <w:r>
        <w:rPr>
          <w:rFonts w:hint="eastAsia"/>
          <w:color w:val="auto"/>
          <w:highlight w:val="none"/>
        </w:rPr>
        <w:t>名，监理员</w:t>
      </w:r>
      <w:r>
        <w:rPr>
          <w:rFonts w:hint="eastAsia"/>
          <w:color w:val="auto"/>
          <w:highlight w:val="none"/>
          <w:lang w:val="en-US" w:eastAsia="zh-CN"/>
        </w:rPr>
        <w:t>1</w:t>
      </w:r>
      <w:r>
        <w:rPr>
          <w:rFonts w:hint="eastAsia"/>
          <w:color w:val="auto"/>
          <w:highlight w:val="none"/>
        </w:rPr>
        <w:t>名。并根据项目实际情况浮动调整，以满足甲方要求为准。</w:t>
      </w:r>
    </w:p>
    <w:p>
      <w:pPr>
        <w:autoSpaceDE/>
        <w:autoSpaceDN/>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（1）总监理工程师要求 </w:t>
      </w:r>
    </w:p>
    <w:p>
      <w:pPr>
        <w:autoSpaceDE/>
        <w:autoSpaceDN/>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总监理工程师全面主持项目监理方工作，具有</w:t>
      </w:r>
      <w:r>
        <w:rPr>
          <w:rFonts w:hint="eastAsia" w:ascii="宋体" w:hAnsi="宋体" w:cs="宋体"/>
          <w:color w:val="auto"/>
          <w:highlight w:val="none"/>
          <w:lang w:val="en-US" w:eastAsia="zh-CN"/>
        </w:rPr>
        <w:t>十</w:t>
      </w:r>
      <w:r>
        <w:rPr>
          <w:rFonts w:hint="eastAsia" w:ascii="宋体" w:hAnsi="宋体" w:eastAsia="宋体" w:cs="宋体"/>
          <w:color w:val="auto"/>
          <w:highlight w:val="none"/>
        </w:rPr>
        <w:t>年（含）以上信息系统监理工作经验(以信息系统监理师证书签发时间为准)，主持过大型信息系统监理项目，具有丰富的监理和管理经验，</w:t>
      </w:r>
      <w:r>
        <w:rPr>
          <w:rFonts w:hint="eastAsia" w:ascii="宋体" w:hAnsi="宋体" w:cs="宋体"/>
          <w:color w:val="auto"/>
          <w:highlight w:val="none"/>
          <w:lang w:val="en-US" w:eastAsia="zh-CN"/>
        </w:rPr>
        <w:t>除了具备</w:t>
      </w:r>
      <w:r>
        <w:rPr>
          <w:rFonts w:hint="eastAsia" w:ascii="宋体" w:hAnsi="宋体" w:eastAsia="宋体" w:cs="宋体"/>
          <w:color w:val="auto"/>
          <w:highlight w:val="none"/>
        </w:rPr>
        <w:t>信息系统监理师</w:t>
      </w:r>
      <w:r>
        <w:rPr>
          <w:rFonts w:hint="eastAsia" w:ascii="宋体" w:hAnsi="宋体" w:cs="宋体"/>
          <w:color w:val="auto"/>
          <w:highlight w:val="none"/>
          <w:lang w:val="en-US" w:eastAsia="zh-CN"/>
        </w:rPr>
        <w:t>外，还应同时具备以下证书：信息系统项目管理师</w:t>
      </w:r>
      <w:r>
        <w:rPr>
          <w:rFonts w:hint="eastAsia" w:ascii="宋体" w:hAnsi="宋体" w:cs="宋体"/>
          <w:color w:val="auto"/>
          <w:highlight w:val="none"/>
          <w:lang w:eastAsia="zh-CN"/>
        </w:rPr>
        <w:t>、</w:t>
      </w:r>
      <w:r>
        <w:rPr>
          <w:rFonts w:hint="eastAsia" w:ascii="宋体" w:hAnsi="宋体" w:eastAsia="宋体" w:cs="宋体"/>
          <w:color w:val="auto"/>
          <w:highlight w:val="none"/>
        </w:rPr>
        <w:t>咨询工程师（投资）、</w:t>
      </w:r>
      <w:r>
        <w:rPr>
          <w:rStyle w:val="841"/>
          <w:rFonts w:hint="default" w:cs="宋体"/>
          <w:bCs/>
          <w:color w:val="auto"/>
          <w:sz w:val="21"/>
          <w:szCs w:val="21"/>
          <w:highlight w:val="none"/>
          <w:lang w:bidi="ar"/>
        </w:rPr>
        <w:t>一级建造师（机电工程）</w:t>
      </w:r>
      <w:r>
        <w:rPr>
          <w:rStyle w:val="841"/>
          <w:rFonts w:hint="eastAsia" w:cs="宋体"/>
          <w:bCs/>
          <w:color w:val="auto"/>
          <w:sz w:val="21"/>
          <w:szCs w:val="21"/>
          <w:highlight w:val="none"/>
          <w:lang w:eastAsia="zh-CN" w:bidi="ar"/>
        </w:rPr>
        <w:t>、</w:t>
      </w:r>
      <w:r>
        <w:rPr>
          <w:rStyle w:val="841"/>
          <w:rFonts w:hint="default" w:cs="宋体"/>
          <w:bCs/>
          <w:color w:val="auto"/>
          <w:sz w:val="21"/>
          <w:szCs w:val="21"/>
          <w:highlight w:val="none"/>
          <w:lang w:bidi="ar"/>
        </w:rPr>
        <w:t>数据库系统工程师</w:t>
      </w:r>
      <w:r>
        <w:rPr>
          <w:rStyle w:val="841"/>
          <w:rFonts w:hint="eastAsia" w:cs="宋体"/>
          <w:bCs/>
          <w:color w:val="auto"/>
          <w:sz w:val="21"/>
          <w:szCs w:val="21"/>
          <w:highlight w:val="none"/>
          <w:lang w:eastAsia="zh-CN" w:bidi="ar"/>
        </w:rPr>
        <w:t>、</w:t>
      </w:r>
      <w:r>
        <w:rPr>
          <w:rFonts w:hint="eastAsia" w:ascii="宋体" w:hAnsi="宋体" w:eastAsia="宋体" w:cs="宋体"/>
          <w:bCs/>
          <w:color w:val="auto"/>
          <w:szCs w:val="21"/>
          <w:highlight w:val="none"/>
        </w:rPr>
        <w:t>注册</w:t>
      </w:r>
      <w:r>
        <w:rPr>
          <w:rStyle w:val="841"/>
          <w:rFonts w:hint="eastAsia" w:ascii="宋体" w:hAnsi="宋体" w:eastAsia="宋体" w:cs="宋体"/>
          <w:bCs/>
          <w:color w:val="auto"/>
          <w:sz w:val="21"/>
          <w:szCs w:val="21"/>
          <w:highlight w:val="none"/>
          <w:lang w:bidi="ar"/>
        </w:rPr>
        <w:t>信息安全专业人员（</w:t>
      </w:r>
      <w:r>
        <w:rPr>
          <w:rFonts w:hint="eastAsia" w:ascii="宋体" w:hAnsi="宋体" w:eastAsia="宋体" w:cs="宋体"/>
          <w:bCs/>
          <w:color w:val="auto"/>
          <w:szCs w:val="21"/>
          <w:highlight w:val="none"/>
          <w:lang w:val="en-US" w:eastAsia="zh-CN"/>
        </w:rPr>
        <w:t>CISP</w:t>
      </w:r>
      <w:r>
        <w:rPr>
          <w:rStyle w:val="841"/>
          <w:rFonts w:hint="eastAsia" w:ascii="宋体" w:hAnsi="宋体" w:eastAsia="宋体" w:cs="宋体"/>
          <w:bCs/>
          <w:color w:val="auto"/>
          <w:sz w:val="21"/>
          <w:szCs w:val="21"/>
          <w:highlight w:val="none"/>
          <w:lang w:bidi="ar"/>
        </w:rPr>
        <w:t>）</w:t>
      </w:r>
      <w:r>
        <w:rPr>
          <w:rFonts w:hint="eastAsia" w:ascii="宋体" w:hAnsi="宋体" w:eastAsia="宋体" w:cs="宋体"/>
          <w:color w:val="auto"/>
          <w:highlight w:val="none"/>
        </w:rPr>
        <w:t>等证书。</w:t>
      </w:r>
    </w:p>
    <w:p>
      <w:pPr>
        <w:autoSpaceDE/>
        <w:autoSpaceDN/>
        <w:adjustRightInd/>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（2）总监理工程师代表要求</w:t>
      </w:r>
    </w:p>
    <w:p>
      <w:pPr>
        <w:autoSpaceDE/>
        <w:autoSpaceDN/>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总监理工程师代表应协助总监理工程师做好项目监理工作</w:t>
      </w:r>
      <w:r>
        <w:rPr>
          <w:rFonts w:hint="eastAsia" w:ascii="宋体" w:hAnsi="宋体" w:cs="宋体"/>
          <w:color w:val="auto"/>
          <w:highlight w:val="none"/>
          <w:lang w:eastAsia="zh-CN"/>
        </w:rPr>
        <w:t>，</w:t>
      </w:r>
      <w:r>
        <w:rPr>
          <w:rFonts w:hint="eastAsia" w:ascii="宋体" w:hAnsi="宋体" w:eastAsia="宋体" w:cs="宋体"/>
          <w:color w:val="auto"/>
          <w:highlight w:val="none"/>
        </w:rPr>
        <w:t>具有</w:t>
      </w:r>
      <w:r>
        <w:rPr>
          <w:rFonts w:hint="eastAsia" w:ascii="宋体" w:hAnsi="宋体" w:cs="宋体"/>
          <w:color w:val="auto"/>
          <w:highlight w:val="none"/>
          <w:lang w:val="en-US" w:eastAsia="zh-CN"/>
        </w:rPr>
        <w:t>五</w:t>
      </w:r>
      <w:r>
        <w:rPr>
          <w:rFonts w:hint="eastAsia" w:ascii="宋体" w:hAnsi="宋体" w:eastAsia="宋体" w:cs="宋体"/>
          <w:color w:val="auto"/>
          <w:highlight w:val="none"/>
        </w:rPr>
        <w:t>年（含）以上信息系统监理工作经验(以信息系统监理师证书签发时间为准)，</w:t>
      </w:r>
      <w:r>
        <w:rPr>
          <w:rFonts w:hint="eastAsia" w:ascii="宋体" w:hAnsi="宋体" w:cs="宋体"/>
          <w:color w:val="auto"/>
          <w:highlight w:val="none"/>
          <w:lang w:val="en-US" w:eastAsia="zh-CN"/>
        </w:rPr>
        <w:t>除了具备</w:t>
      </w:r>
      <w:r>
        <w:rPr>
          <w:rFonts w:hint="eastAsia" w:ascii="宋体" w:hAnsi="宋体" w:eastAsia="宋体" w:cs="宋体"/>
          <w:color w:val="auto"/>
          <w:highlight w:val="none"/>
        </w:rPr>
        <w:t>信息系统监理师</w:t>
      </w:r>
      <w:r>
        <w:rPr>
          <w:rFonts w:hint="eastAsia" w:ascii="宋体" w:hAnsi="宋体" w:cs="宋体"/>
          <w:color w:val="auto"/>
          <w:highlight w:val="none"/>
          <w:lang w:val="en-US" w:eastAsia="zh-CN"/>
        </w:rPr>
        <w:t>证书外</w:t>
      </w:r>
      <w:r>
        <w:rPr>
          <w:rFonts w:hint="eastAsia" w:ascii="宋体" w:hAnsi="宋体" w:eastAsia="宋体" w:cs="宋体"/>
          <w:color w:val="auto"/>
          <w:highlight w:val="none"/>
        </w:rPr>
        <w:t>，</w:t>
      </w:r>
      <w:r>
        <w:rPr>
          <w:rFonts w:hint="eastAsia" w:ascii="宋体" w:hAnsi="宋体" w:cs="宋体"/>
          <w:color w:val="auto"/>
          <w:highlight w:val="none"/>
          <w:lang w:val="en-US" w:eastAsia="zh-CN"/>
        </w:rPr>
        <w:t>还应同时具备以下证书：</w:t>
      </w:r>
      <w:r>
        <w:rPr>
          <w:rFonts w:hint="eastAsia"/>
          <w:color w:val="auto"/>
          <w:highlight w:val="none"/>
        </w:rPr>
        <w:t>信息系统项目管理师</w:t>
      </w:r>
      <w:r>
        <w:rPr>
          <w:rFonts w:hint="eastAsia" w:ascii="宋体" w:hAnsi="宋体" w:eastAsia="宋体" w:cs="宋体"/>
          <w:color w:val="auto"/>
          <w:highlight w:val="none"/>
        </w:rPr>
        <w:t>、</w:t>
      </w:r>
      <w:r>
        <w:rPr>
          <w:rFonts w:hint="eastAsia" w:ascii="宋体" w:hAnsi="宋体" w:cs="宋体"/>
          <w:color w:val="auto"/>
          <w:highlight w:val="none"/>
          <w:lang w:val="en-US" w:eastAsia="zh-CN"/>
        </w:rPr>
        <w:t>软件测评师</w:t>
      </w:r>
      <w:r>
        <w:rPr>
          <w:rFonts w:hint="eastAsia" w:ascii="宋体" w:hAnsi="宋体" w:eastAsia="宋体" w:cs="宋体"/>
          <w:color w:val="auto"/>
          <w:highlight w:val="none"/>
        </w:rPr>
        <w:t>、</w:t>
      </w:r>
      <w:r>
        <w:rPr>
          <w:rStyle w:val="841"/>
          <w:rFonts w:hint="default" w:cs="宋体"/>
          <w:bCs/>
          <w:color w:val="auto"/>
          <w:sz w:val="21"/>
          <w:szCs w:val="21"/>
          <w:highlight w:val="none"/>
          <w:lang w:bidi="ar"/>
        </w:rPr>
        <w:t>数据库系统工程师</w:t>
      </w:r>
      <w:r>
        <w:rPr>
          <w:rStyle w:val="841"/>
          <w:rFonts w:hint="eastAsia" w:cs="宋体"/>
          <w:bCs/>
          <w:color w:val="auto"/>
          <w:sz w:val="21"/>
          <w:szCs w:val="21"/>
          <w:highlight w:val="none"/>
          <w:lang w:eastAsia="zh-CN" w:bidi="ar"/>
        </w:rPr>
        <w:t>、</w:t>
      </w:r>
      <w:r>
        <w:rPr>
          <w:rFonts w:hint="eastAsia" w:ascii="宋体" w:hAnsi="宋体" w:eastAsia="宋体" w:cs="宋体"/>
          <w:color w:val="auto"/>
          <w:highlight w:val="none"/>
        </w:rPr>
        <w:t>软件设计师（高级程序员）等证书</w:t>
      </w:r>
      <w:r>
        <w:rPr>
          <w:rFonts w:hint="eastAsia" w:ascii="宋体" w:hAnsi="宋体" w:cs="宋体"/>
          <w:color w:val="auto"/>
          <w:sz w:val="21"/>
          <w:highlight w:val="none"/>
          <w:lang w:eastAsia="zh-CN"/>
        </w:rPr>
        <w:t>。</w:t>
      </w:r>
    </w:p>
    <w:p>
      <w:pPr>
        <w:bidi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专业监理工程师</w:t>
      </w:r>
      <w:r>
        <w:rPr>
          <w:rFonts w:hint="eastAsia" w:ascii="宋体" w:hAnsi="宋体" w:eastAsia="宋体" w:cs="宋体"/>
          <w:color w:val="auto"/>
          <w:highlight w:val="none"/>
        </w:rPr>
        <w:t>要求</w:t>
      </w:r>
    </w:p>
    <w:p>
      <w:pPr>
        <w:bidi w:val="0"/>
        <w:spacing w:line="360" w:lineRule="auto"/>
        <w:ind w:firstLine="420" w:firstLineChars="200"/>
        <w:rPr>
          <w:rFonts w:hint="eastAsia" w:ascii="宋体" w:hAnsi="宋体" w:eastAsia="宋体" w:cs="宋体"/>
          <w:color w:val="auto"/>
          <w:highlight w:val="none"/>
        </w:rPr>
      </w:pPr>
      <w:r>
        <w:rPr>
          <w:rFonts w:hint="eastAsia"/>
          <w:color w:val="auto"/>
          <w:highlight w:val="none"/>
        </w:rPr>
        <w:t>专业监理工程师具有信息系统监理师资格，具有一年以上监理工作经验。同时，专业监理工程师团队具有</w:t>
      </w:r>
      <w:r>
        <w:rPr>
          <w:rFonts w:hint="eastAsia" w:ascii="宋体" w:hAnsi="宋体" w:cs="宋体"/>
          <w:color w:val="auto"/>
          <w:szCs w:val="21"/>
          <w:highlight w:val="none"/>
          <w:lang w:val="en-US" w:eastAsia="zh-CN"/>
        </w:rPr>
        <w:t>信息化监理</w:t>
      </w:r>
      <w:r>
        <w:rPr>
          <w:rFonts w:hint="eastAsia"/>
          <w:color w:val="auto"/>
          <w:highlight w:val="none"/>
        </w:rPr>
        <w:t>涉及的管理和技术专业证，</w:t>
      </w:r>
      <w:r>
        <w:rPr>
          <w:rFonts w:hint="eastAsia"/>
          <w:color w:val="auto"/>
          <w:highlight w:val="none"/>
          <w:lang w:val="en-US" w:eastAsia="zh-CN"/>
        </w:rPr>
        <w:t>如：信息系统项目管理师、</w:t>
      </w:r>
      <w:r>
        <w:rPr>
          <w:rFonts w:hint="eastAsia"/>
          <w:color w:val="auto"/>
          <w:highlight w:val="none"/>
        </w:rPr>
        <w:t>网络工程师、数据库系统工程师证书、系统集成项目管理、软件评测师、高级程序员</w:t>
      </w:r>
      <w:r>
        <w:rPr>
          <w:rFonts w:hint="eastAsia"/>
          <w:color w:val="auto"/>
          <w:highlight w:val="none"/>
          <w:lang w:eastAsia="zh-CN"/>
        </w:rPr>
        <w:t>（</w:t>
      </w:r>
      <w:r>
        <w:rPr>
          <w:rFonts w:hint="eastAsia"/>
          <w:color w:val="auto"/>
          <w:highlight w:val="none"/>
          <w:lang w:val="en-US" w:eastAsia="zh-CN"/>
        </w:rPr>
        <w:t>软件设计师</w:t>
      </w:r>
      <w:r>
        <w:rPr>
          <w:rFonts w:hint="eastAsia"/>
          <w:color w:val="auto"/>
          <w:highlight w:val="none"/>
          <w:lang w:eastAsia="zh-CN"/>
        </w:rPr>
        <w:t>）</w:t>
      </w:r>
      <w:r>
        <w:rPr>
          <w:rFonts w:hint="eastAsia"/>
          <w:color w:val="auto"/>
          <w:highlight w:val="none"/>
        </w:rPr>
        <w:t>等不同专业的证书。</w:t>
      </w:r>
    </w:p>
    <w:p>
      <w:pPr>
        <w:bidi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（4）监理员要求</w:t>
      </w:r>
    </w:p>
    <w:p>
      <w:pPr>
        <w:bidi w:val="0"/>
        <w:spacing w:line="360" w:lineRule="auto"/>
        <w:ind w:firstLine="420" w:firstLineChars="200"/>
        <w:rPr>
          <w:rFonts w:hint="eastAsia" w:ascii="宋体" w:hAnsi="宋体" w:eastAsia="宋体" w:cs="宋体"/>
          <w:color w:val="auto"/>
          <w:highlight w:val="none"/>
        </w:rPr>
      </w:pPr>
      <w:r>
        <w:rPr>
          <w:rFonts w:hint="eastAsia"/>
          <w:color w:val="auto"/>
          <w:highlight w:val="none"/>
        </w:rPr>
        <w:t>监理员具有一年以上监理工作经验</w:t>
      </w:r>
      <w:r>
        <w:rPr>
          <w:rFonts w:hint="eastAsia"/>
          <w:color w:val="auto"/>
          <w:highlight w:val="none"/>
          <w:lang w:eastAsia="zh-CN"/>
        </w:rPr>
        <w:t>，</w:t>
      </w:r>
      <w:r>
        <w:rPr>
          <w:rFonts w:hint="eastAsia"/>
          <w:color w:val="auto"/>
          <w:highlight w:val="none"/>
        </w:rPr>
        <w:t>熟悉监理工作流程，具有较强的现场检查、核验、管理、沟通协调能力</w:t>
      </w:r>
      <w:r>
        <w:rPr>
          <w:rFonts w:hint="eastAsia" w:ascii="宋体" w:hAnsi="宋体" w:eastAsia="宋体" w:cs="宋体"/>
          <w:color w:val="auto"/>
          <w:highlight w:val="none"/>
        </w:rPr>
        <w:t>。</w:t>
      </w:r>
    </w:p>
    <w:p>
      <w:pPr>
        <w:bidi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（5）服务响应时间</w:t>
      </w:r>
    </w:p>
    <w:p>
      <w:pPr>
        <w:bidi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服务响应时间：能提供快速的服务响应，系统建设阶段和实施运行阶段保证到达现场服务的响应时间小于</w:t>
      </w:r>
      <w:r>
        <w:rPr>
          <w:rFonts w:hint="eastAsia" w:ascii="宋体" w:hAnsi="宋体" w:cs="宋体"/>
          <w:color w:val="auto"/>
          <w:highlight w:val="none"/>
          <w:lang w:val="en-US" w:eastAsia="zh-CN"/>
        </w:rPr>
        <w:t>1</w:t>
      </w:r>
      <w:r>
        <w:rPr>
          <w:rFonts w:hint="eastAsia" w:ascii="宋体" w:hAnsi="宋体" w:eastAsia="宋体" w:cs="宋体"/>
          <w:color w:val="auto"/>
          <w:highlight w:val="none"/>
        </w:rPr>
        <w:t>小时。</w:t>
      </w:r>
    </w:p>
    <w:p>
      <w:pPr>
        <w:pStyle w:val="4"/>
        <w:numPr>
          <w:ilvl w:val="2"/>
          <w:numId w:val="0"/>
        </w:numPr>
        <w:tabs>
          <w:tab w:val="left" w:pos="1275"/>
          <w:tab w:val="clear" w:pos="900"/>
        </w:tabs>
        <w:snapToGrid w:val="0"/>
        <w:spacing w:line="360" w:lineRule="auto"/>
        <w:ind w:leftChars="0"/>
        <w:rPr>
          <w:rFonts w:hint="default" w:ascii="宋体" w:hAnsi="宋体" w:eastAsia="宋体" w:cs="宋体"/>
          <w:color w:val="auto"/>
          <w:sz w:val="21"/>
          <w:szCs w:val="21"/>
          <w:highlight w:val="none"/>
          <w:lang w:val="en-US" w:eastAsia="zh-CN"/>
        </w:rPr>
      </w:pPr>
      <w:bookmarkStart w:id="52" w:name="_Toc28371"/>
      <w:bookmarkStart w:id="53" w:name="_Toc2904"/>
      <w:bookmarkStart w:id="54" w:name="_Toc42009615"/>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ascii="宋体" w:hAnsi="宋体" w:cs="宋体"/>
          <w:color w:val="auto"/>
          <w:sz w:val="21"/>
          <w:szCs w:val="21"/>
          <w:highlight w:val="none"/>
        </w:rPr>
        <w:t>项目服务期限</w:t>
      </w:r>
      <w:bookmarkEnd w:id="52"/>
      <w:bookmarkEnd w:id="53"/>
      <w:bookmarkEnd w:id="54"/>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地点</w:t>
      </w:r>
    </w:p>
    <w:p>
      <w:pPr>
        <w:spacing w:line="360" w:lineRule="auto"/>
        <w:ind w:firstLine="422" w:firstLineChars="200"/>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服务时间：</w:t>
      </w:r>
      <w:r>
        <w:rPr>
          <w:rFonts w:hint="eastAsia" w:ascii="宋体" w:hAnsi="宋体" w:cs="宋体"/>
          <w:b w:val="0"/>
          <w:bCs w:val="0"/>
          <w:color w:val="auto"/>
          <w:szCs w:val="21"/>
          <w:highlight w:val="none"/>
          <w:lang w:val="en-US" w:eastAsia="zh-CN"/>
        </w:rPr>
        <w:t>合同签订生效之日起至浙江省减污降碳协同增效管理系统建设项目终审验收。</w:t>
      </w:r>
    </w:p>
    <w:p>
      <w:pPr>
        <w:ind w:firstLine="422" w:firstLineChars="200"/>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服务地点：</w:t>
      </w:r>
      <w:r>
        <w:rPr>
          <w:rFonts w:hint="eastAsia" w:ascii="宋体" w:hAnsi="宋体" w:cs="宋体"/>
          <w:color w:val="auto"/>
          <w:szCs w:val="21"/>
          <w:highlight w:val="none"/>
          <w:lang w:val="en-US" w:eastAsia="zh-CN"/>
        </w:rPr>
        <w:t>采购人指定地点；</w:t>
      </w:r>
    </w:p>
    <w:p>
      <w:pPr>
        <w:pStyle w:val="4"/>
        <w:numPr>
          <w:ilvl w:val="2"/>
          <w:numId w:val="0"/>
        </w:numPr>
        <w:tabs>
          <w:tab w:val="left" w:pos="1275"/>
          <w:tab w:val="clear" w:pos="900"/>
        </w:tabs>
        <w:snapToGrid w:val="0"/>
        <w:spacing w:line="360" w:lineRule="auto"/>
        <w:ind w:leftChars="0"/>
        <w:rPr>
          <w:rFonts w:ascii="宋体" w:hAnsi="宋体" w:cs="宋体"/>
          <w:color w:val="auto"/>
          <w:sz w:val="21"/>
          <w:szCs w:val="21"/>
          <w:highlight w:val="none"/>
        </w:rPr>
      </w:pPr>
      <w:bookmarkStart w:id="55" w:name="_Toc29610"/>
      <w:bookmarkStart w:id="56" w:name="_Toc42009616"/>
      <w:bookmarkStart w:id="57" w:name="_Toc27411"/>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ascii="宋体" w:hAnsi="宋体" w:cs="宋体"/>
          <w:color w:val="auto"/>
          <w:sz w:val="21"/>
          <w:szCs w:val="21"/>
          <w:highlight w:val="none"/>
        </w:rPr>
        <w:t>违约行为处理</w:t>
      </w:r>
      <w:bookmarkEnd w:id="55"/>
      <w:bookmarkEnd w:id="56"/>
      <w:bookmarkEnd w:id="57"/>
      <w:r>
        <w:rPr>
          <w:rFonts w:ascii="宋体" w:hAnsi="宋体" w:cs="宋体"/>
          <w:color w:val="auto"/>
          <w:sz w:val="21"/>
          <w:szCs w:val="21"/>
          <w:highlight w:val="none"/>
        </w:rPr>
        <w:t xml:space="preserve"> </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监理方违约，应支付给采购人违约金，规定如下： </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(1)当监理方不再具有承担本工程监理业务的能力而终止合同，监理方应承担采购人重新选定监理方的一切费用。 </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(2)因监理方渎职和失职给采购人造成重大的经济损失，采购人有权中止合同。监理方承担相应的经济责任和损失，构成犯罪的移交司法机关依法处理。 </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(3)在合同期内，总监理工程师不应更换。监理方提出并经采购人同意更换前述人员的，需经采购人同意；采购人提出撤换不胜任的前述人员，监理方应及时更换，还应承担补救措施、赔偿损失等违约责任。</w:t>
      </w:r>
    </w:p>
    <w:p>
      <w:pPr>
        <w:spacing w:line="360" w:lineRule="auto"/>
        <w:outlineLvl w:val="0"/>
        <w:rPr>
          <w:rFonts w:hint="eastAsia" w:ascii="宋体" w:hAnsi="宋体" w:eastAsia="宋体" w:cs="宋体"/>
          <w:b/>
          <w:color w:val="auto"/>
          <w:sz w:val="28"/>
          <w:szCs w:val="28"/>
          <w:highlight w:val="none"/>
          <w:lang w:eastAsia="zh-CN"/>
        </w:rPr>
      </w:pPr>
    </w:p>
    <w:p>
      <w:pPr>
        <w:spacing w:line="360" w:lineRule="auto"/>
        <w:ind w:firstLine="482" w:firstLineChars="200"/>
        <w:outlineLvl w:val="0"/>
        <w:rPr>
          <w:rFonts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六、商务需求</w:t>
      </w:r>
    </w:p>
    <w:p>
      <w:pPr>
        <w:spacing w:line="360" w:lineRule="auto"/>
        <w:ind w:firstLine="422" w:firstLineChars="200"/>
        <w:rPr>
          <w:rFonts w:ascii="宋体" w:hAnsi="宋体" w:cs="宋体"/>
          <w:b/>
          <w:bCs/>
          <w:color w:val="auto"/>
          <w:sz w:val="21"/>
          <w:szCs w:val="21"/>
          <w:highlight w:val="none"/>
        </w:rPr>
      </w:pPr>
      <w:r>
        <w:rPr>
          <w:rFonts w:ascii="宋体" w:hAnsi="宋体" w:cs="宋体"/>
          <w:b/>
          <w:bCs/>
          <w:color w:val="auto"/>
          <w:sz w:val="21"/>
          <w:szCs w:val="21"/>
          <w:highlight w:val="none"/>
        </w:rPr>
        <w:t>1</w:t>
      </w:r>
      <w:r>
        <w:rPr>
          <w:rFonts w:hint="eastAsia" w:ascii="宋体" w:hAnsi="宋体" w:cs="宋体"/>
          <w:b/>
          <w:bCs/>
          <w:color w:val="auto"/>
          <w:sz w:val="21"/>
          <w:szCs w:val="21"/>
          <w:highlight w:val="none"/>
        </w:rPr>
        <w:t>、服务期：项目实施全周期。</w:t>
      </w:r>
    </w:p>
    <w:p>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中标人应在合同签订生效之日起至</w:t>
      </w:r>
      <w:r>
        <w:rPr>
          <w:rFonts w:hint="eastAsia" w:ascii="宋体" w:hAnsi="宋体" w:cs="宋体"/>
          <w:color w:val="auto"/>
          <w:sz w:val="21"/>
          <w:szCs w:val="21"/>
          <w:highlight w:val="none"/>
          <w:lang w:eastAsia="zh-CN"/>
        </w:rPr>
        <w:t>浙江省减污降碳协同增效管理系统建设</w:t>
      </w:r>
      <w:r>
        <w:rPr>
          <w:rFonts w:hint="eastAsia" w:ascii="宋体" w:hAnsi="宋体" w:cs="宋体"/>
          <w:color w:val="auto"/>
          <w:sz w:val="21"/>
          <w:szCs w:val="21"/>
          <w:highlight w:val="none"/>
        </w:rPr>
        <w:t>项目终审验收。</w:t>
      </w:r>
      <w:r>
        <w:rPr>
          <w:rFonts w:ascii="宋体" w:hAnsi="宋体" w:cs="宋体"/>
          <w:color w:val="auto"/>
          <w:sz w:val="21"/>
          <w:szCs w:val="21"/>
          <w:highlight w:val="none"/>
        </w:rPr>
        <w:t xml:space="preserve">                          </w:t>
      </w:r>
    </w:p>
    <w:p>
      <w:pPr>
        <w:spacing w:line="360" w:lineRule="auto"/>
        <w:ind w:firstLine="470" w:firstLineChars="224"/>
        <w:rPr>
          <w:rFonts w:ascii="宋体" w:hAnsi="宋体"/>
          <w:color w:val="auto"/>
          <w:sz w:val="21"/>
          <w:szCs w:val="21"/>
          <w:highlight w:val="none"/>
        </w:rPr>
      </w:pPr>
      <w:r>
        <w:rPr>
          <w:rFonts w:ascii="宋体" w:hAnsi="宋体" w:cs="宋体"/>
          <w:color w:val="auto"/>
          <w:sz w:val="21"/>
          <w:szCs w:val="21"/>
          <w:highlight w:val="none"/>
        </w:rPr>
        <w:t>(</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中标人提供的中标物品，必须符合本公开邀约文件要求、原包装送达采购单位；如有不符，采购人可以无条件退货，所造成的损失由中标人承担。更换后的零部件质保期按更换日起顺延。</w:t>
      </w:r>
    </w:p>
    <w:p>
      <w:pPr>
        <w:snapToGrid w:val="0"/>
        <w:spacing w:line="360" w:lineRule="auto"/>
        <w:ind w:firstLine="422" w:firstLineChars="200"/>
        <w:rPr>
          <w:rFonts w:ascii="宋体" w:hAnsi="宋体"/>
          <w:b/>
          <w:bCs/>
          <w:color w:val="auto"/>
          <w:sz w:val="21"/>
          <w:szCs w:val="21"/>
          <w:highlight w:val="none"/>
        </w:rPr>
      </w:pPr>
      <w:r>
        <w:rPr>
          <w:rFonts w:hint="eastAsia" w:ascii="宋体" w:hAnsi="宋体" w:cs="宋体"/>
          <w:b/>
          <w:bCs/>
          <w:color w:val="auto"/>
          <w:sz w:val="21"/>
          <w:szCs w:val="21"/>
          <w:highlight w:val="none"/>
        </w:rPr>
        <w:t>2、项目实施计划</w:t>
      </w:r>
    </w:p>
    <w:p>
      <w:pPr>
        <w:snapToGrid w:val="0"/>
        <w:spacing w:line="360" w:lineRule="auto"/>
        <w:ind w:firstLine="315" w:firstLineChars="150"/>
        <w:jc w:val="left"/>
        <w:rPr>
          <w:rFonts w:ascii="宋体" w:hAnsi="宋体" w:cs="宋体"/>
          <w:color w:val="auto"/>
          <w:sz w:val="21"/>
          <w:szCs w:val="21"/>
          <w:highlight w:val="none"/>
        </w:rPr>
      </w:pPr>
      <w:r>
        <w:rPr>
          <w:rFonts w:hint="eastAsia" w:ascii="宋体" w:hAnsi="宋体" w:cs="宋体"/>
          <w:color w:val="auto"/>
          <w:sz w:val="21"/>
          <w:szCs w:val="21"/>
          <w:highlight w:val="none"/>
        </w:rPr>
        <w:t>项目实施的组织工作方案：工作时间进度表、工作程序或步骤、管理和协调方法等。</w:t>
      </w:r>
    </w:p>
    <w:p>
      <w:pPr>
        <w:snapToGrid w:val="0"/>
        <w:spacing w:line="360" w:lineRule="auto"/>
        <w:ind w:firstLine="422" w:firstLineChars="200"/>
        <w:jc w:val="left"/>
        <w:rPr>
          <w:rFonts w:ascii="宋体" w:hAnsi="宋体"/>
          <w:b/>
          <w:bCs/>
          <w:color w:val="auto"/>
          <w:sz w:val="21"/>
          <w:szCs w:val="21"/>
          <w:highlight w:val="none"/>
        </w:rPr>
      </w:pPr>
      <w:r>
        <w:rPr>
          <w:rFonts w:hint="eastAsia" w:ascii="宋体" w:hAnsi="宋体" w:cs="宋体"/>
          <w:b/>
          <w:bCs/>
          <w:color w:val="auto"/>
          <w:sz w:val="21"/>
          <w:szCs w:val="21"/>
          <w:highlight w:val="none"/>
        </w:rPr>
        <w:t>3、付款方式</w:t>
      </w:r>
    </w:p>
    <w:p>
      <w:pPr>
        <w:pStyle w:val="88"/>
        <w:spacing w:before="0" w:line="312" w:lineRule="auto"/>
        <w:ind w:firstLine="562"/>
        <w:rPr>
          <w:rFonts w:ascii="宋体" w:hAnsi="宋体"/>
          <w:b/>
          <w:snapToGrid w:val="0"/>
          <w:color w:val="auto"/>
          <w:sz w:val="28"/>
          <w:szCs w:val="28"/>
          <w:highlight w:val="none"/>
        </w:rPr>
      </w:pPr>
      <w:r>
        <w:rPr>
          <w:rFonts w:hint="eastAsia" w:ascii="宋体" w:hAnsi="宋体" w:cs="宋体"/>
          <w:color w:val="auto"/>
          <w:sz w:val="21"/>
          <w:szCs w:val="21"/>
          <w:highlight w:val="none"/>
        </w:rPr>
        <w:t>合同签订中标单位进场后付合同价</w:t>
      </w:r>
      <w:r>
        <w:rPr>
          <w:rFonts w:ascii="宋体" w:hAnsi="宋体" w:cs="宋体"/>
          <w:color w:val="auto"/>
          <w:sz w:val="21"/>
          <w:szCs w:val="21"/>
          <w:highlight w:val="none"/>
        </w:rPr>
        <w:t>30</w:t>
      </w:r>
      <w:r>
        <w:rPr>
          <w:rFonts w:hint="eastAsia" w:ascii="宋体" w:hAnsi="宋体" w:cs="宋体"/>
          <w:color w:val="auto"/>
          <w:sz w:val="21"/>
          <w:szCs w:val="21"/>
          <w:highlight w:val="none"/>
        </w:rPr>
        <w:t>%，监理至</w:t>
      </w:r>
      <w:r>
        <w:rPr>
          <w:rFonts w:hint="eastAsia" w:ascii="宋体" w:hAnsi="宋体" w:cs="宋体"/>
          <w:color w:val="auto"/>
          <w:sz w:val="21"/>
          <w:szCs w:val="21"/>
          <w:highlight w:val="none"/>
          <w:lang w:eastAsia="zh-CN"/>
        </w:rPr>
        <w:t>浙江省减污降碳协同增效管理系统建设</w:t>
      </w:r>
      <w:r>
        <w:rPr>
          <w:rFonts w:hint="eastAsia" w:ascii="宋体" w:hAnsi="宋体" w:cs="宋体"/>
          <w:color w:val="auto"/>
          <w:sz w:val="21"/>
          <w:szCs w:val="21"/>
          <w:highlight w:val="none"/>
        </w:rPr>
        <w:t>项目完成初验并进入试运行后付至</w:t>
      </w:r>
      <w:r>
        <w:rPr>
          <w:rFonts w:ascii="宋体" w:hAnsi="宋体" w:cs="宋体"/>
          <w:color w:val="auto"/>
          <w:sz w:val="21"/>
          <w:szCs w:val="21"/>
          <w:highlight w:val="none"/>
        </w:rPr>
        <w:t>60</w:t>
      </w:r>
      <w:r>
        <w:rPr>
          <w:rFonts w:hint="eastAsia" w:ascii="宋体" w:hAnsi="宋体" w:cs="宋体"/>
          <w:color w:val="auto"/>
          <w:sz w:val="21"/>
          <w:szCs w:val="21"/>
          <w:highlight w:val="none"/>
        </w:rPr>
        <w:t>%，终验后付至100%。</w:t>
      </w:r>
    </w:p>
    <w:p>
      <w:pPr>
        <w:rPr>
          <w:rFonts w:ascii="宋体" w:hAnsi="宋体" w:cs="宋体"/>
          <w:snapToGrid w:val="0"/>
          <w:color w:val="auto"/>
          <w:kern w:val="0"/>
          <w:sz w:val="24"/>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58" w:name="_Toc184310285"/>
      <w:bookmarkEnd w:id="58"/>
      <w:bookmarkStart w:id="59" w:name="_Toc184313288"/>
      <w:bookmarkEnd w:id="59"/>
      <w:bookmarkStart w:id="60" w:name="_Toc184308070"/>
      <w:bookmarkEnd w:id="60"/>
      <w:bookmarkStart w:id="61" w:name="_Toc184313259"/>
      <w:bookmarkEnd w:id="61"/>
      <w:bookmarkStart w:id="62" w:name="_Toc184310319"/>
      <w:bookmarkEnd w:id="62"/>
      <w:bookmarkStart w:id="63" w:name="_Toc184313301"/>
      <w:bookmarkEnd w:id="63"/>
      <w:bookmarkStart w:id="64" w:name="_Toc184308042"/>
      <w:bookmarkEnd w:id="64"/>
      <w:bookmarkStart w:id="65" w:name="_Toc184308045"/>
      <w:bookmarkEnd w:id="65"/>
      <w:bookmarkStart w:id="66" w:name="_Toc184310332"/>
      <w:bookmarkEnd w:id="66"/>
      <w:bookmarkStart w:id="67" w:name="_Toc184313244"/>
      <w:bookmarkEnd w:id="67"/>
      <w:bookmarkStart w:id="68" w:name="_Toc184313273"/>
      <w:bookmarkEnd w:id="68"/>
      <w:bookmarkStart w:id="69" w:name="_Toc184308098"/>
      <w:bookmarkEnd w:id="69"/>
      <w:bookmarkStart w:id="70" w:name="_Toc184312116"/>
      <w:bookmarkEnd w:id="70"/>
      <w:bookmarkStart w:id="71" w:name="_Toc184310301"/>
      <w:bookmarkEnd w:id="71"/>
      <w:bookmarkStart w:id="72" w:name="_Toc184312121"/>
      <w:bookmarkEnd w:id="72"/>
      <w:bookmarkStart w:id="73" w:name="_Toc184313252"/>
      <w:bookmarkEnd w:id="73"/>
      <w:bookmarkStart w:id="74" w:name="_Toc184310302"/>
      <w:bookmarkEnd w:id="74"/>
      <w:bookmarkStart w:id="75" w:name="_Toc184313261"/>
      <w:bookmarkEnd w:id="75"/>
      <w:bookmarkStart w:id="76" w:name="_Toc184310279"/>
      <w:bookmarkEnd w:id="76"/>
      <w:bookmarkStart w:id="77" w:name="_Toc184314442"/>
      <w:bookmarkEnd w:id="77"/>
      <w:bookmarkStart w:id="78" w:name="_Toc184313264"/>
      <w:bookmarkEnd w:id="78"/>
      <w:bookmarkStart w:id="79" w:name="_Toc184310327"/>
      <w:bookmarkEnd w:id="79"/>
      <w:bookmarkStart w:id="80" w:name="_Toc184312081"/>
      <w:bookmarkEnd w:id="80"/>
      <w:bookmarkStart w:id="81" w:name="_Toc184313309"/>
      <w:bookmarkEnd w:id="81"/>
      <w:bookmarkStart w:id="82" w:name="_Toc184310314"/>
      <w:bookmarkEnd w:id="82"/>
      <w:bookmarkStart w:id="83" w:name="_Toc184310306"/>
      <w:bookmarkEnd w:id="83"/>
      <w:bookmarkStart w:id="84" w:name="_Toc184314426"/>
      <w:bookmarkEnd w:id="84"/>
      <w:bookmarkStart w:id="85" w:name="_Toc184308108"/>
      <w:bookmarkEnd w:id="85"/>
      <w:bookmarkStart w:id="86" w:name="_Toc184310335"/>
      <w:bookmarkEnd w:id="86"/>
      <w:bookmarkStart w:id="87" w:name="_Toc184312106"/>
      <w:bookmarkEnd w:id="87"/>
      <w:bookmarkStart w:id="88" w:name="_Toc184310280"/>
      <w:bookmarkEnd w:id="88"/>
      <w:bookmarkStart w:id="89" w:name="_Toc184314425"/>
      <w:bookmarkEnd w:id="89"/>
      <w:bookmarkStart w:id="90" w:name="_Toc184312082"/>
      <w:bookmarkEnd w:id="90"/>
      <w:bookmarkStart w:id="91" w:name="_Toc184314464"/>
      <w:bookmarkEnd w:id="91"/>
      <w:bookmarkStart w:id="92" w:name="_Toc184313310"/>
      <w:bookmarkEnd w:id="92"/>
      <w:bookmarkStart w:id="93" w:name="_Toc184310344"/>
      <w:bookmarkEnd w:id="93"/>
      <w:bookmarkStart w:id="94" w:name="_Toc184313240"/>
      <w:bookmarkEnd w:id="94"/>
      <w:bookmarkStart w:id="95" w:name="_Toc184308057"/>
      <w:bookmarkEnd w:id="95"/>
      <w:bookmarkStart w:id="96" w:name="_Toc184308038"/>
      <w:bookmarkEnd w:id="96"/>
      <w:bookmarkStart w:id="97" w:name="_Toc184313304"/>
      <w:bookmarkEnd w:id="97"/>
      <w:bookmarkStart w:id="98" w:name="_Toc184314448"/>
      <w:bookmarkEnd w:id="98"/>
      <w:bookmarkStart w:id="99" w:name="_Toc184310288"/>
      <w:bookmarkEnd w:id="99"/>
      <w:bookmarkStart w:id="100" w:name="_Toc184310304"/>
      <w:bookmarkEnd w:id="100"/>
      <w:bookmarkStart w:id="101" w:name="_Toc184313243"/>
      <w:bookmarkEnd w:id="101"/>
      <w:bookmarkStart w:id="102" w:name="_Toc184312094"/>
      <w:bookmarkEnd w:id="102"/>
      <w:bookmarkStart w:id="103" w:name="_Toc184312095"/>
      <w:bookmarkEnd w:id="103"/>
      <w:bookmarkStart w:id="104" w:name="_Toc184314469"/>
      <w:bookmarkEnd w:id="104"/>
      <w:bookmarkStart w:id="105" w:name="_Toc184312080"/>
      <w:bookmarkEnd w:id="105"/>
      <w:bookmarkStart w:id="106" w:name="_Toc184314447"/>
      <w:bookmarkEnd w:id="106"/>
      <w:bookmarkStart w:id="107" w:name="_Toc184310317"/>
      <w:bookmarkEnd w:id="107"/>
      <w:bookmarkStart w:id="108" w:name="_Toc184308041"/>
      <w:bookmarkEnd w:id="108"/>
      <w:bookmarkStart w:id="109" w:name="_Toc184310320"/>
      <w:bookmarkEnd w:id="109"/>
      <w:bookmarkStart w:id="110" w:name="_Toc184312129"/>
      <w:bookmarkEnd w:id="110"/>
      <w:bookmarkStart w:id="111" w:name="_Toc184308067"/>
      <w:bookmarkEnd w:id="111"/>
      <w:bookmarkStart w:id="112" w:name="_Toc184313267"/>
      <w:bookmarkEnd w:id="112"/>
      <w:bookmarkStart w:id="113" w:name="_Toc184313307"/>
      <w:bookmarkEnd w:id="113"/>
      <w:bookmarkStart w:id="114" w:name="_Toc184312073"/>
      <w:bookmarkEnd w:id="114"/>
      <w:bookmarkStart w:id="115" w:name="_Toc184310336"/>
      <w:bookmarkEnd w:id="115"/>
      <w:bookmarkStart w:id="116" w:name="_Toc184313254"/>
      <w:bookmarkEnd w:id="116"/>
      <w:bookmarkStart w:id="117" w:name="_Toc184310300"/>
      <w:bookmarkEnd w:id="117"/>
      <w:bookmarkStart w:id="118" w:name="_Toc184308077"/>
      <w:bookmarkEnd w:id="118"/>
      <w:bookmarkStart w:id="119" w:name="_Toc184314432"/>
      <w:bookmarkEnd w:id="119"/>
      <w:bookmarkStart w:id="120" w:name="_Toc184312076"/>
      <w:bookmarkEnd w:id="120"/>
      <w:bookmarkStart w:id="121" w:name="_Toc184313279"/>
      <w:bookmarkEnd w:id="121"/>
      <w:bookmarkStart w:id="122" w:name="_Toc184312084"/>
      <w:bookmarkEnd w:id="122"/>
      <w:bookmarkStart w:id="123" w:name="_Toc184308037"/>
      <w:bookmarkEnd w:id="123"/>
      <w:bookmarkStart w:id="124" w:name="_Toc184314475"/>
      <w:bookmarkEnd w:id="124"/>
      <w:bookmarkStart w:id="125" w:name="_Toc184314477"/>
      <w:bookmarkEnd w:id="125"/>
      <w:bookmarkStart w:id="126" w:name="_Toc184312125"/>
      <w:bookmarkEnd w:id="126"/>
      <w:bookmarkStart w:id="127" w:name="_Toc184312122"/>
      <w:bookmarkEnd w:id="127"/>
      <w:bookmarkStart w:id="128" w:name="_Toc184313266"/>
      <w:bookmarkEnd w:id="128"/>
      <w:bookmarkStart w:id="129" w:name="_Toc184312098"/>
      <w:bookmarkEnd w:id="129"/>
      <w:bookmarkStart w:id="130" w:name="_Toc184312127"/>
      <w:bookmarkEnd w:id="130"/>
      <w:bookmarkStart w:id="131" w:name="_Toc184310307"/>
      <w:bookmarkEnd w:id="131"/>
      <w:bookmarkStart w:id="132" w:name="_Toc184308054"/>
      <w:bookmarkEnd w:id="132"/>
      <w:bookmarkStart w:id="133" w:name="_Toc184314455"/>
      <w:bookmarkEnd w:id="133"/>
      <w:bookmarkStart w:id="134" w:name="_Toc184308079"/>
      <w:bookmarkEnd w:id="134"/>
      <w:bookmarkStart w:id="135" w:name="_Toc184314437"/>
      <w:bookmarkEnd w:id="135"/>
      <w:bookmarkStart w:id="136" w:name="_Toc184310294"/>
      <w:bookmarkEnd w:id="136"/>
      <w:bookmarkStart w:id="137" w:name="_Toc184313250"/>
      <w:bookmarkEnd w:id="137"/>
      <w:bookmarkStart w:id="138" w:name="_Toc184314411"/>
      <w:bookmarkEnd w:id="138"/>
      <w:bookmarkStart w:id="139" w:name="_Toc184314467"/>
      <w:bookmarkEnd w:id="139"/>
      <w:bookmarkStart w:id="140" w:name="_Toc184312137"/>
      <w:bookmarkEnd w:id="140"/>
      <w:bookmarkStart w:id="141" w:name="_Toc184312100"/>
      <w:bookmarkEnd w:id="141"/>
      <w:bookmarkStart w:id="142" w:name="_Toc184308069"/>
      <w:bookmarkEnd w:id="142"/>
      <w:bookmarkStart w:id="143" w:name="_Toc184313289"/>
      <w:bookmarkEnd w:id="143"/>
      <w:bookmarkStart w:id="144" w:name="_Toc184313306"/>
      <w:bookmarkEnd w:id="144"/>
      <w:bookmarkStart w:id="145" w:name="_Toc184308097"/>
      <w:bookmarkEnd w:id="145"/>
      <w:bookmarkStart w:id="146" w:name="_Toc184310273"/>
      <w:bookmarkEnd w:id="146"/>
      <w:bookmarkStart w:id="147" w:name="_Toc184312113"/>
      <w:bookmarkEnd w:id="147"/>
      <w:bookmarkStart w:id="148" w:name="_Toc184308058"/>
      <w:bookmarkEnd w:id="148"/>
      <w:bookmarkStart w:id="149" w:name="_Toc184314446"/>
      <w:bookmarkEnd w:id="149"/>
      <w:bookmarkStart w:id="150" w:name="_Toc184314445"/>
      <w:bookmarkEnd w:id="150"/>
      <w:bookmarkStart w:id="151" w:name="_Toc184313270"/>
      <w:bookmarkEnd w:id="151"/>
      <w:bookmarkStart w:id="152" w:name="_Toc184314414"/>
      <w:bookmarkEnd w:id="152"/>
      <w:bookmarkStart w:id="153" w:name="_Toc184312067"/>
      <w:bookmarkEnd w:id="153"/>
      <w:bookmarkStart w:id="154" w:name="_Toc184314418"/>
      <w:bookmarkEnd w:id="154"/>
      <w:bookmarkStart w:id="155" w:name="_Toc184308089"/>
      <w:bookmarkEnd w:id="155"/>
      <w:bookmarkStart w:id="156" w:name="_Toc184308060"/>
      <w:bookmarkEnd w:id="156"/>
      <w:bookmarkStart w:id="157" w:name="_Toc184312105"/>
      <w:bookmarkEnd w:id="157"/>
      <w:bookmarkStart w:id="158" w:name="_Toc184314428"/>
      <w:bookmarkEnd w:id="158"/>
      <w:bookmarkStart w:id="159" w:name="_Toc184313239"/>
      <w:bookmarkEnd w:id="159"/>
      <w:bookmarkStart w:id="160" w:name="_Toc184308051"/>
      <w:bookmarkEnd w:id="160"/>
      <w:bookmarkStart w:id="161" w:name="_Toc184308059"/>
      <w:bookmarkEnd w:id="161"/>
      <w:bookmarkStart w:id="162" w:name="_Toc184314453"/>
      <w:bookmarkEnd w:id="162"/>
      <w:bookmarkStart w:id="163" w:name="_Toc184310310"/>
      <w:bookmarkEnd w:id="163"/>
      <w:bookmarkStart w:id="164" w:name="_Toc184310275"/>
      <w:bookmarkEnd w:id="164"/>
      <w:bookmarkStart w:id="165" w:name="_Toc184312110"/>
      <w:bookmarkEnd w:id="165"/>
      <w:bookmarkStart w:id="166" w:name="_Toc184308090"/>
      <w:bookmarkEnd w:id="166"/>
      <w:bookmarkStart w:id="167" w:name="_Toc184314431"/>
      <w:bookmarkEnd w:id="167"/>
      <w:bookmarkStart w:id="168" w:name="_Toc184313308"/>
      <w:bookmarkEnd w:id="168"/>
      <w:bookmarkStart w:id="169" w:name="_Toc184313263"/>
      <w:bookmarkEnd w:id="169"/>
      <w:bookmarkStart w:id="170" w:name="_Toc184313294"/>
      <w:bookmarkEnd w:id="170"/>
      <w:bookmarkStart w:id="171" w:name="_Toc184310330"/>
      <w:bookmarkEnd w:id="171"/>
      <w:bookmarkStart w:id="172" w:name="_Toc184312123"/>
      <w:bookmarkEnd w:id="172"/>
      <w:bookmarkStart w:id="173" w:name="_Toc184314474"/>
      <w:bookmarkEnd w:id="173"/>
      <w:bookmarkStart w:id="174" w:name="_Toc184313283"/>
      <w:bookmarkEnd w:id="174"/>
      <w:bookmarkStart w:id="175" w:name="_Toc184308087"/>
      <w:bookmarkEnd w:id="175"/>
      <w:bookmarkStart w:id="176" w:name="_Toc184314479"/>
      <w:bookmarkEnd w:id="176"/>
      <w:bookmarkStart w:id="177" w:name="_Toc184312139"/>
      <w:bookmarkEnd w:id="177"/>
      <w:bookmarkStart w:id="178" w:name="_Toc184308044"/>
      <w:bookmarkEnd w:id="178"/>
      <w:bookmarkStart w:id="179" w:name="_Toc184312134"/>
      <w:bookmarkEnd w:id="179"/>
      <w:bookmarkStart w:id="180" w:name="_Toc184312133"/>
      <w:bookmarkEnd w:id="180"/>
      <w:bookmarkStart w:id="181" w:name="_Toc184313285"/>
      <w:bookmarkEnd w:id="181"/>
      <w:bookmarkStart w:id="182" w:name="_Toc184314436"/>
      <w:bookmarkEnd w:id="182"/>
      <w:bookmarkStart w:id="183" w:name="_Toc184310283"/>
      <w:bookmarkEnd w:id="183"/>
      <w:bookmarkStart w:id="184" w:name="_Toc184313272"/>
      <w:bookmarkEnd w:id="184"/>
      <w:bookmarkStart w:id="185" w:name="_Toc184310299"/>
      <w:bookmarkEnd w:id="185"/>
      <w:bookmarkStart w:id="186" w:name="_Toc184313295"/>
      <w:bookmarkEnd w:id="186"/>
      <w:bookmarkStart w:id="187" w:name="_Toc184312069"/>
      <w:bookmarkEnd w:id="187"/>
      <w:bookmarkStart w:id="188" w:name="_Toc184310311"/>
      <w:bookmarkEnd w:id="188"/>
      <w:bookmarkStart w:id="189" w:name="_Toc184310296"/>
      <w:bookmarkEnd w:id="189"/>
      <w:bookmarkStart w:id="190" w:name="_Toc184313268"/>
      <w:bookmarkEnd w:id="190"/>
      <w:bookmarkStart w:id="191" w:name="_Toc184312115"/>
      <w:bookmarkEnd w:id="191"/>
      <w:bookmarkStart w:id="192" w:name="_Toc184308073"/>
      <w:bookmarkEnd w:id="192"/>
      <w:bookmarkStart w:id="193" w:name="_Toc184312120"/>
      <w:bookmarkEnd w:id="193"/>
      <w:bookmarkStart w:id="194" w:name="_Toc184308062"/>
      <w:bookmarkEnd w:id="194"/>
      <w:bookmarkStart w:id="195" w:name="_Toc184313277"/>
      <w:bookmarkEnd w:id="195"/>
      <w:bookmarkStart w:id="196" w:name="_Toc184312103"/>
      <w:bookmarkEnd w:id="196"/>
      <w:bookmarkStart w:id="197" w:name="_Toc184312075"/>
      <w:bookmarkEnd w:id="197"/>
      <w:bookmarkStart w:id="198" w:name="_Toc184310328"/>
      <w:bookmarkEnd w:id="198"/>
      <w:bookmarkStart w:id="199" w:name="_Toc184308086"/>
      <w:bookmarkEnd w:id="199"/>
      <w:bookmarkStart w:id="200" w:name="_Toc184310323"/>
      <w:bookmarkEnd w:id="200"/>
      <w:bookmarkStart w:id="201" w:name="_Toc184308047"/>
      <w:bookmarkEnd w:id="201"/>
      <w:bookmarkStart w:id="202" w:name="_Toc184312072"/>
      <w:bookmarkEnd w:id="202"/>
      <w:bookmarkStart w:id="203" w:name="_Toc184310277"/>
      <w:bookmarkEnd w:id="203"/>
      <w:bookmarkStart w:id="204" w:name="_Toc184314444"/>
      <w:bookmarkEnd w:id="204"/>
      <w:bookmarkStart w:id="205" w:name="_Toc184308080"/>
      <w:bookmarkEnd w:id="205"/>
      <w:bookmarkStart w:id="206" w:name="_Toc184312109"/>
      <w:bookmarkEnd w:id="206"/>
      <w:bookmarkStart w:id="207" w:name="_Toc184314459"/>
      <w:bookmarkEnd w:id="207"/>
      <w:bookmarkStart w:id="208" w:name="_Toc184308091"/>
      <w:bookmarkEnd w:id="208"/>
      <w:bookmarkStart w:id="209" w:name="_Toc184314465"/>
      <w:bookmarkEnd w:id="209"/>
      <w:bookmarkStart w:id="210" w:name="_Toc184312126"/>
      <w:bookmarkEnd w:id="210"/>
      <w:bookmarkStart w:id="211" w:name="_Toc184310339"/>
      <w:bookmarkEnd w:id="211"/>
      <w:bookmarkStart w:id="212" w:name="_Toc184308063"/>
      <w:bookmarkEnd w:id="212"/>
      <w:bookmarkStart w:id="213" w:name="_Toc184313280"/>
      <w:bookmarkEnd w:id="213"/>
      <w:bookmarkStart w:id="214" w:name="_Toc184314417"/>
      <w:bookmarkEnd w:id="214"/>
      <w:bookmarkStart w:id="215" w:name="_Toc184313269"/>
      <w:bookmarkEnd w:id="215"/>
      <w:bookmarkStart w:id="216" w:name="_Toc184313284"/>
      <w:bookmarkEnd w:id="216"/>
      <w:bookmarkStart w:id="217" w:name="_Toc184314424"/>
      <w:bookmarkEnd w:id="217"/>
      <w:bookmarkStart w:id="218" w:name="_Toc184314470"/>
      <w:bookmarkEnd w:id="218"/>
      <w:bookmarkStart w:id="219" w:name="_Toc184313282"/>
      <w:bookmarkEnd w:id="219"/>
      <w:bookmarkStart w:id="220" w:name="_Toc184312079"/>
      <w:bookmarkEnd w:id="220"/>
      <w:bookmarkStart w:id="221" w:name="_Toc184310318"/>
      <w:bookmarkEnd w:id="221"/>
      <w:bookmarkStart w:id="222" w:name="_Toc184314466"/>
      <w:bookmarkEnd w:id="222"/>
      <w:bookmarkStart w:id="223" w:name="_Toc184313305"/>
      <w:bookmarkEnd w:id="223"/>
      <w:bookmarkStart w:id="224" w:name="_Toc184312091"/>
      <w:bookmarkEnd w:id="224"/>
      <w:bookmarkStart w:id="225" w:name="_Toc184310284"/>
      <w:bookmarkEnd w:id="225"/>
      <w:bookmarkStart w:id="226" w:name="_Toc184310322"/>
      <w:bookmarkEnd w:id="226"/>
      <w:bookmarkStart w:id="227" w:name="_Toc184310326"/>
      <w:bookmarkEnd w:id="227"/>
      <w:bookmarkStart w:id="228" w:name="_Toc184313262"/>
      <w:bookmarkEnd w:id="228"/>
      <w:bookmarkStart w:id="229" w:name="_Toc184312112"/>
      <w:bookmarkEnd w:id="229"/>
      <w:bookmarkStart w:id="230" w:name="_Toc184314443"/>
      <w:bookmarkEnd w:id="230"/>
      <w:bookmarkStart w:id="231" w:name="_Toc184310297"/>
      <w:bookmarkEnd w:id="231"/>
      <w:bookmarkStart w:id="232" w:name="_Toc184312068"/>
      <w:bookmarkEnd w:id="232"/>
      <w:bookmarkStart w:id="233" w:name="_Toc184314423"/>
      <w:bookmarkEnd w:id="233"/>
      <w:bookmarkStart w:id="234" w:name="_Toc184312097"/>
      <w:bookmarkEnd w:id="234"/>
      <w:bookmarkStart w:id="235" w:name="_Toc184308076"/>
      <w:bookmarkEnd w:id="235"/>
      <w:bookmarkStart w:id="236" w:name="_Toc184313291"/>
      <w:bookmarkEnd w:id="236"/>
      <w:bookmarkStart w:id="237" w:name="_Toc184313278"/>
      <w:bookmarkEnd w:id="237"/>
      <w:bookmarkStart w:id="238" w:name="_Toc184312078"/>
      <w:bookmarkEnd w:id="238"/>
      <w:bookmarkStart w:id="239" w:name="_Toc184313287"/>
      <w:bookmarkEnd w:id="239"/>
      <w:bookmarkStart w:id="240" w:name="_Toc184313253"/>
      <w:bookmarkEnd w:id="240"/>
      <w:bookmarkStart w:id="241" w:name="_Toc184308040"/>
      <w:bookmarkEnd w:id="241"/>
      <w:bookmarkStart w:id="242" w:name="_Toc184310281"/>
      <w:bookmarkEnd w:id="242"/>
      <w:bookmarkStart w:id="243" w:name="_Toc184314438"/>
      <w:bookmarkEnd w:id="243"/>
      <w:bookmarkStart w:id="244" w:name="_Toc184313257"/>
      <w:bookmarkEnd w:id="244"/>
      <w:bookmarkStart w:id="245" w:name="_Toc184314450"/>
      <w:bookmarkEnd w:id="245"/>
      <w:bookmarkStart w:id="246" w:name="_Toc184310308"/>
      <w:bookmarkEnd w:id="246"/>
      <w:bookmarkStart w:id="247" w:name="_Toc184314421"/>
      <w:bookmarkEnd w:id="247"/>
      <w:bookmarkStart w:id="248" w:name="_Toc184310343"/>
      <w:bookmarkEnd w:id="248"/>
      <w:bookmarkStart w:id="249" w:name="_Toc184313300"/>
      <w:bookmarkEnd w:id="249"/>
      <w:bookmarkStart w:id="250" w:name="_Toc184312090"/>
      <w:bookmarkEnd w:id="250"/>
      <w:bookmarkStart w:id="251" w:name="_Toc184310333"/>
      <w:bookmarkEnd w:id="251"/>
      <w:bookmarkStart w:id="252" w:name="_Toc184314482"/>
      <w:bookmarkEnd w:id="252"/>
      <w:bookmarkStart w:id="253" w:name="_Toc184312128"/>
      <w:bookmarkEnd w:id="253"/>
      <w:bookmarkStart w:id="254" w:name="_Toc184310312"/>
      <w:bookmarkEnd w:id="254"/>
      <w:bookmarkStart w:id="255" w:name="_Toc184310316"/>
      <w:bookmarkEnd w:id="255"/>
      <w:bookmarkStart w:id="256" w:name="_Toc184310315"/>
      <w:bookmarkEnd w:id="256"/>
      <w:bookmarkStart w:id="257" w:name="_Toc184314449"/>
      <w:bookmarkEnd w:id="257"/>
      <w:bookmarkStart w:id="258" w:name="_Toc184308101"/>
      <w:bookmarkEnd w:id="258"/>
      <w:bookmarkStart w:id="259" w:name="_Toc184314415"/>
      <w:bookmarkEnd w:id="259"/>
      <w:bookmarkStart w:id="260" w:name="_Toc184314478"/>
      <w:bookmarkEnd w:id="260"/>
      <w:bookmarkStart w:id="261" w:name="_Toc184312093"/>
      <w:bookmarkEnd w:id="261"/>
      <w:bookmarkStart w:id="262" w:name="_Toc184310293"/>
      <w:bookmarkEnd w:id="262"/>
      <w:bookmarkStart w:id="263" w:name="_Toc184312111"/>
      <w:bookmarkEnd w:id="263"/>
      <w:bookmarkStart w:id="264" w:name="_Toc184314420"/>
      <w:bookmarkEnd w:id="264"/>
      <w:bookmarkStart w:id="265" w:name="_Toc184313256"/>
      <w:bookmarkEnd w:id="265"/>
      <w:bookmarkStart w:id="266" w:name="_Toc184314454"/>
      <w:bookmarkEnd w:id="266"/>
      <w:bookmarkStart w:id="267" w:name="_Toc184310286"/>
      <w:bookmarkEnd w:id="267"/>
      <w:bookmarkStart w:id="268" w:name="_Toc184308043"/>
      <w:bookmarkEnd w:id="268"/>
      <w:bookmarkStart w:id="269" w:name="_Toc184314473"/>
      <w:bookmarkEnd w:id="269"/>
      <w:bookmarkStart w:id="270" w:name="_Toc184308094"/>
      <w:bookmarkEnd w:id="270"/>
      <w:bookmarkStart w:id="271" w:name="_Toc184312096"/>
      <w:bookmarkEnd w:id="271"/>
      <w:bookmarkStart w:id="272" w:name="_Toc184313281"/>
      <w:bookmarkEnd w:id="272"/>
      <w:bookmarkStart w:id="273" w:name="_Toc184314410"/>
      <w:bookmarkEnd w:id="273"/>
      <w:bookmarkStart w:id="274" w:name="_Toc184312071"/>
      <w:bookmarkEnd w:id="274"/>
      <w:bookmarkStart w:id="275" w:name="_Toc184310324"/>
      <w:bookmarkEnd w:id="275"/>
      <w:bookmarkStart w:id="276" w:name="_Toc184314429"/>
      <w:bookmarkEnd w:id="276"/>
      <w:bookmarkStart w:id="277" w:name="_Toc184314440"/>
      <w:bookmarkEnd w:id="277"/>
      <w:bookmarkStart w:id="278" w:name="_Toc184312085"/>
      <w:bookmarkEnd w:id="278"/>
      <w:bookmarkStart w:id="279" w:name="_Toc184310272"/>
      <w:bookmarkEnd w:id="279"/>
      <w:bookmarkStart w:id="280" w:name="_Toc184308053"/>
      <w:bookmarkEnd w:id="280"/>
      <w:bookmarkStart w:id="281" w:name="_Toc184313255"/>
      <w:bookmarkEnd w:id="281"/>
      <w:bookmarkStart w:id="282" w:name="_Toc184308055"/>
      <w:bookmarkEnd w:id="282"/>
      <w:bookmarkStart w:id="283" w:name="_Toc184310341"/>
      <w:bookmarkEnd w:id="283"/>
      <w:bookmarkStart w:id="284" w:name="_Toc184314457"/>
      <w:bookmarkEnd w:id="284"/>
      <w:bookmarkStart w:id="285" w:name="_Toc184310298"/>
      <w:bookmarkEnd w:id="285"/>
      <w:bookmarkStart w:id="286" w:name="_Toc184308046"/>
      <w:bookmarkEnd w:id="286"/>
      <w:bookmarkStart w:id="287" w:name="_Toc184312114"/>
      <w:bookmarkEnd w:id="287"/>
      <w:bookmarkStart w:id="288" w:name="_Toc184312088"/>
      <w:bookmarkEnd w:id="288"/>
      <w:bookmarkStart w:id="289" w:name="_Toc184310337"/>
      <w:bookmarkEnd w:id="289"/>
      <w:bookmarkStart w:id="290" w:name="_Toc184313303"/>
      <w:bookmarkEnd w:id="290"/>
      <w:bookmarkStart w:id="291" w:name="_Toc184310290"/>
      <w:bookmarkEnd w:id="291"/>
      <w:bookmarkStart w:id="292" w:name="_Toc184310329"/>
      <w:bookmarkEnd w:id="292"/>
      <w:bookmarkStart w:id="293" w:name="_Toc184313247"/>
      <w:bookmarkEnd w:id="293"/>
      <w:bookmarkStart w:id="294" w:name="_Toc184308102"/>
      <w:bookmarkEnd w:id="294"/>
      <w:bookmarkStart w:id="295" w:name="_Toc184308064"/>
      <w:bookmarkEnd w:id="295"/>
      <w:bookmarkStart w:id="296" w:name="_Toc184312135"/>
      <w:bookmarkEnd w:id="296"/>
      <w:bookmarkStart w:id="297" w:name="_Toc184312102"/>
      <w:bookmarkEnd w:id="297"/>
      <w:bookmarkStart w:id="298" w:name="_Toc184314412"/>
      <w:bookmarkEnd w:id="298"/>
      <w:bookmarkStart w:id="299" w:name="_Toc184308065"/>
      <w:bookmarkEnd w:id="299"/>
      <w:bookmarkStart w:id="300" w:name="_Toc184312117"/>
      <w:bookmarkEnd w:id="300"/>
      <w:bookmarkStart w:id="301" w:name="_Toc184308071"/>
      <w:bookmarkEnd w:id="301"/>
      <w:bookmarkStart w:id="302" w:name="_Toc184308105"/>
      <w:bookmarkEnd w:id="302"/>
      <w:bookmarkStart w:id="303" w:name="_Toc184312131"/>
      <w:bookmarkEnd w:id="303"/>
      <w:bookmarkStart w:id="304" w:name="_Toc184308078"/>
      <w:bookmarkEnd w:id="304"/>
      <w:bookmarkStart w:id="305" w:name="_Toc184313274"/>
      <w:bookmarkEnd w:id="305"/>
      <w:bookmarkStart w:id="306" w:name="_Toc184308082"/>
      <w:bookmarkEnd w:id="306"/>
      <w:bookmarkStart w:id="307" w:name="_Toc184314430"/>
      <w:bookmarkEnd w:id="307"/>
      <w:bookmarkStart w:id="308" w:name="_Toc184313245"/>
      <w:bookmarkEnd w:id="308"/>
      <w:bookmarkStart w:id="309" w:name="_Toc184312108"/>
      <w:bookmarkEnd w:id="309"/>
      <w:bookmarkStart w:id="310" w:name="_Toc184312092"/>
      <w:bookmarkEnd w:id="310"/>
      <w:bookmarkStart w:id="311" w:name="_Toc184310291"/>
      <w:bookmarkEnd w:id="311"/>
      <w:bookmarkStart w:id="312" w:name="_Toc184308049"/>
      <w:bookmarkEnd w:id="312"/>
      <w:bookmarkStart w:id="313" w:name="_Toc184308048"/>
      <w:bookmarkEnd w:id="313"/>
      <w:bookmarkStart w:id="314" w:name="_Toc184310278"/>
      <w:bookmarkEnd w:id="314"/>
      <w:bookmarkStart w:id="315" w:name="_Toc184308103"/>
      <w:bookmarkEnd w:id="315"/>
      <w:bookmarkStart w:id="316" w:name="_Toc184314434"/>
      <w:bookmarkEnd w:id="316"/>
      <w:bookmarkStart w:id="317" w:name="_Toc184313248"/>
      <w:bookmarkEnd w:id="317"/>
      <w:bookmarkStart w:id="318" w:name="_Toc184314427"/>
      <w:bookmarkEnd w:id="318"/>
      <w:bookmarkStart w:id="319" w:name="_Toc184312086"/>
      <w:bookmarkEnd w:id="319"/>
      <w:bookmarkStart w:id="320" w:name="_Toc184314481"/>
      <w:bookmarkEnd w:id="320"/>
      <w:bookmarkStart w:id="321" w:name="_Toc184312101"/>
      <w:bookmarkEnd w:id="321"/>
      <w:bookmarkStart w:id="322" w:name="_Toc184310276"/>
      <w:bookmarkEnd w:id="322"/>
      <w:bookmarkStart w:id="323" w:name="_Toc184314462"/>
      <w:bookmarkEnd w:id="323"/>
      <w:bookmarkStart w:id="324" w:name="_Toc184312087"/>
      <w:bookmarkEnd w:id="324"/>
      <w:bookmarkStart w:id="325" w:name="_Toc184310287"/>
      <w:bookmarkEnd w:id="325"/>
      <w:bookmarkStart w:id="326" w:name="_Toc184308052"/>
      <w:bookmarkEnd w:id="326"/>
      <w:bookmarkStart w:id="327" w:name="_Toc184308107"/>
      <w:bookmarkEnd w:id="327"/>
      <w:bookmarkStart w:id="328" w:name="_Toc184313249"/>
      <w:bookmarkEnd w:id="328"/>
      <w:bookmarkStart w:id="329" w:name="_Toc184308085"/>
      <w:bookmarkEnd w:id="329"/>
      <w:bookmarkStart w:id="330" w:name="_Toc184308084"/>
      <w:bookmarkEnd w:id="330"/>
      <w:bookmarkStart w:id="331" w:name="_Toc184314458"/>
      <w:bookmarkEnd w:id="331"/>
      <w:bookmarkStart w:id="332" w:name="_Toc184308074"/>
      <w:bookmarkEnd w:id="332"/>
      <w:bookmarkStart w:id="333" w:name="_Toc184313276"/>
      <w:bookmarkEnd w:id="333"/>
      <w:bookmarkStart w:id="334" w:name="_Toc184312089"/>
      <w:bookmarkEnd w:id="334"/>
      <w:bookmarkStart w:id="335" w:name="_Toc184314451"/>
      <w:bookmarkEnd w:id="335"/>
      <w:bookmarkStart w:id="336" w:name="_Toc184308056"/>
      <w:bookmarkEnd w:id="336"/>
      <w:bookmarkStart w:id="337" w:name="_Toc184313297"/>
      <w:bookmarkEnd w:id="337"/>
      <w:bookmarkStart w:id="338" w:name="_Toc184308100"/>
      <w:bookmarkEnd w:id="338"/>
      <w:bookmarkStart w:id="339" w:name="_Toc184312099"/>
      <w:bookmarkEnd w:id="339"/>
      <w:bookmarkStart w:id="340" w:name="_Toc184313258"/>
      <w:bookmarkEnd w:id="340"/>
      <w:bookmarkStart w:id="341" w:name="_Toc184312083"/>
      <w:bookmarkEnd w:id="341"/>
      <w:bookmarkStart w:id="342" w:name="_Toc184308083"/>
      <w:bookmarkEnd w:id="342"/>
      <w:bookmarkStart w:id="343" w:name="_Toc184308066"/>
      <w:bookmarkEnd w:id="343"/>
      <w:bookmarkStart w:id="344" w:name="_Toc184313293"/>
      <w:bookmarkEnd w:id="344"/>
      <w:bookmarkStart w:id="345" w:name="_Toc184310325"/>
      <w:bookmarkEnd w:id="345"/>
      <w:bookmarkStart w:id="346" w:name="_Toc184310313"/>
      <w:bookmarkEnd w:id="346"/>
      <w:bookmarkStart w:id="347" w:name="_Toc184308106"/>
      <w:bookmarkEnd w:id="347"/>
      <w:bookmarkStart w:id="348" w:name="_Toc184310305"/>
      <w:bookmarkEnd w:id="348"/>
      <w:bookmarkStart w:id="349" w:name="_Toc184312070"/>
      <w:bookmarkEnd w:id="349"/>
      <w:bookmarkStart w:id="350" w:name="_Toc184308050"/>
      <w:bookmarkEnd w:id="350"/>
      <w:bookmarkStart w:id="351" w:name="_Toc184308081"/>
      <w:bookmarkEnd w:id="351"/>
      <w:bookmarkStart w:id="352" w:name="_Toc184312138"/>
      <w:bookmarkEnd w:id="352"/>
      <w:bookmarkStart w:id="353" w:name="_Toc184308072"/>
      <w:bookmarkEnd w:id="353"/>
      <w:bookmarkStart w:id="354" w:name="_Toc184314416"/>
      <w:bookmarkEnd w:id="354"/>
      <w:bookmarkStart w:id="355" w:name="_Toc184314413"/>
      <w:bookmarkEnd w:id="355"/>
      <w:bookmarkStart w:id="356" w:name="_Toc184313290"/>
      <w:bookmarkEnd w:id="356"/>
      <w:bookmarkStart w:id="357" w:name="_Toc184313246"/>
      <w:bookmarkEnd w:id="357"/>
      <w:bookmarkStart w:id="358" w:name="_Toc184310331"/>
      <w:bookmarkEnd w:id="358"/>
      <w:bookmarkStart w:id="359" w:name="_Toc184308099"/>
      <w:bookmarkEnd w:id="359"/>
      <w:bookmarkStart w:id="360" w:name="_Toc184312136"/>
      <w:bookmarkEnd w:id="360"/>
      <w:bookmarkStart w:id="361" w:name="_Toc184310289"/>
      <w:bookmarkEnd w:id="361"/>
      <w:bookmarkStart w:id="362" w:name="_Toc184308095"/>
      <w:bookmarkEnd w:id="362"/>
      <w:bookmarkStart w:id="363" w:name="_Toc184310274"/>
      <w:bookmarkEnd w:id="363"/>
      <w:bookmarkStart w:id="364" w:name="_Toc184308093"/>
      <w:bookmarkEnd w:id="364"/>
      <w:bookmarkStart w:id="365" w:name="_Toc184313292"/>
      <w:bookmarkEnd w:id="365"/>
      <w:bookmarkStart w:id="366" w:name="_Toc184314463"/>
      <w:bookmarkEnd w:id="366"/>
      <w:bookmarkStart w:id="367" w:name="_Toc184313260"/>
      <w:bookmarkEnd w:id="367"/>
      <w:bookmarkStart w:id="368" w:name="_Toc184312104"/>
      <w:bookmarkEnd w:id="368"/>
      <w:bookmarkStart w:id="369" w:name="_Toc184310295"/>
      <w:bookmarkEnd w:id="369"/>
      <w:bookmarkStart w:id="370" w:name="_Toc184312074"/>
      <w:bookmarkEnd w:id="370"/>
      <w:bookmarkStart w:id="371" w:name="_Toc184308061"/>
      <w:bookmarkEnd w:id="371"/>
      <w:bookmarkStart w:id="372" w:name="_Toc184314480"/>
      <w:bookmarkEnd w:id="372"/>
      <w:bookmarkStart w:id="373" w:name="_Toc184310303"/>
      <w:bookmarkEnd w:id="373"/>
      <w:bookmarkStart w:id="374" w:name="_Toc184314460"/>
      <w:bookmarkEnd w:id="374"/>
      <w:bookmarkStart w:id="375" w:name="_Toc184313238"/>
      <w:bookmarkEnd w:id="375"/>
      <w:bookmarkStart w:id="376" w:name="_Toc184313242"/>
      <w:bookmarkEnd w:id="376"/>
      <w:bookmarkStart w:id="377" w:name="_Toc184314452"/>
      <w:bookmarkEnd w:id="377"/>
      <w:bookmarkStart w:id="378" w:name="_Toc184310338"/>
      <w:bookmarkEnd w:id="378"/>
      <w:bookmarkStart w:id="379" w:name="_Toc184314422"/>
      <w:bookmarkEnd w:id="379"/>
      <w:bookmarkStart w:id="380" w:name="_Toc184312107"/>
      <w:bookmarkEnd w:id="380"/>
      <w:bookmarkStart w:id="381" w:name="_Toc184314471"/>
      <w:bookmarkEnd w:id="381"/>
      <w:bookmarkStart w:id="382" w:name="_Toc184308104"/>
      <w:bookmarkEnd w:id="382"/>
      <w:bookmarkStart w:id="383" w:name="_Toc184313302"/>
      <w:bookmarkEnd w:id="383"/>
      <w:bookmarkStart w:id="384" w:name="_Toc184312077"/>
      <w:bookmarkEnd w:id="384"/>
      <w:bookmarkStart w:id="385" w:name="_Toc184313275"/>
      <w:bookmarkEnd w:id="385"/>
      <w:bookmarkStart w:id="386" w:name="_Toc184308092"/>
      <w:bookmarkEnd w:id="386"/>
      <w:bookmarkStart w:id="387" w:name="_Toc184308075"/>
      <w:bookmarkEnd w:id="387"/>
      <w:bookmarkStart w:id="388" w:name="_Toc184314472"/>
      <w:bookmarkEnd w:id="388"/>
      <w:bookmarkStart w:id="389" w:name="_Toc184314441"/>
      <w:bookmarkEnd w:id="389"/>
      <w:bookmarkStart w:id="390" w:name="_Toc184313241"/>
      <w:bookmarkEnd w:id="390"/>
      <w:bookmarkStart w:id="391" w:name="_Toc184310342"/>
      <w:bookmarkEnd w:id="391"/>
      <w:bookmarkStart w:id="392" w:name="_Toc184310282"/>
      <w:bookmarkEnd w:id="392"/>
      <w:bookmarkStart w:id="393" w:name="_Toc184313298"/>
      <w:bookmarkEnd w:id="393"/>
      <w:bookmarkStart w:id="394" w:name="_Toc184313271"/>
      <w:bookmarkEnd w:id="394"/>
      <w:bookmarkStart w:id="395" w:name="_Toc184308096"/>
      <w:bookmarkEnd w:id="395"/>
      <w:bookmarkStart w:id="396" w:name="_Toc184314468"/>
      <w:bookmarkEnd w:id="396"/>
      <w:bookmarkStart w:id="397" w:name="_Toc184310340"/>
      <w:bookmarkEnd w:id="397"/>
      <w:bookmarkStart w:id="398" w:name="_Toc184313286"/>
      <w:bookmarkEnd w:id="398"/>
      <w:bookmarkStart w:id="399" w:name="_Toc184312124"/>
      <w:bookmarkEnd w:id="399"/>
      <w:bookmarkStart w:id="400" w:name="_Toc184310321"/>
      <w:bookmarkEnd w:id="400"/>
      <w:bookmarkStart w:id="401" w:name="_Toc184314433"/>
      <w:bookmarkEnd w:id="401"/>
      <w:bookmarkStart w:id="402" w:name="_Toc184308088"/>
      <w:bookmarkEnd w:id="402"/>
      <w:bookmarkStart w:id="403" w:name="_Toc184312118"/>
      <w:bookmarkEnd w:id="403"/>
      <w:bookmarkStart w:id="404" w:name="_Toc184312130"/>
      <w:bookmarkEnd w:id="404"/>
      <w:bookmarkStart w:id="405" w:name="_Toc184312132"/>
      <w:bookmarkEnd w:id="405"/>
      <w:bookmarkStart w:id="406" w:name="_Toc184310309"/>
      <w:bookmarkEnd w:id="406"/>
      <w:bookmarkStart w:id="407" w:name="_Toc184312119"/>
      <w:bookmarkEnd w:id="407"/>
      <w:bookmarkStart w:id="408" w:name="_Toc184314476"/>
      <w:bookmarkEnd w:id="408"/>
      <w:bookmarkStart w:id="409" w:name="_Toc184314419"/>
      <w:bookmarkEnd w:id="409"/>
      <w:bookmarkStart w:id="410" w:name="_Toc184314461"/>
      <w:bookmarkEnd w:id="410"/>
      <w:bookmarkStart w:id="411" w:name="_Toc184314435"/>
      <w:bookmarkEnd w:id="411"/>
      <w:bookmarkStart w:id="412" w:name="_Toc184313299"/>
      <w:bookmarkEnd w:id="412"/>
      <w:bookmarkStart w:id="413" w:name="_Toc184308036"/>
      <w:bookmarkEnd w:id="413"/>
      <w:bookmarkStart w:id="414" w:name="_Toc184313265"/>
      <w:bookmarkEnd w:id="414"/>
      <w:bookmarkStart w:id="415" w:name="_Toc184313251"/>
      <w:bookmarkEnd w:id="415"/>
      <w:bookmarkStart w:id="416" w:name="_Toc184313296"/>
      <w:bookmarkEnd w:id="416"/>
      <w:bookmarkStart w:id="417" w:name="_Toc184314456"/>
      <w:bookmarkEnd w:id="417"/>
      <w:bookmarkStart w:id="418" w:name="_Toc184308068"/>
      <w:bookmarkEnd w:id="418"/>
      <w:bookmarkStart w:id="419" w:name="_Toc184310334"/>
      <w:bookmarkEnd w:id="419"/>
      <w:bookmarkStart w:id="420" w:name="_Toc184308039"/>
      <w:bookmarkEnd w:id="420"/>
      <w:bookmarkStart w:id="421" w:name="_Toc184314439"/>
      <w:bookmarkEnd w:id="421"/>
      <w:bookmarkStart w:id="422" w:name="_Toc184310292"/>
      <w:bookmarkEnd w:id="42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845"/>
        <w:gridCol w:w="5320"/>
        <w:gridCol w:w="960"/>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34" w:type="dxa"/>
            <w:vAlign w:val="center"/>
          </w:tcPr>
          <w:p>
            <w:pPr>
              <w:widowControl/>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7165" w:type="dxa"/>
            <w:gridSpan w:val="2"/>
            <w:vAlign w:val="center"/>
          </w:tcPr>
          <w:p>
            <w:pPr>
              <w:widowControl/>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评价内容</w:t>
            </w:r>
          </w:p>
        </w:tc>
        <w:tc>
          <w:tcPr>
            <w:tcW w:w="960" w:type="dxa"/>
            <w:vAlign w:val="center"/>
          </w:tcPr>
          <w:p>
            <w:pPr>
              <w:widowControl/>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分数</w:t>
            </w:r>
          </w:p>
        </w:tc>
        <w:tc>
          <w:tcPr>
            <w:tcW w:w="1162" w:type="dxa"/>
            <w:vAlign w:val="center"/>
          </w:tcPr>
          <w:p>
            <w:pPr>
              <w:widowControl/>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投标文件中评标标准相应的商务技术资料目*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34" w:type="dxa"/>
            <w:vAlign w:val="center"/>
          </w:tcPr>
          <w:p>
            <w:pPr>
              <w:widowControl/>
              <w:numPr>
                <w:ilvl w:val="0"/>
                <w:numId w:val="0"/>
              </w:numPr>
              <w:snapToGrid w:val="0"/>
              <w:ind w:leftChars="0"/>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一</w:t>
            </w:r>
          </w:p>
        </w:tc>
        <w:tc>
          <w:tcPr>
            <w:tcW w:w="1845"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履约能力</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highlight w:val="none"/>
              </w:rPr>
            </w:pP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34" w:type="dxa"/>
            <w:vAlign w:val="center"/>
          </w:tcPr>
          <w:p>
            <w:pPr>
              <w:widowControl/>
              <w:numPr>
                <w:ilvl w:val="0"/>
                <w:numId w:val="5"/>
              </w:numPr>
              <w:snapToGrid w:val="0"/>
              <w:rPr>
                <w:rFonts w:ascii="宋体" w:hAnsi="宋体" w:cs="宋体"/>
                <w:snapToGrid w:val="0"/>
                <w:color w:val="auto"/>
                <w:kern w:val="0"/>
                <w:szCs w:val="21"/>
                <w:highlight w:val="none"/>
              </w:rPr>
            </w:pPr>
          </w:p>
        </w:tc>
        <w:tc>
          <w:tcPr>
            <w:tcW w:w="1845"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投标人的</w:t>
            </w:r>
            <w:r>
              <w:rPr>
                <w:rFonts w:hint="eastAsia" w:ascii="宋体" w:hAnsi="宋体" w:eastAsia="宋体" w:cs="宋体"/>
                <w:color w:val="auto"/>
                <w:szCs w:val="21"/>
                <w:highlight w:val="none"/>
                <w:lang w:val="en-US" w:eastAsia="zh-CN"/>
              </w:rPr>
              <w:t>服务资质认证</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highlight w:val="none"/>
              </w:rPr>
              <w:t>投标人的</w:t>
            </w:r>
            <w:r>
              <w:rPr>
                <w:rFonts w:hint="eastAsia" w:ascii="宋体" w:hAnsi="宋体" w:eastAsia="宋体" w:cs="宋体"/>
                <w:color w:val="auto"/>
                <w:szCs w:val="21"/>
                <w:highlight w:val="none"/>
                <w:lang w:val="en-US" w:eastAsia="zh-CN"/>
              </w:rPr>
              <w:t>服务资质认证</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◇具有保密局颁发的涉密信息系统集成资质证书（工程监理、系统咨询）的，得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具有</w:t>
            </w:r>
            <w:r>
              <w:rPr>
                <w:rFonts w:hint="eastAsia" w:ascii="宋体" w:hAnsi="宋体" w:cs="宋体"/>
                <w:color w:val="auto"/>
                <w:szCs w:val="21"/>
                <w:highlight w:val="none"/>
              </w:rPr>
              <w:t>CNAS实验室认可证书</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sz w:val="21"/>
                <w:szCs w:val="21"/>
                <w:highlight w:val="none"/>
                <w:lang w:val="en-US" w:eastAsia="zh-CN"/>
              </w:rPr>
              <w:t>4</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34" w:type="dxa"/>
            <w:vAlign w:val="center"/>
          </w:tcPr>
          <w:p>
            <w:pPr>
              <w:widowControl/>
              <w:numPr>
                <w:ilvl w:val="0"/>
                <w:numId w:val="5"/>
              </w:numPr>
              <w:snapToGrid w:val="0"/>
              <w:rPr>
                <w:rFonts w:ascii="宋体" w:hAnsi="宋体" w:cs="宋体"/>
                <w:snapToGrid w:val="0"/>
                <w:color w:val="auto"/>
                <w:kern w:val="0"/>
                <w:szCs w:val="21"/>
                <w:highlight w:val="none"/>
              </w:rPr>
            </w:pPr>
          </w:p>
        </w:tc>
        <w:tc>
          <w:tcPr>
            <w:tcW w:w="1845"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投标人参与的与本项目有关的技术成果</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投标人参与的与本项目有关的技术成果（</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参与现行&lt;&lt;信息技术服务 治理&gt;&gt;国家标准（GB）编制工作的得2分；参与现行&lt;&lt;信息技术服务 监理&gt;&gt;国家标准（GB）编制工作，每参与一个标准编制得2分，最高得4分；没有不得分。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（投标响应文件中提供国家标准信息公共服务平台http://openstd.samr.gov.cn网站的查询网页起草单位截图并注明网址，加投标人公章，否则不得分）</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sz w:val="21"/>
                <w:szCs w:val="21"/>
                <w:highlight w:val="none"/>
                <w:lang w:val="en-US" w:eastAsia="zh-CN"/>
              </w:rPr>
              <w:t>4</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4" w:type="dxa"/>
            <w:vAlign w:val="center"/>
          </w:tcPr>
          <w:p>
            <w:pPr>
              <w:widowControl/>
              <w:numPr>
                <w:ilvl w:val="0"/>
                <w:numId w:val="5"/>
              </w:numPr>
              <w:snapToGrid w:val="0"/>
              <w:rPr>
                <w:rFonts w:ascii="宋体" w:hAnsi="宋体" w:cs="宋体"/>
                <w:snapToGrid w:val="0"/>
                <w:color w:val="auto"/>
                <w:kern w:val="0"/>
                <w:szCs w:val="21"/>
                <w:highlight w:val="none"/>
              </w:rPr>
            </w:pPr>
          </w:p>
        </w:tc>
        <w:tc>
          <w:tcPr>
            <w:tcW w:w="1845"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rPr>
              <w:t>投标人的类似项目业绩</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投标人的类似项目业绩（</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rPr>
              <w:t>近三年内（</w:t>
            </w:r>
            <w:r>
              <w:rPr>
                <w:rFonts w:hint="eastAsia" w:ascii="宋体" w:hAnsi="宋体" w:eastAsia="宋体" w:cs="宋体"/>
                <w:color w:val="auto"/>
                <w:sz w:val="21"/>
                <w:szCs w:val="21"/>
                <w:highlight w:val="none"/>
                <w:lang w:val="en-US" w:eastAsia="zh-CN"/>
              </w:rPr>
              <w:t>合同签订日</w:t>
            </w:r>
            <w:r>
              <w:rPr>
                <w:rFonts w:hint="eastAsia" w:ascii="宋体" w:hAnsi="宋体" w:eastAsia="宋体" w:cs="宋体"/>
                <w:color w:val="auto"/>
                <w:sz w:val="21"/>
                <w:szCs w:val="21"/>
                <w:highlight w:val="none"/>
              </w:rPr>
              <w:t>自2018年1月1日至今），</w:t>
            </w: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sz w:val="21"/>
                <w:szCs w:val="21"/>
                <w:highlight w:val="none"/>
                <w:lang w:val="en-US" w:eastAsia="zh-CN"/>
              </w:rPr>
              <w:t>具有类似信息系统项目监理服务业绩</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每提供一份</w:t>
            </w:r>
            <w:r>
              <w:rPr>
                <w:rFonts w:hint="eastAsia" w:ascii="宋体" w:hAnsi="宋体" w:eastAsia="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rPr>
              <w:t>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分，满分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说明：根据投标文件中提供的业绩合同进行评分，未提供或不符合以上条件不得分。</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sz w:val="21"/>
                <w:szCs w:val="21"/>
                <w:highlight w:val="none"/>
                <w:lang w:val="en-US" w:eastAsia="zh-CN"/>
              </w:rPr>
              <w:t>2</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4" w:type="dxa"/>
            <w:vAlign w:val="center"/>
          </w:tcPr>
          <w:p>
            <w:pPr>
              <w:widowControl/>
              <w:numPr>
                <w:ilvl w:val="0"/>
                <w:numId w:val="0"/>
              </w:numPr>
              <w:snapToGrid w:val="0"/>
              <w:ind w:leftChars="0"/>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二</w:t>
            </w:r>
          </w:p>
        </w:tc>
        <w:tc>
          <w:tcPr>
            <w:tcW w:w="1845"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技术服务水平</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4" w:type="dxa"/>
            <w:vAlign w:val="center"/>
          </w:tcPr>
          <w:p>
            <w:pPr>
              <w:widowControl/>
              <w:numPr>
                <w:ilvl w:val="0"/>
                <w:numId w:val="6"/>
              </w:numPr>
              <w:snapToGrid w:val="0"/>
              <w:ind w:left="425" w:leftChars="0" w:hanging="425" w:firstLineChars="0"/>
              <w:rPr>
                <w:rFonts w:ascii="宋体" w:hAnsi="宋体" w:cs="宋体"/>
                <w:snapToGrid w:val="0"/>
                <w:color w:val="auto"/>
                <w:kern w:val="0"/>
                <w:szCs w:val="21"/>
                <w:highlight w:val="none"/>
              </w:rPr>
            </w:pPr>
          </w:p>
        </w:tc>
        <w:tc>
          <w:tcPr>
            <w:tcW w:w="1845"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Style w:val="841"/>
                <w:rFonts w:hint="eastAsia" w:ascii="宋体" w:hAnsi="宋体" w:eastAsia="宋体" w:cs="宋体"/>
                <w:bCs/>
                <w:color w:val="auto"/>
                <w:sz w:val="21"/>
                <w:szCs w:val="21"/>
                <w:highlight w:val="none"/>
                <w:lang w:bidi="ar"/>
              </w:rPr>
              <w:t>对项目整体理解</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Style w:val="841"/>
                <w:rFonts w:hint="eastAsia" w:ascii="宋体" w:hAnsi="宋体" w:eastAsia="宋体" w:cs="宋体"/>
                <w:bCs/>
                <w:color w:val="auto"/>
                <w:sz w:val="21"/>
                <w:szCs w:val="21"/>
                <w:highlight w:val="none"/>
                <w:lang w:bidi="ar"/>
              </w:rPr>
              <w:t>对项目整体理解</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Style w:val="841"/>
                <w:rFonts w:hint="eastAsia" w:ascii="宋体" w:hAnsi="宋体" w:eastAsia="宋体" w:cs="宋体"/>
                <w:bCs/>
                <w:color w:val="auto"/>
                <w:sz w:val="21"/>
                <w:szCs w:val="21"/>
                <w:highlight w:val="none"/>
                <w:lang w:bidi="ar"/>
              </w:rPr>
              <w:t>对项目总体技术特点认识是否清楚、定位是否准确，对于需求分析是否完整透彻、目标是否明确</w:t>
            </w:r>
            <w:r>
              <w:rPr>
                <w:rFonts w:hint="eastAsia" w:ascii="宋体" w:hAnsi="宋体" w:eastAsia="宋体" w:cs="宋体"/>
                <w:bCs/>
                <w:color w:val="auto"/>
                <w:kern w:val="0"/>
                <w:szCs w:val="21"/>
                <w:highlight w:val="none"/>
              </w:rPr>
              <w:t>等情况进行评分</w:t>
            </w:r>
            <w:r>
              <w:rPr>
                <w:rStyle w:val="653"/>
                <w:rFonts w:hint="eastAsia" w:ascii="宋体" w:hAnsi="宋体" w:eastAsia="宋体" w:cs="宋体"/>
                <w:bCs/>
                <w:color w:val="auto"/>
                <w:sz w:val="21"/>
                <w:szCs w:val="21"/>
                <w:highlight w:val="none"/>
                <w:lang w:bidi="ar"/>
              </w:rPr>
              <w:t>。</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bidi="ar-SA"/>
              </w:rPr>
              <w:t>5</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4" w:type="dxa"/>
            <w:vAlign w:val="center"/>
          </w:tcPr>
          <w:p>
            <w:pPr>
              <w:widowControl/>
              <w:numPr>
                <w:ilvl w:val="0"/>
                <w:numId w:val="6"/>
              </w:numPr>
              <w:snapToGrid w:val="0"/>
              <w:ind w:left="425" w:leftChars="0" w:hanging="425" w:firstLineChars="0"/>
              <w:rPr>
                <w:rFonts w:ascii="宋体" w:hAnsi="宋体" w:cs="宋体"/>
                <w:snapToGrid w:val="0"/>
                <w:color w:val="auto"/>
                <w:kern w:val="0"/>
                <w:szCs w:val="21"/>
                <w:highlight w:val="none"/>
              </w:rPr>
            </w:pPr>
          </w:p>
        </w:tc>
        <w:tc>
          <w:tcPr>
            <w:tcW w:w="1845"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Style w:val="841"/>
                <w:rFonts w:hint="eastAsia" w:ascii="宋体" w:hAnsi="宋体" w:eastAsia="宋体" w:cs="宋体"/>
                <w:bCs/>
                <w:color w:val="auto"/>
                <w:sz w:val="21"/>
                <w:szCs w:val="21"/>
                <w:highlight w:val="none"/>
                <w:lang w:bidi="ar"/>
              </w:rPr>
              <w:t>对项目重难点分析及对应的解决方法与措施</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Style w:val="841"/>
                <w:rFonts w:hint="eastAsia" w:ascii="宋体" w:hAnsi="宋体" w:eastAsia="宋体" w:cs="宋体"/>
                <w:bCs/>
                <w:color w:val="auto"/>
                <w:sz w:val="21"/>
                <w:szCs w:val="21"/>
                <w:highlight w:val="none"/>
                <w:lang w:bidi="ar"/>
              </w:rPr>
              <w:t>对项目重难点分析及对应的解决方法与措施</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Style w:val="841"/>
                <w:rFonts w:hint="eastAsia" w:ascii="宋体" w:hAnsi="宋体" w:eastAsia="宋体" w:cs="宋体"/>
                <w:bCs/>
                <w:color w:val="auto"/>
                <w:sz w:val="21"/>
                <w:szCs w:val="21"/>
                <w:highlight w:val="none"/>
                <w:lang w:bidi="ar"/>
              </w:rPr>
              <w:t>重难点分析是否清楚准确到位，是否符合项目实际情况，对应的解决方法与措施是否合理可行，针对性是否强，是否具有可操作性</w:t>
            </w:r>
            <w:r>
              <w:rPr>
                <w:rStyle w:val="653"/>
                <w:rFonts w:hint="eastAsia" w:ascii="宋体" w:hAnsi="宋体" w:eastAsia="宋体" w:cs="宋体"/>
                <w:bCs/>
                <w:color w:val="auto"/>
                <w:sz w:val="21"/>
                <w:szCs w:val="21"/>
                <w:highlight w:val="none"/>
                <w:lang w:bidi="ar"/>
              </w:rPr>
              <w:t>等方面</w:t>
            </w:r>
            <w:r>
              <w:rPr>
                <w:rFonts w:hint="eastAsia" w:ascii="宋体" w:hAnsi="宋体" w:eastAsia="宋体" w:cs="宋体"/>
                <w:bCs/>
                <w:color w:val="auto"/>
                <w:kern w:val="0"/>
                <w:szCs w:val="21"/>
                <w:highlight w:val="none"/>
              </w:rPr>
              <w:t>进行评分</w:t>
            </w:r>
            <w:r>
              <w:rPr>
                <w:rStyle w:val="653"/>
                <w:rFonts w:hint="eastAsia" w:ascii="宋体" w:hAnsi="宋体" w:eastAsia="宋体" w:cs="宋体"/>
                <w:bCs/>
                <w:color w:val="auto"/>
                <w:sz w:val="21"/>
                <w:szCs w:val="21"/>
                <w:highlight w:val="none"/>
                <w:lang w:bidi="ar"/>
              </w:rPr>
              <w:t>。</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bidi="ar-SA"/>
              </w:rPr>
              <w:t>5</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4" w:type="dxa"/>
            <w:vAlign w:val="center"/>
          </w:tcPr>
          <w:p>
            <w:pPr>
              <w:widowControl/>
              <w:numPr>
                <w:ilvl w:val="0"/>
                <w:numId w:val="6"/>
              </w:numPr>
              <w:snapToGrid w:val="0"/>
              <w:ind w:left="425" w:leftChars="0" w:hanging="425" w:firstLineChars="0"/>
              <w:rPr>
                <w:rFonts w:ascii="宋体" w:hAnsi="宋体" w:cs="宋体"/>
                <w:snapToGrid w:val="0"/>
                <w:color w:val="auto"/>
                <w:kern w:val="0"/>
                <w:szCs w:val="21"/>
                <w:highlight w:val="none"/>
              </w:rPr>
            </w:pPr>
          </w:p>
        </w:tc>
        <w:tc>
          <w:tcPr>
            <w:tcW w:w="1845"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Style w:val="841"/>
                <w:rFonts w:hint="eastAsia" w:ascii="宋体" w:hAnsi="宋体" w:eastAsia="宋体" w:cs="宋体"/>
                <w:bCs/>
                <w:color w:val="auto"/>
                <w:sz w:val="21"/>
                <w:szCs w:val="21"/>
                <w:highlight w:val="none"/>
                <w:lang w:bidi="ar"/>
              </w:rPr>
              <w:t>对项目的合理化建议</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Style w:val="841"/>
                <w:rFonts w:hint="eastAsia" w:ascii="宋体" w:hAnsi="宋体" w:eastAsia="宋体" w:cs="宋体"/>
                <w:bCs/>
                <w:color w:val="auto"/>
                <w:sz w:val="21"/>
                <w:szCs w:val="21"/>
                <w:highlight w:val="none"/>
                <w:lang w:bidi="ar"/>
              </w:rPr>
            </w:pPr>
            <w:r>
              <w:rPr>
                <w:rStyle w:val="841"/>
                <w:rFonts w:hint="eastAsia" w:ascii="宋体" w:hAnsi="宋体" w:eastAsia="宋体" w:cs="宋体"/>
                <w:bCs/>
                <w:color w:val="auto"/>
                <w:sz w:val="21"/>
                <w:szCs w:val="21"/>
                <w:highlight w:val="none"/>
                <w:lang w:bidi="ar"/>
              </w:rPr>
              <w:t>对项目的合理化建议</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Style w:val="841"/>
                <w:rFonts w:hint="eastAsia" w:ascii="宋体" w:hAnsi="宋体" w:eastAsia="宋体" w:cs="宋体"/>
                <w:bCs/>
                <w:color w:val="auto"/>
                <w:sz w:val="21"/>
                <w:szCs w:val="21"/>
                <w:highlight w:val="none"/>
                <w:lang w:bidi="ar"/>
              </w:rPr>
              <w:t>建议是否科学合理，针对性是否强，是否有助于项目的顺利实施</w:t>
            </w:r>
            <w:r>
              <w:rPr>
                <w:rFonts w:hint="eastAsia" w:ascii="宋体" w:hAnsi="宋体" w:eastAsia="宋体" w:cs="宋体"/>
                <w:bCs/>
                <w:color w:val="auto"/>
                <w:kern w:val="0"/>
                <w:szCs w:val="21"/>
                <w:highlight w:val="none"/>
              </w:rPr>
              <w:t>等情况进行评分</w:t>
            </w:r>
            <w:r>
              <w:rPr>
                <w:rStyle w:val="653"/>
                <w:rFonts w:hint="eastAsia" w:ascii="宋体" w:hAnsi="宋体" w:eastAsia="宋体" w:cs="宋体"/>
                <w:bCs/>
                <w:color w:val="auto"/>
                <w:sz w:val="21"/>
                <w:szCs w:val="21"/>
                <w:highlight w:val="none"/>
                <w:lang w:bidi="ar"/>
              </w:rPr>
              <w:t>。</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bidi="ar-SA"/>
              </w:rPr>
              <w:t>3</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4" w:type="dxa"/>
            <w:vAlign w:val="center"/>
          </w:tcPr>
          <w:p>
            <w:pPr>
              <w:widowControl/>
              <w:numPr>
                <w:ilvl w:val="0"/>
                <w:numId w:val="6"/>
              </w:numPr>
              <w:snapToGrid w:val="0"/>
              <w:ind w:left="425" w:leftChars="0" w:hanging="425" w:firstLineChars="0"/>
              <w:rPr>
                <w:rFonts w:ascii="宋体" w:hAnsi="宋体" w:cs="宋体"/>
                <w:snapToGrid w:val="0"/>
                <w:color w:val="auto"/>
                <w:kern w:val="0"/>
                <w:szCs w:val="21"/>
                <w:highlight w:val="none"/>
              </w:rPr>
            </w:pPr>
          </w:p>
        </w:tc>
        <w:tc>
          <w:tcPr>
            <w:tcW w:w="1845"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bCs/>
                <w:color w:val="auto"/>
                <w:kern w:val="0"/>
                <w:szCs w:val="21"/>
                <w:highlight w:val="none"/>
                <w:lang w:bidi="ar"/>
              </w:rPr>
              <w:t>项目管理方法与措施</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bCs/>
                <w:color w:val="auto"/>
                <w:kern w:val="0"/>
                <w:szCs w:val="21"/>
                <w:highlight w:val="none"/>
                <w:lang w:bidi="ar"/>
              </w:rPr>
              <w:t>项目管理方法与措施</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val="en-US" w:eastAsia="zh-CN" w:bidi="ar"/>
              </w:rPr>
              <w:t>12</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结合项目实际情况，对以下内容提供方法和措施，根据方案内容是否完整、措施是否得当、是否具有一定针对性，由评标委员会进行综合评分。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（1）变更管理（</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（2）配置管理（</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（3）合同管理和文档管理（</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（4）监理管理制度（</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宋体" w:hAnsi="宋体" w:eastAsia="宋体" w:cs="宋体"/>
                <w:color w:val="auto"/>
                <w:highlight w:val="none"/>
                <w:lang w:val="en-US"/>
              </w:rPr>
            </w:pPr>
            <w:r>
              <w:rPr>
                <w:rFonts w:hint="eastAsia" w:ascii="宋体" w:hAnsi="宋体" w:cs="宋体"/>
                <w:color w:val="auto"/>
                <w:kern w:val="0"/>
                <w:sz w:val="21"/>
                <w:szCs w:val="21"/>
                <w:highlight w:val="none"/>
                <w:lang w:val="en-US" w:eastAsia="zh-CN" w:bidi="ar-SA"/>
              </w:rPr>
              <w:t>12</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dxa"/>
            <w:vAlign w:val="center"/>
          </w:tcPr>
          <w:p>
            <w:pPr>
              <w:widowControl/>
              <w:numPr>
                <w:ilvl w:val="0"/>
                <w:numId w:val="6"/>
              </w:numPr>
              <w:snapToGrid w:val="0"/>
              <w:ind w:left="425" w:leftChars="0" w:hanging="425" w:firstLineChars="0"/>
              <w:rPr>
                <w:rFonts w:ascii="宋体" w:hAnsi="宋体" w:cs="宋体"/>
                <w:snapToGrid w:val="0"/>
                <w:color w:val="auto"/>
                <w:kern w:val="0"/>
                <w:szCs w:val="21"/>
                <w:highlight w:val="none"/>
              </w:rPr>
            </w:pPr>
          </w:p>
        </w:tc>
        <w:tc>
          <w:tcPr>
            <w:tcW w:w="1845"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质量控制方案</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质量控制方案（</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Style w:val="841"/>
                <w:rFonts w:hint="eastAsia" w:ascii="宋体" w:hAnsi="宋体" w:eastAsia="宋体" w:cs="宋体"/>
                <w:bCs/>
                <w:color w:val="auto"/>
                <w:sz w:val="21"/>
                <w:szCs w:val="21"/>
                <w:highlight w:val="none"/>
                <w:lang w:bidi="ar"/>
              </w:rPr>
              <w:t>结合项目实际情况，提供的工程质量控制的监理工作方法与措施是否详细、是否科学合理，针对性是否强，是否有助于项目的顺利实施</w:t>
            </w:r>
            <w:r>
              <w:rPr>
                <w:rFonts w:hint="eastAsia" w:ascii="宋体" w:hAnsi="宋体" w:eastAsia="宋体" w:cs="宋体"/>
                <w:bCs/>
                <w:color w:val="auto"/>
                <w:kern w:val="0"/>
                <w:szCs w:val="21"/>
                <w:highlight w:val="none"/>
              </w:rPr>
              <w:t>等情况进行评分</w:t>
            </w:r>
            <w:r>
              <w:rPr>
                <w:rStyle w:val="653"/>
                <w:rFonts w:hint="eastAsia" w:ascii="宋体" w:hAnsi="宋体" w:eastAsia="宋体" w:cs="宋体"/>
                <w:bCs/>
                <w:color w:val="auto"/>
                <w:sz w:val="21"/>
                <w:szCs w:val="21"/>
                <w:highlight w:val="none"/>
                <w:lang w:bidi="ar"/>
              </w:rPr>
              <w:t>。</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bidi="ar-SA"/>
              </w:rPr>
              <w:t>5</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dxa"/>
            <w:vAlign w:val="center"/>
          </w:tcPr>
          <w:p>
            <w:pPr>
              <w:widowControl/>
              <w:numPr>
                <w:ilvl w:val="0"/>
                <w:numId w:val="6"/>
              </w:numPr>
              <w:snapToGrid w:val="0"/>
              <w:ind w:left="425" w:leftChars="0" w:hanging="425" w:firstLineChars="0"/>
              <w:rPr>
                <w:rFonts w:ascii="宋体" w:hAnsi="宋体" w:cs="宋体"/>
                <w:snapToGrid w:val="0"/>
                <w:color w:val="auto"/>
                <w:kern w:val="0"/>
                <w:szCs w:val="21"/>
                <w:highlight w:val="none"/>
              </w:rPr>
            </w:pPr>
          </w:p>
        </w:tc>
        <w:tc>
          <w:tcPr>
            <w:tcW w:w="1845"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进度控制方案</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进度控制方案（</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kern w:val="0"/>
                <w:szCs w:val="21"/>
                <w:highlight w:val="none"/>
                <w:lang w:bidi="ar"/>
              </w:rPr>
              <w:t>结合项目实际情况，提供的工程进度控制的监理工作方法与措施是否详细、是否科学合理，针对性是否强，是否有助于项目的顺利实施</w:t>
            </w:r>
            <w:r>
              <w:rPr>
                <w:rFonts w:hint="eastAsia" w:ascii="宋体" w:hAnsi="宋体" w:eastAsia="宋体" w:cs="宋体"/>
                <w:bCs/>
                <w:color w:val="auto"/>
                <w:kern w:val="0"/>
                <w:szCs w:val="21"/>
                <w:highlight w:val="none"/>
              </w:rPr>
              <w:t>等情况进行评分</w:t>
            </w:r>
            <w:r>
              <w:rPr>
                <w:rStyle w:val="653"/>
                <w:rFonts w:hint="eastAsia" w:ascii="宋体" w:hAnsi="宋体" w:eastAsia="宋体" w:cs="宋体"/>
                <w:bCs/>
                <w:color w:val="auto"/>
                <w:sz w:val="21"/>
                <w:szCs w:val="21"/>
                <w:highlight w:val="none"/>
                <w:lang w:bidi="ar"/>
              </w:rPr>
              <w:t>。</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bidi="ar-SA"/>
              </w:rPr>
              <w:t>5</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dxa"/>
            <w:vAlign w:val="center"/>
          </w:tcPr>
          <w:p>
            <w:pPr>
              <w:widowControl/>
              <w:numPr>
                <w:ilvl w:val="0"/>
                <w:numId w:val="6"/>
              </w:numPr>
              <w:snapToGrid w:val="0"/>
              <w:ind w:left="425" w:leftChars="0" w:hanging="425" w:firstLineChars="0"/>
              <w:rPr>
                <w:rFonts w:ascii="宋体" w:hAnsi="宋体" w:cs="宋体"/>
                <w:snapToGrid w:val="0"/>
                <w:color w:val="auto"/>
                <w:kern w:val="0"/>
                <w:szCs w:val="21"/>
                <w:highlight w:val="none"/>
              </w:rPr>
            </w:pPr>
          </w:p>
        </w:tc>
        <w:tc>
          <w:tcPr>
            <w:tcW w:w="1845"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项目</w:t>
            </w:r>
            <w:r>
              <w:rPr>
                <w:rFonts w:hint="eastAsia" w:ascii="宋体" w:hAnsi="宋体" w:eastAsia="宋体" w:cs="宋体"/>
                <w:bCs/>
                <w:color w:val="auto"/>
                <w:kern w:val="0"/>
                <w:szCs w:val="21"/>
                <w:highlight w:val="none"/>
                <w:lang w:bidi="ar"/>
              </w:rPr>
              <w:t>成本控制</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项目</w:t>
            </w:r>
            <w:r>
              <w:rPr>
                <w:rFonts w:hint="eastAsia" w:ascii="宋体" w:hAnsi="宋体" w:eastAsia="宋体" w:cs="宋体"/>
                <w:bCs/>
                <w:color w:val="auto"/>
                <w:kern w:val="0"/>
                <w:szCs w:val="21"/>
                <w:highlight w:val="none"/>
                <w:lang w:bidi="ar"/>
              </w:rPr>
              <w:t>成本控制</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kern w:val="0"/>
                <w:szCs w:val="21"/>
                <w:highlight w:val="none"/>
                <w:lang w:bidi="ar"/>
              </w:rPr>
              <w:t>结合项目实际情况，提供的工程成本控制的监理工作方法与措施是否详细且科学合理，针对性是否强，是否有助于项目的顺利实施</w:t>
            </w:r>
            <w:r>
              <w:rPr>
                <w:rFonts w:hint="eastAsia" w:ascii="宋体" w:hAnsi="宋体" w:eastAsia="宋体" w:cs="宋体"/>
                <w:bCs/>
                <w:color w:val="auto"/>
                <w:kern w:val="0"/>
                <w:szCs w:val="21"/>
                <w:highlight w:val="none"/>
              </w:rPr>
              <w:t>等情况进行评分</w:t>
            </w:r>
            <w:r>
              <w:rPr>
                <w:rStyle w:val="653"/>
                <w:rFonts w:hint="eastAsia" w:ascii="宋体" w:hAnsi="宋体" w:eastAsia="宋体" w:cs="宋体"/>
                <w:bCs/>
                <w:color w:val="auto"/>
                <w:sz w:val="21"/>
                <w:szCs w:val="21"/>
                <w:highlight w:val="none"/>
                <w:lang w:bidi="ar"/>
              </w:rPr>
              <w:t>。</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bidi="ar-SA"/>
              </w:rPr>
              <w:t>5</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dxa"/>
            <w:vAlign w:val="center"/>
          </w:tcPr>
          <w:p>
            <w:pPr>
              <w:widowControl/>
              <w:numPr>
                <w:ilvl w:val="0"/>
                <w:numId w:val="6"/>
              </w:numPr>
              <w:snapToGrid w:val="0"/>
              <w:ind w:left="425" w:leftChars="0" w:hanging="425" w:firstLineChars="0"/>
              <w:rPr>
                <w:rFonts w:ascii="宋体" w:hAnsi="宋体" w:cs="宋体"/>
                <w:snapToGrid w:val="0"/>
                <w:color w:val="auto"/>
                <w:kern w:val="0"/>
                <w:szCs w:val="21"/>
                <w:highlight w:val="none"/>
              </w:rPr>
            </w:pPr>
          </w:p>
        </w:tc>
        <w:tc>
          <w:tcPr>
            <w:tcW w:w="1845" w:type="dxa"/>
            <w:vAlign w:val="center"/>
          </w:tcPr>
          <w:p>
            <w:pPr>
              <w:snapToGrid w:val="0"/>
              <w:spacing w:line="300" w:lineRule="auto"/>
              <w:jc w:val="both"/>
              <w:rPr>
                <w:rFonts w:hint="eastAsia" w:ascii="宋体" w:hAnsi="宋体" w:eastAsia="宋体" w:cs="宋体"/>
                <w:color w:val="auto"/>
                <w:highlight w:val="none"/>
              </w:rPr>
            </w:pPr>
            <w:r>
              <w:rPr>
                <w:rFonts w:hint="eastAsia" w:ascii="宋体" w:hAnsi="宋体" w:eastAsia="宋体" w:cs="宋体"/>
                <w:bCs/>
                <w:color w:val="auto"/>
                <w:kern w:val="0"/>
                <w:szCs w:val="21"/>
                <w:highlight w:val="none"/>
                <w:lang w:bidi="ar"/>
              </w:rPr>
              <w:t>安全控制</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bCs/>
                <w:color w:val="auto"/>
                <w:kern w:val="0"/>
                <w:szCs w:val="21"/>
                <w:highlight w:val="none"/>
                <w:lang w:bidi="ar"/>
              </w:rPr>
              <w:t>安全控制</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kern w:val="0"/>
                <w:szCs w:val="21"/>
                <w:highlight w:val="none"/>
                <w:lang w:bidi="ar"/>
              </w:rPr>
              <w:t>结合项目实际情况，提供的工程安全控制的监理工作方法与措施是否详细且科学合理，针对性是否强，是否有助于项目的顺利实施</w:t>
            </w:r>
            <w:r>
              <w:rPr>
                <w:rFonts w:hint="eastAsia" w:ascii="宋体" w:hAnsi="宋体" w:eastAsia="宋体" w:cs="宋体"/>
                <w:bCs/>
                <w:color w:val="auto"/>
                <w:kern w:val="0"/>
                <w:szCs w:val="21"/>
                <w:highlight w:val="none"/>
              </w:rPr>
              <w:t>等情况进行评分</w:t>
            </w:r>
            <w:r>
              <w:rPr>
                <w:rStyle w:val="653"/>
                <w:rFonts w:hint="eastAsia" w:ascii="宋体" w:hAnsi="宋体" w:eastAsia="宋体" w:cs="宋体"/>
                <w:bCs/>
                <w:color w:val="auto"/>
                <w:sz w:val="21"/>
                <w:szCs w:val="21"/>
                <w:highlight w:val="none"/>
                <w:lang w:bidi="ar"/>
              </w:rPr>
              <w:t>。</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bidi="ar-SA"/>
              </w:rPr>
              <w:t>5</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dxa"/>
            <w:vAlign w:val="center"/>
          </w:tcPr>
          <w:p>
            <w:pPr>
              <w:widowControl/>
              <w:numPr>
                <w:ilvl w:val="0"/>
                <w:numId w:val="6"/>
              </w:numPr>
              <w:snapToGrid w:val="0"/>
              <w:ind w:left="425" w:leftChars="0" w:hanging="425" w:firstLineChars="0"/>
              <w:rPr>
                <w:rFonts w:ascii="宋体" w:hAnsi="宋体" w:cs="宋体"/>
                <w:snapToGrid w:val="0"/>
                <w:color w:val="auto"/>
                <w:kern w:val="0"/>
                <w:szCs w:val="21"/>
                <w:highlight w:val="none"/>
              </w:rPr>
            </w:pPr>
          </w:p>
        </w:tc>
        <w:tc>
          <w:tcPr>
            <w:tcW w:w="1845" w:type="dxa"/>
            <w:vAlign w:val="center"/>
          </w:tcPr>
          <w:p>
            <w:pPr>
              <w:snapToGrid w:val="0"/>
              <w:spacing w:line="300" w:lineRule="auto"/>
              <w:jc w:val="both"/>
              <w:rPr>
                <w:rFonts w:hint="eastAsia" w:ascii="宋体" w:hAnsi="宋体" w:eastAsia="宋体" w:cs="宋体"/>
                <w:color w:val="auto"/>
                <w:highlight w:val="none"/>
              </w:rPr>
            </w:pPr>
            <w:r>
              <w:rPr>
                <w:rFonts w:hint="eastAsia" w:ascii="宋体" w:hAnsi="宋体" w:eastAsia="宋体" w:cs="宋体"/>
                <w:bCs/>
                <w:color w:val="auto"/>
                <w:kern w:val="0"/>
                <w:szCs w:val="21"/>
                <w:highlight w:val="none"/>
                <w:lang w:bidi="ar"/>
              </w:rPr>
              <w:t>项目审计</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bCs/>
                <w:color w:val="auto"/>
                <w:kern w:val="0"/>
                <w:szCs w:val="21"/>
                <w:highlight w:val="none"/>
                <w:lang w:bidi="ar"/>
              </w:rPr>
              <w:t>项目审计</w:t>
            </w:r>
            <w:r>
              <w:rPr>
                <w:rFonts w:hint="eastAsia" w:ascii="宋体" w:hAnsi="宋体" w:eastAsia="宋体" w:cs="宋体"/>
                <w:color w:val="auto"/>
                <w:sz w:val="21"/>
                <w:szCs w:val="21"/>
                <w:highlight w:val="none"/>
                <w:lang w:bidi="ar"/>
              </w:rPr>
              <w:t>（</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kern w:val="0"/>
                <w:szCs w:val="21"/>
                <w:highlight w:val="none"/>
                <w:lang w:bidi="ar"/>
              </w:rPr>
              <w:t>结合项目实际情况，提供的项目审计监理工作方法与措施是否详细且科学合理，针对性是否强，是否有助于项目的顺利实施</w:t>
            </w:r>
            <w:r>
              <w:rPr>
                <w:rFonts w:hint="eastAsia" w:ascii="宋体" w:hAnsi="宋体" w:eastAsia="宋体" w:cs="宋体"/>
                <w:bCs/>
                <w:color w:val="auto"/>
                <w:kern w:val="0"/>
                <w:szCs w:val="21"/>
                <w:highlight w:val="none"/>
              </w:rPr>
              <w:t>等情况进行评分</w:t>
            </w:r>
            <w:r>
              <w:rPr>
                <w:rStyle w:val="653"/>
                <w:rFonts w:hint="eastAsia" w:ascii="宋体" w:hAnsi="宋体" w:eastAsia="宋体" w:cs="宋体"/>
                <w:bCs/>
                <w:color w:val="auto"/>
                <w:sz w:val="21"/>
                <w:szCs w:val="21"/>
                <w:highlight w:val="none"/>
                <w:lang w:bidi="ar"/>
              </w:rPr>
              <w:t>。</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bidi="ar-SA"/>
              </w:rPr>
              <w:t>5</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dxa"/>
            <w:vAlign w:val="center"/>
          </w:tcPr>
          <w:p>
            <w:pPr>
              <w:widowControl/>
              <w:numPr>
                <w:ilvl w:val="0"/>
                <w:numId w:val="6"/>
              </w:numPr>
              <w:snapToGrid w:val="0"/>
              <w:ind w:left="425" w:leftChars="0" w:hanging="425" w:firstLineChars="0"/>
              <w:rPr>
                <w:rFonts w:ascii="宋体" w:hAnsi="宋体" w:cs="宋体"/>
                <w:snapToGrid w:val="0"/>
                <w:color w:val="auto"/>
                <w:kern w:val="0"/>
                <w:szCs w:val="21"/>
                <w:highlight w:val="none"/>
              </w:rPr>
            </w:pPr>
          </w:p>
        </w:tc>
        <w:tc>
          <w:tcPr>
            <w:tcW w:w="1845" w:type="dxa"/>
            <w:vAlign w:val="center"/>
          </w:tcPr>
          <w:p>
            <w:pPr>
              <w:snapToGrid w:val="0"/>
              <w:spacing w:line="30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项目协调管理</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项目协调管理（</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提供解决在建设过程中各种纠纷的条理方案，要求方案完整科学。</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bidi="ar-SA"/>
              </w:rPr>
              <w:t>5</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434" w:type="dxa"/>
            <w:vAlign w:val="center"/>
          </w:tcPr>
          <w:p>
            <w:pPr>
              <w:widowControl/>
              <w:numPr>
                <w:ilvl w:val="0"/>
                <w:numId w:val="6"/>
              </w:numPr>
              <w:snapToGrid w:val="0"/>
              <w:ind w:left="425" w:leftChars="0" w:hanging="425" w:firstLineChars="0"/>
              <w:rPr>
                <w:rFonts w:ascii="宋体" w:hAnsi="宋体" w:cs="宋体"/>
                <w:snapToGrid w:val="0"/>
                <w:color w:val="auto"/>
                <w:kern w:val="0"/>
                <w:szCs w:val="21"/>
                <w:highlight w:val="none"/>
              </w:rPr>
            </w:pPr>
          </w:p>
        </w:tc>
        <w:tc>
          <w:tcPr>
            <w:tcW w:w="1845" w:type="dxa"/>
            <w:vAlign w:val="center"/>
          </w:tcPr>
          <w:p>
            <w:pPr>
              <w:snapToGrid w:val="0"/>
              <w:spacing w:line="30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售后</w:t>
            </w:r>
            <w:r>
              <w:rPr>
                <w:rFonts w:hint="eastAsia" w:ascii="宋体" w:hAnsi="宋体" w:eastAsia="宋体" w:cs="宋体"/>
                <w:color w:val="auto"/>
                <w:sz w:val="21"/>
                <w:szCs w:val="21"/>
                <w:highlight w:val="none"/>
                <w:lang w:val="en-US" w:eastAsia="zh-CN" w:bidi="ar"/>
              </w:rPr>
              <w:t>服务</w:t>
            </w:r>
            <w:r>
              <w:rPr>
                <w:rFonts w:hint="eastAsia" w:ascii="宋体" w:hAnsi="宋体" w:eastAsia="宋体" w:cs="宋体"/>
                <w:color w:val="auto"/>
                <w:sz w:val="21"/>
                <w:szCs w:val="21"/>
                <w:highlight w:val="none"/>
                <w:lang w:bidi="ar"/>
              </w:rPr>
              <w:t>方案</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售后</w:t>
            </w:r>
            <w:r>
              <w:rPr>
                <w:rFonts w:hint="eastAsia" w:ascii="宋体" w:hAnsi="宋体" w:eastAsia="宋体" w:cs="宋体"/>
                <w:color w:val="auto"/>
                <w:sz w:val="21"/>
                <w:szCs w:val="21"/>
                <w:highlight w:val="none"/>
                <w:lang w:val="en-US" w:eastAsia="zh-CN" w:bidi="ar"/>
              </w:rPr>
              <w:t>服务</w:t>
            </w:r>
            <w:r>
              <w:rPr>
                <w:rFonts w:hint="eastAsia" w:ascii="宋体" w:hAnsi="宋体" w:eastAsia="宋体" w:cs="宋体"/>
                <w:color w:val="auto"/>
                <w:sz w:val="21"/>
                <w:szCs w:val="21"/>
                <w:highlight w:val="none"/>
                <w:lang w:bidi="ar"/>
              </w:rPr>
              <w:t>方案（</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结合项目实际情况，</w:t>
            </w:r>
            <w:r>
              <w:rPr>
                <w:rStyle w:val="841"/>
                <w:rFonts w:hint="eastAsia" w:ascii="宋体" w:hAnsi="宋体" w:eastAsia="宋体" w:cs="宋体"/>
                <w:bCs/>
                <w:color w:val="auto"/>
                <w:sz w:val="21"/>
                <w:szCs w:val="21"/>
                <w:highlight w:val="none"/>
                <w:lang w:bidi="ar"/>
              </w:rPr>
              <w:t>监理单位</w:t>
            </w:r>
            <w:r>
              <w:rPr>
                <w:rStyle w:val="841"/>
                <w:rFonts w:hint="eastAsia" w:ascii="宋体" w:hAnsi="宋体" w:eastAsia="宋体" w:cs="宋体"/>
                <w:bCs/>
                <w:color w:val="auto"/>
                <w:sz w:val="21"/>
                <w:szCs w:val="21"/>
                <w:highlight w:val="none"/>
              </w:rPr>
              <w:t>是否</w:t>
            </w:r>
            <w:r>
              <w:rPr>
                <w:rStyle w:val="841"/>
                <w:rFonts w:hint="eastAsia" w:ascii="宋体" w:hAnsi="宋体" w:eastAsia="宋体" w:cs="宋体"/>
                <w:bCs/>
                <w:color w:val="auto"/>
                <w:sz w:val="21"/>
                <w:szCs w:val="21"/>
                <w:highlight w:val="none"/>
                <w:lang w:bidi="ar"/>
              </w:rPr>
              <w:t>能确保人员及时响应，1小时内到达现场；</w:t>
            </w:r>
            <w:r>
              <w:rPr>
                <w:rFonts w:hint="eastAsia" w:ascii="宋体" w:hAnsi="宋体" w:eastAsia="宋体" w:cs="宋体"/>
                <w:bCs/>
                <w:color w:val="auto"/>
                <w:kern w:val="0"/>
                <w:szCs w:val="21"/>
                <w:highlight w:val="none"/>
              </w:rPr>
              <w:t>提供的技术支持机构、机构常驻人员是否具有较强的本地化服务能力，以及较强的专业技术队伍进行综合评分</w:t>
            </w:r>
            <w:r>
              <w:rPr>
                <w:rFonts w:hint="eastAsia" w:ascii="宋体" w:hAnsi="宋体" w:eastAsia="宋体" w:cs="宋体"/>
                <w:color w:val="auto"/>
                <w:sz w:val="21"/>
                <w:szCs w:val="21"/>
                <w:highlight w:val="none"/>
                <w:lang w:bidi="ar"/>
              </w:rPr>
              <w:t>。</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bidi="ar-SA"/>
              </w:rPr>
              <w:t>5</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34" w:type="dxa"/>
            <w:vAlign w:val="center"/>
          </w:tcPr>
          <w:p>
            <w:pPr>
              <w:widowControl/>
              <w:numPr>
                <w:ilvl w:val="0"/>
                <w:numId w:val="6"/>
              </w:numPr>
              <w:snapToGrid w:val="0"/>
              <w:ind w:left="425" w:leftChars="0" w:hanging="425" w:firstLineChars="0"/>
              <w:rPr>
                <w:rFonts w:ascii="宋体" w:hAnsi="宋体" w:cs="宋体"/>
                <w:snapToGrid w:val="0"/>
                <w:color w:val="auto"/>
                <w:kern w:val="0"/>
                <w:szCs w:val="21"/>
                <w:highlight w:val="none"/>
              </w:rPr>
            </w:pPr>
          </w:p>
        </w:tc>
        <w:tc>
          <w:tcPr>
            <w:tcW w:w="1845" w:type="dxa"/>
            <w:vAlign w:val="center"/>
          </w:tcPr>
          <w:p>
            <w:pPr>
              <w:snapToGrid w:val="0"/>
              <w:spacing w:line="30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bidi="ar"/>
              </w:rPr>
              <w:t>监理工具</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监理工具（3分）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投标人能够提供性能测试软件、漏洞扫描工具、信息安全等级保护检查工具箱</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三项工器具配备齐全的得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分，每缺少一项扣1分，最低得0分。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说明：</w:t>
            </w:r>
            <w:r>
              <w:rPr>
                <w:rFonts w:hint="eastAsia" w:ascii="宋体" w:hAnsi="宋体" w:eastAsia="宋体" w:cs="宋体"/>
                <w:bCs/>
                <w:color w:val="auto"/>
                <w:szCs w:val="21"/>
                <w:highlight w:val="none"/>
              </w:rPr>
              <w:t>上述</w:t>
            </w:r>
            <w:r>
              <w:rPr>
                <w:rFonts w:hint="eastAsia" w:ascii="宋体" w:hAnsi="宋体" w:eastAsia="宋体" w:cs="宋体"/>
                <w:bCs/>
                <w:color w:val="auto"/>
                <w:szCs w:val="21"/>
                <w:highlight w:val="none"/>
                <w:lang w:val="en-US" w:eastAsia="zh-CN"/>
              </w:rPr>
              <w:t>监理工具</w:t>
            </w:r>
            <w:r>
              <w:rPr>
                <w:rFonts w:hint="eastAsia" w:ascii="宋体" w:hAnsi="宋体" w:eastAsia="宋体" w:cs="宋体"/>
                <w:bCs/>
                <w:color w:val="auto"/>
                <w:szCs w:val="21"/>
                <w:highlight w:val="none"/>
              </w:rPr>
              <w:t>必须为投标人</w:t>
            </w:r>
            <w:r>
              <w:rPr>
                <w:rFonts w:hint="eastAsia" w:ascii="宋体" w:hAnsi="宋体" w:eastAsia="宋体" w:cs="宋体"/>
                <w:bCs/>
                <w:color w:val="auto"/>
                <w:szCs w:val="21"/>
                <w:highlight w:val="none"/>
                <w:lang w:val="en-US" w:eastAsia="zh-CN"/>
              </w:rPr>
              <w:t>自身持有</w:t>
            </w:r>
            <w:r>
              <w:rPr>
                <w:rFonts w:hint="eastAsia" w:ascii="宋体" w:hAnsi="宋体" w:eastAsia="宋体" w:cs="宋体"/>
                <w:bCs/>
                <w:color w:val="auto"/>
                <w:szCs w:val="21"/>
                <w:highlight w:val="none"/>
              </w:rPr>
              <w:t>，</w:t>
            </w:r>
            <w:r>
              <w:rPr>
                <w:rFonts w:hint="eastAsia" w:ascii="宋体" w:hAnsi="宋体" w:eastAsia="宋体" w:cs="宋体"/>
                <w:color w:val="auto"/>
                <w:highlight w:val="none"/>
                <w:lang w:val="en-US" w:eastAsia="zh-CN"/>
              </w:rPr>
              <w:t>根据投标文件中提供</w:t>
            </w:r>
            <w:r>
              <w:rPr>
                <w:rFonts w:hint="eastAsia" w:ascii="宋体" w:hAnsi="宋体" w:eastAsia="宋体" w:cs="宋体"/>
                <w:color w:val="auto"/>
                <w:szCs w:val="21"/>
                <w:highlight w:val="none"/>
              </w:rPr>
              <w:t>以上</w:t>
            </w:r>
            <w:r>
              <w:rPr>
                <w:rFonts w:hint="eastAsia" w:ascii="宋体" w:hAnsi="宋体" w:eastAsia="宋体" w:cs="宋体"/>
                <w:color w:val="auto"/>
                <w:szCs w:val="21"/>
                <w:highlight w:val="none"/>
                <w:lang w:val="en-US" w:eastAsia="zh-CN"/>
              </w:rPr>
              <w:t>工具产品明细、购置发票及合同扫描件</w:t>
            </w:r>
            <w:r>
              <w:rPr>
                <w:rFonts w:hint="eastAsia" w:ascii="宋体" w:hAnsi="宋体" w:eastAsia="宋体" w:cs="宋体"/>
                <w:color w:val="auto"/>
                <w:highlight w:val="none"/>
                <w:lang w:val="en-US" w:eastAsia="zh-CN"/>
              </w:rPr>
              <w:t>进行评分，未提供或不符合以上条件不得分。</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bidi="ar-SA"/>
              </w:rPr>
              <w:t>3</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dxa"/>
            <w:vAlign w:val="center"/>
          </w:tcPr>
          <w:p>
            <w:pPr>
              <w:widowControl/>
              <w:numPr>
                <w:ilvl w:val="0"/>
                <w:numId w:val="6"/>
              </w:numPr>
              <w:snapToGrid w:val="0"/>
              <w:ind w:left="425" w:leftChars="0" w:hanging="425" w:firstLineChars="0"/>
              <w:rPr>
                <w:rFonts w:ascii="宋体" w:hAnsi="宋体" w:cs="宋体"/>
                <w:snapToGrid w:val="0"/>
                <w:color w:val="auto"/>
                <w:kern w:val="0"/>
                <w:szCs w:val="21"/>
                <w:highlight w:val="none"/>
              </w:rPr>
            </w:pPr>
          </w:p>
        </w:tc>
        <w:tc>
          <w:tcPr>
            <w:tcW w:w="1845" w:type="dxa"/>
            <w:vAlign w:val="center"/>
          </w:tcPr>
          <w:p>
            <w:pPr>
              <w:snapToGrid w:val="0"/>
              <w:spacing w:line="30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总监理工程师</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总监理工程师（</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总监理工程师1名，具备</w:t>
            </w:r>
            <w:r>
              <w:rPr>
                <w:rStyle w:val="841"/>
                <w:rFonts w:hint="eastAsia" w:ascii="宋体" w:hAnsi="宋体" w:eastAsia="宋体" w:cs="宋体"/>
                <w:bCs/>
                <w:color w:val="auto"/>
                <w:sz w:val="21"/>
                <w:szCs w:val="21"/>
                <w:highlight w:val="none"/>
                <w:lang w:bidi="ar"/>
              </w:rPr>
              <w:t>信息系统监理师证书（软考证书）和</w:t>
            </w:r>
            <w:r>
              <w:rPr>
                <w:rFonts w:hint="eastAsia" w:ascii="宋体" w:hAnsi="宋体" w:eastAsia="宋体" w:cs="宋体"/>
                <w:bCs/>
                <w:color w:val="auto"/>
                <w:highlight w:val="none"/>
                <w:lang w:val="en-US" w:eastAsia="zh-CN"/>
              </w:rPr>
              <w:t>信息系统项目</w:t>
            </w:r>
            <w:r>
              <w:rPr>
                <w:rFonts w:hint="eastAsia" w:ascii="宋体" w:hAnsi="宋体" w:eastAsia="宋体" w:cs="宋体"/>
                <w:bCs w:val="0"/>
                <w:color w:val="auto"/>
                <w:szCs w:val="21"/>
                <w:highlight w:val="none"/>
                <w:lang w:val="en-US" w:eastAsia="zh-CN" w:bidi="ar"/>
              </w:rPr>
              <w:t>管理师</w:t>
            </w:r>
            <w:r>
              <w:rPr>
                <w:rStyle w:val="71"/>
                <w:rFonts w:hint="eastAsia" w:ascii="宋体" w:hAnsi="宋体" w:eastAsia="宋体" w:cs="宋体"/>
                <w:bCs w:val="0"/>
                <w:color w:val="auto"/>
                <w:sz w:val="21"/>
                <w:szCs w:val="21"/>
                <w:highlight w:val="none"/>
                <w:lang w:bidi="ar"/>
              </w:rPr>
              <w:t>（软考证书）</w:t>
            </w:r>
            <w:r>
              <w:rPr>
                <w:rStyle w:val="71"/>
                <w:rFonts w:hint="eastAsia" w:ascii="宋体" w:hAnsi="宋体" w:cs="宋体"/>
                <w:bCs w:val="0"/>
                <w:color w:val="auto"/>
                <w:sz w:val="21"/>
                <w:szCs w:val="21"/>
                <w:highlight w:val="none"/>
                <w:lang w:val="en-US" w:eastAsia="zh-CN" w:bidi="ar"/>
              </w:rPr>
              <w:t>每有一个得2分</w:t>
            </w:r>
            <w:r>
              <w:rPr>
                <w:rStyle w:val="71"/>
                <w:rFonts w:hint="eastAsia" w:ascii="宋体" w:hAnsi="宋体" w:eastAsia="宋体" w:cs="宋体"/>
                <w:bCs w:val="0"/>
                <w:color w:val="auto"/>
                <w:sz w:val="21"/>
                <w:szCs w:val="21"/>
                <w:highlight w:val="none"/>
                <w:lang w:val="en-US" w:eastAsia="zh-CN" w:bidi="ar"/>
              </w:rPr>
              <w:t>。在此基础上，如具有以下条件：</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具有</w:t>
            </w:r>
            <w:r>
              <w:rPr>
                <w:rFonts w:hint="eastAsia" w:ascii="宋体" w:hAnsi="宋体" w:cs="宋体"/>
                <w:color w:val="auto"/>
                <w:sz w:val="21"/>
                <w:szCs w:val="21"/>
                <w:highlight w:val="none"/>
                <w:lang w:val="en-US" w:eastAsia="zh-CN" w:bidi="ar"/>
              </w:rPr>
              <w:t>五</w:t>
            </w:r>
            <w:r>
              <w:rPr>
                <w:rFonts w:hint="eastAsia" w:ascii="宋体" w:hAnsi="宋体" w:eastAsia="宋体" w:cs="宋体"/>
                <w:color w:val="auto"/>
                <w:sz w:val="21"/>
                <w:szCs w:val="21"/>
                <w:highlight w:val="none"/>
                <w:lang w:bidi="ar"/>
              </w:rPr>
              <w:t>年以上信息系统监理工作经验（以信息系统监理师签发时间为准）且担任过类似监理项目总监理工程师的得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分，须提供项目监理合同或用户证明，并体现总监姓名，否则不得分；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t>说明：上述人员必须为投标人在职员工，</w:t>
            </w:r>
            <w:r>
              <w:rPr>
                <w:rFonts w:hint="eastAsia" w:ascii="宋体" w:hAnsi="宋体" w:eastAsia="宋体" w:cs="宋体"/>
                <w:color w:val="auto"/>
                <w:highlight w:val="none"/>
                <w:lang w:val="en-US" w:eastAsia="zh-CN"/>
              </w:rPr>
              <w:t>根据投标文件中提供</w:t>
            </w:r>
            <w:r>
              <w:rPr>
                <w:rFonts w:hint="eastAsia" w:ascii="宋体" w:hAnsi="宋体" w:eastAsia="宋体" w:cs="宋体"/>
                <w:color w:val="auto"/>
                <w:szCs w:val="21"/>
                <w:highlight w:val="none"/>
              </w:rPr>
              <w:t>以上</w:t>
            </w:r>
            <w:r>
              <w:rPr>
                <w:rFonts w:hint="eastAsia" w:ascii="宋体" w:hAnsi="宋体" w:eastAsia="宋体" w:cs="宋体"/>
                <w:color w:val="auto"/>
                <w:szCs w:val="21"/>
                <w:highlight w:val="none"/>
                <w:lang w:val="en-US" w:eastAsia="zh-CN"/>
              </w:rPr>
              <w:t>人员近三个月的</w:t>
            </w:r>
            <w:r>
              <w:rPr>
                <w:rFonts w:hint="eastAsia" w:ascii="宋体" w:hAnsi="宋体" w:eastAsia="宋体" w:cs="宋体"/>
                <w:bCs/>
                <w:color w:val="auto"/>
                <w:szCs w:val="21"/>
                <w:highlight w:val="none"/>
              </w:rPr>
              <w:t>社保缴纳证明</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相关有效证书</w:t>
            </w:r>
            <w:r>
              <w:rPr>
                <w:rFonts w:hint="eastAsia" w:ascii="宋体" w:hAnsi="宋体" w:eastAsia="宋体" w:cs="宋体"/>
                <w:color w:val="auto"/>
                <w:highlight w:val="none"/>
                <w:lang w:val="en-US" w:eastAsia="zh-CN"/>
              </w:rPr>
              <w:t>进行评分，未提供或不符合以上条件不得分。</w:t>
            </w:r>
            <w:r>
              <w:rPr>
                <w:rFonts w:hint="eastAsia" w:ascii="宋体" w:hAnsi="宋体" w:eastAsia="宋体" w:cs="宋体"/>
                <w:bCs/>
                <w:color w:val="auto"/>
                <w:szCs w:val="21"/>
                <w:highlight w:val="none"/>
              </w:rPr>
              <w:t>社保缴纳证明以社保机构出具的社保证明为准</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软考证书是指计算机技术与软件专业技术资格（水平）考试获取的职业资格证书。</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bidi="ar-SA"/>
              </w:rPr>
              <w:t>5</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dxa"/>
            <w:vAlign w:val="center"/>
          </w:tcPr>
          <w:p>
            <w:pPr>
              <w:widowControl/>
              <w:numPr>
                <w:ilvl w:val="0"/>
                <w:numId w:val="6"/>
              </w:numPr>
              <w:snapToGrid w:val="0"/>
              <w:ind w:left="425" w:leftChars="0" w:hanging="425" w:firstLineChars="0"/>
              <w:rPr>
                <w:rFonts w:ascii="宋体" w:hAnsi="宋体" w:cs="宋体"/>
                <w:snapToGrid w:val="0"/>
                <w:color w:val="auto"/>
                <w:kern w:val="0"/>
                <w:szCs w:val="21"/>
                <w:highlight w:val="none"/>
              </w:rPr>
            </w:pPr>
          </w:p>
        </w:tc>
        <w:tc>
          <w:tcPr>
            <w:tcW w:w="1845" w:type="dxa"/>
            <w:vAlign w:val="center"/>
          </w:tcPr>
          <w:p>
            <w:pPr>
              <w:snapToGrid w:val="0"/>
              <w:spacing w:line="30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监理项目组人员（不含总监、总监代表）</w:t>
            </w:r>
          </w:p>
        </w:tc>
        <w:tc>
          <w:tcPr>
            <w:tcW w:w="5320" w:type="dxa"/>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监理项目组人员（不含总监、总监代表）（</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持信息系统监理师证书（软考证书）人员不少于</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人，此为项目团队人员必备条件，如不满足则本项整体不得分。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1、项目团队持信息系统监理师证书（软考证书）人员在</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人基础上每增加</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人，得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分，最多得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t>说明：上述人员必须均为投标人在职员工，</w:t>
            </w:r>
            <w:r>
              <w:rPr>
                <w:rFonts w:hint="eastAsia" w:ascii="宋体" w:hAnsi="宋体" w:eastAsia="宋体" w:cs="宋体"/>
                <w:color w:val="auto"/>
                <w:highlight w:val="none"/>
                <w:lang w:val="en-US" w:eastAsia="zh-CN"/>
              </w:rPr>
              <w:t>根据投标文件中提供</w:t>
            </w:r>
            <w:r>
              <w:rPr>
                <w:rFonts w:hint="eastAsia" w:ascii="宋体" w:hAnsi="宋体" w:eastAsia="宋体" w:cs="宋体"/>
                <w:color w:val="auto"/>
                <w:szCs w:val="21"/>
                <w:highlight w:val="none"/>
              </w:rPr>
              <w:t>以上</w:t>
            </w:r>
            <w:r>
              <w:rPr>
                <w:rFonts w:hint="eastAsia" w:ascii="宋体" w:hAnsi="宋体" w:eastAsia="宋体" w:cs="宋体"/>
                <w:color w:val="auto"/>
                <w:szCs w:val="21"/>
                <w:highlight w:val="none"/>
                <w:lang w:val="en-US" w:eastAsia="zh-CN"/>
              </w:rPr>
              <w:t>人员近三个月的</w:t>
            </w:r>
            <w:r>
              <w:rPr>
                <w:rFonts w:hint="eastAsia" w:ascii="宋体" w:hAnsi="宋体" w:eastAsia="宋体" w:cs="宋体"/>
                <w:bCs/>
                <w:color w:val="auto"/>
                <w:szCs w:val="21"/>
                <w:highlight w:val="none"/>
              </w:rPr>
              <w:t>社保缴纳证明</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相关有效证书</w:t>
            </w:r>
            <w:r>
              <w:rPr>
                <w:rFonts w:hint="eastAsia" w:ascii="宋体" w:hAnsi="宋体" w:eastAsia="宋体" w:cs="宋体"/>
                <w:color w:val="auto"/>
                <w:highlight w:val="none"/>
                <w:lang w:val="en-US" w:eastAsia="zh-CN"/>
              </w:rPr>
              <w:t>进行评分，未提供或不符合以上条件不得分。</w:t>
            </w:r>
            <w:r>
              <w:rPr>
                <w:rFonts w:hint="eastAsia" w:ascii="宋体" w:hAnsi="宋体" w:eastAsia="宋体" w:cs="宋体"/>
                <w:bCs/>
                <w:color w:val="auto"/>
                <w:szCs w:val="21"/>
                <w:highlight w:val="none"/>
              </w:rPr>
              <w:t>社保缴纳证明以社保机构出具的社保证明为准</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软考证书是指计算机技术与软件专业技术资格（水平）考试获取的职业资格证书。</w:t>
            </w:r>
          </w:p>
        </w:tc>
        <w:tc>
          <w:tcPr>
            <w:tcW w:w="960" w:type="dxa"/>
            <w:vAlign w:val="center"/>
          </w:tcPr>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bidi="ar-SA"/>
              </w:rPr>
              <w:t>2</w:t>
            </w:r>
          </w:p>
        </w:tc>
        <w:tc>
          <w:tcPr>
            <w:tcW w:w="1162" w:type="dxa"/>
            <w:vAlign w:val="center"/>
          </w:tcPr>
          <w:p>
            <w:pPr>
              <w:widowControl/>
              <w:snapToGrid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34" w:type="dxa"/>
            <w:vAlign w:val="center"/>
          </w:tcPr>
          <w:p>
            <w:pPr>
              <w:widowControl/>
              <w:numPr>
                <w:ilvl w:val="0"/>
                <w:numId w:val="0"/>
              </w:numPr>
              <w:snapToGrid w:val="0"/>
              <w:ind w:leftChars="0"/>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16</w:t>
            </w:r>
          </w:p>
        </w:tc>
        <w:tc>
          <w:tcPr>
            <w:tcW w:w="7165" w:type="dxa"/>
            <w:gridSpan w:val="2"/>
          </w:tcPr>
          <w:p>
            <w:pPr>
              <w:spacing w:line="360" w:lineRule="auto"/>
              <w:ind w:firstLine="360" w:firstLineChars="200"/>
              <w:outlineLvl w:val="0"/>
              <w:rPr>
                <w:rFonts w:ascii="宋体" w:hAnsi="宋体" w:cs="宋体"/>
                <w:color w:val="auto"/>
                <w:sz w:val="18"/>
                <w:szCs w:val="18"/>
                <w:highlight w:val="none"/>
              </w:rPr>
            </w:pPr>
            <w:r>
              <w:rPr>
                <w:rFonts w:hint="eastAsia" w:ascii="宋体" w:hAnsi="宋体" w:cs="宋体"/>
                <w:color w:val="auto"/>
                <w:sz w:val="18"/>
                <w:szCs w:val="18"/>
                <w:highlight w:val="none"/>
              </w:rPr>
              <w:t>有效投标报价的最低价作为评标基准价，其最低报价为满分；按［投标报价得分=（评标基准价/投标报价）*</w:t>
            </w:r>
            <w:r>
              <w:rPr>
                <w:rFonts w:hint="eastAsia" w:ascii="宋体" w:hAnsi="宋体" w:cs="宋体"/>
                <w:color w:val="auto"/>
                <w:sz w:val="18"/>
                <w:szCs w:val="18"/>
                <w:highlight w:val="none"/>
                <w:lang w:val="en-US" w:eastAsia="zh-CN"/>
              </w:rPr>
              <w:t>20</w:t>
            </w:r>
            <w:r>
              <w:rPr>
                <w:rFonts w:hint="eastAsia" w:ascii="宋体" w:hAnsi="宋体" w:cs="宋体"/>
                <w:color w:val="auto"/>
                <w:sz w:val="18"/>
                <w:szCs w:val="18"/>
                <w:highlight w:val="none"/>
              </w:rPr>
              <w:t>］的计算公式计算。</w:t>
            </w:r>
          </w:p>
          <w:p>
            <w:pPr>
              <w:widowControl/>
              <w:shd w:val="clear" w:color="auto" w:fill="FFFFFF"/>
              <w:adjustRightInd/>
              <w:spacing w:after="225" w:line="315" w:lineRule="atLeast"/>
              <w:ind w:firstLine="420"/>
              <w:jc w:val="left"/>
              <w:rPr>
                <w:rFonts w:ascii="宋体" w:hAnsi="宋体" w:cs="宋体"/>
                <w:color w:val="auto"/>
                <w:sz w:val="18"/>
                <w:szCs w:val="18"/>
                <w:highlight w:val="none"/>
              </w:rPr>
            </w:pPr>
            <w:r>
              <w:rPr>
                <w:rFonts w:hint="eastAsia" w:ascii="宋体" w:hAnsi="宋体" w:cs="宋体"/>
                <w:color w:val="auto"/>
                <w:sz w:val="18"/>
                <w:szCs w:val="18"/>
                <w:highlight w:val="none"/>
              </w:rPr>
              <w:t>评标过程中，不得去掉报价中的最高报价和最低报价。</w:t>
            </w:r>
          </w:p>
          <w:p>
            <w:pPr>
              <w:widowControl/>
              <w:shd w:val="clear" w:color="auto" w:fill="FFFFFF"/>
              <w:adjustRightInd/>
              <w:spacing w:after="225" w:line="315" w:lineRule="atLeast"/>
              <w:jc w:val="left"/>
              <w:rPr>
                <w:rFonts w:ascii="宋体" w:hAnsi="宋体"/>
                <w:bCs/>
                <w:color w:val="auto"/>
                <w:sz w:val="18"/>
                <w:szCs w:val="18"/>
                <w:highlight w:val="none"/>
              </w:rPr>
            </w:pPr>
            <w:r>
              <w:rPr>
                <w:rFonts w:hint="eastAsia" w:ascii="宋体" w:hAnsi="宋体" w:cs="宋体"/>
                <w:color w:val="auto"/>
                <w:sz w:val="18"/>
                <w:szCs w:val="18"/>
                <w:highlight w:val="none"/>
              </w:rPr>
              <w:t>因落实政府采购政策需要进行价格调整的，以调整后的价格计算评标基准价和投标报价。</w:t>
            </w:r>
          </w:p>
        </w:tc>
        <w:tc>
          <w:tcPr>
            <w:tcW w:w="960" w:type="dxa"/>
            <w:vAlign w:val="center"/>
          </w:tcPr>
          <w:p>
            <w:pPr>
              <w:spacing w:line="360" w:lineRule="auto"/>
              <w:ind w:firstLine="90" w:firstLineChars="50"/>
              <w:outlineLvl w:val="0"/>
              <w:rPr>
                <w:color w:val="auto"/>
                <w:sz w:val="18"/>
                <w:szCs w:val="18"/>
                <w:highlight w:val="none"/>
              </w:rPr>
            </w:pPr>
            <w:r>
              <w:rPr>
                <w:rFonts w:hint="eastAsia" w:ascii="宋体" w:hAnsi="宋体" w:cs="宋体"/>
                <w:color w:val="auto"/>
                <w:sz w:val="18"/>
                <w:szCs w:val="18"/>
                <w:highlight w:val="none"/>
                <w:lang w:val="en-US" w:eastAsia="zh-CN"/>
              </w:rPr>
              <w:t>20</w:t>
            </w:r>
            <w:r>
              <w:rPr>
                <w:rFonts w:hint="eastAsia" w:ascii="宋体" w:hAnsi="宋体" w:cs="宋体"/>
                <w:color w:val="auto"/>
                <w:sz w:val="18"/>
                <w:szCs w:val="18"/>
                <w:highlight w:val="none"/>
              </w:rPr>
              <w:t>分</w:t>
            </w:r>
          </w:p>
        </w:tc>
        <w:tc>
          <w:tcPr>
            <w:tcW w:w="1162" w:type="dxa"/>
            <w:vAlign w:val="center"/>
          </w:tcPr>
          <w:p>
            <w:pPr>
              <w:spacing w:line="360" w:lineRule="auto"/>
              <w:ind w:firstLine="90" w:firstLineChars="50"/>
              <w:outlineLvl w:val="0"/>
              <w:rPr>
                <w:rFonts w:ascii="宋体" w:hAnsi="宋体" w:cs="宋体"/>
                <w:color w:val="auto"/>
                <w:sz w:val="18"/>
                <w:szCs w:val="18"/>
                <w:highlight w:val="none"/>
              </w:rPr>
            </w:pPr>
          </w:p>
        </w:tc>
      </w:tr>
    </w:tbl>
    <w:p>
      <w:pPr>
        <w:snapToGrid w:val="0"/>
        <w:spacing w:line="360" w:lineRule="auto"/>
        <w:rPr>
          <w:rFonts w:ascii="宋体" w:hAnsi="宋体" w:cs="宋体"/>
          <w:color w:val="auto"/>
          <w:sz w:val="20"/>
          <w:szCs w:val="20"/>
          <w:highlight w:val="none"/>
          <w:shd w:val="clear" w:color="auto" w:fill="FFFFFF"/>
        </w:rPr>
      </w:pPr>
      <w:r>
        <w:rPr>
          <w:rFonts w:hint="eastAsia" w:ascii="宋体" w:hAnsi="宋体" w:cs="宋体"/>
          <w:color w:val="auto"/>
          <w:sz w:val="20"/>
          <w:szCs w:val="20"/>
          <w:highlight w:val="none"/>
          <w:shd w:val="clear" w:color="auto" w:fill="FFFFFF"/>
        </w:rPr>
        <w:t> </w:t>
      </w: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有下列情况之一的，投标无效：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4.2.12投标人仅提交备份投标文件，没有在电子交易平台传输递交投标文件的，投标无效；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color w:val="auto"/>
          <w:highlight w:val="none"/>
        </w:rPr>
      </w:pPr>
      <w:r>
        <w:rPr>
          <w:rFonts w:hint="eastAsia" w:cs="宋体"/>
          <w:color w:val="auto"/>
          <w:highlight w:val="none"/>
        </w:rPr>
        <w:t>7.1未确定中标或者中标人的，终止本次政府采购活动，重新开展政府采购活动。</w:t>
      </w:r>
    </w:p>
    <w:p>
      <w:pPr>
        <w:pStyle w:val="26"/>
        <w:snapToGrid w:val="0"/>
        <w:spacing w:line="360" w:lineRule="auto"/>
        <w:ind w:firstLine="600" w:firstLineChars="250"/>
        <w:rPr>
          <w:rFonts w:cs="宋体"/>
          <w:color w:val="auto"/>
          <w:highlight w:val="none"/>
        </w:rPr>
      </w:pPr>
      <w:r>
        <w:rPr>
          <w:rFonts w:hint="eastAsia"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color w:val="auto"/>
          <w:highlight w:val="none"/>
        </w:rPr>
      </w:pPr>
      <w:r>
        <w:rPr>
          <w:rFonts w:hint="eastAsia"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的行为，经改正后仍然影响或者可能影响中标、成交结果或者依法被认定为中标、成交无效的，依照7.1-7.4规定处理。</w:t>
      </w:r>
    </w:p>
    <w:bookmarkEnd w:id="26"/>
    <w:p>
      <w:pPr>
        <w:rPr>
          <w:rFonts w:ascii="宋体" w:hAnsi="宋体" w:cs="宋体"/>
          <w:b/>
          <w:color w:val="auto"/>
          <w:sz w:val="36"/>
          <w:szCs w:val="36"/>
          <w:highlight w:val="none"/>
        </w:rPr>
      </w:pPr>
      <w:bookmarkStart w:id="423" w:name="第五部分"/>
      <w:bookmarkStart w:id="424" w:name="_Toc86217003"/>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jc w:val="center"/>
        <w:rPr>
          <w:rFonts w:ascii="宋体" w:hAnsi="宋体" w:cs="宋体"/>
          <w:color w:val="auto"/>
          <w:sz w:val="24"/>
          <w:highlight w:val="none"/>
        </w:rPr>
      </w:pPr>
      <w:r>
        <w:rPr>
          <w:rFonts w:hint="eastAsia" w:ascii="宋体" w:hAnsi="宋体"/>
          <w:b/>
          <w:color w:val="auto"/>
          <w:sz w:val="24"/>
          <w:highlight w:val="none"/>
        </w:rPr>
        <w:t>（最终以双方签字盖章的合同文本为准）</w:t>
      </w:r>
    </w:p>
    <w:p>
      <w:pPr>
        <w:rPr>
          <w:rFonts w:ascii="宋体" w:hAnsi="宋体" w:cs="宋体"/>
          <w:color w:val="auto"/>
          <w:sz w:val="24"/>
          <w:highlight w:val="none"/>
        </w:rPr>
      </w:pPr>
    </w:p>
    <w:p>
      <w:pPr>
        <w:widowControl/>
        <w:spacing w:before="120" w:after="120" w:line="360" w:lineRule="auto"/>
        <w:jc w:val="center"/>
        <w:rPr>
          <w:rFonts w:ascii="宋体" w:hAnsi="宋体" w:cs="宋体"/>
          <w:color w:val="auto"/>
          <w:kern w:val="0"/>
          <w:sz w:val="30"/>
          <w:szCs w:val="30"/>
          <w:highlight w:val="none"/>
        </w:rPr>
      </w:pPr>
      <w:r>
        <w:rPr>
          <w:rFonts w:hint="eastAsia" w:ascii="宋体" w:hAnsi="宋体" w:cs="宋体"/>
          <w:color w:val="auto"/>
          <w:sz w:val="36"/>
          <w:szCs w:val="36"/>
          <w:highlight w:val="none"/>
        </w:rPr>
        <w:t>浙江省政府采购合同</w:t>
      </w:r>
    </w:p>
    <w:p>
      <w:pPr>
        <w:widowControl/>
        <w:spacing w:before="120" w:after="120"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rPr>
        <w:t xml:space="preserve">合同编号： </w:t>
      </w:r>
    </w:p>
    <w:p>
      <w:pPr>
        <w:snapToGrid w:val="0"/>
        <w:spacing w:line="360" w:lineRule="auto"/>
        <w:ind w:firstLine="552" w:firstLineChars="23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甲方：</w:t>
      </w:r>
      <w:r>
        <w:rPr>
          <w:rFonts w:hint="eastAsia" w:ascii="宋体" w:hAnsi="宋体" w:cs="宋体"/>
          <w:color w:val="auto"/>
          <w:sz w:val="24"/>
          <w:szCs w:val="22"/>
          <w:highlight w:val="none"/>
        </w:rPr>
        <w:t xml:space="preserve"> </w:t>
      </w:r>
      <w:r>
        <w:rPr>
          <w:rFonts w:hint="eastAsia" w:ascii="宋体" w:hAnsi="宋体" w:cs="宋体"/>
          <w:color w:val="auto"/>
          <w:sz w:val="24"/>
          <w:szCs w:val="22"/>
          <w:highlight w:val="none"/>
          <w:lang w:val="zh-CN"/>
        </w:rPr>
        <w:t xml:space="preserve">                                                                                                        </w:t>
      </w:r>
    </w:p>
    <w:p>
      <w:pPr>
        <w:snapToGrid w:val="0"/>
        <w:spacing w:line="360" w:lineRule="auto"/>
        <w:ind w:firstLine="552" w:firstLineChars="23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住所：</w:t>
      </w:r>
      <w:r>
        <w:rPr>
          <w:rFonts w:hint="eastAsia" w:ascii="宋体" w:hAnsi="宋体" w:cs="宋体"/>
          <w:color w:val="auto"/>
          <w:sz w:val="24"/>
          <w:szCs w:val="22"/>
          <w:highlight w:val="none"/>
        </w:rPr>
        <w:t xml:space="preserve">                        </w:t>
      </w:r>
      <w:r>
        <w:rPr>
          <w:rFonts w:hint="eastAsia" w:ascii="宋体" w:hAnsi="宋体" w:cs="宋体"/>
          <w:color w:val="auto"/>
          <w:sz w:val="24"/>
          <w:szCs w:val="22"/>
          <w:highlight w:val="none"/>
          <w:lang w:val="zh-CN"/>
        </w:rPr>
        <w:t xml:space="preserve">       联 系 人：</w:t>
      </w:r>
      <w:r>
        <w:rPr>
          <w:rFonts w:hint="eastAsia" w:ascii="宋体" w:hAnsi="宋体" w:cs="宋体"/>
          <w:color w:val="auto"/>
          <w:sz w:val="24"/>
          <w:szCs w:val="22"/>
          <w:highlight w:val="none"/>
          <w:u w:val="single"/>
          <w:lang w:val="zh-CN"/>
        </w:rPr>
        <w:t xml:space="preserve">            </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lang w:val="zh-CN"/>
        </w:rPr>
        <w:t xml:space="preserve">   </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lang w:val="zh-CN"/>
        </w:rPr>
        <w:t xml:space="preserve">            </w:t>
      </w:r>
      <w:r>
        <w:rPr>
          <w:rFonts w:hint="eastAsia" w:ascii="宋体" w:hAnsi="宋体" w:cs="宋体"/>
          <w:color w:val="auto"/>
          <w:sz w:val="24"/>
          <w:szCs w:val="22"/>
          <w:highlight w:val="none"/>
          <w:lang w:val="zh-CN"/>
        </w:rPr>
        <w:t xml:space="preserve">          </w:t>
      </w:r>
    </w:p>
    <w:p>
      <w:pPr>
        <w:snapToGrid w:val="0"/>
        <w:spacing w:line="360" w:lineRule="auto"/>
        <w:ind w:firstLine="552" w:firstLineChars="23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邮编：</w:t>
      </w:r>
      <w:r>
        <w:rPr>
          <w:rFonts w:hint="eastAsia" w:ascii="宋体" w:hAnsi="宋体" w:cs="宋体"/>
          <w:color w:val="auto"/>
          <w:sz w:val="24"/>
          <w:szCs w:val="22"/>
          <w:highlight w:val="none"/>
          <w:u w:val="single"/>
          <w:lang w:val="zh-CN"/>
        </w:rPr>
        <w:t xml:space="preserve">  </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lang w:val="zh-CN"/>
        </w:rPr>
        <w:t xml:space="preserve">                    </w:t>
      </w:r>
      <w:r>
        <w:rPr>
          <w:rFonts w:hint="eastAsia" w:ascii="宋体" w:hAnsi="宋体" w:cs="宋体"/>
          <w:color w:val="auto"/>
          <w:sz w:val="24"/>
          <w:szCs w:val="22"/>
          <w:highlight w:val="none"/>
          <w:lang w:val="zh-CN"/>
        </w:rPr>
        <w:t xml:space="preserve">   电    话：</w:t>
      </w:r>
      <w:r>
        <w:rPr>
          <w:rFonts w:hint="eastAsia" w:ascii="宋体" w:hAnsi="宋体" w:cs="宋体"/>
          <w:color w:val="auto"/>
          <w:sz w:val="24"/>
          <w:szCs w:val="22"/>
          <w:highlight w:val="none"/>
          <w:u w:val="single"/>
          <w:lang w:val="zh-CN"/>
        </w:rPr>
        <w:t xml:space="preserve"> </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lang w:val="zh-CN"/>
        </w:rPr>
        <w:t xml:space="preserve">                     </w:t>
      </w:r>
      <w:r>
        <w:rPr>
          <w:rFonts w:hint="eastAsia" w:ascii="宋体" w:hAnsi="宋体" w:cs="宋体"/>
          <w:color w:val="auto"/>
          <w:sz w:val="24"/>
          <w:szCs w:val="22"/>
          <w:highlight w:val="none"/>
          <w:lang w:val="zh-CN"/>
        </w:rPr>
        <w:t xml:space="preserve">                         </w:t>
      </w:r>
    </w:p>
    <w:p>
      <w:pPr>
        <w:snapToGrid w:val="0"/>
        <w:spacing w:line="360" w:lineRule="auto"/>
        <w:ind w:firstLine="552" w:firstLineChars="23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传真：</w:t>
      </w:r>
      <w:r>
        <w:rPr>
          <w:rFonts w:hint="eastAsia" w:ascii="宋体" w:hAnsi="宋体" w:cs="宋体"/>
          <w:color w:val="auto"/>
          <w:sz w:val="24"/>
          <w:szCs w:val="22"/>
          <w:highlight w:val="none"/>
          <w:u w:val="single"/>
          <w:lang w:val="zh-CN"/>
        </w:rPr>
        <w:t xml:space="preserve">                            </w:t>
      </w:r>
      <w:r>
        <w:rPr>
          <w:rFonts w:hint="eastAsia" w:ascii="宋体" w:hAnsi="宋体" w:cs="宋体"/>
          <w:color w:val="auto"/>
          <w:sz w:val="24"/>
          <w:szCs w:val="22"/>
          <w:highlight w:val="none"/>
          <w:lang w:val="zh-CN"/>
        </w:rPr>
        <w:t xml:space="preserve">   电子邮箱：</w:t>
      </w:r>
      <w:r>
        <w:rPr>
          <w:rFonts w:hint="eastAsia" w:ascii="宋体" w:hAnsi="宋体" w:cs="宋体"/>
          <w:color w:val="auto"/>
          <w:sz w:val="24"/>
          <w:szCs w:val="22"/>
          <w:highlight w:val="none"/>
          <w:u w:val="single"/>
          <w:lang w:val="zh-CN"/>
        </w:rPr>
        <w:t xml:space="preserve">                   </w:t>
      </w:r>
      <w:r>
        <w:rPr>
          <w:rFonts w:hint="eastAsia" w:ascii="宋体" w:hAnsi="宋体" w:cs="宋体"/>
          <w:color w:val="auto"/>
          <w:sz w:val="24"/>
          <w:szCs w:val="22"/>
          <w:highlight w:val="none"/>
          <w:lang w:val="zh-CN"/>
        </w:rPr>
        <w:t xml:space="preserve">                </w:t>
      </w:r>
    </w:p>
    <w:p>
      <w:pPr>
        <w:snapToGrid w:val="0"/>
        <w:spacing w:line="360" w:lineRule="auto"/>
        <w:ind w:firstLine="552" w:firstLineChars="230"/>
        <w:rPr>
          <w:rFonts w:ascii="宋体" w:hAnsi="宋体" w:cs="宋体"/>
          <w:color w:val="auto"/>
          <w:sz w:val="24"/>
          <w:szCs w:val="22"/>
          <w:highlight w:val="none"/>
          <w:lang w:val="zh-CN"/>
        </w:rPr>
      </w:pPr>
    </w:p>
    <w:p>
      <w:pPr>
        <w:snapToGrid w:val="0"/>
        <w:spacing w:line="360" w:lineRule="auto"/>
        <w:ind w:firstLine="552" w:firstLineChars="230"/>
        <w:outlineLvl w:val="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乙方：</w:t>
      </w:r>
    </w:p>
    <w:p>
      <w:pPr>
        <w:snapToGrid w:val="0"/>
        <w:spacing w:line="360" w:lineRule="auto"/>
        <w:ind w:firstLine="552" w:firstLineChars="23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住所：</w:t>
      </w:r>
      <w:r>
        <w:rPr>
          <w:rFonts w:hint="eastAsia" w:ascii="宋体" w:hAnsi="宋体" w:cs="宋体"/>
          <w:color w:val="auto"/>
          <w:sz w:val="24"/>
          <w:szCs w:val="22"/>
          <w:highlight w:val="none"/>
          <w:u w:val="single"/>
          <w:lang w:val="zh-CN"/>
        </w:rPr>
        <w:t xml:space="preserve">                            </w:t>
      </w:r>
      <w:r>
        <w:rPr>
          <w:rFonts w:hint="eastAsia" w:ascii="宋体" w:hAnsi="宋体" w:cs="宋体"/>
          <w:color w:val="auto"/>
          <w:sz w:val="24"/>
          <w:szCs w:val="22"/>
          <w:highlight w:val="none"/>
          <w:lang w:val="zh-CN"/>
        </w:rPr>
        <w:t xml:space="preserve">   联 系 人：</w:t>
      </w:r>
      <w:r>
        <w:rPr>
          <w:rFonts w:hint="eastAsia" w:ascii="宋体" w:hAnsi="宋体" w:cs="宋体"/>
          <w:color w:val="auto"/>
          <w:sz w:val="24"/>
          <w:szCs w:val="22"/>
          <w:highlight w:val="none"/>
          <w:u w:val="single"/>
          <w:lang w:val="zh-CN"/>
        </w:rPr>
        <w:t xml:space="preserve">  </w:t>
      </w:r>
    </w:p>
    <w:p>
      <w:pPr>
        <w:snapToGrid w:val="0"/>
        <w:spacing w:line="360" w:lineRule="auto"/>
        <w:ind w:firstLine="552" w:firstLineChars="23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邮编：</w:t>
      </w:r>
      <w:r>
        <w:rPr>
          <w:rFonts w:hint="eastAsia" w:ascii="宋体" w:hAnsi="宋体" w:cs="宋体"/>
          <w:color w:val="auto"/>
          <w:sz w:val="24"/>
          <w:szCs w:val="22"/>
          <w:highlight w:val="none"/>
          <w:u w:val="single"/>
          <w:lang w:val="zh-CN"/>
        </w:rPr>
        <w:t xml:space="preserve">                            </w:t>
      </w:r>
      <w:r>
        <w:rPr>
          <w:rFonts w:hint="eastAsia" w:ascii="宋体" w:hAnsi="宋体" w:cs="宋体"/>
          <w:color w:val="auto"/>
          <w:sz w:val="24"/>
          <w:szCs w:val="22"/>
          <w:highlight w:val="none"/>
          <w:lang w:val="zh-CN"/>
        </w:rPr>
        <w:t xml:space="preserve">   电    话：</w:t>
      </w:r>
      <w:r>
        <w:rPr>
          <w:rFonts w:hint="eastAsia" w:ascii="宋体" w:hAnsi="宋体" w:cs="宋体"/>
          <w:color w:val="auto"/>
          <w:sz w:val="24"/>
          <w:szCs w:val="22"/>
          <w:highlight w:val="none"/>
          <w:u w:val="single"/>
          <w:lang w:val="zh-CN"/>
        </w:rPr>
        <w:t xml:space="preserve">                    </w:t>
      </w:r>
      <w:r>
        <w:rPr>
          <w:rFonts w:hint="eastAsia" w:ascii="宋体" w:hAnsi="宋体" w:cs="宋体"/>
          <w:color w:val="auto"/>
          <w:sz w:val="24"/>
          <w:szCs w:val="22"/>
          <w:highlight w:val="none"/>
          <w:lang w:val="zh-CN"/>
        </w:rPr>
        <w:t xml:space="preserve">                         </w:t>
      </w:r>
    </w:p>
    <w:p>
      <w:pPr>
        <w:snapToGrid w:val="0"/>
        <w:spacing w:line="360" w:lineRule="auto"/>
        <w:ind w:firstLine="552" w:firstLineChars="230"/>
        <w:rPr>
          <w:rFonts w:ascii="宋体" w:hAnsi="宋体" w:cs="宋体"/>
          <w:color w:val="auto"/>
          <w:sz w:val="24"/>
          <w:szCs w:val="22"/>
          <w:highlight w:val="none"/>
          <w:lang w:val="zh-CN"/>
        </w:rPr>
      </w:pPr>
      <w:r>
        <w:rPr>
          <w:rFonts w:hint="eastAsia" w:ascii="宋体" w:hAnsi="宋体" w:cs="宋体"/>
          <w:color w:val="auto"/>
          <w:sz w:val="24"/>
          <w:szCs w:val="22"/>
          <w:highlight w:val="none"/>
          <w:lang w:val="zh-CN"/>
        </w:rPr>
        <w:t>传真：</w:t>
      </w:r>
      <w:r>
        <w:rPr>
          <w:rFonts w:hint="eastAsia" w:ascii="宋体" w:hAnsi="宋体" w:cs="宋体"/>
          <w:color w:val="auto"/>
          <w:sz w:val="24"/>
          <w:szCs w:val="22"/>
          <w:highlight w:val="none"/>
          <w:u w:val="single"/>
          <w:lang w:val="zh-CN"/>
        </w:rPr>
        <w:t xml:space="preserve">                            </w:t>
      </w:r>
      <w:r>
        <w:rPr>
          <w:rFonts w:hint="eastAsia" w:ascii="宋体" w:hAnsi="宋体" w:cs="宋体"/>
          <w:color w:val="auto"/>
          <w:sz w:val="24"/>
          <w:szCs w:val="22"/>
          <w:highlight w:val="none"/>
          <w:lang w:val="zh-CN"/>
        </w:rPr>
        <w:t xml:space="preserve">   电子邮箱：</w:t>
      </w:r>
      <w:r>
        <w:rPr>
          <w:rFonts w:hint="eastAsia" w:ascii="宋体" w:hAnsi="宋体" w:cs="宋体"/>
          <w:color w:val="auto"/>
          <w:sz w:val="24"/>
          <w:szCs w:val="22"/>
          <w:highlight w:val="none"/>
          <w:u w:val="single"/>
          <w:lang w:val="zh-CN"/>
        </w:rPr>
        <w:t xml:space="preserve">                   </w:t>
      </w:r>
      <w:r>
        <w:rPr>
          <w:rFonts w:hint="eastAsia" w:ascii="宋体" w:hAnsi="宋体" w:cs="宋体"/>
          <w:color w:val="auto"/>
          <w:sz w:val="24"/>
          <w:szCs w:val="22"/>
          <w:highlight w:val="none"/>
          <w:lang w:val="zh-CN"/>
        </w:rPr>
        <w:t xml:space="preserve">                       </w:t>
      </w:r>
    </w:p>
    <w:p>
      <w:pPr>
        <w:widowControl/>
        <w:spacing w:line="360" w:lineRule="auto"/>
        <w:ind w:firstLine="480" w:firstLineChars="200"/>
        <w:jc w:val="left"/>
        <w:rPr>
          <w:rFonts w:ascii="宋体" w:hAnsi="宋体" w:cs="宋体"/>
          <w:color w:val="auto"/>
          <w:kern w:val="0"/>
          <w:sz w:val="24"/>
          <w:szCs w:val="22"/>
          <w:highlight w:val="none"/>
        </w:rPr>
      </w:pPr>
    </w:p>
    <w:p>
      <w:pPr>
        <w:widowControl/>
        <w:spacing w:line="360" w:lineRule="auto"/>
        <w:ind w:firstLine="480" w:firstLineChars="20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根据《中华人民共和国合同法》和有关法律法规的规定，本次</w:t>
      </w:r>
      <w:r>
        <w:rPr>
          <w:rFonts w:hint="eastAsia" w:ascii="宋体" w:hAnsi="宋体" w:cs="宋体"/>
          <w:color w:val="auto"/>
          <w:kern w:val="0"/>
          <w:sz w:val="24"/>
          <w:szCs w:val="22"/>
          <w:highlight w:val="none"/>
          <w:u w:val="single"/>
        </w:rPr>
        <w:t xml:space="preserve"> 浙江省减污降碳协同增效管理系统监理服务项目  </w:t>
      </w:r>
      <w:r>
        <w:rPr>
          <w:rFonts w:hint="eastAsia" w:ascii="宋体" w:hAnsi="宋体" w:cs="宋体"/>
          <w:color w:val="auto"/>
          <w:kern w:val="0"/>
          <w:sz w:val="24"/>
          <w:szCs w:val="22"/>
          <w:highlight w:val="none"/>
        </w:rPr>
        <w:t>经</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u w:val="single"/>
          <w:lang w:val="en-US" w:eastAsia="zh-CN"/>
        </w:rPr>
        <w:t>公开招标</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确定乙方为本次服务供应商。经双方协商一致，就甲方委托乙方承办 _</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 xml:space="preserve"> 具体事宜及双方的权利与义务达成如下协议：</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一、服务内容、形式和要求</w:t>
      </w:r>
    </w:p>
    <w:p>
      <w:pPr>
        <w:spacing w:line="360" w:lineRule="auto"/>
        <w:ind w:left="78" w:leftChars="37" w:firstLine="480" w:firstLineChars="200"/>
        <w:rPr>
          <w:rFonts w:ascii="宋体" w:hAnsi="宋体" w:cs="宋体"/>
          <w:color w:val="auto"/>
          <w:sz w:val="24"/>
          <w:highlight w:val="none"/>
        </w:rPr>
      </w:pPr>
      <w:r>
        <w:rPr>
          <w:rFonts w:hint="eastAsia" w:ascii="宋体" w:hAnsi="宋体" w:cs="宋体"/>
          <w:color w:val="auto"/>
          <w:sz w:val="24"/>
          <w:highlight w:val="none"/>
        </w:rPr>
        <w:t>乙方为甲方提供服务内容：</w:t>
      </w:r>
    </w:p>
    <w:p>
      <w:pPr>
        <w:spacing w:line="360" w:lineRule="auto"/>
        <w:ind w:left="78" w:leftChars="37" w:firstLine="480" w:firstLineChars="200"/>
        <w:rPr>
          <w:rFonts w:ascii="宋体" w:hAnsi="宋体" w:cs="宋体"/>
          <w:color w:val="auto"/>
          <w:sz w:val="24"/>
          <w:highlight w:val="none"/>
        </w:rPr>
      </w:pPr>
      <w:r>
        <w:rPr>
          <w:rFonts w:hint="eastAsia" w:ascii="宋体" w:hAnsi="宋体" w:cs="宋体"/>
          <w:color w:val="auto"/>
          <w:sz w:val="24"/>
          <w:highlight w:val="none"/>
        </w:rPr>
        <w:t>1.</w:t>
      </w:r>
    </w:p>
    <w:p>
      <w:pPr>
        <w:spacing w:line="360" w:lineRule="auto"/>
        <w:ind w:left="78" w:leftChars="37" w:firstLine="480" w:firstLineChars="200"/>
        <w:rPr>
          <w:rFonts w:ascii="宋体" w:hAnsi="宋体" w:cs="宋体"/>
          <w:color w:val="auto"/>
          <w:sz w:val="24"/>
          <w:highlight w:val="none"/>
        </w:rPr>
      </w:pPr>
      <w:r>
        <w:rPr>
          <w:rFonts w:hint="eastAsia" w:ascii="宋体" w:hAnsi="宋体" w:cs="宋体"/>
          <w:color w:val="auto"/>
          <w:sz w:val="24"/>
          <w:highlight w:val="none"/>
        </w:rPr>
        <w:t>2.</w:t>
      </w:r>
    </w:p>
    <w:p>
      <w:pPr>
        <w:spacing w:line="360" w:lineRule="auto"/>
        <w:ind w:left="78" w:leftChars="37" w:firstLine="480" w:firstLineChars="200"/>
        <w:rPr>
          <w:rFonts w:ascii="宋体" w:hAnsi="宋体" w:cs="宋体"/>
          <w:color w:val="auto"/>
          <w:sz w:val="24"/>
          <w:highlight w:val="none"/>
        </w:rPr>
      </w:pPr>
      <w:r>
        <w:rPr>
          <w:rFonts w:hint="eastAsia" w:ascii="宋体" w:hAnsi="宋体" w:cs="宋体"/>
          <w:color w:val="auto"/>
          <w:sz w:val="24"/>
          <w:highlight w:val="none"/>
        </w:rPr>
        <w:t>3.</w:t>
      </w:r>
    </w:p>
    <w:p>
      <w:pPr>
        <w:spacing w:line="360" w:lineRule="auto"/>
        <w:ind w:left="78" w:leftChars="37" w:firstLine="480" w:firstLineChars="200"/>
        <w:rPr>
          <w:rFonts w:ascii="宋体" w:hAnsi="宋体" w:cs="宋体"/>
          <w:color w:val="auto"/>
          <w:sz w:val="24"/>
          <w:highlight w:val="none"/>
        </w:rPr>
      </w:pPr>
      <w:r>
        <w:rPr>
          <w:rFonts w:hint="eastAsia" w:ascii="宋体" w:hAnsi="宋体" w:cs="宋体"/>
          <w:color w:val="auto"/>
          <w:sz w:val="24"/>
          <w:highlight w:val="none"/>
        </w:rPr>
        <w:t>4.</w:t>
      </w:r>
    </w:p>
    <w:p>
      <w:pPr>
        <w:spacing w:line="360" w:lineRule="auto"/>
        <w:ind w:left="78" w:leftChars="37" w:firstLine="480" w:firstLineChars="200"/>
        <w:rPr>
          <w:rFonts w:ascii="宋体" w:hAnsi="宋体" w:cs="宋体"/>
          <w:color w:val="auto"/>
          <w:sz w:val="24"/>
          <w:highlight w:val="none"/>
        </w:rPr>
      </w:pPr>
      <w:r>
        <w:rPr>
          <w:rFonts w:hint="eastAsia" w:ascii="宋体" w:hAnsi="宋体" w:cs="宋体"/>
          <w:color w:val="auto"/>
          <w:sz w:val="24"/>
          <w:highlight w:val="none"/>
        </w:rPr>
        <w:t>5.</w:t>
      </w:r>
    </w:p>
    <w:p>
      <w:pPr>
        <w:spacing w:line="360" w:lineRule="auto"/>
        <w:ind w:left="78" w:leftChars="37" w:firstLine="480" w:firstLineChars="200"/>
        <w:rPr>
          <w:rFonts w:ascii="宋体" w:hAnsi="宋体" w:cs="宋体"/>
          <w:color w:val="auto"/>
          <w:sz w:val="24"/>
          <w:highlight w:val="none"/>
        </w:rPr>
      </w:pPr>
      <w:r>
        <w:rPr>
          <w:rFonts w:hint="eastAsia" w:ascii="宋体" w:hAnsi="宋体" w:cs="宋体"/>
          <w:color w:val="auto"/>
          <w:sz w:val="24"/>
          <w:highlight w:val="none"/>
        </w:rPr>
        <w:t>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乙方为甲方提供服务具体要求：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二、合同履行期限</w:t>
      </w:r>
    </w:p>
    <w:p>
      <w:pPr>
        <w:spacing w:line="360" w:lineRule="auto"/>
        <w:ind w:left="78" w:leftChars="37" w:firstLine="425"/>
        <w:rPr>
          <w:rFonts w:ascii="宋体" w:hAnsi="宋体" w:cs="宋体"/>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服务期自合同签订之日起，至浙江省减污降碳协同增效管理系统建设项目终审验收</w:t>
      </w:r>
      <w:r>
        <w:rPr>
          <w:rFonts w:hint="eastAsia" w:ascii="宋体" w:hAnsi="宋体" w:cs="宋体"/>
          <w:bCs/>
          <w:color w:val="auto"/>
          <w:sz w:val="24"/>
          <w:highlight w:val="none"/>
          <w:lang w:val="en-US" w:eastAsia="zh-CN"/>
        </w:rPr>
        <w:t>完成</w:t>
      </w:r>
      <w:r>
        <w:rPr>
          <w:rFonts w:hint="eastAsia" w:ascii="宋体" w:hAnsi="宋体" w:cs="宋体"/>
          <w:bCs/>
          <w:color w:val="auto"/>
          <w:sz w:val="24"/>
          <w:highlight w:val="none"/>
        </w:rPr>
        <w:t>。</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三、甲方权利义务</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 甲方应当主要负责项目建设的外部关系的联系与协调，为监理工作提供良好的外部条件。</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 xml:space="preserve"> 甲方应当按合同条款双方约定的内容和时间，向项目乙方提供与项目建设有关的项目等资料。</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 xml:space="preserve"> 甲方应当按合同条款约定的时间就乙方书面提交并要求做出决定的一切事宜做出书面决定。</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 xml:space="preserve"> 甲方应授权一名熟悉本项目情况、能迅速做出决定的项目代表，负责与乙方联系。更换代表，要提前通知乙方。</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 xml:space="preserve"> 甲方应当按国家、本省、本市有关监理管理规范，授予乙方的应有的监理权利。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 xml:space="preserve"> 甲方按合同条款约定的内容，免费向乙方提供在甲方项目现场的监理办公场所、设备和用具，供乙方在开展监理业务期间使用。 </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四、乙方权利义务</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1.甲方在委托的项目范围内，授予乙方以下监理权利：</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（一）项目建设有关事项包括：项目规模、设计标准、规范和使用功能要求，向甲方的建议权；</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（二）项目设计中的技术问题，按照安全和优化的原则，提出建议，并向甲方提出书面报告。如果由于拟提出的建议会提高项目造价，或延长工期，应当事先取得甲方的同意；</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三）项目实施组织设计和技术方案，按照保质量、保工期和降低成本的原则，提出审查意见并及时通知承建单位，并向甲方提出书面报告。如果由于拟提出的建议会提高项目造价，或延长工期，应当事先取得甲方的同意；</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（四）项目建设有关的对协作单位的组织协调的主持权，重要协调事项应当事先向甲方报告；</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（五）在事先向甲方报告征得同意后，乙方可以发布停工令和复工令；</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六）项目上使用的设备、材料与软件和施工质量的检验权和确认权。对于不符合设计要求及国家质量标准的设备材料与软件，有权通知承建单位停止使用或停工整改、返工。承建单位取得乙方复工令后才能复工；</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（七）项目施工进度的检查、监督权，以及项目实际竣工日期提前或超过项目建设合同规定的竣工期限的签认权；</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（八）在项目建设合同约定的项目价格范围内，项目款支付的审核和签认权，以及结算项目款的复核确认权与否决权。未经乙方签字确认，甲方不支付项目款；</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（九）在监理过程中如发现承建单位工作不力，乙方有权提出调换有关人员建议。</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十）在委托的项目范围内，甲方对对方的任何意见和要求（包括索赔要求），均必须首先向乙方提出，由乙方研究处理意见，再向双方协商确定。当甲方和承建单位发生争议时，乙方应根据自己的职能，以独立的身份判断，公正地进行调解。当其双方的争议由市政府信息办或仲裁机关进行调解和仲裁时，应当提出作证的事实材料。  </w:t>
      </w:r>
    </w:p>
    <w:p>
      <w:pPr>
        <w:spacing w:line="360" w:lineRule="auto"/>
        <w:ind w:firstLine="482" w:firstLineChars="200"/>
        <w:outlineLvl w:val="0"/>
        <w:rPr>
          <w:rFonts w:ascii="宋体" w:hAnsi="宋体" w:cs="宋体"/>
          <w:b/>
          <w:bCs/>
          <w:color w:val="auto"/>
          <w:sz w:val="24"/>
          <w:highlight w:val="none"/>
        </w:rPr>
      </w:pPr>
      <w:r>
        <w:rPr>
          <w:rFonts w:hint="eastAsia" w:ascii="宋体" w:hAnsi="宋体" w:cs="宋体"/>
          <w:b/>
          <w:bCs/>
          <w:color w:val="auto"/>
          <w:sz w:val="24"/>
          <w:highlight w:val="none"/>
        </w:rPr>
        <w:t>五、合同价款及支付</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本项目合同总价为人民币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元整（</w:t>
      </w:r>
      <w:r>
        <w:rPr>
          <w:rFonts w:hint="eastAsia" w:ascii="宋体" w:hAnsi="宋体" w:cs="宋体"/>
          <w:color w:val="auto"/>
          <w:kern w:val="0"/>
          <w:sz w:val="24"/>
          <w:highlight w:val="none"/>
          <w:lang w:val="zh-CN"/>
        </w:rPr>
        <w:t>¥__</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_元），采取以下第</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种方式：</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1. 采用分期付款方式</w:t>
      </w:r>
      <w:r>
        <w:rPr>
          <w:rFonts w:hint="eastAsia" w:ascii="宋体" w:hAnsi="宋体" w:cs="宋体"/>
          <w:color w:val="auto"/>
          <w:kern w:val="0"/>
          <w:sz w:val="24"/>
          <w:highlight w:val="none"/>
        </w:rPr>
        <w:t>，第一期付款：合同签订后___日内，乙方凭发票向甲方提请支付合同总价的__%，计人民币____元整（</w:t>
      </w:r>
      <w:r>
        <w:rPr>
          <w:rFonts w:hint="eastAsia" w:ascii="宋体" w:hAnsi="宋体" w:cs="宋体"/>
          <w:color w:val="auto"/>
          <w:kern w:val="0"/>
          <w:sz w:val="24"/>
          <w:highlight w:val="none"/>
          <w:lang w:val="zh-CN"/>
        </w:rPr>
        <w:t>¥____元）</w:t>
      </w:r>
      <w:r>
        <w:rPr>
          <w:rFonts w:hint="eastAsia" w:ascii="宋体" w:hAnsi="宋体" w:cs="宋体"/>
          <w:color w:val="auto"/>
          <w:kern w:val="0"/>
          <w:sz w:val="24"/>
          <w:highlight w:val="none"/>
        </w:rPr>
        <w:t>；第二期付款，____，乙方凭</w:t>
      </w:r>
      <w:r>
        <w:rPr>
          <w:rFonts w:hint="eastAsia" w:ascii="宋体" w:hAnsi="宋体" w:cs="宋体"/>
          <w:color w:val="auto"/>
          <w:sz w:val="24"/>
          <w:highlight w:val="none"/>
        </w:rPr>
        <w:t>__服务报告</w:t>
      </w:r>
      <w:r>
        <w:rPr>
          <w:rFonts w:hint="eastAsia" w:ascii="宋体" w:hAnsi="宋体" w:cs="宋体"/>
          <w:color w:val="auto"/>
          <w:kern w:val="0"/>
          <w:sz w:val="24"/>
          <w:highlight w:val="none"/>
        </w:rPr>
        <w:t>、发票向甲方提请支付合同总价的__%，计人民币____元整（</w:t>
      </w:r>
      <w:r>
        <w:rPr>
          <w:rFonts w:hint="eastAsia" w:ascii="宋体" w:hAnsi="宋体" w:cs="宋体"/>
          <w:color w:val="auto"/>
          <w:kern w:val="0"/>
          <w:sz w:val="24"/>
          <w:highlight w:val="none"/>
          <w:lang w:val="zh-CN"/>
        </w:rPr>
        <w:t>¥____元）</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 一次性付款</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内，在乙方提供相应金额、要素齐全的合法发票后全额支付。</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 其他付款方式</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付款条件成就后，甲方将相应款项付至乙方下列指定账户，视为完成付款义务。</w:t>
      </w:r>
    </w:p>
    <w:p>
      <w:pPr>
        <w:snapToGrid w:val="0"/>
        <w:spacing w:line="360" w:lineRule="auto"/>
        <w:ind w:firstLine="429" w:firstLineChars="179"/>
        <w:rPr>
          <w:rFonts w:ascii="宋体" w:hAnsi="宋体" w:cs="宋体"/>
          <w:color w:val="auto"/>
          <w:sz w:val="24"/>
          <w:szCs w:val="22"/>
          <w:highlight w:val="none"/>
          <w:u w:val="single"/>
        </w:rPr>
      </w:pPr>
      <w:r>
        <w:rPr>
          <w:rFonts w:hint="eastAsia" w:ascii="宋体" w:hAnsi="宋体" w:cs="宋体"/>
          <w:color w:val="auto"/>
          <w:sz w:val="24"/>
          <w:szCs w:val="22"/>
          <w:highlight w:val="none"/>
        </w:rPr>
        <w:t>户名：</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 xml:space="preserve"> 开户行:</w:t>
      </w:r>
      <w:r>
        <w:rPr>
          <w:rFonts w:hint="eastAsia" w:ascii="宋体" w:hAnsi="宋体" w:cs="宋体"/>
          <w:color w:val="auto"/>
          <w:sz w:val="24"/>
          <w:szCs w:val="22"/>
          <w:highlight w:val="none"/>
          <w:u w:val="single"/>
        </w:rPr>
        <w:t xml:space="preserve">   </w:t>
      </w:r>
    </w:p>
    <w:p>
      <w:pPr>
        <w:snapToGrid w:val="0"/>
        <w:spacing w:line="360" w:lineRule="auto"/>
        <w:ind w:firstLine="429" w:firstLineChars="179"/>
        <w:rPr>
          <w:rFonts w:ascii="宋体" w:hAnsi="宋体" w:cs="宋体"/>
          <w:color w:val="auto"/>
          <w:sz w:val="24"/>
          <w:szCs w:val="22"/>
          <w:highlight w:val="none"/>
          <w:u w:val="single"/>
        </w:rPr>
      </w:pPr>
      <w:r>
        <w:rPr>
          <w:rFonts w:hint="eastAsia" w:ascii="宋体" w:hAnsi="宋体" w:cs="宋体"/>
          <w:color w:val="auto"/>
          <w:sz w:val="24"/>
          <w:szCs w:val="22"/>
          <w:highlight w:val="none"/>
        </w:rPr>
        <w:t>账号：</w:t>
      </w:r>
      <w:r>
        <w:rPr>
          <w:rFonts w:hint="eastAsia" w:ascii="宋体" w:hAnsi="宋体" w:cs="宋体"/>
          <w:color w:val="auto"/>
          <w:sz w:val="24"/>
          <w:szCs w:val="22"/>
          <w:highlight w:val="none"/>
          <w:u w:val="single"/>
        </w:rPr>
        <w:t xml:space="preserve">         </w:t>
      </w:r>
    </w:p>
    <w:p>
      <w:pPr>
        <w:spacing w:line="360" w:lineRule="auto"/>
        <w:ind w:firstLine="482" w:firstLineChars="200"/>
        <w:outlineLvl w:val="0"/>
        <w:rPr>
          <w:rFonts w:ascii="宋体" w:hAnsi="宋体" w:cs="宋体"/>
          <w:b/>
          <w:bCs/>
          <w:color w:val="auto"/>
          <w:sz w:val="24"/>
          <w:highlight w:val="none"/>
        </w:rPr>
      </w:pPr>
      <w:r>
        <w:rPr>
          <w:rFonts w:hint="eastAsia" w:ascii="宋体" w:hAnsi="宋体" w:cs="宋体"/>
          <w:b/>
          <w:bCs/>
          <w:color w:val="auto"/>
          <w:sz w:val="24"/>
          <w:highlight w:val="none"/>
        </w:rPr>
        <w:t xml:space="preserve">六、违约责任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 如出现因乙方原因导致不能按时完成任务的情况，乙方应及时以书面的形式将不能按时完成任务的理由、延误时间通知甲方，并获得甲方同意。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 因甲方原因导致乙方任务变更或延误完成，乙方不承担任何相关责任。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乙方未能按本合同约定要求提供周到、及时服务，应向甲方承担违约责任，应向甲方支付违约金，即合同总额_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乙方在服务过程中由于乙方原因出现重大安全责任事故的，乙方应向甲方支付合同总额_</w:t>
      </w:r>
      <w:r>
        <w:rPr>
          <w:rFonts w:hint="eastAsia" w:ascii="宋体" w:hAnsi="宋体" w:cs="宋体"/>
          <w:color w:val="auto"/>
          <w:sz w:val="24"/>
          <w:highlight w:val="none"/>
          <w:u w:val="single"/>
        </w:rPr>
        <w:t>10</w:t>
      </w:r>
      <w:r>
        <w:rPr>
          <w:rFonts w:hint="eastAsia" w:ascii="宋体" w:hAnsi="宋体" w:cs="宋体"/>
          <w:color w:val="auto"/>
          <w:sz w:val="24"/>
          <w:highlight w:val="none"/>
        </w:rPr>
        <w:t>_％的违约金；给甲方造成重大损失的，乙方还应赔偿甲方因此遭受的实际损失，同时甲方有权解除本合同。</w:t>
      </w:r>
    </w:p>
    <w:p>
      <w:pPr>
        <w:spacing w:line="360" w:lineRule="auto"/>
        <w:ind w:firstLine="482" w:firstLineChars="200"/>
        <w:outlineLvl w:val="0"/>
        <w:rPr>
          <w:rFonts w:ascii="宋体" w:hAnsi="宋体" w:cs="宋体"/>
          <w:b/>
          <w:bCs/>
          <w:color w:val="auto"/>
          <w:sz w:val="24"/>
          <w:highlight w:val="none"/>
        </w:rPr>
      </w:pPr>
      <w:r>
        <w:rPr>
          <w:rFonts w:hint="eastAsia" w:ascii="宋体" w:hAnsi="宋体" w:cs="宋体"/>
          <w:b/>
          <w:bCs/>
          <w:color w:val="auto"/>
          <w:sz w:val="24"/>
          <w:highlight w:val="none"/>
        </w:rPr>
        <w:t xml:space="preserve">七、知识产权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由乙方组织实施的本项目中的所有文件、资料、数据信息等，其所有权均属甲方所有。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未经甲方书面授权，乙方不得将上述文件、资料、数据信息等应用到项目以外的用途。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 由于乙方原因造成甲方知识产权被侵害，由乙方负责赔偿与之相关的一切损失。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当合同期满或合同终止时，乙方应负责按照甲方的要求对资料、数据信息进行移交。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 对乙方在履行本合同过程中所涉及的因乙方原因引起的对任何版权和其他知识产权的侵犯，应由乙方自行承担可能发生的一切法律责任费用，甲方不承担任何相关责任和费用。 </w:t>
      </w:r>
    </w:p>
    <w:p>
      <w:pPr>
        <w:spacing w:line="360" w:lineRule="auto"/>
        <w:ind w:firstLine="482" w:firstLineChars="200"/>
        <w:outlineLvl w:val="0"/>
        <w:rPr>
          <w:rFonts w:ascii="宋体" w:hAnsi="宋体" w:cs="宋体"/>
          <w:b/>
          <w:bCs/>
          <w:color w:val="auto"/>
          <w:sz w:val="24"/>
          <w:highlight w:val="none"/>
        </w:rPr>
      </w:pPr>
      <w:r>
        <w:rPr>
          <w:rFonts w:hint="eastAsia" w:ascii="宋体" w:hAnsi="宋体" w:cs="宋体"/>
          <w:b/>
          <w:bCs/>
          <w:color w:val="auto"/>
          <w:sz w:val="24"/>
          <w:highlight w:val="none"/>
        </w:rPr>
        <w:t>八、不可抗力</w:t>
      </w:r>
    </w:p>
    <w:p>
      <w:pPr>
        <w:autoSpaceDE w:val="0"/>
        <w:autoSpaceDN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双方任一方由于不可抗力的影响而不能执行合同时，履行合同的期限应予延长。延长的期限应相当于事故所影响的时间。如果不可抗力影响时间延续_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__天以上的，双方可通过友好协商达成在合理的时间内继续履行本合同或解除本合同的协议。不可抗力系指甲乙双方在缔结合同时所不能预见的，并且它的发生及其后果无法避免和无法克服的事故。</w:t>
      </w:r>
    </w:p>
    <w:p>
      <w:pPr>
        <w:autoSpaceDE w:val="0"/>
        <w:autoSpaceDN w:val="0"/>
        <w:spacing w:line="360" w:lineRule="auto"/>
        <w:ind w:firstLine="480"/>
        <w:outlineLvl w:val="0"/>
        <w:rPr>
          <w:rFonts w:ascii="宋体" w:hAnsi="宋体" w:cs="宋体"/>
          <w:b/>
          <w:bCs/>
          <w:color w:val="auto"/>
          <w:sz w:val="24"/>
          <w:highlight w:val="none"/>
        </w:rPr>
      </w:pPr>
      <w:r>
        <w:rPr>
          <w:rFonts w:hint="eastAsia" w:ascii="宋体" w:hAnsi="宋体" w:cs="宋体"/>
          <w:b/>
          <w:bCs/>
          <w:color w:val="auto"/>
          <w:sz w:val="24"/>
          <w:highlight w:val="none"/>
        </w:rPr>
        <w:t>九、保密条款</w:t>
      </w:r>
    </w:p>
    <w:p>
      <w:pPr>
        <w:autoSpaceDE w:val="0"/>
        <w:autoSpaceDN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 对甲方在履行本合同过程中向乙方提供的业务资料、技术资料等，以及乙方在履行本合同过程中知悉的甲方的所有秘密信息，乙方均应严格保密，未经甲方同意不得自行使用或披露给任何第三方。</w:t>
      </w:r>
    </w:p>
    <w:p>
      <w:pPr>
        <w:autoSpaceDE w:val="0"/>
        <w:autoSpaceDN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 乙方如违反上述保密义务，应向甲方支付违约金（合同价款的_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_%）。如给甲方造成的损失超过违约金额，乙方应赔偿甲方实际损失。</w:t>
      </w:r>
    </w:p>
    <w:p>
      <w:pPr>
        <w:autoSpaceDE w:val="0"/>
        <w:autoSpaceDN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3. 乙方违反保密法及相关法律，应承担相应法律责任。</w:t>
      </w:r>
    </w:p>
    <w:p>
      <w:pPr>
        <w:autoSpaceDE w:val="0"/>
        <w:autoSpaceDN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4. 本条规定的效力不受本合同效力的影响。 </w:t>
      </w:r>
    </w:p>
    <w:p>
      <w:pPr>
        <w:spacing w:line="360" w:lineRule="auto"/>
        <w:ind w:firstLine="482" w:firstLineChars="200"/>
        <w:outlineLvl w:val="0"/>
        <w:rPr>
          <w:rFonts w:ascii="宋体" w:hAnsi="宋体" w:cs="宋体"/>
          <w:b/>
          <w:bCs/>
          <w:color w:val="auto"/>
          <w:sz w:val="24"/>
          <w:highlight w:val="none"/>
        </w:rPr>
      </w:pPr>
      <w:r>
        <w:rPr>
          <w:rFonts w:hint="eastAsia" w:ascii="宋体" w:hAnsi="宋体" w:cs="宋体"/>
          <w:b/>
          <w:bCs/>
          <w:color w:val="auto"/>
          <w:sz w:val="24"/>
          <w:highlight w:val="none"/>
        </w:rPr>
        <w:t>十、争端的解决方法</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双方在履行合同时如有争议，都应尽最大的努力友好协商解决，如友好协商不能解决时，</w:t>
      </w:r>
      <w:r>
        <w:rPr>
          <w:rFonts w:hint="eastAsia" w:ascii="宋体" w:hAnsi="宋体" w:cs="宋体"/>
          <w:color w:val="auto"/>
          <w:sz w:val="24"/>
          <w:highlight w:val="none"/>
          <w:lang w:val="zh-CN"/>
        </w:rPr>
        <w:t>应按照以下第</w:t>
      </w:r>
      <w:r>
        <w:rPr>
          <w:rFonts w:hint="eastAsia" w:ascii="宋体" w:hAnsi="宋体" w:cs="宋体"/>
          <w:color w:val="auto"/>
          <w:sz w:val="24"/>
          <w:highlight w:val="none"/>
          <w:u w:val="single"/>
          <w:lang w:val="zh-CN"/>
        </w:rPr>
        <w:t>_</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_种方式处理：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 依法向甲方所在地人民法院起诉；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提交杭州仲裁委员会申请仲裁。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在争议解决的过程中，除受争端影响的部分外，本合同其他部分应继续执行。 </w:t>
      </w:r>
    </w:p>
    <w:p>
      <w:pPr>
        <w:spacing w:line="360" w:lineRule="auto"/>
        <w:ind w:firstLine="482" w:firstLineChars="200"/>
        <w:outlineLvl w:val="0"/>
        <w:rPr>
          <w:rFonts w:ascii="宋体" w:hAnsi="宋体" w:cs="宋体"/>
          <w:color w:val="auto"/>
          <w:sz w:val="24"/>
          <w:highlight w:val="none"/>
        </w:rPr>
      </w:pPr>
      <w:r>
        <w:rPr>
          <w:rFonts w:hint="eastAsia" w:ascii="宋体" w:hAnsi="宋体" w:cs="宋体"/>
          <w:b/>
          <w:bCs/>
          <w:color w:val="auto"/>
          <w:sz w:val="24"/>
          <w:highlight w:val="none"/>
        </w:rPr>
        <w:t xml:space="preserve">十一、合同生效及其他 </w:t>
      </w:r>
    </w:p>
    <w:p>
      <w:pPr>
        <w:spacing w:line="360" w:lineRule="auto"/>
        <w:ind w:left="78" w:leftChars="37" w:firstLine="425"/>
        <w:rPr>
          <w:rFonts w:ascii="宋体" w:hAnsi="宋体" w:cs="宋体"/>
          <w:color w:val="auto"/>
          <w:sz w:val="24"/>
          <w:highlight w:val="none"/>
        </w:rPr>
      </w:pPr>
      <w:r>
        <w:rPr>
          <w:rFonts w:hint="eastAsia" w:ascii="宋体" w:hAnsi="宋体" w:cs="宋体"/>
          <w:color w:val="auto"/>
          <w:sz w:val="24"/>
          <w:highlight w:val="none"/>
        </w:rPr>
        <w:t>1. 本合同未经双方另行书面同意，不得修改。未尽事宜，双方另行签订补充协议。</w:t>
      </w:r>
    </w:p>
    <w:p>
      <w:pPr>
        <w:spacing w:line="360" w:lineRule="auto"/>
        <w:ind w:left="78" w:leftChars="37" w:firstLine="425"/>
        <w:rPr>
          <w:rFonts w:ascii="宋体" w:hAnsi="宋体" w:cs="宋体"/>
          <w:color w:val="auto"/>
          <w:sz w:val="24"/>
          <w:highlight w:val="none"/>
        </w:rPr>
      </w:pPr>
      <w:r>
        <w:rPr>
          <w:rFonts w:hint="eastAsia" w:ascii="宋体" w:hAnsi="宋体" w:cs="宋体"/>
          <w:color w:val="auto"/>
          <w:sz w:val="24"/>
          <w:highlight w:val="none"/>
        </w:rPr>
        <w:t>2. 本合同之附件均为合同有效组成部分。本合同及其附件内，空格部分填写的文字与打印文字具有同等效力。</w:t>
      </w:r>
    </w:p>
    <w:p>
      <w:pPr>
        <w:spacing w:line="360" w:lineRule="auto"/>
        <w:ind w:left="78" w:leftChars="37" w:firstLine="425"/>
        <w:rPr>
          <w:rFonts w:ascii="宋体" w:hAnsi="宋体" w:cs="宋体"/>
          <w:color w:val="auto"/>
          <w:sz w:val="24"/>
          <w:highlight w:val="none"/>
        </w:rPr>
      </w:pPr>
      <w:r>
        <w:rPr>
          <w:rFonts w:hint="eastAsia" w:ascii="宋体" w:hAnsi="宋体" w:cs="宋体"/>
          <w:color w:val="auto"/>
          <w:sz w:val="24"/>
          <w:highlight w:val="none"/>
        </w:rPr>
        <w:t>3. 未经甲方事先书面许可，乙方不得擅自转让本合同项下的全部或部分权利义务。</w:t>
      </w:r>
    </w:p>
    <w:p>
      <w:pPr>
        <w:spacing w:line="360" w:lineRule="auto"/>
        <w:ind w:left="78" w:leftChars="37" w:firstLine="425"/>
        <w:rPr>
          <w:rFonts w:ascii="宋体" w:hAnsi="宋体" w:cs="宋体"/>
          <w:color w:val="auto"/>
          <w:sz w:val="24"/>
          <w:highlight w:val="none"/>
        </w:rPr>
      </w:pPr>
      <w:r>
        <w:rPr>
          <w:rFonts w:hint="eastAsia" w:ascii="宋体" w:hAnsi="宋体" w:cs="宋体"/>
          <w:color w:val="auto"/>
          <w:sz w:val="24"/>
          <w:highlight w:val="none"/>
        </w:rPr>
        <w:t>4. 本合同中所约定的损失包括但不限于诉讼费/仲裁费、律师费、调查费、差旅费等维权成本和费用。</w:t>
      </w:r>
    </w:p>
    <w:p>
      <w:pPr>
        <w:spacing w:line="360" w:lineRule="auto"/>
        <w:ind w:left="78" w:leftChars="37" w:firstLine="425"/>
        <w:rPr>
          <w:rFonts w:ascii="宋体" w:hAnsi="宋体" w:cs="宋体"/>
          <w:color w:val="auto"/>
          <w:sz w:val="24"/>
          <w:highlight w:val="none"/>
          <w:u w:val="single"/>
        </w:rPr>
      </w:pPr>
      <w:r>
        <w:rPr>
          <w:rFonts w:hint="eastAsia" w:ascii="宋体" w:hAnsi="宋体" w:cs="宋体"/>
          <w:color w:val="auto"/>
          <w:sz w:val="24"/>
          <w:highlight w:val="none"/>
        </w:rPr>
        <w:t>5. 本合同履行重要事项的通知，双方同意采用书面形式，按照本合同首部双方预留联系方式发出。通过传真、电子邮件等即时方式发出的，自通知发出之日起视为送达；通过邮政特快专递、挂号信等可跟踪查询邮寄情况的方式发出的，自交寄之日起</w:t>
      </w:r>
    </w:p>
    <w:p>
      <w:pPr>
        <w:spacing w:line="360" w:lineRule="auto"/>
        <w:ind w:left="78" w:leftChars="37"/>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天视为送达。任何一方变更联系方式的，应提前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天书面通知对方，否则对方按本合同约定地址发出通知视为有效送达。</w:t>
      </w:r>
    </w:p>
    <w:p>
      <w:pPr>
        <w:spacing w:line="360" w:lineRule="auto"/>
        <w:ind w:left="78" w:leftChars="37" w:firstLine="425"/>
        <w:rPr>
          <w:rFonts w:ascii="宋体" w:hAnsi="宋体" w:cs="宋体"/>
          <w:color w:val="auto"/>
          <w:sz w:val="24"/>
          <w:highlight w:val="none"/>
        </w:rPr>
      </w:pPr>
      <w:r>
        <w:rPr>
          <w:rFonts w:hint="eastAsia" w:ascii="宋体" w:hAnsi="宋体" w:cs="宋体"/>
          <w:color w:val="auto"/>
          <w:sz w:val="24"/>
          <w:highlight w:val="none"/>
        </w:rPr>
        <w:t>6. 在合同履行过程中，实际情况发生根本性变化，直接导致乙方不能全部或部分执行项目时，乙方应当立即通知甲方。双方应在甲方收到通知后_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日内进行协商，协商不成的，甲方有权解除本合同并要求乙方退还全部已付款项。</w:t>
      </w:r>
    </w:p>
    <w:p>
      <w:pPr>
        <w:spacing w:line="360" w:lineRule="auto"/>
        <w:ind w:left="78" w:leftChars="37" w:firstLine="425"/>
        <w:rPr>
          <w:rFonts w:ascii="宋体" w:hAnsi="宋体" w:cs="宋体"/>
          <w:color w:val="auto"/>
          <w:sz w:val="24"/>
          <w:highlight w:val="none"/>
        </w:rPr>
      </w:pPr>
      <w:r>
        <w:rPr>
          <w:rFonts w:hint="eastAsia" w:ascii="宋体" w:hAnsi="宋体" w:cs="宋体"/>
          <w:color w:val="auto"/>
          <w:sz w:val="24"/>
          <w:highlight w:val="none"/>
        </w:rPr>
        <w:t>除本合同另有约定外，当事人一方要求变更或解除合同时，应当提前_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  天前通知对方，因变更或解除合同使一方遭受损失的，除依法可以免除责任的外，应由责任方负责赔偿。变更或解除合同的通知或协议应当采取书面形式，协议未达成之前，原合同仍然有效。</w:t>
      </w:r>
    </w:p>
    <w:p>
      <w:pPr>
        <w:spacing w:line="360" w:lineRule="auto"/>
        <w:ind w:left="78" w:leftChars="37" w:firstLine="425"/>
        <w:rPr>
          <w:rFonts w:ascii="宋体" w:hAnsi="宋体" w:cs="宋体"/>
          <w:color w:val="auto"/>
          <w:sz w:val="24"/>
          <w:highlight w:val="none"/>
        </w:rPr>
      </w:pPr>
      <w:r>
        <w:rPr>
          <w:rFonts w:hint="eastAsia" w:ascii="宋体" w:hAnsi="宋体" w:cs="宋体"/>
          <w:color w:val="auto"/>
          <w:sz w:val="24"/>
          <w:highlight w:val="none"/>
        </w:rPr>
        <w:t>本合同终止后，除另行签订书面协议，双方应在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天内完成本项目的交接工作，期满未完成交接的，责任方应按照本合同总价每日万分之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的标准支付对方赔偿金。</w:t>
      </w:r>
    </w:p>
    <w:p>
      <w:pPr>
        <w:spacing w:line="360" w:lineRule="auto"/>
        <w:ind w:left="78" w:leftChars="37" w:firstLine="425"/>
        <w:rPr>
          <w:rFonts w:ascii="宋体" w:hAnsi="宋体" w:cs="宋体"/>
          <w:color w:val="auto"/>
          <w:sz w:val="24"/>
          <w:highlight w:val="none"/>
        </w:rPr>
      </w:pPr>
      <w:r>
        <w:rPr>
          <w:rFonts w:hint="eastAsia" w:ascii="宋体" w:hAnsi="宋体" w:cs="宋体"/>
          <w:color w:val="auto"/>
          <w:sz w:val="24"/>
          <w:highlight w:val="none"/>
        </w:rPr>
        <w:t>7.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份，具有同等法律效力，自合同双方盖章后生效。</w:t>
      </w:r>
    </w:p>
    <w:p>
      <w:pPr>
        <w:spacing w:line="360" w:lineRule="auto"/>
        <w:ind w:left="78" w:leftChars="37" w:firstLine="425"/>
        <w:rPr>
          <w:rFonts w:ascii="宋体" w:hAnsi="宋体" w:cs="宋体"/>
          <w:color w:val="auto"/>
          <w:sz w:val="24"/>
          <w:highlight w:val="none"/>
        </w:rPr>
      </w:pPr>
    </w:p>
    <w:p>
      <w:pPr>
        <w:widowControl/>
        <w:spacing w:line="360" w:lineRule="auto"/>
        <w:ind w:firstLine="480" w:firstLineChars="20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（以下无正文）</w:t>
      </w:r>
    </w:p>
    <w:p>
      <w:pPr>
        <w:widowControl/>
        <w:spacing w:line="360" w:lineRule="auto"/>
        <w:ind w:firstLine="360" w:firstLineChars="15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甲方（盖章）：                       乙方（盖章）：</w:t>
      </w:r>
    </w:p>
    <w:p>
      <w:pPr>
        <w:widowControl/>
        <w:spacing w:line="360" w:lineRule="auto"/>
        <w:ind w:firstLine="360" w:firstLineChars="150"/>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授权代表：                           授权代表：</w:t>
      </w: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360" w:lineRule="auto"/>
        <w:ind w:left="-420" w:leftChars="-200" w:right="-420" w:rightChars="-200"/>
        <w:rPr>
          <w:rFonts w:ascii="宋体" w:hAnsi="宋体" w:cs="宋体"/>
          <w:color w:val="auto"/>
          <w:sz w:val="24"/>
          <w:highlight w:val="none"/>
        </w:rPr>
      </w:pPr>
    </w:p>
    <w:p>
      <w:pPr>
        <w:pStyle w:val="62"/>
        <w:rPr>
          <w:color w:val="auto"/>
          <w:highlight w:val="none"/>
          <w:lang w:val="en-US"/>
        </w:rPr>
      </w:pPr>
    </w:p>
    <w:p>
      <w:pPr>
        <w:pStyle w:val="62"/>
        <w:rPr>
          <w:color w:val="auto"/>
          <w:highlight w:val="none"/>
          <w:lang w:val="en-US"/>
        </w:rPr>
      </w:pPr>
    </w:p>
    <w:p>
      <w:pPr>
        <w:pStyle w:val="62"/>
        <w:rPr>
          <w:color w:val="auto"/>
          <w:highlight w:val="none"/>
          <w:lang w:val="en-US"/>
        </w:rPr>
      </w:pPr>
    </w:p>
    <w:p>
      <w:pPr>
        <w:pStyle w:val="62"/>
        <w:rPr>
          <w:color w:val="auto"/>
          <w:highlight w:val="none"/>
          <w:lang w:val="en-US"/>
        </w:rPr>
      </w:pPr>
    </w:p>
    <w:p>
      <w:pPr>
        <w:pStyle w:val="62"/>
        <w:rPr>
          <w:color w:val="auto"/>
          <w:highlight w:val="none"/>
          <w:lang w:val="en-US"/>
        </w:rPr>
      </w:pPr>
    </w:p>
    <w:p>
      <w:pPr>
        <w:pStyle w:val="62"/>
        <w:rPr>
          <w:color w:val="auto"/>
          <w:highlight w:val="none"/>
          <w:lang w:val="en-US"/>
        </w:rPr>
      </w:pPr>
    </w:p>
    <w:p>
      <w:pPr>
        <w:pStyle w:val="62"/>
        <w:rPr>
          <w:color w:val="auto"/>
          <w:highlight w:val="none"/>
          <w:lang w:val="en-US"/>
        </w:rPr>
      </w:pPr>
    </w:p>
    <w:p>
      <w:pPr>
        <w:pStyle w:val="62"/>
        <w:rPr>
          <w:color w:val="auto"/>
          <w:highlight w:val="none"/>
          <w:lang w:val="en-US"/>
        </w:rPr>
      </w:pPr>
    </w:p>
    <w:p>
      <w:pPr>
        <w:rPr>
          <w:rFonts w:ascii="宋体" w:hAnsi="宋体" w:cs="宋体"/>
          <w:b/>
          <w:color w:val="auto"/>
          <w:sz w:val="36"/>
          <w:szCs w:val="20"/>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3"/>
      <w:bookmarkEnd w:id="42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（3）本项目的特定资格要求………………………………………………（页码）</w:t>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浙江省生态环境科学设计研究院、华诚工程咨询集团有限公司：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浙江省减污降碳协同增效管理系统监理服务</w:t>
      </w:r>
      <w:r>
        <w:rPr>
          <w:rFonts w:hint="eastAsia" w:ascii="宋体" w:hAnsi="宋体" w:cs="宋体"/>
          <w:color w:val="auto"/>
          <w:sz w:val="24"/>
          <w:highlight w:val="none"/>
        </w:rPr>
        <w:t>项目【招标编号：HCZX-</w:t>
      </w:r>
      <w:r>
        <w:rPr>
          <w:rFonts w:hint="eastAsia" w:ascii="宋体" w:hAnsi="宋体" w:cs="宋体"/>
          <w:color w:val="auto"/>
          <w:sz w:val="24"/>
          <w:highlight w:val="none"/>
          <w:lang w:eastAsia="zh-CN"/>
        </w:rPr>
        <w:t>22091</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联合协议</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浙江省减污降碳协同增效管理系统监理服务</w:t>
      </w:r>
      <w:r>
        <w:rPr>
          <w:rFonts w:hint="eastAsia" w:ascii="宋体" w:hAnsi="宋体" w:cs="宋体"/>
          <w:color w:val="auto"/>
          <w:sz w:val="24"/>
          <w:highlight w:val="none"/>
        </w:rPr>
        <w:t>项目【招标编号：HCZX-</w:t>
      </w:r>
      <w:r>
        <w:rPr>
          <w:rFonts w:hint="eastAsia" w:ascii="宋体" w:hAnsi="宋体" w:cs="宋体"/>
          <w:color w:val="auto"/>
          <w:sz w:val="24"/>
          <w:highlight w:val="none"/>
          <w:lang w:eastAsia="zh-CN"/>
        </w:rPr>
        <w:t>22091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firstLine="480" w:firstLineChars="200"/>
        <w:rPr>
          <w:rFonts w:ascii="宋体" w:hAnsi="宋体" w:cs="宋体"/>
          <w:color w:val="auto"/>
          <w:sz w:val="24"/>
          <w:highlight w:val="none"/>
        </w:rPr>
      </w:pP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浙江省减污降碳协同增效管理系统监理服务</w:t>
      </w:r>
      <w:r>
        <w:rPr>
          <w:rFonts w:hint="eastAsia" w:ascii="宋体" w:hAnsi="宋体" w:cs="宋体"/>
          <w:color w:val="auto"/>
          <w:sz w:val="24"/>
          <w:highlight w:val="none"/>
        </w:rPr>
        <w:t>项目【招标编号：HCZX-</w:t>
      </w:r>
      <w:r>
        <w:rPr>
          <w:rFonts w:hint="eastAsia" w:ascii="宋体" w:hAnsi="宋体" w:cs="宋体"/>
          <w:color w:val="auto"/>
          <w:sz w:val="24"/>
          <w:highlight w:val="none"/>
          <w:lang w:eastAsia="zh-CN"/>
        </w:rPr>
        <w:t>22091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snapToGrid w:val="0"/>
        <w:spacing w:line="360" w:lineRule="auto"/>
        <w:ind w:firstLine="576"/>
        <w:rPr>
          <w:rFonts w:ascii="宋体" w:hAnsi="宋体" w:cs="宋体"/>
          <w:color w:val="auto"/>
          <w:highlight w:val="none"/>
          <w:u w:val="single"/>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snapToGrid w:val="0"/>
        <w:spacing w:line="360" w:lineRule="auto"/>
        <w:ind w:left="573" w:leftChars="273"/>
        <w:rPr>
          <w:rFonts w:ascii="宋体" w:hAnsi="宋体" w:cs="宋体"/>
          <w:color w:val="auto"/>
          <w:kern w:val="0"/>
          <w:sz w:val="24"/>
          <w:highlight w:val="none"/>
          <w:lang w:val="zh-CN"/>
        </w:rPr>
      </w:pP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 xml:space="preserve">  。                                           投标人名称(电子签名)：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（3）联合协议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（5）符合性审查资料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（6）评标标准相应的商务技术资料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（7）商务技术偏离表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浙江省生态环境科学设计研究院、华诚工程咨询集团有限公司：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浙江省减污降碳协同增效管理系统监理服务</w:t>
      </w:r>
      <w:r>
        <w:rPr>
          <w:rFonts w:hint="eastAsia" w:ascii="宋体" w:hAnsi="宋体" w:cs="宋体"/>
          <w:color w:val="auto"/>
          <w:sz w:val="24"/>
          <w:highlight w:val="none"/>
        </w:rPr>
        <w:t>项目【招标编号：HCZX-</w:t>
      </w:r>
      <w:r>
        <w:rPr>
          <w:rFonts w:hint="eastAsia" w:ascii="宋体" w:hAnsi="宋体" w:cs="宋体"/>
          <w:color w:val="auto"/>
          <w:sz w:val="24"/>
          <w:highlight w:val="none"/>
          <w:lang w:eastAsia="zh-CN"/>
        </w:rPr>
        <w:t>22091</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浙江省生态环境科学设计研究院、华诚工程咨询集团有限公司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lang w:eastAsia="zh-CN"/>
        </w:rPr>
        <w:t>浙江省减污降碳协同增效管理系统监理服务</w:t>
      </w:r>
      <w:r>
        <w:rPr>
          <w:rFonts w:hint="eastAsia" w:ascii="宋体" w:hAnsi="宋体" w:cs="宋体"/>
          <w:color w:val="auto"/>
          <w:sz w:val="24"/>
          <w:highlight w:val="none"/>
        </w:rPr>
        <w:t>项目【招标编号：HCZX-</w:t>
      </w:r>
      <w:r>
        <w:rPr>
          <w:rFonts w:hint="eastAsia" w:ascii="宋体" w:hAnsi="宋体" w:cs="宋体"/>
          <w:color w:val="auto"/>
          <w:sz w:val="24"/>
          <w:highlight w:val="none"/>
          <w:lang w:eastAsia="zh-CN"/>
        </w:rPr>
        <w:t>22091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浙江省生态环境科学设计研究院、华诚工程咨询集团有限公司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lang w:eastAsia="zh-CN"/>
        </w:rPr>
        <w:t>浙江省减污降碳协同增效管理系统监理服务</w:t>
      </w:r>
      <w:r>
        <w:rPr>
          <w:rFonts w:hint="eastAsia" w:ascii="宋体" w:hAnsi="宋体" w:cs="宋体"/>
          <w:color w:val="auto"/>
          <w:sz w:val="24"/>
          <w:highlight w:val="none"/>
        </w:rPr>
        <w:t>项目【招标编号：HCZX-</w:t>
      </w:r>
      <w:r>
        <w:rPr>
          <w:rFonts w:hint="eastAsia" w:ascii="宋体" w:hAnsi="宋体" w:cs="宋体"/>
          <w:color w:val="auto"/>
          <w:sz w:val="24"/>
          <w:highlight w:val="none"/>
          <w:lang w:eastAsia="zh-CN"/>
        </w:rPr>
        <w:t>22091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9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90"/>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三、</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浙江省减污降碳协同增效管理系统监理服务</w:t>
      </w:r>
      <w:r>
        <w:rPr>
          <w:rFonts w:hint="eastAsia" w:ascii="宋体" w:hAnsi="宋体" w:cs="宋体"/>
          <w:color w:val="auto"/>
          <w:sz w:val="24"/>
          <w:highlight w:val="none"/>
        </w:rPr>
        <w:t>项目【招标编号：HCZX-</w:t>
      </w:r>
      <w:r>
        <w:rPr>
          <w:rFonts w:hint="eastAsia" w:ascii="宋体" w:hAnsi="宋体" w:cs="宋体"/>
          <w:color w:val="auto"/>
          <w:sz w:val="24"/>
          <w:highlight w:val="none"/>
          <w:lang w:eastAsia="zh-CN"/>
        </w:rPr>
        <w:t>22091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rPr>
        <w:t>提供的全部货物由小微企业制造，其合同份额占到合同总金额%以上；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400"/>
        <w:rPr>
          <w:rFonts w:ascii="宋体" w:hAnsi="宋体" w:cs="宋体"/>
          <w:color w:val="auto"/>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right="480"/>
        <w:rPr>
          <w:rFonts w:ascii="宋体" w:hAnsi="宋体" w:cs="宋体"/>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062"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浙江省减污降碳协同增效管理系统监理服务</w:t>
      </w:r>
      <w:r>
        <w:rPr>
          <w:rFonts w:hint="eastAsia" w:ascii="宋体" w:hAnsi="宋体" w:cs="宋体"/>
          <w:color w:val="auto"/>
          <w:sz w:val="24"/>
          <w:highlight w:val="none"/>
        </w:rPr>
        <w:t>项目【招标编号：HCZX-</w:t>
      </w:r>
      <w:r>
        <w:rPr>
          <w:rFonts w:hint="eastAsia" w:ascii="宋体" w:hAnsi="宋体" w:cs="宋体"/>
          <w:color w:val="auto"/>
          <w:sz w:val="24"/>
          <w:highlight w:val="none"/>
          <w:lang w:eastAsia="zh-CN"/>
        </w:rPr>
        <w:t>22091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snapToGrid w:val="0"/>
        <w:spacing w:line="360" w:lineRule="auto"/>
        <w:ind w:firstLine="576"/>
        <w:rPr>
          <w:rFonts w:ascii="宋体" w:hAnsi="宋体" w:cs="宋体"/>
          <w:color w:val="auto"/>
          <w:highlight w:val="none"/>
          <w:u w:val="single"/>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snapToGrid w:val="0"/>
        <w:spacing w:line="360" w:lineRule="auto"/>
        <w:ind w:left="573" w:leftChars="273"/>
        <w:rPr>
          <w:rFonts w:ascii="宋体" w:hAnsi="宋体" w:cs="宋体"/>
          <w:color w:val="auto"/>
          <w:kern w:val="0"/>
          <w:sz w:val="24"/>
          <w:highlight w:val="none"/>
          <w:lang w:val="zh-CN"/>
        </w:rPr>
      </w:pP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u w:val="single"/>
        </w:rPr>
        <w:t>（分包供应商名称）提供的货物全部由小微企业制造，</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rPr>
          <w:rFonts w:ascii="宋体" w:hAnsi="宋体" w:cs="宋体"/>
          <w:color w:val="auto"/>
          <w:kern w:val="0"/>
          <w:sz w:val="24"/>
          <w:highlight w:val="none"/>
          <w:lang w:val="zh-CN"/>
        </w:rPr>
      </w:pP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pStyle w:val="3"/>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见投标文件第页</w:t>
            </w:r>
          </w:p>
        </w:tc>
      </w:tr>
    </w:tbl>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六、评标标准相应的商务技术资料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bCs/>
          <w:color w:val="auto"/>
          <w:sz w:val="32"/>
          <w:szCs w:val="32"/>
          <w:highlight w:val="none"/>
        </w:rPr>
      </w:pPr>
    </w:p>
    <w:p>
      <w:pPr>
        <w:ind w:firstLine="2891" w:firstLineChars="900"/>
        <w:rPr>
          <w:rFonts w:ascii="宋体" w:hAnsi="宋体" w:cs="宋体"/>
          <w:b/>
          <w:bCs/>
          <w:color w:val="auto"/>
          <w:sz w:val="32"/>
          <w:szCs w:val="32"/>
          <w:highlight w:val="none"/>
        </w:rPr>
      </w:pPr>
    </w:p>
    <w:p>
      <w:pPr>
        <w:ind w:firstLine="2891" w:firstLineChars="900"/>
        <w:rPr>
          <w:rFonts w:ascii="宋体" w:hAnsi="宋体" w:cs="宋体"/>
          <w:b/>
          <w:bCs/>
          <w:color w:val="auto"/>
          <w:sz w:val="32"/>
          <w:szCs w:val="32"/>
          <w:highlight w:val="none"/>
        </w:rPr>
      </w:pPr>
    </w:p>
    <w:p>
      <w:pPr>
        <w:ind w:firstLine="2891" w:firstLineChars="900"/>
        <w:rPr>
          <w:rFonts w:ascii="宋体" w:hAnsi="宋体" w:cs="宋体"/>
          <w:b/>
          <w:bCs/>
          <w:color w:val="auto"/>
          <w:sz w:val="32"/>
          <w:szCs w:val="32"/>
          <w:highlight w:val="none"/>
        </w:rPr>
      </w:pPr>
    </w:p>
    <w:p>
      <w:pPr>
        <w:ind w:firstLine="2891" w:firstLineChars="900"/>
        <w:rPr>
          <w:rFonts w:ascii="宋体" w:hAnsi="宋体" w:cs="宋体"/>
          <w:b/>
          <w:bCs/>
          <w:color w:val="auto"/>
          <w:sz w:val="32"/>
          <w:szCs w:val="32"/>
          <w:highlight w:val="none"/>
        </w:rPr>
      </w:pPr>
    </w:p>
    <w:p>
      <w:pPr>
        <w:ind w:firstLine="2891" w:firstLineChars="900"/>
        <w:rPr>
          <w:rFonts w:ascii="宋体" w:hAnsi="宋体" w:cs="宋体"/>
          <w:b/>
          <w:bCs/>
          <w:color w:val="auto"/>
          <w:sz w:val="32"/>
          <w:szCs w:val="32"/>
          <w:highlight w:val="none"/>
        </w:rPr>
      </w:pPr>
    </w:p>
    <w:p>
      <w:pPr>
        <w:ind w:firstLine="2891" w:firstLineChars="900"/>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p>
    <w:p>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浙江省生态环境科学设计研究院、华诚工程咨询集团有限公司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浙江省生态环境科学设计研究院、华诚工程咨询集团有限公司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浙江省减污降碳协同增效管理系统监理服务</w:t>
      </w:r>
      <w:r>
        <w:rPr>
          <w:rFonts w:hint="eastAsia" w:ascii="宋体" w:hAnsi="宋体" w:cs="宋体"/>
          <w:color w:val="auto"/>
          <w:sz w:val="24"/>
          <w:highlight w:val="none"/>
        </w:rPr>
        <w:t>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HCZX-</w:t>
      </w:r>
      <w:r>
        <w:rPr>
          <w:rFonts w:hint="eastAsia" w:ascii="宋体" w:hAnsi="宋体" w:cs="宋体"/>
          <w:color w:val="auto"/>
          <w:sz w:val="24"/>
          <w:highlight w:val="none"/>
          <w:lang w:eastAsia="zh-CN"/>
        </w:rPr>
        <w:t>22091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2129"/>
        <w:gridCol w:w="2038"/>
        <w:gridCol w:w="648"/>
        <w:gridCol w:w="1018"/>
        <w:gridCol w:w="1296"/>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4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2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3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具体服务</w:t>
            </w:r>
          </w:p>
        </w:tc>
        <w:tc>
          <w:tcPr>
            <w:tcW w:w="64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0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29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总价</w:t>
            </w:r>
          </w:p>
        </w:tc>
        <w:tc>
          <w:tcPr>
            <w:tcW w:w="2038"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服务期限</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4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129" w:type="dxa"/>
            <w:vAlign w:val="center"/>
          </w:tcPr>
          <w:p>
            <w:pPr>
              <w:snapToGrid w:val="0"/>
              <w:spacing w:line="360" w:lineRule="auto"/>
              <w:jc w:val="center"/>
              <w:rPr>
                <w:rFonts w:ascii="宋体" w:hAnsi="宋体" w:cs="宋体"/>
                <w:color w:val="auto"/>
                <w:sz w:val="24"/>
                <w:highlight w:val="none"/>
              </w:rPr>
            </w:pPr>
          </w:p>
        </w:tc>
        <w:tc>
          <w:tcPr>
            <w:tcW w:w="2038" w:type="dxa"/>
            <w:vAlign w:val="center"/>
          </w:tcPr>
          <w:p>
            <w:pPr>
              <w:snapToGrid w:val="0"/>
              <w:spacing w:line="360" w:lineRule="auto"/>
              <w:jc w:val="center"/>
              <w:rPr>
                <w:rFonts w:ascii="宋体" w:hAnsi="宋体" w:cs="宋体"/>
                <w:color w:val="auto"/>
                <w:sz w:val="24"/>
                <w:highlight w:val="none"/>
              </w:rPr>
            </w:pPr>
          </w:p>
        </w:tc>
        <w:tc>
          <w:tcPr>
            <w:tcW w:w="648" w:type="dxa"/>
            <w:vAlign w:val="center"/>
          </w:tcPr>
          <w:p>
            <w:pPr>
              <w:snapToGrid w:val="0"/>
              <w:spacing w:line="360" w:lineRule="auto"/>
              <w:jc w:val="center"/>
              <w:rPr>
                <w:rFonts w:ascii="宋体" w:hAnsi="宋体" w:cs="宋体"/>
                <w:color w:val="auto"/>
                <w:sz w:val="24"/>
                <w:highlight w:val="none"/>
              </w:rPr>
            </w:pPr>
          </w:p>
        </w:tc>
        <w:tc>
          <w:tcPr>
            <w:tcW w:w="1018" w:type="dxa"/>
            <w:vAlign w:val="center"/>
          </w:tcPr>
          <w:p>
            <w:pPr>
              <w:spacing w:line="360" w:lineRule="auto"/>
              <w:jc w:val="center"/>
              <w:rPr>
                <w:rFonts w:ascii="宋体" w:hAnsi="宋体" w:cs="宋体"/>
                <w:color w:val="auto"/>
                <w:sz w:val="24"/>
                <w:highlight w:val="none"/>
              </w:rPr>
            </w:pPr>
          </w:p>
        </w:tc>
        <w:tc>
          <w:tcPr>
            <w:tcW w:w="1296" w:type="dxa"/>
            <w:vAlign w:val="center"/>
          </w:tcPr>
          <w:p>
            <w:pPr>
              <w:spacing w:line="360" w:lineRule="auto"/>
              <w:jc w:val="center"/>
              <w:rPr>
                <w:rFonts w:ascii="宋体" w:hAnsi="宋体" w:cs="宋体"/>
                <w:color w:val="auto"/>
                <w:sz w:val="24"/>
                <w:highlight w:val="none"/>
              </w:rPr>
            </w:pPr>
          </w:p>
        </w:tc>
        <w:tc>
          <w:tcPr>
            <w:tcW w:w="2038"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4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129" w:type="dxa"/>
            <w:vAlign w:val="center"/>
          </w:tcPr>
          <w:p>
            <w:pPr>
              <w:snapToGrid w:val="0"/>
              <w:spacing w:line="360" w:lineRule="auto"/>
              <w:jc w:val="center"/>
              <w:rPr>
                <w:rFonts w:ascii="宋体" w:hAnsi="宋体" w:cs="宋体"/>
                <w:color w:val="auto"/>
                <w:sz w:val="24"/>
                <w:highlight w:val="none"/>
              </w:rPr>
            </w:pPr>
          </w:p>
        </w:tc>
        <w:tc>
          <w:tcPr>
            <w:tcW w:w="2038" w:type="dxa"/>
            <w:vAlign w:val="center"/>
          </w:tcPr>
          <w:p>
            <w:pPr>
              <w:snapToGrid w:val="0"/>
              <w:spacing w:line="360" w:lineRule="auto"/>
              <w:jc w:val="center"/>
              <w:rPr>
                <w:rFonts w:ascii="宋体" w:hAnsi="宋体" w:cs="宋体"/>
                <w:color w:val="auto"/>
                <w:sz w:val="24"/>
                <w:highlight w:val="none"/>
              </w:rPr>
            </w:pPr>
          </w:p>
        </w:tc>
        <w:tc>
          <w:tcPr>
            <w:tcW w:w="648" w:type="dxa"/>
            <w:vAlign w:val="center"/>
          </w:tcPr>
          <w:p>
            <w:pPr>
              <w:snapToGrid w:val="0"/>
              <w:spacing w:line="360" w:lineRule="auto"/>
              <w:jc w:val="center"/>
              <w:rPr>
                <w:rFonts w:ascii="宋体" w:hAnsi="宋体" w:cs="宋体"/>
                <w:color w:val="auto"/>
                <w:sz w:val="24"/>
                <w:highlight w:val="none"/>
              </w:rPr>
            </w:pPr>
          </w:p>
        </w:tc>
        <w:tc>
          <w:tcPr>
            <w:tcW w:w="1018" w:type="dxa"/>
            <w:vAlign w:val="center"/>
          </w:tcPr>
          <w:p>
            <w:pPr>
              <w:spacing w:line="360" w:lineRule="auto"/>
              <w:jc w:val="center"/>
              <w:rPr>
                <w:rFonts w:ascii="宋体" w:hAnsi="宋体" w:cs="宋体"/>
                <w:color w:val="auto"/>
                <w:sz w:val="24"/>
                <w:highlight w:val="none"/>
              </w:rPr>
            </w:pPr>
          </w:p>
        </w:tc>
        <w:tc>
          <w:tcPr>
            <w:tcW w:w="1296" w:type="dxa"/>
            <w:vAlign w:val="center"/>
          </w:tcPr>
          <w:p>
            <w:pPr>
              <w:spacing w:line="360" w:lineRule="auto"/>
              <w:jc w:val="center"/>
              <w:rPr>
                <w:rFonts w:ascii="宋体" w:hAnsi="宋体" w:cs="宋体"/>
                <w:color w:val="auto"/>
                <w:sz w:val="24"/>
                <w:highlight w:val="none"/>
              </w:rPr>
            </w:pPr>
          </w:p>
        </w:tc>
        <w:tc>
          <w:tcPr>
            <w:tcW w:w="2038"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4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129" w:type="dxa"/>
            <w:vAlign w:val="center"/>
          </w:tcPr>
          <w:p>
            <w:pPr>
              <w:snapToGrid w:val="0"/>
              <w:spacing w:line="360" w:lineRule="auto"/>
              <w:jc w:val="center"/>
              <w:rPr>
                <w:rFonts w:ascii="宋体" w:hAnsi="宋体" w:cs="宋体"/>
                <w:color w:val="auto"/>
                <w:sz w:val="24"/>
                <w:highlight w:val="none"/>
              </w:rPr>
            </w:pPr>
          </w:p>
        </w:tc>
        <w:tc>
          <w:tcPr>
            <w:tcW w:w="2038" w:type="dxa"/>
            <w:vAlign w:val="center"/>
          </w:tcPr>
          <w:p>
            <w:pPr>
              <w:snapToGrid w:val="0"/>
              <w:spacing w:line="360" w:lineRule="auto"/>
              <w:jc w:val="center"/>
              <w:rPr>
                <w:rFonts w:ascii="宋体" w:hAnsi="宋体" w:cs="宋体"/>
                <w:color w:val="auto"/>
                <w:sz w:val="24"/>
                <w:highlight w:val="none"/>
              </w:rPr>
            </w:pPr>
          </w:p>
        </w:tc>
        <w:tc>
          <w:tcPr>
            <w:tcW w:w="648" w:type="dxa"/>
            <w:vAlign w:val="center"/>
          </w:tcPr>
          <w:p>
            <w:pPr>
              <w:snapToGrid w:val="0"/>
              <w:spacing w:line="360" w:lineRule="auto"/>
              <w:jc w:val="center"/>
              <w:rPr>
                <w:rFonts w:ascii="宋体" w:hAnsi="宋体" w:cs="宋体"/>
                <w:color w:val="auto"/>
                <w:sz w:val="24"/>
                <w:highlight w:val="none"/>
              </w:rPr>
            </w:pPr>
          </w:p>
        </w:tc>
        <w:tc>
          <w:tcPr>
            <w:tcW w:w="1018" w:type="dxa"/>
            <w:vAlign w:val="center"/>
          </w:tcPr>
          <w:p>
            <w:pPr>
              <w:spacing w:line="360" w:lineRule="auto"/>
              <w:jc w:val="center"/>
              <w:rPr>
                <w:rFonts w:ascii="宋体" w:hAnsi="宋体" w:cs="宋体"/>
                <w:color w:val="auto"/>
                <w:sz w:val="24"/>
                <w:highlight w:val="none"/>
              </w:rPr>
            </w:pPr>
          </w:p>
        </w:tc>
        <w:tc>
          <w:tcPr>
            <w:tcW w:w="1296" w:type="dxa"/>
            <w:vAlign w:val="center"/>
          </w:tcPr>
          <w:p>
            <w:pPr>
              <w:spacing w:line="360" w:lineRule="auto"/>
              <w:jc w:val="center"/>
              <w:rPr>
                <w:rFonts w:ascii="宋体" w:hAnsi="宋体" w:cs="宋体"/>
                <w:color w:val="auto"/>
                <w:sz w:val="24"/>
                <w:highlight w:val="none"/>
              </w:rPr>
            </w:pPr>
          </w:p>
        </w:tc>
        <w:tc>
          <w:tcPr>
            <w:tcW w:w="2038"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48" w:type="dxa"/>
            <w:vAlign w:val="center"/>
          </w:tcPr>
          <w:p>
            <w:pPr>
              <w:spacing w:line="360" w:lineRule="auto"/>
              <w:jc w:val="center"/>
              <w:rPr>
                <w:rFonts w:ascii="宋体" w:hAnsi="宋体" w:cs="宋体"/>
                <w:color w:val="auto"/>
                <w:sz w:val="24"/>
                <w:highlight w:val="none"/>
              </w:rPr>
            </w:pPr>
          </w:p>
        </w:tc>
        <w:tc>
          <w:tcPr>
            <w:tcW w:w="2129" w:type="dxa"/>
            <w:vAlign w:val="center"/>
          </w:tcPr>
          <w:p>
            <w:pPr>
              <w:snapToGrid w:val="0"/>
              <w:spacing w:line="360" w:lineRule="auto"/>
              <w:jc w:val="center"/>
              <w:rPr>
                <w:rFonts w:ascii="宋体" w:hAnsi="宋体" w:cs="宋体"/>
                <w:color w:val="auto"/>
                <w:sz w:val="24"/>
                <w:highlight w:val="none"/>
              </w:rPr>
            </w:pPr>
          </w:p>
        </w:tc>
        <w:tc>
          <w:tcPr>
            <w:tcW w:w="2038" w:type="dxa"/>
            <w:vAlign w:val="center"/>
          </w:tcPr>
          <w:p>
            <w:pPr>
              <w:snapToGrid w:val="0"/>
              <w:spacing w:line="360" w:lineRule="auto"/>
              <w:jc w:val="center"/>
              <w:rPr>
                <w:rFonts w:ascii="宋体" w:hAnsi="宋体" w:cs="宋体"/>
                <w:color w:val="auto"/>
                <w:sz w:val="24"/>
                <w:highlight w:val="none"/>
              </w:rPr>
            </w:pPr>
          </w:p>
        </w:tc>
        <w:tc>
          <w:tcPr>
            <w:tcW w:w="648" w:type="dxa"/>
            <w:vAlign w:val="center"/>
          </w:tcPr>
          <w:p>
            <w:pPr>
              <w:snapToGrid w:val="0"/>
              <w:spacing w:line="360" w:lineRule="auto"/>
              <w:jc w:val="center"/>
              <w:rPr>
                <w:rFonts w:ascii="宋体" w:hAnsi="宋体" w:cs="宋体"/>
                <w:color w:val="auto"/>
                <w:sz w:val="24"/>
                <w:highlight w:val="none"/>
              </w:rPr>
            </w:pPr>
          </w:p>
        </w:tc>
        <w:tc>
          <w:tcPr>
            <w:tcW w:w="1018" w:type="dxa"/>
            <w:vAlign w:val="center"/>
          </w:tcPr>
          <w:p>
            <w:pPr>
              <w:spacing w:line="360" w:lineRule="auto"/>
              <w:jc w:val="center"/>
              <w:rPr>
                <w:rFonts w:ascii="宋体" w:hAnsi="宋体" w:cs="宋体"/>
                <w:color w:val="auto"/>
                <w:sz w:val="24"/>
                <w:highlight w:val="none"/>
              </w:rPr>
            </w:pPr>
          </w:p>
        </w:tc>
        <w:tc>
          <w:tcPr>
            <w:tcW w:w="1296" w:type="dxa"/>
            <w:vAlign w:val="center"/>
          </w:tcPr>
          <w:p>
            <w:pPr>
              <w:spacing w:line="360" w:lineRule="auto"/>
              <w:jc w:val="center"/>
              <w:rPr>
                <w:rFonts w:ascii="宋体" w:hAnsi="宋体" w:cs="宋体"/>
                <w:color w:val="auto"/>
                <w:sz w:val="24"/>
                <w:highlight w:val="none"/>
              </w:rPr>
            </w:pPr>
          </w:p>
        </w:tc>
        <w:tc>
          <w:tcPr>
            <w:tcW w:w="2038"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48" w:type="dxa"/>
            <w:vAlign w:val="center"/>
          </w:tcPr>
          <w:p>
            <w:pPr>
              <w:spacing w:line="360" w:lineRule="auto"/>
              <w:jc w:val="center"/>
              <w:rPr>
                <w:rFonts w:ascii="宋体" w:hAnsi="宋体" w:cs="宋体"/>
                <w:color w:val="auto"/>
                <w:sz w:val="24"/>
                <w:highlight w:val="none"/>
              </w:rPr>
            </w:pPr>
          </w:p>
        </w:tc>
        <w:tc>
          <w:tcPr>
            <w:tcW w:w="2129" w:type="dxa"/>
            <w:vAlign w:val="center"/>
          </w:tcPr>
          <w:p>
            <w:pPr>
              <w:snapToGrid w:val="0"/>
              <w:spacing w:line="360" w:lineRule="auto"/>
              <w:jc w:val="center"/>
              <w:rPr>
                <w:rFonts w:ascii="宋体" w:hAnsi="宋体" w:cs="宋体"/>
                <w:color w:val="auto"/>
                <w:sz w:val="24"/>
                <w:highlight w:val="none"/>
              </w:rPr>
            </w:pPr>
          </w:p>
        </w:tc>
        <w:tc>
          <w:tcPr>
            <w:tcW w:w="2038" w:type="dxa"/>
            <w:vAlign w:val="center"/>
          </w:tcPr>
          <w:p>
            <w:pPr>
              <w:snapToGrid w:val="0"/>
              <w:spacing w:line="360" w:lineRule="auto"/>
              <w:jc w:val="center"/>
              <w:rPr>
                <w:rFonts w:ascii="宋体" w:hAnsi="宋体" w:cs="宋体"/>
                <w:color w:val="auto"/>
                <w:sz w:val="24"/>
                <w:highlight w:val="none"/>
              </w:rPr>
            </w:pPr>
          </w:p>
        </w:tc>
        <w:tc>
          <w:tcPr>
            <w:tcW w:w="648" w:type="dxa"/>
            <w:vAlign w:val="center"/>
          </w:tcPr>
          <w:p>
            <w:pPr>
              <w:snapToGrid w:val="0"/>
              <w:spacing w:line="360" w:lineRule="auto"/>
              <w:jc w:val="center"/>
              <w:rPr>
                <w:rFonts w:ascii="宋体" w:hAnsi="宋体" w:cs="宋体"/>
                <w:color w:val="auto"/>
                <w:sz w:val="24"/>
                <w:highlight w:val="none"/>
              </w:rPr>
            </w:pPr>
          </w:p>
        </w:tc>
        <w:tc>
          <w:tcPr>
            <w:tcW w:w="1018" w:type="dxa"/>
            <w:vAlign w:val="center"/>
          </w:tcPr>
          <w:p>
            <w:pPr>
              <w:spacing w:line="360" w:lineRule="auto"/>
              <w:jc w:val="center"/>
              <w:rPr>
                <w:rFonts w:ascii="宋体" w:hAnsi="宋体" w:cs="宋体"/>
                <w:color w:val="auto"/>
                <w:sz w:val="24"/>
                <w:highlight w:val="none"/>
              </w:rPr>
            </w:pPr>
          </w:p>
        </w:tc>
        <w:tc>
          <w:tcPr>
            <w:tcW w:w="1296" w:type="dxa"/>
            <w:vAlign w:val="center"/>
          </w:tcPr>
          <w:p>
            <w:pPr>
              <w:spacing w:line="360" w:lineRule="auto"/>
              <w:jc w:val="center"/>
              <w:rPr>
                <w:rFonts w:ascii="宋体" w:hAnsi="宋体" w:cs="宋体"/>
                <w:color w:val="auto"/>
                <w:sz w:val="24"/>
                <w:highlight w:val="none"/>
              </w:rPr>
            </w:pPr>
          </w:p>
        </w:tc>
        <w:tc>
          <w:tcPr>
            <w:tcW w:w="2038"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515"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5000"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515"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5000"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1、投标人需按本表格式填写，不得自行更改。</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3、以上表格要求细分项目及报价，在“具体服务”一栏中，货物类项目填写规格型号，服务类项目填写具体服务。</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ascii="宋体" w:hAnsi="宋体" w:cs="宋体"/>
          <w:color w:val="auto"/>
          <w:sz w:val="32"/>
          <w:szCs w:val="32"/>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tabs>
          <w:tab w:val="left" w:pos="8085"/>
        </w:tabs>
        <w:spacing w:line="360" w:lineRule="auto"/>
        <w:ind w:firstLine="1285" w:firstLineChars="400"/>
        <w:jc w:val="left"/>
        <w:rPr>
          <w:rFonts w:ascii="宋体" w:hAns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一、适用对象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二、相关信息获取方式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　政府采购信用融资操作流程：</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（一）线上融资模式：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2.供应商中标后，可通过杭州市政府采购网或“浙里办”测算授信额度；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4.审批通过后，在线办理放贷手续。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（二）线下融资模式：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4.审批通过后，合作银行应按照合作备忘录中约定的审批放款期限和优惠利率及时予以放款。</w:t>
      </w:r>
    </w:p>
    <w:p>
      <w:pPr>
        <w:pStyle w:val="3"/>
        <w:ind w:left="0"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3"/>
        <w:ind w:left="0"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四、注意事项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color w:val="auto"/>
          <w:kern w:val="0"/>
          <w:sz w:val="24"/>
          <w:highlight w:val="none"/>
        </w:rPr>
      </w:pPr>
    </w:p>
    <w:p>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25" w:name="_Toc465665161"/>
      <w:r>
        <w:rPr>
          <w:rFonts w:hint="eastAsia" w:ascii="宋体" w:hAnsi="宋体" w:cs="宋体"/>
          <w:color w:val="auto"/>
          <w:highlight w:val="none"/>
        </w:rPr>
        <w:t>附件</w:t>
      </w:r>
      <w:bookmarkEnd w:id="425"/>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26" w:name="OLE_LINK13"/>
      <w:bookmarkStart w:id="427" w:name="OLE_LINK14"/>
      <w:r>
        <w:rPr>
          <w:rFonts w:hint="eastAsia" w:ascii="宋体" w:hAnsi="宋体" w:cs="宋体"/>
          <w:b/>
          <w:color w:val="auto"/>
          <w:spacing w:val="6"/>
          <w:sz w:val="32"/>
          <w:szCs w:val="32"/>
          <w:highlight w:val="none"/>
        </w:rPr>
        <w:t>残疾人福利性单位声明函</w:t>
      </w:r>
    </w:p>
    <w:bookmarkEnd w:id="426"/>
    <w:bookmarkEnd w:id="427"/>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62"/>
        <w:rPr>
          <w:color w:val="auto"/>
          <w:highlight w:val="none"/>
          <w:lang w:val="en-US"/>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浙江省生态环境科学设计研究院、华诚工程咨询集团有限公司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浙江省减污降碳协同增效管理系统监理服务</w:t>
      </w:r>
      <w:r>
        <w:rPr>
          <w:rFonts w:hint="eastAsia" w:ascii="宋体" w:hAnsi="宋体" w:cs="宋体"/>
          <w:color w:val="auto"/>
          <w:sz w:val="24"/>
          <w:highlight w:val="none"/>
        </w:rPr>
        <w:t>项目项目【招标编号：HCZX-</w:t>
      </w:r>
      <w:r>
        <w:rPr>
          <w:rFonts w:hint="eastAsia" w:ascii="宋体" w:hAnsi="宋体" w:cs="宋体"/>
          <w:color w:val="auto"/>
          <w:sz w:val="24"/>
          <w:highlight w:val="none"/>
          <w:lang w:eastAsia="zh-CN"/>
        </w:rPr>
        <w:t>22091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color w:val="auto"/>
          <w:sz w:val="32"/>
          <w:szCs w:val="32"/>
          <w:highlight w:val="none"/>
        </w:rPr>
        <w:t>中小企业声明函</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（1）中小企业声明函（服务）</w:t>
      </w:r>
    </w:p>
    <w:p>
      <w:pPr>
        <w:spacing w:line="360" w:lineRule="auto"/>
        <w:rPr>
          <w:rFonts w:ascii="宋体" w:hAnsi="宋体" w:cs="宋体"/>
          <w:color w:val="auto"/>
          <w:highlight w:val="none"/>
        </w:rPr>
      </w:pP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（单位名称） 的 </w:t>
      </w:r>
      <w:r>
        <w:rPr>
          <w:rFonts w:hint="eastAsia" w:ascii="宋体" w:hAnsi="宋体" w:cs="宋体"/>
          <w:color w:val="auto"/>
          <w:sz w:val="24"/>
          <w:highlight w:val="none"/>
          <w:lang w:eastAsia="zh-CN"/>
        </w:rPr>
        <w:t>浙江省减污降碳协同增效管理系统监理服务</w:t>
      </w:r>
      <w:r>
        <w:rPr>
          <w:rFonts w:hint="eastAsia" w:ascii="宋体" w:hAnsi="宋体" w:cs="宋体"/>
          <w:color w:val="auto"/>
          <w:sz w:val="24"/>
          <w:highlight w:val="none"/>
        </w:rPr>
        <w:t>项目采购活动，服务全部由符合政策要求的中小企业承接。相关企业（含联合体中的中小企业、签订分包意向协议的中小企业）的具体情况如下：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jc w:val="center"/>
        <w:rPr>
          <w:rFonts w:ascii="宋体" w:hAnsi="宋体" w:cs="黑体"/>
          <w:b/>
          <w:bCs/>
          <w:color w:val="auto"/>
          <w:kern w:val="0"/>
          <w:sz w:val="36"/>
          <w:szCs w:val="36"/>
          <w:highlight w:val="none"/>
          <w:lang w:val="zh-CN"/>
        </w:rPr>
      </w:pPr>
      <w:r>
        <w:rPr>
          <w:rFonts w:hint="eastAsia" w:ascii="宋体" w:hAnsi="宋体" w:cs="宋体"/>
          <w:color w:val="auto"/>
          <w:sz w:val="24"/>
          <w:highlight w:val="none"/>
        </w:rPr>
        <w:br w:type="page"/>
      </w:r>
      <w:r>
        <w:rPr>
          <w:rFonts w:hint="eastAsia" w:ascii="宋体" w:hAnsi="宋体" w:cs="黑体"/>
          <w:b/>
          <w:bCs/>
          <w:color w:val="auto"/>
          <w:kern w:val="0"/>
          <w:sz w:val="36"/>
          <w:szCs w:val="36"/>
          <w:highlight w:val="none"/>
          <w:lang w:val="zh-CN"/>
        </w:rPr>
        <w:t>（2）残疾人福利性单位声明函</w:t>
      </w:r>
    </w:p>
    <w:p>
      <w:pPr>
        <w:spacing w:line="588" w:lineRule="exact"/>
        <w:ind w:firstLine="420" w:firstLineChars="200"/>
        <w:jc w:val="center"/>
        <w:rPr>
          <w:rFonts w:ascii="宋体" w:hAnsi="宋体" w:cs="宋体"/>
          <w:color w:val="auto"/>
          <w:kern w:val="0"/>
          <w:szCs w:val="21"/>
          <w:highlight w:val="none"/>
        </w:rPr>
      </w:pPr>
      <w:r>
        <w:rPr>
          <w:rFonts w:hint="eastAsia" w:ascii="宋体" w:hAnsi="宋体" w:cs="宋体"/>
          <w:color w:val="auto"/>
          <w:kern w:val="0"/>
          <w:szCs w:val="21"/>
          <w:highlight w:val="none"/>
        </w:rPr>
        <w:t>【不属于残疾人福利性单位的无需填写、递交】</w:t>
      </w:r>
    </w:p>
    <w:p>
      <w:pPr>
        <w:pStyle w:val="62"/>
        <w:ind w:firstLine="210"/>
        <w:rPr>
          <w:color w:val="auto"/>
          <w:highlight w:val="none"/>
        </w:rPr>
      </w:pP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号）的规定，本单位为符合条件的残疾人福利性单位，且本单位参加______单位的______项目采购活动由本单位提供服务。</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right"/>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pPr>
        <w:pStyle w:val="34"/>
        <w:spacing w:before="120" w:after="120"/>
        <w:rPr>
          <w:color w:val="auto"/>
          <w:highlight w:val="none"/>
        </w:rPr>
      </w:pPr>
    </w:p>
    <w:p>
      <w:pPr>
        <w:pStyle w:val="34"/>
        <w:spacing w:before="120" w:after="120"/>
        <w:rPr>
          <w:color w:val="auto"/>
          <w:highlight w:val="none"/>
        </w:rPr>
      </w:pPr>
    </w:p>
    <w:p>
      <w:pPr>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注：1.中标供应商为残疾人福利性单位的，其《残疾人福利性单位声明函》随中标结果同时公告，接受社会监督。</w:t>
      </w:r>
    </w:p>
    <w:p>
      <w:pPr>
        <w:spacing w:line="360" w:lineRule="auto"/>
        <w:ind w:firstLine="1008" w:firstLineChars="400"/>
        <w:rPr>
          <w:rFonts w:ascii="宋体" w:hAnsi="宋体" w:cs="宋体"/>
          <w:color w:val="auto"/>
          <w:spacing w:val="6"/>
          <w:sz w:val="24"/>
          <w:highlight w:val="none"/>
        </w:rPr>
      </w:pPr>
      <w:r>
        <w:rPr>
          <w:rFonts w:hint="eastAsia" w:ascii="宋体" w:hAnsi="宋体" w:cs="宋体"/>
          <w:color w:val="auto"/>
          <w:spacing w:val="6"/>
          <w:sz w:val="24"/>
          <w:highlight w:val="none"/>
        </w:rPr>
        <w:t>2.供应商提供的《残疾人福利性单位声明函》与事实不符的，依照《政府采购法》第七十七条第一款的规定追究法律责任。</w:t>
      </w:r>
    </w:p>
    <w:p>
      <w:pPr>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3.若投标人享受残疾人福利单位的须提供财库【2017】141号文第一条（一）至（五）的材料。</w:t>
      </w:r>
    </w:p>
    <w:p>
      <w:pPr>
        <w:pStyle w:val="23"/>
        <w:rPr>
          <w:rFonts w:hAnsi="宋体" w:cs="宋体"/>
          <w:color w:val="auto"/>
          <w:highlight w:val="none"/>
        </w:rPr>
      </w:pPr>
    </w:p>
    <w:p>
      <w:pPr>
        <w:pStyle w:val="23"/>
        <w:rPr>
          <w:rFonts w:hAnsi="宋体" w:cs="宋体"/>
          <w:color w:val="auto"/>
          <w:highlight w:val="none"/>
        </w:rPr>
      </w:pPr>
    </w:p>
    <w:p>
      <w:pPr>
        <w:pStyle w:val="23"/>
        <w:rPr>
          <w:rFonts w:hAnsi="宋体" w:cs="宋体"/>
          <w:color w:val="auto"/>
          <w:highlight w:val="none"/>
        </w:rPr>
      </w:pPr>
    </w:p>
    <w:p>
      <w:pPr>
        <w:pStyle w:val="23"/>
        <w:rPr>
          <w:rFonts w:hAnsi="宋体" w:cs="宋体"/>
          <w:color w:val="auto"/>
          <w:highlight w:val="none"/>
        </w:rPr>
      </w:pPr>
    </w:p>
    <w:p>
      <w:pPr>
        <w:pStyle w:val="23"/>
        <w:rPr>
          <w:rFonts w:hAnsi="宋体" w:cs="宋体"/>
          <w:color w:val="auto"/>
          <w:highlight w:val="none"/>
        </w:rPr>
      </w:pPr>
    </w:p>
    <w:p>
      <w:pPr>
        <w:pStyle w:val="23"/>
        <w:rPr>
          <w:rFonts w:hAnsi="宋体" w:cs="宋体"/>
          <w:color w:val="auto"/>
          <w:highlight w:val="none"/>
        </w:rPr>
      </w:pPr>
    </w:p>
    <w:p>
      <w:pPr>
        <w:pStyle w:val="23"/>
        <w:rPr>
          <w:rFonts w:hAnsi="宋体" w:cs="宋体"/>
          <w:color w:val="auto"/>
          <w:highlight w:val="none"/>
        </w:rPr>
      </w:pPr>
    </w:p>
    <w:p>
      <w:pPr>
        <w:pStyle w:val="23"/>
        <w:rPr>
          <w:rFonts w:hAnsi="宋体" w:cs="宋体"/>
          <w:color w:val="auto"/>
          <w:highlight w:val="none"/>
        </w:rPr>
      </w:pPr>
    </w:p>
    <w:p>
      <w:pPr>
        <w:pStyle w:val="23"/>
        <w:rPr>
          <w:rFonts w:hAnsi="宋体" w:cs="宋体"/>
          <w:color w:val="auto"/>
          <w:highlight w:val="none"/>
        </w:rPr>
      </w:pPr>
    </w:p>
    <w:p>
      <w:pPr>
        <w:autoSpaceDE w:val="0"/>
        <w:autoSpaceDN w:val="0"/>
        <w:spacing w:before="146"/>
        <w:jc w:val="center"/>
        <w:outlineLvl w:val="1"/>
        <w:rPr>
          <w:rFonts w:ascii="宋体" w:hAnsi="宋体" w:cs="宋体"/>
          <w:b/>
          <w:bCs/>
          <w:color w:val="auto"/>
          <w:sz w:val="24"/>
          <w:highlight w:val="none"/>
        </w:rPr>
      </w:pPr>
    </w:p>
    <w:p>
      <w:pPr>
        <w:autoSpaceDE w:val="0"/>
        <w:autoSpaceDN w:val="0"/>
        <w:spacing w:before="146"/>
        <w:jc w:val="center"/>
        <w:outlineLvl w:val="1"/>
        <w:rPr>
          <w:rFonts w:ascii="宋体" w:hAnsi="宋体" w:cs="黑体"/>
          <w:b/>
          <w:bCs/>
          <w:color w:val="auto"/>
          <w:kern w:val="0"/>
          <w:sz w:val="36"/>
          <w:szCs w:val="36"/>
          <w:highlight w:val="none"/>
          <w:lang w:val="zh-CN"/>
        </w:rPr>
      </w:pPr>
      <w:r>
        <w:rPr>
          <w:rFonts w:hint="eastAsia" w:ascii="宋体" w:hAnsi="宋体" w:cs="黑体"/>
          <w:b/>
          <w:bCs/>
          <w:color w:val="auto"/>
          <w:kern w:val="0"/>
          <w:sz w:val="36"/>
          <w:szCs w:val="36"/>
          <w:highlight w:val="none"/>
          <w:lang w:val="zh-CN"/>
        </w:rPr>
        <w:t>（3）监狱企业声明函</w:t>
      </w:r>
    </w:p>
    <w:p>
      <w:pPr>
        <w:widowControl/>
        <w:snapToGrid w:val="0"/>
        <w:ind w:firstLine="420" w:firstLineChars="200"/>
        <w:jc w:val="center"/>
        <w:rPr>
          <w:rFonts w:ascii="宋体" w:hAnsi="宋体" w:cs="宋体"/>
          <w:color w:val="auto"/>
          <w:kern w:val="0"/>
          <w:szCs w:val="21"/>
          <w:highlight w:val="none"/>
        </w:rPr>
      </w:pPr>
      <w:r>
        <w:rPr>
          <w:rFonts w:hint="eastAsia" w:ascii="宋体" w:hAnsi="宋体" w:cs="宋体"/>
          <w:color w:val="auto"/>
          <w:kern w:val="0"/>
          <w:szCs w:val="21"/>
          <w:highlight w:val="none"/>
        </w:rPr>
        <w:t>【不属于监狱企业的无需填写、递交】</w:t>
      </w:r>
    </w:p>
    <w:p>
      <w:pPr>
        <w:widowControl/>
        <w:snapToGrid w:val="0"/>
        <w:spacing w:line="360" w:lineRule="auto"/>
        <w:ind w:firstLine="420" w:firstLineChars="200"/>
        <w:jc w:val="left"/>
        <w:rPr>
          <w:rFonts w:ascii="宋体" w:hAnsi="宋体" w:cs="Arial"/>
          <w:color w:val="auto"/>
          <w:kern w:val="0"/>
          <w:szCs w:val="21"/>
          <w:highlight w:val="none"/>
        </w:rPr>
      </w:pPr>
    </w:p>
    <w:p>
      <w:pPr>
        <w:widowControl/>
        <w:snapToGrid w:val="0"/>
        <w:spacing w:line="360" w:lineRule="auto"/>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本公司郑重声明，根据《关于政府采购支持监狱企业发展有关问题的通知》 （财库[2014]68 号）的规定，本公司为</w:t>
      </w:r>
      <w:r>
        <w:rPr>
          <w:rFonts w:hint="eastAsia" w:ascii="宋体" w:hAnsi="宋体" w:cs="Arial"/>
          <w:color w:val="auto"/>
          <w:kern w:val="0"/>
          <w:szCs w:val="21"/>
          <w:highlight w:val="none"/>
          <w:u w:val="single"/>
        </w:rPr>
        <w:t>监狱企业</w:t>
      </w:r>
      <w:r>
        <w:rPr>
          <w:rFonts w:hint="eastAsia" w:ascii="宋体" w:hAnsi="宋体" w:cs="Arial"/>
          <w:color w:val="auto"/>
          <w:kern w:val="0"/>
          <w:szCs w:val="21"/>
          <w:highlight w:val="none"/>
        </w:rPr>
        <w:t>。</w:t>
      </w:r>
    </w:p>
    <w:p>
      <w:pPr>
        <w:widowControl/>
        <w:snapToGrid w:val="0"/>
        <w:spacing w:line="360" w:lineRule="auto"/>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根据上述标准，我公司属于监狱企业的理由为：</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w:t>
      </w:r>
    </w:p>
    <w:p>
      <w:pPr>
        <w:widowControl/>
        <w:snapToGrid w:val="0"/>
        <w:spacing w:line="360" w:lineRule="auto"/>
        <w:ind w:firstLine="420" w:firstLineChars="200"/>
        <w:jc w:val="left"/>
        <w:rPr>
          <w:rFonts w:ascii="宋体" w:hAnsi="宋体" w:cs="宋体"/>
          <w:color w:val="auto"/>
          <w:sz w:val="24"/>
          <w:highlight w:val="none"/>
        </w:rPr>
      </w:pPr>
      <w:r>
        <w:rPr>
          <w:rFonts w:hint="eastAsia" w:ascii="宋体" w:hAnsi="宋体" w:cs="Arial"/>
          <w:color w:val="auto"/>
          <w:kern w:val="0"/>
          <w:szCs w:val="21"/>
          <w:highlight w:val="none"/>
        </w:rPr>
        <w:t>本公司为参加（</w:t>
      </w:r>
      <w:r>
        <w:rPr>
          <w:rFonts w:hint="eastAsia" w:ascii="宋体" w:hAnsi="宋体" w:cs="Arial"/>
          <w:color w:val="auto"/>
          <w:kern w:val="0"/>
          <w:szCs w:val="21"/>
          <w:highlight w:val="none"/>
          <w:u w:val="single"/>
        </w:rPr>
        <w:t xml:space="preserve">    项目名称    </w:t>
      </w:r>
      <w:r>
        <w:rPr>
          <w:rFonts w:hint="eastAsia" w:ascii="宋体" w:hAnsi="宋体" w:cs="Arial"/>
          <w:color w:val="auto"/>
          <w:kern w:val="0"/>
          <w:szCs w:val="21"/>
          <w:highlight w:val="none"/>
        </w:rPr>
        <w:t>） （项目编号：</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）采购活动由本单位提供服务。</w:t>
      </w:r>
    </w:p>
    <w:p>
      <w:pPr>
        <w:tabs>
          <w:tab w:val="left" w:pos="4860"/>
        </w:tabs>
        <w:spacing w:line="588" w:lineRule="exact"/>
        <w:ind w:right="1560" w:firstLine="504" w:firstLineChars="200"/>
        <w:jc w:val="right"/>
        <w:rPr>
          <w:rFonts w:ascii="宋体" w:hAnsi="宋体" w:cs="宋体"/>
          <w:color w:val="auto"/>
          <w:spacing w:val="6"/>
          <w:sz w:val="24"/>
          <w:highlight w:val="none"/>
        </w:rPr>
      </w:pPr>
      <w:r>
        <w:rPr>
          <w:rFonts w:hint="eastAsia" w:ascii="宋体" w:hAnsi="宋体" w:cs="宋体"/>
          <w:color w:val="auto"/>
          <w:spacing w:val="6"/>
          <w:sz w:val="24"/>
          <w:highlight w:val="none"/>
        </w:rPr>
        <w:t>单位名称（盖章）：</w:t>
      </w:r>
    </w:p>
    <w:p>
      <w:pPr>
        <w:widowControl/>
        <w:snapToGrid w:val="0"/>
        <w:jc w:val="center"/>
        <w:rPr>
          <w:rFonts w:ascii="宋体" w:hAnsi="宋体" w:cs="宋体"/>
          <w:color w:val="auto"/>
          <w:sz w:val="24"/>
          <w:highlight w:val="none"/>
        </w:rPr>
      </w:pPr>
      <w:r>
        <w:rPr>
          <w:rFonts w:hint="eastAsia" w:ascii="宋体" w:hAnsi="宋体" w:cs="宋体"/>
          <w:color w:val="auto"/>
          <w:spacing w:val="6"/>
          <w:sz w:val="24"/>
          <w:highlight w:val="none"/>
        </w:rPr>
        <w:t xml:space="preserve">                       日  期：</w:t>
      </w:r>
    </w:p>
    <w:p>
      <w:pPr>
        <w:widowControl/>
        <w:snapToGrid w:val="0"/>
        <w:jc w:val="center"/>
        <w:rPr>
          <w:rFonts w:ascii="宋体" w:hAnsi="宋体" w:cs="宋体"/>
          <w:color w:val="auto"/>
          <w:sz w:val="24"/>
          <w:highlight w:val="none"/>
        </w:rPr>
      </w:pPr>
    </w:p>
    <w:p>
      <w:pPr>
        <w:widowControl/>
        <w:snapToGrid w:val="0"/>
        <w:jc w:val="center"/>
        <w:rPr>
          <w:rFonts w:ascii="宋体" w:hAnsi="宋体" w:cs="宋体"/>
          <w:color w:val="auto"/>
          <w:sz w:val="24"/>
          <w:highlight w:val="none"/>
        </w:rPr>
      </w:pPr>
    </w:p>
    <w:p>
      <w:pPr>
        <w:widowControl/>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请登录：</w:t>
      </w:r>
    </w:p>
    <w:p>
      <w:pPr>
        <w:rPr>
          <w:rFonts w:ascii="宋体" w:hAnsi="宋体" w:cs="宋体"/>
          <w:color w:val="auto"/>
          <w:sz w:val="24"/>
          <w:highlight w:val="none"/>
        </w:rPr>
      </w:pPr>
      <w:r>
        <w:rPr>
          <w:rFonts w:hint="eastAsia" w:ascii="宋体" w:hAnsi="宋体" w:cs="宋体"/>
          <w:b/>
          <w:color w:val="auto"/>
          <w:sz w:val="24"/>
          <w:highlight w:val="none"/>
        </w:rPr>
        <w:t>http://www.ccgp.gov.cn/zcfg/mof/201406/t20140616_4619272.htm认真阅读理解《财政部 司法部关于政府采购支持监狱企业发展有关问题的通知》（财库[2014]68号）再作出以上声明！</w:t>
      </w:r>
    </w:p>
    <w:p>
      <w:pPr>
        <w:pStyle w:val="2"/>
        <w:jc w:val="center"/>
        <w:rPr>
          <w:rFonts w:ascii="黑体" w:eastAsia="黑体" w:cs="黑体"/>
          <w:color w:val="auto"/>
          <w:sz w:val="30"/>
          <w:szCs w:val="30"/>
          <w:highlight w:val="none"/>
          <w:lang w:val="zh-CN"/>
        </w:rPr>
      </w:pPr>
    </w:p>
    <w:p>
      <w:pPr>
        <w:rPr>
          <w:color w:val="auto"/>
          <w:highlight w:val="none"/>
          <w:lang w:val="zh-CN"/>
        </w:rPr>
      </w:pPr>
    </w:p>
    <w:p>
      <w:pPr>
        <w:pStyle w:val="34"/>
        <w:snapToGrid w:val="0"/>
        <w:spacing w:before="120" w:after="120"/>
        <w:jc w:val="center"/>
        <w:rPr>
          <w:b/>
          <w:color w:val="auto"/>
          <w:sz w:val="30"/>
          <w:szCs w:val="30"/>
          <w:highlight w:val="none"/>
        </w:rPr>
      </w:pPr>
    </w:p>
    <w:p>
      <w:pPr>
        <w:pStyle w:val="34"/>
        <w:snapToGrid w:val="0"/>
        <w:spacing w:before="120" w:after="120"/>
        <w:jc w:val="center"/>
        <w:rPr>
          <w:b/>
          <w:color w:val="auto"/>
          <w:sz w:val="30"/>
          <w:szCs w:val="30"/>
          <w:highlight w:val="none"/>
        </w:rPr>
      </w:pPr>
    </w:p>
    <w:p>
      <w:pPr>
        <w:pStyle w:val="34"/>
        <w:snapToGrid w:val="0"/>
        <w:spacing w:before="120" w:after="120"/>
        <w:jc w:val="center"/>
        <w:rPr>
          <w:b/>
          <w:color w:val="auto"/>
          <w:sz w:val="30"/>
          <w:szCs w:val="30"/>
          <w:highlight w:val="none"/>
        </w:rPr>
      </w:pPr>
    </w:p>
    <w:p>
      <w:pPr>
        <w:widowControl/>
        <w:spacing w:line="330" w:lineRule="atLeast"/>
        <w:jc w:val="center"/>
        <w:rPr>
          <w:rFonts w:ascii="宋体" w:hAnsi="宋体" w:eastAsia="方正小标宋_GBK" w:cs="黑体"/>
          <w:b/>
          <w:bCs/>
          <w:color w:val="auto"/>
          <w:kern w:val="0"/>
          <w:sz w:val="32"/>
          <w:szCs w:val="32"/>
          <w:highlight w:val="none"/>
        </w:rPr>
      </w:pPr>
      <w:r>
        <w:rPr>
          <w:rFonts w:hint="eastAsia" w:ascii="宋体" w:hAnsi="宋体" w:eastAsia="方正小标宋_GBK" w:cs="黑体"/>
          <w:b/>
          <w:bCs/>
          <w:color w:val="auto"/>
          <w:kern w:val="0"/>
          <w:sz w:val="32"/>
          <w:szCs w:val="32"/>
          <w:highlight w:val="none"/>
        </w:rPr>
        <w:t xml:space="preserve"> </w:t>
      </w:r>
    </w:p>
    <w:p>
      <w:pPr>
        <w:rPr>
          <w:rFonts w:ascii="宋体" w:hAnsi="宋体" w:eastAsia="方正小标宋_GBK" w:cs="黑体"/>
          <w:b/>
          <w:bCs/>
          <w:color w:val="auto"/>
          <w:kern w:val="0"/>
          <w:sz w:val="32"/>
          <w:szCs w:val="32"/>
          <w:highlight w:val="none"/>
        </w:rPr>
      </w:pPr>
      <w:r>
        <w:rPr>
          <w:rFonts w:hint="eastAsia" w:ascii="宋体" w:hAnsi="宋体" w:eastAsia="方正小标宋_GBK" w:cs="黑体"/>
          <w:b/>
          <w:bCs/>
          <w:color w:val="auto"/>
          <w:kern w:val="0"/>
          <w:sz w:val="32"/>
          <w:szCs w:val="32"/>
          <w:highlight w:val="none"/>
        </w:rPr>
        <w:br w:type="page"/>
      </w:r>
    </w:p>
    <w:p>
      <w:pPr>
        <w:widowControl/>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64"/>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_GBK">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28" w:name="_Toc131845147"/>
    <w:bookmarkStart w:id="429" w:name="_Toc164085800"/>
    <w:bookmarkStart w:id="430" w:name="_Toc91899912"/>
    <w:bookmarkStart w:id="431" w:name="_Toc36110187"/>
    <w:r>
      <w:rPr>
        <w:rFonts w:hint="eastAsia" w:ascii="仿宋_GB2312" w:eastAsia="仿宋_GB2312"/>
        <w:kern w:val="0"/>
        <w:szCs w:val="21"/>
      </w:rPr>
      <w:t xml:space="preserve"> 页</w:t>
    </w:r>
    <w:bookmarkEnd w:id="428"/>
    <w:bookmarkEnd w:id="429"/>
    <w:bookmarkEnd w:id="430"/>
    <w:bookmarkEnd w:id="4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separate"/>
    </w:r>
    <w:r>
      <w:rPr>
        <w:rStyle w:val="74"/>
      </w:rPr>
      <w:t>23</w: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p>
  <w:p>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C84BA"/>
    <w:multiLevelType w:val="singleLevel"/>
    <w:tmpl w:val="A02C84BA"/>
    <w:lvl w:ilvl="0" w:tentative="0">
      <w:start w:val="1"/>
      <w:numFmt w:val="decimal"/>
      <w:lvlText w:val="(%1)"/>
      <w:lvlJc w:val="left"/>
      <w:pPr>
        <w:ind w:left="425" w:hanging="425"/>
      </w:pPr>
      <w:rPr>
        <w:rFonts w:hint="default"/>
      </w:rPr>
    </w:lvl>
  </w:abstractNum>
  <w:abstractNum w:abstractNumId="1">
    <w:nsid w:val="B171E3FC"/>
    <w:multiLevelType w:val="singleLevel"/>
    <w:tmpl w:val="B171E3FC"/>
    <w:lvl w:ilvl="0" w:tentative="0">
      <w:start w:val="1"/>
      <w:numFmt w:val="decimal"/>
      <w:lvlText w:val="%1."/>
      <w:lvlJc w:val="left"/>
      <w:pPr>
        <w:ind w:left="425" w:hanging="425"/>
      </w:pPr>
      <w:rPr>
        <w:rFonts w:hint="default"/>
      </w:rPr>
    </w:lvl>
  </w:abstractNum>
  <w:abstractNum w:abstractNumId="2">
    <w:nsid w:val="0000001F"/>
    <w:multiLevelType w:val="multilevel"/>
    <w:tmpl w:val="0000001F"/>
    <w:lvl w:ilvl="0" w:tentative="0">
      <w:start w:val="1"/>
      <w:numFmt w:val="decimal"/>
      <w:lvlText w:val="%1."/>
      <w:lvlJc w:val="left"/>
      <w:pPr>
        <w:ind w:left="1022" w:hanging="420"/>
      </w:pPr>
    </w:lvl>
    <w:lvl w:ilvl="1" w:tentative="0">
      <w:start w:val="1"/>
      <w:numFmt w:val="decimal"/>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3">
    <w:nsid w:val="00323C3F"/>
    <w:multiLevelType w:val="singleLevel"/>
    <w:tmpl w:val="00323C3F"/>
    <w:lvl w:ilvl="0" w:tentative="0">
      <w:start w:val="1"/>
      <w:numFmt w:val="decimal"/>
      <w:lvlText w:val="(%1)"/>
      <w:lvlJc w:val="left"/>
      <w:pPr>
        <w:ind w:left="425" w:hanging="425"/>
      </w:pPr>
      <w:rPr>
        <w:rFonts w:hint="default"/>
      </w:rPr>
    </w:lvl>
  </w:abstractNum>
  <w:abstractNum w:abstractNumId="4">
    <w:nsid w:val="2F4C5F06"/>
    <w:multiLevelType w:val="singleLevel"/>
    <w:tmpl w:val="2F4C5F06"/>
    <w:lvl w:ilvl="0" w:tentative="0">
      <w:start w:val="1"/>
      <w:numFmt w:val="decimal"/>
      <w:lvlText w:val="%1."/>
      <w:lvlJc w:val="left"/>
      <w:pPr>
        <w:ind w:left="425" w:hanging="425"/>
      </w:pPr>
      <w:rPr>
        <w:rFonts w:hint="default"/>
      </w:rPr>
    </w:lvl>
  </w:abstractNum>
  <w:abstractNum w:abstractNumId="5">
    <w:nsid w:val="5DB77234"/>
    <w:multiLevelType w:val="singleLevel"/>
    <w:tmpl w:val="5DB77234"/>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6FDC"/>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9D3"/>
    <w:rsid w:val="00040B70"/>
    <w:rsid w:val="00042441"/>
    <w:rsid w:val="00042533"/>
    <w:rsid w:val="00042DBB"/>
    <w:rsid w:val="00042E65"/>
    <w:rsid w:val="0004347C"/>
    <w:rsid w:val="00043907"/>
    <w:rsid w:val="00044F48"/>
    <w:rsid w:val="00047354"/>
    <w:rsid w:val="00050656"/>
    <w:rsid w:val="00050A19"/>
    <w:rsid w:val="000511B6"/>
    <w:rsid w:val="00051379"/>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05"/>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C45"/>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00A"/>
    <w:rsid w:val="000B268D"/>
    <w:rsid w:val="000B291B"/>
    <w:rsid w:val="000B2C62"/>
    <w:rsid w:val="000B456C"/>
    <w:rsid w:val="000B45B9"/>
    <w:rsid w:val="000B47CE"/>
    <w:rsid w:val="000B4B56"/>
    <w:rsid w:val="000B4C62"/>
    <w:rsid w:val="000B541D"/>
    <w:rsid w:val="000B54C1"/>
    <w:rsid w:val="000B5553"/>
    <w:rsid w:val="000B5980"/>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3E70"/>
    <w:rsid w:val="00153EB5"/>
    <w:rsid w:val="00154BBA"/>
    <w:rsid w:val="0015528F"/>
    <w:rsid w:val="00155B95"/>
    <w:rsid w:val="00156853"/>
    <w:rsid w:val="00157432"/>
    <w:rsid w:val="00157D35"/>
    <w:rsid w:val="00161185"/>
    <w:rsid w:val="001620BA"/>
    <w:rsid w:val="001623AC"/>
    <w:rsid w:val="00162BAA"/>
    <w:rsid w:val="00163C40"/>
    <w:rsid w:val="0016488B"/>
    <w:rsid w:val="00165758"/>
    <w:rsid w:val="00165A65"/>
    <w:rsid w:val="00166317"/>
    <w:rsid w:val="00166BE6"/>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77C"/>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09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C92"/>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19C"/>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3C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8CC"/>
    <w:rsid w:val="00227214"/>
    <w:rsid w:val="00227DDC"/>
    <w:rsid w:val="0023079F"/>
    <w:rsid w:val="00231135"/>
    <w:rsid w:val="00231B0B"/>
    <w:rsid w:val="00232555"/>
    <w:rsid w:val="00233538"/>
    <w:rsid w:val="00234248"/>
    <w:rsid w:val="0023449F"/>
    <w:rsid w:val="002344F5"/>
    <w:rsid w:val="0023454D"/>
    <w:rsid w:val="00234679"/>
    <w:rsid w:val="002359FC"/>
    <w:rsid w:val="00236157"/>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46F"/>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1C4"/>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3E7"/>
    <w:rsid w:val="00314919"/>
    <w:rsid w:val="00314C5A"/>
    <w:rsid w:val="0031531A"/>
    <w:rsid w:val="00315394"/>
    <w:rsid w:val="00315D77"/>
    <w:rsid w:val="00315D8E"/>
    <w:rsid w:val="00316002"/>
    <w:rsid w:val="00316CDE"/>
    <w:rsid w:val="0031752D"/>
    <w:rsid w:val="00317709"/>
    <w:rsid w:val="00320688"/>
    <w:rsid w:val="0032095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2668"/>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CA4"/>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16A"/>
    <w:rsid w:val="003A24CC"/>
    <w:rsid w:val="003A2512"/>
    <w:rsid w:val="003A2A53"/>
    <w:rsid w:val="003A2EE8"/>
    <w:rsid w:val="003A373C"/>
    <w:rsid w:val="003A3FDF"/>
    <w:rsid w:val="003A5378"/>
    <w:rsid w:val="003A553C"/>
    <w:rsid w:val="003A56DF"/>
    <w:rsid w:val="003A6008"/>
    <w:rsid w:val="003A703F"/>
    <w:rsid w:val="003A7D15"/>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B66"/>
    <w:rsid w:val="003C011C"/>
    <w:rsid w:val="003C0E32"/>
    <w:rsid w:val="003C1178"/>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85D"/>
    <w:rsid w:val="00406B32"/>
    <w:rsid w:val="004074FA"/>
    <w:rsid w:val="00407A56"/>
    <w:rsid w:val="00407FCC"/>
    <w:rsid w:val="0041035A"/>
    <w:rsid w:val="00410E76"/>
    <w:rsid w:val="004112D1"/>
    <w:rsid w:val="004112EB"/>
    <w:rsid w:val="004113C9"/>
    <w:rsid w:val="00411D1E"/>
    <w:rsid w:val="00411DF2"/>
    <w:rsid w:val="004120DF"/>
    <w:rsid w:val="004126B5"/>
    <w:rsid w:val="00414909"/>
    <w:rsid w:val="00415034"/>
    <w:rsid w:val="004158D8"/>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6AF"/>
    <w:rsid w:val="00422907"/>
    <w:rsid w:val="00423125"/>
    <w:rsid w:val="00423309"/>
    <w:rsid w:val="004233AD"/>
    <w:rsid w:val="00424446"/>
    <w:rsid w:val="00424867"/>
    <w:rsid w:val="00425341"/>
    <w:rsid w:val="0042540C"/>
    <w:rsid w:val="004255FE"/>
    <w:rsid w:val="00425674"/>
    <w:rsid w:val="00425A82"/>
    <w:rsid w:val="00425C60"/>
    <w:rsid w:val="00426B2C"/>
    <w:rsid w:val="00427FA8"/>
    <w:rsid w:val="0043009D"/>
    <w:rsid w:val="0043026B"/>
    <w:rsid w:val="00430299"/>
    <w:rsid w:val="004303C1"/>
    <w:rsid w:val="004306D4"/>
    <w:rsid w:val="00431A2A"/>
    <w:rsid w:val="00432ECA"/>
    <w:rsid w:val="0043554E"/>
    <w:rsid w:val="004355D4"/>
    <w:rsid w:val="004357B1"/>
    <w:rsid w:val="00435821"/>
    <w:rsid w:val="0043583E"/>
    <w:rsid w:val="00436B50"/>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371"/>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3A3"/>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7E3"/>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987"/>
    <w:rsid w:val="004B1A2F"/>
    <w:rsid w:val="004B1A98"/>
    <w:rsid w:val="004B2463"/>
    <w:rsid w:val="004B2E9D"/>
    <w:rsid w:val="004B305F"/>
    <w:rsid w:val="004B34C4"/>
    <w:rsid w:val="004B34E8"/>
    <w:rsid w:val="004B3981"/>
    <w:rsid w:val="004B3A03"/>
    <w:rsid w:val="004B4156"/>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0A7"/>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ECA"/>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BA7"/>
    <w:rsid w:val="004E5101"/>
    <w:rsid w:val="004E5380"/>
    <w:rsid w:val="004E6746"/>
    <w:rsid w:val="004E6CAC"/>
    <w:rsid w:val="004E6F69"/>
    <w:rsid w:val="004E75C1"/>
    <w:rsid w:val="004E777F"/>
    <w:rsid w:val="004E7839"/>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D5D"/>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755"/>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3B0"/>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523"/>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95E"/>
    <w:rsid w:val="005B2B87"/>
    <w:rsid w:val="005B2FAA"/>
    <w:rsid w:val="005B30CD"/>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074"/>
    <w:rsid w:val="005D3327"/>
    <w:rsid w:val="005D4854"/>
    <w:rsid w:val="005D5BCF"/>
    <w:rsid w:val="005D65BF"/>
    <w:rsid w:val="005D6D84"/>
    <w:rsid w:val="005D70A1"/>
    <w:rsid w:val="005D79F2"/>
    <w:rsid w:val="005D7CB1"/>
    <w:rsid w:val="005D7F57"/>
    <w:rsid w:val="005E0067"/>
    <w:rsid w:val="005E0141"/>
    <w:rsid w:val="005E09CA"/>
    <w:rsid w:val="005E1AB4"/>
    <w:rsid w:val="005E1D45"/>
    <w:rsid w:val="005E255B"/>
    <w:rsid w:val="005E2CF7"/>
    <w:rsid w:val="005E2D10"/>
    <w:rsid w:val="005E2E91"/>
    <w:rsid w:val="005E4543"/>
    <w:rsid w:val="005E49C1"/>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B1C"/>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29A"/>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94A"/>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7CA"/>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DA6"/>
    <w:rsid w:val="006B5FBC"/>
    <w:rsid w:val="006B6ED2"/>
    <w:rsid w:val="006B7F74"/>
    <w:rsid w:val="006C0230"/>
    <w:rsid w:val="006C05C7"/>
    <w:rsid w:val="006C25AB"/>
    <w:rsid w:val="006C2DA6"/>
    <w:rsid w:val="006C3526"/>
    <w:rsid w:val="006C3581"/>
    <w:rsid w:val="006C39A0"/>
    <w:rsid w:val="006C3EFE"/>
    <w:rsid w:val="006C46C7"/>
    <w:rsid w:val="006C4767"/>
    <w:rsid w:val="006C4A1A"/>
    <w:rsid w:val="006C4D02"/>
    <w:rsid w:val="006C537A"/>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A36"/>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45E"/>
    <w:rsid w:val="006F36A5"/>
    <w:rsid w:val="006F41F4"/>
    <w:rsid w:val="006F4576"/>
    <w:rsid w:val="006F5813"/>
    <w:rsid w:val="006F59A8"/>
    <w:rsid w:val="006F5A1D"/>
    <w:rsid w:val="006F71A6"/>
    <w:rsid w:val="006F7974"/>
    <w:rsid w:val="006F7C2C"/>
    <w:rsid w:val="006F7F08"/>
    <w:rsid w:val="006F7FD5"/>
    <w:rsid w:val="00700405"/>
    <w:rsid w:val="00700D18"/>
    <w:rsid w:val="0070168D"/>
    <w:rsid w:val="007019DB"/>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A6B"/>
    <w:rsid w:val="00720B6A"/>
    <w:rsid w:val="007210F6"/>
    <w:rsid w:val="0072114F"/>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33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462"/>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533"/>
    <w:rsid w:val="007C0636"/>
    <w:rsid w:val="007C10E4"/>
    <w:rsid w:val="007C17B4"/>
    <w:rsid w:val="007C20F8"/>
    <w:rsid w:val="007C21C5"/>
    <w:rsid w:val="007C2229"/>
    <w:rsid w:val="007C2313"/>
    <w:rsid w:val="007C260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624"/>
    <w:rsid w:val="0080078E"/>
    <w:rsid w:val="00800B7F"/>
    <w:rsid w:val="008012B1"/>
    <w:rsid w:val="00801D63"/>
    <w:rsid w:val="0080348B"/>
    <w:rsid w:val="008034E0"/>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1797A"/>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6CC"/>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2A"/>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6C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0F4D"/>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8E5"/>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949"/>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30"/>
    <w:rsid w:val="00904DC3"/>
    <w:rsid w:val="00905299"/>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1DD"/>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C2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4FF0"/>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AE1"/>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2BC"/>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900"/>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1F94"/>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8D9"/>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4F8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E"/>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21"/>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24"/>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AB8"/>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CE8"/>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0"/>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553"/>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4FC"/>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91C"/>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313"/>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225"/>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6ED"/>
    <w:rsid w:val="00C07C11"/>
    <w:rsid w:val="00C07E10"/>
    <w:rsid w:val="00C10015"/>
    <w:rsid w:val="00C1110A"/>
    <w:rsid w:val="00C11689"/>
    <w:rsid w:val="00C12414"/>
    <w:rsid w:val="00C12A8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538"/>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04"/>
    <w:rsid w:val="00C664FB"/>
    <w:rsid w:val="00C665DE"/>
    <w:rsid w:val="00C667C3"/>
    <w:rsid w:val="00C6728B"/>
    <w:rsid w:val="00C70718"/>
    <w:rsid w:val="00C70B25"/>
    <w:rsid w:val="00C71528"/>
    <w:rsid w:val="00C717E4"/>
    <w:rsid w:val="00C7191B"/>
    <w:rsid w:val="00C71F09"/>
    <w:rsid w:val="00C72588"/>
    <w:rsid w:val="00C727B9"/>
    <w:rsid w:val="00C72C98"/>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96F"/>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45F"/>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693"/>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DBD"/>
    <w:rsid w:val="00CF029C"/>
    <w:rsid w:val="00CF0AF0"/>
    <w:rsid w:val="00CF157E"/>
    <w:rsid w:val="00CF1631"/>
    <w:rsid w:val="00CF1834"/>
    <w:rsid w:val="00CF1AAA"/>
    <w:rsid w:val="00CF1EC2"/>
    <w:rsid w:val="00CF2ACF"/>
    <w:rsid w:val="00CF345B"/>
    <w:rsid w:val="00CF475F"/>
    <w:rsid w:val="00CF498B"/>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8DE"/>
    <w:rsid w:val="00D05BA9"/>
    <w:rsid w:val="00D05EB1"/>
    <w:rsid w:val="00D0650B"/>
    <w:rsid w:val="00D068AA"/>
    <w:rsid w:val="00D06969"/>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C7D"/>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FC7"/>
    <w:rsid w:val="00D261F5"/>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E07"/>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CE6"/>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CC6"/>
    <w:rsid w:val="00DA3C5B"/>
    <w:rsid w:val="00DA3D23"/>
    <w:rsid w:val="00DA4A61"/>
    <w:rsid w:val="00DA5140"/>
    <w:rsid w:val="00DA5AFE"/>
    <w:rsid w:val="00DA61AB"/>
    <w:rsid w:val="00DA61CD"/>
    <w:rsid w:val="00DA6EE2"/>
    <w:rsid w:val="00DA718A"/>
    <w:rsid w:val="00DA78CF"/>
    <w:rsid w:val="00DA78D5"/>
    <w:rsid w:val="00DA7A89"/>
    <w:rsid w:val="00DA7BF4"/>
    <w:rsid w:val="00DB0038"/>
    <w:rsid w:val="00DB052F"/>
    <w:rsid w:val="00DB0E95"/>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505"/>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47E68"/>
    <w:rsid w:val="00E50BDD"/>
    <w:rsid w:val="00E510CF"/>
    <w:rsid w:val="00E513D7"/>
    <w:rsid w:val="00E519FE"/>
    <w:rsid w:val="00E5206C"/>
    <w:rsid w:val="00E522C6"/>
    <w:rsid w:val="00E52AAB"/>
    <w:rsid w:val="00E5448E"/>
    <w:rsid w:val="00E54E0D"/>
    <w:rsid w:val="00E55247"/>
    <w:rsid w:val="00E558E5"/>
    <w:rsid w:val="00E55B3C"/>
    <w:rsid w:val="00E56795"/>
    <w:rsid w:val="00E56C93"/>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5F46"/>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0CDA"/>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B8F"/>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D87"/>
    <w:rsid w:val="00EC1E8A"/>
    <w:rsid w:val="00EC328C"/>
    <w:rsid w:val="00EC32F5"/>
    <w:rsid w:val="00EC3852"/>
    <w:rsid w:val="00EC4528"/>
    <w:rsid w:val="00EC4F15"/>
    <w:rsid w:val="00EC5241"/>
    <w:rsid w:val="00EC566A"/>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FCA"/>
    <w:rsid w:val="00ED18B1"/>
    <w:rsid w:val="00ED1ADE"/>
    <w:rsid w:val="00ED3692"/>
    <w:rsid w:val="00ED3DBC"/>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82"/>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0E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478"/>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0D8"/>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E73"/>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560"/>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1A"/>
    <w:rsid w:val="00FC6D59"/>
    <w:rsid w:val="00FC7561"/>
    <w:rsid w:val="00FC78F5"/>
    <w:rsid w:val="00FC7ACA"/>
    <w:rsid w:val="00FC7AD2"/>
    <w:rsid w:val="00FD10B3"/>
    <w:rsid w:val="00FD11C3"/>
    <w:rsid w:val="00FD154E"/>
    <w:rsid w:val="00FD1D30"/>
    <w:rsid w:val="00FD24D7"/>
    <w:rsid w:val="00FD29CE"/>
    <w:rsid w:val="00FD3AE2"/>
    <w:rsid w:val="00FD3E41"/>
    <w:rsid w:val="00FD3EFA"/>
    <w:rsid w:val="00FD54A8"/>
    <w:rsid w:val="00FD5AE4"/>
    <w:rsid w:val="00FD5F25"/>
    <w:rsid w:val="00FD60A4"/>
    <w:rsid w:val="00FD60BE"/>
    <w:rsid w:val="00FD6894"/>
    <w:rsid w:val="00FD6AF0"/>
    <w:rsid w:val="00FD704D"/>
    <w:rsid w:val="00FD74EF"/>
    <w:rsid w:val="00FD79B8"/>
    <w:rsid w:val="00FD79F6"/>
    <w:rsid w:val="00FD7D42"/>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0EE"/>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91910"/>
    <w:rsid w:val="019F7441"/>
    <w:rsid w:val="01B37585"/>
    <w:rsid w:val="01D55165"/>
    <w:rsid w:val="01DF6BF8"/>
    <w:rsid w:val="01EC2C57"/>
    <w:rsid w:val="025E16EA"/>
    <w:rsid w:val="026B2E25"/>
    <w:rsid w:val="02824D4D"/>
    <w:rsid w:val="02DC4B10"/>
    <w:rsid w:val="02DD76CE"/>
    <w:rsid w:val="02F36323"/>
    <w:rsid w:val="02F5619C"/>
    <w:rsid w:val="0326446A"/>
    <w:rsid w:val="032D5555"/>
    <w:rsid w:val="036634D2"/>
    <w:rsid w:val="038B6C5D"/>
    <w:rsid w:val="03DD35E4"/>
    <w:rsid w:val="04076900"/>
    <w:rsid w:val="041A5A3B"/>
    <w:rsid w:val="042311BA"/>
    <w:rsid w:val="042B157A"/>
    <w:rsid w:val="048F763B"/>
    <w:rsid w:val="049F330E"/>
    <w:rsid w:val="04AA775C"/>
    <w:rsid w:val="04AF1889"/>
    <w:rsid w:val="04F66F48"/>
    <w:rsid w:val="05251E14"/>
    <w:rsid w:val="05341DD6"/>
    <w:rsid w:val="05A16594"/>
    <w:rsid w:val="05A7762D"/>
    <w:rsid w:val="05DA3257"/>
    <w:rsid w:val="060E5941"/>
    <w:rsid w:val="06110FAF"/>
    <w:rsid w:val="06493CA7"/>
    <w:rsid w:val="065A6178"/>
    <w:rsid w:val="06672502"/>
    <w:rsid w:val="066F1CF3"/>
    <w:rsid w:val="06930BB8"/>
    <w:rsid w:val="071D7AA0"/>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74F7F"/>
    <w:rsid w:val="0A3E7710"/>
    <w:rsid w:val="0A5847B8"/>
    <w:rsid w:val="0A5B7E63"/>
    <w:rsid w:val="0A5C29E6"/>
    <w:rsid w:val="0AA374A5"/>
    <w:rsid w:val="0AAB7649"/>
    <w:rsid w:val="0ABC5606"/>
    <w:rsid w:val="0AF27AD6"/>
    <w:rsid w:val="0B30404E"/>
    <w:rsid w:val="0B4C6C14"/>
    <w:rsid w:val="0B631A88"/>
    <w:rsid w:val="0B683D45"/>
    <w:rsid w:val="0B7F3F11"/>
    <w:rsid w:val="0B884417"/>
    <w:rsid w:val="0BF6188C"/>
    <w:rsid w:val="0BF73C91"/>
    <w:rsid w:val="0BFD2925"/>
    <w:rsid w:val="0C170175"/>
    <w:rsid w:val="0C571A41"/>
    <w:rsid w:val="0C5C1171"/>
    <w:rsid w:val="0C5E1CBC"/>
    <w:rsid w:val="0C615B50"/>
    <w:rsid w:val="0C8445DA"/>
    <w:rsid w:val="0C87121B"/>
    <w:rsid w:val="0CC007F7"/>
    <w:rsid w:val="0CE916F8"/>
    <w:rsid w:val="0CFE707A"/>
    <w:rsid w:val="0D063BDA"/>
    <w:rsid w:val="0D08375F"/>
    <w:rsid w:val="0D184CFB"/>
    <w:rsid w:val="0D4A7419"/>
    <w:rsid w:val="0D827401"/>
    <w:rsid w:val="0D84094E"/>
    <w:rsid w:val="0D8A00E9"/>
    <w:rsid w:val="0D8D589E"/>
    <w:rsid w:val="0DA01C73"/>
    <w:rsid w:val="0DD63300"/>
    <w:rsid w:val="0DE86FF1"/>
    <w:rsid w:val="0DF50604"/>
    <w:rsid w:val="0DF702FE"/>
    <w:rsid w:val="0E060E51"/>
    <w:rsid w:val="0E5604B2"/>
    <w:rsid w:val="0E6D5D79"/>
    <w:rsid w:val="0E767FF6"/>
    <w:rsid w:val="0E9D0089"/>
    <w:rsid w:val="0EB803EE"/>
    <w:rsid w:val="0EEA1757"/>
    <w:rsid w:val="0EF94D4B"/>
    <w:rsid w:val="0F4958DC"/>
    <w:rsid w:val="0F515DF7"/>
    <w:rsid w:val="0F596BA8"/>
    <w:rsid w:val="0F6248D2"/>
    <w:rsid w:val="0F693536"/>
    <w:rsid w:val="0F7B0511"/>
    <w:rsid w:val="0F7B76D9"/>
    <w:rsid w:val="0F816ACD"/>
    <w:rsid w:val="0F9832DB"/>
    <w:rsid w:val="0FBF3FD2"/>
    <w:rsid w:val="0FBF7FF3"/>
    <w:rsid w:val="105427B2"/>
    <w:rsid w:val="10646583"/>
    <w:rsid w:val="107D4B15"/>
    <w:rsid w:val="108A3C80"/>
    <w:rsid w:val="10C26171"/>
    <w:rsid w:val="10F33360"/>
    <w:rsid w:val="10FC16EA"/>
    <w:rsid w:val="11056D1C"/>
    <w:rsid w:val="110F1D40"/>
    <w:rsid w:val="11266F33"/>
    <w:rsid w:val="118963A1"/>
    <w:rsid w:val="11B22119"/>
    <w:rsid w:val="11C6522A"/>
    <w:rsid w:val="11E104CC"/>
    <w:rsid w:val="11E20309"/>
    <w:rsid w:val="12255233"/>
    <w:rsid w:val="122D2087"/>
    <w:rsid w:val="12530213"/>
    <w:rsid w:val="127723A9"/>
    <w:rsid w:val="12862074"/>
    <w:rsid w:val="12883966"/>
    <w:rsid w:val="129E45B4"/>
    <w:rsid w:val="12D81596"/>
    <w:rsid w:val="12E95A4E"/>
    <w:rsid w:val="13072A44"/>
    <w:rsid w:val="13497394"/>
    <w:rsid w:val="135F4BE2"/>
    <w:rsid w:val="139B1A0A"/>
    <w:rsid w:val="139D25C7"/>
    <w:rsid w:val="13BF3CE4"/>
    <w:rsid w:val="141008D8"/>
    <w:rsid w:val="14125FE6"/>
    <w:rsid w:val="1424395D"/>
    <w:rsid w:val="146D271E"/>
    <w:rsid w:val="148166BA"/>
    <w:rsid w:val="148809E4"/>
    <w:rsid w:val="14982588"/>
    <w:rsid w:val="149A5AD9"/>
    <w:rsid w:val="14A7619D"/>
    <w:rsid w:val="150536C3"/>
    <w:rsid w:val="150C1963"/>
    <w:rsid w:val="151447A0"/>
    <w:rsid w:val="15346D72"/>
    <w:rsid w:val="154A6454"/>
    <w:rsid w:val="154A7EAB"/>
    <w:rsid w:val="15762120"/>
    <w:rsid w:val="15E70E36"/>
    <w:rsid w:val="167069E6"/>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075E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5264D"/>
    <w:rsid w:val="1C0459C2"/>
    <w:rsid w:val="1C1B3B4A"/>
    <w:rsid w:val="1C427FA1"/>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817EB6"/>
    <w:rsid w:val="1FE868A9"/>
    <w:rsid w:val="1FFA462F"/>
    <w:rsid w:val="20034907"/>
    <w:rsid w:val="20052895"/>
    <w:rsid w:val="20173E4B"/>
    <w:rsid w:val="204E48BC"/>
    <w:rsid w:val="208921B3"/>
    <w:rsid w:val="20973DEB"/>
    <w:rsid w:val="20AC55F4"/>
    <w:rsid w:val="20B26522"/>
    <w:rsid w:val="20B44310"/>
    <w:rsid w:val="211116EB"/>
    <w:rsid w:val="216133FC"/>
    <w:rsid w:val="21D56769"/>
    <w:rsid w:val="21E52EF3"/>
    <w:rsid w:val="21FB5D7B"/>
    <w:rsid w:val="220B1C3D"/>
    <w:rsid w:val="221D1D20"/>
    <w:rsid w:val="22334A87"/>
    <w:rsid w:val="22BE6801"/>
    <w:rsid w:val="22FA56E7"/>
    <w:rsid w:val="2325581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94BE7"/>
    <w:rsid w:val="251A5A5D"/>
    <w:rsid w:val="256F590B"/>
    <w:rsid w:val="258B00E2"/>
    <w:rsid w:val="25A917A6"/>
    <w:rsid w:val="25B824FC"/>
    <w:rsid w:val="25BE27CC"/>
    <w:rsid w:val="25CC175F"/>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2F0FA3"/>
    <w:rsid w:val="2933608A"/>
    <w:rsid w:val="29345E77"/>
    <w:rsid w:val="294A001A"/>
    <w:rsid w:val="294C65AD"/>
    <w:rsid w:val="29806583"/>
    <w:rsid w:val="298B3C4C"/>
    <w:rsid w:val="29F26D24"/>
    <w:rsid w:val="2A15033F"/>
    <w:rsid w:val="2A1662C1"/>
    <w:rsid w:val="2A1C7367"/>
    <w:rsid w:val="2A2815FA"/>
    <w:rsid w:val="2A6D6092"/>
    <w:rsid w:val="2A7D76B4"/>
    <w:rsid w:val="2B28103D"/>
    <w:rsid w:val="2B3B6196"/>
    <w:rsid w:val="2B437463"/>
    <w:rsid w:val="2B465B0F"/>
    <w:rsid w:val="2B7807EE"/>
    <w:rsid w:val="2BAD5B8F"/>
    <w:rsid w:val="2BBF00EC"/>
    <w:rsid w:val="2BC37CFD"/>
    <w:rsid w:val="2BD5237F"/>
    <w:rsid w:val="2BE536CE"/>
    <w:rsid w:val="2BE758D9"/>
    <w:rsid w:val="2C09049E"/>
    <w:rsid w:val="2C0A653C"/>
    <w:rsid w:val="2C191F85"/>
    <w:rsid w:val="2C8B4122"/>
    <w:rsid w:val="2CCD1A24"/>
    <w:rsid w:val="2CE72848"/>
    <w:rsid w:val="2CE82D6F"/>
    <w:rsid w:val="2D0D5C17"/>
    <w:rsid w:val="2D270A9D"/>
    <w:rsid w:val="2D343236"/>
    <w:rsid w:val="2DD15014"/>
    <w:rsid w:val="2DF72DE4"/>
    <w:rsid w:val="2E0220AF"/>
    <w:rsid w:val="2E4B082A"/>
    <w:rsid w:val="2E5D4E86"/>
    <w:rsid w:val="2E5D790B"/>
    <w:rsid w:val="2E9A3C18"/>
    <w:rsid w:val="2EBB0FEE"/>
    <w:rsid w:val="2EC63002"/>
    <w:rsid w:val="2ECD27D0"/>
    <w:rsid w:val="2F0A6B38"/>
    <w:rsid w:val="2F946CCB"/>
    <w:rsid w:val="2FD25781"/>
    <w:rsid w:val="2FFD7934"/>
    <w:rsid w:val="30107441"/>
    <w:rsid w:val="304A60A2"/>
    <w:rsid w:val="30733ACD"/>
    <w:rsid w:val="308C3862"/>
    <w:rsid w:val="309379D8"/>
    <w:rsid w:val="30A270F7"/>
    <w:rsid w:val="30D96705"/>
    <w:rsid w:val="30DF1478"/>
    <w:rsid w:val="30EC586F"/>
    <w:rsid w:val="313034EA"/>
    <w:rsid w:val="319C6071"/>
    <w:rsid w:val="31A74FEE"/>
    <w:rsid w:val="31AC537E"/>
    <w:rsid w:val="31E3679B"/>
    <w:rsid w:val="31E732FD"/>
    <w:rsid w:val="32517576"/>
    <w:rsid w:val="32790BA6"/>
    <w:rsid w:val="32827D75"/>
    <w:rsid w:val="32B36180"/>
    <w:rsid w:val="32BE5C2C"/>
    <w:rsid w:val="32EE0230"/>
    <w:rsid w:val="32FB6478"/>
    <w:rsid w:val="33263B3F"/>
    <w:rsid w:val="336963EB"/>
    <w:rsid w:val="33816EEB"/>
    <w:rsid w:val="33947CC1"/>
    <w:rsid w:val="33E55AC4"/>
    <w:rsid w:val="33EB55CD"/>
    <w:rsid w:val="33EC4C02"/>
    <w:rsid w:val="340D2360"/>
    <w:rsid w:val="3410665D"/>
    <w:rsid w:val="34211214"/>
    <w:rsid w:val="342E63AB"/>
    <w:rsid w:val="34752352"/>
    <w:rsid w:val="348653C2"/>
    <w:rsid w:val="34950E68"/>
    <w:rsid w:val="34986E94"/>
    <w:rsid w:val="34AF62C9"/>
    <w:rsid w:val="34B34216"/>
    <w:rsid w:val="34CB4388"/>
    <w:rsid w:val="34FA6E12"/>
    <w:rsid w:val="351C5109"/>
    <w:rsid w:val="35873525"/>
    <w:rsid w:val="358D5588"/>
    <w:rsid w:val="360F1920"/>
    <w:rsid w:val="363A3B40"/>
    <w:rsid w:val="365302AE"/>
    <w:rsid w:val="36607A0A"/>
    <w:rsid w:val="3668738B"/>
    <w:rsid w:val="366E227C"/>
    <w:rsid w:val="366F2E0D"/>
    <w:rsid w:val="367B6A5C"/>
    <w:rsid w:val="36A74ADA"/>
    <w:rsid w:val="36AD60D5"/>
    <w:rsid w:val="36B224F9"/>
    <w:rsid w:val="36EC0CC9"/>
    <w:rsid w:val="370B4330"/>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FD5237"/>
    <w:rsid w:val="3B2349B7"/>
    <w:rsid w:val="3B616CFF"/>
    <w:rsid w:val="3B6259F6"/>
    <w:rsid w:val="3B765F9D"/>
    <w:rsid w:val="3B976654"/>
    <w:rsid w:val="3BC01EFC"/>
    <w:rsid w:val="3BCA786A"/>
    <w:rsid w:val="3BD31E2F"/>
    <w:rsid w:val="3BF15831"/>
    <w:rsid w:val="3C105946"/>
    <w:rsid w:val="3C471448"/>
    <w:rsid w:val="3C5F759A"/>
    <w:rsid w:val="3C6C525A"/>
    <w:rsid w:val="3CCE23CB"/>
    <w:rsid w:val="3CD17D17"/>
    <w:rsid w:val="3D12112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80EC9"/>
    <w:rsid w:val="4019356B"/>
    <w:rsid w:val="40592157"/>
    <w:rsid w:val="406E1CAE"/>
    <w:rsid w:val="40A0133A"/>
    <w:rsid w:val="40C31A53"/>
    <w:rsid w:val="40FF545D"/>
    <w:rsid w:val="410067C8"/>
    <w:rsid w:val="41485120"/>
    <w:rsid w:val="418F0D2A"/>
    <w:rsid w:val="41D01505"/>
    <w:rsid w:val="42474939"/>
    <w:rsid w:val="424C3C57"/>
    <w:rsid w:val="42613FF3"/>
    <w:rsid w:val="42660D96"/>
    <w:rsid w:val="428667D2"/>
    <w:rsid w:val="42CD1CE0"/>
    <w:rsid w:val="42E1381E"/>
    <w:rsid w:val="42ED6459"/>
    <w:rsid w:val="42FE58DD"/>
    <w:rsid w:val="42FF2D1C"/>
    <w:rsid w:val="43174B3D"/>
    <w:rsid w:val="434B790E"/>
    <w:rsid w:val="435067C5"/>
    <w:rsid w:val="4360274F"/>
    <w:rsid w:val="43977AB6"/>
    <w:rsid w:val="43A3342B"/>
    <w:rsid w:val="43C77C27"/>
    <w:rsid w:val="43DE09EE"/>
    <w:rsid w:val="44002FAD"/>
    <w:rsid w:val="449101DD"/>
    <w:rsid w:val="44B63B9C"/>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60321"/>
    <w:rsid w:val="48B94FF3"/>
    <w:rsid w:val="48E37AAB"/>
    <w:rsid w:val="48FD4B4C"/>
    <w:rsid w:val="490A68E0"/>
    <w:rsid w:val="491055FE"/>
    <w:rsid w:val="49514B8A"/>
    <w:rsid w:val="495F5B3E"/>
    <w:rsid w:val="496F77D7"/>
    <w:rsid w:val="497654FD"/>
    <w:rsid w:val="49B64211"/>
    <w:rsid w:val="49F6167F"/>
    <w:rsid w:val="4A064FA0"/>
    <w:rsid w:val="4A16615C"/>
    <w:rsid w:val="4A201EF6"/>
    <w:rsid w:val="4A4424D7"/>
    <w:rsid w:val="4A897A9B"/>
    <w:rsid w:val="4AA72A95"/>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3E6DCF"/>
    <w:rsid w:val="4D905305"/>
    <w:rsid w:val="4D964A72"/>
    <w:rsid w:val="4D9C1254"/>
    <w:rsid w:val="4E793892"/>
    <w:rsid w:val="4E800872"/>
    <w:rsid w:val="4EC569ED"/>
    <w:rsid w:val="4ECB0AE1"/>
    <w:rsid w:val="4ED50EA1"/>
    <w:rsid w:val="4EEC050C"/>
    <w:rsid w:val="4F104EC3"/>
    <w:rsid w:val="4F47354A"/>
    <w:rsid w:val="4F911C54"/>
    <w:rsid w:val="4FE625E0"/>
    <w:rsid w:val="5021480F"/>
    <w:rsid w:val="50962ECB"/>
    <w:rsid w:val="50A42E38"/>
    <w:rsid w:val="50A4577F"/>
    <w:rsid w:val="50AF686D"/>
    <w:rsid w:val="50B73D1F"/>
    <w:rsid w:val="50BD5BC9"/>
    <w:rsid w:val="50C11EEE"/>
    <w:rsid w:val="50E97CFC"/>
    <w:rsid w:val="50FA4028"/>
    <w:rsid w:val="510D65B7"/>
    <w:rsid w:val="511157AB"/>
    <w:rsid w:val="5142540C"/>
    <w:rsid w:val="515406D7"/>
    <w:rsid w:val="518832C8"/>
    <w:rsid w:val="51A0432A"/>
    <w:rsid w:val="51A86090"/>
    <w:rsid w:val="51B7396D"/>
    <w:rsid w:val="522E4CC3"/>
    <w:rsid w:val="5244713B"/>
    <w:rsid w:val="52615633"/>
    <w:rsid w:val="52946FDD"/>
    <w:rsid w:val="52977FD4"/>
    <w:rsid w:val="52A25790"/>
    <w:rsid w:val="52A96B6F"/>
    <w:rsid w:val="52B35794"/>
    <w:rsid w:val="52B45975"/>
    <w:rsid w:val="52D94AA4"/>
    <w:rsid w:val="52EA3A62"/>
    <w:rsid w:val="52F50BB8"/>
    <w:rsid w:val="53097272"/>
    <w:rsid w:val="53544462"/>
    <w:rsid w:val="5397158E"/>
    <w:rsid w:val="53A12D65"/>
    <w:rsid w:val="54013861"/>
    <w:rsid w:val="543D5452"/>
    <w:rsid w:val="54487265"/>
    <w:rsid w:val="544D6070"/>
    <w:rsid w:val="545033D7"/>
    <w:rsid w:val="545D78A2"/>
    <w:rsid w:val="54605E1E"/>
    <w:rsid w:val="546C3B80"/>
    <w:rsid w:val="54B3506A"/>
    <w:rsid w:val="54CA0D16"/>
    <w:rsid w:val="54DC110F"/>
    <w:rsid w:val="54DD4057"/>
    <w:rsid w:val="54E7490F"/>
    <w:rsid w:val="550764A4"/>
    <w:rsid w:val="550B2BF6"/>
    <w:rsid w:val="55214EB5"/>
    <w:rsid w:val="55364EFD"/>
    <w:rsid w:val="555D4828"/>
    <w:rsid w:val="557A4C8B"/>
    <w:rsid w:val="558931E1"/>
    <w:rsid w:val="55923347"/>
    <w:rsid w:val="55925180"/>
    <w:rsid w:val="55983B1B"/>
    <w:rsid w:val="55A8376B"/>
    <w:rsid w:val="55AC6D33"/>
    <w:rsid w:val="55DC29B6"/>
    <w:rsid w:val="55DD4241"/>
    <w:rsid w:val="55DE53FE"/>
    <w:rsid w:val="566B6D1E"/>
    <w:rsid w:val="57032A2C"/>
    <w:rsid w:val="5707036F"/>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BF6A63"/>
    <w:rsid w:val="59F12EBF"/>
    <w:rsid w:val="59F80043"/>
    <w:rsid w:val="5A09252F"/>
    <w:rsid w:val="5A0B2778"/>
    <w:rsid w:val="5A2A7C7B"/>
    <w:rsid w:val="5A3B2434"/>
    <w:rsid w:val="5A3E2560"/>
    <w:rsid w:val="5A517EA9"/>
    <w:rsid w:val="5A5D3B6E"/>
    <w:rsid w:val="5A637A76"/>
    <w:rsid w:val="5A6D33BA"/>
    <w:rsid w:val="5A792B1F"/>
    <w:rsid w:val="5A874767"/>
    <w:rsid w:val="5A8C43EE"/>
    <w:rsid w:val="5AA26455"/>
    <w:rsid w:val="5AAD6F28"/>
    <w:rsid w:val="5AD63A24"/>
    <w:rsid w:val="5B2E1A1D"/>
    <w:rsid w:val="5B351579"/>
    <w:rsid w:val="5B843A1C"/>
    <w:rsid w:val="5B873E3F"/>
    <w:rsid w:val="5C02690E"/>
    <w:rsid w:val="5C196DA7"/>
    <w:rsid w:val="5C2A048C"/>
    <w:rsid w:val="5C80234E"/>
    <w:rsid w:val="5C8A680C"/>
    <w:rsid w:val="5D0C4701"/>
    <w:rsid w:val="5D0F0395"/>
    <w:rsid w:val="5D221076"/>
    <w:rsid w:val="5D397964"/>
    <w:rsid w:val="5D5A391C"/>
    <w:rsid w:val="5D5F10C0"/>
    <w:rsid w:val="5D7237A8"/>
    <w:rsid w:val="5D891B7B"/>
    <w:rsid w:val="5DAD38EE"/>
    <w:rsid w:val="5E006862"/>
    <w:rsid w:val="5E0207B9"/>
    <w:rsid w:val="5E1834A1"/>
    <w:rsid w:val="5E261785"/>
    <w:rsid w:val="5E4A7017"/>
    <w:rsid w:val="5E552BBA"/>
    <w:rsid w:val="5E611C10"/>
    <w:rsid w:val="5ECA55AD"/>
    <w:rsid w:val="5EFC7377"/>
    <w:rsid w:val="5F06174D"/>
    <w:rsid w:val="5F3A3602"/>
    <w:rsid w:val="5F4F0E5B"/>
    <w:rsid w:val="5F593A88"/>
    <w:rsid w:val="5F6277C6"/>
    <w:rsid w:val="5F6D0B1D"/>
    <w:rsid w:val="5F8D0B82"/>
    <w:rsid w:val="5FCC5339"/>
    <w:rsid w:val="5FE34A5B"/>
    <w:rsid w:val="5FFE1E36"/>
    <w:rsid w:val="60232584"/>
    <w:rsid w:val="607330CE"/>
    <w:rsid w:val="60825176"/>
    <w:rsid w:val="609F2AC4"/>
    <w:rsid w:val="60E84C97"/>
    <w:rsid w:val="60FA2EE8"/>
    <w:rsid w:val="61054A27"/>
    <w:rsid w:val="6109328C"/>
    <w:rsid w:val="610A52BC"/>
    <w:rsid w:val="611D2366"/>
    <w:rsid w:val="61421856"/>
    <w:rsid w:val="615227C4"/>
    <w:rsid w:val="61654E3F"/>
    <w:rsid w:val="6182292A"/>
    <w:rsid w:val="619F7F92"/>
    <w:rsid w:val="61B71B64"/>
    <w:rsid w:val="61F94C26"/>
    <w:rsid w:val="62000E56"/>
    <w:rsid w:val="624F3E49"/>
    <w:rsid w:val="62632286"/>
    <w:rsid w:val="62885958"/>
    <w:rsid w:val="62BC6150"/>
    <w:rsid w:val="62DF24F6"/>
    <w:rsid w:val="62F40B65"/>
    <w:rsid w:val="62FC2CFE"/>
    <w:rsid w:val="63024505"/>
    <w:rsid w:val="635772E8"/>
    <w:rsid w:val="635B1DB5"/>
    <w:rsid w:val="63711FED"/>
    <w:rsid w:val="63880DDC"/>
    <w:rsid w:val="638D750D"/>
    <w:rsid w:val="63A20839"/>
    <w:rsid w:val="63AC6CC0"/>
    <w:rsid w:val="63E35DF8"/>
    <w:rsid w:val="64055776"/>
    <w:rsid w:val="64240056"/>
    <w:rsid w:val="643B7461"/>
    <w:rsid w:val="643E143A"/>
    <w:rsid w:val="648B6EEF"/>
    <w:rsid w:val="64C158BF"/>
    <w:rsid w:val="64CE2EAA"/>
    <w:rsid w:val="64F23A4E"/>
    <w:rsid w:val="653C3090"/>
    <w:rsid w:val="657C2877"/>
    <w:rsid w:val="65854376"/>
    <w:rsid w:val="658767BE"/>
    <w:rsid w:val="65892531"/>
    <w:rsid w:val="65B46CCE"/>
    <w:rsid w:val="65FD2C93"/>
    <w:rsid w:val="66195831"/>
    <w:rsid w:val="662E75B1"/>
    <w:rsid w:val="66342C2E"/>
    <w:rsid w:val="663E784C"/>
    <w:rsid w:val="668B6A45"/>
    <w:rsid w:val="672F3F24"/>
    <w:rsid w:val="673E055F"/>
    <w:rsid w:val="67551CE3"/>
    <w:rsid w:val="67587C3C"/>
    <w:rsid w:val="67A22552"/>
    <w:rsid w:val="67B22DCC"/>
    <w:rsid w:val="67BE71AA"/>
    <w:rsid w:val="67D90273"/>
    <w:rsid w:val="67DE5875"/>
    <w:rsid w:val="67E55852"/>
    <w:rsid w:val="67EB1AB4"/>
    <w:rsid w:val="67FA1285"/>
    <w:rsid w:val="680832BE"/>
    <w:rsid w:val="68264723"/>
    <w:rsid w:val="68551F4F"/>
    <w:rsid w:val="687C10C9"/>
    <w:rsid w:val="68840C16"/>
    <w:rsid w:val="68876EFB"/>
    <w:rsid w:val="68884654"/>
    <w:rsid w:val="689F444F"/>
    <w:rsid w:val="68B96DBB"/>
    <w:rsid w:val="68CA2805"/>
    <w:rsid w:val="68E937A3"/>
    <w:rsid w:val="69180510"/>
    <w:rsid w:val="693E15D3"/>
    <w:rsid w:val="69627681"/>
    <w:rsid w:val="6977531D"/>
    <w:rsid w:val="69CC2BFF"/>
    <w:rsid w:val="69F82FED"/>
    <w:rsid w:val="69FD55B8"/>
    <w:rsid w:val="6A0B1C62"/>
    <w:rsid w:val="6A2406C8"/>
    <w:rsid w:val="6ADE0BD1"/>
    <w:rsid w:val="6AE96859"/>
    <w:rsid w:val="6B147746"/>
    <w:rsid w:val="6B2158CC"/>
    <w:rsid w:val="6B24787C"/>
    <w:rsid w:val="6B39476E"/>
    <w:rsid w:val="6B5371EC"/>
    <w:rsid w:val="6B573233"/>
    <w:rsid w:val="6B5B6274"/>
    <w:rsid w:val="6B935D53"/>
    <w:rsid w:val="6C196F71"/>
    <w:rsid w:val="6C226FCB"/>
    <w:rsid w:val="6C31226F"/>
    <w:rsid w:val="6C552F0B"/>
    <w:rsid w:val="6C707673"/>
    <w:rsid w:val="6C8C67B7"/>
    <w:rsid w:val="6C9D744C"/>
    <w:rsid w:val="6CB43E09"/>
    <w:rsid w:val="6D167928"/>
    <w:rsid w:val="6D26299B"/>
    <w:rsid w:val="6D4772EC"/>
    <w:rsid w:val="6D9078AF"/>
    <w:rsid w:val="6DAA3FEF"/>
    <w:rsid w:val="6DC0172B"/>
    <w:rsid w:val="6DC52164"/>
    <w:rsid w:val="6DCB690C"/>
    <w:rsid w:val="6DD41A5B"/>
    <w:rsid w:val="6DF43C2E"/>
    <w:rsid w:val="6DF51CA3"/>
    <w:rsid w:val="6E1E434D"/>
    <w:rsid w:val="6E8335BD"/>
    <w:rsid w:val="6E8E12EF"/>
    <w:rsid w:val="6E972936"/>
    <w:rsid w:val="6ED446C5"/>
    <w:rsid w:val="6F150B5F"/>
    <w:rsid w:val="6F2A7D94"/>
    <w:rsid w:val="6F8331F1"/>
    <w:rsid w:val="6FAE1A09"/>
    <w:rsid w:val="6FC54822"/>
    <w:rsid w:val="6FD75BF8"/>
    <w:rsid w:val="707723D0"/>
    <w:rsid w:val="70F5661B"/>
    <w:rsid w:val="712D08D1"/>
    <w:rsid w:val="71360107"/>
    <w:rsid w:val="713B688E"/>
    <w:rsid w:val="71D43752"/>
    <w:rsid w:val="71F1796A"/>
    <w:rsid w:val="72154626"/>
    <w:rsid w:val="72262B5D"/>
    <w:rsid w:val="72283FF7"/>
    <w:rsid w:val="722B3028"/>
    <w:rsid w:val="722E7212"/>
    <w:rsid w:val="723A0474"/>
    <w:rsid w:val="724D529B"/>
    <w:rsid w:val="725923E4"/>
    <w:rsid w:val="72782FC9"/>
    <w:rsid w:val="72864BF7"/>
    <w:rsid w:val="729023FC"/>
    <w:rsid w:val="72F71196"/>
    <w:rsid w:val="7329580C"/>
    <w:rsid w:val="73546943"/>
    <w:rsid w:val="739966D1"/>
    <w:rsid w:val="73C0646E"/>
    <w:rsid w:val="73C27AB3"/>
    <w:rsid w:val="742222F5"/>
    <w:rsid w:val="74324450"/>
    <w:rsid w:val="74476126"/>
    <w:rsid w:val="7467234B"/>
    <w:rsid w:val="74706664"/>
    <w:rsid w:val="747F3682"/>
    <w:rsid w:val="749C4185"/>
    <w:rsid w:val="75067759"/>
    <w:rsid w:val="752B3379"/>
    <w:rsid w:val="752E6DCD"/>
    <w:rsid w:val="7551380D"/>
    <w:rsid w:val="75600BE5"/>
    <w:rsid w:val="7564475C"/>
    <w:rsid w:val="7583797F"/>
    <w:rsid w:val="75D20F1D"/>
    <w:rsid w:val="75DA2C18"/>
    <w:rsid w:val="75F54412"/>
    <w:rsid w:val="761D08E0"/>
    <w:rsid w:val="765D347C"/>
    <w:rsid w:val="76826699"/>
    <w:rsid w:val="76960CC6"/>
    <w:rsid w:val="76C87133"/>
    <w:rsid w:val="76CD08D5"/>
    <w:rsid w:val="76DB4B92"/>
    <w:rsid w:val="77052AA4"/>
    <w:rsid w:val="77136511"/>
    <w:rsid w:val="77340A39"/>
    <w:rsid w:val="77351FD0"/>
    <w:rsid w:val="77472422"/>
    <w:rsid w:val="777F31F2"/>
    <w:rsid w:val="77884AB3"/>
    <w:rsid w:val="77D1700D"/>
    <w:rsid w:val="77DA0571"/>
    <w:rsid w:val="77EC04CC"/>
    <w:rsid w:val="78406501"/>
    <w:rsid w:val="78775729"/>
    <w:rsid w:val="787E1A12"/>
    <w:rsid w:val="78A42DB0"/>
    <w:rsid w:val="78A656AB"/>
    <w:rsid w:val="78B2245C"/>
    <w:rsid w:val="78E172CC"/>
    <w:rsid w:val="78EA1D1F"/>
    <w:rsid w:val="78F87DC1"/>
    <w:rsid w:val="7904172F"/>
    <w:rsid w:val="790F7E27"/>
    <w:rsid w:val="792A231A"/>
    <w:rsid w:val="79316829"/>
    <w:rsid w:val="797E66A9"/>
    <w:rsid w:val="79A97383"/>
    <w:rsid w:val="79B22173"/>
    <w:rsid w:val="79E27E8B"/>
    <w:rsid w:val="79F850CE"/>
    <w:rsid w:val="79F859E9"/>
    <w:rsid w:val="79FD443C"/>
    <w:rsid w:val="7A0F29C5"/>
    <w:rsid w:val="7A1D1975"/>
    <w:rsid w:val="7A214D4A"/>
    <w:rsid w:val="7A3E5150"/>
    <w:rsid w:val="7A4670D6"/>
    <w:rsid w:val="7A534B63"/>
    <w:rsid w:val="7A615382"/>
    <w:rsid w:val="7A67303B"/>
    <w:rsid w:val="7AAB1D04"/>
    <w:rsid w:val="7ABA4368"/>
    <w:rsid w:val="7AD05746"/>
    <w:rsid w:val="7B257FFD"/>
    <w:rsid w:val="7B343476"/>
    <w:rsid w:val="7B475E5A"/>
    <w:rsid w:val="7B5A2978"/>
    <w:rsid w:val="7B5A7E4C"/>
    <w:rsid w:val="7B667AF9"/>
    <w:rsid w:val="7B7468F8"/>
    <w:rsid w:val="7BD44CB5"/>
    <w:rsid w:val="7BEE0103"/>
    <w:rsid w:val="7C0A0FE4"/>
    <w:rsid w:val="7C254906"/>
    <w:rsid w:val="7C590818"/>
    <w:rsid w:val="7C75431B"/>
    <w:rsid w:val="7C7C10F6"/>
    <w:rsid w:val="7C853BEA"/>
    <w:rsid w:val="7C881368"/>
    <w:rsid w:val="7CE27788"/>
    <w:rsid w:val="7D0C32F1"/>
    <w:rsid w:val="7D0F408D"/>
    <w:rsid w:val="7D491C6C"/>
    <w:rsid w:val="7D5429C0"/>
    <w:rsid w:val="7D6E6D43"/>
    <w:rsid w:val="7DB57A34"/>
    <w:rsid w:val="7DE60973"/>
    <w:rsid w:val="7DEF0916"/>
    <w:rsid w:val="7E0D5E06"/>
    <w:rsid w:val="7E1E5218"/>
    <w:rsid w:val="7E9A4E1F"/>
    <w:rsid w:val="7EA7723A"/>
    <w:rsid w:val="7EF56FBB"/>
    <w:rsid w:val="7F0768EB"/>
    <w:rsid w:val="7F143BEC"/>
    <w:rsid w:val="7F64630E"/>
    <w:rsid w:val="7F715AF2"/>
    <w:rsid w:val="7F8813C8"/>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29"/>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next w:val="25"/>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6">
    <w:name w:val="Body Text Indent"/>
    <w:basedOn w:val="1"/>
    <w:next w:val="1"/>
    <w:link w:val="78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6"/>
    <w:qFormat/>
    <w:uiPriority w:val="0"/>
    <w:pPr>
      <w:ind w:left="100" w:leftChars="2500"/>
    </w:pPr>
    <w:rPr>
      <w:rFonts w:ascii="宋体"/>
      <w:sz w:val="24"/>
      <w:szCs w:val="21"/>
      <w:lang w:val="zh-CN"/>
    </w:rPr>
  </w:style>
  <w:style w:type="paragraph" w:styleId="38">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713"/>
    <w:qFormat/>
    <w:uiPriority w:val="0"/>
    <w:rPr>
      <w:sz w:val="18"/>
      <w:szCs w:val="18"/>
    </w:rPr>
  </w:style>
  <w:style w:type="paragraph" w:styleId="41">
    <w:name w:val="footer"/>
    <w:basedOn w:val="1"/>
    <w:link w:val="888"/>
    <w:qFormat/>
    <w:uiPriority w:val="99"/>
    <w:pPr>
      <w:tabs>
        <w:tab w:val="center" w:pos="4153"/>
        <w:tab w:val="right" w:pos="8306"/>
      </w:tabs>
      <w:snapToGrid w:val="0"/>
      <w:jc w:val="left"/>
    </w:pPr>
    <w:rPr>
      <w:sz w:val="18"/>
      <w:szCs w:val="18"/>
    </w:rPr>
  </w:style>
  <w:style w:type="paragraph" w:styleId="42">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22"/>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1"/>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6"/>
    <w:qFormat/>
    <w:uiPriority w:val="0"/>
    <w:pPr>
      <w:spacing w:after="120" w:line="480" w:lineRule="auto"/>
    </w:pPr>
  </w:style>
  <w:style w:type="paragraph" w:styleId="58">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0"/>
    <w:qFormat/>
    <w:uiPriority w:val="0"/>
    <w:rPr>
      <w:b/>
      <w:bCs/>
    </w:rPr>
  </w:style>
  <w:style w:type="paragraph" w:styleId="62">
    <w:name w:val="Body Text First Indent"/>
    <w:basedOn w:val="23"/>
    <w:link w:val="831"/>
    <w:qFormat/>
    <w:uiPriority w:val="0"/>
    <w:pPr>
      <w:ind w:firstLine="420"/>
    </w:pPr>
    <w:rPr>
      <w:rFonts w:hAnsi="Calibri" w:cs="Times New Roman"/>
      <w:szCs w:val="20"/>
    </w:rPr>
  </w:style>
  <w:style w:type="paragraph" w:styleId="63">
    <w:name w:val="Body Text First Indent 2"/>
    <w:basedOn w:val="26"/>
    <w:link w:val="65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3 字符"/>
    <w:qFormat/>
    <w:uiPriority w:val="9"/>
    <w:rPr>
      <w:b/>
      <w:bCs/>
      <w:kern w:val="2"/>
      <w:sz w:val="32"/>
      <w:szCs w:val="32"/>
    </w:rPr>
  </w:style>
  <w:style w:type="paragraph" w:customStyle="1" w:styleId="82">
    <w:name w:val="首行缩进"/>
    <w:basedOn w:val="1"/>
    <w:qFormat/>
    <w:uiPriority w:val="0"/>
    <w:pPr>
      <w:spacing w:line="360" w:lineRule="auto"/>
      <w:ind w:firstLine="480" w:firstLineChars="200"/>
    </w:pPr>
    <w:rPr>
      <w:rFonts w:ascii="宋体"/>
      <w:sz w:val="24"/>
      <w:szCs w:val="20"/>
    </w:rPr>
  </w:style>
  <w:style w:type="paragraph" w:customStyle="1" w:styleId="83">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next w:val="44"/>
    <w:link w:val="661"/>
    <w:qFormat/>
    <w:uiPriority w:val="0"/>
    <w:pPr>
      <w:spacing w:before="156" w:line="360" w:lineRule="auto"/>
      <w:ind w:firstLine="510" w:firstLineChars="200"/>
    </w:pPr>
    <w:rPr>
      <w:sz w:val="24"/>
      <w:szCs w:val="20"/>
    </w:rPr>
  </w:style>
  <w:style w:type="paragraph" w:customStyle="1" w:styleId="89">
    <w:name w:val="无间隔1"/>
    <w:link w:val="669"/>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77"/>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3"/>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2"/>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5"/>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正文样式"/>
    <w:basedOn w:val="1"/>
    <w:link w:val="764"/>
    <w:qFormat/>
    <w:uiPriority w:val="0"/>
    <w:pPr>
      <w:adjustRightInd/>
      <w:spacing w:line="360" w:lineRule="auto"/>
      <w:ind w:firstLine="480" w:firstLineChars="200"/>
    </w:pPr>
    <w:rPr>
      <w:kern w:val="0"/>
      <w:sz w:val="24"/>
    </w:rPr>
  </w:style>
  <w:style w:type="paragraph" w:customStyle="1" w:styleId="100">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出段落1"/>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5"/>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17"/>
    <w:qFormat/>
    <w:uiPriority w:val="0"/>
    <w:pPr>
      <w:tabs>
        <w:tab w:val="left" w:pos="2356"/>
      </w:tabs>
    </w:pPr>
  </w:style>
  <w:style w:type="paragraph" w:customStyle="1" w:styleId="105">
    <w:name w:val="样式 标题 4h4H4Fab-4T5Ref Heading 1rh1Heading sqlsect 1.2.3...."/>
    <w:basedOn w:val="5"/>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0"/>
    <w:qFormat/>
    <w:uiPriority w:val="0"/>
    <w:pPr>
      <w:adjustRightInd/>
    </w:pPr>
    <w:rPr>
      <w:rFonts w:ascii="宋体" w:hAnsi="Courier New"/>
      <w:kern w:val="0"/>
      <w:sz w:val="20"/>
      <w:szCs w:val="20"/>
    </w:rPr>
  </w:style>
  <w:style w:type="paragraph" w:customStyle="1" w:styleId="108">
    <w:name w:val="正文说明"/>
    <w:basedOn w:val="1"/>
    <w:link w:val="842"/>
    <w:qFormat/>
    <w:uiPriority w:val="0"/>
    <w:pPr>
      <w:adjustRightInd/>
      <w:spacing w:line="360" w:lineRule="auto"/>
    </w:pPr>
    <w:rPr>
      <w:kern w:val="0"/>
      <w:sz w:val="24"/>
    </w:rPr>
  </w:style>
  <w:style w:type="paragraph" w:customStyle="1" w:styleId="109">
    <w:name w:val="Table Text"/>
    <w:basedOn w:val="1"/>
    <w:link w:val="848"/>
    <w:qFormat/>
    <w:uiPriority w:val="0"/>
    <w:pPr>
      <w:widowControl/>
      <w:spacing w:before="60" w:after="60"/>
      <w:jc w:val="left"/>
    </w:pPr>
    <w:rPr>
      <w:kern w:val="0"/>
      <w:sz w:val="24"/>
    </w:rPr>
  </w:style>
  <w:style w:type="paragraph" w:customStyle="1" w:styleId="110">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0"/>
    <w:qFormat/>
    <w:uiPriority w:val="0"/>
    <w:pPr>
      <w:widowControl/>
      <w:snapToGrid w:val="0"/>
      <w:spacing w:afterLines="50"/>
      <w:ind w:firstLine="200" w:firstLineChars="200"/>
    </w:pPr>
    <w:rPr>
      <w:kern w:val="0"/>
      <w:sz w:val="24"/>
      <w:szCs w:val="20"/>
    </w:rPr>
  </w:style>
  <w:style w:type="paragraph" w:customStyle="1" w:styleId="115">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1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5"/>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outlineLvl w:val="5"/>
    </w:pPr>
  </w:style>
  <w:style w:type="paragraph" w:customStyle="1" w:styleId="159">
    <w:name w:val="5级标题"/>
    <w:basedOn w:val="16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38"/>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6"/>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5"/>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Lines="50"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24"/>
    <w:next w:val="24"/>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24"/>
    <w:next w:val="24"/>
    <w:qFormat/>
    <w:uiPriority w:val="0"/>
    <w:rPr>
      <w:rFonts w:ascii="宋体" w:eastAsia="宋体" w:cs="Times New Roman"/>
      <w:color w:val="auto"/>
    </w:rPr>
  </w:style>
  <w:style w:type="paragraph" w:customStyle="1" w:styleId="23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2"/>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Lines="0" w:afterLines="0"/>
      <w:ind w:left="1680"/>
      <w:outlineLvl w:val="2"/>
    </w:pPr>
  </w:style>
  <w:style w:type="paragraph" w:customStyle="1" w:styleId="343">
    <w:name w:val="章标题"/>
    <w:next w:val="32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5"/>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Lines="50"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9"/>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5"/>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7"/>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3"/>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6"/>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7"/>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19">
    <w:name w:val="表格非标题文字 Char"/>
    <w:link w:val="83"/>
    <w:qFormat/>
    <w:uiPriority w:val="0"/>
    <w:rPr>
      <w:rFonts w:ascii="Futura Bk" w:hAnsi="Futura Bk"/>
      <w:kern w:val="2"/>
      <w:sz w:val="18"/>
      <w:szCs w:val="21"/>
      <w:lang w:val="en-US" w:eastAsia="zh-CN" w:bidi="ar-SA"/>
    </w:rPr>
  </w:style>
  <w:style w:type="character" w:customStyle="1" w:styleId="620">
    <w:name w:val="*正文 Char"/>
    <w:link w:val="84"/>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5"/>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字符"/>
    <w:link w:val="61"/>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6"/>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7"/>
    <w:qFormat/>
    <w:uiPriority w:val="0"/>
    <w:rPr>
      <w:rFonts w:ascii="仿宋_GB2312" w:hAnsi="微软雅黑" w:eastAsia="仿宋_GB2312"/>
      <w:sz w:val="28"/>
      <w:szCs w:val="21"/>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文本首行缩进 2 字符"/>
    <w:link w:val="63"/>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71"/>
    <w:qFormat/>
    <w:uiPriority w:val="0"/>
    <w:rPr>
      <w:rFonts w:ascii="Arial" w:hAnsi="Arial" w:eastAsia="黑体" w:cs="Arial"/>
      <w:snapToGrid w:val="0"/>
      <w:kern w:val="0"/>
      <w:szCs w:val="21"/>
    </w:rPr>
  </w:style>
  <w:style w:type="character" w:customStyle="1" w:styleId="65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8"/>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字符"/>
    <w:link w:val="48"/>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9"/>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字符"/>
    <w:link w:val="7"/>
    <w:qFormat/>
    <w:uiPriority w:val="0"/>
    <w:rPr>
      <w:rFonts w:ascii="Arial" w:hAnsi="Arial" w:eastAsia="黑体"/>
      <w:b/>
      <w:bCs/>
      <w:kern w:val="2"/>
      <w:sz w:val="24"/>
      <w:szCs w:val="24"/>
    </w:rPr>
  </w:style>
  <w:style w:type="character" w:customStyle="1" w:styleId="677">
    <w:name w:val="纯文本 Char_0"/>
    <w:link w:val="90"/>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92"/>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0"/>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3"/>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字符"/>
    <w:link w:val="37"/>
    <w:qFormat/>
    <w:uiPriority w:val="0"/>
    <w:rPr>
      <w:rFonts w:ascii="宋体"/>
      <w:kern w:val="2"/>
      <w:sz w:val="24"/>
      <w:szCs w:val="21"/>
      <w:lang w:val="zh-CN"/>
    </w:rPr>
  </w:style>
  <w:style w:type="character" w:customStyle="1" w:styleId="707">
    <w:name w:val="标题 9 字符"/>
    <w:link w:val="10"/>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字符1"/>
    <w:link w:val="40"/>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4"/>
    <w:qFormat/>
    <w:locked/>
    <w:uiPriority w:val="0"/>
    <w:rPr>
      <w:rFonts w:ascii="Tahoma" w:hAnsi="Tahoma"/>
      <w:sz w:val="24"/>
      <w:szCs w:val="24"/>
    </w:rPr>
  </w:style>
  <w:style w:type="character" w:customStyle="1" w:styleId="717">
    <w:name w:val="正文缩进 字符2"/>
    <w:link w:val="1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5"/>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字符"/>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71"/>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字符"/>
    <w:link w:val="31"/>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7"/>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8"/>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字符"/>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24"/>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9"/>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100"/>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101"/>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字符1"/>
    <w:link w:val="26"/>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3"/>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字符1"/>
    <w:link w:val="2"/>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字符"/>
    <w:link w:val="60"/>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字符"/>
    <w:link w:val="6"/>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字符"/>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字符"/>
    <w:link w:val="58"/>
    <w:qFormat/>
    <w:uiPriority w:val="0"/>
    <w:rPr>
      <w:rFonts w:ascii="黑体" w:hAnsi="Courier New" w:eastAsia="黑体"/>
    </w:rPr>
  </w:style>
  <w:style w:type="character" w:customStyle="1" w:styleId="816">
    <w:name w:val="正文文本 2 字符1"/>
    <w:link w:val="57"/>
    <w:qFormat/>
    <w:uiPriority w:val="0"/>
    <w:rPr>
      <w:kern w:val="2"/>
      <w:sz w:val="21"/>
      <w:szCs w:val="24"/>
    </w:rPr>
  </w:style>
  <w:style w:type="character" w:customStyle="1" w:styleId="817">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字符"/>
    <w:link w:val="8"/>
    <w:qFormat/>
    <w:uiPriority w:val="0"/>
    <w:rPr>
      <w:b/>
      <w:bCs/>
      <w:kern w:val="2"/>
      <w:sz w:val="24"/>
      <w:szCs w:val="24"/>
    </w:rPr>
  </w:style>
  <w:style w:type="character" w:customStyle="1" w:styleId="820">
    <w:name w:val="正文文本缩进 2 字符"/>
    <w:link w:val="38"/>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字符"/>
    <w:link w:val="51"/>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6"/>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7"/>
    <w:qFormat/>
    <w:uiPriority w:val="0"/>
    <w:rPr>
      <w:rFonts w:ascii="宋体" w:hAnsi="Courier New"/>
    </w:rPr>
  </w:style>
  <w:style w:type="character" w:customStyle="1" w:styleId="831">
    <w:name w:val="正文文本首行缩进 字符"/>
    <w:link w:val="62"/>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字符1"/>
    <w:link w:val="5"/>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字符"/>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8"/>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9"/>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字符1"/>
    <w:link w:val="19"/>
    <w:qFormat/>
    <w:uiPriority w:val="0"/>
    <w:rPr>
      <w:kern w:val="2"/>
      <w:sz w:val="21"/>
      <w:szCs w:val="24"/>
    </w:rPr>
  </w:style>
  <w:style w:type="character" w:customStyle="1" w:styleId="853">
    <w:name w:val="签名 字符"/>
    <w:link w:val="43"/>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10"/>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11"/>
    <w:qFormat/>
    <w:uiPriority w:val="0"/>
    <w:rPr>
      <w:rFonts w:ascii="宋体"/>
    </w:rPr>
  </w:style>
  <w:style w:type="character" w:customStyle="1" w:styleId="864">
    <w:name w:val="标题 8 字符"/>
    <w:link w:val="9"/>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字符"/>
    <w:link w:val="54"/>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2"/>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字符2"/>
    <w:link w:val="41"/>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3"/>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字符2"/>
    <w:link w:val="42"/>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4"/>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5"/>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6"/>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7"/>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71"/>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8"/>
    <w:qFormat/>
    <w:uiPriority w:val="0"/>
    <w:rPr>
      <w:rFonts w:cs="宋体"/>
      <w:kern w:val="2"/>
      <w:sz w:val="24"/>
    </w:rPr>
  </w:style>
  <w:style w:type="character" w:customStyle="1" w:styleId="9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71"/>
    <w:qFormat/>
    <w:uiPriority w:val="0"/>
    <w:rPr>
      <w:rFonts w:ascii="Arial" w:hAnsi="Arial" w:eastAsia="黑体" w:cs="Arial"/>
      <w:snapToGrid w:val="0"/>
      <w:kern w:val="0"/>
      <w:szCs w:val="21"/>
    </w:rPr>
  </w:style>
  <w:style w:type="character" w:customStyle="1" w:styleId="931">
    <w:name w:val="hui"/>
    <w:basedOn w:val="71"/>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字符"/>
    <w:link w:val="39"/>
    <w:qFormat/>
    <w:uiPriority w:val="0"/>
    <w:rPr>
      <w:kern w:val="2"/>
      <w:sz w:val="21"/>
      <w:szCs w:val="24"/>
      <w:lang w:val="zh-CN"/>
    </w:rPr>
  </w:style>
  <w:style w:type="character" w:customStyle="1" w:styleId="938">
    <w:name w:val="无间隔 Char"/>
    <w:link w:val="168"/>
    <w:qFormat/>
    <w:uiPriority w:val="99"/>
    <w:rPr>
      <w:kern w:val="2"/>
      <w:sz w:val="21"/>
      <w:szCs w:val="22"/>
    </w:rPr>
  </w:style>
  <w:style w:type="character" w:customStyle="1" w:styleId="939">
    <w:name w:val="标准文本 Char Char"/>
    <w:link w:val="606"/>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71"/>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2">
    <w:name w:val="正文缩进2"/>
    <w:basedOn w:val="1"/>
    <w:next w:val="1"/>
    <w:qFormat/>
    <w:uiPriority w:val="0"/>
    <w:pPr>
      <w:spacing w:line="312" w:lineRule="atLeast"/>
      <w:ind w:firstLine="420"/>
      <w:textAlignment w:val="baseline"/>
    </w:pPr>
    <w:rPr>
      <w:rFonts w:ascii="仿宋_GB2312"/>
      <w:b/>
      <w:kern w:val="0"/>
      <w:szCs w:val="32"/>
    </w:rPr>
  </w:style>
  <w:style w:type="paragraph" w:styleId="963">
    <w:name w:val="List Paragraph"/>
    <w:basedOn w:val="1"/>
    <w:qFormat/>
    <w:uiPriority w:val="99"/>
    <w:pPr>
      <w:ind w:firstLine="420" w:firstLineChars="200"/>
    </w:p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98154-E8AA-CF40-8D47-537BC46AAAB9}">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37560</Words>
  <Characters>39805</Characters>
  <Lines>284</Lines>
  <Paragraphs>80</Paragraphs>
  <TotalTime>7</TotalTime>
  <ScaleCrop>false</ScaleCrop>
  <LinksUpToDate>false</LinksUpToDate>
  <CharactersWithSpaces>42239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2022-02-14T01:10:00Z</cp:lastPrinted>
  <dcterms:modified xsi:type="dcterms:W3CDTF">2022-07-27T02:22:40Z</dcterms:modified>
  <dc:title>杭州市市民卡扩大发卡工程</dc:title>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CD3D8A9ED9E94BC89FC1ECBA1710F3F5</vt:lpwstr>
  </property>
  <property fmtid="{D5CDD505-2E9C-101B-9397-08002B2CF9AE}" pid="5" name="commondata">
    <vt:lpwstr>eyJoZGlkIjoiYzNlYTJjMTgwODNhMzdjNmZkZDViNjA5NDYyNjc0MWYifQ==</vt:lpwstr>
  </property>
</Properties>
</file>