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rPr>
          <w:rFonts w:hint="eastAsia" w:ascii="仿宋_GB2312" w:hAnsi="仿宋" w:eastAsia="仿宋_GB2312" w:cs="仿宋"/>
          <w:b/>
          <w:sz w:val="36"/>
          <w:szCs w:val="36"/>
        </w:rPr>
      </w:pPr>
      <w:bookmarkStart w:id="13" w:name="_GoBack"/>
      <w:bookmarkEnd w:id="13"/>
    </w:p>
    <w:p>
      <w:pPr>
        <w:adjustRightInd w:val="0"/>
        <w:snapToGrid w:val="0"/>
        <w:spacing w:before="100" w:beforeAutospacing="1" w:after="100" w:afterAutospacing="1" w:line="360" w:lineRule="auto"/>
        <w:jc w:val="center"/>
        <w:rPr>
          <w:rFonts w:hint="eastAsia" w:ascii="仿宋" w:hAnsi="仿宋" w:eastAsia="仿宋" w:cs="仿宋"/>
          <w:b/>
          <w:sz w:val="44"/>
          <w:szCs w:val="44"/>
          <w:lang w:eastAsia="zh-CN"/>
        </w:rPr>
      </w:pPr>
      <w:r>
        <w:rPr>
          <w:rFonts w:hint="eastAsia" w:ascii="仿宋" w:hAnsi="仿宋" w:eastAsia="仿宋" w:cs="仿宋"/>
          <w:b/>
          <w:sz w:val="52"/>
          <w:szCs w:val="52"/>
          <w:lang w:eastAsia="zh-CN"/>
        </w:rPr>
        <w:t>浙江省公安厅机场公安局空港亚运安保一体化指挥系统项目</w:t>
      </w:r>
    </w:p>
    <w:p>
      <w:pPr>
        <w:adjustRightInd w:val="0"/>
        <w:snapToGrid w:val="0"/>
        <w:spacing w:before="100" w:beforeAutospacing="1" w:after="100" w:afterAutospacing="1" w:line="360" w:lineRule="auto"/>
        <w:jc w:val="center"/>
        <w:rPr>
          <w:rFonts w:hint="eastAsia" w:ascii="仿宋_GB2312" w:hAnsi="仿宋" w:eastAsia="仿宋_GB2312" w:cs="仿宋"/>
          <w:b/>
          <w:sz w:val="40"/>
          <w:szCs w:val="40"/>
        </w:rPr>
      </w:pPr>
      <w:r>
        <w:rPr>
          <w:rFonts w:hint="eastAsia" w:ascii="仿宋_GB2312" w:hAnsi="仿宋" w:eastAsia="仿宋_GB2312" w:cs="仿宋"/>
          <w:b/>
          <w:sz w:val="40"/>
          <w:szCs w:val="40"/>
        </w:rPr>
        <w:t>公开招标文件</w:t>
      </w:r>
    </w:p>
    <w:p>
      <w:pPr>
        <w:adjustRightInd w:val="0"/>
        <w:snapToGrid w:val="0"/>
        <w:spacing w:before="100" w:beforeAutospacing="1" w:after="100" w:afterAutospacing="1" w:line="360" w:lineRule="auto"/>
        <w:jc w:val="center"/>
        <w:rPr>
          <w:rFonts w:hint="eastAsia" w:ascii="仿宋_GB2312" w:hAnsi="仿宋" w:eastAsia="仿宋_GB2312" w:cs="仿宋"/>
          <w:b/>
          <w:sz w:val="32"/>
          <w:szCs w:val="32"/>
        </w:rPr>
      </w:pPr>
      <w:r>
        <w:rPr>
          <w:rFonts w:hint="eastAsia" w:ascii="仿宋_GB2312" w:hAnsi="仿宋" w:eastAsia="仿宋_GB2312" w:cs="仿宋"/>
          <w:b/>
          <w:sz w:val="32"/>
          <w:szCs w:val="32"/>
        </w:rPr>
        <w:t>（线上电子招投标）</w:t>
      </w:r>
    </w:p>
    <w:p>
      <w:pPr>
        <w:pStyle w:val="19"/>
        <w:adjustRightInd w:val="0"/>
        <w:snapToGrid w:val="0"/>
        <w:spacing w:beforeLines="0" w:beforeAutospacing="1" w:afterLines="0" w:afterAutospacing="1" w:line="360" w:lineRule="auto"/>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rPr>
        <w:t>项目编号：</w:t>
      </w:r>
      <w:r>
        <w:rPr>
          <w:rFonts w:hint="eastAsia" w:ascii="仿宋_GB2312" w:hAnsi="仿宋" w:eastAsia="仿宋_GB2312" w:cs="仿宋"/>
          <w:b/>
          <w:bCs/>
          <w:sz w:val="36"/>
          <w:szCs w:val="36"/>
          <w:lang w:eastAsia="zh-CN"/>
        </w:rPr>
        <w:t>ZJTY2022H-GH-047</w:t>
      </w:r>
    </w:p>
    <w:p>
      <w:pPr>
        <w:pStyle w:val="19"/>
        <w:adjustRightInd w:val="0"/>
        <w:snapToGrid w:val="0"/>
        <w:spacing w:beforeLines="0" w:afterLines="0" w:line="360" w:lineRule="auto"/>
        <w:jc w:val="center"/>
        <w:rPr>
          <w:rFonts w:hint="eastAsia" w:ascii="仿宋_GB2312" w:hAnsi="仿宋" w:eastAsia="仿宋_GB2312" w:cs="仿宋"/>
          <w:b/>
          <w:bCs/>
          <w:w w:val="95"/>
          <w:sz w:val="30"/>
          <w:szCs w:val="30"/>
        </w:rPr>
      </w:pPr>
    </w:p>
    <w:p>
      <w:pPr>
        <w:pStyle w:val="19"/>
        <w:adjustRightInd w:val="0"/>
        <w:snapToGrid w:val="0"/>
        <w:spacing w:beforeLines="0" w:afterLines="0" w:line="360" w:lineRule="auto"/>
        <w:jc w:val="center"/>
        <w:rPr>
          <w:rFonts w:hint="eastAsia" w:ascii="仿宋_GB2312" w:hAnsi="仿宋" w:eastAsia="仿宋_GB2312" w:cs="仿宋"/>
          <w:b/>
          <w:bCs/>
          <w:w w:val="95"/>
          <w:sz w:val="30"/>
          <w:szCs w:val="30"/>
        </w:rPr>
      </w:pPr>
    </w:p>
    <w:p>
      <w:pPr>
        <w:pStyle w:val="19"/>
        <w:adjustRightInd w:val="0"/>
        <w:snapToGrid w:val="0"/>
        <w:spacing w:beforeLines="0" w:afterLines="0" w:line="360" w:lineRule="auto"/>
        <w:jc w:val="center"/>
        <w:rPr>
          <w:rFonts w:hint="eastAsia" w:ascii="仿宋_GB2312" w:hAnsi="仿宋" w:eastAsia="仿宋_GB2312" w:cs="仿宋"/>
          <w:b/>
          <w:bCs/>
          <w:w w:val="95"/>
          <w:sz w:val="30"/>
          <w:szCs w:val="30"/>
        </w:rPr>
      </w:pPr>
    </w:p>
    <w:p>
      <w:pPr>
        <w:pStyle w:val="19"/>
        <w:adjustRightInd w:val="0"/>
        <w:snapToGrid w:val="0"/>
        <w:spacing w:beforeLines="0" w:afterLines="0" w:line="360" w:lineRule="auto"/>
        <w:rPr>
          <w:rFonts w:hint="eastAsia" w:ascii="仿宋_GB2312" w:hAnsi="仿宋" w:eastAsia="仿宋_GB2312" w:cs="仿宋"/>
          <w:b/>
          <w:bCs/>
          <w:w w:val="95"/>
          <w:sz w:val="30"/>
          <w:szCs w:val="30"/>
        </w:rPr>
      </w:pPr>
    </w:p>
    <w:p>
      <w:pPr>
        <w:pStyle w:val="19"/>
        <w:adjustRightInd w:val="0"/>
        <w:snapToGrid w:val="0"/>
        <w:spacing w:beforeLines="0" w:afterLines="0" w:line="360" w:lineRule="auto"/>
        <w:rPr>
          <w:rFonts w:hint="eastAsia" w:ascii="仿宋_GB2312" w:hAnsi="仿宋" w:eastAsia="仿宋_GB2312" w:cs="仿宋"/>
          <w:b/>
          <w:bCs/>
          <w:w w:val="95"/>
          <w:sz w:val="30"/>
          <w:szCs w:val="30"/>
        </w:rPr>
      </w:pPr>
    </w:p>
    <w:p>
      <w:pPr>
        <w:pStyle w:val="19"/>
        <w:adjustRightInd w:val="0"/>
        <w:snapToGrid w:val="0"/>
        <w:spacing w:beforeLines="0" w:afterLines="0" w:line="360" w:lineRule="auto"/>
        <w:jc w:val="center"/>
        <w:rPr>
          <w:rFonts w:hint="eastAsia" w:ascii="仿宋_GB2312" w:hAnsi="仿宋" w:eastAsia="仿宋_GB2312" w:cs="仿宋"/>
          <w:b/>
          <w:bCs/>
          <w:w w:val="95"/>
          <w:sz w:val="30"/>
          <w:szCs w:val="30"/>
        </w:rPr>
      </w:pPr>
    </w:p>
    <w:p>
      <w:pPr>
        <w:pStyle w:val="19"/>
        <w:adjustRightInd w:val="0"/>
        <w:snapToGrid w:val="0"/>
        <w:spacing w:beforeLines="0" w:afterLines="0" w:line="360" w:lineRule="auto"/>
        <w:rPr>
          <w:rFonts w:hint="eastAsia" w:ascii="仿宋_GB2312" w:hAnsi="仿宋" w:eastAsia="仿宋_GB2312" w:cs="仿宋"/>
          <w:b/>
          <w:bCs/>
          <w:w w:val="95"/>
          <w:sz w:val="32"/>
          <w:szCs w:val="32"/>
        </w:rPr>
      </w:pPr>
    </w:p>
    <w:p>
      <w:pPr>
        <w:pStyle w:val="19"/>
        <w:adjustRightInd w:val="0"/>
        <w:snapToGrid w:val="0"/>
        <w:spacing w:beforeLines="0" w:afterLines="0" w:line="360" w:lineRule="auto"/>
        <w:ind w:firstLine="1221" w:firstLineChars="400"/>
        <w:rPr>
          <w:rFonts w:hint="eastAsia" w:ascii="仿宋_GB2312" w:hAnsi="仿宋" w:eastAsia="仿宋_GB2312" w:cs="仿宋"/>
          <w:b/>
          <w:bCs/>
          <w:w w:val="95"/>
          <w:sz w:val="32"/>
          <w:szCs w:val="32"/>
        </w:rPr>
      </w:pPr>
      <w:r>
        <w:rPr>
          <w:rFonts w:hint="eastAsia" w:ascii="仿宋_GB2312" w:hAnsi="仿宋" w:eastAsia="仿宋_GB2312" w:cs="仿宋"/>
          <w:b/>
          <w:bCs/>
          <w:w w:val="95"/>
          <w:sz w:val="32"/>
          <w:szCs w:val="32"/>
        </w:rPr>
        <w:t>采购人： 浙江省公安厅机场公安局</w:t>
      </w:r>
    </w:p>
    <w:p>
      <w:pPr>
        <w:pStyle w:val="19"/>
        <w:adjustRightInd w:val="0"/>
        <w:snapToGrid w:val="0"/>
        <w:spacing w:beforeLines="0" w:afterLines="0" w:line="360" w:lineRule="auto"/>
        <w:jc w:val="center"/>
        <w:rPr>
          <w:rFonts w:hint="eastAsia" w:ascii="仿宋_GB2312" w:hAnsi="仿宋" w:eastAsia="仿宋_GB2312" w:cs="仿宋"/>
          <w:b/>
          <w:bCs/>
          <w:w w:val="95"/>
          <w:sz w:val="32"/>
          <w:szCs w:val="32"/>
        </w:rPr>
      </w:pPr>
      <w:r>
        <w:rPr>
          <w:rFonts w:hint="eastAsia" w:ascii="仿宋_GB2312" w:hAnsi="仿宋" w:eastAsia="仿宋_GB2312" w:cs="仿宋"/>
          <w:b/>
          <w:bCs/>
          <w:w w:val="95"/>
          <w:sz w:val="32"/>
          <w:szCs w:val="32"/>
        </w:rPr>
        <w:t>招标代理机构：浙江通用招标代理有限公司</w:t>
      </w:r>
    </w:p>
    <w:p>
      <w:pPr>
        <w:adjustRightInd w:val="0"/>
        <w:snapToGrid w:val="0"/>
        <w:spacing w:line="360" w:lineRule="auto"/>
        <w:jc w:val="center"/>
        <w:rPr>
          <w:rFonts w:hint="eastAsia" w:ascii="仿宋_GB2312" w:hAnsi="仿宋" w:eastAsia="仿宋_GB2312" w:cs="仿宋"/>
          <w:b/>
          <w:sz w:val="32"/>
          <w:szCs w:val="32"/>
        </w:rPr>
      </w:pPr>
      <w:r>
        <w:rPr>
          <w:rFonts w:hint="eastAsia" w:ascii="仿宋_GB2312" w:hAnsi="仿宋" w:eastAsia="仿宋_GB2312" w:cs="仿宋"/>
          <w:b/>
          <w:bCs/>
          <w:w w:val="95"/>
          <w:sz w:val="32"/>
          <w:szCs w:val="32"/>
        </w:rPr>
        <w:t>2022</w:t>
      </w:r>
      <w:r>
        <w:rPr>
          <w:rFonts w:hint="eastAsia" w:ascii="仿宋_GB2312" w:hAnsi="仿宋" w:eastAsia="仿宋_GB2312" w:cs="仿宋"/>
          <w:b/>
          <w:sz w:val="32"/>
          <w:szCs w:val="32"/>
        </w:rPr>
        <w:t>年</w:t>
      </w:r>
      <w:r>
        <w:rPr>
          <w:rFonts w:hint="eastAsia" w:ascii="仿宋_GB2312" w:hAnsi="仿宋" w:eastAsia="仿宋_GB2312" w:cs="仿宋"/>
          <w:b/>
          <w:sz w:val="32"/>
          <w:szCs w:val="32"/>
          <w:lang w:val="en-US" w:eastAsia="zh-CN"/>
        </w:rPr>
        <w:t>1</w:t>
      </w:r>
      <w:r>
        <w:rPr>
          <w:rFonts w:hint="eastAsia" w:ascii="仿宋_GB2312" w:hAnsi="仿宋" w:eastAsia="仿宋_GB2312" w:cs="仿宋"/>
          <w:b/>
          <w:sz w:val="32"/>
          <w:szCs w:val="32"/>
          <w:lang w:val="en-US" w:eastAsia="zh-CN"/>
        </w:rPr>
        <w:t>1</w:t>
      </w:r>
      <w:r>
        <w:rPr>
          <w:rFonts w:hint="eastAsia" w:ascii="仿宋_GB2312" w:hAnsi="仿宋" w:eastAsia="仿宋_GB2312" w:cs="仿宋"/>
          <w:b/>
          <w:sz w:val="32"/>
          <w:szCs w:val="32"/>
        </w:rPr>
        <w:t>月</w:t>
      </w:r>
    </w:p>
    <w:p>
      <w:pPr>
        <w:adjustRightInd w:val="0"/>
        <w:snapToGrid w:val="0"/>
        <w:spacing w:line="360" w:lineRule="auto"/>
        <w:rPr>
          <w:rFonts w:hint="eastAsia" w:ascii="仿宋_GB2312" w:hAnsi="仿宋" w:eastAsia="仿宋_GB2312" w:cs="仿宋"/>
        </w:rPr>
        <w:sectPr>
          <w:headerReference r:id="rId4"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p>
    <w:p>
      <w:pPr>
        <w:adjustRightInd w:val="0"/>
        <w:snapToGrid w:val="0"/>
        <w:spacing w:line="360" w:lineRule="auto"/>
        <w:jc w:val="center"/>
        <w:rPr>
          <w:rFonts w:hint="eastAsia" w:ascii="仿宋_GB2312" w:hAnsi="仿宋" w:eastAsia="仿宋_GB2312" w:cs="仿宋"/>
        </w:rPr>
      </w:pPr>
    </w:p>
    <w:p>
      <w:pPr>
        <w:adjustRightInd w:val="0"/>
        <w:snapToGrid w:val="0"/>
        <w:spacing w:line="360" w:lineRule="auto"/>
        <w:jc w:val="center"/>
        <w:rPr>
          <w:rFonts w:hint="eastAsia" w:ascii="仿宋_GB2312" w:hAnsi="仿宋" w:eastAsia="仿宋_GB2312" w:cs="仿宋"/>
          <w:b/>
          <w:sz w:val="36"/>
          <w:szCs w:val="36"/>
        </w:rPr>
      </w:pPr>
      <w:r>
        <w:rPr>
          <w:rFonts w:hint="eastAsia" w:ascii="仿宋_GB2312" w:hAnsi="仿宋" w:eastAsia="仿宋_GB2312" w:cs="仿宋"/>
          <w:b/>
          <w:sz w:val="36"/>
          <w:szCs w:val="36"/>
        </w:rPr>
        <w:t>目    录</w:t>
      </w:r>
    </w:p>
    <w:p>
      <w:pPr>
        <w:adjustRightInd w:val="0"/>
        <w:snapToGrid w:val="0"/>
        <w:spacing w:line="360" w:lineRule="auto"/>
        <w:rPr>
          <w:rFonts w:hint="eastAsia" w:ascii="仿宋_GB2312" w:hAnsi="仿宋" w:eastAsia="仿宋_GB2312" w:cs="仿宋"/>
          <w:sz w:val="32"/>
        </w:rPr>
      </w:pPr>
    </w:p>
    <w:p>
      <w:pPr>
        <w:adjustRightInd w:val="0"/>
        <w:snapToGrid w:val="0"/>
        <w:spacing w:line="360" w:lineRule="auto"/>
        <w:jc w:val="center"/>
        <w:rPr>
          <w:rFonts w:hint="eastAsia" w:ascii="仿宋_GB2312" w:hAnsi="仿宋" w:eastAsia="仿宋_GB2312" w:cs="仿宋"/>
          <w:sz w:val="30"/>
          <w:szCs w:val="30"/>
        </w:rPr>
      </w:pPr>
      <w:r>
        <w:rPr>
          <w:rFonts w:hint="eastAsia" w:ascii="仿宋_GB2312" w:hAnsi="仿宋" w:eastAsia="仿宋_GB2312" w:cs="仿宋"/>
          <w:sz w:val="30"/>
          <w:szCs w:val="30"/>
        </w:rPr>
        <w:t>第一部分   招标公告……………………………………… 2</w:t>
      </w:r>
    </w:p>
    <w:p>
      <w:pPr>
        <w:adjustRightInd w:val="0"/>
        <w:snapToGrid w:val="0"/>
        <w:spacing w:line="360" w:lineRule="auto"/>
        <w:jc w:val="center"/>
        <w:rPr>
          <w:rFonts w:hint="eastAsia" w:ascii="仿宋_GB2312" w:hAnsi="仿宋" w:eastAsia="仿宋_GB2312" w:cs="仿宋"/>
          <w:sz w:val="30"/>
          <w:szCs w:val="30"/>
        </w:rPr>
      </w:pPr>
      <w:r>
        <w:rPr>
          <w:rFonts w:hint="eastAsia" w:ascii="仿宋_GB2312" w:hAnsi="仿宋" w:eastAsia="仿宋_GB2312" w:cs="仿宋"/>
          <w:sz w:val="30"/>
          <w:szCs w:val="30"/>
        </w:rPr>
        <w:t>第二部分   投标人须知…………………………………… 6</w:t>
      </w:r>
    </w:p>
    <w:p>
      <w:pPr>
        <w:adjustRightInd w:val="0"/>
        <w:snapToGrid w:val="0"/>
        <w:spacing w:line="360" w:lineRule="auto"/>
        <w:jc w:val="center"/>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第三部分   采购需求………………………………………</w:t>
      </w:r>
      <w:r>
        <w:rPr>
          <w:rFonts w:hint="eastAsia" w:ascii="仿宋_GB2312" w:hAnsi="仿宋" w:eastAsia="仿宋_GB2312" w:cs="仿宋"/>
          <w:sz w:val="30"/>
          <w:szCs w:val="30"/>
          <w:lang w:val="en-US" w:eastAsia="zh-CN"/>
        </w:rPr>
        <w:t>29</w:t>
      </w:r>
    </w:p>
    <w:p>
      <w:pPr>
        <w:adjustRightInd w:val="0"/>
        <w:snapToGrid w:val="0"/>
        <w:spacing w:line="360" w:lineRule="auto"/>
        <w:jc w:val="center"/>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第四部分   评分办法及评分标准…………………………</w:t>
      </w:r>
      <w:r>
        <w:rPr>
          <w:rFonts w:hint="eastAsia" w:ascii="仿宋_GB2312" w:hAnsi="仿宋" w:eastAsia="仿宋_GB2312" w:cs="仿宋"/>
          <w:sz w:val="30"/>
          <w:szCs w:val="30"/>
          <w:lang w:val="en-US" w:eastAsia="zh-CN"/>
        </w:rPr>
        <w:t>61</w:t>
      </w:r>
    </w:p>
    <w:p>
      <w:pPr>
        <w:adjustRightInd w:val="0"/>
        <w:snapToGrid w:val="0"/>
        <w:spacing w:line="360" w:lineRule="auto"/>
        <w:jc w:val="center"/>
        <w:rPr>
          <w:rFonts w:hint="default" w:ascii="仿宋_GB2312" w:hAnsi="仿宋" w:eastAsia="仿宋_GB2312" w:cs="仿宋"/>
          <w:sz w:val="30"/>
          <w:szCs w:val="30"/>
          <w:lang w:val="en-US" w:eastAsia="zh-CN"/>
        </w:rPr>
      </w:pPr>
      <w:r>
        <w:rPr>
          <w:rFonts w:hint="eastAsia" w:ascii="仿宋_GB2312" w:hAnsi="仿宋" w:eastAsia="仿宋_GB2312" w:cs="仿宋"/>
          <w:sz w:val="30"/>
          <w:szCs w:val="30"/>
        </w:rPr>
        <w:t>第五部分   合同主要条款…………………………………</w:t>
      </w:r>
      <w:r>
        <w:rPr>
          <w:rFonts w:hint="eastAsia" w:ascii="仿宋_GB2312" w:hAnsi="仿宋" w:eastAsia="仿宋_GB2312" w:cs="仿宋"/>
          <w:sz w:val="30"/>
          <w:szCs w:val="30"/>
          <w:lang w:val="en-US" w:eastAsia="zh-CN"/>
        </w:rPr>
        <w:t>65</w:t>
      </w:r>
    </w:p>
    <w:p>
      <w:pPr>
        <w:adjustRightInd w:val="0"/>
        <w:snapToGrid w:val="0"/>
        <w:spacing w:line="360" w:lineRule="auto"/>
        <w:jc w:val="center"/>
        <w:rPr>
          <w:rFonts w:hint="default" w:ascii="仿宋_GB2312" w:hAnsi="仿宋" w:eastAsia="仿宋_GB2312" w:cs="仿宋"/>
          <w:sz w:val="32"/>
          <w:lang w:val="en-US" w:eastAsia="zh-CN"/>
        </w:rPr>
      </w:pPr>
      <w:r>
        <w:rPr>
          <w:rFonts w:hint="eastAsia" w:ascii="仿宋_GB2312" w:hAnsi="仿宋" w:eastAsia="仿宋_GB2312" w:cs="仿宋"/>
          <w:sz w:val="30"/>
          <w:szCs w:val="30"/>
        </w:rPr>
        <w:t xml:space="preserve">第六部分   </w:t>
      </w:r>
      <w:bookmarkStart w:id="0" w:name="_Hlt91233176"/>
      <w:bookmarkEnd w:id="0"/>
      <w:r>
        <w:rPr>
          <w:rFonts w:hint="eastAsia" w:ascii="仿宋_GB2312" w:hAnsi="仿宋" w:eastAsia="仿宋_GB2312" w:cs="仿宋"/>
          <w:sz w:val="30"/>
          <w:szCs w:val="30"/>
        </w:rPr>
        <w:t>投标文件格式…………………………………</w:t>
      </w:r>
      <w:r>
        <w:rPr>
          <w:rFonts w:hint="eastAsia" w:ascii="仿宋_GB2312" w:hAnsi="仿宋" w:eastAsia="仿宋_GB2312" w:cs="仿宋"/>
          <w:sz w:val="30"/>
          <w:szCs w:val="30"/>
          <w:lang w:val="en-US" w:eastAsia="zh-CN"/>
        </w:rPr>
        <w:t>69</w:t>
      </w:r>
    </w:p>
    <w:p>
      <w:pPr>
        <w:pStyle w:val="19"/>
        <w:adjustRightInd w:val="0"/>
        <w:snapToGrid w:val="0"/>
        <w:spacing w:beforeLines="0" w:afterLines="0" w:line="360" w:lineRule="auto"/>
        <w:jc w:val="center"/>
        <w:outlineLvl w:val="0"/>
        <w:rPr>
          <w:rFonts w:hint="eastAsia" w:ascii="仿宋_GB2312" w:hAnsi="仿宋" w:eastAsia="仿宋_GB2312" w:cs="仿宋"/>
          <w:b/>
          <w:sz w:val="32"/>
          <w:szCs w:val="32"/>
        </w:rPr>
      </w:pPr>
      <w:r>
        <w:rPr>
          <w:rFonts w:hint="eastAsia" w:ascii="仿宋_GB2312" w:hAnsi="仿宋" w:eastAsia="仿宋_GB2312" w:cs="仿宋"/>
          <w:sz w:val="28"/>
          <w:szCs w:val="28"/>
        </w:rPr>
        <w:br w:type="page"/>
      </w:r>
      <w:r>
        <w:rPr>
          <w:rFonts w:hint="eastAsia" w:ascii="仿宋_GB2312" w:hAnsi="仿宋" w:eastAsia="仿宋_GB2312" w:cs="仿宋"/>
          <w:b/>
          <w:sz w:val="32"/>
          <w:szCs w:val="32"/>
        </w:rPr>
        <w:t>第一部分  招标公告</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项目概况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浙江省公安厅机场公安局空港亚运安保一体化指挥系统项目</w:t>
            </w:r>
            <w:r>
              <w:rPr>
                <w:rFonts w:hint="eastAsia" w:ascii="仿宋" w:hAnsi="仿宋" w:eastAsia="仿宋" w:cs="仿宋"/>
                <w:sz w:val="24"/>
              </w:rPr>
              <w:t>的潜在投标人应在政采云平台（http://zfcg.czt.zj.gov.cn）获取（下载）招标文件，并于202</w:t>
            </w:r>
            <w:r>
              <w:rPr>
                <w:rFonts w:hint="eastAsia" w:ascii="仿宋" w:hAnsi="仿宋" w:eastAsia="仿宋" w:cs="仿宋"/>
                <w:sz w:val="24"/>
                <w:highlight w:val="none"/>
                <w:rPrChange w:id="0" w:author="四月" w:date="2022-11-16T17:17:00Z">
                  <w:rPr>
                    <w:rFonts w:hint="eastAsia" w:ascii="仿宋" w:hAnsi="仿宋" w:eastAsia="仿宋" w:cs="仿宋"/>
                    <w:sz w:val="24"/>
                  </w:rPr>
                </w:rPrChange>
              </w:rPr>
              <w:t>2</w:t>
            </w:r>
            <w:r>
              <w:rPr>
                <w:rFonts w:hint="eastAsia" w:ascii="仿宋" w:hAnsi="仿宋" w:eastAsia="仿宋" w:cs="仿宋"/>
                <w:sz w:val="24"/>
                <w:highlight w:val="none"/>
                <w:rPrChange w:id="1" w:author="四月" w:date="2022-11-16T17:17:00Z">
                  <w:rPr>
                    <w:rFonts w:hint="eastAsia" w:ascii="仿宋" w:hAnsi="仿宋" w:eastAsia="仿宋" w:cs="仿宋"/>
                    <w:sz w:val="24"/>
                    <w:highlight w:val="yellow"/>
                  </w:rPr>
                </w:rPrChange>
              </w:rPr>
              <w:t>年</w:t>
            </w:r>
            <w:r>
              <w:rPr>
                <w:rFonts w:hint="eastAsia" w:ascii="仿宋" w:hAnsi="仿宋" w:eastAsia="仿宋" w:cs="仿宋"/>
                <w:sz w:val="24"/>
                <w:highlight w:val="none"/>
                <w:lang w:val="en-US" w:eastAsia="zh-CN"/>
                <w:rPrChange w:id="2" w:author="四月" w:date="2022-11-16T17:17:00Z">
                  <w:rPr>
                    <w:rFonts w:hint="eastAsia" w:ascii="仿宋" w:hAnsi="仿宋" w:eastAsia="仿宋" w:cs="仿宋"/>
                    <w:sz w:val="24"/>
                    <w:highlight w:val="yellow"/>
                    <w:lang w:val="en-US" w:eastAsia="zh-CN"/>
                  </w:rPr>
                </w:rPrChange>
              </w:rPr>
              <w:t>12</w:t>
            </w:r>
            <w:r>
              <w:rPr>
                <w:rFonts w:hint="eastAsia" w:ascii="仿宋" w:hAnsi="仿宋" w:eastAsia="仿宋" w:cs="仿宋"/>
                <w:sz w:val="24"/>
                <w:highlight w:val="none"/>
                <w:rPrChange w:id="3" w:author="四月" w:date="2022-11-16T17:17:00Z">
                  <w:rPr>
                    <w:rFonts w:hint="eastAsia" w:ascii="仿宋" w:hAnsi="仿宋" w:eastAsia="仿宋" w:cs="仿宋"/>
                    <w:sz w:val="24"/>
                    <w:highlight w:val="yellow"/>
                  </w:rPr>
                </w:rPrChange>
              </w:rPr>
              <w:t>月</w:t>
            </w:r>
            <w:r>
              <w:rPr>
                <w:rFonts w:hint="eastAsia" w:ascii="仿宋" w:hAnsi="仿宋" w:eastAsia="仿宋" w:cs="仿宋"/>
                <w:sz w:val="24"/>
                <w:highlight w:val="none"/>
                <w:lang w:val="en-US" w:eastAsia="zh-CN"/>
                <w:rPrChange w:id="4" w:author="四月" w:date="2022-11-16T17:17:00Z">
                  <w:rPr>
                    <w:rFonts w:hint="eastAsia" w:ascii="仿宋" w:hAnsi="仿宋" w:eastAsia="仿宋" w:cs="仿宋"/>
                    <w:sz w:val="24"/>
                    <w:highlight w:val="yellow"/>
                    <w:lang w:val="en-US" w:eastAsia="zh-CN"/>
                  </w:rPr>
                </w:rPrChange>
              </w:rPr>
              <w:t>8</w:t>
            </w:r>
            <w:r>
              <w:rPr>
                <w:rFonts w:hint="eastAsia" w:ascii="仿宋" w:hAnsi="仿宋" w:eastAsia="仿宋" w:cs="仿宋"/>
                <w:sz w:val="24"/>
                <w:highlight w:val="none"/>
                <w:rPrChange w:id="5" w:author="四月" w:date="2022-11-16T17:17:00Z">
                  <w:rPr>
                    <w:rFonts w:hint="eastAsia" w:ascii="仿宋" w:hAnsi="仿宋" w:eastAsia="仿宋" w:cs="仿宋"/>
                    <w:sz w:val="24"/>
                    <w:highlight w:val="yellow"/>
                  </w:rPr>
                </w:rPrChange>
              </w:rPr>
              <w:t>日</w:t>
            </w:r>
            <w:r>
              <w:rPr>
                <w:rFonts w:hint="eastAsia" w:ascii="仿宋" w:hAnsi="仿宋" w:eastAsia="仿宋" w:cs="仿宋"/>
                <w:sz w:val="24"/>
                <w:highlight w:val="none"/>
                <w:rPrChange w:id="6" w:author="四月" w:date="2022-11-16T17:17:00Z">
                  <w:rPr>
                    <w:rFonts w:hint="eastAsia" w:ascii="仿宋" w:hAnsi="仿宋" w:eastAsia="仿宋" w:cs="仿宋"/>
                    <w:sz w:val="24"/>
                  </w:rPr>
                </w:rPrChange>
              </w:rPr>
              <w:t>14:30（北京时间）前递交（上传）投标文件。 </w:t>
            </w:r>
          </w:p>
        </w:tc>
      </w:tr>
    </w:tbl>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一、项目基本情况 </w:t>
      </w:r>
      <w:r>
        <w:rPr>
          <w:rFonts w:hint="eastAsia" w:ascii="仿宋" w:hAnsi="仿宋" w:eastAsia="仿宋" w:cs="仿宋"/>
          <w:sz w:val="24"/>
        </w:rPr>
        <w:t>       </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ZJTY2022H-GH-047</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浙江省公安厅机场公安局空港亚运安保一体化指挥系统项目</w:t>
      </w:r>
    </w:p>
    <w:p>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预算金额（元）：</w:t>
      </w:r>
      <w:r>
        <w:rPr>
          <w:rFonts w:hint="eastAsia" w:ascii="仿宋" w:hAnsi="仿宋" w:eastAsia="仿宋" w:cs="仿宋"/>
          <w:sz w:val="24"/>
          <w:lang w:val="en-US" w:eastAsia="zh-CN"/>
        </w:rPr>
        <w:t>9800000</w:t>
      </w:r>
    </w:p>
    <w:p>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eastAsia="zh-CN"/>
        </w:rPr>
        <w:t>最高限价（元）：</w:t>
      </w:r>
      <w:r>
        <w:rPr>
          <w:rFonts w:hint="eastAsia" w:ascii="仿宋" w:hAnsi="仿宋" w:eastAsia="仿宋" w:cs="仿宋"/>
          <w:sz w:val="24"/>
          <w:lang w:val="en-US" w:eastAsia="zh-CN"/>
        </w:rPr>
        <w:t>9079700</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采购需求:详情：第三部分采购需求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数量:1</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单位：项</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合同履约期限：</w:t>
      </w:r>
      <w:r>
        <w:rPr>
          <w:rFonts w:hint="eastAsia" w:ascii="仿宋" w:hAnsi="仿宋" w:eastAsia="仿宋" w:cs="仿宋"/>
          <w:bCs/>
          <w:sz w:val="24"/>
        </w:rPr>
        <w:t>合同签订</w:t>
      </w:r>
      <w:r>
        <w:rPr>
          <w:rFonts w:hint="eastAsia" w:ascii="仿宋" w:hAnsi="仿宋" w:eastAsia="仿宋" w:cs="仿宋"/>
          <w:bCs/>
          <w:sz w:val="24"/>
          <w:highlight w:val="none"/>
        </w:rPr>
        <w:t>后</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rPr>
        <w:t>个月</w:t>
      </w:r>
      <w:r>
        <w:rPr>
          <w:rFonts w:hint="eastAsia" w:ascii="仿宋" w:hAnsi="仿宋" w:eastAsia="仿宋" w:cs="仿宋"/>
          <w:bCs/>
          <w:sz w:val="24"/>
        </w:rPr>
        <w:t>完成</w:t>
      </w:r>
      <w:r>
        <w:rPr>
          <w:rFonts w:hint="eastAsia" w:ascii="仿宋" w:hAnsi="仿宋" w:eastAsia="仿宋" w:cs="仿宋"/>
          <w:sz w:val="24"/>
        </w:rPr>
        <w:t>本项目，以具体合同签订日期为起始日期。</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本项目接受联合体投标。</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二、申请人的资格要求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 2.</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无。</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3.本项目的特定资格要求：无。</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三、获取招标文件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时间：/至2022年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 ，每天上午00:00至12:00 ，下午12:00至23:59（北京时间，线上获取法定节假日均可，线下获取文件法定节假日除外）</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地点（网址）：政采云平台（http://zfcg.czt.zj.gov.cn）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售价（元）：0 </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四、提交投标文件截止时间、开标时间和地点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提交投标文件截止时间：2022年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日14:30（北京时间）</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投标地点（网址）：政府采购云平台（www.zcygov.cn）</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开标时间：2022年 </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日14:30（北京时间）</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开标地点（网址）：政府采购云平台（www.zcygov.cn）</w:t>
      </w:r>
    </w:p>
    <w:p>
      <w:pPr>
        <w:rPr>
          <w:rFonts w:hint="eastAsia" w:ascii="仿宋" w:hAnsi="仿宋" w:eastAsia="仿宋" w:cs="仿宋"/>
          <w:b/>
          <w:bCs/>
          <w:sz w:val="24"/>
        </w:rPr>
      </w:pPr>
      <w:r>
        <w:rPr>
          <w:rFonts w:hint="eastAsia" w:ascii="仿宋" w:hAnsi="仿宋" w:eastAsia="仿宋" w:cs="仿宋"/>
          <w:b/>
          <w:bCs/>
          <w:sz w:val="24"/>
        </w:rPr>
        <w:t>五、采购意向公开链接</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"https://zfcg.czt.zj.gov.cn/innerUsed_noticeDetails/index.html?noticeId=8659703&amp;utm=web-government-front.2e418808.0.0.efadb98058b811ed8ee2e76b85e028f8"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https://zfcg.czt.zj.gov.cn/innerUsed_noticeDetails/index.html?noticeId=8659703&amp;utm=web-government-front.2e418808.0.0.efadb98058b811ed8ee2e76b85e028f8</w:t>
      </w:r>
      <w:r>
        <w:rPr>
          <w:rFonts w:hint="eastAsia" w:ascii="仿宋" w:hAnsi="仿宋" w:eastAsia="仿宋" w:cs="仿宋"/>
          <w:sz w:val="24"/>
          <w:lang w:val="en-US" w:eastAsia="zh-CN"/>
        </w:rPr>
        <w:fldChar w:fldCharType="end"/>
      </w:r>
    </w:p>
    <w:p>
      <w:pPr>
        <w:rPr>
          <w:rFonts w:hint="eastAsia" w:ascii="仿宋" w:hAnsi="仿宋" w:eastAsia="仿宋" w:cs="仿宋"/>
          <w:b/>
          <w:bCs/>
          <w:sz w:val="24"/>
        </w:rPr>
      </w:pPr>
      <w:r>
        <w:rPr>
          <w:rFonts w:hint="eastAsia" w:ascii="仿宋" w:hAnsi="仿宋" w:eastAsia="仿宋" w:cs="仿宋"/>
          <w:b/>
          <w:bCs/>
          <w:sz w:val="24"/>
        </w:rPr>
        <w:t>六、公告期限</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七、其他补充事宜</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本项目招标文件实行“政府采购云平台”在线获取，不提供招标文件纸质版。供应商获取招标文件前应先完成“政府采购云平台”的账号注册；（2）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3）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 注：请供应商按上述要求获取招标文件，如未在“政采云”系统内完成相关流程，引起的投标无效责任自负。（4）本项目通过“政府采购云平台（www.zcygov.cn）”实行在线投标响应（电子投标），供应商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浙江政府采购网-下载专区-电子交易客户端”进行下载；通过“政府采购云平台”参与在线投标时如遇平台技术问题详询400-881-7190。（5）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6）投标人应当在投标截止时间前，将生成的“电子加密投标文件”上传递交至“政府采购云平台”。投标截止时间以后上传递交的投标文件将被“政府采购云平台”拒收。（7）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8）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9）供应商认为招标文件使自己的权益受到损害的，可以自收到招标文件之日（采购公告限期届满之日后收到招标文件的，以采购公告限期届满之日起计算）起7个工作日内，以书面形式向招标人和招标代理机构提出质疑。质疑供应商对招标代理机构的答复不满意或者招标代理机构未在规定的时间内作出答复的，可以在答复期满后十五个工作日内向同级政府采购监督管理部门投诉。（10）本项目对符合财政扶持政策的中小企业（小型、微型）、监狱企业、残疾人福利性单位给予价格优惠扶持，执行节能产品政府强制采购和优先采购政策，执行环境标志产品政府优先采购政策。(11)为支持和促进中小企业发展，杭州市财政局出台了政府采购信用融资政策，供应商可凭中标合同申请贷款，利率一般在基准利率左右（不同银行略有差异），具体可登录http://220.191.208.230/login.do办理业务。    </w:t>
      </w:r>
    </w:p>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八、对本次采购提出询问、质疑、投诉，请按以下方式联系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1.招标人信息</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称：浙江省公安厅机场公安局</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宋体"/>
          <w:sz w:val="24"/>
        </w:rPr>
        <w:t>杭州市萧山国际机场新公安楼</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项目联系人：</w:t>
      </w:r>
      <w:r>
        <w:rPr>
          <w:rFonts w:hint="eastAsia" w:ascii="仿宋" w:hAnsi="仿宋" w:eastAsia="仿宋" w:cs="仿宋"/>
          <w:sz w:val="24"/>
          <w:highlight w:val="none"/>
          <w:lang w:eastAsia="zh-CN"/>
        </w:rPr>
        <w:t>倪纵宾</w:t>
      </w:r>
    </w:p>
    <w:p>
      <w:pPr>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w:t>
      </w:r>
      <w:r>
        <w:rPr>
          <w:rFonts w:hint="eastAsia" w:ascii="仿宋" w:hAnsi="仿宋" w:eastAsia="仿宋" w:cs="仿宋"/>
          <w:sz w:val="24"/>
          <w:highlight w:val="none"/>
          <w:lang w:val="en-US" w:eastAsia="zh-CN"/>
        </w:rPr>
        <w:t>15857139696</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质疑联系人：</w:t>
      </w:r>
      <w:r>
        <w:rPr>
          <w:rFonts w:hint="eastAsia" w:ascii="仿宋" w:hAnsi="仿宋" w:eastAsia="仿宋" w:cs="仿宋"/>
          <w:sz w:val="24"/>
          <w:lang w:eastAsia="zh-CN"/>
        </w:rPr>
        <w:t>李晔</w:t>
      </w:r>
    </w:p>
    <w:p>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eastAsia="仿宋"/>
          <w:lang w:val="en-US" w:eastAsia="zh-CN"/>
        </w:rPr>
        <w:t>0571-87287635</w:t>
      </w:r>
    </w:p>
    <w:p>
      <w:pPr>
        <w:adjustRightInd w:val="0"/>
        <w:spacing w:line="360" w:lineRule="auto"/>
        <w:ind w:firstLine="480" w:firstLineChars="200"/>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2.招标代理机构信息</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称：浙江通用招标代理有限公司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址：杭州市上城区清泰街571号1305室</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真：0571-89714678</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项目联系人：韩鑫</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项目联系方式：0571-87286661</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质疑联系人：叶智晨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质疑联系方式：0571-89714728　　　　      </w:t>
      </w:r>
    </w:p>
    <w:p>
      <w:pPr>
        <w:adjustRightInd w:val="0"/>
        <w:snapToGrid w:val="0"/>
        <w:spacing w:line="360" w:lineRule="auto"/>
        <w:ind w:firstLine="480" w:firstLineChars="200"/>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3.同级政府采购监督管理部门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称：浙江省财政厅政府采购监管处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址：杭州市环城西路37号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联系人：齐鲁、吴聪瑜        </w:t>
      </w:r>
    </w:p>
    <w:p>
      <w:pPr>
        <w:adjustRightInd w:val="0"/>
        <w:snapToGrid w:val="0"/>
        <w:spacing w:line="360" w:lineRule="auto"/>
        <w:ind w:firstLine="480" w:firstLineChars="200"/>
        <w:rPr>
          <w:rFonts w:hint="eastAsia" w:ascii="宋体" w:hAnsi="宋体" w:cs="宋体"/>
          <w:szCs w:val="21"/>
        </w:rPr>
      </w:pPr>
      <w:r>
        <w:rPr>
          <w:rFonts w:hint="eastAsia" w:ascii="仿宋" w:hAnsi="仿宋" w:eastAsia="仿宋" w:cs="仿宋"/>
          <w:sz w:val="24"/>
        </w:rPr>
        <w:t>监督投诉电话：0571-87057612、87058489</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       </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adjustRightInd w:val="0"/>
        <w:snapToGrid w:val="0"/>
        <w:spacing w:line="360" w:lineRule="auto"/>
        <w:rPr>
          <w:rFonts w:hint="eastAsia" w:ascii="仿宋_GB2312" w:hAnsi="仿宋" w:eastAsia="仿宋_GB2312" w:cs="仿宋"/>
          <w:b/>
          <w:sz w:val="32"/>
        </w:rPr>
      </w:pPr>
    </w:p>
    <w:p>
      <w:pPr>
        <w:pStyle w:val="13"/>
        <w:rPr>
          <w:rFonts w:hint="eastAsia" w:ascii="仿宋_GB2312" w:hAnsi="仿宋" w:eastAsia="仿宋_GB2312" w:cs="仿宋"/>
          <w:b/>
          <w:sz w:val="32"/>
        </w:rPr>
      </w:pPr>
    </w:p>
    <w:p>
      <w:pPr>
        <w:pStyle w:val="14"/>
        <w:ind w:firstLine="321"/>
        <w:rPr>
          <w:rFonts w:hint="eastAsia" w:ascii="仿宋_GB2312" w:hAnsi="仿宋" w:eastAsia="仿宋_GB2312" w:cs="仿宋"/>
          <w:b/>
          <w:sz w:val="32"/>
        </w:rPr>
      </w:pPr>
    </w:p>
    <w:p>
      <w:pPr>
        <w:rPr>
          <w:rFonts w:hint="eastAsia" w:ascii="仿宋_GB2312" w:hAnsi="仿宋" w:eastAsia="仿宋_GB2312" w:cs="仿宋"/>
          <w:b/>
          <w:sz w:val="32"/>
        </w:rPr>
      </w:pPr>
    </w:p>
    <w:p>
      <w:pPr>
        <w:adjustRightInd w:val="0"/>
        <w:snapToGrid w:val="0"/>
        <w:spacing w:line="360" w:lineRule="auto"/>
        <w:rPr>
          <w:rFonts w:hint="eastAsia" w:ascii="仿宋_GB2312" w:hAnsi="仿宋" w:eastAsia="仿宋_GB2312" w:cs="仿宋"/>
          <w:b/>
          <w:sz w:val="32"/>
        </w:rPr>
      </w:pPr>
    </w:p>
    <w:p>
      <w:pPr>
        <w:adjustRightInd w:val="0"/>
        <w:snapToGrid w:val="0"/>
        <w:spacing w:line="360" w:lineRule="auto"/>
        <w:jc w:val="center"/>
        <w:rPr>
          <w:rFonts w:hint="eastAsia" w:ascii="仿宋_GB2312" w:hAnsi="仿宋" w:eastAsia="仿宋_GB2312" w:cs="仿宋"/>
          <w:b/>
          <w:sz w:val="32"/>
        </w:rPr>
      </w:pPr>
      <w:r>
        <w:rPr>
          <w:rFonts w:hint="eastAsia" w:ascii="仿宋_GB2312" w:hAnsi="仿宋" w:eastAsia="仿宋_GB2312" w:cs="仿宋"/>
          <w:b/>
          <w:sz w:val="32"/>
        </w:rPr>
        <w:t>第二部分  投标人须知</w:t>
      </w:r>
    </w:p>
    <w:p>
      <w:pPr>
        <w:adjustRightInd w:val="0"/>
        <w:snapToGrid w:val="0"/>
        <w:spacing w:line="360" w:lineRule="auto"/>
        <w:jc w:val="center"/>
        <w:rPr>
          <w:rFonts w:hint="eastAsia" w:ascii="仿宋_GB2312" w:hAnsi="仿宋" w:eastAsia="仿宋_GB2312" w:cs="仿宋"/>
          <w:b/>
          <w:sz w:val="24"/>
        </w:rPr>
      </w:pPr>
      <w:r>
        <w:rPr>
          <w:rFonts w:hint="eastAsia" w:ascii="仿宋_GB2312" w:hAnsi="仿宋" w:eastAsia="仿宋_GB2312" w:cs="仿宋"/>
          <w:b/>
          <w:sz w:val="24"/>
        </w:rPr>
        <w:t>前 附 表</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项目名称：</w:t>
            </w:r>
            <w:r>
              <w:rPr>
                <w:rFonts w:hint="eastAsia" w:ascii="仿宋" w:hAnsi="仿宋" w:eastAsia="仿宋" w:cs="仿宋"/>
                <w:sz w:val="24"/>
                <w:lang w:eastAsia="zh-CN"/>
              </w:rPr>
              <w:t>浙江省公安厅机场公安局空港亚运安保一体化指挥系统项目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项目编号：</w:t>
            </w:r>
            <w:r>
              <w:rPr>
                <w:rFonts w:hint="eastAsia" w:ascii="仿宋" w:hAnsi="仿宋" w:eastAsia="仿宋" w:cs="仿宋"/>
                <w:sz w:val="24"/>
                <w:lang w:eastAsia="zh-CN"/>
              </w:rPr>
              <w:t>ZJTY2022H-GH-047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采购内容：</w:t>
            </w:r>
            <w:r>
              <w:rPr>
                <w:rFonts w:hint="eastAsia" w:ascii="仿宋" w:hAnsi="仿宋" w:eastAsia="仿宋" w:cs="仿宋"/>
                <w:sz w:val="24"/>
                <w:lang w:eastAsia="zh-CN"/>
              </w:rPr>
              <w:t>浙江省公安厅机场公安局空港亚运安保一体化指挥系统项目</w:t>
            </w:r>
            <w:r>
              <w:rPr>
                <w:rFonts w:hint="eastAsia" w:ascii="仿宋" w:hAnsi="仿宋" w:eastAsia="仿宋" w:cs="仿宋"/>
                <w:sz w:val="24"/>
              </w:rPr>
              <w:t>，详见《第三部分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项目预算：</w:t>
            </w:r>
            <w:r>
              <w:rPr>
                <w:rFonts w:hint="eastAsia" w:ascii="仿宋" w:hAnsi="仿宋" w:eastAsia="仿宋" w:cs="仿宋"/>
                <w:b w:val="0"/>
                <w:bCs w:val="0"/>
                <w:sz w:val="24"/>
              </w:rPr>
              <w:t>9</w:t>
            </w:r>
            <w:r>
              <w:rPr>
                <w:rFonts w:hint="eastAsia" w:ascii="仿宋" w:hAnsi="仿宋" w:eastAsia="仿宋" w:cs="仿宋"/>
                <w:b w:val="0"/>
                <w:bCs w:val="0"/>
                <w:sz w:val="24"/>
                <w:lang w:val="en-US" w:eastAsia="zh-CN"/>
              </w:rPr>
              <w:t>7</w:t>
            </w:r>
            <w:r>
              <w:rPr>
                <w:rFonts w:hint="eastAsia" w:ascii="仿宋" w:hAnsi="仿宋" w:eastAsia="仿宋" w:cs="仿宋"/>
                <w:b w:val="0"/>
                <w:bCs w:val="0"/>
                <w:sz w:val="24"/>
              </w:rPr>
              <w:t>9.088</w:t>
            </w:r>
            <w:r>
              <w:rPr>
                <w:rFonts w:hint="eastAsia" w:ascii="仿宋" w:hAnsi="仿宋" w:eastAsia="仿宋" w:cs="仿宋"/>
                <w:sz w:val="24"/>
              </w:rPr>
              <w:t>万;</w:t>
            </w:r>
          </w:p>
          <w:p>
            <w:pPr>
              <w:adjustRightInd w:val="0"/>
              <w:snapToGrid w:val="0"/>
              <w:spacing w:line="360" w:lineRule="auto"/>
              <w:rPr>
                <w:rFonts w:ascii="仿宋" w:hAnsi="仿宋" w:eastAsia="仿宋" w:cs="仿宋"/>
                <w:sz w:val="24"/>
              </w:rPr>
            </w:pPr>
            <w:r>
              <w:rPr>
                <w:rFonts w:hint="eastAsia" w:ascii="仿宋" w:hAnsi="仿宋" w:eastAsia="仿宋" w:cs="仿宋"/>
                <w:b/>
                <w:bCs/>
                <w:sz w:val="24"/>
              </w:rPr>
              <w:t>最高限价</w:t>
            </w:r>
            <w:r>
              <w:rPr>
                <w:rFonts w:hint="eastAsia" w:ascii="仿宋" w:hAnsi="仿宋" w:eastAsia="仿宋" w:cs="仿宋"/>
                <w:sz w:val="24"/>
              </w:rPr>
              <w:t>：</w:t>
            </w:r>
            <w:r>
              <w:rPr>
                <w:rFonts w:hint="eastAsia" w:ascii="仿宋" w:hAnsi="仿宋" w:eastAsia="仿宋" w:cs="仿宋"/>
                <w:sz w:val="24"/>
                <w:lang w:val="en-US" w:eastAsia="zh-CN"/>
              </w:rPr>
              <w:t>907.97</w:t>
            </w:r>
            <w:r>
              <w:rPr>
                <w:rFonts w:hint="eastAsia" w:ascii="仿宋" w:hAnsi="仿宋" w:eastAsia="仿宋" w:cs="仿宋"/>
                <w:sz w:val="24"/>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资金来源：</w:t>
            </w:r>
            <w:r>
              <w:rPr>
                <w:rFonts w:hint="eastAsia" w:ascii="仿宋" w:hAnsi="仿宋" w:eastAsia="仿宋" w:cs="仿宋"/>
                <w:sz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服务期限:</w:t>
            </w:r>
            <w:r>
              <w:rPr>
                <w:rFonts w:hint="eastAsia" w:ascii="仿宋" w:hAnsi="仿宋" w:eastAsia="仿宋" w:cs="仿宋"/>
                <w:b/>
                <w:sz w:val="24"/>
              </w:rPr>
              <w:t>合同签订后1</w:t>
            </w:r>
            <w:r>
              <w:rPr>
                <w:rFonts w:hint="eastAsia" w:ascii="仿宋" w:hAnsi="仿宋" w:eastAsia="仿宋" w:cs="仿宋"/>
                <w:b/>
                <w:sz w:val="24"/>
                <w:lang w:val="en-US" w:eastAsia="zh-CN"/>
              </w:rPr>
              <w:t>0</w:t>
            </w:r>
            <w:r>
              <w:rPr>
                <w:rFonts w:hint="eastAsia" w:ascii="仿宋" w:hAnsi="仿宋" w:eastAsia="仿宋" w:cs="仿宋"/>
                <w:b/>
                <w:sz w:val="24"/>
              </w:rPr>
              <w:t>个月内</w:t>
            </w:r>
            <w:r>
              <w:rPr>
                <w:rFonts w:hint="eastAsia" w:ascii="仿宋" w:hAnsi="仿宋" w:eastAsia="仿宋" w:cs="仿宋"/>
                <w:b/>
                <w:bCs/>
                <w:sz w:val="24"/>
              </w:rPr>
              <w:t>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项目实施地点：</w:t>
            </w:r>
            <w:r>
              <w:rPr>
                <w:rFonts w:hint="eastAsia" w:ascii="仿宋" w:hAnsi="仿宋" w:eastAsia="仿宋" w:cs="仿宋"/>
                <w:sz w:val="24"/>
              </w:rPr>
              <w:t>浙江省公安厅机场公安局指定地点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投标报价及费用：</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有关本项目所需的技术方案编写、项目实施费用和税金等所涉及的一切费用。《开标一览表》是报价的唯一载体。投标文件中价格全部采用人民币报价。招标文件未列明，而投标人认为必需的费用也需列入报价。投标人所承诺的货物或服务未在报价中体现的，招标人一律视为包含在本次报价中；</w:t>
            </w:r>
          </w:p>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（2）结算方式：总价包干。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资格审查方式：</w:t>
            </w:r>
            <w:r>
              <w:rPr>
                <w:rFonts w:hint="eastAsia" w:ascii="仿宋" w:hAnsi="仿宋" w:eastAsia="仿宋" w:cs="仿宋"/>
                <w:sz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分包：</w:t>
            </w:r>
            <w:r>
              <w:rPr>
                <w:rFonts w:hint="eastAsia" w:ascii="仿宋" w:hAnsi="仿宋" w:eastAsia="仿宋" w:cs="仿宋"/>
                <w:sz w:val="24"/>
              </w:rPr>
              <w:t>允许分包</w:t>
            </w:r>
          </w:p>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转包：</w:t>
            </w:r>
            <w:r>
              <w:rPr>
                <w:rFonts w:hint="eastAsia" w:ascii="仿宋" w:hAnsi="仿宋" w:eastAsia="仿宋" w:cs="仿宋"/>
                <w:sz w:val="24"/>
              </w:rPr>
              <w:t>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仿宋_GB2312" w:hAnsi="仿宋" w:eastAsia="仿宋_GB2312"/>
                <w:color w:val="FF0000"/>
                <w:sz w:val="24"/>
                <w:highlight w:val="yellow"/>
                <w:u w:val="single"/>
                <w:lang w:val="en-US"/>
              </w:rPr>
            </w:pPr>
            <w:r>
              <w:rPr>
                <w:rFonts w:hint="eastAsia" w:ascii="仿宋_GB2312" w:hAnsi="仿宋" w:eastAsia="仿宋_GB2312" w:cs="仿宋_GB2312"/>
                <w:b/>
                <w:sz w:val="24"/>
              </w:rPr>
              <w:t>项目属性与核心产品：</w:t>
            </w: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kern w:val="0"/>
                <w:sz w:val="24"/>
                <w:highlight w:val="none"/>
                <w:u w:val="single"/>
              </w:rPr>
              <w:t>：</w:t>
            </w:r>
            <w:r>
              <w:rPr>
                <w:rFonts w:hint="eastAsia" w:ascii="仿宋_GB2312" w:hAnsi="仿宋" w:eastAsia="仿宋_GB2312"/>
                <w:kern w:val="0"/>
                <w:sz w:val="24"/>
                <w:highlight w:val="none"/>
                <w:u w:val="single"/>
                <w:lang w:val="en-US" w:eastAsia="zh-CN"/>
              </w:rPr>
              <w:t xml:space="preserve">   </w:t>
            </w:r>
          </w:p>
          <w:p>
            <w:pPr>
              <w:adjustRightInd w:val="0"/>
              <w:snapToGrid w:val="0"/>
              <w:spacing w:line="360" w:lineRule="auto"/>
              <w:rPr>
                <w:rFonts w:hint="eastAsia" w:ascii="仿宋" w:hAnsi="仿宋" w:eastAsia="仿宋_GB2312" w:cs="仿宋"/>
                <w:b/>
                <w:bCs/>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投标文件有效期：</w:t>
            </w:r>
            <w:r>
              <w:rPr>
                <w:rFonts w:hint="eastAsia" w:ascii="仿宋" w:hAnsi="仿宋" w:eastAsia="仿宋" w:cs="仿宋"/>
                <w:sz w:val="24"/>
              </w:rPr>
              <w:t>自投标截止日起90日历天内有效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rPr>
            </w:pPr>
            <w:r>
              <w:rPr>
                <w:rFonts w:hint="eastAsia" w:ascii="仿宋" w:hAnsi="仿宋" w:eastAsia="仿宋" w:cs="仿宋"/>
                <w:b/>
                <w:bCs/>
                <w:sz w:val="24"/>
              </w:rPr>
              <w:t>开标前答疑会或现场考察：</w:t>
            </w:r>
            <w:r>
              <w:rPr>
                <w:rFonts w:hint="eastAsia" w:ascii="仿宋" w:hAnsi="仿宋" w:eastAsia="仿宋" w:cs="仿宋"/>
                <w:color w:val="auto"/>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样品提供：</w:t>
            </w: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cs="仿宋"/>
                <w:sz w:val="24"/>
              </w:rPr>
            </w:pPr>
            <w:r>
              <w:rPr>
                <w:rFonts w:hint="eastAsia" w:ascii="仿宋" w:hAnsi="仿宋" w:eastAsia="仿宋" w:cs="仿宋"/>
                <w:b/>
                <w:bCs/>
                <w:sz w:val="24"/>
                <w:highlight w:val="none"/>
              </w:rPr>
              <w:t>现场讲解或演示：</w:t>
            </w:r>
            <w:r>
              <w:rPr>
                <w:rFonts w:hint="eastAsia" w:ascii="仿宋" w:hAnsi="仿宋" w:eastAsia="仿宋" w:cs="仿宋"/>
                <w:sz w:val="24"/>
                <w:highlight w:val="none"/>
                <w:lang w:val="en-US" w:eastAsia="zh-CN"/>
              </w:rPr>
              <w:t>视频演示</w:t>
            </w:r>
            <w:r>
              <w:rPr>
                <w:rFonts w:hint="eastAsia"/>
                <w:highlight w:val="none"/>
              </w:rPr>
              <w:t>。</w:t>
            </w:r>
            <w:r>
              <w:rPr>
                <w:rFonts w:hint="eastAsia" w:ascii="仿宋_GB2312" w:hAnsi="宋体" w:eastAsia="仿宋_GB2312" w:cs="宋体"/>
                <w:sz w:val="24"/>
              </w:rPr>
              <w:t>投标人需将演示的内容以U盘形式存储并密封包装（包装上标注演示U盘、项目名称、投标人名称并加盖公章），邮寄形式在响应文件提交截止时间前递交。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16</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投标保证金：</w:t>
            </w:r>
            <w:r>
              <w:rPr>
                <w:rFonts w:hint="eastAsia" w:ascii="仿宋" w:hAnsi="仿宋" w:eastAsia="仿宋" w:cs="仿宋"/>
                <w:sz w:val="24"/>
              </w:rPr>
              <w:t>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17</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b/>
                <w:bCs/>
                <w:sz w:val="24"/>
              </w:rPr>
              <w:t>履约保证金：</w:t>
            </w:r>
            <w:r>
              <w:rPr>
                <w:rFonts w:hint="eastAsia" w:ascii="仿宋" w:hAnsi="仿宋" w:eastAsia="仿宋" w:cs="仿宋"/>
                <w:sz w:val="24"/>
                <w:lang w:val="zh-CN"/>
              </w:rPr>
              <w:t>履约保证金收取：中标供应商向采购方缴纳合同金额</w:t>
            </w:r>
            <w:r>
              <w:rPr>
                <w:rFonts w:hint="eastAsia" w:ascii="仿宋" w:hAnsi="仿宋" w:eastAsia="仿宋" w:cs="仿宋"/>
                <w:sz w:val="24"/>
              </w:rPr>
              <w:t>1</w:t>
            </w:r>
            <w:r>
              <w:rPr>
                <w:rFonts w:hint="eastAsia" w:ascii="仿宋" w:hAnsi="仿宋" w:eastAsia="仿宋" w:cs="仿宋"/>
                <w:sz w:val="24"/>
                <w:lang w:val="zh-CN"/>
              </w:rPr>
              <w:t>%作为履约保证金。</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缴纳方式：中标人应当以支票、汇票、本票或者金融机构、担保机构出具的保函等非现金形式提交。</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履约保证金若以电汇、网上银行方式缴纳的,请将电汇底单、网上银行电脑打印凭证写上中标项目名称及编号、成交人及联系人、联系电话传真至0571-8</w:t>
            </w:r>
            <w:r>
              <w:rPr>
                <w:rFonts w:hint="eastAsia" w:ascii="仿宋" w:hAnsi="仿宋" w:eastAsia="仿宋" w:cs="仿宋"/>
                <w:sz w:val="24"/>
              </w:rPr>
              <w:t>3837515</w:t>
            </w:r>
            <w:r>
              <w:rPr>
                <w:rFonts w:hint="eastAsia" w:ascii="仿宋" w:hAnsi="仿宋" w:eastAsia="仿宋" w:cs="仿宋"/>
                <w:sz w:val="24"/>
                <w:lang w:val="zh-CN"/>
              </w:rPr>
              <w:t>。缴款账户信息为：</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户   名：浙江省公安厅机场公安局</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开户 行：建设银行杭州航空港支行</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银行账号：</w:t>
            </w:r>
            <w:r>
              <w:rPr>
                <w:rFonts w:hint="eastAsia" w:ascii="仿宋" w:hAnsi="仿宋" w:eastAsia="仿宋" w:cs="仿宋"/>
                <w:sz w:val="24"/>
              </w:rPr>
              <w:t>33001616181053000485</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2）履约保证金退还：项目完成后中标方无违约责任无息退还，否则将在扣除应承担的费用后退还剩余的履约保证金（如有）。按合同约定退还保证金手续时，成交人凭以下材料办理退保手续。</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（1）由采购人开具的交入履约保证金往来款收据原件(如无法提供原件的，提供复印件及采购单位开具的收据)</w:t>
            </w:r>
            <w:r>
              <w:rPr>
                <w:rFonts w:hint="eastAsia" w:ascii="仿宋" w:hAnsi="仿宋" w:eastAsia="仿宋" w:cs="仿宋"/>
                <w:sz w:val="24"/>
              </w:rPr>
              <w:t>;</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（2）合同原件或复印件一份；</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（3）使用单位的验收证明(需两人以上签名并盖章)</w:t>
            </w:r>
            <w:r>
              <w:rPr>
                <w:rFonts w:hint="eastAsia" w:ascii="仿宋" w:hAnsi="仿宋" w:eastAsia="仿宋" w:cs="仿宋"/>
                <w:sz w:val="24"/>
              </w:rPr>
              <w:t>;</w:t>
            </w:r>
          </w:p>
          <w:p>
            <w:pPr>
              <w:adjustRightInd w:val="0"/>
              <w:snapToGrid w:val="0"/>
              <w:spacing w:line="360" w:lineRule="auto"/>
              <w:jc w:val="left"/>
              <w:rPr>
                <w:rFonts w:hint="eastAsia" w:ascii="仿宋" w:hAnsi="仿宋" w:eastAsia="仿宋" w:cs="仿宋"/>
                <w:sz w:val="24"/>
                <w:lang w:val="zh-CN"/>
              </w:rPr>
            </w:pPr>
            <w:r>
              <w:rPr>
                <w:rFonts w:hint="eastAsia" w:ascii="仿宋" w:hAnsi="仿宋" w:eastAsia="仿宋" w:cs="仿宋"/>
                <w:sz w:val="24"/>
                <w:lang w:val="zh-CN"/>
              </w:rPr>
              <w:t>（4）保证金交入时的银行回单复印件。</w:t>
            </w:r>
          </w:p>
          <w:p>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lang w:val="zh-CN"/>
              </w:rPr>
              <w:t>（5）如原账户发生变更，提供说明和账户变更资料。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18</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进口产品：</w:t>
            </w:r>
            <w:r>
              <w:rPr>
                <w:rFonts w:hint="eastAsia" w:ascii="仿宋" w:hAnsi="仿宋" w:eastAsia="仿宋" w:cs="仿宋"/>
                <w:sz w:val="24"/>
              </w:rPr>
              <w:t>不采购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19</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投标文件的签章：</w:t>
            </w:r>
            <w:r>
              <w:rPr>
                <w:rFonts w:hint="eastAsia" w:ascii="仿宋" w:hAnsi="仿宋" w:eastAsia="仿宋" w:cs="仿宋"/>
                <w:sz w:val="24"/>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20</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投标文件的组成：</w:t>
            </w:r>
            <w:r>
              <w:rPr>
                <w:rFonts w:hint="eastAsia" w:ascii="仿宋" w:hAnsi="仿宋" w:eastAsia="仿宋" w:cs="仿宋"/>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21</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投标文件的编制：</w:t>
            </w:r>
            <w:r>
              <w:rPr>
                <w:rFonts w:hint="eastAsia" w:ascii="仿宋" w:hAnsi="仿宋" w:eastAsia="仿宋" w:cs="仿宋"/>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22</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投标文件的形式：</w:t>
            </w:r>
            <w:r>
              <w:rPr>
                <w:rFonts w:hint="eastAsia" w:ascii="仿宋" w:hAnsi="仿宋" w:eastAsia="仿宋" w:cs="仿宋"/>
                <w:sz w:val="24"/>
              </w:rPr>
              <w:t>电子投标文件（包括“电子加密投标文件”和“备份投标文件”，在投标文件编制完成后同时生成）；</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（1）“电子加密投标文件”是指通过“政采云电子交易客户端”完成投标文件编制后生成并加密的数据电文形式的投标文件。</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23</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投标文件份数：</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（1）“电子加密投标文件”：在线上传递交，一份。</w:t>
            </w:r>
          </w:p>
          <w:p>
            <w:pPr>
              <w:adjustRightInd w:val="0"/>
              <w:snapToGrid w:val="0"/>
              <w:spacing w:line="360" w:lineRule="auto"/>
              <w:rPr>
                <w:rFonts w:ascii="仿宋" w:hAnsi="仿宋" w:eastAsia="仿宋" w:cs="仿宋"/>
                <w:sz w:val="24"/>
              </w:rPr>
            </w:pPr>
            <w:r>
              <w:rPr>
                <w:rFonts w:hint="eastAsia" w:ascii="仿宋" w:hAnsi="仿宋" w:eastAsia="仿宋" w:cs="仿宋"/>
                <w:sz w:val="24"/>
              </w:rPr>
              <w:t>“备份投标文件”一份：密封包装后于（邮寄形式）投标截止时间前递交</w:t>
            </w:r>
            <w:r>
              <w:rPr>
                <w:rFonts w:hint="eastAsia" w:ascii="仿宋" w:hAnsi="仿宋" w:eastAsia="仿宋" w:cs="仿宋"/>
                <w:b/>
                <w:bCs/>
                <w:sz w:val="24"/>
              </w:rPr>
              <w:t>（邮寄地址：杭州市上城区清泰街571号1305室；收件人：韩鑫；联系电话：0571-87286661）。</w:t>
            </w:r>
          </w:p>
          <w:p>
            <w:pPr>
              <w:adjustRightInd w:val="0"/>
              <w:snapToGrid w:val="0"/>
              <w:spacing w:line="360" w:lineRule="auto"/>
              <w:rPr>
                <w:rFonts w:ascii="仿宋" w:hAnsi="仿宋" w:eastAsia="仿宋" w:cs="仿宋"/>
                <w:sz w:val="24"/>
              </w:rPr>
            </w:pPr>
            <w:r>
              <w:rPr>
                <w:rFonts w:hint="eastAsia" w:ascii="仿宋" w:hAnsi="仿宋" w:eastAsia="仿宋" w:cs="仿宋"/>
                <w:sz w:val="24"/>
              </w:rPr>
              <w:t>（2）采购结束后，招标人及招标代理机构可要求中标人提供至少1套纸质版投标文件，投标文件须与最终上传电子加密文件一致，因纸质文件与电子文件不一致产生的一切后果，均由投标人承担。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24</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投标文件的上传和递交：</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（1）“电子加密投标文件”的上传、递交：</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a.投标人应在投标截止时间前将“电子加密投标文件”成功上传递交至“政府采购云平台”，否则投标无效。</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b.“电子加密投标文件”成功上传递交后，供应商可自行打印投标文件接收回执。</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（2）“备份投标文件”的密封包装、递交：</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a.投标人在“政府采购云平台”完成“电子加密投标文件”的上传递交后，还可以（邮寄形式）在投标截止时间前递交以介质（U盘）存储的 “备份投标文件”（一份）；</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b.“备份投标文件”应当密封包装，并在包装上标注投标项目名称、投标单位名称并加盖公章。没有密封包装或者逾期邮寄送达至投标地点的“备份投标文件”将不予接收；</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25</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电子加密投标文件的解密和异常情况处理：</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（1）开标后，招标代理机构将向各投标人发出“电子加密投标文件”的解密通知，各投标人代表应当在接到解密通知后30分钟内自行完成“电子加密投标文件”的在线解密。</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2）通过“政府采购云平台”成功上传递交的“电子加密投标文件”无法按时解密（投标人已进行解密操作但未完成解密），投标人如按规定递交了“备份投标文件”的，以“备份投标文件”为依据（由招标代理机构按“政府采购云平台”操作规范将“备份投标文件”上传至“政府采购云平台”，上传成功后，“电子加密投标文件”自动失效），否则视为投标文件撤回。</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26</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政策要求：</w:t>
            </w:r>
          </w:p>
          <w:p>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1、小微企业、监狱企业、残疾人福利性单位有关政策：</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本项目对符合财政扶持政策的中小企业（小型、微型）、监狱企业、残疾人福利性单位给予价格优惠扶持，价格优惠扶持见《评分办法》。</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满足《政府采购促进中小企业发展管理办法》财库〔2020〕46号文件的规定的中小企业可享受优惠扶持。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中小企业划分标准所属行业：采购标的</w:t>
            </w:r>
            <w:r>
              <w:rPr>
                <w:rFonts w:hint="eastAsia" w:ascii="仿宋" w:hAnsi="仿宋" w:eastAsia="仿宋" w:cs="仿宋"/>
                <w:sz w:val="24"/>
                <w:highlight w:val="none"/>
              </w:rPr>
              <w:t>：</w:t>
            </w:r>
            <w:r>
              <w:rPr>
                <w:rFonts w:hint="eastAsia" w:ascii="仿宋" w:hAnsi="仿宋" w:eastAsia="仿宋" w:cs="仿宋"/>
                <w:sz w:val="24"/>
                <w:highlight w:val="none"/>
                <w:u w:val="single"/>
                <w:lang w:val="en-US" w:eastAsia="zh-CN"/>
              </w:rPr>
              <w:t>服务</w:t>
            </w:r>
            <w:r>
              <w:rPr>
                <w:rFonts w:hint="eastAsia" w:ascii="仿宋" w:hAnsi="仿宋" w:eastAsia="仿宋" w:cs="仿宋"/>
                <w:sz w:val="24"/>
                <w:highlight w:val="none"/>
                <w:u w:val="single"/>
              </w:rPr>
              <w:t>类</w:t>
            </w:r>
            <w:r>
              <w:rPr>
                <w:rFonts w:hint="eastAsia" w:ascii="仿宋" w:hAnsi="仿宋" w:eastAsia="仿宋" w:cs="仿宋"/>
                <w:sz w:val="24"/>
                <w:highlight w:val="none"/>
              </w:rPr>
              <w:t>，</w:t>
            </w:r>
            <w:r>
              <w:rPr>
                <w:rFonts w:hint="eastAsia" w:ascii="仿宋" w:hAnsi="仿宋" w:eastAsia="仿宋" w:cs="仿宋"/>
                <w:sz w:val="24"/>
              </w:rPr>
              <w:t>所属行业</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软件和信息技术服务业</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cs="仿宋"/>
                <w:sz w:val="24"/>
              </w:rPr>
            </w:pPr>
            <w:r>
              <w:rPr>
                <w:rFonts w:hint="eastAsia" w:ascii="仿宋" w:hAnsi="仿宋" w:eastAsia="仿宋" w:cs="仿宋"/>
                <w:sz w:val="24"/>
              </w:rPr>
              <w:t>中小企业预留份额情况：根据《政府采购促进中小企业发展管理办法》财库〔2020〕46号文件的规定，本项</w:t>
            </w:r>
            <w:r>
              <w:rPr>
                <w:rFonts w:hint="eastAsia" w:ascii="仿宋" w:hAnsi="仿宋" w:eastAsia="仿宋" w:cs="仿宋"/>
                <w:sz w:val="24"/>
                <w:highlight w:val="none"/>
              </w:rPr>
              <w:t>目</w:t>
            </w:r>
            <w:r>
              <w:rPr>
                <w:rFonts w:hint="eastAsia" w:ascii="仿宋" w:hAnsi="仿宋" w:eastAsia="仿宋" w:cs="仿宋"/>
                <w:b/>
                <w:bCs/>
                <w:sz w:val="24"/>
                <w:highlight w:val="none"/>
                <w:u w:val="single"/>
                <w:lang w:eastAsia="zh-CN"/>
              </w:rPr>
              <w:t>不</w:t>
            </w:r>
            <w:r>
              <w:rPr>
                <w:rFonts w:hint="eastAsia" w:ascii="仿宋" w:hAnsi="仿宋" w:eastAsia="仿宋" w:cs="仿宋"/>
                <w:b/>
                <w:bCs/>
                <w:sz w:val="24"/>
                <w:highlight w:val="none"/>
                <w:u w:val="single"/>
              </w:rPr>
              <w:t>预留份额专门面向</w:t>
            </w:r>
            <w:r>
              <w:rPr>
                <w:rFonts w:hint="eastAsia" w:ascii="仿宋" w:hAnsi="仿宋" w:eastAsia="仿宋" w:cs="仿宋"/>
                <w:sz w:val="24"/>
                <w:highlight w:val="none"/>
              </w:rPr>
              <w:t>中</w:t>
            </w:r>
            <w:r>
              <w:rPr>
                <w:rFonts w:hint="eastAsia" w:ascii="仿宋" w:hAnsi="仿宋" w:eastAsia="仿宋" w:cs="仿宋"/>
                <w:sz w:val="24"/>
              </w:rPr>
              <w:t>小企业采购</w:t>
            </w:r>
            <w:r>
              <w:rPr>
                <w:rFonts w:hint="eastAsia"/>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满足关于政府采购支持监狱企业发展有关问题的通知（财库[2014]68号）的规定的供应商可享受优惠扶持。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满足关于促进残疾人就业政府采购政策的通知（财库[2017]141号）的规定的供应商可享受优惠扶持。</w:t>
            </w:r>
          </w:p>
          <w:p>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2、节能产品、环境标志产品的强制采购政策（服务项目不适用）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3、节能产品、环境标志产品的优先采购政策（服务项目不适用）</w:t>
            </w:r>
          </w:p>
          <w:p>
            <w:pPr>
              <w:adjustRightInd w:val="0"/>
              <w:snapToGrid w:val="0"/>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hint="eastAsia" w:ascii="仿宋" w:hAnsi="仿宋" w:eastAsia="仿宋" w:cs="仿宋"/>
                <w:sz w:val="24"/>
                <w:lang w:val="en-US" w:eastAsia="zh-CN"/>
              </w:rPr>
              <w:t xml:space="preserve">  </w:t>
            </w:r>
          </w:p>
          <w:p>
            <w:pPr>
              <w:adjustRightInd w:val="0"/>
              <w:snapToGrid w:val="0"/>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4、科技创新相关证明材料</w:t>
            </w:r>
            <w:r>
              <w:rPr>
                <w:rFonts w:hint="eastAsia" w:ascii="仿宋" w:hAnsi="仿宋" w:eastAsia="仿宋" w:cs="仿宋"/>
                <w:b/>
                <w:bCs/>
                <w:sz w:val="24"/>
              </w:rPr>
              <w:t>（服务项目不适用）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优先推荐专精特新中小企业、创新产品参加政府采购活动。对省级以上主管部门认定的首台套产品，自纳入《省推广应用指导目录》起三年内参加政府采购活动时视同已具备相应销售业绩，业绩分为满分。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27</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信用记录：</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根据《关于在政府采购活动中查询及使用信用记录有关问题的通知》财库[2016]125号的规定：</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（1）招标人或招标代理机构将对本项目供应商的信用记录进行查询。查询渠道为信用中国网站（www.creditchina.gov.cn）、中国政府采购网（www.ccgp.gov.cn）；</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（2）截止时点：提交投标文件（响应文件）截止时间前3年内；</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（3）查询记录和证据的留存：信用信息查询记录和证据以网页截图等方式留存。</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28</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特别提示：</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1）该项目结果公示期间，投标人不得通过非正当途径、更不得通过非正当手段获取法律法规规定评标委员会（包括其他相关人员）应当保密的相关内容。即便由此获得资料并作为向招标代理机构或监督管理部门提出异（质）疑或投诉或法院起诉的理由，均属于非法索取的依据。</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（2）质疑、投诉人未按招标文件规定进行质疑、投诉（申诉）、举报等，均属于扰乱政府采购市场不良行为，直至公示。</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（3）潜在投标人需在浙江政府采购网进行免费注册，具体详见浙江政府采购网供应商注册要求。</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（4）招标人与中标人应当在中标通知书发出之日起三十日内，按照招标文件确定的事项签订政府采购合同。中标人未在规定时间内签订合同的，招标人有权要求中标人赔偿其未签订合同所造成的损失。</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（5）中标人应由法定代表人或其授权代表与招标人代表签订合同。如中标人为联合体的，由联合体成员各方法定代表人或其授权代表与招标人代表签订合同。</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（6）如签订合同并生效后，供应商无故拒绝或延期，除按照合同条款处理外，列入不良行为记录一次，并给予通报。</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（7）中标人拒绝与招标人签订合同的，招标人可选取第二名为中标人或重新开展政府采购活动。</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（8）存在下列行为的，招标代理机构将其失信行为上报政府采购主管部门，由主管部门按有关规定对其违法失信行为记录进行公开：</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1、中标或者成交后，拒绝签订政府采购合同的；</w:t>
            </w: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0"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29</w:t>
            </w:r>
          </w:p>
        </w:tc>
        <w:tc>
          <w:tcPr>
            <w:tcW w:w="8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招标代理服务费：</w:t>
            </w:r>
            <w:r>
              <w:rPr>
                <w:rFonts w:hint="eastAsia" w:ascii="仿宋" w:hAnsi="仿宋" w:eastAsia="仿宋" w:cs="仿宋"/>
                <w:sz w:val="24"/>
              </w:rPr>
              <w:t>由中标人支付。</w:t>
            </w:r>
            <w:r>
              <w:rPr>
                <w:rFonts w:hint="eastAsia" w:ascii="仿宋" w:hAnsi="仿宋" w:eastAsia="仿宋" w:cs="仿宋"/>
                <w:b/>
                <w:bCs/>
                <w:sz w:val="24"/>
              </w:rPr>
              <w:t>收费标准按照原国家计委关于印发《招标代理服务收费管理暂行办法》（计价格[2002]1980号）预算金额的66%计取。中标人在收到成交通知书的</w:t>
            </w:r>
            <w:r>
              <w:rPr>
                <w:rFonts w:hint="eastAsia" w:ascii="仿宋" w:hAnsi="仿宋" w:eastAsia="仿宋" w:cs="仿宋"/>
                <w:b/>
                <w:bCs/>
                <w:sz w:val="24"/>
                <w:lang w:eastAsia="zh-CN"/>
              </w:rPr>
              <w:t>同时</w:t>
            </w:r>
            <w:r>
              <w:rPr>
                <w:rFonts w:hint="eastAsia" w:ascii="仿宋" w:hAnsi="仿宋" w:eastAsia="仿宋" w:cs="仿宋"/>
                <w:b/>
                <w:bCs/>
                <w:sz w:val="24"/>
              </w:rPr>
              <w:t>向采购代理机构一次性支付。</w:t>
            </w:r>
          </w:p>
          <w:p>
            <w:pPr>
              <w:adjustRightInd w:val="0"/>
              <w:snapToGrid w:val="0"/>
              <w:spacing w:line="360" w:lineRule="auto"/>
              <w:rPr>
                <w:rFonts w:hint="eastAsia"/>
              </w:rPr>
            </w:pPr>
            <w:r>
              <w:rPr>
                <w:rFonts w:hint="eastAsia" w:ascii="仿宋" w:hAnsi="仿宋" w:eastAsia="仿宋" w:cs="仿宋"/>
                <w:b/>
                <w:bCs/>
                <w:sz w:val="24"/>
                <w:lang w:val="zh-CN"/>
              </w:rPr>
              <w:t>如若逾期，</w:t>
            </w:r>
            <w:r>
              <w:rPr>
                <w:rFonts w:hint="eastAsia" w:ascii="仿宋" w:hAnsi="仿宋" w:eastAsia="仿宋" w:cs="仿宋"/>
                <w:b/>
                <w:bCs/>
                <w:sz w:val="24"/>
              </w:rPr>
              <w:t>须</w:t>
            </w:r>
            <w:r>
              <w:rPr>
                <w:rFonts w:hint="eastAsia" w:ascii="仿宋" w:hAnsi="仿宋" w:eastAsia="仿宋" w:cs="仿宋"/>
                <w:b/>
                <w:bCs/>
                <w:sz w:val="24"/>
                <w:lang w:val="zh-CN"/>
              </w:rPr>
              <w:t>承担代理服务费每日百分之三的违约金，逾期十日未支付的，采购代理机构有权向杭州仲裁委员会对中标人提出仲裁，仲裁费用（包括仲裁受理费和仲裁处理费）均由中标人承担。</w:t>
            </w:r>
          </w:p>
          <w:p>
            <w:pPr>
              <w:adjustRightInd w:val="0"/>
              <w:snapToGrid w:val="0"/>
              <w:spacing w:line="360" w:lineRule="auto"/>
              <w:rPr>
                <w:rFonts w:hint="eastAsia" w:eastAsia="仿宋"/>
              </w:rPr>
            </w:pPr>
            <w:r>
              <w:rPr>
                <w:rFonts w:hint="eastAsia" w:ascii="仿宋" w:hAnsi="仿宋" w:eastAsia="仿宋" w:cs="仿宋"/>
                <w:sz w:val="24"/>
              </w:rPr>
              <w:t>账户信息：</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收款单位（户名）: 浙江通用招标代理有限公司</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开户银行：宁波银行杭州分行</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银行账号：71010122001488772</w:t>
            </w:r>
          </w:p>
        </w:tc>
      </w:tr>
    </w:tbl>
    <w:p>
      <w:pPr>
        <w:pStyle w:val="19"/>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b/>
        </w:rPr>
        <w:t>注：以上内容如有变化将另行书面通知。另行通知中未提及事项不作变动。</w:t>
      </w:r>
    </w:p>
    <w:p>
      <w:pPr>
        <w:pStyle w:val="19"/>
        <w:adjustRightInd w:val="0"/>
        <w:snapToGrid w:val="0"/>
        <w:spacing w:before="120" w:afterLines="0" w:line="360" w:lineRule="auto"/>
        <w:jc w:val="center"/>
        <w:rPr>
          <w:rFonts w:hint="eastAsia" w:ascii="仿宋_GB2312" w:hAnsi="仿宋" w:eastAsia="仿宋_GB2312" w:cs="仿宋"/>
          <w:b/>
        </w:rPr>
      </w:pPr>
      <w:r>
        <w:rPr>
          <w:rFonts w:hint="eastAsia" w:ascii="仿宋_GB2312" w:hAnsi="仿宋" w:eastAsia="仿宋_GB2312" w:cs="仿宋"/>
          <w:b/>
          <w:sz w:val="32"/>
          <w:szCs w:val="32"/>
        </w:rPr>
        <w:br w:type="page"/>
      </w:r>
      <w:r>
        <w:rPr>
          <w:rFonts w:hint="eastAsia" w:ascii="仿宋_GB2312" w:hAnsi="仿宋" w:eastAsia="仿宋_GB2312" w:cs="仿宋"/>
          <w:b/>
          <w:sz w:val="32"/>
          <w:szCs w:val="32"/>
        </w:rPr>
        <w:t>一、总则</w:t>
      </w:r>
    </w:p>
    <w:p>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1、适用范围</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本招标文件仅适用于本项目的招标、投标、评标、定标、验收、合同履约、付款等行为（法律、法规另有规定的，从其规定）。</w:t>
      </w:r>
    </w:p>
    <w:p>
      <w:pPr>
        <w:numPr>
          <w:ilvl w:val="0"/>
          <w:numId w:val="5"/>
        </w:num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定义</w:t>
      </w:r>
    </w:p>
    <w:p>
      <w:pPr>
        <w:adjustRightInd w:val="0"/>
        <w:snapToGrid w:val="0"/>
        <w:spacing w:line="360" w:lineRule="auto"/>
        <w:ind w:firstLine="480" w:firstLineChars="200"/>
        <w:outlineLvl w:val="1"/>
        <w:rPr>
          <w:rFonts w:hint="eastAsia" w:ascii="仿宋_GB2312" w:hAnsi="仿宋" w:eastAsia="仿宋_GB2312" w:cs="仿宋"/>
          <w:sz w:val="24"/>
        </w:rPr>
      </w:pPr>
      <w:r>
        <w:rPr>
          <w:rFonts w:hint="eastAsia" w:ascii="仿宋_GB2312" w:hAnsi="仿宋" w:eastAsia="仿宋_GB2312" w:cs="仿宋"/>
          <w:sz w:val="24"/>
        </w:rPr>
        <w:t>2.1 “招标人”系指浙江省公安厅机场公安局。</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2.2 “招标代理机构”系指浙江通用招标代理有限公司。</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2.3 “投标人”系指响应本次招标，参加投标的供应商。</w:t>
      </w:r>
    </w:p>
    <w:p>
      <w:pPr>
        <w:adjustRightInd w:val="0"/>
        <w:snapToGrid w:val="0"/>
        <w:spacing w:line="360" w:lineRule="auto"/>
        <w:ind w:firstLine="480" w:firstLineChars="200"/>
        <w:rPr>
          <w:rFonts w:eastAsia="仿宋_GB2312"/>
        </w:rPr>
      </w:pPr>
      <w:r>
        <w:rPr>
          <w:rFonts w:hint="eastAsia" w:ascii="仿宋_GB2312" w:hAnsi="仿宋" w:eastAsia="仿宋_GB2312" w:cs="仿宋"/>
          <w:sz w:val="24"/>
        </w:rPr>
        <w:t>2.4 “货物”系指招标文件规定投标人须提供的产品。</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2.5 “服务”系指招标文件规定投标人须承担的服务义务。</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2.6 “书面形式”包括信函、传真、电报等。</w:t>
      </w:r>
    </w:p>
    <w:p>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3、采购方式</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本项目采用公开招标方式进行。</w:t>
      </w:r>
    </w:p>
    <w:p>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4、投标委托</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如投标人代表不是法定代表人，须有法定代表人出具的授权委托书;若是法定代表人参加，须填写法定代表人身份证明书（格式见第六部分）。</w:t>
      </w:r>
    </w:p>
    <w:p>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5、投标费用</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不论投标结果如何，投标人均应自行承担与投标有关的一切费用。</w:t>
      </w:r>
    </w:p>
    <w:p>
      <w:pPr>
        <w:adjustRightInd w:val="0"/>
        <w:snapToGrid w:val="0"/>
        <w:spacing w:line="360" w:lineRule="auto"/>
        <w:rPr>
          <w:rFonts w:hint="eastAsia" w:ascii="仿宋_GB2312" w:hAnsi="仿宋" w:eastAsia="仿宋_GB2312" w:cs="仿宋"/>
          <w:b/>
          <w:sz w:val="24"/>
          <w:szCs w:val="20"/>
        </w:rPr>
      </w:pPr>
      <w:r>
        <w:rPr>
          <w:rFonts w:hint="eastAsia" w:ascii="仿宋_GB2312" w:hAnsi="仿宋" w:eastAsia="仿宋_GB2312" w:cs="仿宋"/>
          <w:b/>
          <w:sz w:val="24"/>
        </w:rPr>
        <w:t>6、联合体投标</w:t>
      </w:r>
    </w:p>
    <w:p>
      <w:pPr>
        <w:adjustRightInd w:val="0"/>
        <w:snapToGrid w:val="0"/>
        <w:spacing w:line="360" w:lineRule="auto"/>
        <w:ind w:firstLine="480" w:firstLineChars="200"/>
        <w:rPr>
          <w:rFonts w:hint="eastAsia" w:ascii="仿宋_GB2312" w:hAnsi="仿宋" w:eastAsia="仿宋_GB2312" w:cs="仿宋"/>
          <w:sz w:val="24"/>
          <w:highlight w:val="none"/>
        </w:rPr>
      </w:pPr>
      <w:r>
        <w:rPr>
          <w:rFonts w:hint="eastAsia" w:ascii="仿宋_GB2312" w:hAnsi="仿宋" w:eastAsia="仿宋_GB2312" w:cs="仿宋"/>
          <w:sz w:val="24"/>
          <w:highlight w:val="none"/>
        </w:rPr>
        <w:t>本项目接受联合体投标。</w:t>
      </w:r>
    </w:p>
    <w:p>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7、转包与分包</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highlight w:val="none"/>
        </w:rPr>
        <w:t>本项目允许分包</w:t>
      </w:r>
      <w:r>
        <w:rPr>
          <w:rFonts w:hint="eastAsia" w:ascii="仿宋_GB2312" w:hAnsi="仿宋" w:eastAsia="仿宋_GB2312" w:cs="仿宋"/>
          <w:sz w:val="24"/>
        </w:rPr>
        <w:t>、不</w:t>
      </w:r>
      <w:r>
        <w:rPr>
          <w:rFonts w:hint="eastAsia" w:ascii="仿宋_GB2312" w:hAnsi="仿宋" w:eastAsia="仿宋_GB2312" w:cs="仿宋"/>
          <w:sz w:val="24"/>
          <w:lang w:eastAsia="zh-CN"/>
        </w:rPr>
        <w:t>得</w:t>
      </w:r>
      <w:r>
        <w:rPr>
          <w:rFonts w:hint="eastAsia" w:ascii="仿宋_GB2312" w:hAnsi="仿宋" w:eastAsia="仿宋_GB2312" w:cs="仿宋"/>
          <w:sz w:val="24"/>
        </w:rPr>
        <w:t>转包。</w:t>
      </w:r>
    </w:p>
    <w:p>
      <w:pPr>
        <w:adjustRightInd w:val="0"/>
        <w:snapToGrid w:val="0"/>
        <w:spacing w:line="360" w:lineRule="auto"/>
        <w:outlineLvl w:val="1"/>
        <w:rPr>
          <w:rFonts w:hint="eastAsia" w:ascii="仿宋_GB2312" w:hAnsi="仿宋" w:eastAsia="仿宋_GB2312" w:cs="仿宋"/>
          <w:b/>
          <w:sz w:val="24"/>
        </w:rPr>
      </w:pPr>
      <w:r>
        <w:rPr>
          <w:rFonts w:hint="eastAsia" w:ascii="仿宋_GB2312" w:hAnsi="仿宋" w:eastAsia="仿宋_GB2312" w:cs="仿宋"/>
          <w:b/>
          <w:sz w:val="24"/>
        </w:rPr>
        <w:t>8、特别说明：</w:t>
      </w:r>
    </w:p>
    <w:p>
      <w:pPr>
        <w:adjustRightInd w:val="0"/>
        <w:snapToGrid w:val="0"/>
        <w:spacing w:line="360" w:lineRule="auto"/>
        <w:ind w:firstLine="480" w:firstLineChars="200"/>
        <w:jc w:val="left"/>
        <w:rPr>
          <w:rFonts w:hint="eastAsia" w:ascii="仿宋_GB2312" w:hAnsi="仿宋" w:eastAsia="仿宋_GB2312" w:cs="仿宋"/>
          <w:kern w:val="0"/>
          <w:sz w:val="24"/>
        </w:rPr>
      </w:pPr>
      <w:r>
        <w:rPr>
          <w:rFonts w:hint="eastAsia" w:ascii="仿宋_GB2312" w:hAnsi="仿宋" w:eastAsia="仿宋_GB2312" w:cs="仿宋"/>
          <w:sz w:val="24"/>
        </w:rPr>
        <w:t xml:space="preserve">8.1 </w:t>
      </w:r>
      <w:r>
        <w:rPr>
          <w:rFonts w:hint="eastAsia" w:ascii="仿宋" w:hAnsi="仿宋" w:eastAsia="仿宋" w:cs="宋体"/>
        </w:rPr>
        <w:t>▲</w:t>
      </w:r>
      <w:r>
        <w:rPr>
          <w:rFonts w:hint="eastAsia" w:ascii="仿宋_GB2312" w:hAnsi="仿宋" w:eastAsia="仿宋_GB2312" w:cs="仿宋"/>
          <w:sz w:val="24"/>
        </w:rPr>
        <w:t>投标人投标所使用的资格、信誉、荣誉、业绩与企业认证必须为本法人所拥有。</w:t>
      </w:r>
    </w:p>
    <w:p>
      <w:pPr>
        <w:pStyle w:val="19"/>
        <w:adjustRightInd w:val="0"/>
        <w:snapToGrid w:val="0"/>
        <w:spacing w:beforeLines="0" w:afterLines="0" w:line="360" w:lineRule="auto"/>
        <w:ind w:left="2" w:leftChars="1" w:firstLine="480" w:firstLineChars="200"/>
        <w:rPr>
          <w:rFonts w:hint="eastAsia" w:ascii="仿宋_GB2312" w:hAnsi="仿宋" w:eastAsia="仿宋_GB2312" w:cs="仿宋"/>
        </w:rPr>
      </w:pPr>
      <w:r>
        <w:rPr>
          <w:rFonts w:hint="eastAsia" w:ascii="仿宋_GB2312" w:hAnsi="仿宋" w:eastAsia="仿宋_GB2312" w:cs="仿宋"/>
        </w:rPr>
        <w:t xml:space="preserve">8.2 </w:t>
      </w:r>
      <w:r>
        <w:rPr>
          <w:rFonts w:hint="eastAsia" w:ascii="仿宋" w:hAnsi="仿宋" w:eastAsia="仿宋" w:cs="宋体"/>
        </w:rPr>
        <w:t>▲</w:t>
      </w:r>
      <w:r>
        <w:rPr>
          <w:rFonts w:hint="eastAsia" w:ascii="仿宋_GB2312" w:hAnsi="仿宋" w:eastAsia="仿宋_GB2312" w:cs="仿宋"/>
        </w:rPr>
        <w:t>投标人应仔细阅读招标文件的所有内容，按照招标文件的要求提交投标文件，并对所提供的全部资料的真实性承担法律责任。</w:t>
      </w:r>
    </w:p>
    <w:p>
      <w:pPr>
        <w:pStyle w:val="19"/>
        <w:adjustRightInd w:val="0"/>
        <w:snapToGrid w:val="0"/>
        <w:spacing w:beforeLines="0" w:afterLines="0" w:line="360" w:lineRule="auto"/>
        <w:ind w:left="2" w:leftChars="1" w:firstLine="480" w:firstLineChars="200"/>
        <w:rPr>
          <w:rFonts w:hint="eastAsia" w:ascii="仿宋_GB2312" w:hAnsi="仿宋" w:eastAsia="仿宋_GB2312" w:cs="仿宋"/>
        </w:rPr>
      </w:pPr>
      <w:r>
        <w:rPr>
          <w:rFonts w:hint="eastAsia" w:ascii="仿宋_GB2312" w:hAnsi="仿宋" w:eastAsia="仿宋_GB2312" w:cs="仿宋"/>
        </w:rPr>
        <w:t xml:space="preserve">8.3 </w:t>
      </w:r>
      <w:r>
        <w:rPr>
          <w:rFonts w:hint="eastAsia" w:ascii="仿宋" w:hAnsi="仿宋" w:eastAsia="仿宋" w:cs="宋体"/>
        </w:rPr>
        <w:t>▲</w:t>
      </w:r>
      <w:r>
        <w:rPr>
          <w:rFonts w:hint="eastAsia" w:ascii="仿宋_GB2312" w:hAnsi="仿宋" w:eastAsia="仿宋_GB2312" w:cs="仿宋"/>
        </w:rPr>
        <w:t>投标人在投标活动中提供任何虚假材料,其投标无效；中标后发现的,中标供应商须依照《中华人民共和国消费者权益保护法》第49条之规定双倍赔偿招标人，且民事赔偿并不免除违法投标人的行政与刑事责任。</w:t>
      </w:r>
    </w:p>
    <w:p>
      <w:pPr>
        <w:pStyle w:val="19"/>
        <w:adjustRightInd w:val="0"/>
        <w:snapToGrid w:val="0"/>
        <w:spacing w:beforeLines="0" w:afterLines="0" w:line="360" w:lineRule="auto"/>
        <w:ind w:left="2" w:leftChars="1" w:firstLine="480" w:firstLineChars="200"/>
        <w:rPr>
          <w:rFonts w:hint="eastAsia" w:ascii="仿宋" w:hAnsi="仿宋" w:eastAsia="仿宋" w:cs="宋体"/>
        </w:rPr>
      </w:pPr>
      <w:r>
        <w:rPr>
          <w:rFonts w:hint="eastAsia" w:ascii="仿宋" w:hAnsi="仿宋" w:eastAsia="仿宋" w:cs="宋体"/>
        </w:rPr>
        <w:t>8.4▲为采购项目提供整体设计、规范编制或者项目管理、监理、检测等服务的供应商，不得再参加该采购项目的其他采购活动。</w:t>
      </w:r>
    </w:p>
    <w:p>
      <w:pPr>
        <w:pStyle w:val="19"/>
        <w:adjustRightInd w:val="0"/>
        <w:snapToGrid w:val="0"/>
        <w:spacing w:beforeLines="0" w:afterLines="0" w:line="360" w:lineRule="auto"/>
        <w:rPr>
          <w:rFonts w:hint="eastAsia" w:ascii="仿宋" w:hAnsi="仿宋" w:eastAsia="仿宋" w:cs="宋体"/>
          <w:b/>
          <w:bCs/>
        </w:rPr>
      </w:pPr>
      <w:r>
        <w:rPr>
          <w:rFonts w:hint="eastAsia" w:ascii="仿宋" w:hAnsi="仿宋" w:eastAsia="仿宋" w:cs="宋体"/>
          <w:b/>
          <w:bCs/>
        </w:rPr>
        <w:t>9、采购项目需要落实的政府采购政策</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9.2 节能环保要求</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9.2.1招标人拟采购的产品属于品目清单范围的，招标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napToGrid w:val="0"/>
        <w:spacing w:line="360" w:lineRule="auto"/>
        <w:ind w:firstLine="480" w:firstLineChars="200"/>
        <w:rPr>
          <w:rFonts w:hint="eastAsia" w:ascii="仿宋_GB2312" w:hAnsi="仿宋" w:eastAsia="仿宋_GB2312"/>
          <w:b/>
          <w:sz w:val="24"/>
        </w:rPr>
      </w:pPr>
      <w:r>
        <w:rPr>
          <w:rFonts w:hint="eastAsia" w:ascii="仿宋_GB2312" w:hAnsi="仿宋" w:eastAsia="仿宋_GB2312"/>
          <w:sz w:val="24"/>
        </w:rPr>
        <w:t>9.2.2</w:t>
      </w:r>
      <w:r>
        <w:rPr>
          <w:rFonts w:hint="eastAsia" w:ascii="仿宋_GB2312" w:hAnsi="仿宋" w:eastAsia="仿宋_GB2312"/>
          <w:b/>
          <w:sz w:val="24"/>
        </w:rPr>
        <w:t>招标人拟采购的产品属于政府强制采购的节能产品品目清单范围的，投标人未按招标文件要求提供国家确定的认证机构出具的、处于有效期之内的节能产品认证证书，投标无效。</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w:t>
      </w:r>
      <w:r>
        <w:rPr>
          <w:rFonts w:hint="eastAsia" w:ascii="仿宋_GB2312" w:hAnsi="仿宋" w:eastAsia="仿宋_GB2312"/>
          <w:bCs/>
          <w:sz w:val="24"/>
        </w:rPr>
        <w:t>支持中小企业发展</w:t>
      </w:r>
      <w:r>
        <w:rPr>
          <w:rFonts w:hint="eastAsia" w:ascii="仿宋_GB2312" w:hAnsi="仿宋" w:eastAsia="仿宋_GB2312"/>
          <w:sz w:val="24"/>
        </w:rPr>
        <w:t>。</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9.3.2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（1）在货物采购项目中，货物由中小企业制造，即货物由中小企业生产且使用该中小企业商号或者注册商标；</w:t>
      </w:r>
    </w:p>
    <w:p>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（2）在工程采购项目中，工程由中小企业承建，即工程施工单位为中小企业；</w:t>
      </w:r>
    </w:p>
    <w:p>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（3）在服务采购项目中，服务由中小企业承接，即提供服务的人员为中小企业依照《中华人民共和国民法典》订立劳动合同的从业人员。</w:t>
      </w:r>
    </w:p>
    <w:p>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adjustRightInd w:val="0"/>
        <w:snapToGrid w:val="0"/>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9.3.4符合《关于促进残疾人就业政府采购政策的通知》（财库〔2017〕141号）规定的条件并提供《残疾人福利性单位声明函》的残疾人福利性单位视同小型、微型企业；</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9.3.6可享受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p>
    <w:p>
      <w:pPr>
        <w:pStyle w:val="19"/>
        <w:adjustRightInd w:val="0"/>
        <w:snapToGrid w:val="0"/>
        <w:spacing w:beforeLines="0" w:afterLines="0" w:line="360" w:lineRule="auto"/>
        <w:ind w:firstLine="480" w:firstLineChars="200"/>
        <w:rPr>
          <w:rFonts w:hint="eastAsia" w:ascii="仿宋_GB2312" w:hAnsi="仿宋" w:eastAsia="仿宋_GB2312"/>
        </w:rPr>
      </w:pPr>
      <w:r>
        <w:rPr>
          <w:rFonts w:hint="eastAsia" w:ascii="仿宋_GB2312" w:hAnsi="仿宋" w:eastAsia="仿宋_GB2312"/>
        </w:rPr>
        <w:t>9.3.7中小企业</w:t>
      </w:r>
      <w:r>
        <w:rPr>
          <w:rFonts w:ascii="仿宋_GB2312" w:hAnsi="仿宋" w:eastAsia="仿宋_GB2312"/>
        </w:rPr>
        <w:t>享受扶持政策获得政府采购合同的，小微企业不得将合同分包给大中型企业，中型企业不得将合同分包给大型企业</w:t>
      </w:r>
      <w:r>
        <w:rPr>
          <w:rFonts w:hint="eastAsia" w:ascii="仿宋_GB2312" w:hAnsi="仿宋" w:eastAsia="仿宋_GB2312"/>
        </w:rPr>
        <w:t>。</w:t>
      </w:r>
    </w:p>
    <w:p>
      <w:pPr>
        <w:pStyle w:val="19"/>
        <w:adjustRightInd w:val="0"/>
        <w:snapToGrid w:val="0"/>
        <w:spacing w:beforeLines="0" w:afterLines="0" w:line="360" w:lineRule="auto"/>
        <w:ind w:firstLine="480" w:firstLineChars="200"/>
        <w:rPr>
          <w:rFonts w:hint="eastAsia" w:ascii="仿宋_GB2312" w:hAnsi="仿宋" w:eastAsia="仿宋_GB2312"/>
          <w:lang w:val="en-US" w:eastAsia="zh-CN"/>
        </w:rPr>
      </w:pPr>
      <w:r>
        <w:rPr>
          <w:rFonts w:hint="eastAsia" w:ascii="仿宋_GB2312" w:hAnsi="仿宋" w:eastAsia="仿宋_GB2312"/>
          <w:lang w:val="en-US" w:eastAsia="zh-CN"/>
        </w:rPr>
        <w:t>9.4 科技创新相关证明材料</w:t>
      </w:r>
    </w:p>
    <w:p>
      <w:pPr>
        <w:pStyle w:val="19"/>
        <w:adjustRightInd w:val="0"/>
        <w:snapToGrid w:val="0"/>
        <w:spacing w:beforeLines="0" w:afterLines="0" w:line="360" w:lineRule="auto"/>
        <w:ind w:firstLine="480" w:firstLineChars="200"/>
        <w:rPr>
          <w:rFonts w:hint="eastAsia" w:ascii="仿宋_GB2312" w:hAnsi="仿宋" w:eastAsia="仿宋_GB2312"/>
        </w:rPr>
      </w:pPr>
      <w:r>
        <w:rPr>
          <w:rFonts w:hint="eastAsia" w:ascii="仿宋_GB2312" w:hAnsi="仿宋" w:eastAsia="仿宋_GB2312"/>
          <w:lang w:val="en-US" w:eastAsia="zh-CN"/>
        </w:rPr>
        <w:t>优先推荐专精特新中小企业、创新产品参加政府采购活动。对省级以上主管部门认定的首台套产品，自纳入《省推广应用指导目录》起三年内参加政府采购活动时视同已具备相应销售业绩，业绩分为满分。</w:t>
      </w:r>
    </w:p>
    <w:p>
      <w:pPr>
        <w:pStyle w:val="19"/>
        <w:adjustRightInd w:val="0"/>
        <w:snapToGrid w:val="0"/>
        <w:spacing w:beforeLines="0" w:afterLines="0" w:line="360" w:lineRule="auto"/>
        <w:ind w:firstLine="480" w:firstLineChars="200"/>
        <w:rPr>
          <w:rFonts w:hint="eastAsia" w:ascii="仿宋_GB2312" w:hAnsi="仿宋" w:eastAsia="仿宋_GB2312"/>
        </w:rPr>
      </w:pPr>
    </w:p>
    <w:p>
      <w:pPr>
        <w:pStyle w:val="19"/>
        <w:adjustRightInd w:val="0"/>
        <w:snapToGrid w:val="0"/>
        <w:spacing w:before="120" w:afterLines="0" w:line="360" w:lineRule="auto"/>
        <w:jc w:val="center"/>
        <w:outlineLvl w:val="0"/>
        <w:rPr>
          <w:rFonts w:hint="eastAsia" w:ascii="仿宋_GB2312" w:hAnsi="仿宋" w:eastAsia="仿宋_GB2312" w:cs="仿宋"/>
          <w:b/>
          <w:sz w:val="32"/>
          <w:szCs w:val="32"/>
        </w:rPr>
      </w:pPr>
      <w:r>
        <w:rPr>
          <w:rFonts w:hint="eastAsia" w:ascii="仿宋_GB2312" w:hAnsi="仿宋" w:eastAsia="仿宋_GB2312" w:cs="仿宋"/>
          <w:b/>
          <w:sz w:val="32"/>
          <w:szCs w:val="32"/>
        </w:rPr>
        <w:t>二、招标文件</w:t>
      </w:r>
    </w:p>
    <w:p>
      <w:pPr>
        <w:adjustRightInd w:val="0"/>
        <w:snapToGrid w:val="0"/>
        <w:spacing w:line="360" w:lineRule="auto"/>
        <w:jc w:val="left"/>
        <w:rPr>
          <w:rFonts w:hint="eastAsia" w:ascii="仿宋_GB2312" w:hAnsi="仿宋" w:eastAsia="仿宋_GB2312" w:cs="仿宋"/>
          <w:b/>
          <w:sz w:val="24"/>
        </w:rPr>
      </w:pPr>
      <w:r>
        <w:rPr>
          <w:rFonts w:hint="eastAsia" w:ascii="仿宋_GB2312" w:hAnsi="仿宋" w:eastAsia="仿宋_GB2312" w:cs="仿宋"/>
          <w:b/>
          <w:sz w:val="24"/>
        </w:rPr>
        <w:t>10、招标文件的构成</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10.1 本招标文件包括目录所示内容及所有按本须知第11条发出的补充资料。</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10.2 除上述所列内容外，招标人和招标代理机构的任何工作人员对投标人所作的任何口头解释、介绍、答复，只能供投标人参考，对招标人、招标代理机构和投标人无任何约束力。</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10.3 招标文件是招标过程进行的有效依据，也是中标后签订合同的依据，对双方均具有约束力，凡不遵守招标文件规定或对招标文件的实质性内容不响应的，将可能被拒绝或以无效标处理。</w:t>
      </w:r>
    </w:p>
    <w:p>
      <w:pPr>
        <w:adjustRightInd w:val="0"/>
        <w:snapToGrid w:val="0"/>
        <w:spacing w:line="360" w:lineRule="auto"/>
        <w:ind w:firstLine="480" w:firstLineChars="200"/>
        <w:rPr>
          <w:rFonts w:hint="eastAsia" w:ascii="仿宋_GB2312" w:hAnsi="仿宋" w:eastAsia="仿宋_GB2312" w:cs="仿宋"/>
          <w:b/>
          <w:sz w:val="24"/>
        </w:rPr>
      </w:pPr>
      <w:r>
        <w:rPr>
          <w:rFonts w:hint="eastAsia" w:ascii="仿宋" w:hAnsi="仿宋" w:eastAsia="仿宋" w:cs="仿宋"/>
          <w:snapToGrid w:val="0"/>
          <w:kern w:val="0"/>
          <w:sz w:val="24"/>
        </w:rPr>
        <w:t>10.4 本招标文件由招标人或招标代理机构依据相关法律、法规、规章、省市规定及招标文件进行解释。</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b/>
          <w:sz w:val="24"/>
        </w:rPr>
        <w:t>11、投标人的风险</w:t>
      </w:r>
    </w:p>
    <w:p>
      <w:pPr>
        <w:pStyle w:val="29"/>
        <w:adjustRightInd w:val="0"/>
        <w:snapToGrid w:val="0"/>
        <w:spacing w:after="0" w:line="360" w:lineRule="auto"/>
        <w:ind w:left="0" w:leftChars="0"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投标人没有按照招标文件要求提供全部资料，或者提供虚假资料，或者投标人没有对招标文件在各方面作出实质性响应是投标人的风险，并可能导致其投标被拒绝。</w:t>
      </w:r>
    </w:p>
    <w:p>
      <w:pPr>
        <w:pStyle w:val="9"/>
        <w:widowControl w:val="0"/>
        <w:numPr>
          <w:ilvl w:val="0"/>
          <w:numId w:val="0"/>
        </w:numPr>
        <w:adjustRightInd w:val="0"/>
        <w:snapToGrid w:val="0"/>
        <w:spacing w:afterLines="0" w:line="360" w:lineRule="auto"/>
        <w:ind w:left="282" w:hanging="282" w:hangingChars="117"/>
        <w:rPr>
          <w:rFonts w:hint="eastAsia" w:ascii="仿宋_GB2312" w:hAnsi="仿宋" w:eastAsia="仿宋_GB2312" w:cs="仿宋"/>
          <w:b/>
          <w:szCs w:val="24"/>
        </w:rPr>
      </w:pPr>
      <w:r>
        <w:rPr>
          <w:rFonts w:hint="eastAsia" w:ascii="仿宋_GB2312" w:hAnsi="仿宋" w:eastAsia="仿宋_GB2312" w:cs="仿宋"/>
          <w:b/>
          <w:szCs w:val="24"/>
        </w:rPr>
        <w:t>12、招标文件的澄清与修改</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12.1 在投标截止期前，由于各种原因，不论是自己主动提出还是答复投标人的澄清要求，招标人和招标代理机构可能会</w:t>
      </w:r>
      <w:r>
        <w:rPr>
          <w:rFonts w:hint="eastAsia" w:ascii="仿宋" w:hAnsi="仿宋" w:eastAsia="仿宋" w:cs="仿宋"/>
          <w:bCs/>
          <w:sz w:val="24"/>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12.2 招标文件的修改将以书面形式，包括邮寄、传真和电传，通知所有购买招标文件的投标人，并对其具有约束力，同时在</w:t>
      </w:r>
      <w:r>
        <w:rPr>
          <w:rFonts w:hint="eastAsia" w:ascii="仿宋" w:hAnsi="仿宋" w:eastAsia="仿宋" w:cs="仿宋"/>
          <w:bCs/>
          <w:sz w:val="24"/>
        </w:rPr>
        <w:t>财政部门指定的政府采购信息发布媒体上发布更正公告</w:t>
      </w:r>
      <w:r>
        <w:rPr>
          <w:rFonts w:hint="eastAsia" w:ascii="仿宋" w:hAnsi="仿宋" w:eastAsia="仿宋" w:cs="仿宋"/>
          <w:snapToGrid w:val="0"/>
          <w:kern w:val="0"/>
          <w:sz w:val="24"/>
        </w:rPr>
        <w:t>。</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12.3 招标代理机构</w:t>
      </w:r>
      <w:r>
        <w:rPr>
          <w:rFonts w:hint="eastAsia" w:ascii="仿宋" w:hAnsi="仿宋" w:eastAsia="仿宋" w:cs="仿宋"/>
          <w:bCs/>
          <w:sz w:val="24"/>
        </w:rPr>
        <w:t>可以视采购具体情况，延长投标截止时间和开标时间，将变更时间书面通知所有招标文件收受人，并在财政部门指定的政府采购信息发布媒体上发布变更公告。</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12.5招标文件的澄清、答复、修改或补充都应该通过本代理机构以法定形式发布，除此以外的发布不属于招标文件的组成部分。</w:t>
      </w:r>
    </w:p>
    <w:p>
      <w:pPr>
        <w:pStyle w:val="19"/>
        <w:adjustRightInd w:val="0"/>
        <w:snapToGrid w:val="0"/>
        <w:spacing w:before="120" w:afterLines="0" w:line="360" w:lineRule="auto"/>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三、投标文件的编制</w:t>
      </w:r>
    </w:p>
    <w:p>
      <w:pPr>
        <w:adjustRightInd w:val="0"/>
        <w:snapToGrid w:val="0"/>
        <w:spacing w:line="360" w:lineRule="auto"/>
        <w:ind w:firstLine="472" w:firstLineChars="196"/>
        <w:jc w:val="left"/>
        <w:outlineLvl w:val="0"/>
        <w:rPr>
          <w:rFonts w:hint="eastAsia" w:ascii="仿宋_GB2312" w:hAnsi="仿宋" w:eastAsia="仿宋_GB2312" w:cs="仿宋"/>
          <w:b/>
          <w:sz w:val="24"/>
        </w:rPr>
      </w:pPr>
      <w:r>
        <w:rPr>
          <w:rFonts w:hint="eastAsia" w:ascii="仿宋_GB2312" w:hAnsi="仿宋" w:eastAsia="仿宋_GB2312" w:cs="仿宋"/>
          <w:b/>
          <w:sz w:val="24"/>
        </w:rPr>
        <w:t>投标人应认真阅读招标文件中所有的事项、格式、条款和技术要求等内容。如果投标人没有按照招标文件的要求和规定编制投标文件及提交全部资料，或者投标文件没有对招标文件中的各方面作出实质性响应，其风险应由投标人承担。</w:t>
      </w:r>
    </w:p>
    <w:p>
      <w:pPr>
        <w:adjustRightInd w:val="0"/>
        <w:snapToGrid w:val="0"/>
        <w:spacing w:line="360" w:lineRule="auto"/>
        <w:rPr>
          <w:rFonts w:ascii="仿宋" w:hAnsi="仿宋" w:eastAsia="仿宋" w:cs="仿宋"/>
          <w:b/>
          <w:snapToGrid w:val="0"/>
          <w:kern w:val="0"/>
          <w:sz w:val="24"/>
        </w:rPr>
      </w:pPr>
      <w:r>
        <w:rPr>
          <w:rFonts w:hint="eastAsia" w:ascii="仿宋" w:hAnsi="仿宋" w:eastAsia="仿宋" w:cs="仿宋"/>
          <w:b/>
          <w:snapToGrid w:val="0"/>
          <w:kern w:val="0"/>
          <w:sz w:val="24"/>
        </w:rPr>
        <w:t>13．投标文件的语言及计量单位</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13.1 投标文件及投标人与招标人和招标代理机构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80" w:firstLineChars="200"/>
        <w:rPr>
          <w:rFonts w:hint="eastAsia" w:ascii="仿宋_GB2312" w:hAnsi="仿宋" w:eastAsia="仿宋_GB2312" w:cs="仿宋"/>
          <w:b/>
          <w:sz w:val="24"/>
        </w:rPr>
      </w:pPr>
      <w:r>
        <w:rPr>
          <w:rFonts w:hint="eastAsia" w:ascii="仿宋" w:hAnsi="仿宋" w:eastAsia="仿宋" w:cs="仿宋"/>
          <w:snapToGrid w:val="0"/>
          <w:kern w:val="0"/>
          <w:sz w:val="24"/>
        </w:rPr>
        <w:t>13.2 除招标文件另有规定外，投标文件所使用的计量单位，均须采用中华人民共和国法定计量单位，否则视同未响应。</w:t>
      </w:r>
    </w:p>
    <w:p>
      <w:pPr>
        <w:adjustRightInd w:val="0"/>
        <w:snapToGrid w:val="0"/>
        <w:spacing w:line="360" w:lineRule="auto"/>
        <w:jc w:val="left"/>
        <w:outlineLvl w:val="0"/>
        <w:rPr>
          <w:rFonts w:hint="eastAsia" w:ascii="仿宋_GB2312" w:hAnsi="仿宋" w:eastAsia="仿宋_GB2312" w:cs="仿宋"/>
          <w:b/>
          <w:sz w:val="24"/>
        </w:rPr>
      </w:pPr>
      <w:r>
        <w:rPr>
          <w:rFonts w:hint="eastAsia" w:ascii="仿宋_GB2312" w:hAnsi="仿宋" w:eastAsia="仿宋_GB2312" w:cs="仿宋"/>
          <w:b/>
          <w:sz w:val="24"/>
        </w:rPr>
        <w:t>14、投标文件的组成</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投标文件由</w:t>
      </w:r>
      <w:r>
        <w:rPr>
          <w:rFonts w:hint="eastAsia" w:ascii="仿宋" w:hAnsi="仿宋" w:eastAsia="仿宋" w:cs="仿宋"/>
          <w:b/>
          <w:sz w:val="24"/>
        </w:rPr>
        <w:t>资格文件</w:t>
      </w:r>
      <w:r>
        <w:rPr>
          <w:rFonts w:hint="eastAsia" w:ascii="仿宋" w:hAnsi="仿宋" w:eastAsia="仿宋" w:cs="仿宋"/>
          <w:kern w:val="0"/>
          <w:sz w:val="24"/>
        </w:rPr>
        <w:t>，</w:t>
      </w:r>
      <w:r>
        <w:rPr>
          <w:rFonts w:hint="eastAsia" w:ascii="仿宋" w:hAnsi="仿宋" w:eastAsia="仿宋" w:cs="仿宋"/>
          <w:b/>
          <w:sz w:val="24"/>
        </w:rPr>
        <w:t>商务技术文件</w:t>
      </w:r>
      <w:r>
        <w:rPr>
          <w:rFonts w:hint="eastAsia" w:ascii="仿宋" w:hAnsi="仿宋" w:eastAsia="仿宋" w:cs="仿宋"/>
          <w:kern w:val="0"/>
          <w:sz w:val="24"/>
        </w:rPr>
        <w:t>，</w:t>
      </w:r>
      <w:r>
        <w:rPr>
          <w:rFonts w:hint="eastAsia" w:ascii="仿宋" w:hAnsi="仿宋" w:eastAsia="仿宋" w:cs="仿宋"/>
          <w:b/>
          <w:kern w:val="0"/>
          <w:sz w:val="24"/>
        </w:rPr>
        <w:t>报价文件三</w:t>
      </w:r>
      <w:r>
        <w:rPr>
          <w:rFonts w:hint="eastAsia" w:ascii="仿宋" w:hAnsi="仿宋" w:eastAsia="仿宋" w:cs="仿宋"/>
          <w:sz w:val="24"/>
        </w:rPr>
        <w:t>部</w:t>
      </w:r>
      <w:r>
        <w:rPr>
          <w:rFonts w:hint="eastAsia" w:ascii="仿宋" w:hAnsi="仿宋" w:eastAsia="仿宋" w:cs="仿宋"/>
          <w:kern w:val="0"/>
          <w:sz w:val="24"/>
        </w:rPr>
        <w:t>分组成，</w:t>
      </w:r>
      <w:r>
        <w:rPr>
          <w:rFonts w:hint="eastAsia" w:ascii="仿宋" w:hAnsi="仿宋" w:eastAsia="仿宋" w:cs="仿宋"/>
          <w:b/>
          <w:bCs/>
          <w:kern w:val="0"/>
          <w:sz w:val="24"/>
        </w:rPr>
        <w:t>政采云平台有相关要求的按照平台文件格式要求制作，内容按照招标文件要求提供。</w:t>
      </w:r>
    </w:p>
    <w:p>
      <w:pPr>
        <w:adjustRightInd w:val="0"/>
        <w:snapToGrid w:val="0"/>
        <w:spacing w:line="360" w:lineRule="auto"/>
        <w:ind w:firstLine="472" w:firstLineChars="196"/>
        <w:jc w:val="left"/>
        <w:rPr>
          <w:rFonts w:hint="eastAsia" w:ascii="仿宋_GB2312" w:hAnsi="仿宋" w:eastAsia="仿宋_GB2312" w:cs="仿宋"/>
          <w:b/>
          <w:sz w:val="24"/>
        </w:rPr>
      </w:pPr>
      <w:r>
        <w:rPr>
          <w:rFonts w:hint="eastAsia" w:ascii="仿宋_GB2312" w:hAnsi="仿宋" w:eastAsia="仿宋_GB2312" w:cs="仿宋"/>
          <w:b/>
          <w:sz w:val="24"/>
        </w:rPr>
        <w:t>14.1 资格文件</w:t>
      </w:r>
    </w:p>
    <w:p>
      <w:pPr>
        <w:adjustRightInd w:val="0"/>
        <w:snapToGrid w:val="0"/>
        <w:spacing w:line="360" w:lineRule="auto"/>
        <w:ind w:firstLine="472" w:firstLineChars="196"/>
        <w:jc w:val="left"/>
        <w:rPr>
          <w:rFonts w:hint="eastAsia" w:ascii="仿宋" w:hAnsi="仿宋" w:eastAsia="仿宋" w:cs="仿宋"/>
          <w:snapToGrid w:val="0"/>
          <w:sz w:val="24"/>
        </w:rPr>
      </w:pPr>
      <w:r>
        <w:rPr>
          <w:rFonts w:hint="eastAsia" w:ascii="仿宋_GB2312" w:hAnsi="仿宋" w:eastAsia="仿宋_GB2312" w:cs="仿宋"/>
          <w:b/>
          <w:bCs/>
          <w:sz w:val="24"/>
        </w:rPr>
        <w:t>一、基本资格条件：</w:t>
      </w:r>
    </w:p>
    <w:p>
      <w:pPr>
        <w:adjustRightInd w:val="0"/>
        <w:snapToGrid w:val="0"/>
        <w:spacing w:line="360" w:lineRule="auto"/>
        <w:ind w:firstLine="480" w:firstLineChars="200"/>
        <w:jc w:val="left"/>
        <w:rPr>
          <w:rFonts w:hint="eastAsia" w:ascii="仿宋" w:hAnsi="仿宋" w:eastAsia="仿宋" w:cs="仿宋"/>
          <w:snapToGrid w:val="0"/>
          <w:sz w:val="24"/>
        </w:rPr>
      </w:pPr>
      <w:r>
        <w:rPr>
          <w:rFonts w:hint="eastAsia" w:ascii="仿宋" w:hAnsi="仿宋" w:eastAsia="仿宋" w:cs="仿宋"/>
          <w:snapToGrid w:val="0"/>
          <w:sz w:val="24"/>
        </w:rPr>
        <w:t>1、有效的营业执照(或事业法人登记证书或其它工商等登记证明材料；自然人参与政府采购，提供身份证)复印件（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pPr>
        <w:adjustRightInd w:val="0"/>
        <w:snapToGrid w:val="0"/>
        <w:spacing w:line="360" w:lineRule="auto"/>
        <w:ind w:firstLine="480" w:firstLineChars="200"/>
        <w:jc w:val="left"/>
        <w:rPr>
          <w:rFonts w:hint="eastAsia" w:ascii="仿宋" w:hAnsi="仿宋" w:eastAsia="仿宋" w:cs="仿宋"/>
          <w:snapToGrid w:val="0"/>
          <w:sz w:val="24"/>
        </w:rPr>
      </w:pPr>
      <w:r>
        <w:rPr>
          <w:rFonts w:hint="eastAsia" w:ascii="仿宋" w:hAnsi="仿宋" w:eastAsia="仿宋" w:cs="仿宋"/>
          <w:snapToGrid w:val="0"/>
          <w:sz w:val="24"/>
        </w:rPr>
        <w:t>2、符合参加政府采购活动应当具备的一般条件的承诺函；</w:t>
      </w:r>
    </w:p>
    <w:p>
      <w:pPr>
        <w:adjustRightInd w:val="0"/>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bCs/>
          <w:snapToGrid w:val="0"/>
          <w:sz w:val="24"/>
        </w:rPr>
        <w:t>二、特定资格条件：无。</w:t>
      </w:r>
    </w:p>
    <w:p>
      <w:pPr>
        <w:adjustRightInd w:val="0"/>
        <w:snapToGrid w:val="0"/>
        <w:spacing w:line="360" w:lineRule="auto"/>
        <w:ind w:firstLine="482" w:firstLineChars="200"/>
        <w:jc w:val="left"/>
        <w:rPr>
          <w:rFonts w:hint="eastAsia"/>
        </w:rPr>
      </w:pPr>
      <w:r>
        <w:rPr>
          <w:rFonts w:hint="eastAsia" w:ascii="仿宋" w:hAnsi="仿宋" w:eastAsia="仿宋" w:cs="仿宋"/>
          <w:b/>
          <w:bCs/>
          <w:snapToGrid w:val="0"/>
          <w:sz w:val="24"/>
        </w:rPr>
        <w:t>注：上述证明材料有一项未提供或提供不完整的，视为资格审查不通过。</w:t>
      </w:r>
    </w:p>
    <w:p>
      <w:pPr>
        <w:adjustRightInd w:val="0"/>
        <w:snapToGrid w:val="0"/>
        <w:spacing w:line="360" w:lineRule="auto"/>
        <w:ind w:firstLine="472" w:firstLineChars="196"/>
        <w:jc w:val="left"/>
        <w:rPr>
          <w:rFonts w:hint="eastAsia" w:ascii="仿宋_GB2312" w:hAnsi="仿宋" w:eastAsia="仿宋_GB2312" w:cs="仿宋"/>
          <w:sz w:val="24"/>
        </w:rPr>
      </w:pPr>
      <w:r>
        <w:rPr>
          <w:rFonts w:hint="eastAsia" w:ascii="仿宋_GB2312" w:hAnsi="仿宋" w:eastAsia="仿宋_GB2312" w:cs="仿宋"/>
          <w:b/>
          <w:sz w:val="24"/>
        </w:rPr>
        <w:t>14.2 商务技术文件</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（1）投标声明书 (格式见附件) ；</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（2）法定代表人授权委托书或法定代表人身份证明书(格式见附件)；▲</w:t>
      </w:r>
      <w:r>
        <w:rPr>
          <w:rFonts w:hint="eastAsia" w:ascii="仿宋_GB2312" w:hAnsi="仿宋" w:eastAsia="仿宋_GB2312" w:cs="仿宋"/>
          <w:b/>
          <w:sz w:val="24"/>
          <w:szCs w:val="22"/>
        </w:rPr>
        <w:t>投标文件中法定代表人授权书所载内容不完整或与本项目内容有异的，为无效标</w:t>
      </w:r>
      <w:r>
        <w:rPr>
          <w:rFonts w:hint="eastAsia" w:ascii="仿宋_GB2312" w:hAnsi="仿宋" w:eastAsia="仿宋_GB2312" w:cs="仿宋"/>
          <w:bCs/>
          <w:sz w:val="24"/>
          <w:szCs w:val="22"/>
        </w:rPr>
        <w:t>；</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（3）招标服务费承诺书；</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（4）投标人情况介绍；</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5）供应商近三年以来类似项目业绩（需提供证明材料，如合同复印件、验收报告等）(如为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rPr>
        <w:t>（6）针对本项目的完整技术解决和实施方案，</w:t>
      </w:r>
      <w:r>
        <w:rPr>
          <w:rFonts w:hint="eastAsia" w:ascii="仿宋_GB2312" w:hAnsi="仿宋" w:eastAsia="仿宋_GB2312" w:cs="仿宋"/>
          <w:bCs/>
          <w:sz w:val="24"/>
          <w:szCs w:val="22"/>
          <w:lang w:val="zh-CN"/>
        </w:rPr>
        <w:t>包括但不限于</w:t>
      </w:r>
      <w:r>
        <w:rPr>
          <w:rFonts w:hint="eastAsia" w:ascii="仿宋_GB2312" w:hAnsi="仿宋" w:eastAsia="仿宋_GB2312" w:cs="仿宋"/>
          <w:bCs/>
          <w:sz w:val="24"/>
          <w:szCs w:val="22"/>
        </w:rPr>
        <w:t>等</w:t>
      </w:r>
      <w:r>
        <w:rPr>
          <w:rFonts w:hint="eastAsia" w:ascii="仿宋_GB2312" w:hAnsi="仿宋" w:eastAsia="仿宋_GB2312" w:cs="仿宋"/>
          <w:bCs/>
          <w:sz w:val="24"/>
          <w:szCs w:val="22"/>
          <w:lang w:val="zh-CN"/>
        </w:rPr>
        <w:t>；</w:t>
      </w:r>
    </w:p>
    <w:p>
      <w:pPr>
        <w:adjustRightInd w:val="0"/>
        <w:snapToGrid w:val="0"/>
        <w:spacing w:line="360" w:lineRule="auto"/>
        <w:ind w:firstLine="482" w:firstLineChars="200"/>
        <w:jc w:val="left"/>
        <w:rPr>
          <w:rFonts w:hint="eastAsia" w:ascii="仿宋_GB2312" w:hAnsi="仿宋" w:eastAsia="仿宋_GB2312" w:cs="仿宋"/>
          <w:b/>
          <w:sz w:val="24"/>
          <w:szCs w:val="22"/>
        </w:rPr>
      </w:pPr>
      <w:r>
        <w:rPr>
          <w:rFonts w:hint="eastAsia" w:ascii="仿宋_GB2312" w:hAnsi="仿宋" w:eastAsia="仿宋_GB2312" w:cs="仿宋"/>
          <w:b/>
          <w:sz w:val="24"/>
          <w:szCs w:val="22"/>
        </w:rPr>
        <w:t>如果本项目涉及硬件设备采购，还需提供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w:t>
      </w:r>
      <w:r>
        <w:rPr>
          <w:rFonts w:hint="eastAsia" w:ascii="仿宋" w:hAnsi="仿宋" w:eastAsia="仿宋" w:cs="仿宋"/>
          <w:b/>
          <w:bCs/>
          <w:sz w:val="24"/>
        </w:rPr>
        <w:t>评标委员会</w:t>
      </w:r>
      <w:r>
        <w:rPr>
          <w:rFonts w:hint="eastAsia" w:ascii="仿宋_GB2312" w:hAnsi="仿宋" w:eastAsia="仿宋_GB2312" w:cs="仿宋"/>
          <w:b/>
          <w:sz w:val="24"/>
          <w:szCs w:val="22"/>
        </w:rPr>
        <w:t>技术扣分直至认定为无效标都将是投标人的责任。</w:t>
      </w:r>
    </w:p>
    <w:p>
      <w:pPr>
        <w:adjustRightInd w:val="0"/>
        <w:snapToGrid w:val="0"/>
        <w:spacing w:line="360" w:lineRule="auto"/>
        <w:ind w:firstLine="482" w:firstLineChars="200"/>
        <w:jc w:val="left"/>
        <w:rPr>
          <w:rFonts w:hint="eastAsia" w:ascii="仿宋_GB2312" w:hAnsi="仿宋" w:eastAsia="仿宋_GB2312" w:cs="仿宋"/>
          <w:b/>
          <w:sz w:val="24"/>
          <w:szCs w:val="22"/>
        </w:rPr>
      </w:pPr>
      <w:r>
        <w:rPr>
          <w:rFonts w:hint="eastAsia" w:ascii="仿宋_GB2312" w:hAnsi="仿宋" w:eastAsia="仿宋_GB2312" w:cs="仿宋"/>
          <w:b/>
          <w:sz w:val="24"/>
          <w:szCs w:val="22"/>
        </w:rPr>
        <w:t>本项目如需采购政府强制采购的节能产品的或投标人提供的产品是环境标志产品，投标人按要求提供节能产品、环境标志产品认证证书复印件；</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（7）</w:t>
      </w:r>
      <w:r>
        <w:rPr>
          <w:rFonts w:hint="eastAsia" w:ascii="仿宋_GB2312" w:hAnsi="仿宋" w:eastAsia="仿宋_GB2312" w:cs="仿宋"/>
          <w:bCs/>
          <w:sz w:val="24"/>
          <w:szCs w:val="22"/>
          <w:lang w:val="zh-CN"/>
        </w:rPr>
        <w:t>进行本项目实施的自有或租赁场地及设备详细情况；</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rPr>
        <w:t>（8）项目组成员情况</w:t>
      </w:r>
      <w:r>
        <w:rPr>
          <w:rFonts w:hint="eastAsia" w:ascii="仿宋_GB2312" w:hAnsi="仿宋" w:eastAsia="仿宋_GB2312" w:cs="仿宋"/>
          <w:bCs/>
          <w:sz w:val="24"/>
          <w:szCs w:val="22"/>
          <w:lang w:val="zh-CN"/>
        </w:rPr>
        <w:t>一览表，</w:t>
      </w:r>
      <w:r>
        <w:rPr>
          <w:rFonts w:hint="eastAsia" w:ascii="仿宋_GB2312" w:hAnsi="仿宋" w:eastAsia="仿宋_GB2312" w:cs="仿宋"/>
          <w:bCs/>
          <w:sz w:val="24"/>
          <w:szCs w:val="22"/>
        </w:rPr>
        <w:t>包括拟投入本项目的项目经理及实施人员的履历及相关岗位责任描述</w:t>
      </w:r>
      <w:r>
        <w:rPr>
          <w:rFonts w:hint="eastAsia" w:ascii="仿宋_GB2312" w:hAnsi="仿宋" w:eastAsia="仿宋_GB2312" w:cs="仿宋"/>
          <w:bCs/>
          <w:sz w:val="24"/>
          <w:szCs w:val="22"/>
          <w:lang w:val="zh-CN"/>
        </w:rPr>
        <w:t>并附相关资质证明文件、社保材料等；</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lang w:val="zh-CN"/>
        </w:rPr>
        <w:t>（</w:t>
      </w:r>
      <w:r>
        <w:rPr>
          <w:rFonts w:hint="eastAsia" w:ascii="仿宋_GB2312" w:hAnsi="仿宋" w:eastAsia="仿宋_GB2312" w:cs="仿宋"/>
          <w:bCs/>
          <w:sz w:val="24"/>
          <w:szCs w:val="22"/>
        </w:rPr>
        <w:t>9</w:t>
      </w:r>
      <w:r>
        <w:rPr>
          <w:rFonts w:hint="eastAsia" w:ascii="仿宋_GB2312" w:hAnsi="仿宋" w:eastAsia="仿宋_GB2312" w:cs="仿宋"/>
          <w:bCs/>
          <w:sz w:val="24"/>
          <w:szCs w:val="22"/>
          <w:lang w:val="zh-CN"/>
        </w:rPr>
        <w:t>）各项内部管理制度；</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lang w:val="zh-CN"/>
        </w:rPr>
        <w:t>（</w:t>
      </w:r>
      <w:r>
        <w:rPr>
          <w:rFonts w:hint="eastAsia" w:ascii="仿宋_GB2312" w:hAnsi="仿宋" w:eastAsia="仿宋_GB2312" w:cs="仿宋"/>
          <w:bCs/>
          <w:sz w:val="24"/>
          <w:szCs w:val="22"/>
        </w:rPr>
        <w:t>10</w:t>
      </w:r>
      <w:r>
        <w:rPr>
          <w:rFonts w:hint="eastAsia" w:ascii="仿宋_GB2312" w:hAnsi="仿宋" w:eastAsia="仿宋_GB2312" w:cs="仿宋"/>
          <w:bCs/>
          <w:sz w:val="24"/>
          <w:szCs w:val="22"/>
          <w:lang w:val="zh-CN"/>
        </w:rPr>
        <w:t>）本地常驻服务和技术支持机构服务方案；</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lang w:val="zh-CN"/>
        </w:rPr>
        <w:t>（</w:t>
      </w:r>
      <w:r>
        <w:rPr>
          <w:rFonts w:hint="eastAsia" w:ascii="仿宋_GB2312" w:hAnsi="仿宋" w:eastAsia="仿宋_GB2312" w:cs="仿宋"/>
          <w:bCs/>
          <w:sz w:val="24"/>
          <w:szCs w:val="22"/>
        </w:rPr>
        <w:t>11</w:t>
      </w:r>
      <w:r>
        <w:rPr>
          <w:rFonts w:hint="eastAsia" w:ascii="仿宋_GB2312" w:hAnsi="仿宋" w:eastAsia="仿宋_GB2312" w:cs="仿宋"/>
          <w:bCs/>
          <w:sz w:val="24"/>
          <w:szCs w:val="22"/>
          <w:lang w:val="zh-CN"/>
        </w:rPr>
        <w:t>）商务技术响应表（格式见附件）</w:t>
      </w:r>
      <w:r>
        <w:rPr>
          <w:rFonts w:hint="eastAsia" w:ascii="仿宋_GB2312" w:hAnsi="仿宋" w:eastAsia="仿宋_GB2312" w:cs="仿宋"/>
          <w:bCs/>
          <w:sz w:val="24"/>
          <w:szCs w:val="22"/>
        </w:rPr>
        <w:t>应对采购需求中所提出各项要求进行答复、说明和解释。如果投标人在商务技术偏离表中注明无偏离，评标结束后、签订采购合同前又认为其实际产品或服务与采购需求不一致的，并以此为由拒不与招标人按采购需求与承诺签订政府采购合同的，投标人有未按照招标文件确定的事项签订政府采购合同的情形，依照政府采购法第七十七条第一款的规定将被追究法律责任；</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lang w:val="zh-CN"/>
        </w:rPr>
        <w:t>（</w:t>
      </w:r>
      <w:r>
        <w:rPr>
          <w:rFonts w:hint="eastAsia" w:ascii="仿宋_GB2312" w:hAnsi="仿宋" w:eastAsia="仿宋_GB2312" w:cs="仿宋"/>
          <w:bCs/>
          <w:sz w:val="24"/>
          <w:szCs w:val="22"/>
        </w:rPr>
        <w:t>12</w:t>
      </w:r>
      <w:r>
        <w:rPr>
          <w:rFonts w:hint="eastAsia" w:ascii="仿宋_GB2312" w:hAnsi="仿宋" w:eastAsia="仿宋_GB2312" w:cs="仿宋"/>
          <w:bCs/>
          <w:sz w:val="24"/>
          <w:szCs w:val="22"/>
          <w:lang w:val="zh-CN"/>
        </w:rPr>
        <w:t>）供应商提出的对本项目的服务承诺；</w:t>
      </w:r>
    </w:p>
    <w:p>
      <w:pPr>
        <w:adjustRightInd w:val="0"/>
        <w:snapToGrid w:val="0"/>
        <w:spacing w:line="360" w:lineRule="auto"/>
        <w:ind w:firstLine="480" w:firstLineChars="200"/>
        <w:jc w:val="left"/>
        <w:rPr>
          <w:rFonts w:hint="eastAsia" w:ascii="仿宋_GB2312" w:hAnsi="仿宋" w:eastAsia="仿宋_GB2312" w:cs="仿宋"/>
          <w:bCs/>
          <w:sz w:val="24"/>
          <w:szCs w:val="22"/>
          <w:lang w:val="zh-CN"/>
        </w:rPr>
      </w:pPr>
      <w:r>
        <w:rPr>
          <w:rFonts w:hint="eastAsia" w:ascii="仿宋_GB2312" w:hAnsi="仿宋" w:eastAsia="仿宋_GB2312" w:cs="仿宋"/>
          <w:bCs/>
          <w:sz w:val="24"/>
          <w:szCs w:val="22"/>
          <w:lang w:val="zh-CN"/>
        </w:rPr>
        <w:t>（</w:t>
      </w:r>
      <w:r>
        <w:rPr>
          <w:rFonts w:hint="eastAsia" w:ascii="仿宋_GB2312" w:hAnsi="仿宋" w:eastAsia="仿宋_GB2312" w:cs="仿宋"/>
          <w:bCs/>
          <w:sz w:val="24"/>
          <w:szCs w:val="22"/>
        </w:rPr>
        <w:t>13</w:t>
      </w:r>
      <w:r>
        <w:rPr>
          <w:rFonts w:hint="eastAsia" w:ascii="仿宋_GB2312" w:hAnsi="仿宋" w:eastAsia="仿宋_GB2312" w:cs="仿宋"/>
          <w:bCs/>
          <w:sz w:val="24"/>
          <w:szCs w:val="22"/>
          <w:lang w:val="zh-CN"/>
        </w:rPr>
        <w:t>）供应商认为需要说明的其他文件和资料。</w:t>
      </w:r>
    </w:p>
    <w:p>
      <w:pPr>
        <w:pStyle w:val="14"/>
        <w:ind w:firstLine="480" w:firstLineChars="200"/>
        <w:rPr>
          <w:rFonts w:hint="eastAsia" w:ascii="仿宋_GB2312" w:hAnsi="仿宋" w:eastAsia="仿宋_GB2312" w:cs="仿宋"/>
          <w:bCs/>
          <w:sz w:val="24"/>
          <w:szCs w:val="22"/>
        </w:rPr>
      </w:pPr>
      <w:r>
        <w:rPr>
          <w:rFonts w:hint="eastAsia" w:ascii="仿宋_GB2312" w:hAnsi="仿宋" w:eastAsia="仿宋_GB2312" w:cs="仿宋"/>
          <w:bCs/>
          <w:sz w:val="24"/>
          <w:szCs w:val="22"/>
        </w:rPr>
        <w:t>（14）</w:t>
      </w:r>
      <w:r>
        <w:rPr>
          <w:rFonts w:hint="eastAsia" w:ascii="仿宋_GB2312" w:hAnsi="仿宋" w:eastAsia="仿宋_GB2312" w:cs="仿宋"/>
          <w:bCs/>
          <w:sz w:val="24"/>
          <w:szCs w:val="22"/>
          <w:lang w:val="zh-CN"/>
        </w:rPr>
        <w:t>政府采购供应商廉洁自律承诺书</w:t>
      </w:r>
      <w:r>
        <w:rPr>
          <w:rFonts w:hint="eastAsia" w:ascii="仿宋_GB2312" w:hAnsi="仿宋" w:eastAsia="仿宋_GB2312" w:cs="仿宋"/>
          <w:bCs/>
          <w:sz w:val="24"/>
          <w:szCs w:val="22"/>
        </w:rPr>
        <w:t>。</w:t>
      </w:r>
    </w:p>
    <w:p>
      <w:pPr>
        <w:adjustRightInd w:val="0"/>
        <w:snapToGrid w:val="0"/>
        <w:spacing w:line="360" w:lineRule="auto"/>
        <w:ind w:firstLine="472" w:firstLineChars="196"/>
        <w:jc w:val="left"/>
        <w:rPr>
          <w:rFonts w:hint="eastAsia" w:ascii="仿宋_GB2312" w:hAnsi="仿宋" w:eastAsia="仿宋_GB2312" w:cs="仿宋"/>
          <w:b/>
          <w:sz w:val="24"/>
        </w:rPr>
      </w:pPr>
      <w:r>
        <w:rPr>
          <w:rFonts w:hint="eastAsia" w:ascii="仿宋_GB2312" w:hAnsi="仿宋" w:eastAsia="仿宋_GB2312" w:cs="仿宋"/>
          <w:b/>
          <w:sz w:val="24"/>
        </w:rPr>
        <w:t>14.3 报价文件</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（1）投标响应函（格式见附件）；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（2）投标（开标）一览表（格式见附件）；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（3）投标报价明细表（格式见附件）； </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sz w:val="24"/>
        </w:rPr>
        <w:t>（4）中小企业</w:t>
      </w:r>
      <w:r>
        <w:rPr>
          <w:rFonts w:hint="eastAsia" w:ascii="仿宋_GB2312" w:hAnsi="仿宋" w:eastAsia="仿宋_GB2312" w:cs="仿宋"/>
          <w:bCs/>
          <w:sz w:val="24"/>
        </w:rPr>
        <w:t>声明</w:t>
      </w:r>
      <w:r>
        <w:rPr>
          <w:rFonts w:hint="eastAsia" w:ascii="仿宋_GB2312" w:hAnsi="仿宋" w:eastAsia="仿宋_GB2312" w:cs="仿宋"/>
          <w:bCs/>
          <w:sz w:val="24"/>
          <w:szCs w:val="22"/>
        </w:rPr>
        <w:t>函（格式见附件）；</w:t>
      </w:r>
    </w:p>
    <w:p>
      <w:pPr>
        <w:adjustRightInd w:val="0"/>
        <w:snapToGrid w:val="0"/>
        <w:spacing w:line="360" w:lineRule="auto"/>
        <w:ind w:firstLine="480" w:firstLineChars="200"/>
        <w:jc w:val="left"/>
        <w:rPr>
          <w:rFonts w:hint="eastAsia" w:ascii="仿宋_GB2312" w:hAnsi="仿宋" w:eastAsia="仿宋_GB2312" w:cs="仿宋"/>
          <w:bCs/>
          <w:sz w:val="24"/>
          <w:szCs w:val="22"/>
        </w:rPr>
      </w:pPr>
      <w:r>
        <w:rPr>
          <w:rFonts w:hint="eastAsia" w:ascii="仿宋_GB2312" w:hAnsi="仿宋" w:eastAsia="仿宋_GB2312" w:cs="仿宋"/>
          <w:bCs/>
          <w:sz w:val="24"/>
          <w:szCs w:val="22"/>
        </w:rPr>
        <w:t>（5）残疾人福利企业、监狱企业声明函（若有，格式见附件）；</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（6）投标人针对报价需要说明的其他文件和说明（如有）。</w:t>
      </w:r>
    </w:p>
    <w:p>
      <w:pPr>
        <w:pStyle w:val="30"/>
        <w:adjustRightInd w:val="0"/>
        <w:snapToGrid w:val="0"/>
        <w:spacing w:after="0" w:line="360" w:lineRule="auto"/>
        <w:ind w:firstLine="482" w:firstLineChars="200"/>
        <w:rPr>
          <w:rFonts w:hint="eastAsia" w:ascii="仿宋_GB2312" w:hAnsi="仿宋" w:eastAsia="仿宋_GB2312" w:cs="仿宋"/>
          <w:b/>
          <w:bCs/>
          <w:sz w:val="24"/>
        </w:rPr>
      </w:pPr>
      <w:r>
        <w:rPr>
          <w:rFonts w:hint="eastAsia" w:ascii="仿宋_GB2312" w:hAnsi="仿宋" w:eastAsia="仿宋_GB2312" w:cs="仿宋"/>
          <w:b/>
          <w:bCs/>
          <w:sz w:val="24"/>
        </w:rPr>
        <w:t>注：1、法定代表人授权委托书、投标声明书、投标响应函、投标（开标）一览表、报价明细表必须由法定代表人或其授权代表签名并加盖公章，否则以无效标处理。投标人应按照招标文件中所提出的格式、内容编写。投标人可以根据需要增加说明或描述性文字。所提供的各类证件、证书、证明等均须加盖公章。</w:t>
      </w:r>
    </w:p>
    <w:p>
      <w:pPr>
        <w:pStyle w:val="30"/>
        <w:adjustRightInd w:val="0"/>
        <w:snapToGrid w:val="0"/>
        <w:spacing w:after="0" w:line="360" w:lineRule="auto"/>
        <w:ind w:firstLine="482" w:firstLineChars="200"/>
        <w:rPr>
          <w:rFonts w:hint="eastAsia" w:ascii="仿宋_GB2312" w:hAnsi="仿宋" w:eastAsia="仿宋_GB2312" w:cs="仿宋"/>
          <w:b/>
          <w:bCs/>
          <w:sz w:val="24"/>
        </w:rPr>
      </w:pPr>
      <w:r>
        <w:rPr>
          <w:rFonts w:hint="eastAsia" w:ascii="仿宋_GB2312" w:hAnsi="仿宋" w:eastAsia="仿宋_GB2312" w:cs="仿宋"/>
          <w:b/>
          <w:bCs/>
          <w:sz w:val="24"/>
        </w:rPr>
        <w:t>2、商务技术文件中不得出现价格信息，否则以无效标处理。</w:t>
      </w:r>
    </w:p>
    <w:p>
      <w:pPr>
        <w:adjustRightInd w:val="0"/>
        <w:snapToGrid w:val="0"/>
        <w:spacing w:line="360" w:lineRule="auto"/>
        <w:jc w:val="left"/>
        <w:outlineLvl w:val="0"/>
        <w:rPr>
          <w:rFonts w:hint="eastAsia" w:ascii="仿宋_GB2312" w:hAnsi="仿宋" w:eastAsia="仿宋_GB2312" w:cs="仿宋"/>
          <w:b/>
          <w:sz w:val="24"/>
        </w:rPr>
      </w:pPr>
      <w:r>
        <w:rPr>
          <w:rFonts w:hint="eastAsia" w:ascii="仿宋_GB2312" w:hAnsi="仿宋" w:eastAsia="仿宋_GB2312" w:cs="仿宋"/>
          <w:b/>
          <w:sz w:val="24"/>
        </w:rPr>
        <w:t>15、投标报价</w:t>
      </w:r>
    </w:p>
    <w:p>
      <w:pPr>
        <w:pStyle w:val="19"/>
        <w:adjustRightInd w:val="0"/>
        <w:snapToGrid w:val="0"/>
        <w:spacing w:beforeLines="0" w:afterLines="0" w:line="360" w:lineRule="auto"/>
        <w:ind w:firstLine="480" w:firstLineChars="200"/>
        <w:jc w:val="left"/>
        <w:rPr>
          <w:rFonts w:hint="eastAsia" w:ascii="仿宋_GB2312" w:hAnsi="仿宋" w:eastAsia="仿宋_GB2312" w:cs="仿宋"/>
        </w:rPr>
      </w:pPr>
      <w:r>
        <w:rPr>
          <w:rFonts w:hint="eastAsia" w:ascii="仿宋_GB2312" w:hAnsi="仿宋" w:eastAsia="仿宋_GB2312" w:cs="仿宋"/>
        </w:rPr>
        <w:t>15.1 投标报价应按招标文件中相关附表格式填写。</w:t>
      </w:r>
    </w:p>
    <w:p>
      <w:pPr>
        <w:pStyle w:val="19"/>
        <w:adjustRightInd w:val="0"/>
        <w:snapToGrid w:val="0"/>
        <w:spacing w:beforeLines="0" w:afterLines="0" w:line="360" w:lineRule="auto"/>
        <w:ind w:firstLine="480" w:firstLineChars="200"/>
        <w:jc w:val="left"/>
        <w:rPr>
          <w:rFonts w:hint="eastAsia" w:ascii="仿宋_GB2312" w:hAnsi="仿宋" w:eastAsia="仿宋_GB2312" w:cs="仿宋"/>
        </w:rPr>
      </w:pPr>
      <w:r>
        <w:rPr>
          <w:rFonts w:hint="eastAsia" w:ascii="仿宋_GB2312" w:hAnsi="仿宋" w:eastAsia="仿宋_GB2312" w:cs="仿宋"/>
        </w:rPr>
        <w:t>15.2 投标报价是履行合同的最终价格，应包括为完成本项目所涉及的一切费用。</w:t>
      </w:r>
    </w:p>
    <w:p>
      <w:pPr>
        <w:tabs>
          <w:tab w:val="left" w:pos="525"/>
        </w:tabs>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15.3 投标文件只允许有一个报价，有选择的或有条件的报价将不予接受（特别说明的除外）。</w:t>
      </w:r>
    </w:p>
    <w:p>
      <w:pPr>
        <w:pStyle w:val="9"/>
        <w:widowControl w:val="0"/>
        <w:numPr>
          <w:ilvl w:val="0"/>
          <w:numId w:val="0"/>
        </w:numPr>
        <w:adjustRightInd w:val="0"/>
        <w:snapToGrid w:val="0"/>
        <w:spacing w:afterLines="0" w:line="360" w:lineRule="auto"/>
        <w:ind w:left="282" w:hanging="282" w:hangingChars="117"/>
        <w:rPr>
          <w:rFonts w:hint="eastAsia" w:ascii="仿宋_GB2312" w:hAnsi="仿宋" w:eastAsia="仿宋_GB2312" w:cs="仿宋"/>
          <w:b/>
          <w:szCs w:val="24"/>
        </w:rPr>
      </w:pPr>
      <w:r>
        <w:rPr>
          <w:rFonts w:hint="eastAsia" w:ascii="仿宋_GB2312" w:hAnsi="仿宋" w:eastAsia="仿宋_GB2312" w:cs="仿宋"/>
          <w:b/>
          <w:szCs w:val="24"/>
        </w:rPr>
        <w:t>16、投标文件的有效期</w:t>
      </w:r>
    </w:p>
    <w:p>
      <w:pPr>
        <w:pStyle w:val="9"/>
        <w:widowControl w:val="0"/>
        <w:numPr>
          <w:ilvl w:val="0"/>
          <w:numId w:val="0"/>
        </w:numPr>
        <w:adjustRightInd w:val="0"/>
        <w:snapToGrid w:val="0"/>
        <w:spacing w:afterLines="0" w:line="360" w:lineRule="auto"/>
        <w:ind w:firstLine="480" w:firstLineChars="200"/>
        <w:rPr>
          <w:rFonts w:hint="eastAsia" w:ascii="仿宋_GB2312" w:hAnsi="仿宋" w:eastAsia="仿宋_GB2312" w:cs="仿宋"/>
          <w:szCs w:val="24"/>
        </w:rPr>
      </w:pPr>
      <w:r>
        <w:rPr>
          <w:rFonts w:hint="eastAsia" w:ascii="仿宋_GB2312" w:hAnsi="仿宋" w:eastAsia="仿宋_GB2312" w:cs="仿宋"/>
          <w:szCs w:val="24"/>
        </w:rPr>
        <w:t>16.1 自投标截止日起</w:t>
      </w:r>
      <w:r>
        <w:rPr>
          <w:rFonts w:hint="eastAsia" w:ascii="仿宋_GB2312" w:hAnsi="仿宋" w:eastAsia="仿宋_GB2312" w:cs="仿宋"/>
          <w:b/>
          <w:bCs/>
          <w:szCs w:val="24"/>
          <w:u w:val="single"/>
        </w:rPr>
        <w:t xml:space="preserve"> 90 </w:t>
      </w:r>
      <w:r>
        <w:rPr>
          <w:rFonts w:hint="eastAsia" w:ascii="仿宋_GB2312" w:hAnsi="仿宋" w:eastAsia="仿宋_GB2312" w:cs="仿宋"/>
          <w:szCs w:val="24"/>
        </w:rPr>
        <w:t>日历天投标文件应保持有效。有效期不足的投标文件将被拒绝。</w:t>
      </w:r>
    </w:p>
    <w:p>
      <w:pPr>
        <w:pStyle w:val="9"/>
        <w:widowControl w:val="0"/>
        <w:numPr>
          <w:ilvl w:val="0"/>
          <w:numId w:val="0"/>
        </w:numPr>
        <w:adjustRightInd w:val="0"/>
        <w:snapToGrid w:val="0"/>
        <w:spacing w:afterLines="0" w:line="360" w:lineRule="auto"/>
        <w:ind w:firstLine="480" w:firstLineChars="200"/>
        <w:rPr>
          <w:rFonts w:hint="eastAsia" w:ascii="仿宋_GB2312" w:hAnsi="仿宋" w:eastAsia="仿宋_GB2312" w:cs="仿宋"/>
          <w:szCs w:val="24"/>
        </w:rPr>
      </w:pPr>
      <w:r>
        <w:rPr>
          <w:rFonts w:hint="eastAsia" w:ascii="仿宋_GB2312" w:hAnsi="仿宋" w:eastAsia="仿宋_GB2312" w:cs="仿宋"/>
          <w:szCs w:val="24"/>
        </w:rPr>
        <w:t>16.2 在特殊情况下，招标人可与投标人协商延长投标书的有效期，这种要求和答复均应以书面形式进行。</w:t>
      </w:r>
    </w:p>
    <w:p>
      <w:pPr>
        <w:adjustRightInd w:val="0"/>
        <w:snapToGrid w:val="0"/>
        <w:spacing w:line="360" w:lineRule="auto"/>
        <w:ind w:firstLine="480" w:firstLineChars="200"/>
        <w:jc w:val="left"/>
        <w:outlineLvl w:val="0"/>
        <w:rPr>
          <w:rFonts w:hint="eastAsia" w:ascii="仿宋_GB2312" w:hAnsi="仿宋" w:eastAsia="仿宋_GB2312" w:cs="仿宋"/>
          <w:sz w:val="24"/>
        </w:rPr>
      </w:pPr>
      <w:r>
        <w:rPr>
          <w:rFonts w:hint="eastAsia" w:ascii="仿宋_GB2312" w:hAnsi="仿宋" w:eastAsia="仿宋_GB2312" w:cs="仿宋"/>
          <w:sz w:val="24"/>
        </w:rPr>
        <w:t>16.3 投标人可拒绝接受延期要求而放弃投标，同意延长有效期的投标人不能修改投标文件。</w:t>
      </w:r>
      <w:r>
        <w:rPr>
          <w:rFonts w:hint="eastAsia" w:ascii="仿宋_GB2312" w:hAnsi="仿宋" w:eastAsia="仿宋_GB2312" w:cs="仿宋"/>
          <w:b/>
          <w:bCs/>
          <w:sz w:val="24"/>
        </w:rPr>
        <w:t>同时，受投标有效期约束的所有权利和义务均延长至新的有效期。</w:t>
      </w:r>
    </w:p>
    <w:p>
      <w:pPr>
        <w:adjustRightInd w:val="0"/>
        <w:snapToGrid w:val="0"/>
        <w:spacing w:line="360" w:lineRule="auto"/>
        <w:ind w:firstLine="480" w:firstLineChars="200"/>
        <w:jc w:val="left"/>
        <w:outlineLvl w:val="0"/>
        <w:rPr>
          <w:rFonts w:hint="eastAsia" w:ascii="仿宋_GB2312" w:hAnsi="仿宋" w:eastAsia="仿宋_GB2312" w:cs="仿宋"/>
          <w:b/>
          <w:sz w:val="24"/>
        </w:rPr>
      </w:pPr>
      <w:r>
        <w:rPr>
          <w:rFonts w:hint="eastAsia" w:ascii="仿宋_GB2312" w:hAnsi="仿宋" w:eastAsia="仿宋_GB2312" w:cs="仿宋"/>
          <w:sz w:val="24"/>
        </w:rPr>
        <w:t>16.4 中标供应商的投标文件自开标之日起至合同履行完毕止均应保持有效。</w:t>
      </w:r>
    </w:p>
    <w:p>
      <w:pPr>
        <w:adjustRightInd w:val="0"/>
        <w:snapToGrid w:val="0"/>
        <w:spacing w:line="360" w:lineRule="auto"/>
        <w:jc w:val="left"/>
        <w:outlineLvl w:val="0"/>
        <w:rPr>
          <w:rFonts w:hint="eastAsia" w:ascii="仿宋_GB2312" w:hAnsi="仿宋" w:eastAsia="仿宋_GB2312" w:cs="仿宋"/>
          <w:b/>
          <w:sz w:val="24"/>
        </w:rPr>
      </w:pPr>
      <w:r>
        <w:rPr>
          <w:rFonts w:hint="eastAsia" w:ascii="仿宋_GB2312" w:hAnsi="仿宋" w:eastAsia="仿宋_GB2312" w:cs="仿宋"/>
          <w:b/>
          <w:sz w:val="24"/>
        </w:rPr>
        <w:t>17、投标文件的份数</w:t>
      </w:r>
    </w:p>
    <w:p>
      <w:pPr>
        <w:adjustRightInd w:val="0"/>
        <w:snapToGrid w:val="0"/>
        <w:spacing w:line="360" w:lineRule="auto"/>
        <w:ind w:firstLine="480" w:firstLineChars="200"/>
        <w:jc w:val="left"/>
        <w:rPr>
          <w:rFonts w:hint="eastAsia" w:ascii="仿宋_GB2312" w:hAnsi="仿宋" w:eastAsia="仿宋_GB2312" w:cs="仿宋"/>
          <w:sz w:val="24"/>
          <w:lang w:val="zh-CN"/>
        </w:rPr>
      </w:pPr>
      <w:r>
        <w:rPr>
          <w:rFonts w:hint="eastAsia" w:ascii="仿宋_GB2312" w:hAnsi="仿宋" w:eastAsia="仿宋_GB2312" w:cs="仿宋"/>
          <w:sz w:val="24"/>
          <w:lang w:val="zh-CN"/>
        </w:rPr>
        <w:t>投标文件为在线上传文件及备份文件，无法在线解密时以备份文件为准，均无法打开为无效投标。</w:t>
      </w:r>
    </w:p>
    <w:p>
      <w:pPr>
        <w:ind w:firstLine="643" w:firstLineChars="200"/>
        <w:jc w:val="center"/>
        <w:rPr>
          <w:rFonts w:hint="eastAsia" w:ascii="仿宋_GB2312" w:hAnsi="仿宋" w:eastAsia="仿宋_GB2312" w:cs="仿宋"/>
          <w:b/>
          <w:sz w:val="32"/>
          <w:szCs w:val="32"/>
        </w:rPr>
      </w:pPr>
      <w:r>
        <w:rPr>
          <w:rFonts w:hint="eastAsia" w:ascii="仿宋_GB2312" w:hAnsi="仿宋" w:eastAsia="仿宋_GB2312" w:cs="仿宋"/>
          <w:b/>
          <w:sz w:val="32"/>
          <w:szCs w:val="32"/>
        </w:rPr>
        <w:t>四、投标</w:t>
      </w:r>
    </w:p>
    <w:p>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18、投标文件的上传和递交</w:t>
      </w:r>
    </w:p>
    <w:p>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“投标文件”的上传、递交：见《前附表》。</w:t>
      </w:r>
    </w:p>
    <w:p>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19、“电子加密投标文件”解密和异常情况处理</w:t>
      </w:r>
    </w:p>
    <w:p>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“电子加密投标文件”解密：见《前附表》。</w:t>
      </w:r>
    </w:p>
    <w:p>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20、投标文件的补充、修改或撤回</w:t>
      </w:r>
    </w:p>
    <w:p>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20.1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20.2 投标截止时间后，投标人不得撤回、修改《投标文件》。</w:t>
      </w:r>
    </w:p>
    <w:p>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21、投标文件的备选方案</w:t>
      </w:r>
    </w:p>
    <w:p>
      <w:pPr>
        <w:adjustRightInd w:val="0"/>
        <w:snapToGrid w:val="0"/>
        <w:spacing w:line="360" w:lineRule="auto"/>
        <w:ind w:firstLine="420"/>
        <w:jc w:val="left"/>
        <w:rPr>
          <w:rFonts w:hint="eastAsia" w:ascii="仿宋" w:hAnsi="仿宋" w:eastAsia="仿宋" w:cs="宋体"/>
          <w:sz w:val="24"/>
        </w:rPr>
      </w:pPr>
      <w:r>
        <w:rPr>
          <w:rFonts w:hint="eastAsia" w:ascii="仿宋" w:hAnsi="仿宋" w:eastAsia="仿宋" w:cs="宋体"/>
          <w:sz w:val="24"/>
        </w:rPr>
        <w:t>投标人不得递交任何的投标备选（替代）方案，否则其投标文件将作无效标处理。与“电子加密投标文件”同时生成的“备份投标文件”不是投标备选（替代）方案。</w:t>
      </w:r>
    </w:p>
    <w:p>
      <w:pPr>
        <w:pStyle w:val="15"/>
        <w:adjustRightInd w:val="0"/>
        <w:snapToGrid w:val="0"/>
        <w:spacing w:before="120" w:beforeLines="50" w:after="0" w:line="360" w:lineRule="auto"/>
        <w:ind w:left="0" w:leftChars="0"/>
        <w:jc w:val="center"/>
        <w:outlineLvl w:val="1"/>
        <w:rPr>
          <w:rFonts w:hint="eastAsia" w:ascii="仿宋_GB2312" w:hAnsi="仿宋" w:eastAsia="仿宋_GB2312" w:cs="仿宋"/>
          <w:b/>
          <w:snapToGrid w:val="0"/>
          <w:sz w:val="32"/>
          <w:szCs w:val="32"/>
        </w:rPr>
      </w:pPr>
      <w:r>
        <w:rPr>
          <w:rFonts w:hint="eastAsia" w:ascii="仿宋_GB2312" w:hAnsi="仿宋" w:eastAsia="仿宋_GB2312" w:cs="仿宋"/>
          <w:b/>
          <w:sz w:val="32"/>
          <w:szCs w:val="32"/>
        </w:rPr>
        <w:t>五、开标</w:t>
      </w:r>
    </w:p>
    <w:p>
      <w:pPr>
        <w:pStyle w:val="6"/>
        <w:adjustRightInd w:val="0"/>
        <w:snapToGrid w:val="0"/>
        <w:spacing w:before="0" w:after="0" w:line="360" w:lineRule="auto"/>
        <w:ind w:left="720" w:hanging="720"/>
        <w:rPr>
          <w:rFonts w:hint="eastAsia" w:ascii="仿宋" w:hAnsi="仿宋" w:eastAsia="仿宋" w:cs="宋体"/>
          <w:sz w:val="24"/>
          <w:szCs w:val="24"/>
        </w:rPr>
      </w:pPr>
      <w:r>
        <w:rPr>
          <w:rFonts w:hint="eastAsia" w:ascii="仿宋" w:hAnsi="仿宋" w:eastAsia="仿宋" w:cs="宋体"/>
          <w:sz w:val="24"/>
          <w:szCs w:val="24"/>
        </w:rPr>
        <w:t>22、开标形式</w:t>
      </w:r>
    </w:p>
    <w:p>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招标代理机构将按照招标文件规定的时间通过“政府采购云平台”组织开标、开启投标文件，所有投标人均应当准时在线参加。</w:t>
      </w:r>
    </w:p>
    <w:p>
      <w:pPr>
        <w:pStyle w:val="6"/>
        <w:adjustRightInd w:val="0"/>
        <w:snapToGrid w:val="0"/>
        <w:spacing w:before="0" w:after="0" w:line="360" w:lineRule="auto"/>
        <w:ind w:left="720" w:hanging="720"/>
        <w:rPr>
          <w:rFonts w:hint="eastAsia" w:ascii="仿宋" w:hAnsi="仿宋" w:eastAsia="仿宋" w:cs="宋体"/>
          <w:sz w:val="24"/>
          <w:szCs w:val="24"/>
        </w:rPr>
      </w:pPr>
      <w:r>
        <w:rPr>
          <w:rFonts w:hint="eastAsia" w:ascii="仿宋" w:hAnsi="仿宋" w:eastAsia="仿宋" w:cs="宋体"/>
          <w:sz w:val="24"/>
          <w:szCs w:val="24"/>
        </w:rPr>
        <w:t>23、开标准备</w:t>
      </w:r>
    </w:p>
    <w:p>
      <w:pPr>
        <w:adjustRightInd w:val="0"/>
        <w:snapToGrid w:val="0"/>
        <w:spacing w:line="360" w:lineRule="auto"/>
        <w:ind w:firstLine="422" w:firstLineChars="176"/>
        <w:rPr>
          <w:rFonts w:hint="eastAsia" w:ascii="仿宋" w:hAnsi="仿宋" w:eastAsia="仿宋" w:cs="宋体"/>
          <w:sz w:val="24"/>
        </w:rPr>
      </w:pPr>
      <w:r>
        <w:rPr>
          <w:rFonts w:hint="eastAsia" w:ascii="仿宋" w:hAnsi="仿宋" w:eastAsia="仿宋" w:cs="宋体"/>
          <w:sz w:val="24"/>
        </w:rPr>
        <w:t>23.1 开标的准备工作由招标代理机构负责落实；</w:t>
      </w:r>
    </w:p>
    <w:p>
      <w:pPr>
        <w:adjustRightInd w:val="0"/>
        <w:snapToGrid w:val="0"/>
        <w:spacing w:line="360" w:lineRule="auto"/>
        <w:ind w:firstLine="422" w:firstLineChars="176"/>
        <w:rPr>
          <w:rFonts w:hint="eastAsia" w:ascii="仿宋" w:hAnsi="仿宋" w:eastAsia="仿宋" w:cs="宋体"/>
          <w:sz w:val="24"/>
        </w:rPr>
      </w:pPr>
      <w:r>
        <w:rPr>
          <w:rFonts w:hint="eastAsia" w:ascii="仿宋" w:hAnsi="仿宋" w:eastAsia="仿宋" w:cs="宋体"/>
          <w:sz w:val="24"/>
        </w:rPr>
        <w:t>23.2 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6"/>
        <w:adjustRightInd w:val="0"/>
        <w:snapToGrid w:val="0"/>
        <w:spacing w:before="0" w:after="0" w:line="360" w:lineRule="auto"/>
        <w:ind w:left="720" w:hanging="720"/>
        <w:rPr>
          <w:rFonts w:hint="eastAsia" w:ascii="仿宋" w:hAnsi="仿宋" w:eastAsia="仿宋" w:cs="宋体"/>
          <w:sz w:val="24"/>
          <w:szCs w:val="24"/>
        </w:rPr>
      </w:pPr>
      <w:r>
        <w:rPr>
          <w:rFonts w:hint="eastAsia" w:ascii="仿宋" w:hAnsi="仿宋" w:eastAsia="仿宋" w:cs="宋体"/>
          <w:sz w:val="24"/>
          <w:szCs w:val="24"/>
        </w:rPr>
        <w:t>24、开标流程（两阶段）</w:t>
      </w:r>
    </w:p>
    <w:p>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24.1 开标大会第一阶段</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1）向各投标人发出电子加密投标文件【开始解密】通知，投标人应在开标后30分钟内完成在线解密工作。投标人在规定的时间内无法完成已递交的“电子加密投标文件”解密的，如已按规定递交了备份投标文件的，将由招标代理机构按“政府采购云平台”操作规范将备份投标文件上传至“政府采购云平台”，上传成功后，“电子加密投标文件”自动失效；</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（2）投标文件解密结束，签署《政府采购活动现场确认声明书》；</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（3）开启投标文件，进入资格审查；</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（4）开启资格审查通过的投标人的商务技术文件进入符合性审查、商务技术评审；</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（5）第一阶段开标结束。</w:t>
      </w:r>
    </w:p>
    <w:p>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注：开标大会的第一阶段结束后，招标人或招标代理机构将依法对投标人的资格进行审查，资格审查结束后进入符合性审查和商务技术的评审工作，具体见本章节“投标人资格审查”相关规定。</w:t>
      </w:r>
    </w:p>
    <w:p>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24.2 开标大会第二阶段</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1）符合性审查、商务技术评审结束后，举行开标大会第二阶段会议。首先公布符合性审查、商务技术评审无效供应商名称及理由；公布经商务技术评审后有效投标人的名单，同时公布其商务技术部分得分情况。</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2）开启有效投标人的《报价文件》，公布开标一览表有关内容，同时当场制作开标记录表，供应商确认（不予确认的应说明理由，否则视为无异议）。唱标结束后，由评标委员会对报价的合理性、准确性等进行审查核实。</w:t>
      </w:r>
    </w:p>
    <w:p>
      <w:pPr>
        <w:adjustRightInd w:val="0"/>
        <w:snapToGrid w:val="0"/>
        <w:spacing w:line="360" w:lineRule="auto"/>
        <w:ind w:firstLine="424" w:firstLineChars="177"/>
        <w:jc w:val="left"/>
        <w:rPr>
          <w:rFonts w:hint="eastAsia" w:ascii="仿宋" w:hAnsi="仿宋" w:eastAsia="仿宋" w:cs="宋体"/>
          <w:sz w:val="24"/>
        </w:rPr>
      </w:pPr>
      <w:r>
        <w:rPr>
          <w:rFonts w:hint="eastAsia" w:ascii="仿宋" w:hAnsi="仿宋" w:eastAsia="仿宋" w:cs="宋体"/>
          <w:sz w:val="24"/>
        </w:rPr>
        <w:t>（3）评审结束后，公布中标（成交）候选人名单。</w:t>
      </w:r>
    </w:p>
    <w:p>
      <w:pPr>
        <w:adjustRightInd w:val="0"/>
        <w:snapToGrid w:val="0"/>
        <w:spacing w:line="360" w:lineRule="auto"/>
        <w:ind w:firstLine="426" w:firstLineChars="177"/>
        <w:jc w:val="left"/>
        <w:rPr>
          <w:rFonts w:hint="eastAsia" w:ascii="仿宋" w:hAnsi="仿宋" w:eastAsia="仿宋" w:cs="宋体"/>
          <w:b/>
          <w:bCs/>
          <w:sz w:val="24"/>
        </w:rPr>
      </w:pPr>
      <w:r>
        <w:rPr>
          <w:rFonts w:hint="eastAsia" w:ascii="仿宋" w:hAnsi="仿宋" w:eastAsia="仿宋" w:cs="宋体"/>
          <w:b/>
          <w:bCs/>
          <w:sz w:val="24"/>
        </w:rPr>
        <w:t>特别说明：如遇“政府采购云平台”电子化开标或评审程序调整的，按调整后程序执行。</w:t>
      </w:r>
      <w:bookmarkStart w:id="1" w:name="_Toc33194393"/>
      <w:bookmarkStart w:id="2" w:name="_Toc24550037"/>
    </w:p>
    <w:p>
      <w:pPr>
        <w:adjustRightInd w:val="0"/>
        <w:snapToGrid w:val="0"/>
        <w:spacing w:line="360" w:lineRule="auto"/>
        <w:jc w:val="left"/>
        <w:rPr>
          <w:rFonts w:hint="eastAsia" w:ascii="仿宋" w:hAnsi="仿宋" w:eastAsia="仿宋" w:cs="宋体"/>
          <w:b/>
          <w:bCs/>
          <w:sz w:val="24"/>
        </w:rPr>
      </w:pPr>
      <w:r>
        <w:rPr>
          <w:rFonts w:hint="eastAsia" w:ascii="仿宋" w:hAnsi="仿宋" w:eastAsia="仿宋" w:cs="宋体"/>
          <w:b/>
          <w:bCs/>
          <w:sz w:val="24"/>
        </w:rPr>
        <w:t>25、投标人资格审查</w:t>
      </w:r>
      <w:bookmarkEnd w:id="1"/>
      <w:bookmarkEnd w:id="2"/>
    </w:p>
    <w:p>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25.1 开标大会第一阶段结束后，招标人或招标代理机构首先依法对各投标人的资格进行审查，审查各投标人的资格是否满足招标文件的要求。招标人或招标代理机构对投标人所提交的资格证明材料仅负审核的责任。如发现投标人所提交的资格证明材料不合法或与事实不符，招标人可取消其中标资格并追究投标人的法律责任。</w:t>
      </w:r>
    </w:p>
    <w:p>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25.2 投标人提交的资格证明材料无法证明其符合招标文件规定的“投标人资格要求”的，招标人或招标代理机构将对其作资格审查不通过处理（无效投标），并不再将其投标提交评标委员会进行后续评审。</w:t>
      </w:r>
    </w:p>
    <w:p>
      <w:pPr>
        <w:adjustRightInd w:val="0"/>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25.3 单位负责人为同一人或者存在直接控股、管理关系的不同供应商参加同一合同项下的政府采购活动的，相关投标人均作资格无效处理。</w:t>
      </w:r>
    </w:p>
    <w:p>
      <w:pPr>
        <w:pStyle w:val="19"/>
        <w:adjustRightInd w:val="0"/>
        <w:snapToGrid w:val="0"/>
        <w:spacing w:before="120" w:afterLines="0" w:line="360" w:lineRule="auto"/>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六、评标</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26、评审工作的组织</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招标人或招标代理机构负责组织本项目的评审工作，并依据《政府采购货物和服务招标投标管理办法（财政部第87号令）》第四十五条的相关规定履行职责。</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27、评标委员会（评审小组）的组建</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27.1 评标委员会由招标人或招标代理机构依法组建，成员包括招标人代表和评审专家，成员人数为五人或以上单数，其中评审专家不少于成员总数的三分之二。</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27.2 评标委员会成员名单在评审结果（采购结果）公告前保密。</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28、评标委员会的职责</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28.1 评标委员会负责具体评审事务，并独立履行下列职责：</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（1）审查、评价投标文件是否符合招标文件的商务、技术等实质性要求；</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（2）要求投标人对投标文件有关事项作出澄清或者说明；</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（3）对投标文件进行比较和评价；</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（4）确定中标候选人名单，以及根据招标人委托直接确定中标人；</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（5）向招标人、招标代理机构或者有关部门报告评审中发现的违法行为。</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29、评审原则</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29.1 评审原则：评标委员会按照客观、公正、审慎、择优的原则，根据招标文件规定的评审程序、评审方法和评审标准进行独立评审。</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29.2 评审工作将依据招标文件、投标文件及招标文件中事先已列明的内容进行。</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30、评审意见的争议处理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评标委员会成员对需要共同认定的事项存在争议的，按照少数服从多数的原则作出结论。持不同意见的评标委员会成员应当在评审报告上签署不同意见及理由，否则视为同意评审报告。</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31、评委纪律</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pStyle w:val="19"/>
        <w:adjustRightInd w:val="0"/>
        <w:snapToGrid w:val="0"/>
        <w:spacing w:beforeLines="0" w:afterLines="0" w:line="360" w:lineRule="auto"/>
        <w:rPr>
          <w:rFonts w:hint="eastAsia" w:ascii="仿宋_GB2312" w:hAnsi="仿宋" w:eastAsia="仿宋_GB2312" w:cs="仿宋"/>
          <w:b/>
          <w:bCs/>
        </w:rPr>
      </w:pPr>
      <w:bookmarkStart w:id="3" w:name="_Toc33194395"/>
      <w:bookmarkStart w:id="4" w:name="_Toc24550044"/>
      <w:r>
        <w:rPr>
          <w:rFonts w:hint="eastAsia" w:ascii="仿宋_GB2312" w:hAnsi="仿宋" w:eastAsia="仿宋_GB2312" w:cs="仿宋"/>
          <w:b/>
          <w:bCs/>
        </w:rPr>
        <w:t>32、评审流程及内容</w:t>
      </w:r>
      <w:bookmarkEnd w:id="3"/>
      <w:bookmarkEnd w:id="4"/>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本项目具体的评审事务由评标委员会负责，评审流程及内容如下：</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32.1 评审前准备</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32.1.1 由评审专家推选</w:t>
      </w:r>
      <w:r>
        <w:rPr>
          <w:rFonts w:hint="eastAsia" w:ascii="仿宋" w:hAnsi="仿宋" w:eastAsia="仿宋" w:cs="仿宋"/>
        </w:rPr>
        <w:t>评标委员会</w:t>
      </w:r>
      <w:r>
        <w:rPr>
          <w:rFonts w:hint="eastAsia" w:ascii="仿宋_GB2312" w:hAnsi="仿宋" w:eastAsia="仿宋_GB2312" w:cs="仿宋"/>
        </w:rPr>
        <w:t>组长，招标人代表不得担任</w:t>
      </w:r>
      <w:r>
        <w:rPr>
          <w:rFonts w:hint="eastAsia" w:ascii="仿宋" w:hAnsi="仿宋" w:eastAsia="仿宋" w:cs="仿宋"/>
        </w:rPr>
        <w:t>评标委员会</w:t>
      </w:r>
      <w:r>
        <w:rPr>
          <w:rFonts w:hint="eastAsia" w:ascii="仿宋_GB2312" w:hAnsi="仿宋" w:eastAsia="仿宋_GB2312" w:cs="仿宋"/>
        </w:rPr>
        <w:t>组长。</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32.1.2 由</w:t>
      </w:r>
      <w:r>
        <w:rPr>
          <w:rFonts w:hint="eastAsia" w:ascii="仿宋" w:hAnsi="仿宋" w:eastAsia="仿宋" w:cs="仿宋"/>
        </w:rPr>
        <w:t>评标委员会</w:t>
      </w:r>
      <w:r>
        <w:rPr>
          <w:rFonts w:hint="eastAsia" w:ascii="仿宋_GB2312" w:hAnsi="仿宋" w:eastAsia="仿宋_GB2312" w:cs="仿宋"/>
        </w:rPr>
        <w:t>组长召集所有评委成员阅读招标文件及相关补充、质疑、答复文件、项目书面说明等材料，熟悉采购项目基本情况、采购需求、合同主要条款、投标文件无效情形、评审办法、评审标准，以及其他与评审有关的内容。</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32.2 投标文件的初步审查、符合性审查</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对所有通过资格审查的投标人的投标文件进行初步审查，审查、评价投标文件是否符合招标文件的商务、技术、服务等实质性要求。</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32.2.1 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32.3 投标文件的澄清、说明或补正</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32.3.1 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32.3.2 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32.4 投标文件的错误修正</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32.4.1 《投标文件》如果出现计算或表达上的错误，修正错误的原则如下：</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（1）投标文件中开标一览表（报价表）内容与投标文件中相应内容不一致的，以开标一览表（报价表）为准。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（2）《投标文件》的大写金额和小写金额不一致的，以大写金额为准；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（3）单价金额小数点或者百分比有明显错位的，应以开标一览表（报价表）的总价为准，并修改单价；</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（4）总价金额与按单价汇总金额不一致的，以单价金额计算结果为准。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同时出现两种以上不一致的，按照前款规定的顺序修正。修正后的报价按照财政部第87号令 《政府采购货物和服务招标投标管理办法》第五十一条第二款的规定经投标人确认后产生约束力。</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32.4.2 对不同文字文本《投标文件》的解释发生异议的，以中文文本为准。</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33、投标文件有下列情况之一者将视为无效：</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bookmarkStart w:id="5" w:name="_Hlk33211013"/>
      <w:r>
        <w:rPr>
          <w:rFonts w:hint="eastAsia" w:ascii="仿宋_GB2312" w:hAnsi="仿宋" w:eastAsia="仿宋_GB2312" w:cs="仿宋"/>
          <w:b/>
          <w:bCs/>
        </w:rPr>
        <w:t>33.1 商务、技术文件符合性审查中，存在下列情形之一的，经评标委员会认定后作无效标处理：</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bookmarkStart w:id="6" w:name="_Toc33194396"/>
      <w:r>
        <w:rPr>
          <w:rFonts w:hint="eastAsia" w:ascii="仿宋_GB2312" w:hAnsi="仿宋" w:eastAsia="仿宋_GB2312" w:cs="仿宋"/>
          <w:b/>
          <w:bCs/>
        </w:rPr>
        <w:t>（1）投标文件未有效授权，法定代表人授权委托书等填写不完整或错误的；</w:t>
      </w:r>
      <w:bookmarkEnd w:id="6"/>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（2）投标文件没有对本招标文件作出实质性响应的，或不满足（不响应）本招标文件中标注“▲”的实质性要求条款的，或存在招标文件中明确规定的其他无效标情形的；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（3）投标文件存在一个或一个以上备选（替代）投标方案的；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（4）仅提交“备份投标文件”的；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（5）文件组成内容不齐全，本招标文件规定必须提供而未提供的；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（6）投标文件标注的响应或偏离情况与事实不符，或提供了虚假材料的；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（7）不响应或擅自改变本招标文件要求或投标文件有招标人不能接受的附加条件的；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（8）参加同一合同项下政府采购活动的不同供应商之间存在利害关系并且存在影响政府采购公平竞争行为的；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bookmarkStart w:id="7" w:name="_Toc33194397"/>
      <w:r>
        <w:rPr>
          <w:rFonts w:hint="eastAsia" w:ascii="仿宋_GB2312" w:hAnsi="仿宋" w:eastAsia="仿宋_GB2312" w:cs="仿宋"/>
          <w:b/>
          <w:bCs/>
        </w:rPr>
        <w:t>（9）招标人拟采购的产品如属于品目清单范围内的强制采购品目的，投标人未</w:t>
      </w:r>
      <w:bookmarkEnd w:id="7"/>
      <w:bookmarkStart w:id="8" w:name="_Toc33194398"/>
      <w:r>
        <w:rPr>
          <w:rFonts w:hint="eastAsia" w:ascii="仿宋_GB2312" w:hAnsi="仿宋" w:eastAsia="仿宋_GB2312" w:cs="仿宋"/>
          <w:b/>
          <w:bCs/>
        </w:rPr>
        <w:t>能在响应文件中提供国家确定的认证机构出具的、处于有效期之内的该产品节能产品、环境标志产品认证证书；</w:t>
      </w:r>
      <w:bookmarkEnd w:id="8"/>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（10）违反国家或政府部门相关法律、法规、文件规定的。</w:t>
      </w:r>
    </w:p>
    <w:bookmarkEnd w:id="5"/>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33.2报价文件符合性审查中，存在下列情形之一的，经评标委员会认定后作无效标处理：</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（1）投标文件没有对本招标文件作出实质性响应的，或不满足（不响应）本招标文件中标注“▲”的实质性要求条款的，或存在招标文件中明确规定的其他无效标情形的；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（2）投标文件存在一个或一个以上备选（替代）投标方案的；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（3）未按照招标文件标明的币种报价的，或者投标报价涵盖的内容不符合招标文件要求的；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（4）《开标一览表》内容与《投标报价明细表》内容不一致且拒不接受修正的；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（5）投标报价具有选择性，唱标价格与《投标文件》承诺的优惠（折扣）后价格不一致的；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（6）投标报价超过采购预算或限价的；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（7）仅提交“备份投标文件”的；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（8）投标文件组成内容不齐全，本招标文件规定必须提供而未提供的（属于资格审查范围的除外）；</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（9）投标文件标注的响应或偏离情况与事实不符，或提供了虚假材料的；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（10）不响应或擅自改变本招标文件要求或投标文件有招标人不能接受的附加条件的；</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11）评标委员会认为供应商报价明显低于其他合格供应商的报价，有可能影响产品或服务质量或者不能诚信履约的，应当要求其在合理时间内提供书面说明，必要时提供相关证明材料；投标人不能证明其报价合理性的，评标委员会应当将其作为无效投标或者无效响应处理；</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（12）违反国家或政府部门相关法律、法规、文件规定的。</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34、投标文件的评估、比较、评分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34.1 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34.2 对招标代理机构工作人员汇总的评审结果进行确认。如发现分值汇总计算错误、分项评分超出评分标准范围、客观评分不一致以及存在畸高、畸低（其总评分偏离平均分30%以上的）情形的，</w:t>
      </w:r>
      <w:r>
        <w:rPr>
          <w:rFonts w:hint="eastAsia" w:ascii="仿宋" w:hAnsi="仿宋" w:eastAsia="仿宋" w:cs="仿宋"/>
        </w:rPr>
        <w:t>评标委员会</w:t>
      </w:r>
      <w:r>
        <w:rPr>
          <w:rFonts w:hint="eastAsia" w:ascii="仿宋_GB2312" w:hAnsi="仿宋" w:eastAsia="仿宋_GB2312" w:cs="仿宋"/>
        </w:rPr>
        <w:t>组长应提醒相关评审人员当场改正或书面说明理由，拒不改正又不作书面说明的，由现场监督员如实记载后存入项目档案资料。</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35、修改评审结果</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35.1 评标结果汇总完成后，除下列情形外，任何人不得修改评标结果：</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（1）分值汇总计算错误的；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（2）分项评分超出评分标准范围的；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（3）评标委员会成员对客观评审因素评分不一致的；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（4）经评标委员会认定评分畸高、畸低的。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35.2 评标报告签署前，经复核发现存在以上情形之一的，评标委员会将当场修改评标结果，并在评标报告中记载。</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36、供应商排序及推荐中标（成交）候选人</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评标委员会根据以下规定确定供应商排名并推荐中标（成交）候选人。</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36.1 评标委员会根据各投标人的综合得分（商务技术分与报价得分之和）从高到低依次进行排名排序。特殊情形按以下原则处理：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（1）综合得分相同的，按投标报价低的优先原则确定排名；</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（2）综合得分和投标报价均相同的，按技术资信得分从高到低确定排名；</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（3）综合得分、投标报价和技术资信得分均相同的由评标委员会全体成员记名投票按少数服从多数的原则确定排名。</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36.2 根据最终得分排序，通过书面评审报告的形式，向招标人推荐排名第一的投标人为中标（成交）候选人。</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36.3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照低价优先确定，其他同品牌投标人不作为中标候选人。</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37、起草、签署评审报告</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38、评标内容的保密</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38.1 公开开标后，直到宣布中标人为止，凡属于审查、澄清、评价和比较投标的所有资料，都不应向投标人或与评标无关的其他人泄露。</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38.2 在投标文件的审查、澄清、评价和比较以及确定中标人过程中，投标人对招标人、招标代理机构和评标委员会施加影响的任何行为，都将导致取消资格。</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39、废标</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在采购中，出现下列情形之一的，应予废标：</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（1）符合专业条件的供应商或者对招标文件作实质响应的供应商不足3家的；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（2）出现影响采购公正的违法、违规行为的；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（3）报价均超过预算，不能支付的；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（4）因重大变故，采购任务取消的。</w:t>
      </w:r>
    </w:p>
    <w:p>
      <w:pPr>
        <w:pStyle w:val="19"/>
        <w:adjustRightInd w:val="0"/>
        <w:snapToGrid w:val="0"/>
        <w:spacing w:beforeLines="0" w:afterLines="0" w:line="360" w:lineRule="auto"/>
        <w:rPr>
          <w:rFonts w:hint="eastAsia" w:ascii="仿宋_GB2312" w:hAnsi="仿宋" w:eastAsia="仿宋_GB2312" w:cs="仿宋"/>
          <w:b/>
          <w:bCs/>
        </w:rPr>
      </w:pPr>
      <w:r>
        <w:rPr>
          <w:rFonts w:hint="eastAsia" w:ascii="仿宋_GB2312" w:hAnsi="仿宋" w:eastAsia="仿宋_GB2312" w:cs="仿宋"/>
          <w:b/>
          <w:bCs/>
        </w:rPr>
        <w:t>40、可中止电子交易活动的情形</w:t>
      </w:r>
    </w:p>
    <w:p>
      <w:pPr>
        <w:pStyle w:val="19"/>
        <w:adjustRightInd w:val="0"/>
        <w:snapToGrid w:val="0"/>
        <w:spacing w:beforeLines="0" w:afterLines="0" w:line="360" w:lineRule="auto"/>
        <w:ind w:firstLine="482" w:firstLineChars="200"/>
        <w:rPr>
          <w:rFonts w:hint="eastAsia" w:ascii="仿宋_GB2312" w:hAnsi="仿宋" w:eastAsia="仿宋_GB2312" w:cs="仿宋"/>
          <w:b/>
          <w:bCs/>
        </w:rPr>
      </w:pPr>
      <w:r>
        <w:rPr>
          <w:rFonts w:hint="eastAsia" w:ascii="仿宋_GB2312" w:hAnsi="仿宋" w:eastAsia="仿宋_GB2312" w:cs="仿宋"/>
          <w:b/>
          <w:bCs/>
        </w:rPr>
        <w:t>采购过程中出现以下情形，导致电子交易平台无法正常运行，或者无法保证电子交易的公平、公正和安全时，招标代理机构可中止电子交易活动：</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40.1 电子交易平台发生故障而无法登录访问的；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40.2 电子交易平台应用或数据库出现错误，不能进行正常操作的；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40.3 电子交易平台发现严重安全漏洞，有潜在泄密危险的；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40.4 病毒发作导致不能进行正常操作的；</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40.5 其他无法保证电子交易的公平、公正和安全的情况。</w:t>
      </w:r>
    </w:p>
    <w:p>
      <w:pPr>
        <w:pStyle w:val="19"/>
        <w:adjustRightInd w:val="0"/>
        <w:snapToGrid w:val="0"/>
        <w:spacing w:beforeLines="0" w:afterLines="0" w:line="360" w:lineRule="auto"/>
        <w:ind w:firstLine="480" w:firstLineChars="200"/>
        <w:rPr>
          <w:rFonts w:hint="eastAsia" w:ascii="仿宋_GB2312" w:hAnsi="仿宋" w:eastAsia="仿宋_GB2312" w:cs="仿宋"/>
        </w:rPr>
      </w:pPr>
      <w:r>
        <w:rPr>
          <w:rFonts w:hint="eastAsia" w:ascii="仿宋_GB2312" w:hAnsi="仿宋" w:eastAsia="仿宋_GB2312" w:cs="仿宋"/>
        </w:rPr>
        <w:t>出现前款规定情形，不影响采购公平、公正性的，招标代理机构可以待上述情形消除后继续组织电子交易活动；影响或可能影响采购公平、公正性的，应当重新采购。</w:t>
      </w:r>
    </w:p>
    <w:p>
      <w:pPr>
        <w:pStyle w:val="19"/>
        <w:adjustRightInd w:val="0"/>
        <w:snapToGrid w:val="0"/>
        <w:spacing w:before="120" w:afterLines="0" w:line="360" w:lineRule="auto"/>
        <w:jc w:val="center"/>
        <w:outlineLvl w:val="1"/>
        <w:rPr>
          <w:rFonts w:hint="eastAsia" w:ascii="仿宋_GB2312" w:hAnsi="仿宋" w:eastAsia="仿宋_GB2312" w:cs="仿宋"/>
          <w:b/>
          <w:sz w:val="32"/>
          <w:szCs w:val="32"/>
        </w:rPr>
      </w:pPr>
      <w:r>
        <w:rPr>
          <w:rFonts w:hint="eastAsia" w:ascii="仿宋_GB2312" w:hAnsi="仿宋" w:eastAsia="仿宋_GB2312" w:cs="仿宋"/>
          <w:b/>
          <w:sz w:val="32"/>
          <w:szCs w:val="32"/>
        </w:rPr>
        <w:t>七、定标及合同授予</w:t>
      </w: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41、确定中标供应商</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41.1 本项目由评标委员会推荐预中标供应商，采购结果由招标人确认。</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41.2 采购结果经招标人确认后，招标代理机构将于5个工作日内在浙江省政府采购指定媒体上发布中标公告，并向中标人签发书面《中标通知书》。</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41.3 如中标人拒绝承担中标的项目，或提出招标人不能接受的条件，致使合同无法签订，招标人将取消其中标资格，并根据评标委员会推荐的中标候选人先后顺序，将下一顺序的中标候选人作为预中标人进行公示，或由招标人组织评标委员会复议后提出重新组织采购等建议。</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41.4 如签订合同并生效后，供应商无故拒绝或延期，除按照合同条款处罚外，列入不良行为记录一次，并给予通报。</w:t>
      </w: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42、签订合同</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42.1 招标人与中标人应当在中标通知书发出之日起三十日内，按照招标文件确定的事项签订政府采购合同。中标人未在规定时间内签订合同的，招标人有权要求中标人赔偿其未签订合同所造成的损失。</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42.2 中标人按规定的日期、时间、地点，由法定代表人或其授权代表与招标人代表签订合同。如中标人为联合体的，由联合体成员各方法定代表人或其授权代表与招标人代表签订合同。</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42.3 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42.4 中标人拒绝与招标人签订合同的，招标人可以重新开展政府采购活动。</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42.5 存在下列行为的，招标代理机构将其失信行为上报政府采购主管部门，由主管部门按有关规定对其违法失信行为记录进行公开：</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（1）中标或者成交后，拒绝签订政府采购合同的；</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（2）投标有效期内撤销投标文件的。</w:t>
      </w:r>
    </w:p>
    <w:p>
      <w:pPr>
        <w:adjustRightInd w:val="0"/>
        <w:snapToGrid w:val="0"/>
        <w:spacing w:line="360" w:lineRule="auto"/>
        <w:rPr>
          <w:rFonts w:hint="eastAsia" w:ascii="仿宋_GB2312" w:hAnsi="仿宋" w:eastAsia="仿宋_GB2312" w:cs="仿宋"/>
          <w:b/>
          <w:bCs/>
          <w:sz w:val="24"/>
          <w:lang w:val="zh-CN"/>
        </w:rPr>
      </w:pPr>
      <w:r>
        <w:rPr>
          <w:rFonts w:hint="eastAsia" w:ascii="仿宋_GB2312" w:hAnsi="仿宋" w:eastAsia="仿宋_GB2312" w:cs="仿宋"/>
          <w:b/>
          <w:bCs/>
          <w:sz w:val="24"/>
        </w:rPr>
        <w:t>43、采购方式改变</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在符合资格的投标人不足规定数量或投标人提供的服务及其报价、服务承诺等不能满足招标人要求，以及招标过程中出现其他不正常情况时，经批准，招标代理机构</w:t>
      </w:r>
      <w:r>
        <w:rPr>
          <w:rFonts w:hint="eastAsia" w:ascii="仿宋_GB2312" w:hAnsi="仿宋" w:eastAsia="仿宋_GB2312" w:cs="仿宋"/>
          <w:sz w:val="24"/>
          <w:lang w:val="zh-CN"/>
        </w:rPr>
        <w:t>将根据《政府采购货物和服务招标投标管理办法》(财政部第</w:t>
      </w:r>
      <w:r>
        <w:rPr>
          <w:rFonts w:hint="eastAsia" w:ascii="仿宋_GB2312" w:hAnsi="仿宋" w:eastAsia="仿宋_GB2312" w:cs="仿宋"/>
          <w:sz w:val="24"/>
        </w:rPr>
        <w:t>87</w:t>
      </w:r>
      <w:r>
        <w:rPr>
          <w:rFonts w:hint="eastAsia" w:ascii="仿宋_GB2312" w:hAnsi="仿宋" w:eastAsia="仿宋_GB2312" w:cs="仿宋"/>
          <w:sz w:val="24"/>
          <w:lang w:val="zh-CN"/>
        </w:rPr>
        <w:t>号令)，</w:t>
      </w:r>
      <w:r>
        <w:rPr>
          <w:rFonts w:hint="eastAsia" w:ascii="仿宋_GB2312" w:hAnsi="仿宋" w:eastAsia="仿宋_GB2312" w:cs="仿宋"/>
          <w:sz w:val="24"/>
        </w:rPr>
        <w:t>重新选择合适的方式进行采购。</w:t>
      </w: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44、售后服务考核</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将按照《</w:t>
      </w:r>
      <w:r>
        <w:rPr>
          <w:rFonts w:hint="eastAsia" w:ascii="仿宋_GB2312" w:hAnsi="仿宋" w:eastAsia="仿宋_GB2312" w:cs="仿宋"/>
          <w:sz w:val="24"/>
          <w:lang w:val="zh-CN"/>
        </w:rPr>
        <w:t>政府采购货物和服务招标投标管理办法</w:t>
      </w:r>
      <w:r>
        <w:rPr>
          <w:rFonts w:hint="eastAsia" w:ascii="仿宋_GB2312" w:hAnsi="仿宋" w:eastAsia="仿宋_GB2312" w:cs="仿宋"/>
          <w:sz w:val="24"/>
        </w:rPr>
        <w:t>》(中华人民共和国财政部第87号令)和《杭州市政府采购履约验收暂行办法》（杭财采监〔2019〕10号 ），对供应商进行考核，发现弄虚作假，偷工减料，以次充好，达不到国家、行业有关标准和技术文件规定的，一经查实，招标人将视情况终止合同，并上报杭州市财政局。</w:t>
      </w: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45、质疑和投诉</w:t>
      </w:r>
    </w:p>
    <w:p>
      <w:pPr>
        <w:adjustRightInd w:val="0"/>
        <w:snapToGrid w:val="0"/>
        <w:spacing w:line="360" w:lineRule="auto"/>
        <w:ind w:firstLine="482" w:firstLineChars="200"/>
        <w:rPr>
          <w:rFonts w:hint="eastAsia" w:ascii="仿宋_GB2312" w:hAnsi="仿宋" w:eastAsia="仿宋_GB2312" w:cs="仿宋"/>
          <w:b/>
          <w:bCs/>
          <w:sz w:val="24"/>
          <w:lang w:val="zh-CN"/>
        </w:rPr>
      </w:pPr>
      <w:r>
        <w:rPr>
          <w:rFonts w:hint="eastAsia" w:ascii="仿宋_GB2312" w:hAnsi="仿宋" w:eastAsia="仿宋_GB2312" w:cs="仿宋"/>
          <w:b/>
          <w:bCs/>
          <w:sz w:val="24"/>
        </w:rPr>
        <w:t>45</w:t>
      </w:r>
      <w:r>
        <w:rPr>
          <w:rFonts w:hint="eastAsia" w:ascii="仿宋_GB2312" w:hAnsi="仿宋" w:eastAsia="仿宋_GB2312" w:cs="仿宋"/>
          <w:b/>
          <w:bCs/>
          <w:sz w:val="24"/>
          <w:lang w:val="zh-CN"/>
        </w:rPr>
        <w:t>.1</w:t>
      </w:r>
      <w:r>
        <w:rPr>
          <w:rFonts w:hint="eastAsia" w:ascii="仿宋_GB2312" w:hAnsi="仿宋" w:eastAsia="仿宋_GB2312" w:cs="仿宋"/>
          <w:b/>
          <w:bCs/>
          <w:sz w:val="24"/>
        </w:rPr>
        <w:t xml:space="preserve"> </w:t>
      </w:r>
      <w:r>
        <w:rPr>
          <w:rFonts w:hint="eastAsia" w:ascii="仿宋_GB2312" w:hAnsi="仿宋" w:eastAsia="仿宋_GB2312" w:cs="仿宋"/>
          <w:b/>
          <w:bCs/>
          <w:sz w:val="24"/>
          <w:lang w:val="zh-CN"/>
        </w:rPr>
        <w:t>供应商询问</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供应商可以就采购活动中的事项向招标代理机构提出询问，招标代理机构将对此作出答复，答复的内容不得涉及须保密的内容和商业秘密。</w:t>
      </w:r>
    </w:p>
    <w:p>
      <w:pPr>
        <w:adjustRightInd w:val="0"/>
        <w:snapToGrid w:val="0"/>
        <w:spacing w:line="360" w:lineRule="auto"/>
        <w:ind w:firstLine="482" w:firstLineChars="200"/>
        <w:rPr>
          <w:rFonts w:hint="eastAsia" w:ascii="仿宋_GB2312" w:hAnsi="仿宋" w:eastAsia="仿宋_GB2312" w:cs="仿宋"/>
          <w:b/>
          <w:bCs/>
          <w:sz w:val="24"/>
          <w:lang w:val="zh-CN"/>
        </w:rPr>
      </w:pPr>
      <w:r>
        <w:rPr>
          <w:rFonts w:hint="eastAsia" w:ascii="仿宋_GB2312" w:hAnsi="仿宋" w:eastAsia="仿宋_GB2312" w:cs="仿宋"/>
          <w:b/>
          <w:bCs/>
          <w:sz w:val="24"/>
        </w:rPr>
        <w:t>45</w:t>
      </w:r>
      <w:r>
        <w:rPr>
          <w:rFonts w:hint="eastAsia" w:ascii="仿宋_GB2312" w:hAnsi="仿宋" w:eastAsia="仿宋_GB2312" w:cs="仿宋"/>
          <w:b/>
          <w:bCs/>
          <w:sz w:val="24"/>
          <w:lang w:val="zh-CN"/>
        </w:rPr>
        <w:t>.2</w:t>
      </w:r>
      <w:r>
        <w:rPr>
          <w:rFonts w:hint="eastAsia" w:ascii="仿宋_GB2312" w:hAnsi="仿宋" w:eastAsia="仿宋_GB2312" w:cs="仿宋"/>
          <w:b/>
          <w:bCs/>
          <w:sz w:val="24"/>
        </w:rPr>
        <w:t xml:space="preserve"> </w:t>
      </w:r>
      <w:r>
        <w:rPr>
          <w:rFonts w:hint="eastAsia" w:ascii="仿宋_GB2312" w:hAnsi="仿宋" w:eastAsia="仿宋_GB2312" w:cs="仿宋"/>
          <w:b/>
          <w:bCs/>
          <w:sz w:val="24"/>
          <w:lang w:val="zh-CN"/>
        </w:rPr>
        <w:t>供应商质疑</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w:t>
      </w:r>
      <w:r>
        <w:rPr>
          <w:rFonts w:hint="eastAsia" w:ascii="仿宋_GB2312" w:hAnsi="仿宋" w:eastAsia="仿宋_GB2312" w:cs="仿宋"/>
          <w:sz w:val="24"/>
        </w:rPr>
        <w:t>.1 提出质疑的供应商应当是参与所质疑项目采购活动的供应商。潜在供应商已依法获取其可质疑的招标文件的，可以对该文件提出质疑。</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w:t>
      </w:r>
      <w:r>
        <w:rPr>
          <w:rFonts w:hint="eastAsia" w:ascii="仿宋_GB2312" w:hAnsi="仿宋" w:eastAsia="仿宋_GB2312" w:cs="仿宋"/>
          <w:sz w:val="24"/>
        </w:rPr>
        <w:t>.2 供应商认为招标文件、采购过程和成交结果使自己的权益受到损害的，可以在知道或者应知其权益受到损害之日起七个工作日内，以书面形式向招标人或者招标代理机构提出质疑，否则，招标人或者招标代理机构不予受理：</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1）对招标文件提出质疑的，质疑期限为供应商获得招标文件之日或者招标文件公告期限届满之日起计算。招标文件在获取截止之日后获得的，应当自招标文件公告期限届满之日起计算，且应当在采购响应截止时间之前提出。</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2）对采购过程提出质疑的，质疑期限为各采购程序环节结束之日起计算。对同一采购程序环节的质疑，供应商须一次性提出。对采购过程中有关现场考察或开标前答疑会事项提出的质疑，由招标代理机构负责答复；对采购过程中其它事项提出的质疑，原则上由招标代理机构负责答复。</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（3）对采购结果提出质疑的，质疑期限自采购结果公告期限届满之日起计算。对采购结果提出质疑的，招标代理机构负责答复。</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45.2.3 供应商提出质疑应当提交质疑函和必要的证明材料。质疑函应当包括下列内容：</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45.2.3.1 供应商的姓名或者名称、地址、邮编、联系人及联系电话；</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.2.3.2</w:t>
      </w:r>
      <w:r>
        <w:rPr>
          <w:rFonts w:hint="eastAsia" w:ascii="仿宋_GB2312" w:hAnsi="仿宋" w:eastAsia="仿宋_GB2312" w:cs="仿宋"/>
          <w:sz w:val="24"/>
        </w:rPr>
        <w:t xml:space="preserve"> 质疑项目的名称、编号；</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.2.3.3</w:t>
      </w:r>
      <w:r>
        <w:rPr>
          <w:rFonts w:hint="eastAsia" w:ascii="仿宋_GB2312" w:hAnsi="仿宋" w:eastAsia="仿宋_GB2312" w:cs="仿宋"/>
          <w:sz w:val="24"/>
        </w:rPr>
        <w:t xml:space="preserve"> 具体、明确的质疑事项和与质疑事项相关的请求；</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.2.3.4</w:t>
      </w:r>
      <w:r>
        <w:rPr>
          <w:rFonts w:hint="eastAsia" w:ascii="仿宋_GB2312" w:hAnsi="仿宋" w:eastAsia="仿宋_GB2312" w:cs="仿宋"/>
          <w:sz w:val="24"/>
        </w:rPr>
        <w:t xml:space="preserve"> 事实依据；</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.2.3.5</w:t>
      </w:r>
      <w:r>
        <w:rPr>
          <w:rFonts w:hint="eastAsia" w:ascii="仿宋_GB2312" w:hAnsi="仿宋" w:eastAsia="仿宋_GB2312" w:cs="仿宋"/>
          <w:sz w:val="24"/>
        </w:rPr>
        <w:t xml:space="preserve"> 必要的法律依据；</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.2.3.6</w:t>
      </w:r>
      <w:r>
        <w:rPr>
          <w:rFonts w:hint="eastAsia" w:ascii="仿宋_GB2312" w:hAnsi="仿宋" w:eastAsia="仿宋_GB2312" w:cs="仿宋"/>
          <w:sz w:val="24"/>
        </w:rPr>
        <w:t xml:space="preserve"> 提出质疑的日期。</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供应商提交的质疑函需一式三份。供应商为自然人的，应当由本人签字；供应商为法人或者其他组织的，应当由法定代表人、主要负责人，或者其授权代表签字或者盖章，并加盖公章。</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w:t>
      </w:r>
      <w:r>
        <w:rPr>
          <w:rFonts w:hint="eastAsia" w:ascii="仿宋_GB2312" w:hAnsi="仿宋" w:eastAsia="仿宋_GB2312" w:cs="仿宋"/>
          <w:sz w:val="24"/>
        </w:rPr>
        <w:t>.4 招标代理机构应当在收到供应商的书面质疑后七个工作日内作出答复，并以书面形式通知质疑供应商和其他与质疑处理结果有利害关系的政府采购当事人，但答复的内容不得涉及须保密的内容和商业秘密。</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w:t>
      </w:r>
      <w:r>
        <w:rPr>
          <w:rFonts w:hint="eastAsia" w:ascii="仿宋_GB2312" w:hAnsi="仿宋" w:eastAsia="仿宋_GB2312" w:cs="仿宋"/>
          <w:sz w:val="24"/>
          <w:lang w:val="zh-CN"/>
        </w:rPr>
        <w:t>.2</w:t>
      </w:r>
      <w:r>
        <w:rPr>
          <w:rFonts w:hint="eastAsia" w:ascii="仿宋_GB2312" w:hAnsi="仿宋" w:eastAsia="仿宋_GB2312" w:cs="仿宋"/>
          <w:sz w:val="24"/>
        </w:rPr>
        <w:t>.5 询问或者质疑事项可能影响采购结果的，招标人应当暂停签订合同，已经签订合同的，应当中止履行合同。</w:t>
      </w:r>
    </w:p>
    <w:p>
      <w:pPr>
        <w:adjustRightInd w:val="0"/>
        <w:snapToGrid w:val="0"/>
        <w:spacing w:line="360" w:lineRule="auto"/>
        <w:ind w:firstLine="482" w:firstLineChars="200"/>
        <w:rPr>
          <w:rFonts w:hint="eastAsia" w:ascii="仿宋_GB2312" w:hAnsi="仿宋" w:eastAsia="仿宋_GB2312" w:cs="仿宋"/>
          <w:b/>
          <w:bCs/>
          <w:sz w:val="24"/>
          <w:lang w:val="zh-CN"/>
        </w:rPr>
      </w:pPr>
      <w:r>
        <w:rPr>
          <w:rFonts w:hint="eastAsia" w:ascii="仿宋_GB2312" w:hAnsi="仿宋" w:eastAsia="仿宋_GB2312" w:cs="仿宋"/>
          <w:b/>
          <w:bCs/>
          <w:sz w:val="24"/>
        </w:rPr>
        <w:t>45</w:t>
      </w:r>
      <w:r>
        <w:rPr>
          <w:rFonts w:hint="eastAsia" w:ascii="仿宋_GB2312" w:hAnsi="仿宋" w:eastAsia="仿宋_GB2312" w:cs="仿宋"/>
          <w:b/>
          <w:bCs/>
          <w:sz w:val="24"/>
          <w:lang w:val="zh-CN"/>
        </w:rPr>
        <w:t>.3</w:t>
      </w:r>
      <w:r>
        <w:rPr>
          <w:rFonts w:hint="eastAsia" w:ascii="仿宋_GB2312" w:hAnsi="仿宋" w:eastAsia="仿宋_GB2312" w:cs="仿宋"/>
          <w:b/>
          <w:bCs/>
          <w:sz w:val="24"/>
        </w:rPr>
        <w:t xml:space="preserve"> </w:t>
      </w:r>
      <w:r>
        <w:rPr>
          <w:rFonts w:hint="eastAsia" w:ascii="仿宋_GB2312" w:hAnsi="仿宋" w:eastAsia="仿宋_GB2312" w:cs="仿宋"/>
          <w:b/>
          <w:bCs/>
          <w:sz w:val="24"/>
          <w:lang w:val="zh-CN"/>
        </w:rPr>
        <w:t>供应商投诉</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45.3.1 质疑供应商对招标代理机构的答复不满意或者招标代理机构未在规定的时间内作出答复的，可以在答复期满后15个工作日内向同级政府采购监督管理部门提出投诉。</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45.3.</w:t>
      </w:r>
      <w:r>
        <w:rPr>
          <w:rFonts w:hint="eastAsia" w:ascii="仿宋_GB2312" w:hAnsi="仿宋" w:eastAsia="仿宋_GB2312" w:cs="仿宋"/>
          <w:sz w:val="24"/>
          <w:lang w:val="zh-CN"/>
        </w:rPr>
        <w:t>2</w:t>
      </w:r>
      <w:r>
        <w:rPr>
          <w:rFonts w:hint="eastAsia" w:ascii="仿宋_GB2312" w:hAnsi="仿宋" w:eastAsia="仿宋_GB2312" w:cs="仿宋"/>
          <w:sz w:val="24"/>
        </w:rPr>
        <w:t xml:space="preserve"> 供应商投诉的事项不得超出已质疑事项的范围，基于质疑答复内容提出的投诉事项除外。</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45.3.3 供应商投诉应当有明确的请求和必要的证明材料。</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45.3.4 以联合体形式参加政府采购活动的，其投诉应当由组成联合体的所有供应商共同提出。</w:t>
      </w: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46、验收</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46.1 招标人依据项目实际情况可按照《杭州市政府采购履约验收暂行办法》（杭财采监[2019]10号）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46.2 招标人可以邀请参加本项目的其他投标人或者第三方机构参与验收。参与验收的投标人或者第三方机构的意见作为验收书的参考资料一并存档。</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46.3 严格按照采购合同开展履约验收。招标人成立验收小组，按照采购合同的约定对供应商履约情况进行验收，验收时，按照，采购合同的约定对每一项技术、服务、安全标准的履约情况进行确认，出具验收报告并经验收小组全体成员签字。招标人根据验收报告形成验收意见并经招标人与供应商签字盖章，并在财政指定媒体上公示无异议后生效。验收结果与采购合同约定的资金支付及履约保证金返还条件挂钩。履约验收的各项资料应当存档备查。</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46.4 验收合格的项目，招标人将根据采购合同的约定及时向供应商支付采购资金、退还履约保证金。验收不合格的项目，招标人将依法及时处理。采购合同的履行、违约责任和解决争议的方式等适用《</w:t>
      </w:r>
      <w:r>
        <w:rPr>
          <w:rFonts w:hint="eastAsia" w:ascii="仿宋_GB2312" w:hAnsi="仿宋" w:eastAsia="仿宋_GB2312" w:cs="仿宋"/>
          <w:sz w:val="24"/>
          <w:lang w:eastAsia="zh-CN"/>
        </w:rPr>
        <w:t>中华人民共和国民法典</w:t>
      </w:r>
      <w:r>
        <w:rPr>
          <w:rFonts w:hint="eastAsia" w:ascii="仿宋_GB2312" w:hAnsi="仿宋" w:eastAsia="仿宋_GB2312" w:cs="仿宋"/>
          <w:sz w:val="24"/>
        </w:rPr>
        <w:t>》。供应商在履约过程中有政府采购法律法规规定的违法违规情形的，招标人应当及时报告本级财政部门。</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46.5 验收产生的费用首次验收费用由招标人承担，如首次验收不合格，后续验收费用由供应商支付。</w:t>
      </w: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47、解释权</w:t>
      </w:r>
    </w:p>
    <w:p>
      <w:pPr>
        <w:adjustRightInd w:val="0"/>
        <w:snapToGrid w:val="0"/>
        <w:spacing w:line="360" w:lineRule="auto"/>
        <w:ind w:firstLine="480" w:firstLineChars="200"/>
        <w:rPr>
          <w:rFonts w:hint="eastAsia" w:ascii="仿宋_GB2312" w:hAnsi="仿宋" w:eastAsia="仿宋_GB2312" w:cs="仿宋"/>
          <w:b/>
          <w:sz w:val="32"/>
          <w:szCs w:val="32"/>
        </w:rPr>
      </w:pPr>
      <w:r>
        <w:rPr>
          <w:rFonts w:hint="eastAsia" w:ascii="仿宋_GB2312" w:hAnsi="仿宋" w:eastAsia="仿宋_GB2312" w:cs="仿宋"/>
          <w:sz w:val="24"/>
        </w:rPr>
        <w:t>招标文件的解释权属于浙江省公安厅机场公安局。</w:t>
      </w:r>
    </w:p>
    <w:p>
      <w:pPr>
        <w:rPr>
          <w:rFonts w:hint="eastAsia" w:ascii="仿宋_GB2312" w:hAnsi="仿宋" w:eastAsia="仿宋_GB2312" w:cs="仿宋"/>
          <w:b/>
          <w:sz w:val="32"/>
          <w:szCs w:val="32"/>
        </w:rPr>
      </w:pPr>
    </w:p>
    <w:p>
      <w:pPr>
        <w:pStyle w:val="18"/>
        <w:rPr>
          <w:rFonts w:hint="eastAsia"/>
        </w:rPr>
      </w:pPr>
    </w:p>
    <w:p>
      <w:pPr>
        <w:adjustRightInd w:val="0"/>
        <w:snapToGrid w:val="0"/>
        <w:spacing w:line="360" w:lineRule="auto"/>
        <w:jc w:val="center"/>
        <w:rPr>
          <w:rFonts w:ascii="仿宋_GB2312" w:hAnsi="仿宋" w:eastAsia="仿宋_GB2312" w:cs="仿宋"/>
          <w:b/>
          <w:sz w:val="32"/>
          <w:szCs w:val="32"/>
        </w:rPr>
      </w:pPr>
      <w:r>
        <w:rPr>
          <w:rFonts w:hint="eastAsia" w:ascii="仿宋_GB2312" w:hAnsi="仿宋" w:eastAsia="仿宋_GB2312" w:cs="仿宋"/>
          <w:b/>
          <w:sz w:val="32"/>
          <w:szCs w:val="32"/>
        </w:rPr>
        <w:t>第三部分  采购需求</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kern w:val="0"/>
          <w:sz w:val="28"/>
          <w:szCs w:val="28"/>
        </w:rPr>
        <w:t>项目概述</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依据《浙江省公安“十四五”规划》、《杭州2022年第19届亚运会和杭州2022年第4届亚残运会机场安全组工作方案》、《浙江省公安机关杭州2022年第19届亚运会和杭州2022年第4届亚残运会安保圈层查控工作方案》、《浙江公安大脑建设发展规划》（2022-2023）相关要求，杭州机场作为杭州亚运安保的第一站和最后一站，机场公安局也按照省厅亚运安保“一办十八组”工作方案成立“亚运机场安全组”并设立机场安保指挥部，亚运期间机场安保标准将不低于G20杭州峰会，同时要满足“智能、无感、动态、和谐”的亚运安保新要求。因此机场公安局必须在亚运安保决战前提高各类安全保障指标，提升科技信息化水平，丰富基础设施与数据感知建设，融合必要的社会数据，打破数据隔离，集成数据上图，建设可视化扁平化的指挥调度系统，使机场全域实时数据更加形象化、直观化、具体化，更精准地支撑亚运安保决策，达到“远端过滤、圈层控制、精准查控、智慧安保”的工作效果，确保杭州亚运会安全圆满。</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eastAsia="zh-CN"/>
        </w:rPr>
        <w:t>二、建设</w:t>
      </w:r>
      <w:r>
        <w:rPr>
          <w:rFonts w:hint="eastAsia" w:ascii="仿宋" w:hAnsi="仿宋" w:eastAsia="仿宋" w:cs="仿宋"/>
          <w:b/>
          <w:bCs/>
          <w:sz w:val="28"/>
          <w:szCs w:val="28"/>
        </w:rPr>
        <w:t>内容</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1、机场亚运安保一张图：</w:t>
      </w:r>
      <w:r>
        <w:rPr>
          <w:rFonts w:hint="eastAsia" w:ascii="仿宋" w:hAnsi="仿宋" w:eastAsia="仿宋" w:cs="仿宋"/>
          <w:sz w:val="24"/>
        </w:rPr>
        <w:t>地图建模</w:t>
      </w:r>
      <w:r>
        <w:rPr>
          <w:rFonts w:hint="eastAsia" w:ascii="仿宋" w:hAnsi="仿宋" w:eastAsia="仿宋" w:cs="仿宋"/>
          <w:sz w:val="24"/>
          <w:lang w:eastAsia="zh-CN"/>
        </w:rPr>
        <w:t>、</w:t>
      </w:r>
      <w:r>
        <w:rPr>
          <w:rFonts w:hint="eastAsia" w:ascii="仿宋" w:hAnsi="仿宋" w:eastAsia="仿宋" w:cs="仿宋"/>
          <w:sz w:val="24"/>
        </w:rPr>
        <w:t>地图空间数据应用</w:t>
      </w:r>
      <w:r>
        <w:rPr>
          <w:rFonts w:hint="eastAsia" w:ascii="仿宋" w:hAnsi="仿宋" w:eastAsia="仿宋" w:cs="仿宋"/>
          <w:sz w:val="24"/>
          <w:lang w:eastAsia="zh-CN"/>
        </w:rPr>
        <w:t>、安保</w:t>
      </w:r>
      <w:r>
        <w:rPr>
          <w:rFonts w:hint="eastAsia" w:ascii="仿宋" w:hAnsi="仿宋" w:eastAsia="仿宋" w:cs="仿宋"/>
          <w:sz w:val="24"/>
        </w:rPr>
        <w:t>图上实景指挥</w:t>
      </w:r>
      <w:r>
        <w:rPr>
          <w:rFonts w:hint="eastAsia" w:ascii="仿宋" w:hAnsi="仿宋" w:eastAsia="仿宋" w:cs="仿宋"/>
          <w:sz w:val="24"/>
          <w:lang w:eastAsia="zh-CN"/>
        </w:rPr>
        <w:t>、亚运</w:t>
      </w:r>
      <w:r>
        <w:rPr>
          <w:rFonts w:hint="eastAsia" w:ascii="仿宋" w:hAnsi="仿宋" w:eastAsia="仿宋" w:cs="仿宋"/>
          <w:sz w:val="24"/>
        </w:rPr>
        <w:t>安保</w:t>
      </w:r>
      <w:r>
        <w:rPr>
          <w:rFonts w:hint="eastAsia" w:ascii="仿宋" w:hAnsi="仿宋" w:eastAsia="仿宋" w:cs="仿宋"/>
          <w:sz w:val="24"/>
          <w:lang w:eastAsia="zh-CN"/>
        </w:rPr>
        <w:t>圈层</w:t>
      </w:r>
      <w:r>
        <w:rPr>
          <w:rFonts w:hint="eastAsia" w:ascii="仿宋" w:hAnsi="仿宋" w:eastAsia="仿宋" w:cs="仿宋"/>
          <w:sz w:val="24"/>
        </w:rPr>
        <w:t>防控</w:t>
      </w:r>
      <w:r>
        <w:rPr>
          <w:rFonts w:hint="eastAsia" w:ascii="仿宋" w:hAnsi="仿宋" w:eastAsia="仿宋" w:cs="仿宋"/>
          <w:sz w:val="24"/>
          <w:lang w:eastAsia="zh-CN"/>
        </w:rPr>
        <w:t>、</w:t>
      </w:r>
      <w:r>
        <w:rPr>
          <w:rFonts w:hint="eastAsia" w:ascii="仿宋" w:hAnsi="仿宋" w:eastAsia="仿宋" w:cs="仿宋"/>
          <w:sz w:val="24"/>
        </w:rPr>
        <w:t>一体</w:t>
      </w:r>
      <w:r>
        <w:rPr>
          <w:rFonts w:hint="eastAsia" w:ascii="仿宋" w:hAnsi="仿宋" w:eastAsia="仿宋" w:cs="仿宋"/>
          <w:sz w:val="24"/>
          <w:lang w:eastAsia="zh-CN"/>
        </w:rPr>
        <w:t>指挥</w:t>
      </w:r>
      <w:r>
        <w:rPr>
          <w:rFonts w:hint="eastAsia" w:ascii="仿宋" w:hAnsi="仿宋" w:eastAsia="仿宋" w:cs="仿宋"/>
          <w:sz w:val="24"/>
        </w:rPr>
        <w:t>驾驶舱</w:t>
      </w:r>
      <w:r>
        <w:rPr>
          <w:rFonts w:hint="eastAsia" w:ascii="仿宋" w:hAnsi="仿宋" w:eastAsia="仿宋" w:cs="仿宋"/>
          <w:sz w:val="24"/>
          <w:lang w:eastAsia="zh-CN"/>
        </w:rPr>
        <w:t>。</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2、机场亚运安保前端智能感知综合应用：</w:t>
      </w:r>
      <w:r>
        <w:rPr>
          <w:rFonts w:hint="eastAsia" w:ascii="仿宋" w:hAnsi="仿宋" w:eastAsia="仿宋" w:cs="仿宋"/>
          <w:sz w:val="24"/>
        </w:rPr>
        <w:t>视频图像综合应用</w:t>
      </w:r>
      <w:r>
        <w:rPr>
          <w:rFonts w:hint="eastAsia" w:ascii="仿宋" w:hAnsi="仿宋" w:eastAsia="仿宋" w:cs="仿宋"/>
          <w:sz w:val="24"/>
          <w:lang w:eastAsia="zh-CN"/>
        </w:rPr>
        <w:t>、</w:t>
      </w:r>
      <w:r>
        <w:rPr>
          <w:rFonts w:hint="eastAsia" w:ascii="仿宋" w:hAnsi="仿宋" w:eastAsia="仿宋" w:cs="仿宋"/>
          <w:sz w:val="24"/>
        </w:rPr>
        <w:t>机场社会面监控接入</w:t>
      </w:r>
      <w:r>
        <w:rPr>
          <w:rFonts w:hint="eastAsia" w:ascii="仿宋" w:hAnsi="仿宋" w:eastAsia="仿宋" w:cs="仿宋"/>
          <w:sz w:val="24"/>
          <w:lang w:eastAsia="zh-CN"/>
        </w:rPr>
        <w:t>、</w:t>
      </w:r>
      <w:r>
        <w:rPr>
          <w:rFonts w:hint="eastAsia" w:ascii="仿宋" w:hAnsi="仿宋" w:eastAsia="仿宋" w:cs="仿宋"/>
          <w:sz w:val="24"/>
          <w:lang w:val="en-US" w:eastAsia="zh-CN"/>
        </w:rPr>
        <w:t>350兆PDT建设。</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3、机场亚运安保数据能力支撑：</w:t>
      </w:r>
      <w:r>
        <w:rPr>
          <w:rFonts w:hint="eastAsia" w:ascii="仿宋" w:hAnsi="仿宋" w:eastAsia="仿宋" w:cs="仿宋"/>
          <w:sz w:val="24"/>
        </w:rPr>
        <w:t>机场公安局数据</w:t>
      </w:r>
      <w:r>
        <w:rPr>
          <w:rFonts w:hint="eastAsia" w:ascii="仿宋" w:hAnsi="仿宋" w:eastAsia="仿宋" w:cs="仿宋"/>
          <w:sz w:val="24"/>
          <w:lang w:eastAsia="zh-CN"/>
        </w:rPr>
        <w:t>**能力支撑、</w:t>
      </w:r>
      <w:r>
        <w:rPr>
          <w:rFonts w:hint="eastAsia" w:ascii="仿宋" w:hAnsi="仿宋" w:eastAsia="仿宋" w:cs="仿宋"/>
          <w:sz w:val="24"/>
        </w:rPr>
        <w:t>数据比对能力升级</w:t>
      </w:r>
      <w:r>
        <w:rPr>
          <w:rFonts w:hint="eastAsia" w:ascii="仿宋" w:hAnsi="仿宋" w:eastAsia="仿宋" w:cs="仿宋"/>
          <w:sz w:val="24"/>
          <w:lang w:eastAsia="zh-CN"/>
        </w:rPr>
        <w:t>。</w:t>
      </w:r>
    </w:p>
    <w:p>
      <w:pPr>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w:t>
      </w:r>
      <w:r>
        <w:rPr>
          <w:rFonts w:hint="eastAsia" w:ascii="仿宋" w:hAnsi="仿宋" w:eastAsia="仿宋" w:cs="仿宋"/>
          <w:b/>
          <w:bCs/>
          <w:sz w:val="28"/>
          <w:szCs w:val="28"/>
          <w:lang w:val="en-US" w:eastAsia="zh-CN"/>
        </w:rPr>
        <w:t>硬件设备清单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25"/>
        <w:gridCol w:w="1410"/>
        <w:gridCol w:w="6075"/>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86" w:type="dxa"/>
            <w:gridSpan w:val="5"/>
            <w:noWrap w:val="0"/>
            <w:vAlign w:val="center"/>
          </w:tcPr>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采购硬件设备清单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25"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名称/类型</w:t>
            </w:r>
          </w:p>
        </w:tc>
        <w:tc>
          <w:tcPr>
            <w:tcW w:w="1410"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参考型号</w:t>
            </w:r>
            <w:r>
              <w:rPr>
                <w:rFonts w:hint="eastAsia" w:ascii="仿宋" w:hAnsi="仿宋" w:eastAsia="仿宋" w:cs="仿宋"/>
                <w:b w:val="0"/>
                <w:bCs w:val="0"/>
                <w:color w:val="auto"/>
                <w:sz w:val="24"/>
                <w:szCs w:val="24"/>
                <w:lang w:eastAsia="zh-CN"/>
              </w:rPr>
              <w:t>（接受同档次其他参考品牌）</w:t>
            </w:r>
          </w:p>
        </w:tc>
        <w:tc>
          <w:tcPr>
            <w:tcW w:w="6075"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配置</w:t>
            </w:r>
          </w:p>
        </w:tc>
        <w:tc>
          <w:tcPr>
            <w:tcW w:w="422"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54" w:type="dxa"/>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w:t>
            </w:r>
          </w:p>
        </w:tc>
        <w:tc>
          <w:tcPr>
            <w:tcW w:w="8732" w:type="dxa"/>
            <w:gridSpan w:val="4"/>
            <w:noWrap w:val="0"/>
            <w:vAlign w:val="center"/>
          </w:tcPr>
          <w:p>
            <w:pPr>
              <w:spacing w:line="24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视频图像综合应用系统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算力服务器</w:t>
            </w:r>
          </w:p>
        </w:tc>
        <w:tc>
          <w:tcPr>
            <w:tcW w:w="1410" w:type="dxa"/>
            <w:noWrap w:val="0"/>
            <w:vAlign w:val="center"/>
          </w:tcPr>
          <w:p>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rPr>
              <w:t>曙光、浪潮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神州云科</w:t>
            </w:r>
          </w:p>
        </w:tc>
        <w:tc>
          <w:tcPr>
            <w:tcW w:w="6075" w:type="dxa"/>
            <w:noWrap w:val="0"/>
            <w:vAlign w:val="center"/>
          </w:tcPr>
          <w:p>
            <w:pPr>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4U机架服务器；原厂导轨套件</w:t>
            </w:r>
            <w:r>
              <w:rPr>
                <w:rFonts w:hint="eastAsia" w:ascii="仿宋" w:hAnsi="仿宋" w:eastAsia="仿宋" w:cs="仿宋"/>
                <w:color w:val="auto"/>
                <w:sz w:val="24"/>
                <w:szCs w:val="24"/>
                <w:lang w:eastAsia="zh-CN"/>
              </w:rPr>
              <w:t>；</w:t>
            </w:r>
          </w:p>
          <w:p>
            <w:pPr>
              <w:pStyle w:val="2"/>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CPU ：2颗16核CPU（32线程，≧2.00GHz）</w:t>
            </w:r>
            <w:r>
              <w:rPr>
                <w:rFonts w:hint="eastAsia" w:ascii="仿宋" w:hAnsi="仿宋" w:eastAsia="仿宋" w:cs="仿宋"/>
                <w:color w:val="auto"/>
                <w:sz w:val="24"/>
                <w:szCs w:val="24"/>
                <w:lang w:eastAsia="zh-CN"/>
              </w:rPr>
              <w:t>；</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支持最高8TB 3DS ECC RDIMM，DDR4-3200MHz，最高4TB 3DS ECC LRDIMM，DDR4-2933MHz，或32个DIMM插槽中的2TB DCPMM，DDR4-2666MHz，内存模式下最多2TB持久性内存（仅适用于Cascade Lake）本次配置1TB 内存</w:t>
            </w:r>
            <w:r>
              <w:rPr>
                <w:rFonts w:hint="eastAsia" w:ascii="仿宋" w:hAnsi="仿宋" w:eastAsia="仿宋" w:cs="仿宋"/>
                <w:color w:val="auto"/>
                <w:sz w:val="24"/>
                <w:szCs w:val="24"/>
                <w:lang w:eastAsia="zh-CN"/>
              </w:rPr>
              <w:t>；</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最高可配6 个3.5 英寸热插拨硬盘+24片 2.5寸硬盘，本次配置2*480GB企业级SSD ;5*1.92TB企业级SSD;5*16TB企业级HDD；</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支持RAID 0,1,5,10 3年warranty for battery；</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最高可配12个PCIe 第四代插槽PCI-E4.0 x16 slots；</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支持2 M.2 NVMe OR 2 M.2 SATA3盘可自带操作系统镜像、能够通过一键部署实现操作系统的安装、驱动器的安装、固件更新、硬件配置及问题诊断等保证虚拟化平台高可用性；</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支持GPU数量≥8，本次配置Tesla T4 8片；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网卡：2x 10GB 网卡（含SFP+模块）；</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高效能节能冗余白金2000W电源2+2、支持直流电源、冗余电源风扇，支持热插拔，支持PMBus电源监控标准，满足80PLUS标准管理；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可显示默认或定制信息，包括IP 地址、服务器名称、支持服务编号等。如果系统发生故障，该液晶屏上将显示关于故障的具体信息；支持硬件故障检测，电源、电压、风扇监控，温度监控，远程开关机，报错日志管理。支持CPU，内存，硬盘，电源，风扇故障前预告警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配置远程管理卡模块，可提供远程管理功能。</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p>
        </w:tc>
        <w:tc>
          <w:tcPr>
            <w:tcW w:w="8732" w:type="dxa"/>
            <w:gridSpan w:val="4"/>
            <w:noWrap w:val="0"/>
            <w:vAlign w:val="center"/>
          </w:tcPr>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重点人人脸比对能力升级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比对服务器一体机</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海康、大华、宇视</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2U机架式服务器，支持不少于10个PCIe接口；</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CPU ：2颗16核CPU（32线程，≧2.00GHz）；</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GPU卡：8张T4卡；</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内存：768GB DDR4；</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硬盘：240G SSD*1，4T SATA*1；</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外部接口：4个千兆自适应网络接口； 2个前置USB接口,2个后置USB接口，2个内置USB接口；1个前置VGA接口，1个后置VGA接口；共8个PCIE插糟；</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电源模块：热拔插高效 1+1 冗余电源模块；</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要求满足1千万库容时，每秒并发1:N比对不低于2000张；</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将解析后的人脸与关联的名单库人脸按照相似度阈值进行比对，大于相似度触发报警，并产生报警提示；</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将解析后的人脸与名单库人员进行比对，输出相似度大于阈值的结果。 输出的结果在保留原有抓拍数据的基础上增加人员ID、姓名、属性等信息；</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将解析后的人脸图片与名单库内的人员进行比对，对于相似度小于阈值的结果，重新入库到名单库，加入到比对源中供下次比对使用。在入库过程中赋予该人员唯一ID,该人员下次被比中时，输出结果中带有赋予他的相应唯一ID；</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支持通过人脸质量评分过滤掉质量差的人脸，只对质量超过评分阈值的人脸进行比对；</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支持对不低于80*60像素，瞳间距不小于8像素的照片进行建库，并支持JPG、JPEG、PNG、GIF、BMP、TIF格式的照片，支持zip、rar、tar等压缩方式上传建库，建库成功率不小于99.9%；</w:t>
            </w:r>
          </w:p>
          <w:p>
            <w:pPr>
              <w:pStyle w:val="3"/>
              <w:spacing w:line="240" w:lineRule="auto"/>
              <w:ind w:left="0" w:leftChars="0" w:firstLine="0" w:firstLineChars="0"/>
              <w:jc w:val="left"/>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人脸图片建库速度不少于3000张/s；</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支持建立不少于512个人脸名单库，总容量不低于4.8亿张图片；</w:t>
            </w:r>
          </w:p>
          <w:p>
            <w:pPr>
              <w:pStyle w:val="3"/>
              <w:spacing w:line="240" w:lineRule="auto"/>
              <w:ind w:left="0" w:leftChars="0" w:firstLine="0" w:firstLineChars="0"/>
              <w:jc w:val="left"/>
              <w:rPr>
                <w:rFonts w:hint="eastAsia" w:ascii="仿宋" w:hAnsi="仿宋" w:eastAsia="仿宋" w:cs="仿宋"/>
                <w:b/>
                <w:bCs/>
                <w:color w:val="auto"/>
                <w:sz w:val="24"/>
                <w:szCs w:val="24"/>
                <w:lang w:eastAsia="zh-CN"/>
              </w:rPr>
            </w:pPr>
            <w:r>
              <w:rPr>
                <w:rFonts w:hint="eastAsia" w:cs="宋体"/>
                <w:color w:val="auto"/>
                <w:sz w:val="18"/>
                <w:szCs w:val="18"/>
              </w:rPr>
              <w:t>★</w:t>
            </w:r>
            <w:r>
              <w:rPr>
                <w:rFonts w:hint="eastAsia" w:ascii="仿宋" w:hAnsi="仿宋" w:eastAsia="仿宋" w:cs="仿宋"/>
                <w:color w:val="auto"/>
                <w:sz w:val="24"/>
                <w:szCs w:val="24"/>
                <w:lang w:eastAsia="zh-CN"/>
              </w:rPr>
              <w:t>名单库容4.8亿时，每秒处理不少于120个1:N人脸比对任务；名单库容量2.4亿时，每秒处理不少于240个1: N人脸比对任务；名单库容量1.2亿时，每秒处理不少于480个1:N人脸比对任务；名单库容量0.6亿时，每秒处理不少于960个1:N人脸比对任务；</w:t>
            </w:r>
            <w:r>
              <w:rPr>
                <w:rFonts w:hint="eastAsia" w:ascii="仿宋" w:hAnsi="仿宋" w:eastAsia="仿宋" w:cs="仿宋"/>
                <w:b/>
                <w:bCs/>
                <w:color w:val="auto"/>
                <w:sz w:val="24"/>
                <w:szCs w:val="24"/>
                <w:lang w:eastAsia="zh-CN"/>
              </w:rPr>
              <w:t>(提供公安部检测报告证明)</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cs="宋体"/>
                <w:color w:val="auto"/>
                <w:sz w:val="18"/>
                <w:szCs w:val="18"/>
              </w:rPr>
              <w:t>★</w:t>
            </w:r>
            <w:r>
              <w:rPr>
                <w:rFonts w:hint="eastAsia" w:ascii="仿宋" w:hAnsi="仿宋" w:eastAsia="仿宋" w:cs="仿宋"/>
                <w:color w:val="auto"/>
                <w:sz w:val="24"/>
                <w:szCs w:val="24"/>
                <w:lang w:eastAsia="zh-CN"/>
              </w:rPr>
              <w:t>支持一人一档底库和路人档案库的结构化信息提取、汇聚、导入、按需定期更新和库内相互比对更新功能，一人一档底库和路人档案库可根据人脸评分策略替换评分较低的底图，且支持多底图策略；</w:t>
            </w:r>
            <w:r>
              <w:rPr>
                <w:rFonts w:hint="eastAsia" w:ascii="仿宋" w:hAnsi="仿宋" w:eastAsia="仿宋" w:cs="仿宋"/>
                <w:b/>
                <w:bCs/>
                <w:color w:val="auto"/>
                <w:sz w:val="24"/>
                <w:szCs w:val="24"/>
                <w:lang w:eastAsia="zh-CN"/>
              </w:rPr>
              <w:t>(提供公安部检测报告证明)</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支持人像图片聚档，支持按照人脸相似度进行人脸聚档，支持对戴墨镜、戴口罩、戴有檐帽的人脸图片进行聚档；</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3000实名档案的条件下，归档正确率大于99%，召回率大于99%；</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归档正确率=所有归入照片都正确的档案数/总档案数*100%；</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召回率=归入正确档案的图片数/总抓拍数*100%；</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完成10万人脸聚类时间不长于50秒；</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支持根据名单库档案信息将相似度大于阈值的档案进行合并。档案信息包括姓名、性别、民族等档案标签和档案属性。合并后档案显示人像缩略图，并支持根据的档案中的姓名和照片进行搜索和查看；</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支持单张人脸图片或同一人的多张人脸图片对底库进行人脸比对，并输出TOP N人员信息结果和相似度，N可支持系统自定义；</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cs="宋体"/>
                <w:color w:val="auto"/>
                <w:sz w:val="18"/>
                <w:szCs w:val="18"/>
              </w:rPr>
              <w:t>★</w:t>
            </w:r>
            <w:r>
              <w:rPr>
                <w:rFonts w:hint="eastAsia" w:ascii="仿宋" w:hAnsi="仿宋" w:eastAsia="仿宋" w:cs="仿宋"/>
                <w:color w:val="auto"/>
                <w:sz w:val="24"/>
                <w:szCs w:val="24"/>
                <w:lang w:eastAsia="zh-CN"/>
              </w:rPr>
              <w:t>支持对照片进行矫正，提升特定人员照片比对效果，误报率1%时的正确率应不低于99.9%；</w:t>
            </w:r>
            <w:r>
              <w:rPr>
                <w:rFonts w:hint="eastAsia" w:ascii="仿宋" w:hAnsi="仿宋" w:eastAsia="仿宋" w:cs="仿宋"/>
                <w:b/>
                <w:bCs/>
                <w:color w:val="auto"/>
                <w:sz w:val="24"/>
                <w:szCs w:val="24"/>
                <w:lang w:eastAsia="zh-CN"/>
              </w:rPr>
              <w:t>(提供公安部检测报告证明)</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误报率=非同一人识别为同一人的次数/误报率比对总次数*100%；</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正确率=正确比对的次数/正确率比对总次数*100%；</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支持使用多种算法版本进行人脸比对；</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支持步态算法调度；</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支持步态算法，支持1v1、1Vn视频影像的步态比对，设定阈值，按相识度排序；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支持RE-ID算法调度；</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支持基于RE-ID的人员比对、人员追踪应用。</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p>
        </w:tc>
        <w:tc>
          <w:tcPr>
            <w:tcW w:w="8732" w:type="dxa"/>
            <w:gridSpan w:val="4"/>
            <w:noWrap w:val="0"/>
            <w:vAlign w:val="center"/>
          </w:tcPr>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机场社会面监控接入项目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三层交换机</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华三、华为、锐捷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支持24个10/100/1000BASE-T电口,支持4个1000BASE-X SFP，交换容量：336Gbp；包转发能力51Mpps。</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汇聚交换机</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华三、华为、锐捷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支持24个100/1000BASE-X SFP端口,支持4个10G/1G BASE-X SFP+端口,支持1个接口模块扩展插槽,150W 资产管理交流电源模块。</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核心交换机</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华三、华为、锐捷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台以太网交换机主机，1块A类主控制引擎模块，交换容量：38.4Tbp；包转发能力7200Mpps；业务槽数量≥3，24端口千兆以太网光口(SFP,LC)+4端口万兆以太网光接口模块(SFP+,LC)(SA)，24端口千兆以太网电接口(RJ45)+20端口千兆以太网光口(SFP,LC)+4端口万兆以太网光接口模块(SFP+,LC)，300W交流电源模块*2。</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千兆光模机</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华三、华为、锐捷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光模块-SFP-GE-单模模块-(1310nm,10km,LC)。</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万兆光模块</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华三、华为、锐捷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单模万兆光纤模块，40km。</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路由器</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华三、华为、锐捷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网络安全路由器，2GE（电）+8GE，Qos支持，VPN支持。</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硬盘录像机</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海康威视、大华、宇视</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网络视频输入16路，网络视频接入带宽 320Mbps，8个SATA接口，1个eSATA接口，报警输入16路。</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6T硬盘</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西数、希捷、三星</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监控级硬盘6T</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防火墙</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深信服、网御星云、华三</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支持16个千兆电接口,6个千兆光接口,2个万兆光接口,4个Combo接口,1个管理接口,2个USB接口,1个Console接口,2个扩展槽位，双电源；</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吞吐量8Gbps，应用层吞吐量5Gbps，400万并发连接，4万条新建链接/秒。</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视频网闸</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合众、中科富星、网御星云</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硬件形态：标准机架式机箱，专用安全加固Linux操作系统；</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硬件配置：视频安全隔离设备、视频接入认证服务器、视频用户认证服务器三个设备组成；</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视频安全隔离设备内、外网接口：各标配6个10/100/1000M电口，4个SFP插槽，4个SFP+插槽，冗余电源；</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视频用户认证服务器网络接口：标配6个10/100/1000M电口,2个SFP+插槽（万兆）；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视频接入认证服务器网络接口：标配6个10/100/1000M电口,2个SFP+插槽（万兆）；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软件系统：标配设备管理系统；基本功能模块需要单独购买授权，以实现对不同应用的支持；</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性能:吞吐量≥3.5Gbps，支持1500路视频，最大支持5个视频监控系统厂商；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产品服务：三年期维保服务，包括 5×8 免费硬件维修服务，同代软件版本升级服务， 5×8热线技术支持服务。</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视频汇聚平台软件</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海康、大华、宇视</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接入3000路视频容量，支持GB/T 28181-2016</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非标视频对接设备及开发</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海康、大华、宇视</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对非国标设备进行对接转换；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并发接入带宽：600Mbps；</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最大管理点位数：10000路；</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支持非标设备接入，支持转码。转码能力：52路1080P@30fps 4Mbps（以4Mbps为例），设备支持总转码路数=软转码数 + 硬转码数；</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软转码：4路1080P30 4Mbps及以下，支持将非国标码流（编码为H.265、H.264、大华非标码流、SVAC、MPEG4、MJPEG）转为国标码流（编码为H.264）；</w:t>
            </w:r>
          </w:p>
          <w:p>
            <w:pPr>
              <w:pStyle w:val="3"/>
              <w:spacing w:line="240" w:lineRule="auto"/>
              <w:ind w:left="0" w:leftChars="0" w:firstLine="0" w:firstLineChars="0"/>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硬转码：</w:t>
            </w:r>
            <w:r>
              <w:rPr>
                <w:rFonts w:hint="eastAsia" w:ascii="仿宋" w:hAnsi="仿宋" w:eastAsia="仿宋" w:cs="仿宋"/>
                <w:color w:val="auto"/>
                <w:sz w:val="24"/>
                <w:szCs w:val="24"/>
                <w:u w:val="none"/>
                <w:lang w:eastAsia="zh-CN"/>
              </w:rPr>
              <w:fldChar w:fldCharType="begin"/>
            </w:r>
            <w:r>
              <w:rPr>
                <w:rFonts w:hint="eastAsia" w:ascii="仿宋" w:hAnsi="仿宋" w:eastAsia="仿宋" w:cs="仿宋"/>
                <w:color w:val="auto"/>
                <w:sz w:val="24"/>
                <w:szCs w:val="24"/>
                <w:u w:val="none"/>
                <w:lang w:eastAsia="zh-CN"/>
              </w:rPr>
              <w:instrText xml:space="preserve"> HYPERLINK "mailto:96路D1@30fps1Mbps/96路720P@30fps2Mbps/48路1080P@30fps4Mbps，支持将非国标码流（编码为H.264、H.265）转为国标码流；" </w:instrText>
            </w:r>
            <w:r>
              <w:rPr>
                <w:rFonts w:hint="eastAsia" w:ascii="仿宋" w:hAnsi="仿宋" w:eastAsia="仿宋" w:cs="仿宋"/>
                <w:color w:val="auto"/>
                <w:sz w:val="24"/>
                <w:szCs w:val="24"/>
                <w:u w:val="none"/>
                <w:lang w:eastAsia="zh-CN"/>
              </w:rPr>
              <w:fldChar w:fldCharType="separate"/>
            </w:r>
            <w:r>
              <w:rPr>
                <w:rStyle w:val="39"/>
                <w:rFonts w:hint="eastAsia" w:ascii="仿宋" w:hAnsi="仿宋" w:eastAsia="仿宋" w:cs="仿宋"/>
                <w:color w:val="auto"/>
                <w:sz w:val="24"/>
                <w:szCs w:val="24"/>
                <w:u w:val="none"/>
                <w:lang w:eastAsia="zh-CN"/>
              </w:rPr>
              <w:t>96路D1@30fps1Mbps/96路720P@30fps2Mbps/48路1080P@30fps4Mbps，支持将非国标码流（编码为H.264、H.265）转为国标码流；</w:t>
            </w:r>
            <w:r>
              <w:rPr>
                <w:rFonts w:hint="eastAsia" w:ascii="仿宋" w:hAnsi="仿宋" w:eastAsia="仿宋" w:cs="仿宋"/>
                <w:color w:val="auto"/>
                <w:sz w:val="24"/>
                <w:szCs w:val="24"/>
                <w:u w:val="none"/>
                <w:lang w:eastAsia="zh-CN"/>
              </w:rPr>
              <w:fldChar w:fldCharType="end"/>
            </w:r>
          </w:p>
          <w:p>
            <w:pPr>
              <w:pStyle w:val="3"/>
              <w:spacing w:line="240" w:lineRule="auto"/>
              <w:ind w:left="0" w:leftChars="0" w:firstLine="0" w:firstLineChars="0"/>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转码输出封装类型：PS、RTP+PS；</w:t>
            </w:r>
          </w:p>
          <w:p>
            <w:pPr>
              <w:pStyle w:val="3"/>
              <w:spacing w:line="240" w:lineRule="auto"/>
              <w:ind w:left="0" w:leftChars="0" w:firstLine="0" w:firstLineChars="0"/>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转码输出编码格式：H.264、H.265；</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转码输出分辨率：源分辨率相同、1080P、720P、4CIF、CIF；</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转码输出码率：原始码率、低于原始码率；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降分辨率、降码率、降帧率；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支持高分辨率转低分辨率，如1080P转CIF（可选的目的范围分为与源分辨率相同，CIF、4CIF、720P、1920*1080分辨率）自定义分辨率；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支持降码率，例如4Mbps降低到1Mbps（可选的目的范围分为与源码率相同，128K、256K、512K、1024K、2048K、4096kb、8192K、16384K）自定义分辨率；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支持降帧率，例如60帧下降到15帧（下降可选范围10~30帧）；</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接口参数：千兆自适应RJ45*3、千兆自适应光口*2、RS485/RS232复用口*1、VGA*1、HDMI*1、USB3.0*3；</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其他：双电源冗余，输入（100-240V~7~3.5A）输出（12V 3A）2；</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功耗：“≤170W”。</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平台服务器</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曙光、浪潮、海康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24核2.2GHz×1/160G DDR4/600G 10K SAS×2（RAID 1）+ 480G SSD×2+ 4TB 7.2K SATA×2/SAS_HBA/1GbE×2+ 10GbE×2/550W(1＋1)/2U；</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产品特性：云计算一体机内置云计算软件、分布式数据存储软件，打通授权，有效降低用户的IT基础设施建设成本，提升IT系统构建及管理效率，保证用户的数据安全，方便企业快速部署，云化管理。可根据实际安防业务场景特点分配相应资源需求，优化硬件配置，满足多场景视频监控下的基础设施资源。2U单路标准机架式服务器；</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CPU：1颗 x86架构HYGON处理器，核数≥24核，频率≥2.2GHz；</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内存:160G DDR4，16根内存插槽，最大支持扩展至2TB内存；</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硬盘：2块600G 10K 2.5寸 SAS硬盘,2块480G SATA接口SSD 硬盘，2块4T 7.2K SATA硬盘；</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阵列卡：SAS_HBA卡, 支持RAID 0/1/10；</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PCIE扩展：最大可支持6个PCIe扩展插槽；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网口：2个千兆电口，2个万兆光口；</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其他接口：1个千兆RJ-45管理接口，4个USB 3.0接口，2个位于机箱后部，2个位于机箱前部；</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1个VGA口，位于机箱后部；</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电源：标配550W（1+1）白金冗余电源；</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操作系统：国产安可操作系统，需与应用平台兼容，总价包干。</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32路全分析智能服务器</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海康威视、大华、宇视</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产品性能：智能分析性能（以下人脸分析、车辆分析、视频结构化性能、治安场景图片分析性能为“或”的关系）：人脸分析：包含人脸跟踪、检测、评分、建模、属性分析、比对报警模块；处理能力：视频流：32路（1080P）、图片流：160张/秒、人脸比对报警：160张/秒（100万名单库）或车辆分析：包含车辆检测、建模、属性分析、车牌识别模块；</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分析建模：600万张/天（700W）；或视频结构化：包含活动目标检测、跟踪、评分、属性分析、建模模块；视频处理性能：32路1080PW像素；治安图片处理性能：48张/秒（500W像素）32G DDR4/600G 10K SAS×2(RAID_1) /SAS_HBA/1GbE×2/550W(1+1)/2U；</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配置国产GPU卡，满足以上功能处理性能要求；</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支持集群部署；</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支持负载均衡部署；</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支持算法容器，可以支持多种算法部署在同台服务器上，可以接受平台的算法动态调度。</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视频联网网关服务器</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曙光、浪潮、海康</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用于安装联网网关NCG服务组件，实现上下级平台视频点位级联共享；性能要求：32核2.0GHz×1/32GB DDR4/600GB SAS*2（RAID 1）；/SAS_HBA/1GbE*2/550W(1+1)/2U/16DIMM；</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操作系统：国产。</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6芯室外单模层绞式铠装光缆9/125</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劳兰、施耐德、康普</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规格：6芯9\125um室外铠装层绞式单模光缆；标准：符合Bellcore GR-409-CORE和ANSI/TIA/EIA-568标准，符合UL认证CM防火等级；性能：支持10G以太网，衰减1310nm≤0.36dB/km、1550nm≤0.22dB/km；材料：外护套（PE）防水聚乙烯聚乙烯内置防水层双面涂层钢带中心抗拉力钢柱，每芯带有不同颜色涂层。</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光纤终端盒</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劳兰、施耐德、康普</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8口，含耦合器</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1.5米单模LC光纤尾纤</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劳兰、施耐德、康普</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规格：1.5米LC,单模9/125尾纤；标准：符合ANSI/TIA/EIA 568-B.3以及ISO/IEC 11801标准，阻燃UL94V-0；性能：光缆终端到适配器的连接应用支持10G以太网；材料：材料：护套PVC阻燃聚氯乙烯材料，连接光导柱采用优质氧化锆陶瓷材质精密性高损耗小，壳体优质工程树脂。</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3米单模双芯LC-LC9/125光纤跳线</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劳兰、施耐德、康普</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规格：3米LC-LC双芯单模9/125光纤跳线；标准：符合ANSI/TIA/EIA 568-B.3以及ISO/IEC 11801标准，阻燃UL94V-0；性能：连接到光纤配线架及设备的光纤跳线应用支持10G以太网，所有跳线都在出厂前端接并经过检测；材料：护套PVC阻燃聚氯乙烯材料内置多股抗拉芳纶，连接光导柱采用优质氧化锆陶瓷材质精密性高损耗小，壳体优质工程树</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光纤熔接</w:t>
            </w:r>
          </w:p>
        </w:tc>
        <w:tc>
          <w:tcPr>
            <w:tcW w:w="1410" w:type="dxa"/>
            <w:noWrap w:val="0"/>
            <w:vAlign w:val="center"/>
          </w:tcPr>
          <w:p>
            <w:pPr>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定制</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JDG管</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国产</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Φ25</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PE管</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国产</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PE32</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PVC管</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国产</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Φ25</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lang w:bidi="ar"/>
              </w:rPr>
              <w:t>管路开挖</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国产</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开挖及恢复</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胶体蓄电池12V200AH</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科士达、GNB，艾特网能</w:t>
            </w: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胶体蓄电池12V200AH，使用寿命长，放电次数多</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p>
        </w:tc>
        <w:tc>
          <w:tcPr>
            <w:tcW w:w="8732" w:type="dxa"/>
            <w:gridSpan w:val="4"/>
            <w:noWrap w:val="0"/>
            <w:vAlign w:val="center"/>
          </w:tcPr>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350兆PDT建设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4载频一体化基站</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cs="宋体"/>
                <w:color w:val="auto"/>
                <w:sz w:val="18"/>
                <w:szCs w:val="18"/>
              </w:rPr>
              <w:t>★</w:t>
            </w:r>
            <w:r>
              <w:rPr>
                <w:rFonts w:hint="eastAsia" w:ascii="仿宋" w:hAnsi="仿宋" w:eastAsia="仿宋" w:cs="仿宋"/>
                <w:color w:val="auto"/>
                <w:sz w:val="24"/>
                <w:szCs w:val="24"/>
                <w:lang w:eastAsia="zh-CN"/>
              </w:rPr>
              <w:t>4载频一体化基站整机及天馈系统；</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制式：警用350兆数字集群；频率：Tx 361MHz-366MHz，Rx 351MHz-356MHz；多址方式：TDMA；调制方式4FSK；调制速率：9.6Kbps；整机功耗≦550W；单载频功率2CH≦50W；供电：DC-48V，AC220V；</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bidi="ar"/>
              </w:rPr>
              <w:t>无缝接入省公安厅PDT系统，并与原基站共用一套交换中心，共用网管和调度系统，实现全部集群功能。如所投基站与省厅现网350兆集群系统为同一品牌的需提供省厅系统厂家授权函，不同品牌的需提供省厅系统厂家或用户开具的无缝接入证明函。</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3载频一体化微型基站</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cs="宋体"/>
                <w:color w:val="auto"/>
                <w:sz w:val="18"/>
                <w:szCs w:val="18"/>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载频一体化微型基站及天馈系统；</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制式：警用350兆数字集群；频率：Tx 361MHz-366MHz，Rx 351MHz-356MHz；发射功率：100mW-10W；最大功耗：&lt;160W；供电：DC-48V，AC220V；工作带宽：5MHz。</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bidi="ar"/>
              </w:rPr>
              <w:t>无缝接入省公安厅PDT系统，并与原基站共用一套交换中心，共用网管和调度系统，实现全部集群功能。如所投基站与省厅现网350兆集群系统为同一品牌的需提供省厅系统厂家授权函，不同品牌的需提供省厅系统厂家或用户开具的无缝接入证明函。</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2载频一体化微型基站</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cs="宋体"/>
                <w:color w:val="auto"/>
                <w:sz w:val="18"/>
                <w:szCs w:val="18"/>
              </w:rPr>
              <w:t>★</w:t>
            </w:r>
            <w:r>
              <w:rPr>
                <w:rFonts w:hint="eastAsia" w:ascii="仿宋" w:hAnsi="仿宋" w:eastAsia="仿宋" w:cs="仿宋"/>
                <w:color w:val="auto"/>
                <w:sz w:val="24"/>
                <w:szCs w:val="24"/>
                <w:lang w:eastAsia="zh-CN"/>
              </w:rPr>
              <w:t>2载频一体化微型基站及天馈系统；</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制式：警用350兆数字集群；频率：Tx 361MHz-366MHz，Rx 351MHz-356MHz；发射功率：100mW-10W；最大功耗：&lt;160W；供电：DC-48V，AC220V；工作带宽：5MHz。</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bidi="ar"/>
              </w:rPr>
              <w:t>无缝接入省公安厅PDT系统，并与原基站共用一套交换中心，共用网管和调度系统，实现全部集群功能。如所投基站与省厅现网350兆集群系统为同一品牌的需提供省厅系统厂家授权函，不同品牌的需提供省厅系统厂家或用户开具的无缝接入证明函。</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825"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链路</w:t>
            </w:r>
          </w:p>
        </w:tc>
        <w:tc>
          <w:tcPr>
            <w:tcW w:w="1410" w:type="dxa"/>
            <w:noWrap w:val="0"/>
            <w:vAlign w:val="center"/>
          </w:tcPr>
          <w:p>
            <w:pPr>
              <w:spacing w:line="240" w:lineRule="auto"/>
              <w:jc w:val="center"/>
              <w:rPr>
                <w:rFonts w:hint="eastAsia" w:ascii="仿宋" w:hAnsi="仿宋" w:eastAsia="仿宋" w:cs="仿宋"/>
                <w:color w:val="auto"/>
                <w:kern w:val="0"/>
                <w:sz w:val="24"/>
                <w:szCs w:val="24"/>
                <w:lang w:eastAsia="zh-CN"/>
              </w:rPr>
            </w:pPr>
          </w:p>
        </w:tc>
        <w:tc>
          <w:tcPr>
            <w:tcW w:w="6075"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30M带宽专用链路租赁一条，租赁期五年</w:t>
            </w:r>
          </w:p>
        </w:tc>
        <w:tc>
          <w:tcPr>
            <w:tcW w:w="422" w:type="dxa"/>
            <w:noWrap w:val="0"/>
            <w:vAlign w:val="center"/>
          </w:tcPr>
          <w:p>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bl>
    <w:p>
      <w:pPr>
        <w:pStyle w:val="2"/>
        <w:rPr>
          <w:rFonts w:hint="eastAsia"/>
          <w:lang w:eastAsia="zh-CN"/>
        </w:rPr>
      </w:pPr>
    </w:p>
    <w:p>
      <w:pPr>
        <w:numPr>
          <w:ilvl w:val="0"/>
          <w:numId w:val="6"/>
        </w:num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软件清单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80"/>
        <w:gridCol w:w="6818"/>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286" w:type="dxa"/>
            <w:gridSpan w:val="4"/>
            <w:noWrap w:val="0"/>
            <w:vAlign w:val="center"/>
          </w:tcPr>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采购商品软件清单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序号</w:t>
            </w:r>
          </w:p>
        </w:tc>
        <w:tc>
          <w:tcPr>
            <w:tcW w:w="1280"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名称/类型</w:t>
            </w:r>
            <w:r>
              <w:rPr>
                <w:rFonts w:hint="eastAsia" w:ascii="仿宋" w:hAnsi="仿宋" w:eastAsia="仿宋" w:cs="仿宋"/>
                <w:b w:val="0"/>
                <w:bCs w:val="0"/>
                <w:color w:val="auto"/>
                <w:sz w:val="24"/>
                <w:szCs w:val="24"/>
                <w:lang w:eastAsia="zh-CN"/>
              </w:rPr>
              <w:t>（接受同档次其他参考品牌）</w:t>
            </w:r>
          </w:p>
        </w:tc>
        <w:tc>
          <w:tcPr>
            <w:tcW w:w="6818"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功能/性能</w:t>
            </w:r>
          </w:p>
        </w:tc>
        <w:tc>
          <w:tcPr>
            <w:tcW w:w="520"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一</w:t>
            </w:r>
          </w:p>
        </w:tc>
        <w:tc>
          <w:tcPr>
            <w:tcW w:w="8618" w:type="dxa"/>
            <w:gridSpan w:val="3"/>
            <w:noWrap w:val="0"/>
            <w:vAlign w:val="center"/>
          </w:tcPr>
          <w:p>
            <w:pPr>
              <w:spacing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视频图像综合应用系统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媒体流对接服务</w:t>
            </w:r>
          </w:p>
        </w:tc>
        <w:tc>
          <w:tcPr>
            <w:tcW w:w="6818" w:type="dxa"/>
            <w:noWrap w:val="0"/>
            <w:vAlign w:val="center"/>
          </w:tcPr>
          <w:p>
            <w:pPr>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系统通过海康NVR、 大华NVR 、RTSP、直连 、盒子等方式获取视频流实时数据的功能</w:t>
            </w:r>
            <w:r>
              <w:rPr>
                <w:rFonts w:hint="eastAsia" w:ascii="仿宋" w:hAnsi="仿宋" w:eastAsia="仿宋" w:cs="仿宋"/>
                <w:b w:val="0"/>
                <w:bCs w:val="0"/>
                <w:color w:val="auto"/>
                <w:sz w:val="24"/>
                <w:szCs w:val="24"/>
                <w:lang w:eastAsia="zh-CN"/>
              </w:rPr>
              <w:t>。</w:t>
            </w:r>
          </w:p>
        </w:tc>
        <w:tc>
          <w:tcPr>
            <w:tcW w:w="520" w:type="dxa"/>
            <w:vMerge w:val="restart"/>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视频智能分析服务</w:t>
            </w:r>
          </w:p>
        </w:tc>
        <w:tc>
          <w:tcPr>
            <w:tcW w:w="6818" w:type="dxa"/>
            <w:noWrap w:val="0"/>
            <w:vAlign w:val="center"/>
          </w:tcPr>
          <w:p>
            <w:pPr>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系统对视频中行人目标基于神经网络卷积技术进行形体检测、目标追踪，特征提取和特征储存，并展示目标的形体摘要快照和场景图的功能</w:t>
            </w:r>
            <w:r>
              <w:rPr>
                <w:rFonts w:hint="eastAsia" w:ascii="仿宋" w:hAnsi="仿宋" w:eastAsia="仿宋" w:cs="仿宋"/>
                <w:color w:val="auto"/>
                <w:sz w:val="24"/>
                <w:szCs w:val="24"/>
                <w:lang w:eastAsia="zh-CN"/>
              </w:rPr>
              <w:t>；</w:t>
            </w:r>
          </w:p>
          <w:p>
            <w:pPr>
              <w:pStyle w:val="2"/>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系统对视频中行人目标基于神经网络卷积技术进行人脸检测、目标追踪，特征提取和特征储存</w:t>
            </w:r>
            <w:r>
              <w:rPr>
                <w:rFonts w:hint="eastAsia" w:ascii="仿宋" w:hAnsi="仿宋" w:eastAsia="仿宋" w:cs="仿宋"/>
                <w:color w:val="auto"/>
                <w:sz w:val="24"/>
                <w:szCs w:val="24"/>
                <w:lang w:eastAsia="zh-CN"/>
              </w:rPr>
              <w:t>；</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系统支持对普通摄像头和人脸抓拍机，在不刷新界面的情况下实时推送抓拍摘要至界面</w:t>
            </w:r>
            <w:r>
              <w:rPr>
                <w:rFonts w:hint="eastAsia" w:ascii="仿宋" w:hAnsi="仿宋" w:eastAsia="仿宋" w:cs="仿宋"/>
                <w:color w:val="auto"/>
                <w:sz w:val="24"/>
                <w:szCs w:val="24"/>
                <w:lang w:eastAsia="zh-CN"/>
              </w:rPr>
              <w:t>；</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支持推送时定格查询，即点击并定住摘要暂停推送，便于快速排查目标；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系统实时分析推送的目标支持查看和下载场景大图、抓拍图，支持鼠标缩放显示，支持摘要图当前帧前后10秒视频播放；</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系统支持在摘要图片的场景大图中，自动智能框选目标或手动框选目标创建新检索任务；</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系统支持对单个摄像头的历史摘要数据按时间段查询翻看；</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系统对视频解析的形体和人脸图片进行关联的功能；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系统对不同人群密度（密集/稀疏）、不同目标状态 （行人/骑行）、不同环境光照（夜晚弱光/夜晚强光） 的视频进行智能分析的功能；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系统根据检测目标的角度和遮挡等情况给出目标人脸图像质量评分的功能；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系统分析并输出行人目标的结构化属性信息（性别、年龄、帽子、头发、骑行、上身着装颜色、下身着装颜色、上身穿着、下身着装、上身花纹、下身花纹、 附着物），并支持按照属性进行筛选的功能；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系统分析并输出非机动车目标的结构化属性信息（车型、外观颜色、车棚、车把手套、车前篮、挡风板、车大灯、前脸），并支持按照属性进行筛选的功能；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系统分析并输出机动车目标的结构化属性信息（品牌车型、车辆颜色、方向、车牌号），并支持按照属性进行筛选查询的功能；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系统能够根据目标的形体特征对某一特定目标进行变装/跨镜头追踪的功能；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系统分析视频分辨率支持 720P、1080P、2K 等分辨率；文件格式支持 mp4、avi、wmv、ts、dav、mov、flv、MPG；文件编码支持 H.264 和 H.265编码。</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设备管理服务</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系统支持基于摄像头名称模糊检索，检索到的结果展示在摄像头列表中；</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选中的摄像头在电子地图上定位，用颜色区别摄像头的状态；</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系统支持对摄像头进行设备诊断；</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系统支持在地图上对摄像头进行框选并做启停实时分析或回溯分析的操作，包括圆形框选、矩形框选、多边形框选、路径框选、网格框选等；</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系统支持将摄像头列表中的普通摄像机或人脸抓拍机创建为多个摄像头组成的预案，方便检索、布控的时候直接选定预案；</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系统支持对预案内的点位进行开启实时分析、停止或者开启回溯分析；支持查看点位的实时状态；支持查看预案中设备的实时目标摘要图推送；</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系统支持对摄像头分组打标签，支持批量导入excel对摄像头打标签。</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检索服务</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系统支持以图搜图，即选择一个摘要图，或上传一张图片进行形体、人脸或骑行人检索，上传图片时支持自动智能框选图片中的目标；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系统支持以视频搜视频，即上传一小段视频，对视频画面中的人员目标框选目标进行检索；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系统支持在同一个检索任务中，多目标多素材的同时检索,同时使用人脸、形体、非机动车目标进行混合检索，检索结果按类型分别排列；</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系统支持把检索结果按时间排序或按检索相似度排序。支持检索结果的按摄像头查看，可以进行单摄像头或同时多摄像头的查看。支持下载检索结果图、下载场景大图、下载当前帧前后10秒的回放视频；</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系统可以将疑似目标图片存入暂存架中，方便后续发起快捷检索；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系统支持通过将检索的结果添加到轨迹中，在地图上展示轨迹，可以按轨迹点位查看出现的目标摘要图，可以进行轨迹播放，查看轨迹路线和运动方向；</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系统支持当目标局部被遮挡（带口罩、戴墨镜、撑伞、躯干部分被遮挡等）及变化携带物时仍然能检索到目标；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系统支持以目标行人半身图像搜索出目标行人全身图像；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系统以目标行人全身图像搜索出目标行人半身图像；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系统以目标行人行走图像搜索出目标行人骑车图像；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系统以目标行人白天图像搜索出目标行人夜晚图像；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系统支持人脸/形体智能关联检索，支持多设备的目标线索串联,目标形体图片如果有清晰可用的人脸，在展示检索结果时，推送相似度高的人脸目标，并支持将对应的形体图片加入检索线索；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系统支持单目标多素材检索,可将检索结果再次添加为检索目标进行检索，可以较大程度地提升研判效率。</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技战法</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系统支持逐帧逐页播放回溯任务或离线任务的摘要图片，同时与电子地图、摘要大图联动播放查看线索，支持高倍速播放；支持按照目标出现频率排序；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系统支持智能实时追踪，根据一个移动中的目标或布控目标出现预警的点位，根据目标最新位置快速变换实时分析的范围，增加或替换实时分析的点位。</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布控与报警</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系统支持系统创建布控任务（人脸出现、人脸失联：2 /12/24 小时未出现、人脸聚集、形体出现、区域检测）、触发布控条件进行告警；</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系统支持通过地图卡片显示每个布控点位上的告警记录，并支持生成目标轨迹。</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聚类服务</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系统支持人员档案通过关联聚类任务，把人员人脸或形体的聚档数据自动添加到档案库中；</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系统支持碰撞分析，在回溯或离线分析任务中，对分析出的摘要图进行人脸或形体相似度碰撞，挖掘出出现多次的人脸或人体；</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系统通过人脸或形体检索，检索结果支持自动呈现目标多天轨迹。</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档案库</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系统支持创建档案库，同时支持修改档案库是否共享；</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系统支持创建或批量创建人员档案，可以添加包含档案图、姓名、身份证、模型标签、管控预案、备注等信息。支持对档案进行分类建库；档案数据能从检索结果、布控结果、暂存架提取数据手动添加；</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系统支持针对目标人员的日常轨迹对人员自动打模型标签（早出晚归、昼伏夜出、多点频现、夜不归宿、频繁夜归、多人轨迹重叠）；</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系统支持在档案库层级通过数据感知看板查看库内人员的活跃度（近30天发掘轨迹数量、库内有轨迹人员占比、库内有标签人员占比）；</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系统支持在人员档案查看某人员档案多天的活动轨迹，并支持在地图上按频次图或轨迹图查看人员的活动情况。支持导出档案数据报告。</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数据可视化</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能针对系统所涉及的数据信息进行集中展示，包括实时以及历史人脸抓拍数量、行人抓拍数量、非机动车抓拍数量、机动车抓拍数量；重点人档案数量、用户操作的次数、摄像头分析状况、回溯分析总量、离线分析总量、实时预警数据；</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系统支持在数据看板地图上轮播预警消息；</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系统针对摄像头/预案查看近七日每天的摘要总数、平均摘要数、实时数据、人车非数据。</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回溯分析和离线分析</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系统在回溯分析完成对接视频平台的情况下：支持创建回溯任务，下载摄像头的历史的录像进行视频分析。支持任务列表实时刷新分析进度、提示异常、失败手动或自动重试机制、选择任务优先处理功能；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系统离线分析，支持上传离线视频进行视频分析，支持任务列表实时刷新离线分析进度、提示异常、失败手动或自动重试机制、选择任务优先处理功能；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系统支持边分析边推送回溯或离线分析处理的摘要图片，图片能按时间排序，支持查看大图，发起检索、布控；</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系统支持将疑似目标图片暂存到线索池中，可用于后续使用此目标图前往检索页面自动选中当前回溯或离线任务进行任务内检索；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系统回溯分析中支持选择分析周期，即选择多日的同一个时间段来进行视频回溯；</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系统支持离线分析切换夜晚分析模式，提高对夜间目标的检出率；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系统支持根据上传的视频文件名进行智能分组，自动创建对应的虚拟摄像头，支持经纬度修改、支持虚拟摄像头分组合并。</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运维后台</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系统支持在系统界面中对实时取流、录像回放取流、下载取流、查询录像分别配置传输协议；</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系统支持在系统界面中修改系统中地图视图的默认中心点；</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系统支持在界面上一键诊断系统后台服务，对有异常的服务进行异常原因分析，支持下载诊断报告；</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系统支持在用户界面上调整摘要结果的存储质量、图片存储格式。</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性能效率需求</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视频中能检测到的行人目标的最小像素值不低于15*30；</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视频中形体的检出率不低于99%，目标误报率不大于1%；</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支持单T4卡不小于70路实时摄线头视频解析；</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支持单T4卡离线视频分析不小于20倍速；</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硬件满足的情况下，对小于千万数量图片库进行检索，平均响应时间小于2秒。小于百万数量图片库检索平均响应时间小于1秒。</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授权</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不少于200路实时分析能力</w:t>
            </w:r>
          </w:p>
        </w:tc>
        <w:tc>
          <w:tcPr>
            <w:tcW w:w="520" w:type="dxa"/>
            <w:vMerge w:val="continue"/>
            <w:noWrap w:val="0"/>
            <w:vAlign w:val="center"/>
          </w:tcPr>
          <w:p>
            <w:pPr>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w:t>
            </w:r>
          </w:p>
        </w:tc>
        <w:tc>
          <w:tcPr>
            <w:tcW w:w="8618" w:type="dxa"/>
            <w:gridSpan w:val="3"/>
            <w:noWrap w:val="0"/>
            <w:vAlign w:val="center"/>
          </w:tcPr>
          <w:p>
            <w:pPr>
              <w:spacing w:line="240" w:lineRule="auto"/>
              <w:jc w:val="lef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亚运安保一张图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8"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280" w:type="dxa"/>
            <w:noWrap w:val="0"/>
            <w:vAlign w:val="center"/>
          </w:tcPr>
          <w:p>
            <w:pPr>
              <w:spacing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三维模型引擎</w:t>
            </w:r>
          </w:p>
        </w:tc>
        <w:tc>
          <w:tcPr>
            <w:tcW w:w="6818" w:type="dxa"/>
            <w:noWrap w:val="0"/>
            <w:vAlign w:val="center"/>
          </w:tcPr>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基础空间数据管理：接入基础底图数据、离线地图瓦片、小场景地图接入，对接入的数据合法性校验、脏数据清洗、分流归类、标准化存取；</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地图服务处理：基础底图数据切片化，生成HVT/TMS格式数据；文本标注瓦片化处理，生成TMS格式数据； 栅格瓦片数据格式转化；小场景地图瓦片化，生成TMS格式数据；</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提供OGC标准服务：发布符合OGC标准的数据访问服务GeoJSON、WMS、KML ；服务发布时的显示策略优化：抽稀、简化、去重、拆分；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地理资源检索：合计470类基础地理信息与接入本平台的全部矢量要素检索：全图检索、关键字检索、多边形检索、ECQL条件检索；周边资源检索、兴趣点检索、兴趣面检索、ID检索；重要信息检索；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供空间计算：提供基础的地理元素个体间的空间计算：GeoJSON/WKT格式转换；规则几何体构造；几何关系计算与交并差计算；几何量算；几何聚类计算；拓扑关系判断；线性参考；网格聚合、最短路径分析、坐标转换；</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地图渲染能力：包括地图浏览、图层管理、要素编辑、要素拾取、事件、几何计算、格式转换、地图符号；光线控制、OD专题图、聚合、轨迹回放、围栏、流线、视频纹理、填充圆、散点、泛光；</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支持HVTB格式， 渲染性能较高、对显卡要求低，除可用于一般地图环境外，还可用于大屏或对性能苛刻的环境；</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处理卫星/航拍遥感影像数据。主要能力包括：</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支持遥感影像接入与标准化存取；</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影像数据金字塔化处理；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基于遥感影像，发布标准栅格瓦片服务；</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处理大规模矢量数据，以便在浏览器端进行高效渲染。主要能力包括：</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大规模点线面矢量数据切片化，用于提升上层应用中矢量数据渲染性能；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切片池更新能力：准实时更新、定期更新、不定期更新；</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支持设定抽稀、简化、极寒特征、标注、比例范围、属性过滤器等条件来优化切片性能；</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支持按行政区划、指定地理范围生成矢量瓦片；</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用于支撑三维应用的开发。详情如下：</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三维数据管理:支持接入实景三维、仿真三维、三维地形、点云等三维数据并发布成三维地图服务。支持S3M、3DTILES、glTF、hvte、Terrain等三维数据格式；</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支持园区、城市部件等三维模型渲染、 城市级倾斜摄影数据渲染、三维地形渲染；</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支持通视分析、可视域分析、天际线分析、等值线/等值面分析、淹没分析、坡度坡向分析、限高分析、裁剪盒分析、开敞度分析、压平；</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视频地图：做实时视频与地图融合、视频投射、视频纹理；</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仿真模拟：景深、滤镜、卷轴、波动、蒙版、扭曲、HDR、雾效、倒影；风/雨/雪/雾/雷电/烟/火/水等自然现象模拟、通用粒子效果；</w:t>
            </w:r>
          </w:p>
          <w:p>
            <w:pPr>
              <w:pStyle w:val="3"/>
              <w:spacing w:line="24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插件支持：echarts插件支持、threejs插件支持。</w:t>
            </w:r>
          </w:p>
        </w:tc>
        <w:tc>
          <w:tcPr>
            <w:tcW w:w="520" w:type="dxa"/>
            <w:noWrap w:val="0"/>
            <w:vAlign w:val="center"/>
          </w:tcPr>
          <w:p>
            <w:pPr>
              <w:spacing w:line="24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r>
    </w:tbl>
    <w:p>
      <w:pPr>
        <w:pStyle w:val="2"/>
        <w:numPr>
          <w:ilvl w:val="0"/>
          <w:numId w:val="0"/>
        </w:numPr>
        <w:jc w:val="left"/>
        <w:rPr>
          <w:rFonts w:hint="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7"/>
        <w:gridCol w:w="696"/>
        <w:gridCol w:w="853"/>
        <w:gridCol w:w="646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86" w:type="dxa"/>
            <w:gridSpan w:val="5"/>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b/>
                <w:bCs/>
                <w:color w:val="auto"/>
                <w:kern w:val="0"/>
                <w:sz w:val="24"/>
                <w:szCs w:val="24"/>
                <w:highlight w:val="none"/>
              </w:rPr>
              <w:t>软件开发模块清单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86" w:type="dxa"/>
            <w:gridSpan w:val="5"/>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b/>
                <w:bCs/>
                <w:color w:val="auto"/>
                <w:kern w:val="0"/>
                <w:sz w:val="24"/>
                <w:szCs w:val="24"/>
                <w:highlight w:val="none"/>
                <w:lang w:val="en-US" w:eastAsia="zh-CN"/>
              </w:rPr>
              <w:t>1、亚运安保一张图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8" w:hRule="atLeast"/>
        </w:trPr>
        <w:tc>
          <w:tcPr>
            <w:tcW w:w="457"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b/>
                <w:i w:val="0"/>
                <w:color w:val="auto"/>
                <w:kern w:val="0"/>
                <w:sz w:val="24"/>
                <w:szCs w:val="24"/>
                <w:u w:val="none"/>
                <w:lang w:val="en-US" w:eastAsia="zh-CN" w:bidi="ar"/>
              </w:rPr>
              <w:t>序号</w:t>
            </w:r>
          </w:p>
        </w:tc>
        <w:tc>
          <w:tcPr>
            <w:tcW w:w="696"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b/>
                <w:i w:val="0"/>
                <w:color w:val="auto"/>
                <w:kern w:val="0"/>
                <w:sz w:val="24"/>
                <w:szCs w:val="24"/>
                <w:u w:val="none"/>
                <w:lang w:val="en-US" w:eastAsia="zh-CN" w:bidi="ar"/>
              </w:rPr>
              <w:t>模块名称</w:t>
            </w:r>
          </w:p>
        </w:tc>
        <w:tc>
          <w:tcPr>
            <w:tcW w:w="853"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b/>
                <w:i w:val="0"/>
                <w:color w:val="auto"/>
                <w:kern w:val="0"/>
                <w:sz w:val="24"/>
                <w:szCs w:val="24"/>
                <w:u w:val="none"/>
                <w:lang w:val="en-US" w:eastAsia="zh-CN" w:bidi="ar"/>
              </w:rPr>
              <w:t>内容及功能</w:t>
            </w:r>
          </w:p>
        </w:tc>
        <w:tc>
          <w:tcPr>
            <w:tcW w:w="6468"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b/>
                <w:i w:val="0"/>
                <w:color w:val="auto"/>
                <w:kern w:val="0"/>
                <w:sz w:val="24"/>
                <w:szCs w:val="24"/>
                <w:u w:val="none"/>
                <w:lang w:val="en-US" w:eastAsia="zh-CN" w:bidi="ar"/>
              </w:rPr>
              <w:t>功能描述</w:t>
            </w:r>
          </w:p>
        </w:tc>
        <w:tc>
          <w:tcPr>
            <w:tcW w:w="812"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b/>
                <w:i w:val="0"/>
                <w:color w:val="auto"/>
                <w:kern w:val="0"/>
                <w:sz w:val="24"/>
                <w:szCs w:val="24"/>
                <w:u w:val="none"/>
                <w:lang w:val="en-US" w:eastAsia="zh-CN" w:bidi="ar"/>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28" w:hRule="atLeast"/>
        </w:trPr>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pPr>
          </w:p>
        </w:tc>
        <w:tc>
          <w:tcPr>
            <w:tcW w:w="696"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pPr>
          </w:p>
        </w:tc>
        <w:tc>
          <w:tcPr>
            <w:tcW w:w="853"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pPr>
          </w:p>
        </w:tc>
        <w:tc>
          <w:tcPr>
            <w:tcW w:w="6468"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pPr>
          </w:p>
        </w:tc>
        <w:tc>
          <w:tcPr>
            <w:tcW w:w="812"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i w:val="0"/>
                <w:color w:val="auto"/>
                <w:kern w:val="0"/>
                <w:sz w:val="24"/>
                <w:szCs w:val="24"/>
                <w:u w:val="none"/>
                <w:lang w:val="en-US" w:eastAsia="zh-CN" w:bidi="ar"/>
              </w:rPr>
            </w:pPr>
            <w:r>
              <w:rPr>
                <w:rFonts w:hint="eastAsia" w:ascii="宋体" w:hAnsi="宋体" w:eastAsia="宋体" w:cs="宋体"/>
                <w:b/>
                <w:i w:val="0"/>
                <w:color w:val="auto"/>
                <w:kern w:val="0"/>
                <w:sz w:val="18"/>
                <w:szCs w:val="18"/>
                <w:u w:val="none"/>
                <w:lang w:val="en-US" w:eastAsia="zh-CN" w:bidi="ar"/>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96"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机场三维建模</w:t>
            </w: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三维建模</w:t>
            </w:r>
          </w:p>
        </w:tc>
        <w:tc>
          <w:tcPr>
            <w:tcW w:w="646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对机场主要占地区域（10平方公里）及航站楼（110万平方米）外形进行三维建模，采用人工精细模型建模方式，建模精度0.5米，利用建模引擎进行构建。要求辖区内主要建筑5个面精细化展示；模型效果真实、美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机场范围内主要区域道路车道级平面建模。</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工作环节包括前期准备-CAD图纸拉模-结构处理-外业照片纹理采集-纹理贴合-烘焙。实景或者拉模</w:t>
            </w:r>
          </w:p>
        </w:tc>
        <w:tc>
          <w:tcPr>
            <w:tcW w:w="812"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96"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车道数据</w:t>
            </w:r>
          </w:p>
        </w:tc>
        <w:tc>
          <w:tcPr>
            <w:tcW w:w="646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对机场辖区公共道路进行二维画图，实现车道级精细建模，主要展现道路交通渠化的所有信息，包括交通标志标线、交通信号灯、道路隔离设施、道路车道数和车道属性，道路包括机场主要道路及高架道路共计14公里</w:t>
            </w:r>
          </w:p>
        </w:tc>
        <w:tc>
          <w:tcPr>
            <w:tcW w:w="812"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6" w:hRule="atLeast"/>
        </w:trPr>
        <w:tc>
          <w:tcPr>
            <w:tcW w:w="45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96"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空间数据应用-机场生产运行数据动态</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进出港信息</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支持在驾驶舱界面，三维建模画面中呈现进出港航班、进出港旅客、进出机场车流、货邮数据等总体概要信息；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66" w:hRule="atLeast"/>
        </w:trPr>
        <w:tc>
          <w:tcPr>
            <w:tcW w:w="45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96"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每日生产数据</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支持进一步查看机场每日生产运行详细数据，包括每日航班、旅客、货邮数据等，亚运安保期间展示涉外航班、保障航班的具体数据展示。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0" w:hRule="atLeast"/>
        </w:trPr>
        <w:tc>
          <w:tcPr>
            <w:tcW w:w="45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96"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航班节点可视化</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结合对应点位监控视频，以可视化方式呈现航班进程状态。</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6</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空间数据应用-警力定位</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实时定位</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接入**通、执法记录仪、车载GPS等终端的室外GPS定位数据，支持在三维地图模型中显示带定位功能的移动终端如**通、执法记录仪、车载GPS等的实时位置</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警力调度</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color w:val="auto"/>
                <w:sz w:val="24"/>
                <w:szCs w:val="24"/>
                <w:vertAlign w:val="baseline"/>
              </w:rPr>
            </w:pPr>
            <w:r>
              <w:rPr>
                <w:rFonts w:hint="eastAsia" w:ascii="仿宋" w:hAnsi="仿宋" w:eastAsia="仿宋" w:cs="仿宋"/>
                <w:i w:val="0"/>
                <w:color w:val="auto"/>
                <w:kern w:val="0"/>
                <w:sz w:val="24"/>
                <w:szCs w:val="24"/>
                <w:u w:val="none"/>
                <w:lang w:val="en-US" w:eastAsia="zh-CN" w:bidi="ar"/>
              </w:rPr>
              <w:t>基于室外GPS定位技术，实现警力的可视化调度，结合周边视频、支持点击图上警力、警车图标查看详情、视频回传查看等相关应用。</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8</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空间数据应用-警卫路线</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线路规划</w:t>
            </w:r>
          </w:p>
        </w:tc>
        <w:tc>
          <w:tcPr>
            <w:tcW w:w="6468" w:type="dxa"/>
            <w:noWrap w:val="0"/>
            <w:vAlign w:val="center"/>
          </w:tcPr>
          <w:p>
            <w:pPr>
              <w:keepNext w:val="0"/>
              <w:keepLines w:val="0"/>
              <w:widowControl/>
              <w:suppressLineNumbers w:val="0"/>
              <w:spacing w:after="180" w:afterAutospacing="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基于预设的警卫安保路线预案，针对能够实时传回定位信息的警卫车辆、警卫车队的安保应用服务。</w:t>
            </w:r>
          </w:p>
          <w:p>
            <w:pPr>
              <w:keepNext w:val="0"/>
              <w:keepLines w:val="0"/>
              <w:widowControl/>
              <w:suppressLineNumbers w:val="0"/>
              <w:spacing w:after="180" w:afterAutospacing="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支持在三维模型上规划安保路线，实现安保路线的可视化显示；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线路视频巡查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地图屏：支持显示警卫车辆的实时位置，支持按照顺序显示车辆布控球的实时视频、车辆已过点位的摄像机视频、车辆正在经过摄像机的视频、即将经过摄像机的视频。</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卡口预案</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支持接入卡口，由卡口触发视频调用预案、触发指定执勤人员预案指令，对接浙政钉发送信息；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云台追踪</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支持云台控制沿安保路径巡航跟进目标。</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预案推演</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支持安保警卫路线预案推演；</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画面联动</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支持高低联动画中画、警力部署预案，警力就位状态，前方路口实时场景展示。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14</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空间数据应用-巡航聚焦轨迹追踪</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高点应用</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在高点视频中提供周边视频应用服务，通过后台视频空间大数据计算引擎，动态计算摄像机的可视域、方位角，支持在高点的历史视频中选取任意一点执行周边视频任务，系统根据任务自动计算出周边视频摄像头的分布，快速调出以目标点为中心四个方向的视频图像，自动调用周边摄像机的可视域聚焦在目标处，实现周边视频的协防查看，实现高低联动；</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人员追踪</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追踪：通过后台视频空间大数据计算引擎，可自动计算目标落点周边的感知终端，自动打开周边视频图像，联动摄像机可视域聚焦在目标位置，实现目标的全方位实时监控，并按照时间、位置顺序生成监控轨迹，存储记录下来；</w:t>
            </w:r>
          </w:p>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调用RE-ID算法，匹配追踪人员，以框的形式标识对象</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车辆追踪</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车辆追踪：通过后台视频空间大数据计算引擎，可自动计算目标落点周边的感知终端，自动打开周边视频图像，联动摄像机可视域聚焦在目标位置，实现目标的全方位实时监控，并按照时间、位置顺序生成监控轨迹，存储记录下来；</w:t>
            </w:r>
          </w:p>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调用车辆相识度比对算法，匹配追踪车辆；</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17</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空间数据应用-要素编码标准</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设备治理清单管理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设备治理清单管理：支持对设备治理清单进行添加、删除、编辑、查询的功能；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治理任务管理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治理任务管理：支持对治理任务进行添加、删除、编辑、查询，支持在任务详情中进行设备的添加、导入、删除、批量关联地名、设置场所类型、打标注任务管理的功能；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19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像机设备空间信息治理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空间信息治理：支持对治理任务中的设备进行经纬度、安装地址、场所类型、行政区划、室内外空间属性等信息的标定，支持对治理任务中的设备筛选的功能；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场所类型标定</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场所类型标定：支持对设备的场所类型进行标定的功能；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设备位置标定</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设备室内外标定：支持对设备进行室内外标定的功能；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设备关系标定</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设备关系标定：支持对设备间关系（同设备、同地址）进行标定的功能；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经纬度勘查上报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设备经纬度勘误上报审核：支持对上报的设备经纬度信息进行审核的功能；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数据推送</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设备数据推送：支持将设备数据进行上下级推送的功能；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坐标系转换</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坐标系转换：支持对设备的位置信息进行不同坐标系转换的功能，对数据异常的条目进行筛选，进行人工复核和补充采集；</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场景标注</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场景标注：支持对监控画面中的多个场景进行自定义标注的功能；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设备数据质量检测</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质量检测：支持对时间差检测、经纬度异常检测、国标编码异常检测、设备名称检测、摄像机功能类型检测、摄像机采集区域类型检测、监控点位类型检测、设备状态检测、IPV4、IPV6检测任务进行配置和执行，并将检测结果进行列表展示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设备资源管理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资源管理：支持对设备进行新增、编辑、查询、导入、导出、打标注、取消标注、列表展示、详情查看的功能；支持创建设备集并进行设备关联，支持对设备集中的设备进行列表展示、详情查看、条件查询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29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设备标准管理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设备标准管理：支持行政区划管理、场所类型管理、能力集管理、设备类型模型管理、标注管理；</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空间信息配置</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空间信息配置：支持地名管理、地理区域管理、区域集管理；</w:t>
            </w:r>
          </w:p>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支持对设备地址信息进行添加、模板批量导入、治理和查询的功能；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31</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实景指挥-基础地图融合</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主题地图管理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主题地图管理，支持通过配置的方式创建所需要的地图</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支持创建自定义地图主题，上限不低于30个</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支持对地图主题的底图样式进行自定义，支持：TMS、HVT、HVTB等格式底图</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支持针对地图主题叠加图层、地图插件</w:t>
            </w:r>
          </w:p>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支持对地图主题进行预览，并支持通过开放能力针对地图主题进行二次开发</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电子沙盘</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支持电子沙盘，能进行图层配置、一键标绘、样式配置、交互配置、辐射范围配置、形态配置、数据映射配置、数据刷新配置等功能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动态标绘</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支持动态标绘，包括点标绘、线标绘、面标绘、箭头标绘、旗帜标绘、文本标绘等；</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态势地图</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支持态势地图，包括态势热力图和态势OD图。</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数据对接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支持cvs格式数据源、支持rest接口数据，支持数据库源，支持AMQ、RMQ、kafka等消息队列数据；支持地图服务数据源。</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36</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实景指挥-图上资源应用</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对象图层管理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在融合地图上通过图层建设直观展示设备、重点场所、驻场单位等各类资源。</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查询交互</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支持文字搜索及空间查询，实现撒点、聚合、渲染等高级展示效果；</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安全监督</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支持机场安防设施的安全监督，点击各建筑，会显示各建筑的详细信息。包括安防设施数量，在职人员数量、以往检查的情况，未整改隐患数量、最近检查日期等。</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39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数据管理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资源数据的采集和录入、增、删、改、查；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40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对象分级</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图上资源至少包含感知设备、警力等和不同建筑等分类、分级标签；</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41</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实景指挥-图上要素管理</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标签工具栏</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在工具栏依据视频空间大数据信息显示当前视频范围内的所有标签</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标签属性赛选</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依据标签分类属性进行分类，列出各分类属性内的所有标签</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图层标签选择</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可根据标签分类属性选择每类图层中的部分或全部标签上图</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标签视频位置调整</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已上图的标签，可在视频画面中对位置进行微调，并在数据库进行记录</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视频标签回收</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当在视频中删除某个标签后，删除后的标签根据所属分类回到工具栏中的对应分类属性下</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默认空间标签</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可根据设置，默认将某几类图层的标签自动上图到所有配置视频空间大数据的摄像机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标签变倍管理</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摄像机根据变倍大小计算屏幕内经纬度范围，显示经纬度范围内可见的标签以达到分层显示效果</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48</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实景指挥-视频监控点播及运维管理</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图上视频监控应用</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集成机场视频资源，视频监控联网系统，在三维模型集中实现对机场重要区域、路段、路口、点位视频图像的图上点播、切换和控制功能。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运维功能</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具备运维功能。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点位状态</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能够实时监测机场公安自检感知资源的状态；</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质量分析</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能够对接机场集团对接的社会资源点位，并进行点位状态和视频质量分析。</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相机档案</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支持像机档案的录入、检索、档案审核、点位类型统计、功能类型统计、建档情况统计、推送一致性统计；</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动态表单</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支持动态表单配置，支持自定义新的属性分类和监控点的属性；</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一机一档</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支持一机一档的级联配置，支持选择性的将本级平台中的监控点属性推送到上级平台；</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55</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实景指挥-指挥调度</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视频自动巡查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支持对机场内及周边的摄像机设置视频自动巡查，启动视频巡查预案时，系统按照设置自动完成机场现场图像的实时调阅，从而达到远程巡逻的目的，改变传统人员走访式巡查管理，大大减少巡查人员配置。</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数据展示</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支持以柱状图、曲线图等各类图表形式，对航班进出港、机位状态、人员、旅客、车辆、历史航班高峰、历史安检高峰等数据进行统计分析展示；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接处警预案</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标准接处警规范模块，内容为接处警规范文档的相关内容，通过目录页，点击相应的目录显示各项标准接处警规范详细内容。</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图上互动</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图上互动，</w:t>
            </w:r>
            <w:r>
              <w:rPr>
                <w:rFonts w:hint="eastAsia" w:ascii="仿宋" w:hAnsi="仿宋" w:eastAsia="仿宋" w:cs="仿宋"/>
                <w:sz w:val="24"/>
                <w:szCs w:val="24"/>
                <w:lang w:eastAsia="zh-CN"/>
              </w:rPr>
              <w:t>通过</w:t>
            </w:r>
            <w:r>
              <w:rPr>
                <w:rFonts w:hint="eastAsia" w:ascii="仿宋" w:hAnsi="仿宋" w:eastAsia="仿宋" w:cs="仿宋"/>
                <w:sz w:val="24"/>
                <w:szCs w:val="24"/>
              </w:rPr>
              <w:t>发短信</w:t>
            </w:r>
            <w:r>
              <w:rPr>
                <w:rFonts w:hint="eastAsia" w:ascii="仿宋" w:hAnsi="仿宋" w:eastAsia="仿宋" w:cs="仿宋"/>
                <w:sz w:val="24"/>
                <w:szCs w:val="24"/>
                <w:lang w:eastAsia="zh-CN"/>
              </w:rPr>
              <w:t>或</w:t>
            </w:r>
            <w:r>
              <w:rPr>
                <w:rFonts w:hint="eastAsia" w:ascii="仿宋" w:hAnsi="仿宋" w:eastAsia="仿宋" w:cs="仿宋"/>
                <w:sz w:val="24"/>
                <w:szCs w:val="24"/>
              </w:rPr>
              <w:t>浙政钉</w:t>
            </w:r>
            <w:r>
              <w:rPr>
                <w:rFonts w:hint="eastAsia" w:ascii="仿宋" w:hAnsi="仿宋" w:eastAsia="仿宋" w:cs="仿宋"/>
                <w:sz w:val="24"/>
                <w:szCs w:val="24"/>
                <w:lang w:eastAsia="zh-CN"/>
              </w:rPr>
              <w:t>形式</w:t>
            </w:r>
            <w:r>
              <w:rPr>
                <w:rFonts w:hint="eastAsia" w:ascii="仿宋" w:hAnsi="仿宋" w:eastAsia="仿宋" w:cs="仿宋"/>
                <w:sz w:val="24"/>
                <w:szCs w:val="24"/>
              </w:rPr>
              <w:t>，公安网</w:t>
            </w:r>
            <w:r>
              <w:rPr>
                <w:rFonts w:hint="eastAsia" w:ascii="仿宋" w:hAnsi="仿宋" w:eastAsia="仿宋" w:cs="仿宋"/>
                <w:sz w:val="24"/>
                <w:szCs w:val="24"/>
                <w:lang w:eastAsia="zh-CN"/>
              </w:rPr>
              <w:t>移动**</w:t>
            </w:r>
            <w:r>
              <w:rPr>
                <w:rFonts w:hint="eastAsia" w:ascii="仿宋" w:hAnsi="仿宋" w:eastAsia="仿宋" w:cs="仿宋"/>
                <w:sz w:val="24"/>
                <w:szCs w:val="24"/>
              </w:rPr>
              <w:t>APP端的</w:t>
            </w:r>
            <w:r>
              <w:rPr>
                <w:rFonts w:hint="eastAsia" w:ascii="仿宋" w:hAnsi="仿宋" w:eastAsia="仿宋" w:cs="仿宋"/>
                <w:sz w:val="24"/>
                <w:szCs w:val="24"/>
                <w:lang w:eastAsia="zh-CN"/>
              </w:rPr>
              <w:t>调度指挥</w:t>
            </w:r>
            <w:r>
              <w:rPr>
                <w:rFonts w:hint="eastAsia" w:ascii="仿宋" w:hAnsi="仿宋" w:eastAsia="仿宋" w:cs="仿宋"/>
                <w:sz w:val="24"/>
                <w:szCs w:val="24"/>
              </w:rPr>
              <w:t>，</w:t>
            </w:r>
            <w:r>
              <w:rPr>
                <w:rFonts w:hint="eastAsia" w:ascii="仿宋" w:hAnsi="仿宋" w:eastAsia="仿宋" w:cs="仿宋"/>
                <w:sz w:val="24"/>
                <w:szCs w:val="24"/>
                <w:lang w:eastAsia="zh-CN"/>
              </w:rPr>
              <w:t>发送指令、</w:t>
            </w:r>
            <w:r>
              <w:rPr>
                <w:rFonts w:hint="eastAsia" w:ascii="仿宋" w:hAnsi="仿宋" w:eastAsia="仿宋" w:cs="仿宋"/>
                <w:sz w:val="24"/>
                <w:szCs w:val="24"/>
              </w:rPr>
              <w:t>接收信息</w:t>
            </w:r>
            <w:r>
              <w:rPr>
                <w:rFonts w:hint="eastAsia" w:ascii="仿宋" w:hAnsi="仿宋" w:eastAsia="仿宋" w:cs="仿宋"/>
                <w:sz w:val="24"/>
                <w:szCs w:val="24"/>
                <w:lang w:eastAsia="zh-CN"/>
              </w:rPr>
              <w:t>。</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统一登录连接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在图上实现对公安网内应用和网页的连接，一键可以进入相关应用和网页。</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实景指挥-预警管控</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预警助手</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人员、车辆等预警有弹窗提醒，声音提醒。</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重点人预警</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重点人预警，包括告警类型、告警地点、告警时间、告警内容、状态等信息，并可查看告警录像及告警详情，预警页面里面，联动周边视频点位至少4个方向。</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无人机侦测预警接入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对接无人机联动侦测系统，获取侦测系统工作状态数据、入侵目标数据、预警处置数据等；</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在一张图上展示侦测雷达点位，雷达侦测范围，雷达工作状态，入侵无人机的设备参数、飞行方位、飞行高度、速度、轨迹，无人机飞手定位、轨迹等；</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展示预警处置状态，包括尚未处置、处置中、处置结束，分别用红、黄、绿颜色展示，并能够以语音播报和弹窗闪烁等方式进行预警提醒；</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点击预警处置详情，可以展现预警地周边警力定位、警力详情、监控设备、处置预案、处置指令、当前状态等。可以查看所有历史预警信息，并自动生成统计报表和图表进行展示。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重点人预警历史详情</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对预警重点人的历史数据进行查看，包括告警类型、告警地点、告警时间、告警内容、状态等信息，并可查看告警录像及告警详情(大小图)；</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重点车辆预警</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支持对重点车辆的实时预警进行查看，包括告警类型、告警地点、告警时间、告警内容、状态等信息，并可查看告警录像及告警详情</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重点车辆预警历史详情</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支持对重点车辆的历史数据（卡口数据，卡口轨迹，最后出现的卡口位置）进行查看，包括告警类型、告警地点、告警时间、告警内容、状态等信息，并可查看告警录像及告警详情</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安保防控-安保防控圈</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四层防控圈</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三维模型及中构建机场四层防控圈（省际圈层-省外飞机的人员进港数据展示，全国飞机飞往浙江的效果，机票、净空保护区-机场及机场外20公里内，无人机，雷达点、机场圈层-围界10平方公里、核心圈层候机楼-人员，国外运动员和政要，人，运动员数，国外航班，到地，未到，手动更新），动态监测机场整体安全态势：</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实时客流</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接入人流统计前端数据，监测各圈层区域的人数情况，以便实时掌握人流动态信息，实时进行关注区域内的进出人数、区域人数、滞留人数的统计；（到达，出发的数据，航班的数据，15</w:t>
            </w:r>
            <w:r>
              <w:rPr>
                <w:rStyle w:val="51"/>
                <w:rFonts w:hint="eastAsia" w:ascii="仿宋" w:hAnsi="仿宋" w:eastAsia="仿宋" w:cs="仿宋"/>
                <w:color w:val="auto"/>
                <w:sz w:val="24"/>
                <w:szCs w:val="24"/>
                <w:lang w:val="en-US" w:eastAsia="zh-CN" w:bidi="ar"/>
              </w:rPr>
              <w:t>分钟后拿到数据；被拍的保安聚类后去重，基于人脸）指定区域、重点区域的人数统计。</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每日数据</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动态展示每日车流量、每日违法车流量数据统计；动态展示各圈层今日人脸抓拍数据TOP3</w:t>
            </w:r>
            <w:r>
              <w:rPr>
                <w:rStyle w:val="51"/>
                <w:rFonts w:hint="eastAsia" w:ascii="仿宋" w:hAnsi="仿宋" w:eastAsia="仿宋" w:cs="仿宋"/>
                <w:color w:val="auto"/>
                <w:sz w:val="24"/>
                <w:szCs w:val="24"/>
                <w:lang w:val="en-US" w:eastAsia="zh-CN" w:bidi="ar"/>
              </w:rPr>
              <w:t>、黑名单报警统计数据。</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安保要素</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不同圈层标注安保要素：警力、岗位、装备、职责；检查站（东西大门各一个，收费口萧山一个），标注警卫任务的进场路线、出场路线、备用路线、应急疏散路线等，单独一个图层展示；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70</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安保防控-技战法防控圈</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预警等级定义</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支持自定义防控圈预警等级；</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技战法部署</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支持自定义技战法部署信息；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技战法展示</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支持技战法信息按防控圈展示；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技战法预警管理</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支持技战法告警按防控圈实时弹窗以及历史预警信息列表展示，支持告警数据按防控圈统计分析。</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防控圈调整</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支持手动调节防控圈，自定义划取范围或选取道路等。</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75</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安保防控-安保预案体系</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预案模板</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面向亚运安保，预置多套场景模板，</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预案编制</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支持设卡预案增、删、改设置；支持应急处置预案增、删、改设置；支持警卫预案增、删、改设置；支持紧急预案一大多小设置，整个紧急预案框可以进行拖动，并支持放大到全屏和恢复原状。</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预案操作</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点击左侧列表中的建好的预案，将预案在右侧屏幕中切出，支持通过拖动方式，将小屏幕中视频切换到大屏幕中，类似电视墙切换，双击单个视频图像，支持紧急预案框全屏显示。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78</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安保防控-安保勤务</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勤务调度</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实现各类勤务数据、人员排班定位管理，实现对亚运安保期间路面警力执行勤务的线路规划、任务管理、人员布点安排等功能。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数据对接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通过 SDK 对接或文件导入的方式，获取警力、警车的排班信息等数据，实现各类勤务数据、人员排班定位管理，实现对亚运安保期间路面警力执行勤务的线路规划、任务管理、人员布点安排等功能。</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警力上图</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提供警员上岗报备展示，车载及单兵图上定位、实时追踪、历史巡逻轨迹分析、动态回放展现，形成巡逻热力图，并实现勤务引导。支持图上警力查询，一键发起调度。</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81</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一体化指挥驾驶舱（模块及数据对接）</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大屏驾驶舱对接</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按照省厅亚运安保指挥平台标准和要求进行机场展示场景的开发，包括同比例、同风格的可视化设计、系统对接；</w:t>
            </w:r>
          </w:p>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根据机场公安指挥中心大屏比例要求进行机场公安局亚运安保驾驶舱设计，包括比例、数据可视化效果、UI交互；</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PC端驾驶舱</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针对普通工作站显示参数，设计亚运安保一张图作战协同操作控制台，包括比例、数据可视化效果、UI交互；</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驾驶舱元素</w:t>
            </w:r>
          </w:p>
        </w:tc>
        <w:tc>
          <w:tcPr>
            <w:tcW w:w="6468" w:type="dxa"/>
            <w:noWrap w:val="0"/>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通过多张大屏可视化设计开发，形成模组化，便于复用，宏观上展示机场安保总体态势，能方便快捷投放到指挥中心大屏上，便于领导直观了解。主要内容：航班信息，旅客信息、前端感知信息、车流量统计，报警及处置数据、警力警车信息、安保信息、运维数据（摄像机在线情况、视频质量情况、网络带情况等）等。</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智能搜索</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在驾驶舱首页展示智能搜索栏，支持关键字查询，对输入的关键字进行语义分析，在已获取的全量数据资源中进行搜索，其中包括姓名、身份证号、手机号、车牌号、航班号等信息的完整搜索、模糊搜索和多关键字组合搜索。支持上传图片进行搜索。</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支持热门搜索，展示用户经常搜索的内容，点击关键词可以快速进行关键词检索。点击搜索框展示历史搜索记录，可以跳转至历史记录页面。</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用户可以按照自己的喜好，自定义搜索首页，页面布局包括文本输入模式、上传文件模式以及自定义模式。</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智能搜索功能可以设置查询权限和群组，由管理员分配、修改、限制、删除用户搜索权限，用户默认普通搜索权限，因工作需要可以向管理员申请提升权限请求，并设置层级审批权限。</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3" w:hRule="atLeast"/>
        </w:trPr>
        <w:tc>
          <w:tcPr>
            <w:tcW w:w="9286"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二、</w:t>
            </w:r>
            <w:r>
              <w:rPr>
                <w:rFonts w:hint="eastAsia" w:ascii="仿宋" w:hAnsi="仿宋" w:eastAsia="仿宋" w:cs="仿宋"/>
                <w:b/>
                <w:bCs/>
                <w:color w:val="auto"/>
                <w:kern w:val="0"/>
                <w:sz w:val="24"/>
                <w:szCs w:val="24"/>
                <w:highlight w:val="none"/>
                <w:lang w:eastAsia="zh-CN"/>
              </w:rPr>
              <w:t>数据**能力支撑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公安勤务模块</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勤务数据接入：支持接入警车类数据资源，实现警车类数据的实时或离线同步对接；支持接入4G执法记录仪数据资源，实现4G执法记录仪数据的实时或离线同步对接；</w:t>
            </w:r>
          </w:p>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支持接入检查站数据资源，包括检查站基础信息、检查站设备信息、检查站过车信息等，实现检查站数据的实时或离线同步对接。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勤务数据治理</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勤务数据治理：对接入的各类勤务数据进行分类处理，包括数据清洗、数据转换、数据校验等数据处理方式。</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勤务数据组件</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数据组件：对数据应用颗粒度进行合理规划，向业务应用系统开发提供细粒度、高复用的勤务数据组件，支撑业务系统的敏捷灵活的业务系统开发。通过公安勤务组件构建服务，支撑亚运安保指挥调度、勤务管理等业务需要。</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勤务专题构建</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勤务专题构建：从支撑亚运安保指挥调度、勤务管理等业务需要出发，整合公安警车、4G执法记录仪、检查站等勤务数据，构建亚运安保勤务专题。</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机场业务模块</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航空数据接入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机场业务数据接入：支持接入杭州萧山国际机场的航班信息，实现航班信息的实时或离线同步对接。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机场业务数据接入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支持接入杭州萧山国际机场的航班订票、值机、安检、进出港等航班出行信息，实现航班出行信息的实时或离线同步对接。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大巴数据接入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支持接入杭州萧山国际机场的机场客运大巴购票数据，包括大巴基础信息和大巴购票信息，实现客运大巴类数据的实时或离线同步对接。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企业数据接入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支持接入杭州萧山国际机场内企业信息数据，实现企业信息的实时或离线同步对接。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场所数据接入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支持接入杭州萧山国际机场场所码数据，包括场所码基础信息、人员登记信息及人员扫码信息，实现场所码数据的实时或离线同步对接。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货邮数据接入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支持接入杭州萧山国际机场货邮数据，包括寄递企业信息及收寄件信息，实现机场快递数据的实时或离线同步对接。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住宿数据接入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支持分别对接悉点和金城两家机场旅馆系统的住宿数据，包括机场旅馆信息和在退宿信息，实现机场住宿信息的实时或离线同步。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机场业务数据治理</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业务数据清洗：对接入的机场业务、企业、航空、大巴、场所等机场业务数据中不符合标准规范或者无效的数据进行过滤操作。在进行数据整合之前先定义数据的清洗规则，并对符合清洗规则的数据设置数据的错误级别。当进行数据整合过程中遇到符合清洗规则的数据时，系统将把这些业务数据置为问题数据，并根据错误的严重程度进行归类</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业务数据转换：对接入的机场业务、企业、航空、大巴、场所等机场业务数据进行数据转换，包括类型转换、字段选择、列拆分、列合并、字符串剪切、码表转换、文件解析、时间转换、字符替换、大小写转换等。</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业务数据校验:对接入的机场业务、企业、航空、大巴、场所等机场业务数据进行数据校验，包括身份证校验、非空校验、正则校验、长度校验、数值校验、时间检验、码表校验等。</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航班检索</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航班检索微服务：对已接入治理的航班信息、订票、值机、安检、进出港等信息，构建以航班或人员航班出行不同维度的航班检索微服务，便于快速定位航班或人员航班出行轨迹信息，满足亚运安保中对航班或人员航班出行全景视图的查询访问需求。</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客运检索</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客运检索微服务：对已接入治理的大巴信息和大巴购票信息，构建以大巴或人员购票不同维度的客运检索微服务，便于快速定位大巴信息或人员客运出行轨迹信息，满足亚运安保中对大巴或人员客运出行全景视图的查询访问需求。</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住宿检索</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住宿检索微服务：对已接入治理的机场旅馆信息和旅馆在退宿，构建以旅馆或人员在退宿不同维度的住宿检索微服务，便于快速了解亚运安保期间的机场住宿情况。</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订票建模预警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订票建模预警：基于订票数据，以非现场数据维度进行人车核录对接建模，对比中的对象按照多色预警规则进行划分，辅以身份证号、航班号、起飞时间、座位号、出发地、目的地、背景标签等内容进行检索和导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值机建模预警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值机建模预警：基于值机数据，以非现场数据维度进行人车核录对接建模，对比中的对象按照多色预警规则进行划分，辅以身份证号、航班号、起飞时间、座位号、出发地、目的地、背景标签等内容进行检索和导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安检建模预警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检建模预警：基于安检数据，以现场数据维度进行人车核录对接建模，对比中的对象按照多色预警规则进行划分，辅以身份证号、航班号、起飞时间、座位号、出发地、目的地、背景标签等内容进行检索和导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19</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进港建模预警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进港建模预警：基于进港数据，以现场数据维度进行人车核录对接建模，对比中的对象按照多色预警规则进行划分，辅以身份证号、航班号、起飞时间、座位号、出发地、目的地、背景标签等内容进行检索和导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大巴购票建模预警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巴购票建模预警：基于大巴购票数据，以非现场数据维度进行人车核录对接建模，对比中的对象按照多色预警规则进行划分，辅以身份证号、车牌号、发车时间、座位号、出发地、目的地、背景标签等内容进行检索和导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机场住宿建模预警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机场住宿建模预警：基于机场住宿数据，以现场数据维度进行人车核录对接建模，对比中的对象按照多色预警规则进行划分，辅以身份证号、旅馆名称、入住时间、房间号、背景标签等内容进行检索和导出。</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机场人员模块</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从业人员数据接入</w:t>
            </w:r>
          </w:p>
        </w:tc>
        <w:tc>
          <w:tcPr>
            <w:tcW w:w="6468" w:type="dxa"/>
            <w:noWrap w:val="0"/>
            <w:vAlign w:val="center"/>
          </w:tcPr>
          <w:p>
            <w:pPr>
              <w:keepNext w:val="0"/>
              <w:keepLines w:val="0"/>
              <w:widowControl/>
              <w:suppressLineNumbers w:val="0"/>
              <w:spacing w:after="220" w:afterAutospacing="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人员数据接入：支持接入杭州萧山国际机场从业人员数据，实现从业人员数据的实时或离线同步对接。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rPr>
                <w:rFonts w:hint="eastAsia" w:ascii="仿宋" w:hAnsi="仿宋" w:eastAsia="仿宋" w:cs="仿宋"/>
                <w:i w:val="0"/>
                <w:color w:val="FF0000"/>
                <w:kern w:val="0"/>
                <w:sz w:val="24"/>
                <w:szCs w:val="24"/>
                <w:u w:val="none"/>
                <w:lang w:val="en-US" w:eastAsia="zh-CN" w:bidi="ar"/>
              </w:rPr>
            </w:pP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重点人员数据接入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机场重点人员数据：支持接入机场关注重点人员数据，包含全国在逃人员、七类重点人员、涉恐人员、涉毒人员、涉稳人员等，实时机场重点人员数据的实时或离线同步对接。</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23</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从业人员数据治理</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人员数据治理：对接入的各类机场人员数据进行处理，包括数据清洗、数据转换、数据校验等数据处理方式。</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从业人员背景调查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数据组件：从业人员检索微服务：基于从业人员信息，面向业务系统开发提供人员档案检索微服务，可以快速定位从业人员，掌握人员的基本信息、标签信息、登记信息、轨迹信息、涉案信息等内容。满足业务开发中对从业人员全景视图的查询访问需求，支撑亚运安保情报分析、维稳防控等业务需要。</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定时背景审查微服务：基于机场重点人员库，提供通过设置定时任务，对需背景审查人员进行定时背景审查，并可查看人员背景审查结果，包括资源名称、匹配数/行数、开始时间、结束时间等内容，点击可查看人员具体背景审查详情。</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文件背景审查微服务：基于机场重点人员库，系统支持文件上传背景审查模式，通过系统上传需要背景审查的人员名单，并进行表字段和流字段的一一映射后，实现人员文件背景审查，并通过可视化页面查看人员背景审查结果，并可对审查结果数据进行导出、复查。</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人员背景核查资源配置：系统支持用户挂接本地黑名单数据库，挂接完成后用户可在系统管理中对该类资源配置对应的核查策略，配置完成后，按核查策略可将本地黑名单数据库里人员作为背景审查重点人员库。</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25</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从业人员预警</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数据建模：调用人员背景审查微服务组件，实现从业人员背景信息的周期性定时审查，基于从业人员背景审查结果，对新增标签从业人员实现签收流转、核查反馈等勤务流转功能，实现对有背景信息从业人员的管控，支撑亚运安保情报分析、维稳防控等业务需要。</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26</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感知数据模块</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感知数据接入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感知数据接入：对接机场视频平台，获取机场视频点位信息，并支持对视频进行实时播放；获取机场人脸识别设备信息和人脸抓拍轨迹信息；获取机场车辆识别设备信息和车辆抓拍轨迹信息。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27</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感知数据应用</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感知数据组件：机场融合布控微服务：基于人员身份信息及前端感知数据，通过人员-物实体匹配，根据人员证件号自动获取姓名、照片、车牌等信息，搭建融合布控中心，实现重点目标对象的人脸、车辆、身份证等多维度同时布控，实现融合布控，并提供融合布控服务组件，支撑亚运安保图上指挥、情报分析、维稳防控等业务需要。   人员轨迹微服务：基于轨迹计算模型和大数据计算形成登记类轨迹，包含机场旅馆住宿、航班出行、机场大巴购票及其他实名登记活动轨迹，针对机场关注重点人员，融入机场融合布控轨迹信息进行拓展，并可通过人员身份证检索人员轨迹，满足业务系统中登记类及感知类轨迹分析需求。车辆轨迹微服务：基于机场卡口过车感知数据提供车辆的过车轨迹查询，车辆过车数据是结构化数据，可以通过号牌种类、车牌号和时间范围进行检索，满足业务系统中进出机场车辆轨迹分析需求。</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感知数据建模</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感知数据建模：融合轨迹建模预警：基于融合布控中心，实现机场关注重点人员旅馆住宿、航班出行、寄递物流、人脸抓拍、车辆抓拍等任一维度触网，即进行实时预警，并可查看该人员的融合轨迹信息。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29</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机场人员全息档案</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一人一档对接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JMZK一人一档服务对接：对接省厅JMZK一人一档服务，以单点登录形式调用打开对应人员JMZK身份档案信息。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机场人员专题档案</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机场人员专题档案：以机场人员管理角度出发，在省厅JMZK一人一档服务基础上，进一步扩展内容项，形成机场亚运安保专题档案模块。</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31</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人员全链路时空轨迹刻画</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人员全链路时空轨迹刻画：依托机场融合布控微服务、人员轨迹微服务、车辆轨迹微服务等微服务组件，实现人员全链路时空轨迹信息实时刻画，满足一线实战需求，尤其是在疫情防控中实现迅速回溯人员轨迹。</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32</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人员专题档案检索</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人员专题档案检索：依托人员检索微服务，快速实现人员专题档案的检索定位，一键查看人员全维度档案信息。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33</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关系聚类能力支撑</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多维关系拓展</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多维关系拓展：在省厅数据资源和关系成果的基础上，运用聚类算法对机场业务数据及感知数据进行处理，支持对人员社会关系网络进行散列分析，构建人员的同住、同航班、同酒店、同案等关系模型，实现通过人-人关系、群体关系等对人员的亲属关系和社会关系等多维度的人员关系挖掘，进一步扩展关系结果。</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34</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图谱可视化</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图谱可视化：支持提供列表和图形化多方式展示及关系人无限拓展分析，支持图谱自定义编辑、关系图谱快照、时间过滤、实体高亮、实体查找、清理节点、属性导航等关系图谱可视化操作功能，支持关系无线拓展，打通全息档案及人员轨迹，从而丰富关系研判能力，为疫情防控、团伙分析提供支持。</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35</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全域感知能力支撑</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JMZK全域感知能力对接</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JMZK全域感知能力对接：对接省厅JMZK全域感知能力服务，以单点登录形式调用打开对应人员全域感知信息。</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机场全域感知能力拓展</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机场全域感知能力拓展：在对接省厅JMZK全域感知基础上，依托机场融合布控微服务，进一步丰富扩展机场相关数据形成全域感知能力，掌握机场人员车辆流入流出动向，机场从业人员多维态势及实有信息，为机场安保及疫情防控提供数据支持。</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37</w:t>
            </w:r>
          </w:p>
        </w:tc>
        <w:tc>
          <w:tcPr>
            <w:tcW w:w="696"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auto"/>
                <w:kern w:val="0"/>
                <w:sz w:val="24"/>
                <w:szCs w:val="24"/>
                <w:u w:val="none"/>
                <w:lang w:val="en-US" w:eastAsia="zh-CN" w:bidi="ar"/>
              </w:rPr>
              <w:t>标签分析能力支撑</w:t>
            </w: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标签分类体系</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分类体系：按照“基于数据，围绕数据，分析数据”的建设思路，结合机场公安亚运安保业务及工作重点梳理业务需求，以机场公安关注的人员身份特征、涉案背景、异常行为、与重点人员的关联关系、可疑轨迹为需求指引，充分利用大数据分析技术，构建机场亚运安保数据标签分类体系。标签分类主要包含身份标签、背景标签、行为标签、关系标签等。</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背景标签设计:基于机场公安关注的重点人员数据资源信息进行背景标签设计，通过数据提取和融合全面刻画人员的涉案涉事背景信息，人员背景标签如制**人员、本地打防控人员、全国在逃、刑犯前科、七类-涉毒等。</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行为标签设计:基于人员的各类登记数据及轨迹数据对人员的异常行为进行标签化设计，通过数据提取和融合刻画人员可能存在的违法犯罪行为特征，行为标签如经常航班出行、经常机场进出、多次值机未安检、多次安检未离港等异常模型。</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关系标签设计:基于人员与各类重点人员、涉案事件人员之间的关系，通过数据的融合设计人员的关系标签，刻画人员的可疑关系特征，人员关系标签如与重点人员多次同航班、与重点人员多次同进出机场、与重点人员多次同抓拍等模型。</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38</w:t>
            </w:r>
          </w:p>
        </w:tc>
        <w:tc>
          <w:tcPr>
            <w:tcW w:w="696" w:type="dxa"/>
            <w:vMerge w:val="continue"/>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标签动态管理</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动态管理：在根据基本属性标签的基础上，依据机场各类模型分析产生的结果数据，对人员、车辆分析结果及专题研判结果进行自动打标，探索构建包括人的身份背景、异常行为、同行关系、可疑轨迹等动态标签，并支持对标签数据的管理与运用。</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数据标签化：通过制定容器、规则、条件将业务对象信息转化为标签数据，包括结构化标签和半结构化标签。</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标签数据管理：对海量标签数据的管理，还包括去重、合并、转义等标签数据操作。</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标签共享和交换：公安业务数据标签实现跨地区、跨部门、跨警种的共享共用和交换，可以来充实已掌握的标签数据，完备标签体系。</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7" w:type="dxa"/>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39</w:t>
            </w:r>
          </w:p>
        </w:tc>
        <w:tc>
          <w:tcPr>
            <w:tcW w:w="696" w:type="dxa"/>
            <w:noWrap w:val="0"/>
            <w:vAlign w:val="center"/>
          </w:tcPr>
          <w:p>
            <w:pPr>
              <w:jc w:val="center"/>
              <w:rPr>
                <w:rFonts w:hint="eastAsia" w:ascii="仿宋" w:hAnsi="仿宋" w:eastAsia="仿宋" w:cs="仿宋"/>
                <w:sz w:val="24"/>
                <w:szCs w:val="24"/>
                <w:vertAlign w:val="baseline"/>
              </w:rPr>
            </w:pPr>
          </w:p>
        </w:tc>
        <w:tc>
          <w:tcPr>
            <w:tcW w:w="853"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标签组件服务</w:t>
            </w:r>
          </w:p>
        </w:tc>
        <w:tc>
          <w:tcPr>
            <w:tcW w:w="6468"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标签组件服务：公安业务数据标签实现跨地区、跨部门、跨警种的共享、共用和交换，构建机场标签组件微服务，可用来充实已掌握的标签数据，完备标签体系，为机场安保及疫情防控提供数据标签支撑。</w:t>
            </w:r>
          </w:p>
        </w:tc>
        <w:tc>
          <w:tcPr>
            <w:tcW w:w="812"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3.18</w:t>
            </w:r>
          </w:p>
        </w:tc>
      </w:tr>
    </w:tbl>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五、其他费用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系统集成费用</w:t>
      </w:r>
    </w:p>
    <w:p>
      <w:pPr>
        <w:spacing w:line="360" w:lineRule="auto"/>
        <w:jc w:val="left"/>
        <w:rPr>
          <w:rFonts w:hint="eastAsia" w:ascii="宋体" w:hAnsi="宋体" w:cs="宋体"/>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建设工期</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2022年11-12月：</w:t>
      </w:r>
      <w:r>
        <w:rPr>
          <w:rFonts w:hint="eastAsia" w:ascii="仿宋" w:hAnsi="仿宋" w:eastAsia="仿宋" w:cs="仿宋"/>
          <w:sz w:val="24"/>
          <w:szCs w:val="24"/>
          <w:lang w:val="en-US" w:eastAsia="zh-CN"/>
        </w:rPr>
        <w:t>组织招投标，签订合同；</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2022年12月-2023年4月：进行设备采购，外场设备的安装与调试，中心设备安装施工，成品软件部署，定制软件开发，系统联调。</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2023年5月：项目初验。</w:t>
      </w:r>
    </w:p>
    <w:p>
      <w:pPr>
        <w:pStyle w:val="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2023年5-8月：系统进入试运行，优化完善，保障亚运安保实战。</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2023年9月：第三方测试，等保测评，项目终验。</w:t>
      </w:r>
    </w:p>
    <w:p>
      <w:pPr>
        <w:spacing w:line="360" w:lineRule="auto"/>
        <w:jc w:val="left"/>
        <w:rPr>
          <w:rFonts w:hint="eastAsia" w:ascii="仿宋" w:hAnsi="仿宋" w:eastAsia="仿宋" w:cs="仿宋"/>
          <w:b/>
          <w:bCs/>
          <w:sz w:val="28"/>
          <w:szCs w:val="28"/>
          <w:highlight w:val="yellow"/>
        </w:rPr>
      </w:pP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w:t>
      </w:r>
      <w:r>
        <w:rPr>
          <w:rFonts w:hint="eastAsia" w:ascii="宋体" w:hAnsi="宋体" w:cs="宋体"/>
          <w:b/>
          <w:bCs/>
          <w:sz w:val="28"/>
          <w:szCs w:val="28"/>
          <w:lang w:val="en-US" w:eastAsia="zh-CN"/>
        </w:rPr>
        <w:t>支付条款</w:t>
      </w:r>
    </w:p>
    <w:p>
      <w:pPr>
        <w:pStyle w:val="2"/>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后7个工作日内（支付合同首付款之前）向采购人缴纳合同金额的1%作为履约保证金，终验合格且通过决算审计后7个工作日内退还保证金。履约保证金应当以支票、汇票、本票或者金融机构、担保机构出具的保函等非现金形式提交。</w:t>
      </w:r>
    </w:p>
    <w:p>
      <w:pPr>
        <w:pStyle w:val="2"/>
        <w:spacing w:line="360" w:lineRule="auto"/>
        <w:ind w:firstLine="480" w:firstLineChars="200"/>
        <w:rPr>
          <w:rFonts w:hint="eastAsia" w:ascii="仿宋" w:hAnsi="仿宋" w:eastAsia="仿宋" w:cs="仿宋"/>
          <w:b/>
          <w:bCs/>
          <w:sz w:val="28"/>
          <w:szCs w:val="28"/>
          <w:lang w:val="en-US" w:eastAsia="zh-CN"/>
        </w:rPr>
      </w:pPr>
      <w:r>
        <w:rPr>
          <w:rFonts w:hint="eastAsia" w:ascii="仿宋" w:hAnsi="仿宋" w:eastAsia="仿宋" w:cs="仿宋"/>
          <w:sz w:val="24"/>
          <w:szCs w:val="24"/>
          <w:lang w:val="en-US" w:eastAsia="zh-CN"/>
        </w:rPr>
        <w:t>合同签订后7个工作日内支付合同价款的30%，项目初验通过并出具初验报告后支付合同价款的40%，终验合格且通过决算审计后支付合同尾款；如中标供应商为中小企业的，原则上按4∶3∶3比例支付，即合同签订后7个工作日内支付合同价款的40%，项目初验通过并出具初验报告后支付合同价款的30%，终验合格且通过决算审计后支付合同尾款（实际支付比例以财政年度下达资金为准）</w:t>
      </w:r>
    </w:p>
    <w:p>
      <w:pPr>
        <w:spacing w:line="360" w:lineRule="auto"/>
        <w:jc w:val="lef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lang w:val="en-US" w:eastAsia="zh-CN"/>
        </w:rPr>
        <w:t>验收标准及方法</w:t>
      </w:r>
    </w:p>
    <w:p>
      <w:pPr>
        <w:pStyle w:val="2"/>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标准：采购的硬件和商品软件的功能和性能符合采购需求设备清单要求，部署后能正常运行；提供一图展示功能，包括三维地图展示和切换、图上空间数据应用、图上指挥和安保防控数据上图；提供视频基础应用功能，包括图像资源调用、图像检索、预警布控；通过视频技术与智能采集、智能分析及大数据分析技术的融合，实现包括车辆、人脸采集的大数据分析、查询、布控、比对等应用；提供视频运维管理，实时监测视频监控系统的运行状态，实现视频资源全面监控与集中统一管理；平台并发数大于100；室外定位精度小于等于5m。</w:t>
      </w:r>
    </w:p>
    <w:p>
      <w:pPr>
        <w:pStyle w:val="2"/>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验收方法：项目建设完成后组织专家组初验，初验完成后试运行3个月后组织专家组终验。</w:t>
      </w:r>
    </w:p>
    <w:p>
      <w:pPr>
        <w:spacing w:line="360" w:lineRule="auto"/>
        <w:jc w:val="lef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lang w:val="en-US" w:eastAsia="zh-CN"/>
        </w:rPr>
        <w:t>知识产权归属</w:t>
      </w:r>
    </w:p>
    <w:p>
      <w:pPr>
        <w:spacing w:line="360" w:lineRule="auto"/>
        <w:ind w:firstLine="480" w:firstLineChars="200"/>
        <w:rPr>
          <w:rFonts w:ascii="仿宋" w:hAnsi="仿宋" w:eastAsia="仿宋" w:cs="仿宋"/>
          <w:sz w:val="24"/>
          <w:szCs w:val="24"/>
        </w:rPr>
      </w:pPr>
      <w:r>
        <w:rPr>
          <w:rFonts w:hint="eastAsia" w:ascii="仿宋" w:hAnsi="仿宋" w:eastAsia="仿宋" w:cs="仿宋"/>
          <w:kern w:val="2"/>
          <w:sz w:val="24"/>
          <w:szCs w:val="24"/>
          <w:lang w:val="en-US" w:eastAsia="zh-CN" w:bidi="ar-SA"/>
        </w:rPr>
        <w:t>定制开发软件源代码及知识产权归属采购方所有；涉及的源代码必须遵循标准和规范，并无条件提交给采购方；接口必须遵循标准和规范，向下部署的、在公安网上运行的非涉密信息系统必须无条件开放所有接口，项目承建单位有义务配合采购方做好有关信息共享工作。</w:t>
      </w:r>
    </w:p>
    <w:p>
      <w:pPr>
        <w:spacing w:line="360" w:lineRule="auto"/>
        <w:ind w:left="18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十、安全要求</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1、安全等级设定、安全策略、安全解决方案</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1.1网络安全等级设置</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根据《网络安全法》要求，机场公安局初步拟定网络安全保护等级为二级（最终保护等级由专家确定），在项目建设时按照安全保护等级二级对网络信息安全进行同步规划、同步设计、同步实施。在项目验收时，需提供等级保护测评报告评估及整改落实报告，否则不予验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1.2内外网数据安全隔离系统</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使用内外网数据安全交换平台，实现内外网逻辑隔离，从网络层面确保系统数据的全方位安全可靠。</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1.3安全策略</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1.3.1客户端与服务的安全策略</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1）请求次数限制：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固定时间内对于某个客户端对于服务的调用具有次数限制，超出设定范围的将作为重点监控目标存在。</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2）传输加密：</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每次访问请求的数据均为加密数据，需根据固化约定的格式、解密方式、密钥进行读取。</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1.3.2网络安全策略</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了保障网络系统的运行安全，保护平台的信息安全，必须进行网络安全方面的规划和实施。一个网络的安全，首先要有严格和有效执行的管理制度。制定严格的网络安全管理策略，并有效的执行。其次，必须具有一定的技术手段来保障网络的安全。技术和管理手段相结合实施，才能够产生良好的效果。</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1）通过以下几个技术方面的实施，可以在一定程度上保障网络的安全：</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 xml:space="preserve"> 提高设备的物理安全性</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 xml:space="preserve"> 配置设备的口令</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 xml:space="preserve"> 进行VTP域的认证</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 xml:space="preserve"> 用户的接入控制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 xml:space="preserve"> 应用系统的访问控制</w:t>
      </w:r>
      <w:r>
        <w:rPr>
          <w:rFonts w:hint="eastAsia" w:ascii="仿宋" w:hAnsi="仿宋" w:eastAsia="仿宋" w:cs="仿宋"/>
          <w:kern w:val="2"/>
          <w:sz w:val="24"/>
          <w:szCs w:val="24"/>
          <w:lang w:val="en-US" w:eastAsia="zh-CN" w:bidi="ar-SA"/>
        </w:rPr>
        <w:tab/>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 xml:space="preserve"> 因特网的接入安全控制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a)提高设备的物理安全性</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设备的物理安全性是指运行中的设备，未经授权的人员不能直接接触到。提高设备的物理安全性，是最基本的要求。通过将设备安置在独立的设备间中，确保只有授权的管理和维护人员才能接触到物理设备。</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b)配置设备的口令</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配置设备的口令，是防止非授权的人员更改网络系统的配置的重要手段。</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要为所有的设备设置口令。要为每一台设备配置CONSOLE口令，AUX口令，VTY口令，特权口令等。</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在口令方面，需要制定管理制度并严格执行。口令管理制度包括口令的设置，保管，更改，口令的强度等内容。</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c)进行VTP域的认证</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进行VTP域的认证，能够保证局域网的VLAN等的安全。</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设置了口令之后，除非交换机设置了正确的口令，否则新交换机不能自动加入到已存在的管理域中，保证了局域网的运行安全，可以避免因为VLAN被错误或者恶意的增加、删除造成的运行事故。</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d)用户的接入控制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严格控制用户的接入，可以避免非法用户接入带来的潜在的安全隐患。系统建设验收完毕之后，确保交换机的所有用户端口处于关闭状态，只有用户使用申请通过批准之后网络管理员才能将端口激活。</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e)应用系统的访问限制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可以根据应用需求，在汇聚层的多层交换机上实施访问控制，限制用户对特定应用系统的访问，或者只允许特定的用户访问某些资源。</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f)因特网的接入安全控制</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因特网的接入安全控制是非常重要的，不仅需要布置防火墙等安全设备，还要指定严格的安全策略。</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2)制度安全性</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a）系统人员必须采取有效的方法和技术，防止信息系统数据的丢失、破坏和失密；硬件破坏、失效等灾难性故障。</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b）对系统用户的访问模块、访问权限由使用单位负责人提出，经核准后，由系统人员给予配置并存档，以后变更必须报批后才能更改，系统做好变更日志存档。</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系统管理人员应熟悉并严格监督数据库使用权限、用户密码使用情况，定期更换用户口令或密码。网络管理员、系统管理员、操作员调离岗位后一小时内由班组长监督检查更换新的密码；厂方调试人员调试维护完成后一小时内，由系统管理员关闭或修改其所用公众号和密码。</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d）系统人员主动对网络系统实行监控、查询，及时对故障进行有效隔离、排除和恢复工作，以防灾难性网络风暴发生。</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e）网络系统所有设备的配置、安装、调试必须由系统人员负责，其他人员不得随意拆卸和移动。</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f）上网操作人员必须严格遵守计算机及其他相关设备的操作规程，禁止其他人员进行与系统操作无关的工作。</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g）严禁自行安装软件，特别是游戏软件，禁止在工作用电脑上打游戏。</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h）所有进入网络的软盘、光盘、U盘等其他存贮介质，必须经过系统负责人同意并查毒，未经查毒的存贮介质绝对禁止上网使用，对造成“病毒”蔓延的有关人员，将对照《计算机信息系统处罚条例》进行相应的经济和行政处罚。</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i）在还没有有效解决网络安全（未安装防火墙、高端杀毒软件、入侵检测系统和堡垒主机）的情况下，内外网独立运行，所有终端内外网不能混接，严禁外网用户通过U盘等存贮介质拷贝文件到内网终端。</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g）内网用户所有文件传递，一律通过网上办公系统和FTP服务器专门的上载、下载区进行，不得利用软盘、光盘和U盘等存贮介质进行拷贝。</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k）保持计算机硬件网络设备清洁卫生，做好防尘、防水、防静电、防磁、防辐射、防鼠等安全工作。</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2、登陆方式：公安网上的应用信息系统采用单一PKI证书方式；互联网或政务外网的应用信息系统采用用户名+密码+验证码+邮箱（或短信）认证方式。</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3、行为审计：对所有用户具有登陆、增加、删除、修改、查询、比对等操作的行为审计功能。</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4、程序开发：消除各类SQL注入、跨站脚本等主要应用安全漏洞；</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5、数据库设计时不采用存放用户密码。</w:t>
      </w:r>
    </w:p>
    <w:p>
      <w:pPr>
        <w:spacing w:line="36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十一、</w:t>
      </w:r>
      <w:r>
        <w:rPr>
          <w:rFonts w:hint="eastAsia" w:ascii="仿宋" w:hAnsi="仿宋" w:eastAsia="仿宋" w:cs="仿宋"/>
          <w:b/>
          <w:bCs/>
          <w:sz w:val="28"/>
          <w:szCs w:val="28"/>
          <w:highlight w:val="none"/>
          <w:lang w:val="en-US" w:eastAsia="zh-CN"/>
        </w:rPr>
        <w:t>培训要求</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需要提供及时、有效、全面的培训，并在项目实施过程中充分重视对采购方的技术转移，并提前制订有效的培训计划。</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提供10人*5天技术培训，要求编制详细的免费培训计划，并对用户进行全面的培训，提供相应的教材和讲解说明，使用户能够独立进行日常管理和维护，同时积极配合用户做好培训教材的准备工作。</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培训目标：在项目实施完成后，实现用户可以熟练使用系统，平台管理员可以进行系统的管理与维护，承担起系统整体管理控制的责任，管理人员可以从系统中找到提升管理价值的功能。</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培训对象：由采购方根据系统使用情况进行指定。</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培训方式：在项目前期，采用集中培训和外训方式进行培训使保证阶段目标的完成；随着项目进展，项目任务并行交叉的逐渐增多，采用分对象的局部集中和客户现场培训方式相结合的培训方式；在项目收尾阶段，系统上线后，采用集中培训和外训方式主要针对运维、技术和管理进行针对性的强化培训。</w:t>
      </w:r>
    </w:p>
    <w:p>
      <w:pPr>
        <w:spacing w:line="36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十二、维保要求</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要求提供硬件设备及商品化软件免费维护时间3年（其中小型机、存储、服务器为5年），定制开发软件的部署、调整应提供5年以上免费维护，保修期从项目验收合格之日起开始计算。由于软件开发缺陷造成的升级改造应终身免费。</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要求对项目提供7x24小时技术支持响应服务，在故障发生的8小时内解决问题，8小时内不能解决的提供备品备件。</w:t>
      </w:r>
    </w:p>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b/>
          <w:bCs/>
          <w:sz w:val="28"/>
          <w:szCs w:val="28"/>
          <w:highlight w:val="none"/>
          <w:lang w:val="en-US" w:eastAsia="zh-CN"/>
        </w:rPr>
        <w:t>十三、落实安全可靠情况</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1、自主可控。从系统设计、研发、测试、部署到上线运行，在自主安全系统建设的全生命周期里均采用国内自主知识产权的技术及软硬件平台。解决方案所涉及软硬件产品相关技术均为国内厂商所有。</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2、安全可信。结合建设单位信息化建设实际情况，打造全方位安全、可信的系统；所有业务应用系统均通过专业检测与测评机构测评。</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3、跨平台。对信创目录下的芯片、整机、操作系统、数据库、中间件、浏览器等自主安全基础软硬件平台至少支持一种。</w:t>
      </w: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十</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、演示方案</w:t>
      </w:r>
    </w:p>
    <w:p>
      <w:pPr>
        <w:pStyle w:val="14"/>
        <w:spacing w:line="360" w:lineRule="auto"/>
        <w:ind w:firstLine="480" w:firstLineChars="200"/>
        <w:rPr>
          <w:rFonts w:ascii="仿宋" w:hAnsi="仿宋" w:eastAsia="仿宋" w:cs="仿宋"/>
          <w:color w:val="auto"/>
          <w:sz w:val="24"/>
        </w:rPr>
      </w:pPr>
      <w:r>
        <w:rPr>
          <w:rFonts w:hint="eastAsia" w:ascii="仿宋_GB2312" w:hAnsi="宋体" w:eastAsia="仿宋_GB2312" w:cs="宋体"/>
          <w:color w:val="auto"/>
          <w:sz w:val="24"/>
        </w:rPr>
        <w:t>投标人需将演示的内容以U盘形式存储并密封包装（包装上标注演示U盘、项目名称、投标人名称并加盖公章），可以EMS或顺丰邮寄形式在响应文件提交截止时间前递交。</w:t>
      </w:r>
      <w:r>
        <w:rPr>
          <w:rFonts w:hint="eastAsia" w:ascii="仿宋" w:hAnsi="仿宋" w:eastAsia="仿宋" w:cs="仿宋"/>
          <w:color w:val="auto"/>
          <w:sz w:val="24"/>
        </w:rPr>
        <w:t>演示内容如下：</w:t>
      </w:r>
    </w:p>
    <w:tbl>
      <w:tblPr>
        <w:tblStyle w:val="34"/>
        <w:tblW w:w="0" w:type="auto"/>
        <w:tblInd w:w="113" w:type="dxa"/>
        <w:tblLayout w:type="fixed"/>
        <w:tblCellMar>
          <w:top w:w="0" w:type="dxa"/>
          <w:left w:w="108" w:type="dxa"/>
          <w:bottom w:w="0" w:type="dxa"/>
          <w:right w:w="108" w:type="dxa"/>
        </w:tblCellMar>
      </w:tblPr>
      <w:tblGrid>
        <w:gridCol w:w="9056"/>
      </w:tblGrid>
      <w:tr>
        <w:tblPrEx>
          <w:tblCellMar>
            <w:top w:w="0" w:type="dxa"/>
            <w:left w:w="108" w:type="dxa"/>
            <w:bottom w:w="0" w:type="dxa"/>
            <w:right w:w="108" w:type="dxa"/>
          </w:tblCellMar>
        </w:tblPrEx>
        <w:trPr>
          <w:trHeight w:val="1995" w:hRule="atLeast"/>
        </w:trPr>
        <w:tc>
          <w:tcPr>
            <w:tcW w:w="9056"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一、一体化指挥驾驶舱（模块及数据对接）-驾驶舱元素设计及系统对接</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按照省厅或杭州市公安局亚运安保指挥平台标准和要求进行机场展示场景的开发，实现指挥调度呼叫、场景切换功能，包括同比例、同风格的可视化设计、系统对接。</w:t>
            </w:r>
          </w:p>
          <w:p>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宏观上展示机场安保总体态势，能方便快捷投放到指挥中心大屏上，主要展示内容包括：航班信息，旅客信息、前端感知信息、车流量统计，报警及处置数据、警力警车信息、安保信息、运维数据（摄像机在线情况、视频质量情况、网络带情况等）等。</w:t>
            </w:r>
          </w:p>
        </w:tc>
      </w:tr>
      <w:tr>
        <w:tblPrEx>
          <w:tblCellMar>
            <w:top w:w="0" w:type="dxa"/>
            <w:left w:w="108" w:type="dxa"/>
            <w:bottom w:w="0" w:type="dxa"/>
            <w:right w:w="108" w:type="dxa"/>
          </w:tblCellMar>
        </w:tblPrEx>
        <w:trPr>
          <w:trHeight w:val="3705"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二、一体化指挥驾驶舱（模块及数据对接）-智能搜索</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人脸查询：支持人脸查询、以脸搜脸、人员身份查询、人脸1V1功能。</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车辆查询：支持车辆查询、以车搜车功能。</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人体查询：支持人体查询、以人搜人功能。</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人证查询：支持根据时段、采集范围、证件号、姓名、拓展条件（人证匹配情况、性别、民族、出生日期）等多条件对采集的证件信息进行查询。</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视频搜索：支持图搜视频及特征搜视频。</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步态查询：支持人体动态特征查询、人体动态特征查身份、人体动态特征1V1及人体动态特征搜索功能。</w:t>
            </w:r>
          </w:p>
        </w:tc>
      </w:tr>
      <w:tr>
        <w:tblPrEx>
          <w:tblCellMar>
            <w:top w:w="0" w:type="dxa"/>
            <w:left w:w="108" w:type="dxa"/>
            <w:bottom w:w="0" w:type="dxa"/>
            <w:right w:w="108" w:type="dxa"/>
          </w:tblCellMar>
        </w:tblPrEx>
        <w:trPr>
          <w:trHeight w:val="1140"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三、空间数据应用-警卫路线-预案推演</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①支持安保警卫路线预案推演，按制定的预案在GIS地图上按时间展示。</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②根据预案演示情况，能够对预案的部分参数在推演界面进行调整，并重新演示。</w:t>
            </w:r>
          </w:p>
        </w:tc>
      </w:tr>
      <w:tr>
        <w:tblPrEx>
          <w:tblCellMar>
            <w:top w:w="0" w:type="dxa"/>
            <w:left w:w="108" w:type="dxa"/>
            <w:bottom w:w="0" w:type="dxa"/>
            <w:right w:w="108" w:type="dxa"/>
          </w:tblCellMar>
        </w:tblPrEx>
        <w:trPr>
          <w:trHeight w:val="2565"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四、实景指挥-图上要素管理</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①展示标签工具栏：在工具栏依据视频空间大数据信息显示当前视频范围内的所有标签。</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②标签属性筛选：依据标签分类属性进行分类，列出各分类属性内的所有标签。</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③图层标签选择：可根据标签分类属性选择每类图层中的部分或全部标签上图。</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④标签视频位置调整：已上图的标签，可在视频画面中对位置进行微调，并在数据库进行记录。</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⑤标签变倍管理：摄像机根据变倍大小计算屏幕内经纬度范围，显示经纬度范围内可见的标签以达到分层显示效果，同时支持业务标签数据联网及业务标签关联的人脸、车辆数据联网。</w:t>
            </w:r>
          </w:p>
        </w:tc>
      </w:tr>
      <w:tr>
        <w:tblPrEx>
          <w:tblCellMar>
            <w:top w:w="0" w:type="dxa"/>
            <w:left w:w="108" w:type="dxa"/>
            <w:bottom w:w="0" w:type="dxa"/>
            <w:right w:w="108" w:type="dxa"/>
          </w:tblCellMar>
        </w:tblPrEx>
        <w:trPr>
          <w:trHeight w:val="370"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五、机场三维建模-数字路口展示</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①展示数字路口空间分布：地图模式总览所有数字路口分布，在地图上高亮显示数字路口。按照路口小时流量或今日累计事件数进行排名,用户通过地图查看当前的数字路口空间分布；</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②展示路口总览：查看路口数量统计、查看路口流量/报警排名；用户在也页面上查看路口总览数据。</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③展示路口报警列表：查看路口报警列表数据。</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④展示路口车流投射：支持在地图上绘制车流效果（包括车辆速度、方向以及运动轨迹）。</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⑤展示车流投射辅助操作：车流投射历史回放、事件、设备、车辆信息控制开关。</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⑥展示路口运行分析：用户可以查看路口具体转向、车道的统计信息。</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⑦展示路口详情分析：支持查看路口综合评价、交通运行评价、报警趋势分析等。</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⑧展示车辆轨迹跟踪：支持查看车辆轨迹，支持查看该车辆的车牌，车速，车辆颜色，车辆类型等信息。</w:t>
            </w:r>
          </w:p>
        </w:tc>
      </w:tr>
      <w:tr>
        <w:tblPrEx>
          <w:tblCellMar>
            <w:top w:w="0" w:type="dxa"/>
            <w:left w:w="108" w:type="dxa"/>
            <w:bottom w:w="0" w:type="dxa"/>
            <w:right w:w="108" w:type="dxa"/>
          </w:tblCellMar>
        </w:tblPrEx>
        <w:trPr>
          <w:trHeight w:val="90"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六、机场三维建模-数字路口历史报警分析</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①支持问题路口分析：按照不同的时间维度（昨日、近一周、近一月、近一年），展示问题路口数量和报警路口的占比情况；展示具体的路口报警时长列表，报警时长以分钟为单位显示。</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②支持历史报警列表查询：按照路口名称、日期和诊断指标类型查询，查询结果包括（报警时间、诊断指数、报警持续时长等）；支持查看报警详情。</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③支持报警时长统计：以饼状图形式展示各报警时长；支持展示各报警类型及其不同等级的报警时长数据。</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④支持报警时长趋势统计：以小时为单位展示报警时长的变化趋势，以折线图形式</w:t>
            </w:r>
            <w:r>
              <w:rPr>
                <w:rFonts w:hint="eastAsia" w:ascii="仿宋" w:hAnsi="仿宋" w:eastAsia="仿宋" w:cs="宋体"/>
                <w:color w:val="auto"/>
                <w:kern w:val="0"/>
                <w:sz w:val="24"/>
                <w:lang w:eastAsia="zh-CN"/>
              </w:rPr>
              <w:t>。</w:t>
            </w:r>
          </w:p>
        </w:tc>
      </w:tr>
      <w:tr>
        <w:tblPrEx>
          <w:tblCellMar>
            <w:top w:w="0" w:type="dxa"/>
            <w:left w:w="108" w:type="dxa"/>
            <w:bottom w:w="0" w:type="dxa"/>
            <w:right w:w="108" w:type="dxa"/>
          </w:tblCellMar>
        </w:tblPrEx>
        <w:trPr>
          <w:trHeight w:val="1995"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七、机场三维建模-数字路口关键路径溯源</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①路口诊断等级展示，对不同等级（正常、轻度、中度、重度、严重）以及对应的颜色（蓝色、绿色、黄色、橙色、红色）进行展示。</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②展示交通流量溯源：分析途经目标路口的驾驶员路径偏好选择。</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③按精准轨迹溯源：以目标路口为核心的路网转向级交通流量，追溯到达目标路口的交通需求贡献度较大的若干车流组合，并以可视化的方式展示在电子地图上。</w:t>
            </w:r>
          </w:p>
        </w:tc>
      </w:tr>
      <w:tr>
        <w:tblPrEx>
          <w:tblCellMar>
            <w:top w:w="0" w:type="dxa"/>
            <w:left w:w="108" w:type="dxa"/>
            <w:bottom w:w="0" w:type="dxa"/>
            <w:right w:w="108" w:type="dxa"/>
          </w:tblCellMar>
        </w:tblPrEx>
        <w:trPr>
          <w:trHeight w:val="3705" w:hRule="atLeast"/>
        </w:trPr>
        <w:tc>
          <w:tcPr>
            <w:tcW w:w="905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jc w:val="left"/>
              <w:rPr>
                <w:rFonts w:hint="eastAsia" w:ascii="仿宋" w:hAnsi="仿宋" w:eastAsia="仿宋" w:cs="宋体"/>
                <w:b/>
                <w:bCs/>
                <w:color w:val="auto"/>
                <w:kern w:val="0"/>
                <w:sz w:val="24"/>
                <w:lang w:eastAsia="zh-CN"/>
              </w:rPr>
            </w:pPr>
            <w:r>
              <w:rPr>
                <w:rFonts w:hint="eastAsia" w:ascii="仿宋" w:hAnsi="仿宋" w:eastAsia="仿宋" w:cs="宋体"/>
                <w:b/>
                <w:bCs/>
                <w:color w:val="auto"/>
                <w:kern w:val="0"/>
                <w:sz w:val="24"/>
              </w:rPr>
              <w:t>八、机场三维建模-数字路口仿真推演</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①单任务仿真推演：支持设置任务名称、仿真日期、起止时间、仿真路口；支持根据仿真时间确定人工计划；支持手动/自动生成路口计划。</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②单任务仿真推演过程：支持展示仿真基本信息，支持在地图上渲染车辆动画效果；支持在底部时间轴展示当前的仿真时间和任务缓存进度；支持生成仿真报告。</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③从绿波导入仿真：支持将绿波带作为仿真路口和方案导入，进行仿真操作。</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④双任务仿真推演：支持双任务对比仿真；支持自动筛选符合对比条件的历史任务。</w:t>
            </w:r>
          </w:p>
          <w:p>
            <w:pPr>
              <w:widowControl/>
              <w:spacing w:line="360" w:lineRule="auto"/>
              <w:jc w:val="left"/>
              <w:rPr>
                <w:rFonts w:hint="eastAsia" w:ascii="仿宋" w:hAnsi="仿宋" w:eastAsia="仿宋" w:cs="宋体"/>
                <w:color w:val="auto"/>
                <w:kern w:val="0"/>
                <w:sz w:val="24"/>
                <w:lang w:eastAsia="zh-CN"/>
              </w:rPr>
            </w:pPr>
            <w:r>
              <w:rPr>
                <w:rFonts w:hint="eastAsia" w:ascii="仿宋" w:hAnsi="仿宋" w:eastAsia="仿宋" w:cs="宋体"/>
                <w:color w:val="auto"/>
                <w:kern w:val="0"/>
                <w:sz w:val="24"/>
              </w:rPr>
              <w:t>⑤仿真方案下发：支持将当前仿真的方案下发到信号机。</w:t>
            </w:r>
          </w:p>
          <w:p>
            <w:pPr>
              <w:widowControl/>
              <w:spacing w:line="360" w:lineRule="auto"/>
              <w:jc w:val="left"/>
              <w:rPr>
                <w:rFonts w:hint="eastAsia" w:ascii="仿宋" w:hAnsi="仿宋" w:eastAsia="仿宋" w:cs="宋体"/>
                <w:color w:val="auto"/>
                <w:kern w:val="0"/>
                <w:sz w:val="24"/>
              </w:rPr>
            </w:pPr>
            <w:r>
              <w:rPr>
                <w:rFonts w:hint="eastAsia" w:ascii="仿宋" w:hAnsi="仿宋" w:eastAsia="仿宋" w:cs="宋体"/>
                <w:color w:val="auto"/>
                <w:kern w:val="0"/>
                <w:sz w:val="24"/>
              </w:rPr>
              <w:t>⑥双任务仿真推演过程：展示不同方案下的路口仿真效果，可拖动时间轴查看任意时刻的仿真情况；按照路网、路口、路段3个维度对比展示对比报告 ，支持通过图表展示数据对比；点击显示方案，可查看当前时刻的具体方案和对比，通过路口下拉框可选择不同路口的方案进行查看。</w:t>
            </w:r>
          </w:p>
        </w:tc>
      </w:tr>
    </w:tbl>
    <w:p>
      <w:pPr>
        <w:widowControl/>
        <w:ind w:firstLine="2160" w:firstLineChars="900"/>
        <w:rPr>
          <w:rFonts w:hint="eastAsia" w:ascii="仿宋" w:hAnsi="仿宋" w:eastAsia="仿宋" w:cs="仿宋"/>
          <w:color w:val="auto"/>
          <w:sz w:val="24"/>
        </w:rPr>
      </w:pPr>
    </w:p>
    <w:p>
      <w:pPr>
        <w:widowControl/>
        <w:ind w:firstLine="2160" w:firstLineChars="900"/>
        <w:rPr>
          <w:rFonts w:hint="eastAsia" w:ascii="仿宋" w:hAnsi="仿宋" w:eastAsia="仿宋" w:cs="仿宋"/>
          <w:color w:val="auto"/>
          <w:sz w:val="24"/>
        </w:rPr>
      </w:pPr>
    </w:p>
    <w:p>
      <w:pPr>
        <w:widowControl/>
        <w:ind w:firstLine="2160" w:firstLineChars="900"/>
        <w:rPr>
          <w:rFonts w:hint="eastAsia" w:ascii="仿宋" w:hAnsi="仿宋" w:eastAsia="仿宋" w:cs="仿宋"/>
          <w:sz w:val="24"/>
        </w:rPr>
      </w:pPr>
    </w:p>
    <w:p>
      <w:pPr>
        <w:widowControl/>
        <w:ind w:firstLine="2160" w:firstLineChars="900"/>
        <w:rPr>
          <w:rFonts w:hint="eastAsia" w:ascii="仿宋" w:hAnsi="仿宋" w:eastAsia="仿宋" w:cs="仿宋"/>
          <w:sz w:val="24"/>
        </w:rPr>
      </w:pPr>
    </w:p>
    <w:p>
      <w:pPr>
        <w:widowControl/>
        <w:ind w:firstLine="2160" w:firstLineChars="900"/>
        <w:rPr>
          <w:rFonts w:hint="eastAsia" w:ascii="仿宋" w:hAnsi="仿宋" w:eastAsia="仿宋" w:cs="仿宋"/>
          <w:sz w:val="24"/>
        </w:rPr>
      </w:pPr>
    </w:p>
    <w:p>
      <w:pPr>
        <w:pStyle w:val="28"/>
        <w:ind w:left="0" w:leftChars="0" w:firstLine="0" w:firstLineChars="0"/>
        <w:rPr>
          <w:rFonts w:hint="eastAsia"/>
        </w:rPr>
      </w:pPr>
    </w:p>
    <w:p>
      <w:pPr>
        <w:pStyle w:val="28"/>
        <w:ind w:left="0" w:leftChars="0" w:firstLine="0" w:firstLineChars="0"/>
        <w:rPr>
          <w:rFonts w:hint="eastAsia"/>
        </w:rPr>
      </w:pPr>
    </w:p>
    <w:p>
      <w:pPr>
        <w:widowControl/>
        <w:ind w:firstLine="2160" w:firstLineChars="900"/>
        <w:rPr>
          <w:rFonts w:hint="eastAsia" w:ascii="仿宋" w:hAnsi="仿宋" w:eastAsia="仿宋" w:cs="仿宋"/>
          <w:sz w:val="24"/>
        </w:rPr>
      </w:pPr>
    </w:p>
    <w:p>
      <w:pPr>
        <w:pStyle w:val="2"/>
        <w:rPr>
          <w:rFonts w:hint="eastAsia" w:ascii="仿宋" w:hAnsi="仿宋" w:eastAsia="仿宋" w:cs="仿宋"/>
          <w:sz w:val="24"/>
        </w:rPr>
      </w:pPr>
    </w:p>
    <w:p>
      <w:pPr>
        <w:pStyle w:val="3"/>
        <w:rPr>
          <w:rFonts w:hint="eastAsia" w:ascii="仿宋" w:hAnsi="仿宋" w:eastAsia="仿宋" w:cs="仿宋"/>
          <w:sz w:val="24"/>
        </w:rPr>
      </w:pPr>
    </w:p>
    <w:p>
      <w:pPr>
        <w:pStyle w:val="3"/>
        <w:rPr>
          <w:rFonts w:hint="eastAsia" w:ascii="仿宋" w:hAnsi="仿宋" w:eastAsia="仿宋" w:cs="仿宋"/>
          <w:sz w:val="24"/>
        </w:rPr>
      </w:pPr>
    </w:p>
    <w:p>
      <w:pPr>
        <w:pStyle w:val="3"/>
        <w:rPr>
          <w:rFonts w:hint="eastAsia" w:ascii="仿宋" w:hAnsi="仿宋" w:eastAsia="仿宋" w:cs="仿宋"/>
          <w:sz w:val="24"/>
        </w:rPr>
      </w:pPr>
    </w:p>
    <w:p>
      <w:pPr>
        <w:pStyle w:val="3"/>
        <w:ind w:left="0" w:leftChars="0" w:firstLine="0" w:firstLineChars="0"/>
        <w:rPr>
          <w:rFonts w:hint="eastAsia" w:ascii="仿宋" w:hAnsi="仿宋" w:eastAsia="仿宋" w:cs="仿宋"/>
          <w:sz w:val="24"/>
        </w:rPr>
      </w:pPr>
    </w:p>
    <w:p>
      <w:pPr>
        <w:widowControl/>
        <w:ind w:firstLine="2160" w:firstLineChars="900"/>
        <w:rPr>
          <w:rFonts w:hint="eastAsia" w:ascii="仿宋" w:hAnsi="仿宋" w:eastAsia="仿宋" w:cs="仿宋"/>
          <w:sz w:val="24"/>
        </w:rPr>
      </w:pPr>
    </w:p>
    <w:p>
      <w:pPr>
        <w:widowControl/>
        <w:ind w:firstLine="2160" w:firstLineChars="900"/>
        <w:rPr>
          <w:rFonts w:hint="eastAsia" w:ascii="仿宋" w:hAnsi="仿宋" w:eastAsia="仿宋" w:cs="仿宋"/>
          <w:sz w:val="24"/>
        </w:rPr>
      </w:pPr>
    </w:p>
    <w:p>
      <w:pPr>
        <w:widowControl/>
        <w:ind w:firstLine="2160" w:firstLineChars="900"/>
        <w:rPr>
          <w:rFonts w:hint="eastAsia" w:ascii="仿宋" w:hAnsi="仿宋" w:eastAsia="仿宋" w:cs="仿宋"/>
          <w:sz w:val="24"/>
        </w:rPr>
      </w:pPr>
    </w:p>
    <w:p>
      <w:pPr>
        <w:widowControl/>
        <w:ind w:firstLine="2160" w:firstLineChars="900"/>
        <w:rPr>
          <w:rFonts w:hint="eastAsia" w:ascii="仿宋_GB2312" w:hAnsi="仿宋" w:eastAsia="仿宋_GB2312" w:cs="仿宋"/>
          <w:sz w:val="28"/>
          <w:szCs w:val="28"/>
        </w:rPr>
      </w:pPr>
      <w:r>
        <w:rPr>
          <w:rFonts w:hint="eastAsia" w:ascii="仿宋" w:hAnsi="仿宋" w:eastAsia="仿宋" w:cs="仿宋"/>
          <w:sz w:val="24"/>
        </w:rPr>
        <w:t xml:space="preserve"> </w:t>
      </w:r>
      <w:r>
        <w:rPr>
          <w:rFonts w:hint="eastAsia" w:ascii="仿宋_GB2312" w:hAnsi="仿宋" w:eastAsia="仿宋_GB2312" w:cs="仿宋"/>
          <w:b/>
          <w:sz w:val="32"/>
          <w:szCs w:val="32"/>
        </w:rPr>
        <w:t>第四部分  评分办法及评分标准</w:t>
      </w:r>
    </w:p>
    <w:p>
      <w:pPr>
        <w:adjustRightInd w:val="0"/>
        <w:snapToGrid w:val="0"/>
        <w:spacing w:line="360" w:lineRule="auto"/>
        <w:ind w:firstLine="420"/>
        <w:rPr>
          <w:rFonts w:hint="eastAsia" w:ascii="仿宋_GB2312" w:hAnsi="仿宋" w:eastAsia="仿宋_GB2312" w:cs="仿宋"/>
          <w:sz w:val="24"/>
        </w:rPr>
      </w:pPr>
      <w:r>
        <w:rPr>
          <w:rFonts w:hint="eastAsia" w:ascii="仿宋_GB2312" w:hAnsi="仿宋" w:eastAsia="仿宋_GB2312" w:cs="仿宋"/>
          <w:sz w:val="24"/>
        </w:rPr>
        <w:t>为公正、公平、科学地选择中标供应商，根据有关法律法规的规定，并结合本项目的实际，制定本办法。</w:t>
      </w:r>
    </w:p>
    <w:p>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一、总则</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本次评标采用</w:t>
      </w:r>
      <w:r>
        <w:rPr>
          <w:rFonts w:hint="eastAsia" w:ascii="仿宋_GB2312" w:hAnsi="仿宋" w:eastAsia="仿宋_GB2312" w:cs="仿宋"/>
          <w:b/>
          <w:sz w:val="24"/>
        </w:rPr>
        <w:t>综合评分法</w:t>
      </w:r>
      <w:r>
        <w:rPr>
          <w:rFonts w:hint="eastAsia" w:ascii="仿宋_GB2312" w:hAnsi="仿宋" w:eastAsia="仿宋_GB2312" w:cs="仿宋"/>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供应商,排名第二的投标人为候补中标候选供应商……其他投标人中标候选资格依此类推。评分过程中采用四舍五入法，</w:t>
      </w:r>
      <w:r>
        <w:rPr>
          <w:rFonts w:hint="eastAsia" w:ascii="仿宋" w:hAnsi="仿宋" w:eastAsia="仿宋" w:cs="仿宋"/>
          <w:snapToGrid w:val="0"/>
          <w:kern w:val="0"/>
          <w:sz w:val="24"/>
          <w:lang w:val="zh-CN"/>
        </w:rPr>
        <w:t>保留小数点后两位</w:t>
      </w:r>
      <w:r>
        <w:rPr>
          <w:rFonts w:hint="eastAsia" w:ascii="仿宋_GB2312" w:hAnsi="仿宋" w:eastAsia="仿宋_GB2312" w:cs="仿宋"/>
          <w:sz w:val="24"/>
        </w:rPr>
        <w:t>。</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技术、资信及价格分按照评标委员会成员的独立评分结果汇总后的算术平均分计算，计算公式为：</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技术、资信及商务分=评标委员会所有成员评分合计数/评标委员会人数</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投标人评标综合得分=价格分+资信分+技术分</w:t>
      </w:r>
    </w:p>
    <w:p>
      <w:pPr>
        <w:adjustRightInd w:val="0"/>
        <w:snapToGrid w:val="0"/>
        <w:spacing w:line="360" w:lineRule="auto"/>
        <w:rPr>
          <w:rFonts w:hint="eastAsia"/>
        </w:rPr>
      </w:pPr>
      <w:r>
        <w:rPr>
          <w:rFonts w:hint="eastAsia" w:ascii="仿宋_GB2312" w:hAnsi="仿宋" w:eastAsia="仿宋_GB2312" w:cs="仿宋"/>
          <w:b/>
          <w:sz w:val="24"/>
        </w:rPr>
        <w:t>二、评标内容及标准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45"/>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评审因素</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分值</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74"/>
              <w:spacing w:line="288"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9" w:type="dxa"/>
            <w:gridSpan w:val="3"/>
            <w:tcBorders>
              <w:top w:val="single" w:color="auto" w:sz="4" w:space="0"/>
              <w:left w:val="single" w:color="auto" w:sz="4" w:space="0"/>
              <w:bottom w:val="single" w:color="auto" w:sz="4" w:space="0"/>
              <w:right w:val="single" w:color="auto" w:sz="4" w:space="0"/>
            </w:tcBorders>
            <w:noWrap w:val="0"/>
            <w:vAlign w:val="center"/>
          </w:tcPr>
          <w:p>
            <w:pPr>
              <w:pStyle w:val="74"/>
              <w:spacing w:line="288" w:lineRule="auto"/>
              <w:jc w:val="left"/>
              <w:rPr>
                <w:rFonts w:hint="eastAsia" w:ascii="仿宋" w:hAnsi="仿宋" w:eastAsia="仿宋" w:cs="仿宋"/>
                <w:color w:val="auto"/>
                <w:spacing w:val="-6"/>
                <w:sz w:val="24"/>
                <w:szCs w:val="24"/>
              </w:rPr>
            </w:pPr>
            <w:r>
              <w:rPr>
                <w:rFonts w:hint="eastAsia" w:ascii="仿宋" w:hAnsi="仿宋" w:eastAsia="仿宋" w:cs="仿宋"/>
                <w:b/>
                <w:bCs/>
                <w:color w:val="auto"/>
                <w:spacing w:val="-6"/>
                <w:kern w:val="2"/>
                <w:sz w:val="24"/>
                <w:szCs w:val="24"/>
              </w:rPr>
              <w:t>价格分（</w:t>
            </w:r>
            <w:r>
              <w:rPr>
                <w:rFonts w:hint="eastAsia" w:ascii="仿宋" w:hAnsi="仿宋" w:eastAsia="仿宋" w:cs="仿宋"/>
                <w:b/>
                <w:bCs/>
                <w:color w:val="auto"/>
                <w:spacing w:val="-6"/>
                <w:kern w:val="2"/>
                <w:sz w:val="24"/>
                <w:szCs w:val="24"/>
                <w:lang w:val="en-US" w:eastAsia="zh-CN"/>
              </w:rPr>
              <w:t>1</w:t>
            </w:r>
            <w:r>
              <w:rPr>
                <w:rFonts w:hint="eastAsia" w:ascii="仿宋" w:hAnsi="仿宋" w:eastAsia="仿宋" w:cs="仿宋"/>
                <w:b/>
                <w:bCs/>
                <w:color w:val="auto"/>
                <w:spacing w:val="-6"/>
                <w:kern w:val="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pStyle w:val="15"/>
              <w:spacing w:line="288" w:lineRule="auto"/>
              <w:ind w:left="0" w:leftChars="0"/>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投标报价</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10</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rPr>
            </w:pPr>
            <w:r>
              <w:rPr>
                <w:rFonts w:hint="eastAsia" w:ascii="仿宋" w:hAnsi="仿宋" w:eastAsia="仿宋" w:cs="仿宋"/>
                <w:color w:val="auto"/>
                <w:spacing w:val="-6"/>
                <w:sz w:val="24"/>
                <w:szCs w:val="24"/>
              </w:rPr>
              <w:t>满足招标文件要求且投标价格最低的投标报价为评分基准价，其他投标人的价格分按照下列公式计算：报价得分＝（评标基准价/投标报价）×</w:t>
            </w:r>
            <w:r>
              <w:rPr>
                <w:rFonts w:hint="eastAsia" w:ascii="仿宋" w:hAnsi="仿宋" w:eastAsia="仿宋" w:cs="仿宋"/>
                <w:color w:val="auto"/>
                <w:spacing w:val="-6"/>
                <w:sz w:val="24"/>
                <w:szCs w:val="24"/>
                <w:lang w:val="en-US" w:eastAsia="zh-CN"/>
              </w:rPr>
              <w:t>1</w:t>
            </w:r>
            <w:r>
              <w:rPr>
                <w:rFonts w:hint="eastAsia" w:ascii="仿宋" w:hAnsi="仿宋" w:eastAsia="仿宋" w:cs="仿宋"/>
                <w:color w:val="auto"/>
                <w:spacing w:val="-6"/>
                <w:sz w:val="24"/>
                <w:szCs w:val="24"/>
              </w:rPr>
              <w:t>0%×100，投标人的投标报价超过预算金额或最高限价的，将作为无效标。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9" w:type="dxa"/>
            <w:gridSpan w:val="3"/>
            <w:tcBorders>
              <w:top w:val="single" w:color="auto" w:sz="4" w:space="0"/>
              <w:left w:val="single" w:color="auto" w:sz="4" w:space="0"/>
              <w:bottom w:val="single" w:color="auto" w:sz="4" w:space="0"/>
              <w:right w:val="single" w:color="auto" w:sz="4" w:space="0"/>
            </w:tcBorders>
            <w:noWrap w:val="0"/>
            <w:vAlign w:val="center"/>
          </w:tcPr>
          <w:p>
            <w:pPr>
              <w:pStyle w:val="74"/>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商务分（</w:t>
            </w:r>
            <w:r>
              <w:rPr>
                <w:rFonts w:hint="eastAsia" w:ascii="仿宋" w:hAnsi="仿宋" w:eastAsia="仿宋" w:cs="仿宋"/>
                <w:b/>
                <w:color w:val="auto"/>
                <w:spacing w:val="-6"/>
                <w:sz w:val="24"/>
                <w:szCs w:val="24"/>
                <w:lang w:val="en-US" w:eastAsia="zh-CN"/>
              </w:rPr>
              <w:t>4</w:t>
            </w:r>
            <w:r>
              <w:rPr>
                <w:rFonts w:hint="eastAsia" w:ascii="仿宋" w:hAnsi="仿宋" w:eastAsia="仿宋" w:cs="仿宋"/>
                <w:b/>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项目经验（</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val="en-US" w:eastAsia="zh-CN"/>
              </w:rPr>
              <w:t>1</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2019年1月1日以来（以合同签订日期为准）</w:t>
            </w:r>
            <w:r>
              <w:rPr>
                <w:rFonts w:hint="eastAsia" w:ascii="仿宋" w:hAnsi="仿宋" w:eastAsia="仿宋" w:cs="宋体"/>
                <w:color w:val="000000"/>
                <w:kern w:val="0"/>
                <w:sz w:val="24"/>
                <w:szCs w:val="24"/>
              </w:rPr>
              <w:t>同类项目</w:t>
            </w:r>
            <w:r>
              <w:rPr>
                <w:rFonts w:hint="eastAsia" w:ascii="仿宋" w:hAnsi="仿宋" w:eastAsia="仿宋" w:cs="仿宋"/>
                <w:color w:val="auto"/>
                <w:kern w:val="0"/>
                <w:sz w:val="24"/>
                <w:szCs w:val="24"/>
              </w:rPr>
              <w:t>成功案例，每个得0.5分，最多得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有效证明材料：提供合同复印件并加盖投标人公章，同一用户合同只计算一次。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公司技术力量（</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val="en-US" w:eastAsia="zh-CN"/>
              </w:rPr>
              <w:t>3</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投标人具有有效的ISO27001信息安全管理体系认证证书；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投标人具有有效的ISO20000信息技术服务管理体系认证证书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投标人具有有效的ITSS信息技术服务运行维护能力认证证书的</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每提供一个得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分，本项最多得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9"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spacing w:line="240" w:lineRule="auto"/>
              <w:ind w:left="0" w:leftChars="0"/>
              <w:jc w:val="left"/>
              <w:textAlignment w:val="auto"/>
              <w:rPr>
                <w:rFonts w:hint="eastAsia" w:ascii="仿宋" w:hAnsi="仿宋" w:eastAsia="仿宋" w:cs="仿宋"/>
                <w:color w:val="auto"/>
                <w:spacing w:val="-6"/>
                <w:sz w:val="24"/>
                <w:szCs w:val="24"/>
              </w:rPr>
            </w:pPr>
            <w:r>
              <w:rPr>
                <w:rFonts w:hint="eastAsia" w:ascii="仿宋" w:hAnsi="仿宋" w:eastAsia="仿宋" w:cs="仿宋"/>
                <w:b/>
                <w:color w:val="auto"/>
                <w:spacing w:val="-6"/>
                <w:sz w:val="24"/>
                <w:szCs w:val="24"/>
              </w:rPr>
              <w:t>技术分（</w:t>
            </w:r>
            <w:r>
              <w:rPr>
                <w:rFonts w:hint="eastAsia" w:ascii="仿宋" w:hAnsi="仿宋" w:eastAsia="仿宋" w:cs="仿宋"/>
                <w:b/>
                <w:color w:val="auto"/>
                <w:spacing w:val="-6"/>
                <w:sz w:val="24"/>
                <w:szCs w:val="24"/>
                <w:lang w:val="en-US" w:eastAsia="zh-CN"/>
              </w:rPr>
              <w:t>8</w:t>
            </w:r>
            <w:r>
              <w:rPr>
                <w:rFonts w:hint="eastAsia" w:ascii="仿宋" w:hAnsi="仿宋" w:eastAsia="仿宋" w:cs="仿宋"/>
                <w:b/>
                <w:color w:val="auto"/>
                <w:spacing w:val="-6"/>
                <w:sz w:val="24"/>
                <w:szCs w:val="24"/>
                <w:lang w:val="en-US" w:eastAsia="zh-CN"/>
              </w:rPr>
              <w:t>6</w:t>
            </w:r>
            <w:r>
              <w:rPr>
                <w:rFonts w:hint="eastAsia" w:ascii="仿宋" w:hAnsi="仿宋" w:eastAsia="仿宋" w:cs="仿宋"/>
                <w:b/>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产品的性能及技术性能指标要求</w:t>
            </w:r>
            <w:r>
              <w:rPr>
                <w:rFonts w:hint="eastAsia" w:ascii="仿宋" w:hAnsi="仿宋" w:eastAsia="仿宋" w:cs="仿宋"/>
                <w:color w:val="auto"/>
                <w:sz w:val="24"/>
                <w:szCs w:val="24"/>
                <w:lang w:val="en-US" w:eastAsia="zh-CN"/>
              </w:rPr>
              <w:t>(15)</w:t>
            </w: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仿宋"/>
                <w:color w:val="auto"/>
                <w:spacing w:val="-6"/>
                <w:sz w:val="24"/>
                <w:szCs w:val="24"/>
              </w:rPr>
              <w:t>不符合（负偏离）技术要求中标注“★”条款</w:t>
            </w:r>
            <w:r>
              <w:rPr>
                <w:rFonts w:hint="eastAsia" w:ascii="仿宋" w:hAnsi="仿宋" w:eastAsia="仿宋" w:cs="仿宋"/>
                <w:color w:val="auto"/>
                <w:spacing w:val="-6"/>
                <w:sz w:val="24"/>
                <w:szCs w:val="24"/>
                <w:lang w:eastAsia="zh-CN"/>
              </w:rPr>
              <w:t>（需按要求提供证明材料）</w:t>
            </w:r>
            <w:r>
              <w:rPr>
                <w:rFonts w:hint="eastAsia" w:ascii="仿宋" w:hAnsi="仿宋" w:eastAsia="仿宋" w:cs="仿宋"/>
                <w:color w:val="auto"/>
                <w:spacing w:val="-6"/>
                <w:sz w:val="24"/>
                <w:szCs w:val="24"/>
              </w:rPr>
              <w:t>的每有一项扣</w:t>
            </w:r>
            <w:r>
              <w:rPr>
                <w:rFonts w:hint="eastAsia" w:ascii="仿宋" w:hAnsi="仿宋" w:eastAsia="仿宋" w:cs="仿宋"/>
                <w:color w:val="auto"/>
                <w:spacing w:val="-6"/>
                <w:sz w:val="24"/>
                <w:szCs w:val="24"/>
                <w:lang w:val="en-US" w:eastAsia="zh-CN"/>
              </w:rPr>
              <w:t>2</w:t>
            </w:r>
            <w:r>
              <w:rPr>
                <w:rFonts w:hint="eastAsia" w:ascii="仿宋" w:hAnsi="仿宋" w:eastAsia="仿宋" w:cs="仿宋"/>
                <w:color w:val="auto"/>
                <w:spacing w:val="-6"/>
                <w:sz w:val="24"/>
                <w:szCs w:val="24"/>
              </w:rPr>
              <w:t>分，其他功能、性能和技术指标低于采购需求（负偏离）的每有一项扣1分，扣完为止；全部满足采购文件明确的功能、性能和技术指标、材料要求且提供证明材料的，得</w:t>
            </w:r>
            <w:r>
              <w:rPr>
                <w:rFonts w:hint="eastAsia" w:ascii="仿宋" w:hAnsi="仿宋" w:eastAsia="仿宋" w:cs="仿宋"/>
                <w:color w:val="auto"/>
                <w:spacing w:val="-6"/>
                <w:sz w:val="24"/>
                <w:szCs w:val="24"/>
                <w:lang w:val="en-US" w:eastAsia="zh-CN"/>
              </w:rPr>
              <w:t>15</w:t>
            </w:r>
            <w:r>
              <w:rPr>
                <w:rFonts w:hint="eastAsia" w:ascii="仿宋" w:hAnsi="仿宋" w:eastAsia="仿宋" w:cs="仿宋"/>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408" w:type="dxa"/>
            <w:vMerge w:val="restart"/>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spacing w:val="-6"/>
                <w:sz w:val="24"/>
              </w:rPr>
              <w:t>技术</w:t>
            </w:r>
            <w:r>
              <w:rPr>
                <w:rFonts w:hint="eastAsia" w:ascii="仿宋" w:hAnsi="仿宋" w:eastAsia="仿宋" w:cs="仿宋"/>
                <w:spacing w:val="-6"/>
                <w:sz w:val="24"/>
                <w:lang w:eastAsia="zh-CN"/>
              </w:rPr>
              <w:t>设计</w:t>
            </w:r>
            <w:r>
              <w:rPr>
                <w:rFonts w:hint="eastAsia" w:ascii="仿宋" w:hAnsi="仿宋" w:eastAsia="仿宋" w:cs="仿宋"/>
                <w:spacing w:val="-6"/>
                <w:sz w:val="24"/>
              </w:rPr>
              <w:t>方案</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22</w:t>
            </w:r>
            <w:r>
              <w:rPr>
                <w:rFonts w:hint="eastAsia" w:ascii="仿宋" w:hAnsi="仿宋" w:eastAsia="仿宋" w:cs="仿宋"/>
                <w:spacing w:val="-6"/>
                <w:sz w:val="24"/>
                <w:lang w:eastAsia="zh-CN"/>
              </w:rPr>
              <w:t>）</w:t>
            </w: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sz w:val="24"/>
              </w:rPr>
              <w:t>为保证本项目的顺利实施，要求投标人对机场公安局现状充分理解，包括对当前的前端感知、后端系统现状、现有系统部署环境、数据接入现状和存算能力等。专家根据对原系统熟悉程度进行综合评分</w:t>
            </w:r>
            <w:r>
              <w:rPr>
                <w:rFonts w:hint="eastAsia" w:ascii="仿宋" w:hAnsi="仿宋" w:eastAsia="仿宋" w:cs="仿宋"/>
                <w:sz w:val="24"/>
                <w:lang w:eastAsia="zh-CN"/>
              </w:rPr>
              <w:t>，</w:t>
            </w:r>
            <w:r>
              <w:rPr>
                <w:rFonts w:hint="eastAsia" w:ascii="仿宋" w:hAnsi="仿宋" w:eastAsia="仿宋" w:cs="仿宋"/>
                <w:spacing w:val="-6"/>
                <w:sz w:val="24"/>
              </w:rPr>
              <w:t>描述与采购人完全相符的，得</w:t>
            </w:r>
            <w:r>
              <w:rPr>
                <w:rFonts w:hint="eastAsia" w:ascii="仿宋" w:hAnsi="仿宋" w:eastAsia="仿宋" w:cs="仿宋"/>
                <w:spacing w:val="-6"/>
                <w:sz w:val="24"/>
                <w:lang w:val="en-US" w:eastAsia="zh-CN"/>
              </w:rPr>
              <w:t>5</w:t>
            </w:r>
            <w:r>
              <w:rPr>
                <w:rFonts w:hint="eastAsia" w:ascii="仿宋" w:hAnsi="仿宋" w:eastAsia="仿宋" w:cs="仿宋"/>
                <w:spacing w:val="-6"/>
                <w:sz w:val="24"/>
              </w:rPr>
              <w:t>分；基本符合的，得</w:t>
            </w:r>
            <w:r>
              <w:rPr>
                <w:rFonts w:hint="eastAsia" w:ascii="仿宋" w:hAnsi="仿宋" w:eastAsia="仿宋" w:cs="仿宋"/>
                <w:spacing w:val="-6"/>
                <w:sz w:val="24"/>
                <w:lang w:val="en-US" w:eastAsia="zh-CN"/>
              </w:rPr>
              <w:t>3-4</w:t>
            </w:r>
            <w:r>
              <w:rPr>
                <w:rFonts w:hint="eastAsia" w:ascii="仿宋" w:hAnsi="仿宋" w:eastAsia="仿宋" w:cs="仿宋"/>
                <w:spacing w:val="-6"/>
                <w:sz w:val="24"/>
              </w:rPr>
              <w:t>分；其余得，得</w:t>
            </w:r>
            <w:r>
              <w:rPr>
                <w:rFonts w:hint="eastAsia" w:ascii="仿宋" w:hAnsi="仿宋" w:eastAsia="仿宋" w:cs="仿宋"/>
                <w:spacing w:val="-6"/>
                <w:sz w:val="24"/>
                <w:lang w:val="en-US" w:eastAsia="zh-CN"/>
              </w:rPr>
              <w:t>1-2</w:t>
            </w:r>
            <w:r>
              <w:rPr>
                <w:rFonts w:hint="eastAsia" w:ascii="仿宋" w:hAnsi="仿宋" w:eastAsia="仿宋" w:cs="仿宋"/>
                <w:spacing w:val="-6"/>
                <w:sz w:val="24"/>
              </w:rPr>
              <w:t>分</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pacing w:val="-6"/>
                <w:sz w:val="24"/>
              </w:rPr>
            </w:pP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ascii="仿宋" w:hAnsi="仿宋" w:eastAsia="仿宋" w:cs="仿宋"/>
                <w:sz w:val="24"/>
              </w:rPr>
            </w:pPr>
            <w:r>
              <w:rPr>
                <w:rFonts w:hint="eastAsia" w:ascii="仿宋" w:hAnsi="仿宋" w:eastAsia="仿宋" w:cs="仿宋"/>
                <w:sz w:val="24"/>
              </w:rPr>
              <w:t>总体架构设计方案能体现出本项目的整体把控，包括总体技术架构、业务架构、数据架构、系统架构，描述情况进行打分。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rPr>
            </w:pPr>
            <w:r>
              <w:rPr>
                <w:rFonts w:hint="eastAsia" w:ascii="仿宋" w:hAnsi="仿宋" w:eastAsia="仿宋" w:cs="仿宋"/>
                <w:sz w:val="24"/>
              </w:rPr>
              <w:t>项目总体架构方案思路清晰、贴合实际方案、内容详实，得</w:t>
            </w:r>
            <w:r>
              <w:rPr>
                <w:rFonts w:hint="eastAsia" w:ascii="仿宋" w:hAnsi="仿宋" w:eastAsia="仿宋" w:cs="仿宋"/>
                <w:sz w:val="24"/>
                <w:lang w:val="en-US" w:eastAsia="zh-CN"/>
              </w:rPr>
              <w:t>5</w:t>
            </w:r>
            <w:r>
              <w:rPr>
                <w:rFonts w:hint="eastAsia" w:ascii="仿宋" w:hAnsi="仿宋" w:eastAsia="仿宋" w:cs="仿宋"/>
                <w:sz w:val="24"/>
              </w:rPr>
              <w:t>分；项目总体规划设计思路完整、方案基本满足使用需求、内容基本详实，得</w:t>
            </w:r>
            <w:r>
              <w:rPr>
                <w:rFonts w:hint="eastAsia" w:ascii="仿宋" w:hAnsi="仿宋" w:eastAsia="仿宋" w:cs="仿宋"/>
                <w:sz w:val="24"/>
                <w:lang w:val="en-US" w:eastAsia="zh-CN"/>
              </w:rPr>
              <w:t>3-4</w:t>
            </w:r>
            <w:r>
              <w:rPr>
                <w:rFonts w:hint="eastAsia" w:ascii="仿宋" w:hAnsi="仿宋" w:eastAsia="仿宋" w:cs="仿宋"/>
                <w:sz w:val="24"/>
              </w:rPr>
              <w:t>分；内容一般、操作性不强的</w:t>
            </w:r>
            <w:r>
              <w:rPr>
                <w:rFonts w:hint="eastAsia" w:ascii="仿宋" w:hAnsi="仿宋" w:eastAsia="仿宋" w:cs="仿宋"/>
                <w:sz w:val="24"/>
                <w:lang w:val="en-US" w:eastAsia="zh-CN"/>
              </w:rPr>
              <w:t>1-2</w:t>
            </w:r>
            <w:r>
              <w:rPr>
                <w:rFonts w:hint="eastAsia" w:ascii="仿宋" w:hAnsi="仿宋" w:eastAsia="仿宋" w:cs="仿宋"/>
                <w:sz w:val="24"/>
              </w:rPr>
              <w:t>分；其他情况或没有内容不得分。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szCs w:val="24"/>
              </w:rPr>
            </w:pP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机场亚运安保一张图</w:t>
            </w:r>
            <w:r>
              <w:rPr>
                <w:rFonts w:hint="eastAsia" w:ascii="仿宋" w:hAnsi="仿宋" w:eastAsia="仿宋_GB2312" w:cs="宋体"/>
                <w:color w:val="000000"/>
                <w:spacing w:val="0"/>
                <w:kern w:val="0"/>
                <w:sz w:val="24"/>
                <w:lang w:val="en-US" w:eastAsia="zh-CN"/>
              </w:rPr>
              <w:t>技术方案的成熟性、稳定性、安全性及完备、详尽、清楚、业务需求符合程度；</w:t>
            </w:r>
            <w:r>
              <w:rPr>
                <w:rFonts w:hint="eastAsia" w:ascii="仿宋" w:hAnsi="仿宋" w:eastAsia="仿宋" w:cs="宋体"/>
                <w:color w:val="000000"/>
                <w:kern w:val="0"/>
                <w:sz w:val="24"/>
                <w:szCs w:val="24"/>
                <w:lang w:val="en-US" w:eastAsia="zh-CN"/>
              </w:rPr>
              <w:t>方案详细、客观，分析全面有效且可行的得4分，方案内容</w:t>
            </w:r>
            <w:r>
              <w:rPr>
                <w:rFonts w:hint="eastAsia" w:ascii="仿宋" w:hAnsi="仿宋" w:eastAsia="仿宋" w:cs="宋体"/>
                <w:color w:val="000000"/>
                <w:kern w:val="0"/>
                <w:sz w:val="24"/>
                <w:szCs w:val="24"/>
                <w:lang w:eastAsia="zh-CN"/>
              </w:rPr>
              <w:t>基本符合、</w:t>
            </w:r>
            <w:r>
              <w:rPr>
                <w:rFonts w:hint="eastAsia" w:ascii="仿宋" w:hAnsi="仿宋" w:eastAsia="仿宋" w:cs="宋体"/>
                <w:color w:val="000000"/>
                <w:kern w:val="0"/>
                <w:sz w:val="24"/>
                <w:szCs w:val="24"/>
                <w:lang w:val="en-US" w:eastAsia="zh-CN"/>
              </w:rPr>
              <w:t>分析内容</w:t>
            </w:r>
            <w:r>
              <w:rPr>
                <w:rFonts w:hint="eastAsia" w:ascii="仿宋" w:hAnsi="仿宋" w:eastAsia="仿宋" w:cs="宋体"/>
                <w:color w:val="000000"/>
                <w:kern w:val="0"/>
                <w:sz w:val="24"/>
                <w:szCs w:val="24"/>
                <w:lang w:eastAsia="zh-CN"/>
              </w:rPr>
              <w:t>针对性较好的</w:t>
            </w:r>
            <w:r>
              <w:rPr>
                <w:rFonts w:hint="eastAsia" w:ascii="仿宋" w:hAnsi="仿宋" w:eastAsia="仿宋" w:cs="宋体"/>
                <w:color w:val="000000"/>
                <w:kern w:val="0"/>
                <w:sz w:val="24"/>
                <w:szCs w:val="24"/>
                <w:lang w:val="en-US" w:eastAsia="zh-CN"/>
              </w:rPr>
              <w:t>得2-3分，</w:t>
            </w:r>
            <w:r>
              <w:rPr>
                <w:rFonts w:hint="eastAsia" w:ascii="仿宋" w:hAnsi="仿宋" w:eastAsia="仿宋" w:cs="宋体"/>
                <w:color w:val="000000"/>
                <w:kern w:val="0"/>
                <w:sz w:val="24"/>
                <w:szCs w:val="24"/>
              </w:rPr>
              <w:t>内容一般、针对性不强的，得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仿宋"/>
                <w:sz w:val="24"/>
              </w:rPr>
              <w:t>；其他情况或没有内容不得分</w:t>
            </w:r>
            <w:r>
              <w:rPr>
                <w:rFonts w:hint="eastAsia" w:ascii="仿宋" w:hAnsi="仿宋" w:eastAsia="仿宋"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color w:val="auto"/>
                <w:spacing w:val="-6"/>
                <w:sz w:val="24"/>
                <w:szCs w:val="24"/>
              </w:rPr>
            </w:pP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6"/>
                <w:sz w:val="24"/>
                <w:szCs w:val="24"/>
                <w:lang w:eastAsia="zh-CN"/>
              </w:rPr>
            </w:pPr>
            <w:r>
              <w:rPr>
                <w:rFonts w:hint="eastAsia" w:ascii="仿宋" w:hAnsi="仿宋" w:eastAsia="仿宋" w:cs="仿宋"/>
                <w:b/>
                <w:bCs/>
                <w:color w:val="auto"/>
                <w:spacing w:val="-6"/>
                <w:sz w:val="24"/>
                <w:szCs w:val="24"/>
                <w:lang w:val="en-US" w:eastAsia="zh-CN"/>
              </w:rPr>
              <w:t>机场亚运安保前端智能感知综合应用</w:t>
            </w:r>
            <w:r>
              <w:rPr>
                <w:rFonts w:hint="eastAsia" w:ascii="仿宋" w:hAnsi="仿宋" w:eastAsia="仿宋_GB2312" w:cs="宋体"/>
                <w:color w:val="000000"/>
                <w:spacing w:val="0"/>
                <w:kern w:val="0"/>
                <w:sz w:val="24"/>
                <w:lang w:val="en-US" w:eastAsia="zh-CN"/>
              </w:rPr>
              <w:t>技术方案的成熟性、稳定性、安全性及完备、详尽、清楚、业务需求符合程度；</w:t>
            </w:r>
            <w:r>
              <w:rPr>
                <w:rFonts w:hint="eastAsia" w:ascii="仿宋" w:hAnsi="仿宋" w:eastAsia="仿宋" w:cs="宋体"/>
                <w:color w:val="000000"/>
                <w:kern w:val="0"/>
                <w:sz w:val="24"/>
                <w:szCs w:val="24"/>
                <w:lang w:val="en-US" w:eastAsia="zh-CN"/>
              </w:rPr>
              <w:t>方案详细、客观，分析全面有效且可行的得4分，方案内容</w:t>
            </w:r>
            <w:r>
              <w:rPr>
                <w:rFonts w:hint="eastAsia" w:ascii="仿宋" w:hAnsi="仿宋" w:eastAsia="仿宋" w:cs="宋体"/>
                <w:color w:val="000000"/>
                <w:kern w:val="0"/>
                <w:sz w:val="24"/>
                <w:szCs w:val="24"/>
                <w:lang w:eastAsia="zh-CN"/>
              </w:rPr>
              <w:t>基本符合、</w:t>
            </w:r>
            <w:r>
              <w:rPr>
                <w:rFonts w:hint="eastAsia" w:ascii="仿宋" w:hAnsi="仿宋" w:eastAsia="仿宋" w:cs="宋体"/>
                <w:color w:val="000000"/>
                <w:kern w:val="0"/>
                <w:sz w:val="24"/>
                <w:szCs w:val="24"/>
                <w:lang w:val="en-US" w:eastAsia="zh-CN"/>
              </w:rPr>
              <w:t>分析内容</w:t>
            </w:r>
            <w:r>
              <w:rPr>
                <w:rFonts w:hint="eastAsia" w:ascii="仿宋" w:hAnsi="仿宋" w:eastAsia="仿宋" w:cs="宋体"/>
                <w:color w:val="000000"/>
                <w:kern w:val="0"/>
                <w:sz w:val="24"/>
                <w:szCs w:val="24"/>
                <w:lang w:eastAsia="zh-CN"/>
              </w:rPr>
              <w:t>针对性较好的</w:t>
            </w:r>
            <w:r>
              <w:rPr>
                <w:rFonts w:hint="eastAsia" w:ascii="仿宋" w:hAnsi="仿宋" w:eastAsia="仿宋" w:cs="宋体"/>
                <w:color w:val="000000"/>
                <w:kern w:val="0"/>
                <w:sz w:val="24"/>
                <w:szCs w:val="24"/>
                <w:lang w:val="en-US" w:eastAsia="zh-CN"/>
              </w:rPr>
              <w:t>得2-3分，</w:t>
            </w:r>
            <w:r>
              <w:rPr>
                <w:rFonts w:hint="eastAsia" w:ascii="仿宋" w:hAnsi="仿宋" w:eastAsia="仿宋" w:cs="宋体"/>
                <w:color w:val="000000"/>
                <w:kern w:val="0"/>
                <w:sz w:val="24"/>
                <w:szCs w:val="24"/>
              </w:rPr>
              <w:t>内容一般、针对性不强的，得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仿宋"/>
                <w:sz w:val="24"/>
              </w:rPr>
              <w:t>；其他情况或没有内容不得分</w:t>
            </w:r>
            <w:r>
              <w:rPr>
                <w:rFonts w:hint="eastAsia" w:ascii="仿宋" w:hAnsi="仿宋" w:eastAsia="仿宋"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szCs w:val="24"/>
              </w:rPr>
            </w:pP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6"/>
                <w:sz w:val="24"/>
                <w:szCs w:val="24"/>
              </w:rPr>
            </w:pPr>
            <w:r>
              <w:rPr>
                <w:rFonts w:hint="eastAsia" w:ascii="仿宋" w:hAnsi="仿宋" w:eastAsia="仿宋" w:cs="仿宋"/>
                <w:b/>
                <w:bCs/>
                <w:color w:val="auto"/>
                <w:spacing w:val="-6"/>
                <w:sz w:val="24"/>
                <w:szCs w:val="24"/>
                <w:lang w:val="en-US" w:eastAsia="zh-CN"/>
              </w:rPr>
              <w:t>机场亚运安保数据能力支撑</w:t>
            </w:r>
            <w:r>
              <w:rPr>
                <w:rFonts w:hint="eastAsia" w:ascii="仿宋" w:hAnsi="仿宋" w:eastAsia="仿宋_GB2312" w:cs="宋体"/>
                <w:color w:val="000000"/>
                <w:spacing w:val="0"/>
                <w:kern w:val="0"/>
                <w:sz w:val="24"/>
                <w:lang w:val="en-US" w:eastAsia="zh-CN"/>
              </w:rPr>
              <w:t>技术方案的成熟性、稳定性、安全性及完备、详尽、清楚、业务需求符合程度；</w:t>
            </w:r>
            <w:r>
              <w:rPr>
                <w:rFonts w:hint="eastAsia" w:ascii="仿宋" w:hAnsi="仿宋" w:eastAsia="仿宋" w:cs="宋体"/>
                <w:color w:val="000000"/>
                <w:kern w:val="0"/>
                <w:sz w:val="24"/>
                <w:szCs w:val="24"/>
                <w:lang w:val="en-US" w:eastAsia="zh-CN"/>
              </w:rPr>
              <w:t>方案详细、客观，分析全面有效且可行的得4分，方案内容</w:t>
            </w:r>
            <w:r>
              <w:rPr>
                <w:rFonts w:hint="eastAsia" w:ascii="仿宋" w:hAnsi="仿宋" w:eastAsia="仿宋" w:cs="宋体"/>
                <w:color w:val="000000"/>
                <w:kern w:val="0"/>
                <w:sz w:val="24"/>
                <w:szCs w:val="24"/>
                <w:lang w:eastAsia="zh-CN"/>
              </w:rPr>
              <w:t>基本符合、</w:t>
            </w:r>
            <w:r>
              <w:rPr>
                <w:rFonts w:hint="eastAsia" w:ascii="仿宋" w:hAnsi="仿宋" w:eastAsia="仿宋" w:cs="宋体"/>
                <w:color w:val="000000"/>
                <w:kern w:val="0"/>
                <w:sz w:val="24"/>
                <w:szCs w:val="24"/>
                <w:lang w:val="en-US" w:eastAsia="zh-CN"/>
              </w:rPr>
              <w:t>分析内容</w:t>
            </w:r>
            <w:r>
              <w:rPr>
                <w:rFonts w:hint="eastAsia" w:ascii="仿宋" w:hAnsi="仿宋" w:eastAsia="仿宋" w:cs="宋体"/>
                <w:color w:val="000000"/>
                <w:kern w:val="0"/>
                <w:sz w:val="24"/>
                <w:szCs w:val="24"/>
                <w:lang w:eastAsia="zh-CN"/>
              </w:rPr>
              <w:t>针对性较好的</w:t>
            </w:r>
            <w:r>
              <w:rPr>
                <w:rFonts w:hint="eastAsia" w:ascii="仿宋" w:hAnsi="仿宋" w:eastAsia="仿宋" w:cs="宋体"/>
                <w:color w:val="000000"/>
                <w:kern w:val="0"/>
                <w:sz w:val="24"/>
                <w:szCs w:val="24"/>
                <w:lang w:val="en-US" w:eastAsia="zh-CN"/>
              </w:rPr>
              <w:t>得2-3分，</w:t>
            </w:r>
            <w:r>
              <w:rPr>
                <w:rFonts w:hint="eastAsia" w:ascii="仿宋" w:hAnsi="仿宋" w:eastAsia="仿宋" w:cs="宋体"/>
                <w:color w:val="000000"/>
                <w:kern w:val="0"/>
                <w:sz w:val="24"/>
                <w:szCs w:val="24"/>
              </w:rPr>
              <w:t>内容一般、针对性不强的，得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仿宋"/>
                <w:sz w:val="24"/>
              </w:rPr>
              <w:t>；其他情况或没有内容不得分</w:t>
            </w:r>
            <w:r>
              <w:rPr>
                <w:rFonts w:hint="eastAsia" w:ascii="仿宋" w:hAnsi="仿宋" w:eastAsia="仿宋"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6"/>
                <w:sz w:val="24"/>
              </w:rPr>
            </w:pPr>
            <w:r>
              <w:rPr>
                <w:rFonts w:hint="eastAsia" w:ascii="仿宋" w:hAnsi="仿宋" w:eastAsia="仿宋" w:cs="仿宋"/>
                <w:spacing w:val="-6"/>
                <w:sz w:val="24"/>
              </w:rPr>
              <w:t>系统的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pacing w:val="-6"/>
                <w:sz w:val="24"/>
                <w:szCs w:val="24"/>
                <w:lang w:eastAsia="zh-CN"/>
              </w:rPr>
            </w:pPr>
            <w:r>
              <w:rPr>
                <w:rFonts w:hint="eastAsia" w:ascii="仿宋" w:hAnsi="仿宋" w:eastAsia="仿宋" w:cs="仿宋"/>
                <w:spacing w:val="-6"/>
                <w:sz w:val="24"/>
              </w:rPr>
              <w:t>兼容性和能力提升</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12</w:t>
            </w:r>
            <w:r>
              <w:rPr>
                <w:rFonts w:hint="eastAsia" w:ascii="仿宋" w:hAnsi="仿宋" w:eastAsia="仿宋" w:cs="仿宋"/>
                <w:spacing w:val="-6"/>
                <w:sz w:val="24"/>
                <w:lang w:eastAsia="zh-CN"/>
              </w:rPr>
              <w:t>）</w:t>
            </w: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 w:hAnsi="仿宋" w:eastAsia="仿宋" w:cs="仿宋"/>
                <w:color w:val="000000"/>
                <w:spacing w:val="-6"/>
                <w:sz w:val="24"/>
                <w:szCs w:val="24"/>
              </w:rPr>
            </w:pPr>
            <w:r>
              <w:rPr>
                <w:rFonts w:hint="eastAsia" w:ascii="仿宋" w:hAnsi="仿宋" w:eastAsia="仿宋" w:cs="仿宋"/>
                <w:sz w:val="24"/>
                <w:lang w:eastAsia="zh-CN"/>
              </w:rPr>
              <w:t>需满足</w:t>
            </w:r>
            <w:r>
              <w:rPr>
                <w:rFonts w:hint="eastAsia" w:ascii="仿宋" w:hAnsi="仿宋" w:eastAsia="仿宋" w:cs="仿宋"/>
                <w:sz w:val="24"/>
              </w:rPr>
              <w:t>与机场公安既有设备及系统</w:t>
            </w:r>
            <w:r>
              <w:rPr>
                <w:rFonts w:hint="eastAsia" w:ascii="仿宋" w:hAnsi="仿宋" w:eastAsia="仿宋" w:cs="仿宋"/>
                <w:sz w:val="24"/>
                <w:lang w:eastAsia="zh-CN"/>
              </w:rPr>
              <w:t>的对接</w:t>
            </w:r>
            <w:r>
              <w:rPr>
                <w:rFonts w:hint="eastAsia" w:ascii="仿宋" w:hAnsi="仿宋" w:eastAsia="仿宋" w:cs="仿宋"/>
                <w:sz w:val="24"/>
              </w:rPr>
              <w:t>，</w:t>
            </w:r>
            <w:r>
              <w:rPr>
                <w:rFonts w:hint="eastAsia" w:ascii="仿宋" w:hAnsi="仿宋" w:eastAsia="仿宋" w:cs="仿宋"/>
                <w:sz w:val="24"/>
                <w:lang w:eastAsia="zh-CN"/>
              </w:rPr>
              <w:t>包括机场公安</w:t>
            </w:r>
            <w:r>
              <w:rPr>
                <w:rFonts w:hint="eastAsia" w:ascii="仿宋" w:hAnsi="仿宋" w:eastAsia="仿宋" w:cs="仿宋"/>
                <w:sz w:val="24"/>
              </w:rPr>
              <w:t>已建大屏系统、PDT系统、融合分析检索服务器、感知数据应用服务器、全分析智能服务器、执法记录仪及单兵设备等，</w:t>
            </w:r>
            <w:r>
              <w:rPr>
                <w:rFonts w:ascii="仿宋" w:hAnsi="仿宋" w:eastAsia="仿宋" w:cs="仿宋"/>
                <w:sz w:val="24"/>
              </w:rPr>
              <w:t>需投标人提供对接承诺函</w:t>
            </w:r>
            <w:r>
              <w:rPr>
                <w:rFonts w:hint="eastAsia" w:ascii="仿宋" w:hAnsi="仿宋" w:eastAsia="仿宋" w:cs="仿宋"/>
                <w:sz w:val="24"/>
                <w:lang w:eastAsia="zh-CN"/>
              </w:rPr>
              <w:t>和对接方案</w:t>
            </w:r>
            <w:r>
              <w:rPr>
                <w:rFonts w:hint="eastAsia" w:ascii="仿宋" w:hAnsi="仿宋" w:eastAsia="仿宋" w:cs="仿宋"/>
                <w:sz w:val="24"/>
              </w:rPr>
              <w:t>。根据对接方案合理性和可行性进行打分，</w:t>
            </w:r>
            <w:r>
              <w:rPr>
                <w:rFonts w:hint="eastAsia" w:ascii="仿宋" w:hAnsi="仿宋" w:eastAsia="仿宋" w:cs="宋体"/>
                <w:color w:val="000000"/>
                <w:kern w:val="0"/>
                <w:sz w:val="24"/>
                <w:szCs w:val="24"/>
                <w:lang w:val="en-US" w:eastAsia="zh-CN"/>
              </w:rPr>
              <w:t>方案详细、客观，分析全面有效且可行的得4分，方案内容</w:t>
            </w:r>
            <w:r>
              <w:rPr>
                <w:rFonts w:hint="eastAsia" w:ascii="仿宋" w:hAnsi="仿宋" w:eastAsia="仿宋" w:cs="宋体"/>
                <w:color w:val="000000"/>
                <w:kern w:val="0"/>
                <w:sz w:val="24"/>
                <w:szCs w:val="24"/>
                <w:lang w:eastAsia="zh-CN"/>
              </w:rPr>
              <w:t>基本符合、</w:t>
            </w:r>
            <w:r>
              <w:rPr>
                <w:rFonts w:hint="eastAsia" w:ascii="仿宋" w:hAnsi="仿宋" w:eastAsia="仿宋" w:cs="宋体"/>
                <w:color w:val="000000"/>
                <w:kern w:val="0"/>
                <w:sz w:val="24"/>
                <w:szCs w:val="24"/>
                <w:lang w:val="en-US" w:eastAsia="zh-CN"/>
              </w:rPr>
              <w:t>分析内容</w:t>
            </w:r>
            <w:r>
              <w:rPr>
                <w:rFonts w:hint="eastAsia" w:ascii="仿宋" w:hAnsi="仿宋" w:eastAsia="仿宋" w:cs="宋体"/>
                <w:color w:val="000000"/>
                <w:kern w:val="0"/>
                <w:sz w:val="24"/>
                <w:szCs w:val="24"/>
                <w:lang w:eastAsia="zh-CN"/>
              </w:rPr>
              <w:t>针对性较好的</w:t>
            </w:r>
            <w:r>
              <w:rPr>
                <w:rFonts w:hint="eastAsia" w:ascii="仿宋" w:hAnsi="仿宋" w:eastAsia="仿宋" w:cs="宋体"/>
                <w:color w:val="000000"/>
                <w:kern w:val="0"/>
                <w:sz w:val="24"/>
                <w:szCs w:val="24"/>
                <w:lang w:val="en-US" w:eastAsia="zh-CN"/>
              </w:rPr>
              <w:t>得2-3分，</w:t>
            </w:r>
            <w:r>
              <w:rPr>
                <w:rFonts w:hint="eastAsia" w:ascii="仿宋" w:hAnsi="仿宋" w:eastAsia="仿宋" w:cs="宋体"/>
                <w:color w:val="000000"/>
                <w:kern w:val="0"/>
                <w:sz w:val="24"/>
                <w:szCs w:val="24"/>
              </w:rPr>
              <w:t>内容一般、针对性不强的，得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仿宋"/>
                <w:sz w:val="24"/>
              </w:rPr>
              <w:t>；其他情况或没有内容不得分</w:t>
            </w:r>
            <w:r>
              <w:rPr>
                <w:rFonts w:hint="eastAsia" w:ascii="仿宋" w:hAnsi="仿宋" w:eastAsia="仿宋"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spacing w:val="-6"/>
                <w:sz w:val="24"/>
              </w:rPr>
            </w:pP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rPr>
            </w:pPr>
            <w:r>
              <w:rPr>
                <w:rFonts w:hint="eastAsia" w:ascii="仿宋" w:hAnsi="仿宋" w:eastAsia="仿宋" w:cs="仿宋"/>
                <w:sz w:val="24"/>
              </w:rPr>
              <w:t>对接</w:t>
            </w:r>
            <w:r>
              <w:rPr>
                <w:rFonts w:hint="eastAsia" w:ascii="仿宋" w:hAnsi="仿宋" w:eastAsia="仿宋" w:cs="仿宋"/>
                <w:sz w:val="24"/>
                <w:lang w:eastAsia="zh-CN"/>
              </w:rPr>
              <w:t>机场公安</w:t>
            </w:r>
            <w:r>
              <w:rPr>
                <w:rFonts w:hint="eastAsia" w:ascii="仿宋" w:hAnsi="仿宋" w:eastAsia="仿宋" w:cs="仿宋"/>
                <w:sz w:val="24"/>
              </w:rPr>
              <w:t>现有视频平台、立体防控平台等，</w:t>
            </w:r>
            <w:r>
              <w:rPr>
                <w:rFonts w:ascii="仿宋" w:hAnsi="仿宋" w:eastAsia="仿宋" w:cs="仿宋"/>
                <w:sz w:val="24"/>
              </w:rPr>
              <w:t>需投标人提供对接承诺函</w:t>
            </w:r>
            <w:r>
              <w:rPr>
                <w:rFonts w:hint="eastAsia" w:ascii="仿宋" w:hAnsi="仿宋" w:eastAsia="仿宋" w:cs="仿宋"/>
                <w:sz w:val="24"/>
                <w:lang w:eastAsia="zh-CN"/>
              </w:rPr>
              <w:t>和对接方案</w:t>
            </w:r>
            <w:r>
              <w:rPr>
                <w:rFonts w:hint="eastAsia" w:ascii="仿宋" w:hAnsi="仿宋" w:eastAsia="仿宋" w:cs="仿宋"/>
                <w:sz w:val="24"/>
              </w:rPr>
              <w:t>。根据对接方案合理性和可行性进行打分，</w:t>
            </w:r>
            <w:r>
              <w:rPr>
                <w:rFonts w:hint="eastAsia" w:ascii="仿宋" w:hAnsi="仿宋" w:eastAsia="仿宋" w:cs="宋体"/>
                <w:color w:val="000000"/>
                <w:kern w:val="0"/>
                <w:sz w:val="24"/>
                <w:szCs w:val="24"/>
                <w:lang w:val="en-US" w:eastAsia="zh-CN"/>
              </w:rPr>
              <w:t>方案详细、客观，分析全面有效且可行的得4分，方案内容</w:t>
            </w:r>
            <w:r>
              <w:rPr>
                <w:rFonts w:hint="eastAsia" w:ascii="仿宋" w:hAnsi="仿宋" w:eastAsia="仿宋" w:cs="宋体"/>
                <w:color w:val="000000"/>
                <w:kern w:val="0"/>
                <w:sz w:val="24"/>
                <w:szCs w:val="24"/>
                <w:lang w:eastAsia="zh-CN"/>
              </w:rPr>
              <w:t>基本符合、</w:t>
            </w:r>
            <w:r>
              <w:rPr>
                <w:rFonts w:hint="eastAsia" w:ascii="仿宋" w:hAnsi="仿宋" w:eastAsia="仿宋" w:cs="宋体"/>
                <w:color w:val="000000"/>
                <w:kern w:val="0"/>
                <w:sz w:val="24"/>
                <w:szCs w:val="24"/>
                <w:lang w:val="en-US" w:eastAsia="zh-CN"/>
              </w:rPr>
              <w:t>分析内容</w:t>
            </w:r>
            <w:r>
              <w:rPr>
                <w:rFonts w:hint="eastAsia" w:ascii="仿宋" w:hAnsi="仿宋" w:eastAsia="仿宋" w:cs="宋体"/>
                <w:color w:val="000000"/>
                <w:kern w:val="0"/>
                <w:sz w:val="24"/>
                <w:szCs w:val="24"/>
                <w:lang w:eastAsia="zh-CN"/>
              </w:rPr>
              <w:t>针对性较好的</w:t>
            </w:r>
            <w:r>
              <w:rPr>
                <w:rFonts w:hint="eastAsia" w:ascii="仿宋" w:hAnsi="仿宋" w:eastAsia="仿宋" w:cs="宋体"/>
                <w:color w:val="000000"/>
                <w:kern w:val="0"/>
                <w:sz w:val="24"/>
                <w:szCs w:val="24"/>
                <w:lang w:val="en-US" w:eastAsia="zh-CN"/>
              </w:rPr>
              <w:t>得2-3分，</w:t>
            </w:r>
            <w:r>
              <w:rPr>
                <w:rFonts w:hint="eastAsia" w:ascii="仿宋" w:hAnsi="仿宋" w:eastAsia="仿宋" w:cs="宋体"/>
                <w:color w:val="000000"/>
                <w:kern w:val="0"/>
                <w:sz w:val="24"/>
                <w:szCs w:val="24"/>
              </w:rPr>
              <w:t>内容一般、针对性不强的，得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仿宋"/>
                <w:sz w:val="24"/>
              </w:rPr>
              <w:t>；其他情况或没有内容不得分</w:t>
            </w:r>
            <w:r>
              <w:rPr>
                <w:rFonts w:hint="eastAsia" w:ascii="仿宋" w:hAnsi="仿宋" w:eastAsia="仿宋"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8"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spacing w:val="-6"/>
                <w:sz w:val="24"/>
              </w:rPr>
            </w:pP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rPr>
            </w:pPr>
            <w:r>
              <w:rPr>
                <w:rFonts w:hint="eastAsia" w:ascii="仿宋" w:hAnsi="仿宋" w:eastAsia="仿宋" w:cs="仿宋"/>
                <w:sz w:val="24"/>
              </w:rPr>
              <w:t>提供与省厅或杭州市公安局亚运安保系统的对接方案，实现场景切换功能；梳理关联安保数据项对接清单，深度理解市局安保业务和数据类目；</w:t>
            </w:r>
            <w:r>
              <w:rPr>
                <w:rFonts w:ascii="仿宋" w:hAnsi="仿宋" w:eastAsia="仿宋" w:cs="仿宋"/>
                <w:sz w:val="24"/>
              </w:rPr>
              <w:t>同省厅视频平台对接</w:t>
            </w:r>
            <w:r>
              <w:rPr>
                <w:rFonts w:hint="eastAsia" w:ascii="仿宋" w:hAnsi="仿宋" w:eastAsia="仿宋" w:cs="仿宋"/>
                <w:sz w:val="24"/>
              </w:rPr>
              <w:t>，</w:t>
            </w:r>
            <w:r>
              <w:rPr>
                <w:rFonts w:ascii="仿宋" w:hAnsi="仿宋" w:eastAsia="仿宋" w:cs="仿宋"/>
                <w:sz w:val="24"/>
              </w:rPr>
              <w:t>实现机场周边治安监控视频调阅能力</w:t>
            </w:r>
            <w:r>
              <w:rPr>
                <w:rFonts w:hint="eastAsia" w:ascii="仿宋" w:hAnsi="仿宋" w:eastAsia="仿宋" w:cs="仿宋"/>
                <w:sz w:val="24"/>
              </w:rPr>
              <w:t>。上述系统对接</w:t>
            </w:r>
            <w:r>
              <w:rPr>
                <w:rFonts w:ascii="仿宋" w:hAnsi="仿宋" w:eastAsia="仿宋" w:cs="仿宋"/>
                <w:sz w:val="24"/>
              </w:rPr>
              <w:t>需投标人提供对接承诺函</w:t>
            </w:r>
            <w:r>
              <w:rPr>
                <w:rFonts w:hint="eastAsia" w:ascii="仿宋" w:hAnsi="仿宋" w:eastAsia="仿宋" w:cs="仿宋"/>
                <w:sz w:val="24"/>
                <w:lang w:eastAsia="zh-CN"/>
              </w:rPr>
              <w:t>和对接方案</w:t>
            </w:r>
            <w:r>
              <w:rPr>
                <w:rFonts w:hint="eastAsia" w:ascii="仿宋" w:hAnsi="仿宋" w:eastAsia="仿宋" w:cs="仿宋"/>
                <w:sz w:val="24"/>
              </w:rPr>
              <w:t>。根据对接方案合理性和可行性进行打分，</w:t>
            </w:r>
            <w:r>
              <w:rPr>
                <w:rFonts w:hint="eastAsia" w:ascii="仿宋" w:hAnsi="仿宋" w:eastAsia="仿宋" w:cs="宋体"/>
                <w:color w:val="000000"/>
                <w:kern w:val="0"/>
                <w:sz w:val="24"/>
                <w:szCs w:val="24"/>
                <w:lang w:val="en-US" w:eastAsia="zh-CN"/>
              </w:rPr>
              <w:t>方案详细、客观，分析全面有效且可行的得4分，方案内容</w:t>
            </w:r>
            <w:r>
              <w:rPr>
                <w:rFonts w:hint="eastAsia" w:ascii="仿宋" w:hAnsi="仿宋" w:eastAsia="仿宋" w:cs="宋体"/>
                <w:color w:val="000000"/>
                <w:kern w:val="0"/>
                <w:sz w:val="24"/>
                <w:szCs w:val="24"/>
                <w:lang w:eastAsia="zh-CN"/>
              </w:rPr>
              <w:t>基本符合、</w:t>
            </w:r>
            <w:r>
              <w:rPr>
                <w:rFonts w:hint="eastAsia" w:ascii="仿宋" w:hAnsi="仿宋" w:eastAsia="仿宋" w:cs="宋体"/>
                <w:color w:val="000000"/>
                <w:kern w:val="0"/>
                <w:sz w:val="24"/>
                <w:szCs w:val="24"/>
                <w:lang w:val="en-US" w:eastAsia="zh-CN"/>
              </w:rPr>
              <w:t>分析内容</w:t>
            </w:r>
            <w:r>
              <w:rPr>
                <w:rFonts w:hint="eastAsia" w:ascii="仿宋" w:hAnsi="仿宋" w:eastAsia="仿宋" w:cs="宋体"/>
                <w:color w:val="000000"/>
                <w:kern w:val="0"/>
                <w:sz w:val="24"/>
                <w:szCs w:val="24"/>
                <w:lang w:eastAsia="zh-CN"/>
              </w:rPr>
              <w:t>针对性较好的</w:t>
            </w:r>
            <w:r>
              <w:rPr>
                <w:rFonts w:hint="eastAsia" w:ascii="仿宋" w:hAnsi="仿宋" w:eastAsia="仿宋" w:cs="宋体"/>
                <w:color w:val="000000"/>
                <w:kern w:val="0"/>
                <w:sz w:val="24"/>
                <w:szCs w:val="24"/>
                <w:lang w:val="en-US" w:eastAsia="zh-CN"/>
              </w:rPr>
              <w:t>得2-3分，</w:t>
            </w:r>
            <w:r>
              <w:rPr>
                <w:rFonts w:hint="eastAsia" w:ascii="仿宋" w:hAnsi="仿宋" w:eastAsia="仿宋" w:cs="宋体"/>
                <w:color w:val="000000"/>
                <w:kern w:val="0"/>
                <w:sz w:val="24"/>
                <w:szCs w:val="24"/>
              </w:rPr>
              <w:t>内容一般、针对性不强的，得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仿宋"/>
                <w:sz w:val="24"/>
              </w:rPr>
              <w:t>；其他情况或没有内容不得分</w:t>
            </w:r>
            <w:r>
              <w:rPr>
                <w:rFonts w:hint="eastAsia" w:ascii="仿宋" w:hAnsi="仿宋" w:eastAsia="仿宋"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5" w:hRule="atLeast"/>
          <w:jc w:val="center"/>
        </w:trPr>
        <w:tc>
          <w:tcPr>
            <w:tcW w:w="140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6"/>
                <w:sz w:val="24"/>
                <w:lang w:eastAsia="zh-CN"/>
              </w:rPr>
            </w:pPr>
            <w:r>
              <w:rPr>
                <w:rFonts w:hint="eastAsia" w:ascii="仿宋" w:hAnsi="仿宋" w:eastAsia="仿宋" w:cs="仿宋"/>
                <w:spacing w:val="-6"/>
                <w:sz w:val="24"/>
              </w:rPr>
              <w:t>系统演示要求</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15</w:t>
            </w:r>
            <w:r>
              <w:rPr>
                <w:rFonts w:hint="eastAsia" w:ascii="仿宋" w:hAnsi="仿宋" w:eastAsia="仿宋" w:cs="仿宋"/>
                <w:spacing w:val="-6"/>
                <w:sz w:val="24"/>
                <w:lang w:eastAsia="zh-CN"/>
              </w:rPr>
              <w:t>）</w:t>
            </w: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15</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投标人提供不超过15分钟的展示讲解视频，以系统原型演示进行，投标人须按照演示内容录制成视频文件。根据《演示方案》章节进行整体评分。其中，技术方案需制作系统DEMO进行演示，从功能完整性、界面合理性、**业务的衔接匹配度等维度进行综合评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投标人需将演示的内容以U盘形式存储并密封包装（包装上标注演示U盘、项目名称、投标人名称并加盖公章），可以EMS或顺丰邮寄形式在响应文件提交截止时间前递交。</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评分细则：</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1、一体化指挥驾驶舱（模块及数据对接）-驾驶舱元素设计及系统对接，按演示方案的4个要求和8个数据展示内容，演示功能吻合度评分，演示不成功不得分，共2分；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2、一体化指挥驾驶舱（模块及数据对接）-智能搜索，按演示方案的6个要求，演示功能吻合度评分，演示不成功不得分，共2分；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3、空间数据应用-警卫路线-预案推演，按演示方案的2个要求，演示功能吻合度评分，演示不成功不得分，共1分；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4、实景指挥-图上要素管理，按演示方案的5个要求，演示功能吻合度评分，演示不成功不得分，共2分；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5、机场三维建模-数字路口展示，按演示方案的8个要求，演示功能吻合度评分，演示不成功不得分，共2分；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6、机场三维建模-数字路口历史报警分析，按演示方案的4个要求，演示功能吻合度评分，演示不成功不得分，共2分；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7、机场三维建模-数字路口关键路径溯源，按演示方案的3个要求，演示功能吻合度评分，演示不成功不得分，共2分；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8、机场三维建模-数字路口仿真推演，按演示方案的6个要求，演示功能吻合度评分，演示不成功不得分，共2分；</w:t>
            </w:r>
          </w:p>
          <w:p>
            <w:pPr>
              <w:pStyle w:val="2"/>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pacing w:val="-6"/>
                <w:sz w:val="24"/>
                <w:szCs w:val="24"/>
                <w:lang w:eastAsia="zh-CN"/>
              </w:rPr>
            </w:pPr>
            <w:r>
              <w:rPr>
                <w:rFonts w:hint="eastAsia" w:ascii="仿宋" w:hAnsi="仿宋" w:eastAsia="仿宋" w:cs="仿宋"/>
                <w:sz w:val="24"/>
              </w:rPr>
              <w:t>项目实施方案</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p>
        </w:tc>
        <w:tc>
          <w:tcPr>
            <w:tcW w:w="645" w:type="dxa"/>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3</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6"/>
                <w:sz w:val="24"/>
                <w:szCs w:val="24"/>
              </w:rPr>
            </w:pPr>
            <w:r>
              <w:rPr>
                <w:rFonts w:hint="eastAsia" w:ascii="仿宋" w:hAnsi="仿宋" w:eastAsia="仿宋" w:cs="仿宋"/>
                <w:sz w:val="24"/>
              </w:rPr>
              <w:t>实施方案计划完整、科学合理、可实施。</w:t>
            </w:r>
            <w:r>
              <w:rPr>
                <w:rFonts w:hint="eastAsia" w:ascii="仿宋" w:hAnsi="仿宋" w:eastAsia="仿宋" w:cs="仿宋"/>
                <w:color w:val="auto"/>
                <w:spacing w:val="-6"/>
                <w:sz w:val="24"/>
                <w:szCs w:val="24"/>
              </w:rPr>
              <w:t>阐述详实、符合实际需求的，得</w:t>
            </w:r>
            <w:r>
              <w:rPr>
                <w:rFonts w:hint="eastAsia" w:ascii="仿宋" w:hAnsi="仿宋" w:eastAsia="仿宋" w:cs="仿宋"/>
                <w:color w:val="auto"/>
                <w:spacing w:val="-6"/>
                <w:sz w:val="24"/>
                <w:szCs w:val="24"/>
                <w:lang w:val="en-US" w:eastAsia="zh-CN"/>
              </w:rPr>
              <w:t>3</w:t>
            </w:r>
            <w:r>
              <w:rPr>
                <w:rFonts w:hint="eastAsia" w:ascii="仿宋" w:hAnsi="仿宋" w:eastAsia="仿宋" w:cs="仿宋"/>
                <w:color w:val="auto"/>
                <w:spacing w:val="-6"/>
                <w:sz w:val="24"/>
                <w:szCs w:val="24"/>
              </w:rPr>
              <w:t>分；阐述</w:t>
            </w:r>
            <w:r>
              <w:rPr>
                <w:rFonts w:hint="eastAsia" w:ascii="仿宋" w:hAnsi="仿宋" w:eastAsia="仿宋" w:cs="仿宋"/>
                <w:color w:val="auto"/>
                <w:spacing w:val="-6"/>
                <w:sz w:val="24"/>
                <w:szCs w:val="24"/>
                <w:lang w:eastAsia="zh-CN"/>
              </w:rPr>
              <w:t>内容基本符合、针对性较好的，</w:t>
            </w:r>
            <w:r>
              <w:rPr>
                <w:rFonts w:hint="eastAsia" w:ascii="仿宋" w:hAnsi="仿宋" w:eastAsia="仿宋" w:cs="仿宋"/>
                <w:color w:val="auto"/>
                <w:spacing w:val="-6"/>
                <w:sz w:val="24"/>
                <w:szCs w:val="24"/>
              </w:rPr>
              <w:t>得</w:t>
            </w:r>
            <w:r>
              <w:rPr>
                <w:rFonts w:hint="eastAsia" w:ascii="仿宋" w:hAnsi="仿宋" w:eastAsia="仿宋" w:cs="仿宋"/>
                <w:color w:val="auto"/>
                <w:spacing w:val="-6"/>
                <w:sz w:val="24"/>
                <w:szCs w:val="24"/>
                <w:lang w:val="en-US" w:eastAsia="zh-CN"/>
              </w:rPr>
              <w:t>2</w:t>
            </w:r>
            <w:r>
              <w:rPr>
                <w:rFonts w:hint="eastAsia" w:ascii="仿宋" w:hAnsi="仿宋" w:eastAsia="仿宋" w:cs="仿宋"/>
                <w:color w:val="auto"/>
                <w:spacing w:val="-6"/>
                <w:sz w:val="24"/>
                <w:szCs w:val="24"/>
              </w:rPr>
              <w:t>分</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内容一般、针对性不强的，得1分</w:t>
            </w:r>
            <w:r>
              <w:rPr>
                <w:rFonts w:hint="eastAsia" w:ascii="仿宋" w:hAnsi="仿宋" w:eastAsia="仿宋" w:cs="仿宋"/>
                <w:sz w:val="24"/>
              </w:rPr>
              <w:t>；其他情况或没有内容不得分</w:t>
            </w:r>
            <w:r>
              <w:rPr>
                <w:rFonts w:hint="eastAsia" w:ascii="仿宋" w:hAnsi="仿宋" w:eastAsia="仿宋" w:cs="仿宋"/>
                <w:color w:val="auto"/>
                <w:spacing w:val="-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8" w:type="dxa"/>
            <w:vMerge w:val="restart"/>
            <w:tcBorders>
              <w:left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服务团队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p>
          <w:p>
            <w:pPr>
              <w:spacing w:line="288" w:lineRule="auto"/>
              <w:jc w:val="center"/>
              <w:rPr>
                <w:rFonts w:hint="eastAsia" w:ascii="仿宋" w:hAnsi="仿宋" w:eastAsia="仿宋" w:cs="仿宋"/>
                <w:color w:val="auto"/>
                <w:sz w:val="24"/>
                <w:szCs w:val="24"/>
              </w:rPr>
            </w:pPr>
          </w:p>
        </w:tc>
        <w:tc>
          <w:tcPr>
            <w:tcW w:w="645" w:type="dxa"/>
            <w:tcBorders>
              <w:top w:val="single" w:color="auto" w:sz="4" w:space="0"/>
              <w:left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val="en-US" w:eastAsia="zh-CN"/>
              </w:rPr>
              <w:t>4</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color w:val="auto"/>
                <w:kern w:val="0"/>
                <w:sz w:val="24"/>
                <w:szCs w:val="24"/>
                <w:lang w:eastAsia="zh-CN"/>
              </w:rPr>
            </w:pPr>
            <w:r>
              <w:rPr>
                <w:rFonts w:hint="eastAsia" w:ascii="仿宋_GB2312" w:hAnsi="仿宋_GB2312" w:eastAsia="仿宋_GB2312" w:cs="仿宋_GB2312"/>
                <w:b/>
                <w:sz w:val="24"/>
              </w:rPr>
              <w:t>项目经理</w:t>
            </w:r>
            <w:r>
              <w:rPr>
                <w:rFonts w:hint="eastAsia" w:ascii="仿宋_GB2312" w:hAnsi="仿宋_GB2312" w:eastAsia="仿宋_GB2312" w:cs="仿宋_GB2312"/>
                <w:b/>
                <w:sz w:val="24"/>
                <w:lang w:eastAsia="zh-CN"/>
              </w:rPr>
              <w:t>：</w:t>
            </w:r>
            <w:r>
              <w:rPr>
                <w:rFonts w:hint="eastAsia" w:ascii="仿宋_GB2312" w:hAnsi="仿宋_GB2312" w:eastAsia="仿宋_GB2312" w:cs="仿宋_GB2312"/>
                <w:sz w:val="24"/>
                <w:highlight w:val="none"/>
              </w:rPr>
              <w:t>具备高级工程师（</w:t>
            </w:r>
            <w:r>
              <w:rPr>
                <w:rFonts w:hint="eastAsia" w:ascii="仿宋_GB2312" w:hAnsi="仿宋_GB2312" w:eastAsia="仿宋_GB2312" w:cs="仿宋_GB2312"/>
                <w:color w:val="auto"/>
                <w:sz w:val="24"/>
                <w:highlight w:val="none"/>
              </w:rPr>
              <w:t>系统集成</w:t>
            </w:r>
            <w:r>
              <w:rPr>
                <w:rFonts w:hint="eastAsia" w:ascii="仿宋_GB2312" w:hAnsi="仿宋_GB2312" w:eastAsia="仿宋_GB2312" w:cs="仿宋_GB2312"/>
                <w:color w:val="auto"/>
                <w:sz w:val="24"/>
                <w:highlight w:val="none"/>
                <w:lang w:eastAsia="zh-CN"/>
              </w:rPr>
              <w:t>或信息技术</w:t>
            </w:r>
            <w:r>
              <w:rPr>
                <w:rFonts w:hint="eastAsia" w:ascii="仿宋_GB2312" w:hAnsi="仿宋_GB2312" w:eastAsia="仿宋_GB2312" w:cs="仿宋_GB2312"/>
                <w:sz w:val="24"/>
                <w:highlight w:val="none"/>
              </w:rPr>
              <w:t>）证书、信息系统项目管理师证书（高级）、一级注册建造师证书（通信与广电）</w:t>
            </w:r>
            <w:r>
              <w:rPr>
                <w:rFonts w:hint="eastAsia" w:ascii="仿宋_GB2312" w:hAnsi="仿宋_GB2312" w:eastAsia="仿宋_GB2312" w:cs="仿宋_GB2312"/>
                <w:sz w:val="24"/>
                <w:highlight w:val="none"/>
                <w:lang w:eastAsia="zh-CN"/>
              </w:rPr>
              <w:t>、高级软件设计师证书</w:t>
            </w:r>
            <w:r>
              <w:rPr>
                <w:rFonts w:hint="eastAsia" w:ascii="仿宋_GB2312" w:hAnsi="仿宋_GB2312" w:eastAsia="仿宋_GB2312" w:cs="仿宋_GB2312"/>
                <w:sz w:val="24"/>
                <w:highlight w:val="none"/>
              </w:rPr>
              <w:t>，每提供1个得</w:t>
            </w:r>
            <w:r>
              <w:rPr>
                <w:rFonts w:ascii="仿宋_GB2312" w:hAnsi="仿宋_GB2312" w:eastAsia="仿宋_GB2312" w:cs="仿宋_GB2312"/>
                <w:sz w:val="24"/>
                <w:highlight w:val="none"/>
              </w:rPr>
              <w:t>1</w:t>
            </w:r>
            <w:r>
              <w:rPr>
                <w:rFonts w:hint="eastAsia" w:ascii="仿宋_GB2312" w:hAnsi="仿宋_GB2312" w:eastAsia="仿宋_GB2312" w:cs="仿宋_GB2312"/>
                <w:sz w:val="24"/>
                <w:highlight w:val="none"/>
              </w:rPr>
              <w:t>分，最高得</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1408" w:type="dxa"/>
            <w:vMerge w:val="continue"/>
            <w:tcBorders>
              <w:left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pacing w:val="-6"/>
                <w:sz w:val="24"/>
                <w:szCs w:val="24"/>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pacing w:val="-6"/>
                <w:sz w:val="24"/>
                <w:szCs w:val="24"/>
                <w:lang w:eastAsia="zh-CN"/>
              </w:rPr>
            </w:pPr>
            <w:r>
              <w:rPr>
                <w:rFonts w:hint="eastAsia" w:ascii="仿宋" w:hAnsi="仿宋" w:eastAsia="仿宋" w:cs="仿宋"/>
                <w:color w:val="auto"/>
                <w:sz w:val="24"/>
                <w:szCs w:val="24"/>
                <w:lang w:val="en-US" w:eastAsia="zh-CN"/>
              </w:rPr>
              <w:t>6</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pacing w:val="-6"/>
                <w:sz w:val="24"/>
                <w:szCs w:val="24"/>
              </w:rPr>
            </w:pPr>
            <w:r>
              <w:rPr>
                <w:rFonts w:hint="eastAsia" w:ascii="仿宋_GB2312" w:hAnsi="仿宋_GB2312" w:eastAsia="仿宋_GB2312" w:cs="仿宋_GB2312"/>
                <w:b/>
                <w:sz w:val="24"/>
              </w:rPr>
              <w:t>服务团队</w:t>
            </w:r>
            <w:r>
              <w:rPr>
                <w:rFonts w:hint="eastAsia" w:ascii="仿宋_GB2312" w:hAnsi="仿宋_GB2312" w:eastAsia="仿宋_GB2312" w:cs="仿宋_GB2312"/>
                <w:b/>
                <w:sz w:val="24"/>
                <w:lang w:eastAsia="zh-CN"/>
              </w:rPr>
              <w:t>：</w:t>
            </w:r>
            <w:r>
              <w:rPr>
                <w:rFonts w:hint="eastAsia" w:ascii="仿宋" w:hAnsi="仿宋" w:eastAsia="仿宋" w:cs="仿宋"/>
                <w:color w:val="000000"/>
                <w:spacing w:val="-6"/>
                <w:sz w:val="24"/>
                <w:szCs w:val="24"/>
              </w:rPr>
              <w:t>根据投标人拟提供的本项目服务团队人员清单，具备国家人力资源和社会保障行政主管部门颁发的信息系统项目管理师、系统架构设计师、网络规划设计师</w:t>
            </w:r>
            <w:r>
              <w:rPr>
                <w:rFonts w:hint="eastAsia" w:ascii="仿宋" w:hAnsi="仿宋" w:eastAsia="仿宋" w:cs="仿宋"/>
                <w:color w:val="000000"/>
                <w:spacing w:val="-6"/>
                <w:sz w:val="24"/>
                <w:szCs w:val="24"/>
                <w:lang w:eastAsia="zh-CN"/>
              </w:rPr>
              <w:t>或网络工程师、软件设计师、</w:t>
            </w:r>
            <w:r>
              <w:rPr>
                <w:rFonts w:hint="eastAsia" w:ascii="仿宋" w:hAnsi="仿宋" w:eastAsia="仿宋" w:cs="仿宋"/>
                <w:color w:val="000000"/>
                <w:spacing w:val="-6"/>
                <w:sz w:val="24"/>
                <w:szCs w:val="24"/>
              </w:rPr>
              <w:t>CISAW信息安全保障人员认证证书、注册信息安全管理人员证书、ITSS认证IT服务类证书。以上每本证书得1分，最高</w:t>
            </w:r>
            <w:r>
              <w:rPr>
                <w:rFonts w:hint="eastAsia" w:ascii="仿宋" w:hAnsi="仿宋" w:eastAsia="仿宋" w:cs="仿宋"/>
                <w:color w:val="000000"/>
                <w:spacing w:val="-6"/>
                <w:sz w:val="24"/>
                <w:szCs w:val="24"/>
                <w:lang w:val="en-US" w:eastAsia="zh-CN"/>
              </w:rPr>
              <w:t>6</w:t>
            </w:r>
            <w:r>
              <w:rPr>
                <w:rFonts w:hint="eastAsia" w:ascii="仿宋" w:hAnsi="仿宋" w:eastAsia="仿宋" w:cs="仿宋"/>
                <w:color w:val="000000"/>
                <w:spacing w:val="-6"/>
                <w:sz w:val="24"/>
                <w:szCs w:val="24"/>
              </w:rPr>
              <w:t>分。一人多证的按一本证计分。一证多人同有，一种证书只能计一次分。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ascii="仿宋" w:hAnsi="仿宋" w:eastAsia="仿宋" w:cs="仿宋"/>
                <w:color w:val="000000"/>
                <w:spacing w:val="-6"/>
                <w:sz w:val="24"/>
                <w:szCs w:val="24"/>
              </w:rPr>
              <w:t>（注：以上人员必须为本公司或分公司在职人员，参保单位名称与投标人名称一致，需提供相应证书及近</w:t>
            </w:r>
            <w:r>
              <w:rPr>
                <w:rFonts w:hint="eastAsia" w:ascii="仿宋" w:hAnsi="仿宋" w:eastAsia="仿宋" w:cs="仿宋"/>
                <w:color w:val="000000"/>
                <w:spacing w:val="-6"/>
                <w:sz w:val="24"/>
                <w:szCs w:val="24"/>
                <w:lang w:eastAsia="zh-CN"/>
              </w:rPr>
              <w:t>半年任一月的</w:t>
            </w:r>
            <w:r>
              <w:rPr>
                <w:rFonts w:hint="eastAsia" w:ascii="仿宋" w:hAnsi="仿宋" w:eastAsia="仿宋" w:cs="仿宋"/>
                <w:color w:val="000000"/>
                <w:spacing w:val="-6"/>
                <w:sz w:val="24"/>
                <w:szCs w:val="24"/>
              </w:rPr>
              <w:t>社保缴纳证明，不提供不得分）。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08" w:type="dxa"/>
            <w:tcBorders>
              <w:left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售后服务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p>
        </w:tc>
        <w:tc>
          <w:tcPr>
            <w:tcW w:w="645" w:type="dxa"/>
            <w:noWrap w:val="0"/>
            <w:vAlign w:val="center"/>
          </w:tcPr>
          <w:p>
            <w:pPr>
              <w:spacing w:line="288" w:lineRule="auto"/>
              <w:jc w:val="center"/>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5</w:t>
            </w:r>
          </w:p>
        </w:tc>
        <w:tc>
          <w:tcPr>
            <w:tcW w:w="6466" w:type="dxa"/>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ascii="仿宋" w:hAnsi="仿宋" w:eastAsia="仿宋" w:cs="仿宋"/>
                <w:sz w:val="24"/>
              </w:rPr>
            </w:pPr>
            <w:r>
              <w:rPr>
                <w:rFonts w:hint="eastAsia" w:ascii="仿宋" w:hAnsi="仿宋" w:eastAsia="仿宋" w:cs="仿宋"/>
                <w:sz w:val="24"/>
              </w:rPr>
              <w:t>根据售后服务方案的完整性、合理性进行综合评议，包括针对售后服务机构及人员配备、项目维护计划（对用户故障的响应、处理、定期巡检）的有效性、应急处理预案等方面进行综合评分； 本地具有售后服务</w:t>
            </w:r>
            <w:r>
              <w:rPr>
                <w:rFonts w:hint="eastAsia" w:ascii="仿宋" w:hAnsi="仿宋" w:eastAsia="仿宋" w:cs="仿宋"/>
                <w:sz w:val="24"/>
                <w:lang w:eastAsia="zh-CN"/>
              </w:rPr>
              <w:t>能力</w:t>
            </w:r>
            <w:r>
              <w:rPr>
                <w:rFonts w:hint="eastAsia" w:ascii="仿宋" w:hAnsi="仿宋" w:eastAsia="仿宋" w:cs="仿宋"/>
                <w:sz w:val="24"/>
              </w:rPr>
              <w:t>，提供至少3人驻场服务，确保项目的售后服务。最高得2分。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sz w:val="24"/>
                <w:highlight w:val="none"/>
              </w:rPr>
              <w:t>具有和公安机关成立联合实验室的经验，根据投标人提供厂家的近五年以来，与县级及以上公安机关类似的联合实验室进行打分，每提供一份证明材料得1分，最高得3分。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0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安全管理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p>
        </w:tc>
        <w:tc>
          <w:tcPr>
            <w:tcW w:w="645" w:type="dxa"/>
            <w:noWrap w:val="0"/>
            <w:vAlign w:val="center"/>
          </w:tcPr>
          <w:p>
            <w:pPr>
              <w:spacing w:line="288" w:lineRule="auto"/>
              <w:jc w:val="center"/>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val="en-US" w:eastAsia="zh-CN"/>
              </w:rPr>
              <w:t>2</w:t>
            </w:r>
          </w:p>
        </w:tc>
        <w:tc>
          <w:tcPr>
            <w:tcW w:w="6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安全保密方案（包括人员的安全管理、设备及数据安全管理、应急预案等内容），</w:t>
            </w:r>
            <w:r>
              <w:rPr>
                <w:rFonts w:hint="eastAsia" w:ascii="仿宋" w:hAnsi="仿宋" w:eastAsia="仿宋" w:cs="仿宋"/>
                <w:color w:val="auto"/>
                <w:sz w:val="24"/>
                <w:szCs w:val="24"/>
                <w:lang w:bidi="en-US"/>
              </w:rPr>
              <w:t>最多</w:t>
            </w:r>
            <w:r>
              <w:rPr>
                <w:rFonts w:hint="eastAsia" w:ascii="仿宋" w:hAnsi="仿宋" w:eastAsia="仿宋" w:cs="仿宋"/>
                <w:color w:val="auto"/>
                <w:sz w:val="24"/>
                <w:szCs w:val="24"/>
                <w:lang w:val="en-US" w:eastAsia="zh-CN" w:bidi="en-US"/>
              </w:rPr>
              <w:t>2</w:t>
            </w:r>
            <w:r>
              <w:rPr>
                <w:rFonts w:hint="eastAsia" w:ascii="仿宋" w:hAnsi="仿宋" w:eastAsia="仿宋" w:cs="仿宋"/>
                <w:color w:val="auto"/>
                <w:sz w:val="24"/>
                <w:szCs w:val="24"/>
                <w:lang w:bidi="en-US"/>
              </w:rPr>
              <w:t>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0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培训方案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p>
        </w:tc>
        <w:tc>
          <w:tcPr>
            <w:tcW w:w="645" w:type="dxa"/>
            <w:noWrap w:val="0"/>
            <w:vAlign w:val="center"/>
          </w:tcPr>
          <w:p>
            <w:pPr>
              <w:spacing w:line="288" w:lineRule="auto"/>
              <w:jc w:val="center"/>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val="en-US" w:eastAsia="zh-CN"/>
              </w:rPr>
              <w:t>2</w:t>
            </w:r>
          </w:p>
        </w:tc>
        <w:tc>
          <w:tcPr>
            <w:tcW w:w="6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bidi="en-US"/>
              </w:rPr>
              <w:t>针对投标人提供的培训方案包括本建设项目系统运行维护培训及针对采购单位人员培训方案等进行打分。</w:t>
            </w:r>
            <w:r>
              <w:rPr>
                <w:rFonts w:hint="eastAsia" w:ascii="仿宋" w:hAnsi="仿宋" w:eastAsia="仿宋" w:cs="仿宋"/>
                <w:color w:val="000000"/>
                <w:spacing w:val="-6"/>
                <w:sz w:val="24"/>
                <w:szCs w:val="24"/>
              </w:rPr>
              <w:t>内容详实、全面、有效合理的，技术力量全面有效的得</w:t>
            </w:r>
            <w:r>
              <w:rPr>
                <w:rFonts w:hint="eastAsia" w:ascii="仿宋" w:hAnsi="仿宋" w:eastAsia="仿宋" w:cs="仿宋"/>
                <w:color w:val="000000"/>
                <w:spacing w:val="-6"/>
                <w:sz w:val="24"/>
                <w:szCs w:val="24"/>
                <w:lang w:val="en-US" w:eastAsia="zh-CN"/>
              </w:rPr>
              <w:t>2</w:t>
            </w:r>
            <w:r>
              <w:rPr>
                <w:rFonts w:hint="eastAsia" w:ascii="仿宋" w:hAnsi="仿宋" w:eastAsia="仿宋" w:cs="仿宋"/>
                <w:color w:val="000000"/>
                <w:spacing w:val="-6"/>
                <w:sz w:val="24"/>
                <w:szCs w:val="24"/>
              </w:rPr>
              <w:t>分，方案</w:t>
            </w:r>
            <w:r>
              <w:rPr>
                <w:rFonts w:hint="eastAsia" w:ascii="仿宋" w:hAnsi="仿宋" w:eastAsia="仿宋" w:cs="仿宋"/>
                <w:color w:val="000000"/>
                <w:spacing w:val="-6"/>
                <w:sz w:val="24"/>
                <w:szCs w:val="24"/>
                <w:lang w:eastAsia="zh-CN"/>
              </w:rPr>
              <w:t>内容有所</w:t>
            </w:r>
            <w:r>
              <w:rPr>
                <w:rFonts w:hint="eastAsia" w:ascii="仿宋" w:hAnsi="仿宋" w:eastAsia="仿宋" w:cs="仿宋"/>
                <w:color w:val="000000"/>
                <w:spacing w:val="-6"/>
                <w:sz w:val="24"/>
                <w:szCs w:val="24"/>
              </w:rPr>
              <w:t>欠缺的</w:t>
            </w:r>
            <w:r>
              <w:rPr>
                <w:rFonts w:hint="eastAsia" w:ascii="仿宋" w:hAnsi="仿宋" w:eastAsia="仿宋" w:cs="仿宋"/>
                <w:color w:val="000000"/>
                <w:spacing w:val="-6"/>
                <w:sz w:val="24"/>
                <w:szCs w:val="24"/>
                <w:lang w:eastAsia="zh-CN"/>
              </w:rPr>
              <w:t>得</w:t>
            </w:r>
            <w:r>
              <w:rPr>
                <w:rFonts w:hint="eastAsia" w:ascii="仿宋" w:hAnsi="仿宋" w:eastAsia="仿宋" w:cs="仿宋"/>
                <w:color w:val="000000"/>
                <w:spacing w:val="-6"/>
                <w:sz w:val="24"/>
                <w:szCs w:val="24"/>
                <w:lang w:val="en-US" w:eastAsia="zh-CN"/>
              </w:rPr>
              <w:t>1分</w:t>
            </w:r>
            <w:r>
              <w:rPr>
                <w:rFonts w:hint="eastAsia" w:ascii="仿宋" w:hAnsi="仿宋" w:eastAsia="仿宋" w:cs="仿宋"/>
                <w:color w:val="000000"/>
                <w:spacing w:val="-6"/>
                <w:sz w:val="24"/>
                <w:szCs w:val="24"/>
              </w:rPr>
              <w:t>。</w:t>
            </w:r>
          </w:p>
        </w:tc>
      </w:tr>
    </w:tbl>
    <w:p>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注：1、以上所需提供的资料复印件均需加盖投标人公章；</w:t>
      </w:r>
    </w:p>
    <w:p>
      <w:pPr>
        <w:adjustRightInd w:val="0"/>
        <w:snapToGrid w:val="0"/>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2、若未提供相关证明材料的，不得分；</w:t>
      </w:r>
    </w:p>
    <w:p>
      <w:pPr>
        <w:adjustRightInd w:val="0"/>
        <w:snapToGrid w:val="0"/>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3、最低报价不一定为最终中标的保证。</w:t>
      </w:r>
    </w:p>
    <w:p>
      <w:pPr>
        <w:adjustRightInd w:val="0"/>
        <w:snapToGrid w:val="0"/>
        <w:spacing w:line="360" w:lineRule="auto"/>
        <w:jc w:val="center"/>
        <w:rPr>
          <w:rFonts w:hint="eastAsia" w:ascii="仿宋_GB2312" w:hAnsi="仿宋" w:eastAsia="仿宋_GB2312" w:cs="仿宋"/>
          <w:b/>
          <w:sz w:val="36"/>
          <w:szCs w:val="36"/>
        </w:rPr>
      </w:pPr>
      <w:r>
        <w:rPr>
          <w:rFonts w:hint="eastAsia" w:ascii="仿宋_GB2312" w:hAnsi="仿宋" w:eastAsia="仿宋_GB2312" w:cs="仿宋"/>
          <w:sz w:val="36"/>
          <w:szCs w:val="36"/>
        </w:rPr>
        <w:br w:type="page"/>
      </w:r>
      <w:r>
        <w:rPr>
          <w:rFonts w:hint="eastAsia" w:ascii="仿宋_GB2312" w:hAnsi="仿宋" w:eastAsia="仿宋_GB2312" w:cs="仿宋"/>
          <w:b/>
          <w:sz w:val="32"/>
          <w:szCs w:val="32"/>
        </w:rPr>
        <w:t>第五部分  合同主要条款</w:t>
      </w:r>
    </w:p>
    <w:p>
      <w:pPr>
        <w:pStyle w:val="19"/>
        <w:adjustRightInd w:val="0"/>
        <w:snapToGrid w:val="0"/>
        <w:spacing w:before="120" w:after="120" w:line="360" w:lineRule="auto"/>
        <w:jc w:val="center"/>
        <w:rPr>
          <w:rFonts w:hint="eastAsia" w:ascii="仿宋_GB2312" w:hAnsi="仿宋" w:eastAsia="仿宋_GB2312" w:cs="仿宋"/>
        </w:rPr>
      </w:pPr>
      <w:r>
        <w:rPr>
          <w:rFonts w:hint="eastAsia" w:ascii="仿宋_GB2312" w:hAnsi="仿宋" w:eastAsia="仿宋_GB2312" w:cs="仿宋"/>
          <w:b/>
        </w:rPr>
        <w:t>（本合同为合同样稿，最终稿由双方协商后确定）</w:t>
      </w:r>
    </w:p>
    <w:p>
      <w:pPr>
        <w:adjustRightInd w:val="0"/>
        <w:snapToGrid w:val="0"/>
        <w:spacing w:line="360" w:lineRule="auto"/>
        <w:rPr>
          <w:rFonts w:hint="eastAsia" w:ascii="仿宋" w:hAnsi="仿宋" w:eastAsia="仿宋" w:cs="仿宋"/>
          <w:sz w:val="24"/>
        </w:rPr>
      </w:pPr>
    </w:p>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 xml:space="preserve">                                         合同编号： </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项目名称：</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项目编号：</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甲方（全称）： </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乙方（全称）：</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鉴证方：浙江通用招标代理有限公司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依照《中</w:t>
      </w:r>
      <w:r>
        <w:rPr>
          <w:rFonts w:hint="eastAsia" w:ascii="仿宋" w:hAnsi="仿宋" w:eastAsia="仿宋" w:cs="仿宋"/>
          <w:sz w:val="24"/>
          <w:lang w:eastAsia="zh-CN"/>
        </w:rPr>
        <w:t>华人民共和国民法典</w:t>
      </w:r>
      <w:r>
        <w:rPr>
          <w:rFonts w:hint="eastAsia" w:ascii="仿宋" w:hAnsi="仿宋" w:eastAsia="仿宋" w:cs="仿宋"/>
          <w:sz w:val="24"/>
        </w:rPr>
        <w:t>》及其他相关法律、行政法规，遵循平等、自愿、公平和诚实信用的原则，双方就</w:t>
      </w:r>
      <w:r>
        <w:rPr>
          <w:rFonts w:hint="eastAsia" w:ascii="仿宋" w:hAnsi="仿宋" w:eastAsia="仿宋" w:cs="仿宋"/>
          <w:sz w:val="24"/>
          <w:u w:val="single"/>
        </w:rPr>
        <w:t xml:space="preserve">                    </w:t>
      </w:r>
      <w:r>
        <w:rPr>
          <w:rFonts w:hint="eastAsia" w:ascii="仿宋" w:hAnsi="仿宋" w:eastAsia="仿宋" w:cs="仿宋"/>
          <w:sz w:val="24"/>
        </w:rPr>
        <w:t>项目协商一致，订立本合同。</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一、定义</w:t>
      </w:r>
    </w:p>
    <w:p>
      <w:pPr>
        <w:widowControl/>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Cs/>
          <w:sz w:val="24"/>
          <w:lang w:val="en-US" w:eastAsia="zh-CN"/>
        </w:rPr>
        <w:t>1、</w:t>
      </w:r>
      <w:r>
        <w:rPr>
          <w:rFonts w:hint="eastAsia" w:ascii="仿宋" w:hAnsi="仿宋" w:eastAsia="仿宋" w:cs="仿宋"/>
          <w:bCs/>
          <w:sz w:val="24"/>
        </w:rPr>
        <w:t>“</w:t>
      </w:r>
      <w:r>
        <w:rPr>
          <w:rFonts w:hint="eastAsia" w:ascii="仿宋" w:hAnsi="仿宋" w:eastAsia="仿宋" w:cs="仿宋"/>
          <w:bCs/>
          <w:kern w:val="2"/>
          <w:sz w:val="24"/>
          <w:lang w:val="zh-CN"/>
        </w:rPr>
        <w:t>合同”</w:t>
      </w:r>
      <w:r>
        <w:rPr>
          <w:rFonts w:hint="eastAsia" w:ascii="仿宋" w:hAnsi="仿宋" w:eastAsia="仿宋" w:cs="仿宋"/>
          <w:bCs/>
          <w:sz w:val="24"/>
        </w:rPr>
        <w:t>即由</w:t>
      </w:r>
      <w:r>
        <w:rPr>
          <w:rFonts w:hint="eastAsia" w:ascii="仿宋" w:hAnsi="仿宋" w:eastAsia="仿宋" w:cs="仿宋"/>
          <w:bCs/>
          <w:kern w:val="2"/>
          <w:sz w:val="24"/>
          <w:lang w:val="zh-CN"/>
        </w:rPr>
        <w:t>甲乙方</w:t>
      </w:r>
      <w:r>
        <w:rPr>
          <w:rFonts w:hint="eastAsia" w:ascii="仿宋" w:hAnsi="仿宋" w:eastAsia="仿宋" w:cs="仿宋"/>
          <w:bCs/>
          <w:sz w:val="24"/>
        </w:rPr>
        <w:t>双方签订的合同格式中的文件，包括所有的附件、附录和组成合同部分的所有其他文件。</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合同将由</w:t>
      </w:r>
      <w:r>
        <w:rPr>
          <w:rFonts w:hint="eastAsia" w:ascii="仿宋" w:hAnsi="仿宋" w:eastAsia="仿宋" w:cs="仿宋"/>
          <w:bCs/>
          <w:sz w:val="24"/>
          <w:lang w:eastAsia="zh-CN"/>
        </w:rPr>
        <w:t>浙江省公安厅</w:t>
      </w:r>
      <w:r>
        <w:rPr>
          <w:rFonts w:hint="eastAsia" w:ascii="仿宋" w:hAnsi="仿宋" w:eastAsia="仿宋" w:cs="仿宋"/>
          <w:bCs/>
          <w:sz w:val="24"/>
        </w:rPr>
        <w:t>（以下简称甲方）与经评审最终确定的中标人（以下简称乙方）结合本项目具体情况协商后签订</w:t>
      </w:r>
      <w:r>
        <w:rPr>
          <w:rFonts w:hint="eastAsia" w:ascii="仿宋" w:hAnsi="仿宋" w:eastAsia="仿宋" w:cs="仿宋"/>
          <w:bCs/>
          <w:kern w:val="2"/>
          <w:sz w:val="24"/>
          <w:lang w:val="zh-CN"/>
        </w:rPr>
        <w:t>。以下为甲方提出涉及乙方的主要条款，乙方在投标文件中应对其进行确认或拒绝。如乙方在其投标文件中未做拒绝或提出修改要求的，甲方将视作认同</w:t>
      </w:r>
      <w:r>
        <w:rPr>
          <w:rFonts w:hint="eastAsia" w:ascii="仿宋" w:hAnsi="仿宋" w:eastAsia="仿宋" w:cs="仿宋"/>
          <w:bCs/>
          <w:sz w:val="24"/>
        </w:rPr>
        <w:t>。</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“合同价格”系指根据合同规定，在乙方全面正确地履行合同义务时，甲方应支付给乙方的款项。</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“服务”系指招标文件规定乙方须承担的相应服务以及其它类似的义务</w:t>
      </w:r>
      <w:r>
        <w:rPr>
          <w:rFonts w:hint="eastAsia" w:ascii="仿宋" w:hAnsi="仿宋" w:eastAsia="仿宋" w:cs="仿宋"/>
          <w:bCs/>
          <w:snapToGrid/>
          <w:kern w:val="2"/>
          <w:sz w:val="24"/>
        </w:rPr>
        <w:t>。</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“甲方”系指通过采购接受合同及服务的</w:t>
      </w:r>
      <w:r>
        <w:rPr>
          <w:rFonts w:hint="eastAsia" w:ascii="仿宋" w:hAnsi="仿宋" w:eastAsia="仿宋" w:cs="仿宋"/>
          <w:bCs/>
          <w:sz w:val="24"/>
          <w:lang w:eastAsia="zh-CN"/>
        </w:rPr>
        <w:t>浙江省公安厅</w:t>
      </w:r>
      <w:r>
        <w:rPr>
          <w:rFonts w:hint="eastAsia" w:ascii="仿宋" w:hAnsi="仿宋" w:eastAsia="仿宋" w:cs="仿宋"/>
          <w:bCs/>
          <w:sz w:val="24"/>
        </w:rPr>
        <w:t>。</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“乙方”系指</w:t>
      </w:r>
      <w:r>
        <w:rPr>
          <w:rFonts w:hint="eastAsia" w:ascii="仿宋" w:hAnsi="仿宋" w:eastAsia="仿宋" w:cs="仿宋"/>
          <w:bCs/>
          <w:kern w:val="2"/>
          <w:sz w:val="24"/>
          <w:lang w:val="zh-CN"/>
        </w:rPr>
        <w:t>经评审最终确定的中标人</w:t>
      </w:r>
      <w:r>
        <w:rPr>
          <w:rFonts w:hint="eastAsia" w:ascii="仿宋" w:hAnsi="仿宋" w:eastAsia="仿宋" w:cs="仿宋"/>
          <w:bCs/>
          <w:sz w:val="24"/>
        </w:rPr>
        <w:t>。</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“现场”系指将要进行服务的地点。</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“验收”系指采购人依据技术规格规定接受合同所依据的程序和条件。</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二、项目完成时间</w:t>
      </w:r>
    </w:p>
    <w:p>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rPr>
        <w:t>合同签订后</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val="en-US" w:eastAsia="zh-CN"/>
        </w:rPr>
        <w:t>0</w:t>
      </w:r>
      <w:r>
        <w:rPr>
          <w:rFonts w:hint="eastAsia" w:ascii="仿宋" w:hAnsi="仿宋" w:eastAsia="仿宋" w:cs="仿宋"/>
          <w:bCs/>
          <w:sz w:val="24"/>
        </w:rPr>
        <w:t>个月内完成，如因疫情等不可抗力影响，由甲乙双方协商确定完成时间。</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三、付款方式</w:t>
      </w:r>
    </w:p>
    <w:p>
      <w:pPr>
        <w:pStyle w:val="13"/>
        <w:rPr>
          <w:rFonts w:hint="eastAsia"/>
        </w:rPr>
      </w:pP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w:t>
      </w:r>
      <w:r>
        <w:rPr>
          <w:rFonts w:hint="eastAsia" w:ascii="仿宋" w:hAnsi="仿宋" w:eastAsia="仿宋" w:cs="仿宋"/>
          <w:b/>
          <w:sz w:val="24"/>
          <w:lang w:val="en-US" w:eastAsia="zh-CN"/>
        </w:rPr>
        <w:t>验收标准及方法</w:t>
      </w:r>
    </w:p>
    <w:p>
      <w:pPr>
        <w:spacing w:line="360" w:lineRule="auto"/>
        <w:ind w:firstLine="480" w:firstLineChars="200"/>
        <w:rPr>
          <w:rFonts w:hint="eastAsia" w:ascii="仿宋" w:hAnsi="仿宋" w:eastAsia="仿宋" w:cs="Times New Roman"/>
          <w:sz w:val="24"/>
          <w:lang w:val="en-US" w:eastAsia="zh-CN"/>
        </w:rPr>
      </w:pPr>
      <w:bookmarkStart w:id="9" w:name="_Toc15237"/>
      <w:bookmarkStart w:id="10" w:name="_Toc22955"/>
      <w:bookmarkStart w:id="11" w:name="_Toc10366"/>
      <w:r>
        <w:rPr>
          <w:rFonts w:hint="eastAsia" w:ascii="仿宋" w:hAnsi="仿宋" w:eastAsia="仿宋" w:cs="Times New Roman"/>
          <w:sz w:val="24"/>
          <w:lang w:val="en-US" w:eastAsia="zh-CN"/>
        </w:rPr>
        <w:t>验收标准：采购的硬件和商品软件的功能和性能符合采购需求设备清单要求，部署后能正常运行；提供一图展示功能，包括三维地图展示和切换、图上空间数据应用、图上指挥和安保防控数据上图；提供视频基础应用功能，包括图像资源调用、图像检索、预警布控；通过视频技术与智能采集、智能分析及大数据分析技术的融合，实现包括车辆、人脸采集的大数据分析、查询、布控、比对等应用；提供视频运维管理，实时监测视频监控系统的运行状态，实现视频资源全面监控与集中统一管理；平台并发数大于100；室外定位精度小于等于5m。</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验收方法：项目建设完成后组织专家组初验，初验完成后试运行3个月后组织专家组终验。</w:t>
      </w:r>
    </w:p>
    <w:p>
      <w:pPr>
        <w:numPr>
          <w:ilvl w:val="0"/>
          <w:numId w:val="7"/>
        </w:numPr>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合同转让和分包</w:t>
      </w:r>
      <w:bookmarkEnd w:id="9"/>
      <w:bookmarkEnd w:id="10"/>
      <w:bookmarkEnd w:id="11"/>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idowControl/>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乙方采取分包方式履行合同的，甲方可直接向分包供应商支付款项。</w:t>
      </w:r>
    </w:p>
    <w:p>
      <w:pPr>
        <w:adjustRightInd w:val="0"/>
        <w:snapToGrid w:val="0"/>
        <w:spacing w:line="360" w:lineRule="auto"/>
        <w:ind w:firstLine="482" w:firstLineChars="200"/>
        <w:rPr>
          <w:rFonts w:hint="eastAsia"/>
        </w:rPr>
      </w:pPr>
      <w:r>
        <w:rPr>
          <w:rFonts w:hint="eastAsia" w:ascii="仿宋" w:hAnsi="仿宋" w:eastAsia="仿宋" w:cs="仿宋"/>
          <w:b/>
          <w:sz w:val="24"/>
        </w:rPr>
        <w:t>六、履约保证金</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签订合同后乙方应向甲方缴纳合同金额的1%（      元）作为履约保证金。</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缴纳方式：乙方应当以支票、汇票、本票或者金融机构、担保机构出具的保函等非现金形式提交。</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履约保证金若以电汇、网上银行方式缴纳的,请将电汇底单、网上银行电脑打印凭证写上中标项目名称及编号、乙方及联系人、联系电话传真至0571-87286473）。</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缴款账户信息为：</w:t>
      </w:r>
    </w:p>
    <w:p>
      <w:pPr>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户   名：浙江省公安厅机场公安局</w:t>
      </w:r>
    </w:p>
    <w:p>
      <w:pPr>
        <w:adjustRightInd w:val="0"/>
        <w:snapToGrid w:val="0"/>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开户 行：建设银行杭州航空港支行</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lang w:val="zh-CN"/>
        </w:rPr>
        <w:t>银行账号：</w:t>
      </w:r>
      <w:r>
        <w:rPr>
          <w:rFonts w:hint="eastAsia" w:ascii="仿宋" w:hAnsi="仿宋" w:eastAsia="仿宋" w:cs="仿宋"/>
          <w:sz w:val="24"/>
        </w:rPr>
        <w:t>33001616181053000485</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履约保证金退还：项目完成后无任何违约责任后，甲方无息退还履约保证金，否则甲方将在扣除乙方应承担的费用后退还剩余的履约保证金（如有）。</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办理履约保证金退还手续时，乙方凭以下材料办理退保手续。</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（1）由甲方开具的交入履约保证金往来款收据原件(如无法提供原件的，提供复印件及采购单位开具的收据);</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（2）合同原件或复印件一份；</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（3）使用单位的验收证明(需两人以上签名并盖章);</w:t>
      </w:r>
    </w:p>
    <w:p>
      <w:pPr>
        <w:widowControl/>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（4）保证金交入时的银行回单复印件。</w:t>
      </w:r>
    </w:p>
    <w:p>
      <w:pPr>
        <w:widowControl/>
        <w:adjustRightInd w:val="0"/>
        <w:snapToGrid w:val="0"/>
        <w:spacing w:line="360" w:lineRule="auto"/>
        <w:ind w:firstLine="480" w:firstLineChars="200"/>
        <w:rPr>
          <w:rFonts w:hint="eastAsia"/>
        </w:rPr>
      </w:pPr>
      <w:r>
        <w:rPr>
          <w:rFonts w:hint="eastAsia" w:ascii="仿宋" w:hAnsi="仿宋" w:eastAsia="仿宋" w:cs="仿宋"/>
          <w:bCs/>
          <w:sz w:val="24"/>
        </w:rPr>
        <w:t>（5）如原账户发生变更，提供说明和账户变更资料。</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 七、违约责任(以下内容供参考,用户单位根据实际情况定)</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1、甲方无故逾期办理价款支付手续的，甲方应按逾期付款总额每日万分之五向乙方支付违约金。</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逾期完成改造、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所提供的服务质量标准不符合合同规定或招标文件规定标准的，甲方有权拒绝接受服务，乙方愿意继续维修、提供服务但逾期完成的，按乙方逾期完成处理或提供服务。乙方拒绝按要求继续服务的，甲方可单方面解除合同。</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八、不可抗力事件处理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九、争议的解决</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在履行合同过程中发生争议时，双方当事人协商解决，协商不成的，采用下列方法解决</w:t>
      </w:r>
      <w:r>
        <w:rPr>
          <w:rFonts w:hint="eastAsia" w:ascii="仿宋" w:hAnsi="仿宋" w:eastAsia="仿宋" w:cs="仿宋"/>
          <w:sz w:val="24"/>
          <w:lang w:eastAsia="zh-CN"/>
        </w:rPr>
        <w:t>（二选一）</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1、提交杭州市仲裁委员会仲裁。</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2、依法向采购人所在地人民法院提起诉讼。</w:t>
      </w:r>
    </w:p>
    <w:p>
      <w:pPr>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十、合同生效及其它</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1、合同经双方法定代表人或授权委托代理人签字并加盖单位公章后生效。</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2、合同执行中涉及采购资金和采购内容修改或补充的，须经有关部门审批，并签书面补充协议报管理部门备案，方可作为主合同不可分割的一部分。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3、下述合同附件为本合同不可分割的部分并与本合同具有同等效力：</w:t>
      </w:r>
      <w:r>
        <w:rPr>
          <w:rFonts w:hint="eastAsia" w:ascii="仿宋" w:hAnsi="仿宋" w:eastAsia="仿宋" w:cs="仿宋"/>
          <w:b/>
          <w:sz w:val="24"/>
        </w:rPr>
        <w:t>(已有内容供参考,用户单位可根据实际情况定)</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（1）服务所需材料、人工等分项价格表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（2）服务质量标准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（3）乙方投标响应文件的内容及澄清内容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（4）其他与本合同相关的单据</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（5）本合同适用的特殊条款</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4.[招标/单一来源采购/竞争性磋商]文件、[投标/响应]文件（含乙方的最终报价及承诺）与本合同具有同等法律效力。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5.本合同未尽事宜，遵照《中华人民共和国民法典》有关条文执行。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6.本合同正本一式八份（甲方四份、乙方二份、丙方一份），具有同等法律效力。</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或受委托人（签字）：                      或受委托人（签字）：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                                  联系人：</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电话：                                    电话：</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传真：                                    传真：</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帐号：                                    帐号：</w:t>
      </w:r>
    </w:p>
    <w:p>
      <w:pPr>
        <w:adjustRightInd w:val="0"/>
        <w:snapToGrid w:val="0"/>
        <w:spacing w:line="360" w:lineRule="auto"/>
        <w:rPr>
          <w:rFonts w:hint="eastAsia" w:ascii="仿宋" w:hAnsi="仿宋" w:eastAsia="仿宋" w:cs="仿宋"/>
          <w:sz w:val="24"/>
        </w:rPr>
      </w:pPr>
    </w:p>
    <w:p>
      <w:pPr>
        <w:snapToGrid w:val="0"/>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鉴证方：</w:t>
      </w:r>
      <w:r>
        <w:rPr>
          <w:rFonts w:hint="eastAsia" w:ascii="仿宋" w:hAnsi="仿宋" w:eastAsia="仿宋" w:cs="仿宋"/>
          <w:sz w:val="24"/>
          <w:szCs w:val="28"/>
        </w:rPr>
        <w:t>浙江通用招标代理有限公司</w:t>
      </w:r>
    </w:p>
    <w:p>
      <w:pPr>
        <w:pStyle w:val="19"/>
        <w:snapToGrid w:val="0"/>
        <w:spacing w:beforeLines="0" w:afterLines="0" w:line="360" w:lineRule="auto"/>
        <w:ind w:firstLine="480" w:firstLineChars="200"/>
        <w:rPr>
          <w:rFonts w:hint="eastAsia" w:ascii="仿宋" w:hAnsi="仿宋" w:eastAsia="仿宋" w:cs="仿宋"/>
        </w:rPr>
      </w:pPr>
      <w:r>
        <w:rPr>
          <w:rFonts w:hint="eastAsia" w:ascii="仿宋" w:hAnsi="仿宋" w:eastAsia="仿宋" w:cs="仿宋"/>
        </w:rPr>
        <w:t>法定（授权）代表人：</w:t>
      </w:r>
    </w:p>
    <w:p>
      <w:pPr>
        <w:pStyle w:val="19"/>
        <w:snapToGrid w:val="0"/>
        <w:spacing w:beforeLines="0" w:afterLines="0" w:line="360" w:lineRule="auto"/>
        <w:ind w:firstLine="480" w:firstLineChars="200"/>
        <w:rPr>
          <w:rFonts w:hint="eastAsia" w:ascii="仿宋" w:hAnsi="仿宋" w:eastAsia="仿宋" w:cs="仿宋"/>
        </w:rPr>
      </w:pPr>
      <w:r>
        <w:rPr>
          <w:rFonts w:hint="eastAsia" w:ascii="仿宋" w:hAnsi="仿宋" w:eastAsia="仿宋" w:cs="仿宋"/>
        </w:rPr>
        <w:t>鉴证日期：    年   月   日</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jc w:val="center"/>
        <w:rPr>
          <w:rFonts w:hint="eastAsia" w:ascii="仿宋_GB2312" w:hAnsi="仿宋" w:eastAsia="仿宋_GB2312" w:cs="仿宋"/>
          <w:b/>
          <w:bCs/>
          <w:sz w:val="32"/>
          <w:szCs w:val="32"/>
        </w:rPr>
      </w:pPr>
      <w:r>
        <w:rPr>
          <w:rFonts w:hint="eastAsia" w:ascii="仿宋_GB2312" w:hAnsi="仿宋" w:eastAsia="仿宋_GB2312" w:cs="仿宋"/>
          <w:b/>
          <w:sz w:val="32"/>
          <w:szCs w:val="32"/>
        </w:rPr>
        <w:br w:type="page"/>
      </w:r>
      <w:r>
        <w:rPr>
          <w:rFonts w:hint="eastAsia" w:ascii="仿宋_GB2312" w:hAnsi="仿宋" w:eastAsia="仿宋_GB2312" w:cs="仿宋"/>
          <w:b/>
          <w:sz w:val="32"/>
          <w:szCs w:val="32"/>
        </w:rPr>
        <w:t>第六部分  投标文件格式</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说明：</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1、投标文件由投标人根据招标文件要求参照附件格式编制。</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2、投标人根据实际情况填写。</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3、招标文件中没有参考格式的，由投标人自行编制。</w:t>
      </w: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before="120" w:beforeLines="50" w:after="50" w:line="360" w:lineRule="auto"/>
        <w:rPr>
          <w:rFonts w:hint="eastAsia" w:ascii="仿宋_GB2312" w:hAnsi="仿宋" w:eastAsia="仿宋_GB2312" w:cs="仿宋"/>
          <w:b/>
          <w:sz w:val="30"/>
          <w:szCs w:val="30"/>
        </w:rPr>
      </w:pPr>
      <w:r>
        <w:rPr>
          <w:rFonts w:hint="eastAsia" w:ascii="仿宋_GB2312" w:hAnsi="仿宋" w:eastAsia="仿宋_GB2312" w:cs="仿宋"/>
        </w:rPr>
        <w:br w:type="page"/>
      </w:r>
      <w:r>
        <w:rPr>
          <w:rFonts w:hint="eastAsia" w:ascii="仿宋_GB2312" w:hAnsi="仿宋" w:eastAsia="仿宋_GB2312" w:cs="仿宋"/>
          <w:sz w:val="30"/>
          <w:szCs w:val="30"/>
        </w:rPr>
        <w:t>封面</w:t>
      </w:r>
      <w:r>
        <w:rPr>
          <w:rFonts w:hint="eastAsia" w:ascii="仿宋_GB2312" w:hAnsi="仿宋" w:eastAsia="仿宋_GB2312" w:cs="仿宋"/>
          <w:b/>
          <w:sz w:val="30"/>
          <w:szCs w:val="30"/>
        </w:rPr>
        <w:t xml:space="preserve">：                                     </w:t>
      </w:r>
    </w:p>
    <w:p>
      <w:pPr>
        <w:adjustRightInd w:val="0"/>
        <w:snapToGrid w:val="0"/>
        <w:spacing w:before="120" w:beforeLines="50" w:after="50" w:line="360" w:lineRule="auto"/>
        <w:jc w:val="right"/>
        <w:rPr>
          <w:rFonts w:hint="eastAsia" w:ascii="仿宋_GB2312" w:hAnsi="仿宋" w:eastAsia="仿宋_GB2312" w:cs="仿宋"/>
          <w:bCs/>
          <w:sz w:val="30"/>
          <w:szCs w:val="30"/>
        </w:rPr>
      </w:pPr>
      <w:r>
        <w:rPr>
          <w:rFonts w:hint="eastAsia" w:ascii="仿宋_GB2312" w:hAnsi="仿宋" w:eastAsia="仿宋_GB2312" w:cs="仿宋"/>
          <w:sz w:val="30"/>
          <w:szCs w:val="30"/>
        </w:rPr>
        <w:t xml:space="preserve">                                            </w:t>
      </w:r>
    </w:p>
    <w:p>
      <w:pPr>
        <w:adjustRightInd w:val="0"/>
        <w:snapToGrid w:val="0"/>
        <w:spacing w:line="360" w:lineRule="auto"/>
        <w:ind w:right="-110"/>
        <w:jc w:val="center"/>
        <w:rPr>
          <w:rFonts w:hint="eastAsia" w:ascii="仿宋_GB2312" w:hAnsi="仿宋" w:eastAsia="仿宋_GB2312" w:cs="仿宋"/>
          <w:spacing w:val="40"/>
          <w:sz w:val="52"/>
          <w:szCs w:val="52"/>
        </w:rPr>
      </w:pPr>
      <w:r>
        <w:rPr>
          <w:rFonts w:hint="eastAsia" w:ascii="仿宋_GB2312" w:hAnsi="仿宋" w:eastAsia="仿宋_GB2312" w:cs="仿宋"/>
          <w:spacing w:val="40"/>
          <w:sz w:val="52"/>
          <w:szCs w:val="52"/>
        </w:rPr>
        <w:t>***项目名称</w:t>
      </w:r>
    </w:p>
    <w:p>
      <w:pPr>
        <w:adjustRightInd w:val="0"/>
        <w:snapToGrid w:val="0"/>
        <w:spacing w:before="240" w:beforeLines="100" w:line="360" w:lineRule="auto"/>
        <w:ind w:right="-108"/>
        <w:jc w:val="center"/>
        <w:rPr>
          <w:rFonts w:hint="eastAsia" w:ascii="仿宋_GB2312" w:hAnsi="仿宋" w:eastAsia="仿宋_GB2312" w:cs="仿宋"/>
          <w:sz w:val="36"/>
          <w:szCs w:val="36"/>
        </w:rPr>
      </w:pPr>
      <w:r>
        <w:rPr>
          <w:rFonts w:hint="eastAsia" w:ascii="仿宋_GB2312" w:hAnsi="仿宋" w:eastAsia="仿宋_GB2312" w:cs="仿宋"/>
          <w:sz w:val="36"/>
          <w:szCs w:val="36"/>
        </w:rPr>
        <w:t>项目编号：</w:t>
      </w:r>
    </w:p>
    <w:p>
      <w:pPr>
        <w:adjustRightInd w:val="0"/>
        <w:snapToGrid w:val="0"/>
        <w:spacing w:before="240" w:beforeLines="100" w:line="360" w:lineRule="auto"/>
        <w:ind w:right="-108"/>
        <w:jc w:val="center"/>
        <w:rPr>
          <w:rFonts w:hint="eastAsia" w:ascii="仿宋_GB2312" w:hAnsi="仿宋" w:eastAsia="仿宋_GB2312" w:cs="仿宋"/>
          <w:sz w:val="36"/>
          <w:szCs w:val="36"/>
        </w:rPr>
      </w:pPr>
    </w:p>
    <w:p>
      <w:pPr>
        <w:adjustRightInd w:val="0"/>
        <w:snapToGrid w:val="0"/>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资</w:t>
      </w:r>
    </w:p>
    <w:p>
      <w:pPr>
        <w:adjustRightInd w:val="0"/>
        <w:snapToGrid w:val="0"/>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格</w:t>
      </w:r>
    </w:p>
    <w:p>
      <w:pPr>
        <w:adjustRightInd w:val="0"/>
        <w:snapToGrid w:val="0"/>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文</w:t>
      </w:r>
    </w:p>
    <w:p>
      <w:pPr>
        <w:adjustRightInd w:val="0"/>
        <w:snapToGrid w:val="0"/>
        <w:jc w:val="center"/>
        <w:rPr>
          <w:rFonts w:hint="eastAsia" w:ascii="仿宋_GB2312" w:hAnsi="仿宋" w:eastAsia="仿宋_GB2312" w:cs="仿宋"/>
          <w:b/>
          <w:spacing w:val="40"/>
          <w:sz w:val="84"/>
          <w:szCs w:val="84"/>
        </w:rPr>
      </w:pPr>
      <w:r>
        <w:rPr>
          <w:rFonts w:hint="eastAsia" w:ascii="仿宋_GB2312" w:hAnsi="仿宋" w:eastAsia="仿宋_GB2312" w:cs="仿宋"/>
          <w:b/>
          <w:spacing w:val="40"/>
          <w:sz w:val="72"/>
          <w:szCs w:val="72"/>
        </w:rPr>
        <w:t>件</w:t>
      </w:r>
    </w:p>
    <w:p>
      <w:pPr>
        <w:adjustRightInd w:val="0"/>
        <w:snapToGrid w:val="0"/>
        <w:spacing w:line="360" w:lineRule="auto"/>
        <w:ind w:right="532"/>
        <w:rPr>
          <w:rFonts w:hint="eastAsia" w:ascii="仿宋_GB2312" w:hAnsi="仿宋" w:eastAsia="仿宋_GB2312" w:cs="仿宋"/>
          <w:sz w:val="36"/>
          <w:szCs w:val="36"/>
        </w:rPr>
      </w:pPr>
    </w:p>
    <w:p>
      <w:pPr>
        <w:pStyle w:val="4"/>
        <w:adjustRightInd w:val="0"/>
        <w:snapToGrid w:val="0"/>
        <w:spacing w:line="360" w:lineRule="auto"/>
        <w:rPr>
          <w:rFonts w:hint="eastAsia" w:ascii="仿宋_GB2312" w:hAnsi="仿宋" w:eastAsia="仿宋_GB2312" w:cs="仿宋"/>
          <w:sz w:val="36"/>
          <w:szCs w:val="36"/>
        </w:rPr>
      </w:pPr>
    </w:p>
    <w:p>
      <w:pPr>
        <w:adjustRightInd w:val="0"/>
        <w:snapToGrid w:val="0"/>
        <w:spacing w:line="360" w:lineRule="auto"/>
        <w:rPr>
          <w:rFonts w:hint="eastAsia"/>
        </w:rPr>
      </w:pPr>
    </w:p>
    <w:p>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投标人全称（公章）：</w:t>
      </w:r>
    </w:p>
    <w:p>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授权代表（签字）：</w:t>
      </w:r>
    </w:p>
    <w:p>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    址：</w:t>
      </w:r>
    </w:p>
    <w:p>
      <w:pPr>
        <w:adjustRightInd w:val="0"/>
        <w:snapToGrid w:val="0"/>
        <w:spacing w:line="360" w:lineRule="auto"/>
        <w:ind w:right="532" w:firstLine="640" w:firstLineChars="200"/>
        <w:rPr>
          <w:rFonts w:hint="eastAsia" w:ascii="仿宋_GB2312" w:hAnsi="仿宋" w:eastAsia="仿宋_GB2312" w:cs="仿宋"/>
          <w:b/>
          <w:bCs/>
          <w:sz w:val="36"/>
          <w:szCs w:val="36"/>
        </w:rPr>
      </w:pPr>
      <w:r>
        <w:rPr>
          <w:rFonts w:hint="eastAsia" w:ascii="仿宋_GB2312" w:hAnsi="仿宋" w:eastAsia="仿宋_GB2312" w:cs="仿宋"/>
          <w:sz w:val="32"/>
          <w:szCs w:val="32"/>
        </w:rPr>
        <w:t>时    间：</w:t>
      </w:r>
    </w:p>
    <w:p>
      <w:pPr>
        <w:adjustRightInd w:val="0"/>
        <w:snapToGrid w:val="0"/>
        <w:spacing w:line="360" w:lineRule="auto"/>
        <w:jc w:val="center"/>
        <w:rPr>
          <w:rFonts w:hint="eastAsia" w:ascii="仿宋_GB2312" w:hAnsi="仿宋" w:eastAsia="仿宋_GB2312" w:cs="仿宋"/>
          <w:b/>
          <w:bCs/>
          <w:sz w:val="36"/>
          <w:szCs w:val="36"/>
        </w:rPr>
      </w:pPr>
    </w:p>
    <w:p>
      <w:pPr>
        <w:adjustRightInd w:val="0"/>
        <w:snapToGrid w:val="0"/>
        <w:spacing w:line="360" w:lineRule="auto"/>
        <w:jc w:val="center"/>
        <w:rPr>
          <w:rFonts w:hint="eastAsia" w:ascii="仿宋_GB2312" w:hAnsi="仿宋" w:eastAsia="仿宋_GB2312" w:cs="仿宋"/>
          <w:b/>
          <w:bCs/>
          <w:sz w:val="36"/>
          <w:szCs w:val="36"/>
        </w:rPr>
      </w:pPr>
    </w:p>
    <w:p>
      <w:pPr>
        <w:adjustRightInd w:val="0"/>
        <w:snapToGrid w:val="0"/>
        <w:spacing w:line="360" w:lineRule="auto"/>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资格文件</w:t>
      </w:r>
    </w:p>
    <w:p>
      <w:pPr>
        <w:adjustRightInd w:val="0"/>
        <w:snapToGrid w:val="0"/>
        <w:spacing w:line="360" w:lineRule="auto"/>
        <w:jc w:val="center"/>
        <w:rPr>
          <w:rFonts w:hint="eastAsia" w:ascii="仿宋_GB2312" w:hAnsi="仿宋" w:eastAsia="仿宋_GB2312" w:cs="仿宋"/>
          <w:sz w:val="32"/>
          <w:szCs w:val="32"/>
        </w:rPr>
      </w:pPr>
      <w:r>
        <w:rPr>
          <w:rFonts w:hint="eastAsia" w:ascii="仿宋_GB2312" w:hAnsi="仿宋" w:eastAsia="仿宋_GB2312" w:cs="仿宋"/>
          <w:b/>
          <w:bCs/>
          <w:sz w:val="32"/>
          <w:szCs w:val="32"/>
        </w:rPr>
        <w:t>目录</w:t>
      </w:r>
    </w:p>
    <w:p>
      <w:pPr>
        <w:adjustRightInd w:val="0"/>
        <w:snapToGrid w:val="0"/>
        <w:spacing w:line="360" w:lineRule="auto"/>
        <w:rPr>
          <w:rFonts w:hint="eastAsia" w:ascii="仿宋_GB2312" w:hAnsi="仿宋" w:eastAsia="仿宋_GB2312" w:cs="仿宋"/>
          <w:sz w:val="24"/>
          <w:szCs w:val="20"/>
        </w:rPr>
      </w:pP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（1）</w:t>
      </w:r>
      <w:r>
        <w:rPr>
          <w:rFonts w:hint="eastAsia" w:ascii="仿宋" w:hAnsi="仿宋" w:eastAsia="仿宋" w:cs="仿宋"/>
          <w:sz w:val="24"/>
        </w:rPr>
        <w:t>符合《中华人民共和国政府采购法》第二十二条的证明材料</w:t>
      </w:r>
      <w:r>
        <w:rPr>
          <w:rFonts w:hint="eastAsia" w:ascii="仿宋_GB2312" w:hAnsi="仿宋" w:eastAsia="仿宋_GB2312" w:cs="仿宋"/>
          <w:sz w:val="24"/>
        </w:rPr>
        <w:t>——</w:t>
      </w:r>
      <w:r>
        <w:rPr>
          <w:rFonts w:hint="eastAsia" w:ascii="仿宋" w:hAnsi="仿宋" w:eastAsia="仿宋" w:cs="仿宋"/>
          <w:b/>
          <w:kern w:val="0"/>
          <w:sz w:val="24"/>
        </w:rPr>
        <w:t>————</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 w:cs="仿宋"/>
          <w:sz w:val="24"/>
        </w:rPr>
      </w:pPr>
      <w:r>
        <w:rPr>
          <w:rFonts w:hint="eastAsia" w:ascii="仿宋_GB2312" w:hAnsi="仿宋" w:eastAsia="仿宋_GB2312" w:cs="仿宋"/>
          <w:sz w:val="24"/>
        </w:rPr>
        <w:t>（2）</w:t>
      </w:r>
      <w:r>
        <w:rPr>
          <w:rFonts w:hint="eastAsia" w:ascii="仿宋" w:hAnsi="仿宋" w:eastAsia="仿宋" w:cs="仿宋"/>
          <w:sz w:val="24"/>
        </w:rPr>
        <w:t>符合参加政府采购活动应当具备的一般条件的承诺函</w:t>
      </w:r>
      <w:r>
        <w:rPr>
          <w:rFonts w:hint="eastAsia" w:ascii="仿宋_GB2312" w:hAnsi="仿宋" w:eastAsia="仿宋_GB2312" w:cs="仿宋"/>
          <w:sz w:val="24"/>
        </w:rPr>
        <w:t>—</w:t>
      </w:r>
      <w:r>
        <w:rPr>
          <w:rFonts w:hint="eastAsia" w:ascii="仿宋" w:hAnsi="仿宋" w:eastAsia="仿宋" w:cs="仿宋"/>
          <w:b/>
          <w:kern w:val="0"/>
          <w:sz w:val="24"/>
        </w:rPr>
        <w:t>————————</w:t>
      </w:r>
      <w:r>
        <w:rPr>
          <w:rFonts w:hint="eastAsia" w:ascii="仿宋_GB2312" w:hAnsi="仿宋" w:eastAsia="仿宋_GB2312" w:cs="仿宋"/>
          <w:sz w:val="24"/>
        </w:rPr>
        <w:t>（页码）</w:t>
      </w: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ind w:firstLine="470" w:firstLineChars="196"/>
        <w:jc w:val="center"/>
        <w:rPr>
          <w:rFonts w:hint="eastAsia" w:ascii="仿宋_GB2312" w:hAnsi="仿宋" w:eastAsia="仿宋_GB2312" w:cs="仿宋"/>
          <w:sz w:val="24"/>
        </w:rPr>
      </w:pPr>
      <w:r>
        <w:rPr>
          <w:rFonts w:hint="eastAsia" w:ascii="仿宋_GB2312" w:hAnsi="仿宋" w:eastAsia="仿宋_GB2312" w:cs="仿宋"/>
          <w:sz w:val="24"/>
        </w:rPr>
        <w:br w:type="page"/>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一、有效的营业执照副本（复印件加盖公章）</w:t>
      </w:r>
    </w:p>
    <w:p>
      <w:pPr>
        <w:adjustRightInd w:val="0"/>
        <w:snapToGrid w:val="0"/>
        <w:spacing w:line="360" w:lineRule="auto"/>
        <w:rPr>
          <w:rFonts w:hint="eastAsia" w:ascii="仿宋" w:hAnsi="仿宋" w:eastAsia="仿宋" w:cs="仿宋"/>
          <w:b/>
          <w:bCs/>
          <w:kern w:val="0"/>
          <w:sz w:val="24"/>
        </w:rPr>
      </w:pPr>
    </w:p>
    <w:p>
      <w:pPr>
        <w:adjustRightInd w:val="0"/>
        <w:snapToGrid w:val="0"/>
        <w:spacing w:line="360" w:lineRule="auto"/>
        <w:ind w:firstLine="472" w:firstLineChars="196"/>
        <w:jc w:val="center"/>
        <w:rPr>
          <w:rFonts w:hint="eastAsia" w:ascii="仿宋" w:hAnsi="仿宋" w:eastAsia="仿宋" w:cs="仿宋"/>
          <w:b/>
          <w:bCs/>
          <w:kern w:val="0"/>
          <w:sz w:val="24"/>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w:t>
      </w:r>
      <w:r>
        <w:rPr>
          <w:rFonts w:ascii="仿宋_GB2312" w:hAnsi="仿宋" w:eastAsia="仿宋_GB2312" w:cs="仿宋_GB2312"/>
          <w:b/>
          <w:kern w:val="0"/>
          <w:sz w:val="32"/>
          <w:szCs w:val="32"/>
        </w:rPr>
        <w:t>、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 w:eastAsia="仿宋_GB2312" w:cs="仿宋_GB2312"/>
          <w:kern w:val="0"/>
          <w:sz w:val="24"/>
          <w:lang w:val="zh-CN"/>
        </w:rPr>
      </w:pPr>
    </w:p>
    <w:p>
      <w:pPr>
        <w:snapToGrid w:val="0"/>
        <w:spacing w:line="360" w:lineRule="auto"/>
        <w:ind w:firstLine="5520" w:firstLineChars="2300"/>
        <w:rPr>
          <w:rFonts w:hint="eastAsia" w:ascii="仿宋_GB2312" w:hAnsi="仿宋" w:eastAsia="仿宋_GB2312" w:cs="仿宋_GB2312"/>
          <w:kern w:val="0"/>
          <w:sz w:val="24"/>
          <w:lang w:val="zh-CN"/>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w:t>
      </w:r>
    </w:p>
    <w:p>
      <w:pPr>
        <w:snapToGrid w:val="0"/>
        <w:spacing w:line="360" w:lineRule="auto"/>
        <w:jc w:val="left"/>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5"/>
        <w:rPr>
          <w:rFonts w:hint="eastAsia"/>
        </w:rPr>
      </w:pPr>
    </w:p>
    <w:p>
      <w:pPr>
        <w:adjustRightInd w:val="0"/>
        <w:snapToGrid w:val="0"/>
        <w:spacing w:before="50" w:after="50" w:line="360" w:lineRule="auto"/>
        <w:jc w:val="left"/>
        <w:rPr>
          <w:rFonts w:hint="eastAsia" w:ascii="仿宋_GB2312" w:hAnsi="仿宋" w:eastAsia="仿宋_GB2312" w:cs="仿宋"/>
          <w:b/>
          <w:bCs/>
          <w:sz w:val="24"/>
        </w:rPr>
      </w:pPr>
    </w:p>
    <w:p>
      <w:pPr>
        <w:snapToGrid w:val="0"/>
        <w:spacing w:line="360" w:lineRule="auto"/>
        <w:jc w:val="left"/>
        <w:rPr>
          <w:rFonts w:hint="eastAsia" w:ascii="仿宋_GB2312" w:hAnsi="仿宋" w:eastAsia="仿宋_GB2312" w:cs="仿宋"/>
          <w:b/>
          <w:sz w:val="30"/>
          <w:szCs w:val="30"/>
        </w:rPr>
      </w:pPr>
      <w:r>
        <w:rPr>
          <w:rFonts w:hint="eastAsia" w:ascii="仿宋_GB2312" w:hAnsi="仿宋" w:eastAsia="仿宋_GB2312" w:cs="仿宋"/>
          <w:sz w:val="30"/>
          <w:szCs w:val="30"/>
        </w:rPr>
        <w:br w:type="page"/>
      </w:r>
      <w:r>
        <w:rPr>
          <w:rFonts w:hint="eastAsia" w:ascii="仿宋_GB2312" w:hAnsi="仿宋" w:eastAsia="仿宋_GB2312" w:cs="仿宋"/>
          <w:sz w:val="30"/>
          <w:szCs w:val="30"/>
        </w:rPr>
        <w:t>封面</w:t>
      </w:r>
      <w:r>
        <w:rPr>
          <w:rFonts w:hint="eastAsia" w:ascii="仿宋_GB2312" w:hAnsi="仿宋" w:eastAsia="仿宋_GB2312" w:cs="仿宋"/>
          <w:b/>
          <w:sz w:val="30"/>
          <w:szCs w:val="30"/>
        </w:rPr>
        <w:t>：</w:t>
      </w:r>
    </w:p>
    <w:p>
      <w:pPr>
        <w:adjustRightInd w:val="0"/>
        <w:snapToGrid w:val="0"/>
        <w:spacing w:before="120" w:beforeLines="50" w:after="50" w:line="360" w:lineRule="auto"/>
        <w:jc w:val="right"/>
        <w:rPr>
          <w:rFonts w:hint="eastAsia" w:ascii="仿宋_GB2312" w:hAnsi="仿宋" w:eastAsia="仿宋_GB2312" w:cs="仿宋"/>
          <w:bCs/>
          <w:sz w:val="30"/>
          <w:szCs w:val="30"/>
        </w:rPr>
      </w:pPr>
      <w:r>
        <w:rPr>
          <w:rFonts w:hint="eastAsia" w:ascii="仿宋_GB2312" w:hAnsi="仿宋" w:eastAsia="仿宋_GB2312" w:cs="仿宋"/>
          <w:sz w:val="30"/>
          <w:szCs w:val="30"/>
        </w:rPr>
        <w:t xml:space="preserve">                                            </w:t>
      </w:r>
    </w:p>
    <w:p>
      <w:pPr>
        <w:adjustRightInd w:val="0"/>
        <w:snapToGrid w:val="0"/>
        <w:spacing w:line="360" w:lineRule="auto"/>
        <w:ind w:right="-110"/>
        <w:jc w:val="center"/>
        <w:rPr>
          <w:rFonts w:hint="eastAsia" w:ascii="仿宋_GB2312" w:hAnsi="仿宋" w:eastAsia="仿宋_GB2312" w:cs="仿宋"/>
          <w:spacing w:val="40"/>
          <w:sz w:val="52"/>
          <w:szCs w:val="52"/>
        </w:rPr>
      </w:pPr>
      <w:r>
        <w:rPr>
          <w:rFonts w:hint="eastAsia" w:ascii="仿宋_GB2312" w:hAnsi="仿宋" w:eastAsia="仿宋_GB2312" w:cs="仿宋"/>
          <w:spacing w:val="40"/>
          <w:sz w:val="52"/>
          <w:szCs w:val="52"/>
        </w:rPr>
        <w:t>***项目名称</w:t>
      </w:r>
    </w:p>
    <w:p>
      <w:pPr>
        <w:adjustRightInd w:val="0"/>
        <w:snapToGrid w:val="0"/>
        <w:spacing w:before="240" w:beforeLines="100" w:line="360" w:lineRule="auto"/>
        <w:ind w:right="-108"/>
        <w:jc w:val="center"/>
        <w:rPr>
          <w:rFonts w:hint="eastAsia" w:ascii="仿宋_GB2312" w:hAnsi="仿宋" w:eastAsia="仿宋_GB2312" w:cs="仿宋"/>
          <w:sz w:val="36"/>
          <w:szCs w:val="36"/>
        </w:rPr>
      </w:pPr>
      <w:r>
        <w:rPr>
          <w:rFonts w:hint="eastAsia" w:ascii="仿宋_GB2312" w:hAnsi="仿宋" w:eastAsia="仿宋_GB2312" w:cs="仿宋"/>
          <w:sz w:val="36"/>
          <w:szCs w:val="36"/>
        </w:rPr>
        <w:t>项目编号：</w:t>
      </w:r>
    </w:p>
    <w:p>
      <w:pPr>
        <w:adjustRightInd w:val="0"/>
        <w:snapToGrid w:val="0"/>
        <w:spacing w:before="240" w:beforeLines="100" w:line="360" w:lineRule="auto"/>
        <w:ind w:right="-108"/>
        <w:jc w:val="center"/>
        <w:rPr>
          <w:rFonts w:hint="eastAsia" w:ascii="仿宋_GB2312" w:hAnsi="仿宋" w:eastAsia="仿宋_GB2312" w:cs="仿宋"/>
          <w:sz w:val="36"/>
          <w:szCs w:val="36"/>
        </w:rPr>
      </w:pPr>
    </w:p>
    <w:p>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商</w:t>
      </w:r>
    </w:p>
    <w:p>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务</w:t>
      </w:r>
    </w:p>
    <w:p>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技</w:t>
      </w:r>
    </w:p>
    <w:p>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术</w:t>
      </w:r>
    </w:p>
    <w:p>
      <w:pPr>
        <w:adjustRightInd w:val="0"/>
        <w:snapToGrid w:val="0"/>
        <w:ind w:right="-108"/>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文</w:t>
      </w:r>
    </w:p>
    <w:p>
      <w:pPr>
        <w:adjustRightInd w:val="0"/>
        <w:snapToGrid w:val="0"/>
        <w:ind w:right="-108"/>
        <w:jc w:val="center"/>
        <w:rPr>
          <w:rFonts w:hint="eastAsia" w:ascii="仿宋_GB2312" w:hAnsi="仿宋" w:eastAsia="仿宋_GB2312" w:cs="仿宋"/>
          <w:b/>
          <w:spacing w:val="40"/>
          <w:sz w:val="84"/>
          <w:szCs w:val="84"/>
        </w:rPr>
      </w:pPr>
      <w:r>
        <w:rPr>
          <w:rFonts w:hint="eastAsia" w:ascii="仿宋_GB2312" w:hAnsi="仿宋" w:eastAsia="仿宋_GB2312" w:cs="仿宋"/>
          <w:b/>
          <w:spacing w:val="40"/>
          <w:sz w:val="72"/>
          <w:szCs w:val="72"/>
        </w:rPr>
        <w:t>件</w:t>
      </w:r>
    </w:p>
    <w:p>
      <w:pPr>
        <w:adjustRightInd w:val="0"/>
        <w:snapToGrid w:val="0"/>
        <w:spacing w:line="360" w:lineRule="auto"/>
        <w:ind w:right="532"/>
        <w:rPr>
          <w:rFonts w:hint="eastAsia" w:ascii="仿宋_GB2312" w:hAnsi="仿宋" w:eastAsia="仿宋_GB2312" w:cs="仿宋"/>
          <w:sz w:val="36"/>
          <w:szCs w:val="36"/>
        </w:rPr>
      </w:pPr>
    </w:p>
    <w:p>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投标人全称（公章）：</w:t>
      </w:r>
    </w:p>
    <w:p>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授权代表（签字）：</w:t>
      </w:r>
    </w:p>
    <w:p>
      <w:pPr>
        <w:adjustRightInd w:val="0"/>
        <w:snapToGrid w:val="0"/>
        <w:spacing w:line="360" w:lineRule="auto"/>
        <w:ind w:right="532"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    址：</w:t>
      </w:r>
    </w:p>
    <w:p>
      <w:pPr>
        <w:adjustRightInd w:val="0"/>
        <w:snapToGrid w:val="0"/>
        <w:spacing w:line="360" w:lineRule="auto"/>
        <w:ind w:right="532" w:firstLine="640" w:firstLineChars="200"/>
        <w:rPr>
          <w:rFonts w:hint="eastAsia" w:ascii="仿宋_GB2312" w:hAnsi="仿宋" w:eastAsia="仿宋_GB2312" w:cs="仿宋"/>
          <w:b/>
          <w:bCs/>
          <w:sz w:val="36"/>
          <w:szCs w:val="36"/>
        </w:rPr>
      </w:pPr>
      <w:r>
        <w:rPr>
          <w:rFonts w:hint="eastAsia" w:ascii="仿宋_GB2312" w:hAnsi="仿宋" w:eastAsia="仿宋_GB2312" w:cs="仿宋"/>
          <w:sz w:val="32"/>
          <w:szCs w:val="32"/>
        </w:rPr>
        <w:t>时    间：</w:t>
      </w:r>
    </w:p>
    <w:p>
      <w:pPr>
        <w:adjustRightInd w:val="0"/>
        <w:snapToGrid w:val="0"/>
        <w:spacing w:line="360" w:lineRule="auto"/>
        <w:jc w:val="center"/>
        <w:rPr>
          <w:rFonts w:hint="eastAsia" w:ascii="仿宋_GB2312" w:hAnsi="仿宋" w:eastAsia="仿宋_GB2312" w:cs="仿宋"/>
          <w:b/>
          <w:bCs/>
          <w:sz w:val="36"/>
          <w:szCs w:val="36"/>
        </w:rPr>
      </w:pPr>
      <w:r>
        <w:rPr>
          <w:rFonts w:hint="eastAsia" w:ascii="仿宋_GB2312" w:hAnsi="仿宋" w:eastAsia="仿宋_GB2312" w:cs="仿宋"/>
          <w:sz w:val="24"/>
        </w:rPr>
        <w:br w:type="page"/>
      </w:r>
      <w:r>
        <w:rPr>
          <w:rFonts w:hint="eastAsia" w:ascii="仿宋_GB2312" w:hAnsi="仿宋" w:eastAsia="仿宋_GB2312" w:cs="仿宋"/>
          <w:b/>
          <w:bCs/>
          <w:sz w:val="36"/>
          <w:szCs w:val="36"/>
        </w:rPr>
        <w:t>商务技术文件</w:t>
      </w:r>
    </w:p>
    <w:p>
      <w:pPr>
        <w:adjustRightInd w:val="0"/>
        <w:snapToGrid w:val="0"/>
        <w:spacing w:line="360" w:lineRule="auto"/>
        <w:jc w:val="center"/>
        <w:rPr>
          <w:rFonts w:hint="eastAsia" w:ascii="仿宋_GB2312" w:hAnsi="仿宋" w:eastAsia="仿宋_GB2312" w:cs="仿宋"/>
          <w:sz w:val="32"/>
          <w:szCs w:val="32"/>
        </w:rPr>
      </w:pPr>
      <w:r>
        <w:rPr>
          <w:rFonts w:hint="eastAsia" w:ascii="仿宋_GB2312" w:hAnsi="仿宋" w:eastAsia="仿宋_GB2312" w:cs="仿宋"/>
          <w:b/>
          <w:bCs/>
          <w:sz w:val="32"/>
          <w:szCs w:val="32"/>
        </w:rPr>
        <w:t>目录</w:t>
      </w:r>
    </w:p>
    <w:p>
      <w:pPr>
        <w:adjustRightInd w:val="0"/>
        <w:snapToGrid w:val="0"/>
        <w:spacing w:line="360" w:lineRule="auto"/>
        <w:rPr>
          <w:rFonts w:hint="eastAsia" w:ascii="仿宋_GB2312" w:hAnsi="仿宋" w:eastAsia="仿宋_GB2312" w:cs="仿宋"/>
          <w:sz w:val="24"/>
          <w:szCs w:val="20"/>
        </w:rPr>
      </w:pP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（1）投标声明书———————————————————————— （页码）</w:t>
      </w: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（2）法定代表人授权委托书或法定代表人身份证明书 ————————（页码）</w:t>
      </w:r>
    </w:p>
    <w:p>
      <w:pPr>
        <w:adjustRightInd w:val="0"/>
        <w:snapToGrid w:val="0"/>
        <w:spacing w:line="360" w:lineRule="auto"/>
        <w:jc w:val="left"/>
        <w:rPr>
          <w:rFonts w:hint="eastAsia"/>
        </w:rPr>
      </w:pPr>
      <w:r>
        <w:rPr>
          <w:rFonts w:hint="eastAsia" w:ascii="仿宋_GB2312" w:hAnsi="仿宋" w:eastAsia="仿宋_GB2312" w:cs="仿宋"/>
          <w:sz w:val="24"/>
        </w:rPr>
        <w:t>（3）招标服务费承诺书</w:t>
      </w:r>
      <w:r>
        <w:rPr>
          <w:rFonts w:hint="eastAsia" w:ascii="仿宋" w:hAnsi="仿宋" w:eastAsia="仿宋" w:cs="仿宋"/>
          <w:b/>
          <w:kern w:val="0"/>
          <w:sz w:val="24"/>
        </w:rPr>
        <w:t xml:space="preserve">————————————————————— </w:t>
      </w:r>
      <w:r>
        <w:rPr>
          <w:rFonts w:hint="eastAsia" w:ascii="仿宋_GB2312" w:hAnsi="仿宋" w:eastAsia="仿宋_GB2312" w:cs="仿宋"/>
          <w:sz w:val="24"/>
        </w:rPr>
        <w:t>（页码）</w:t>
      </w:r>
    </w:p>
    <w:p>
      <w:pPr>
        <w:adjustRightInd w:val="0"/>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联合协议</w:t>
      </w:r>
      <w:r>
        <w:rPr>
          <w:rFonts w:hint="eastAsia" w:ascii="仿宋_GB2312" w:hAnsi="仿宋" w:eastAsia="仿宋_GB2312" w:cs="仿宋_GB2312"/>
          <w:sz w:val="24"/>
        </w:rPr>
        <w:t>（若有）</w:t>
      </w:r>
      <w:r>
        <w:rPr>
          <w:rFonts w:hint="eastAsia" w:ascii="仿宋_GB2312" w:hAnsi="仿宋" w:eastAsia="仿宋_GB2312" w:cs="仿宋"/>
          <w:sz w:val="24"/>
        </w:rPr>
        <w:t>————————————————————— （页码）</w:t>
      </w:r>
    </w:p>
    <w:p>
      <w:pPr>
        <w:snapToGrid w:val="0"/>
        <w:spacing w:line="360" w:lineRule="auto"/>
        <w:rPr>
          <w:rFonts w:hint="eastAsia"/>
        </w:rPr>
      </w:pPr>
      <w:r>
        <w:rPr>
          <w:rFonts w:hint="eastAsia" w:ascii="仿宋_GB2312" w:hAnsi="仿宋" w:eastAsia="仿宋_GB2312" w:cs="仿宋_GB2312"/>
          <w:sz w:val="24"/>
        </w:rPr>
        <w:t>（5）</w:t>
      </w:r>
      <w:r>
        <w:rPr>
          <w:rFonts w:ascii="仿宋_GB2312" w:hAnsi="仿宋" w:eastAsia="仿宋_GB2312" w:cs="仿宋_GB2312"/>
          <w:sz w:val="24"/>
        </w:rPr>
        <w:t>分包意向协议</w:t>
      </w:r>
      <w:r>
        <w:rPr>
          <w:rFonts w:hint="eastAsia" w:ascii="仿宋_GB2312" w:hAnsi="仿宋" w:eastAsia="仿宋_GB2312" w:cs="仿宋_GB2312"/>
          <w:sz w:val="24"/>
        </w:rPr>
        <w:t>（若有）</w:t>
      </w:r>
      <w:r>
        <w:rPr>
          <w:rFonts w:hint="eastAsia" w:ascii="仿宋_GB2312" w:hAnsi="仿宋" w:eastAsia="仿宋_GB2312" w:cs="仿宋"/>
          <w:sz w:val="24"/>
        </w:rPr>
        <w:t>——————————————————— （页码）</w:t>
      </w: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（6）投标人情况介绍—————————————————————— （页码）</w:t>
      </w: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bCs/>
          <w:sz w:val="24"/>
        </w:rPr>
        <w:t>（7）类似业绩证明</w:t>
      </w:r>
      <w:r>
        <w:rPr>
          <w:rFonts w:hint="eastAsia" w:ascii="仿宋_GB2312" w:hAnsi="仿宋" w:eastAsia="仿宋_GB2312" w:cs="仿宋"/>
          <w:sz w:val="24"/>
        </w:rPr>
        <w:t>——————————————————————— （页码）</w:t>
      </w:r>
    </w:p>
    <w:p>
      <w:pPr>
        <w:tabs>
          <w:tab w:val="left" w:pos="1080"/>
        </w:tabs>
        <w:adjustRightInd w:val="0"/>
        <w:snapToGrid w:val="0"/>
        <w:spacing w:line="360" w:lineRule="auto"/>
        <w:jc w:val="left"/>
        <w:rPr>
          <w:rFonts w:hint="eastAsia" w:ascii="仿宋_GB2312" w:hAnsi="仿宋" w:eastAsia="仿宋_GB2312" w:cs="仿宋"/>
          <w:sz w:val="24"/>
        </w:rPr>
      </w:pPr>
      <w:r>
        <w:rPr>
          <w:rFonts w:hint="eastAsia" w:ascii="仿宋_GB2312" w:hAnsi="宋体" w:eastAsia="仿宋_GB2312"/>
          <w:sz w:val="24"/>
        </w:rPr>
        <w:t>（8）</w:t>
      </w:r>
      <w:r>
        <w:rPr>
          <w:rFonts w:hint="eastAsia" w:ascii="仿宋_GB2312" w:hAnsi="仿宋" w:eastAsia="仿宋_GB2312" w:cs="仿宋"/>
          <w:bCs/>
          <w:sz w:val="24"/>
          <w:szCs w:val="22"/>
        </w:rPr>
        <w:t>完整技术解决和实施方案</w:t>
      </w:r>
      <w:r>
        <w:rPr>
          <w:rFonts w:hint="eastAsia" w:ascii="仿宋_GB2312" w:hAnsi="仿宋" w:eastAsia="仿宋_GB2312" w:cs="仿宋"/>
          <w:sz w:val="24"/>
        </w:rPr>
        <w:t>—————————————————— （页码）</w:t>
      </w:r>
    </w:p>
    <w:p>
      <w:pPr>
        <w:pStyle w:val="15"/>
        <w:ind w:left="0" w:leftChars="0"/>
        <w:rPr>
          <w:rFonts w:hint="eastAsia" w:ascii="仿宋_GB2312" w:hAnsi="仿宋" w:eastAsia="仿宋_GB2312" w:cs="仿宋"/>
          <w:bCs/>
          <w:sz w:val="24"/>
          <w:szCs w:val="22"/>
          <w:lang w:val="zh-CN"/>
        </w:rPr>
      </w:pPr>
      <w:r>
        <w:rPr>
          <w:rFonts w:hint="eastAsia" w:ascii="仿宋_GB2312" w:hAnsi="仿宋" w:eastAsia="仿宋_GB2312" w:cs="仿宋"/>
          <w:bCs/>
          <w:sz w:val="24"/>
          <w:szCs w:val="22"/>
          <w:lang w:val="zh-CN"/>
        </w:rPr>
        <w:t>（</w:t>
      </w:r>
      <w:r>
        <w:rPr>
          <w:rFonts w:hint="eastAsia" w:ascii="仿宋_GB2312" w:hAnsi="仿宋" w:eastAsia="仿宋_GB2312" w:cs="仿宋"/>
          <w:bCs/>
          <w:sz w:val="24"/>
          <w:szCs w:val="22"/>
        </w:rPr>
        <w:t>9</w:t>
      </w:r>
      <w:r>
        <w:rPr>
          <w:rFonts w:hint="eastAsia" w:ascii="仿宋_GB2312" w:hAnsi="仿宋" w:eastAsia="仿宋_GB2312" w:cs="仿宋"/>
          <w:bCs/>
          <w:sz w:val="24"/>
          <w:szCs w:val="22"/>
          <w:lang w:val="zh-CN"/>
        </w:rPr>
        <w:t>）进行本项目实施的自有或租赁场地及设备详细情况</w:t>
      </w:r>
      <w:r>
        <w:rPr>
          <w:rFonts w:hint="eastAsia" w:ascii="仿宋_GB2312" w:hAnsi="仿宋" w:eastAsia="仿宋_GB2312" w:cs="仿宋"/>
          <w:sz w:val="24"/>
        </w:rPr>
        <w:t>——————— （页码）</w:t>
      </w:r>
    </w:p>
    <w:p>
      <w:pPr>
        <w:pStyle w:val="15"/>
        <w:ind w:left="0" w:leftChars="0"/>
        <w:rPr>
          <w:rFonts w:hint="eastAsia" w:ascii="仿宋_GB2312" w:hAnsi="仿宋" w:eastAsia="仿宋_GB2312" w:cs="仿宋"/>
          <w:sz w:val="24"/>
        </w:rPr>
      </w:pPr>
      <w:r>
        <w:rPr>
          <w:rFonts w:hint="eastAsia" w:ascii="仿宋_GB2312" w:hAnsi="宋体" w:eastAsia="仿宋_GB2312"/>
          <w:sz w:val="24"/>
        </w:rPr>
        <w:t>（10）项目组成员情况</w:t>
      </w:r>
      <w:r>
        <w:rPr>
          <w:rFonts w:hint="eastAsia" w:ascii="仿宋_GB2312" w:hAnsi="仿宋" w:eastAsia="仿宋_GB2312" w:cs="仿宋"/>
          <w:sz w:val="24"/>
          <w:lang w:val="zh-CN"/>
        </w:rPr>
        <w:t>一</w:t>
      </w:r>
      <w:r>
        <w:rPr>
          <w:rFonts w:hint="eastAsia" w:ascii="仿宋_GB2312" w:hAnsi="宋体" w:eastAsia="仿宋_GB2312"/>
          <w:sz w:val="24"/>
          <w:lang w:val="zh-CN"/>
        </w:rPr>
        <w:t>览表</w:t>
      </w:r>
      <w:r>
        <w:rPr>
          <w:rFonts w:hint="eastAsia" w:ascii="仿宋_GB2312" w:hAnsi="仿宋" w:eastAsia="仿宋_GB2312" w:cs="仿宋"/>
          <w:sz w:val="24"/>
        </w:rPr>
        <w:t>———————————————————（页码）</w:t>
      </w:r>
    </w:p>
    <w:p>
      <w:pPr>
        <w:pStyle w:val="15"/>
        <w:ind w:left="0" w:leftChars="0"/>
        <w:rPr>
          <w:rFonts w:hint="eastAsia"/>
          <w:lang w:val="zh-CN"/>
        </w:rPr>
      </w:pPr>
      <w:r>
        <w:rPr>
          <w:rFonts w:hint="eastAsia" w:ascii="仿宋_GB2312" w:hAnsi="仿宋" w:eastAsia="仿宋_GB2312" w:cs="仿宋"/>
          <w:sz w:val="24"/>
        </w:rPr>
        <w:t>（11）</w:t>
      </w:r>
      <w:r>
        <w:rPr>
          <w:rFonts w:hint="eastAsia" w:ascii="仿宋_GB2312" w:hAnsi="仿宋" w:eastAsia="仿宋_GB2312" w:cs="仿宋"/>
          <w:bCs/>
          <w:sz w:val="24"/>
          <w:szCs w:val="22"/>
          <w:lang w:val="zh-CN"/>
        </w:rPr>
        <w:t>各项内部管理制度</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rPr>
        <w:t>12</w:t>
      </w:r>
      <w:r>
        <w:rPr>
          <w:rFonts w:hint="eastAsia" w:ascii="仿宋_GB2312" w:hAnsi="仿宋" w:eastAsia="仿宋_GB2312" w:cs="仿宋"/>
          <w:sz w:val="24"/>
          <w:lang w:val="zh-CN"/>
        </w:rPr>
        <w:t>）</w:t>
      </w:r>
      <w:r>
        <w:rPr>
          <w:rFonts w:hint="eastAsia" w:ascii="仿宋_GB2312" w:hAnsi="仿宋" w:eastAsia="仿宋_GB2312" w:cs="仿宋"/>
          <w:bCs/>
          <w:sz w:val="24"/>
          <w:szCs w:val="22"/>
          <w:lang w:val="zh-CN"/>
        </w:rPr>
        <w:t>本地常驻服务和技术支持机构服务方案</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rPr>
        <w:t>13</w:t>
      </w:r>
      <w:r>
        <w:rPr>
          <w:rFonts w:hint="eastAsia" w:ascii="仿宋_GB2312" w:hAnsi="仿宋" w:eastAsia="仿宋_GB2312" w:cs="仿宋"/>
          <w:sz w:val="24"/>
          <w:lang w:val="zh-CN"/>
        </w:rPr>
        <w:t>）商务技术响应表（格式见附件）</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rPr>
        <w:t>14</w:t>
      </w:r>
      <w:r>
        <w:rPr>
          <w:rFonts w:hint="eastAsia" w:ascii="仿宋_GB2312" w:hAnsi="仿宋" w:eastAsia="仿宋_GB2312" w:cs="仿宋"/>
          <w:sz w:val="24"/>
          <w:lang w:val="zh-CN"/>
        </w:rPr>
        <w:t>）供应商提出的对本项目的实质性优惠条件和承诺情况</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lang w:val="zh-CN"/>
        </w:rPr>
        <w:t>（</w:t>
      </w:r>
      <w:r>
        <w:rPr>
          <w:rFonts w:hint="eastAsia" w:ascii="仿宋_GB2312" w:hAnsi="仿宋" w:eastAsia="仿宋_GB2312" w:cs="仿宋"/>
          <w:sz w:val="24"/>
        </w:rPr>
        <w:t>15</w:t>
      </w:r>
      <w:r>
        <w:rPr>
          <w:rFonts w:hint="eastAsia" w:ascii="仿宋_GB2312" w:hAnsi="仿宋" w:eastAsia="仿宋_GB2312" w:cs="仿宋"/>
          <w:sz w:val="24"/>
          <w:lang w:val="zh-CN"/>
        </w:rPr>
        <w:t>）供应商认为需要说明的其他文件和资料</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_GB2312" w:cs="仿宋"/>
          <w:sz w:val="24"/>
          <w:lang w:val="zh-CN"/>
        </w:rPr>
      </w:pPr>
      <w:r>
        <w:rPr>
          <w:rFonts w:hint="eastAsia" w:ascii="仿宋_GB2312" w:hAnsi="仿宋" w:eastAsia="仿宋_GB2312" w:cs="仿宋"/>
          <w:sz w:val="24"/>
        </w:rPr>
        <w:t>（16）</w:t>
      </w:r>
      <w:r>
        <w:rPr>
          <w:rFonts w:hint="eastAsia" w:ascii="仿宋_GB2312" w:hAnsi="仿宋" w:eastAsia="仿宋_GB2312" w:cs="仿宋"/>
          <w:sz w:val="24"/>
          <w:lang w:val="zh-CN"/>
        </w:rPr>
        <w:t>政府采购供应商廉洁自律承诺书</w:t>
      </w:r>
      <w:r>
        <w:rPr>
          <w:rFonts w:hint="eastAsia" w:ascii="仿宋_GB2312" w:hAnsi="仿宋" w:eastAsia="仿宋_GB2312" w:cs="仿宋"/>
          <w:sz w:val="24"/>
        </w:rPr>
        <w:t>———————————————（页码）</w:t>
      </w: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br w:type="page"/>
      </w:r>
      <w:r>
        <w:rPr>
          <w:rFonts w:hint="eastAsia" w:ascii="仿宋_GB2312" w:hAnsi="仿宋" w:eastAsia="仿宋_GB2312" w:cs="仿宋"/>
          <w:b/>
          <w:bCs/>
          <w:sz w:val="24"/>
        </w:rPr>
        <w:t>一、投标声明书格式：</w:t>
      </w:r>
    </w:p>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投标声明书</w:t>
      </w:r>
    </w:p>
    <w:p>
      <w:pPr>
        <w:adjustRightInd w:val="0"/>
        <w:snapToGrid w:val="0"/>
        <w:spacing w:line="360" w:lineRule="auto"/>
        <w:rPr>
          <w:rFonts w:ascii="仿宋" w:hAnsi="仿宋" w:eastAsia="仿宋" w:cs="仿宋"/>
          <w:kern w:val="0"/>
          <w:sz w:val="24"/>
        </w:rPr>
      </w:pPr>
      <w:r>
        <w:rPr>
          <w:rFonts w:hint="eastAsia" w:ascii="仿宋" w:hAnsi="仿宋" w:eastAsia="仿宋" w:cs="仿宋"/>
          <w:sz w:val="24"/>
        </w:rPr>
        <w:t xml:space="preserve"> 浙江省公安厅机场公安局、浙江通用招标代理有限公司</w:t>
      </w:r>
      <w:r>
        <w:rPr>
          <w:rFonts w:hint="eastAsia" w:ascii="仿宋" w:hAnsi="仿宋" w:eastAsia="仿宋" w:cs="仿宋"/>
          <w:kern w:val="0"/>
          <w:sz w:val="24"/>
        </w:rPr>
        <w:t>：</w:t>
      </w:r>
    </w:p>
    <w:p>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政府采购领域中</w:t>
      </w:r>
      <w:r>
        <w:rPr>
          <w:rFonts w:hint="eastAsia" w:ascii="仿宋" w:hAnsi="仿宋" w:eastAsia="仿宋" w:cs="仿宋"/>
          <w:sz w:val="24"/>
        </w:rPr>
        <w:t>，在项目招标、投标和合同履约期间无任何不良行为记录和违法、违规行为</w:t>
      </w:r>
      <w:r>
        <w:rPr>
          <w:rFonts w:hint="eastAsia" w:ascii="仿宋" w:hAnsi="仿宋" w:eastAsia="仿宋" w:cs="仿宋"/>
          <w:kern w:val="0"/>
          <w:sz w:val="24"/>
          <w:lang w:val="zh-CN"/>
        </w:rPr>
        <w:t>。</w:t>
      </w:r>
    </w:p>
    <w:p>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lang w:eastAsia="zh-CN"/>
        </w:rPr>
        <w:t>浙江省公安厅机场公安局空港亚运安保一体化指挥系统项目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kern w:val="0"/>
          <w:sz w:val="24"/>
        </w:rPr>
        <w:t xml:space="preserve">   </w:t>
      </w:r>
      <w:r>
        <w:rPr>
          <w:rFonts w:hint="eastAsia" w:ascii="仿宋" w:hAnsi="仿宋" w:eastAsia="仿宋" w:cs="仿宋"/>
          <w:sz w:val="24"/>
        </w:rPr>
        <w:t>）</w:t>
      </w:r>
      <w:r>
        <w:rPr>
          <w:rFonts w:hint="eastAsia" w:ascii="仿宋" w:hAnsi="仿宋" w:eastAsia="仿宋" w:cs="仿宋"/>
          <w:kern w:val="0"/>
          <w:sz w:val="24"/>
          <w:lang w:val="zh-CN"/>
        </w:rPr>
        <w:t>的投标，并保证投标文件中所列举的投标报价文件及相关资料和公司基本情况资料是真实的、合法的。</w:t>
      </w:r>
    </w:p>
    <w:p>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我公司理解并接受招标文件的各项规定和要求，同意此次招标文件中的各项内容，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同意提供按照贵方可能要求的与投标有关的一切数据或资料等。</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本公司如中标，保证按照投标文件的承诺与贵方签订合同，保证履行合同条款并缴纳履约保证金。</w:t>
      </w:r>
    </w:p>
    <w:p>
      <w:pPr>
        <w:autoSpaceDE w:val="0"/>
        <w:autoSpaceDN w:val="0"/>
        <w:adjustRightInd w:val="0"/>
        <w:snapToGrid w:val="0"/>
        <w:spacing w:line="360" w:lineRule="auto"/>
        <w:ind w:firstLine="4560" w:firstLineChars="1900"/>
        <w:jc w:val="left"/>
        <w:rPr>
          <w:rFonts w:hint="eastAsia" w:ascii="仿宋" w:hAnsi="仿宋" w:eastAsia="仿宋" w:cs="仿宋"/>
          <w:kern w:val="0"/>
          <w:sz w:val="24"/>
        </w:rPr>
      </w:pPr>
    </w:p>
    <w:p>
      <w:pPr>
        <w:autoSpaceDE w:val="0"/>
        <w:autoSpaceDN w:val="0"/>
        <w:adjustRightInd w:val="0"/>
        <w:snapToGrid w:val="0"/>
        <w:spacing w:line="360" w:lineRule="auto"/>
        <w:ind w:firstLine="4560" w:firstLineChars="1900"/>
        <w:jc w:val="left"/>
        <w:rPr>
          <w:rFonts w:hint="eastAsia" w:ascii="仿宋" w:hAnsi="仿宋" w:eastAsia="仿宋" w:cs="仿宋"/>
          <w:kern w:val="0"/>
          <w:sz w:val="24"/>
        </w:rPr>
      </w:pPr>
      <w:r>
        <w:rPr>
          <w:rFonts w:hint="eastAsia" w:ascii="仿宋" w:hAnsi="仿宋" w:eastAsia="仿宋" w:cs="仿宋"/>
          <w:kern w:val="0"/>
          <w:sz w:val="24"/>
        </w:rPr>
        <w:t xml:space="preserve"> </w:t>
      </w:r>
    </w:p>
    <w:p>
      <w:pPr>
        <w:autoSpaceDE w:val="0"/>
        <w:autoSpaceDN w:val="0"/>
        <w:adjustRightInd w:val="0"/>
        <w:snapToGrid w:val="0"/>
        <w:spacing w:line="360" w:lineRule="auto"/>
        <w:ind w:firstLine="4560" w:firstLineChars="1900"/>
        <w:jc w:val="left"/>
        <w:rPr>
          <w:rFonts w:hint="eastAsia" w:ascii="仿宋" w:hAnsi="仿宋" w:eastAsia="仿宋" w:cs="仿宋"/>
          <w:kern w:val="0"/>
          <w:sz w:val="24"/>
        </w:rPr>
      </w:pP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adjustRightInd w:val="0"/>
        <w:snapToGrid w:val="0"/>
        <w:spacing w:line="360" w:lineRule="auto"/>
        <w:ind w:firstLine="4560" w:firstLineChars="1900"/>
        <w:jc w:val="left"/>
        <w:rPr>
          <w:rFonts w:hint="eastAsia" w:ascii="仿宋_GB2312" w:hAnsi="仿宋" w:eastAsia="仿宋_GB2312" w:cs="仿宋"/>
          <w:sz w:val="24"/>
        </w:rPr>
      </w:pPr>
      <w:r>
        <w:rPr>
          <w:rFonts w:hint="eastAsia" w:ascii="仿宋" w:hAnsi="仿宋" w:eastAsia="仿宋" w:cs="仿宋"/>
          <w:kern w:val="0"/>
          <w:sz w:val="24"/>
        </w:rPr>
        <w:t>日期：</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adjustRightInd w:val="0"/>
        <w:snapToGrid w:val="0"/>
        <w:spacing w:line="360" w:lineRule="auto"/>
        <w:jc w:val="left"/>
        <w:rPr>
          <w:rFonts w:hint="eastAsia" w:ascii="仿宋_GB2312" w:hAnsi="仿宋" w:eastAsia="仿宋_GB2312" w:cs="仿宋"/>
          <w:sz w:val="24"/>
        </w:rPr>
      </w:pPr>
    </w:p>
    <w:p>
      <w:pPr>
        <w:adjustRightInd w:val="0"/>
        <w:snapToGrid w:val="0"/>
        <w:spacing w:line="360" w:lineRule="auto"/>
        <w:jc w:val="left"/>
        <w:rPr>
          <w:rFonts w:hint="eastAsia" w:ascii="仿宋_GB2312" w:hAnsi="仿宋" w:eastAsia="仿宋_GB2312" w:cs="仿宋"/>
          <w:b/>
          <w:bCs/>
          <w:sz w:val="24"/>
        </w:rPr>
      </w:pPr>
      <w:r>
        <w:rPr>
          <w:rFonts w:hint="eastAsia" w:ascii="仿宋_GB2312" w:hAnsi="仿宋" w:eastAsia="仿宋_GB2312" w:cs="仿宋"/>
          <w:sz w:val="24"/>
        </w:rPr>
        <w:br w:type="page"/>
      </w:r>
      <w:r>
        <w:rPr>
          <w:rFonts w:hint="eastAsia" w:ascii="仿宋_GB2312" w:hAnsi="仿宋" w:eastAsia="仿宋_GB2312" w:cs="仿宋"/>
          <w:sz w:val="24"/>
        </w:rPr>
        <w:t>二、</w:t>
      </w:r>
      <w:r>
        <w:rPr>
          <w:rFonts w:hint="eastAsia" w:ascii="仿宋_GB2312" w:hAnsi="仿宋" w:eastAsia="仿宋_GB2312" w:cs="仿宋"/>
          <w:b/>
          <w:sz w:val="24"/>
        </w:rPr>
        <w:t>法定代表人授权委托书（授权代表参加投标）</w:t>
      </w:r>
      <w:r>
        <w:rPr>
          <w:rFonts w:hint="eastAsia" w:ascii="仿宋_GB2312" w:hAnsi="仿宋" w:eastAsia="仿宋_GB2312" w:cs="仿宋"/>
          <w:b/>
          <w:bCs/>
          <w:sz w:val="24"/>
        </w:rPr>
        <w:t>：</w:t>
      </w:r>
    </w:p>
    <w:p>
      <w:pPr>
        <w:adjustRightInd w:val="0"/>
        <w:snapToGrid w:val="0"/>
        <w:spacing w:line="360" w:lineRule="auto"/>
        <w:jc w:val="left"/>
        <w:rPr>
          <w:rFonts w:hint="eastAsia" w:ascii="仿宋_GB2312" w:hAnsi="仿宋" w:eastAsia="仿宋_GB2312" w:cs="仿宋"/>
          <w:b/>
          <w:bCs/>
          <w:sz w:val="24"/>
        </w:rPr>
      </w:pPr>
      <w:r>
        <w:rPr>
          <w:rFonts w:hint="eastAsia" w:ascii="仿宋_GB2312" w:hAnsi="仿宋" w:eastAsia="仿宋_GB2312" w:cs="仿宋"/>
          <w:sz w:val="24"/>
        </w:rPr>
        <w:t xml:space="preserve">    投标人代表须携带有效身份证件。如投标人代表不是法定代表人，须有法定代表人出具的授权委托书;若是法定代表人参加，须填写法定代表人身份证明书。</w:t>
      </w:r>
    </w:p>
    <w:p>
      <w:pPr>
        <w:adjustRightInd w:val="0"/>
        <w:snapToGrid w:val="0"/>
        <w:spacing w:line="360" w:lineRule="auto"/>
        <w:jc w:val="center"/>
        <w:rPr>
          <w:rFonts w:hint="eastAsia" w:ascii="仿宋_GB2312" w:hAnsi="仿宋" w:eastAsia="仿宋_GB2312" w:cs="仿宋"/>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sz w:val="24"/>
        </w:rPr>
        <w:t>浙江省公安厅机场公安局、浙江通用招标代理有限公司</w:t>
      </w:r>
      <w:r>
        <w:rPr>
          <w:rFonts w:hint="eastAsia" w:ascii="仿宋" w:hAnsi="仿宋" w:eastAsia="仿宋" w:cs="仿宋"/>
          <w:kern w:val="0"/>
          <w:sz w:val="24"/>
          <w:lang w:val="zh-CN"/>
        </w:rPr>
        <w:t>：</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兹委派我公司先生</w:t>
      </w:r>
      <w:r>
        <w:rPr>
          <w:rFonts w:ascii="仿宋" w:hAnsi="仿宋" w:eastAsia="仿宋" w:cs="仿宋"/>
          <w:kern w:val="0"/>
          <w:sz w:val="24"/>
          <w:lang w:val="zh-CN"/>
        </w:rPr>
        <w:t>/</w:t>
      </w:r>
      <w:r>
        <w:rPr>
          <w:rFonts w:hint="eastAsia" w:ascii="仿宋" w:hAnsi="仿宋" w:eastAsia="仿宋" w:cs="仿宋"/>
          <w:kern w:val="0"/>
          <w:sz w:val="24"/>
          <w:lang w:val="zh-CN"/>
        </w:rPr>
        <w:t>女士</w:t>
      </w:r>
      <w:r>
        <w:rPr>
          <w:rFonts w:ascii="仿宋" w:hAnsi="仿宋" w:eastAsia="仿宋" w:cs="仿宋"/>
          <w:kern w:val="0"/>
          <w:sz w:val="24"/>
          <w:lang w:val="zh-CN"/>
        </w:rPr>
        <w:t>(</w:t>
      </w:r>
      <w:r>
        <w:rPr>
          <w:rFonts w:hint="eastAsia" w:ascii="仿宋" w:hAnsi="仿宋" w:eastAsia="仿宋" w:cs="仿宋"/>
          <w:kern w:val="0"/>
          <w:sz w:val="24"/>
          <w:lang w:val="zh-CN"/>
        </w:rPr>
        <w:t>其在本公司的职务是：</w:t>
      </w:r>
      <w:r>
        <w:rPr>
          <w:rFonts w:ascii="仿宋" w:hAnsi="仿宋" w:eastAsia="仿宋" w:cs="仿宋"/>
          <w:kern w:val="0"/>
          <w:sz w:val="24"/>
          <w:lang w:val="zh-CN"/>
        </w:rPr>
        <w:t xml:space="preserve"> </w:t>
      </w:r>
      <w:r>
        <w:rPr>
          <w:rFonts w:hint="eastAsia" w:ascii="仿宋" w:hAnsi="仿宋" w:eastAsia="仿宋" w:cs="仿宋"/>
          <w:kern w:val="0"/>
          <w:sz w:val="24"/>
          <w:lang w:val="zh-CN"/>
        </w:rPr>
        <w:t>，联系电话：手机：传真：</w:t>
      </w:r>
      <w:r>
        <w:rPr>
          <w:rFonts w:ascii="仿宋" w:hAnsi="仿宋" w:eastAsia="仿宋" w:cs="仿宋"/>
          <w:kern w:val="0"/>
          <w:sz w:val="24"/>
          <w:lang w:val="zh-CN"/>
        </w:rPr>
        <w:t>)</w:t>
      </w:r>
      <w:r>
        <w:rPr>
          <w:rFonts w:hint="eastAsia" w:ascii="仿宋" w:hAnsi="仿宋" w:eastAsia="仿宋" w:cs="仿宋"/>
          <w:kern w:val="0"/>
          <w:sz w:val="24"/>
          <w:lang w:val="zh-CN"/>
        </w:rPr>
        <w:t>，代表我公司全权处理</w:t>
      </w:r>
      <w:r>
        <w:rPr>
          <w:rFonts w:hint="eastAsia" w:ascii="仿宋" w:hAnsi="仿宋" w:eastAsia="仿宋" w:cs="仿宋"/>
          <w:sz w:val="24"/>
          <w:u w:val="single"/>
          <w:lang w:eastAsia="zh-CN"/>
        </w:rPr>
        <w:t>浙江省公安厅机场公安局空港亚运安保一体化指挥系统项目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sz w:val="24"/>
        </w:rPr>
        <w:t>）</w:t>
      </w:r>
      <w:r>
        <w:rPr>
          <w:rFonts w:hint="eastAsia" w:ascii="仿宋" w:hAnsi="仿宋" w:eastAsia="仿宋" w:cs="仿宋"/>
          <w:kern w:val="0"/>
          <w:sz w:val="24"/>
          <w:lang w:val="zh-CN"/>
        </w:rPr>
        <w:t>政府采购投标的一切事项，若中标则全权代表本公司签订相关合同，并负责处理合同履行等事宜。</w:t>
      </w:r>
    </w:p>
    <w:p>
      <w:pPr>
        <w:adjustRightInd w:val="0"/>
        <w:snapToGrid w:val="0"/>
        <w:spacing w:line="360" w:lineRule="auto"/>
        <w:rPr>
          <w:rFonts w:ascii="仿宋" w:hAnsi="仿宋" w:eastAsia="仿宋" w:cs="仿宋"/>
          <w:kern w:val="0"/>
          <w:sz w:val="24"/>
          <w:lang w:val="zh-CN"/>
        </w:rPr>
      </w:pPr>
      <w:r>
        <w:rPr>
          <w:rFonts w:ascii="仿宋" w:hAnsi="仿宋" w:eastAsia="仿宋" w:cs="仿宋"/>
          <w:kern w:val="0"/>
          <w:sz w:val="24"/>
          <w:lang w:val="zh-CN"/>
        </w:rPr>
        <w:t xml:space="preserve">    </w:t>
      </w:r>
      <w:r>
        <w:rPr>
          <w:rFonts w:hint="eastAsia" w:ascii="仿宋" w:hAnsi="仿宋" w:eastAsia="仿宋" w:cs="仿宋"/>
          <w:kern w:val="0"/>
          <w:sz w:val="24"/>
          <w:lang w:val="zh-CN"/>
        </w:rPr>
        <w:t>本授权书有效期：自</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日起至</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日止。</w:t>
      </w:r>
    </w:p>
    <w:p>
      <w:pPr>
        <w:adjustRightInd w:val="0"/>
        <w:snapToGrid w:val="0"/>
        <w:spacing w:line="360" w:lineRule="auto"/>
        <w:rPr>
          <w:rFonts w:ascii="仿宋" w:hAnsi="仿宋" w:eastAsia="仿宋" w:cs="仿宋"/>
          <w:kern w:val="0"/>
          <w:sz w:val="24"/>
        </w:rPr>
      </w:pPr>
      <w:r>
        <w:rPr>
          <w:rFonts w:ascii="仿宋" w:hAnsi="仿宋" w:eastAsia="仿宋" w:cs="仿宋"/>
          <w:kern w:val="0"/>
          <w:sz w:val="24"/>
          <w:lang w:val="zh-CN"/>
        </w:rPr>
        <w:t xml:space="preserve">    </w:t>
      </w:r>
      <w:r>
        <w:rPr>
          <w:rFonts w:hint="eastAsia" w:ascii="仿宋" w:hAnsi="仿宋" w:eastAsia="仿宋" w:cs="仿宋"/>
          <w:kern w:val="0"/>
          <w:sz w:val="24"/>
          <w:lang w:val="zh-CN"/>
        </w:rPr>
        <w:t>特此告知。</w:t>
      </w:r>
    </w:p>
    <w:p>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公章</w:t>
      </w:r>
      <w:r>
        <w:rPr>
          <w:rFonts w:ascii="仿宋" w:hAnsi="仿宋" w:eastAsia="仿宋" w:cs="仿宋"/>
          <w:kern w:val="0"/>
          <w:sz w:val="24"/>
          <w:lang w:val="zh-CN"/>
        </w:rPr>
        <w:t>)</w:t>
      </w:r>
      <w:r>
        <w:rPr>
          <w:rFonts w:hint="eastAsia" w:ascii="仿宋" w:hAnsi="仿宋" w:eastAsia="仿宋" w:cs="仿宋"/>
          <w:kern w:val="0"/>
          <w:sz w:val="24"/>
          <w:lang w:val="zh-CN"/>
        </w:rPr>
        <w:t>：</w:t>
      </w:r>
    </w:p>
    <w:p>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法定代表人</w:t>
      </w:r>
      <w:r>
        <w:rPr>
          <w:rFonts w:ascii="仿宋" w:hAnsi="仿宋" w:eastAsia="仿宋" w:cs="仿宋"/>
          <w:kern w:val="0"/>
          <w:sz w:val="24"/>
          <w:lang w:val="zh-CN"/>
        </w:rPr>
        <w:t>(</w:t>
      </w:r>
      <w:r>
        <w:rPr>
          <w:rFonts w:hint="eastAsia" w:ascii="仿宋" w:hAnsi="仿宋" w:eastAsia="仿宋" w:cs="仿宋"/>
          <w:kern w:val="0"/>
          <w:sz w:val="24"/>
          <w:lang w:val="zh-CN"/>
        </w:rPr>
        <w:t>签字或盖章</w:t>
      </w:r>
      <w:r>
        <w:rPr>
          <w:rFonts w:ascii="仿宋" w:hAnsi="仿宋" w:eastAsia="仿宋" w:cs="仿宋"/>
          <w:kern w:val="0"/>
          <w:sz w:val="24"/>
          <w:lang w:val="zh-CN"/>
        </w:rPr>
        <w:t>)</w:t>
      </w:r>
      <w:r>
        <w:rPr>
          <w:rFonts w:hint="eastAsia" w:ascii="仿宋" w:hAnsi="仿宋" w:eastAsia="仿宋" w:cs="仿宋"/>
          <w:kern w:val="0"/>
          <w:sz w:val="24"/>
          <w:lang w:val="zh-CN"/>
        </w:rPr>
        <w:t>：</w:t>
      </w:r>
    </w:p>
    <w:p>
      <w:pPr>
        <w:wordWrap w:val="0"/>
        <w:adjustRightInd w:val="0"/>
        <w:snapToGrid w:val="0"/>
        <w:spacing w:line="360" w:lineRule="auto"/>
        <w:ind w:right="240" w:firstLine="5160" w:firstLineChars="2150"/>
        <w:jc w:val="left"/>
        <w:rPr>
          <w:rFonts w:ascii="仿宋" w:hAnsi="仿宋" w:eastAsia="仿宋" w:cs="仿宋"/>
          <w:kern w:val="0"/>
          <w:sz w:val="24"/>
          <w:lang w:val="zh-CN"/>
        </w:rPr>
      </w:pPr>
      <w:r>
        <w:rPr>
          <w:rFonts w:hint="eastAsia" w:ascii="仿宋" w:hAnsi="仿宋" w:eastAsia="仿宋" w:cs="仿宋"/>
          <w:kern w:val="0"/>
          <w:sz w:val="24"/>
          <w:lang w:val="zh-CN"/>
        </w:rPr>
        <w:t>签发日期：</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w:t>
      </w:r>
    </w:p>
    <w:p>
      <w:pPr>
        <w:adjustRightInd w:val="0"/>
        <w:snapToGrid w:val="0"/>
        <w:spacing w:line="360" w:lineRule="auto"/>
        <w:rPr>
          <w:rFonts w:hint="eastAsia" w:ascii="仿宋_GB2312" w:hAnsi="仿宋" w:eastAsia="仿宋_GB2312" w:cs="仿宋"/>
          <w:sz w:val="24"/>
          <w:u w:val="single"/>
        </w:rPr>
      </w:pP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附：法定代表人和授权代表身份证复印件（须正反面复印）。</w:t>
      </w: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                           投标人全称（公章）：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                           日期：     年    月    日</w:t>
      </w: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p>
    <w:p>
      <w:pPr>
        <w:pStyle w:val="19"/>
        <w:adjustRightInd w:val="0"/>
        <w:snapToGrid w:val="0"/>
        <w:spacing w:before="120" w:after="120" w:line="360" w:lineRule="auto"/>
        <w:jc w:val="center"/>
        <w:outlineLvl w:val="1"/>
        <w:rPr>
          <w:rFonts w:hint="eastAsia" w:ascii="仿宋_GB2312" w:hAnsi="仿宋" w:eastAsia="仿宋_GB2312" w:cs="仿宋"/>
          <w:b/>
        </w:rPr>
      </w:pPr>
      <w:r>
        <w:rPr>
          <w:rFonts w:hint="eastAsia" w:ascii="仿宋_GB2312" w:hAnsi="仿宋" w:eastAsia="仿宋_GB2312" w:cs="仿宋"/>
          <w:b/>
        </w:rPr>
        <w:br w:type="page"/>
      </w:r>
      <w:r>
        <w:rPr>
          <w:rFonts w:hint="eastAsia" w:ascii="仿宋_GB2312" w:hAnsi="仿宋" w:eastAsia="仿宋_GB2312" w:cs="仿宋"/>
          <w:b/>
        </w:rPr>
        <w:t>法定代表人身份证明书（法人参加投标）</w:t>
      </w:r>
    </w:p>
    <w:p>
      <w:pPr>
        <w:adjustRightInd w:val="0"/>
        <w:snapToGrid w:val="0"/>
        <w:spacing w:line="360" w:lineRule="auto"/>
        <w:rPr>
          <w:rFonts w:hint="eastAsia" w:ascii="仿宋_GB2312" w:hAnsi="仿宋" w:eastAsia="仿宋_GB2312" w:cs="仿宋"/>
          <w:b/>
          <w:sz w:val="36"/>
        </w:rPr>
      </w:pPr>
    </w:p>
    <w:p>
      <w:pPr>
        <w:adjustRightInd w:val="0"/>
        <w:snapToGrid w:val="0"/>
        <w:spacing w:line="360" w:lineRule="auto"/>
        <w:ind w:firstLine="612"/>
        <w:rPr>
          <w:rFonts w:hint="eastAsia" w:ascii="仿宋_GB2312" w:hAnsi="仿宋" w:eastAsia="仿宋_GB2312" w:cs="仿宋"/>
          <w:sz w:val="24"/>
        </w:rPr>
      </w:pPr>
      <w:r>
        <w:rPr>
          <w:rFonts w:hint="eastAsia" w:ascii="仿宋_GB2312" w:hAnsi="仿宋" w:eastAsia="仿宋_GB2312" w:cs="仿宋"/>
          <w:sz w:val="24"/>
        </w:rPr>
        <w:t>单位名称：</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单位性质：</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地    址：</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pPr>
        <w:adjustRightInd w:val="0"/>
        <w:snapToGrid w:val="0"/>
        <w:spacing w:line="360" w:lineRule="auto"/>
        <w:ind w:firstLine="610"/>
        <w:rPr>
          <w:rFonts w:hint="eastAsia" w:ascii="仿宋_GB2312" w:hAnsi="仿宋" w:eastAsia="仿宋_GB2312" w:cs="仿宋"/>
          <w:sz w:val="24"/>
        </w:rPr>
      </w:pPr>
      <w:r>
        <w:rPr>
          <w:rFonts w:hint="eastAsia" w:ascii="仿宋_GB2312" w:hAnsi="仿宋" w:eastAsia="仿宋_GB2312" w:cs="仿宋"/>
          <w:sz w:val="24"/>
        </w:rPr>
        <w:t>成立时间：</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经营期限：</w:t>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r>
        <w:rPr>
          <w:rFonts w:hint="eastAsia" w:ascii="仿宋_GB2312" w:hAnsi="仿宋" w:eastAsia="仿宋_GB2312" w:cs="仿宋"/>
          <w:sz w:val="24"/>
          <w:u w:val="single"/>
        </w:rPr>
        <w:tab/>
      </w:r>
    </w:p>
    <w:p>
      <w:pPr>
        <w:adjustRightInd w:val="0"/>
        <w:snapToGrid w:val="0"/>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姓    名：</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性别：</w:t>
      </w:r>
      <w:r>
        <w:rPr>
          <w:rFonts w:hint="eastAsia" w:ascii="仿宋_GB2312" w:hAnsi="仿宋" w:eastAsia="仿宋_GB2312" w:cs="仿宋"/>
          <w:sz w:val="24"/>
          <w:u w:val="single"/>
        </w:rPr>
        <w:t xml:space="preserve">        </w:t>
      </w:r>
      <w:r>
        <w:rPr>
          <w:rFonts w:hint="eastAsia" w:ascii="仿宋_GB2312" w:hAnsi="仿宋" w:eastAsia="仿宋_GB2312" w:cs="仿宋"/>
          <w:sz w:val="24"/>
        </w:rPr>
        <w:t>年龄：</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职务：</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 xml:space="preserve"> </w:t>
      </w:r>
    </w:p>
    <w:p>
      <w:pPr>
        <w:adjustRightInd w:val="0"/>
        <w:snapToGrid w:val="0"/>
        <w:spacing w:line="360" w:lineRule="auto"/>
        <w:ind w:firstLine="610"/>
        <w:rPr>
          <w:rFonts w:hint="eastAsia" w:ascii="仿宋_GB2312" w:hAnsi="仿宋" w:eastAsia="仿宋_GB2312" w:cs="仿宋"/>
          <w:sz w:val="24"/>
        </w:rPr>
      </w:pPr>
      <w:r>
        <w:rPr>
          <w:rFonts w:hint="eastAsia" w:ascii="仿宋_GB2312" w:hAnsi="仿宋" w:eastAsia="仿宋_GB2312" w:cs="仿宋"/>
          <w:sz w:val="24"/>
        </w:rPr>
        <w:t>系</w:t>
      </w:r>
      <w:r>
        <w:rPr>
          <w:rFonts w:hint="eastAsia" w:ascii="仿宋_GB2312" w:hAnsi="仿宋" w:eastAsia="仿宋_GB2312" w:cs="仿宋"/>
          <w:sz w:val="24"/>
          <w:u w:val="single"/>
        </w:rPr>
        <w:t xml:space="preserve">          （投标人单位名称）         </w:t>
      </w:r>
      <w:r>
        <w:rPr>
          <w:rFonts w:hint="eastAsia" w:ascii="仿宋_GB2312" w:hAnsi="仿宋" w:eastAsia="仿宋_GB2312" w:cs="仿宋"/>
          <w:sz w:val="24"/>
        </w:rPr>
        <w:t>的法定代表人。</w:t>
      </w:r>
    </w:p>
    <w:p>
      <w:pPr>
        <w:adjustRightInd w:val="0"/>
        <w:snapToGrid w:val="0"/>
        <w:spacing w:line="360" w:lineRule="auto"/>
        <w:ind w:firstLine="610"/>
        <w:rPr>
          <w:rFonts w:hint="eastAsia" w:ascii="仿宋_GB2312" w:hAnsi="仿宋" w:eastAsia="仿宋_GB2312" w:cs="仿宋"/>
          <w:sz w:val="24"/>
        </w:rPr>
      </w:pPr>
    </w:p>
    <w:p>
      <w:pPr>
        <w:adjustRightInd w:val="0"/>
        <w:snapToGrid w:val="0"/>
        <w:spacing w:line="360" w:lineRule="auto"/>
        <w:ind w:firstLine="1329" w:firstLineChars="554"/>
        <w:rPr>
          <w:rFonts w:hint="eastAsia" w:ascii="仿宋_GB2312" w:hAnsi="仿宋" w:eastAsia="仿宋_GB2312" w:cs="仿宋"/>
          <w:sz w:val="24"/>
        </w:rPr>
      </w:pPr>
      <w:r>
        <w:rPr>
          <w:rFonts w:hint="eastAsia" w:ascii="仿宋_GB2312" w:hAnsi="仿宋" w:eastAsia="仿宋_GB2312" w:cs="仿宋"/>
          <w:sz w:val="24"/>
        </w:rPr>
        <w:t>特此证明。</w:t>
      </w: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z w:val="24"/>
        </w:rPr>
      </w:pP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附：法定代表人身份证复印件（须正反面复印）。</w:t>
      </w:r>
    </w:p>
    <w:p>
      <w:pPr>
        <w:tabs>
          <w:tab w:val="left" w:pos="720"/>
          <w:tab w:val="left" w:pos="900"/>
        </w:tabs>
        <w:adjustRightInd w:val="0"/>
        <w:snapToGrid w:val="0"/>
        <w:spacing w:line="360" w:lineRule="auto"/>
        <w:rPr>
          <w:rFonts w:hint="eastAsia" w:ascii="仿宋_GB2312" w:hAnsi="仿宋" w:eastAsia="仿宋_GB2312" w:cs="仿宋"/>
          <w:sz w:val="24"/>
        </w:rPr>
      </w:pPr>
    </w:p>
    <w:p>
      <w:pPr>
        <w:tabs>
          <w:tab w:val="left" w:pos="720"/>
          <w:tab w:val="left" w:pos="900"/>
        </w:tabs>
        <w:adjustRightInd w:val="0"/>
        <w:snapToGrid w:val="0"/>
        <w:spacing w:line="360" w:lineRule="auto"/>
        <w:rPr>
          <w:rFonts w:hint="eastAsia" w:ascii="仿宋_GB2312" w:hAnsi="仿宋" w:eastAsia="仿宋_GB2312" w:cs="仿宋"/>
          <w:sz w:val="24"/>
        </w:rPr>
      </w:pPr>
    </w:p>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投标人全称（公章）：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日期：     年    月    日</w:t>
      </w:r>
    </w:p>
    <w:p>
      <w:pPr>
        <w:adjustRightInd w:val="0"/>
        <w:snapToGrid w:val="0"/>
        <w:spacing w:line="360" w:lineRule="auto"/>
        <w:jc w:val="center"/>
        <w:rPr>
          <w:rFonts w:hint="eastAsia" w:ascii="仿宋_GB2312" w:hAnsi="仿宋" w:eastAsia="仿宋_GB2312" w:cs="仿宋"/>
          <w:sz w:val="24"/>
        </w:rPr>
      </w:pPr>
    </w:p>
    <w:p>
      <w:pPr>
        <w:adjustRightInd w:val="0"/>
        <w:snapToGrid w:val="0"/>
        <w:spacing w:line="360" w:lineRule="auto"/>
        <w:jc w:val="center"/>
        <w:rPr>
          <w:rFonts w:hint="eastAsia" w:ascii="仿宋_GB2312" w:hAnsi="仿宋" w:eastAsia="仿宋_GB2312" w:cs="仿宋"/>
          <w:sz w:val="24"/>
        </w:rPr>
      </w:pPr>
    </w:p>
    <w:p>
      <w:pPr>
        <w:adjustRightInd w:val="0"/>
        <w:snapToGrid w:val="0"/>
        <w:spacing w:line="360" w:lineRule="auto"/>
        <w:rPr>
          <w:rFonts w:hint="eastAsia" w:ascii="仿宋" w:hAnsi="仿宋" w:eastAsia="仿宋" w:cs="仿宋"/>
          <w:b/>
          <w:bCs/>
          <w:sz w:val="24"/>
        </w:rPr>
      </w:pPr>
      <w:r>
        <w:rPr>
          <w:rFonts w:hint="eastAsia" w:ascii="仿宋_GB2312" w:hAnsi="仿宋" w:eastAsia="仿宋_GB2312" w:cs="仿宋"/>
          <w:b/>
          <w:bCs/>
          <w:sz w:val="24"/>
        </w:rPr>
        <w:br w:type="page"/>
      </w:r>
      <w:r>
        <w:rPr>
          <w:rFonts w:hint="eastAsia" w:ascii="仿宋_GB2312" w:hAnsi="仿宋" w:eastAsia="仿宋_GB2312" w:cs="仿宋"/>
          <w:b/>
          <w:bCs/>
          <w:sz w:val="24"/>
        </w:rPr>
        <w:t>三、招标服务费承诺书</w:t>
      </w:r>
    </w:p>
    <w:p>
      <w:pPr>
        <w:adjustRightInd w:val="0"/>
        <w:snapToGrid w:val="0"/>
        <w:spacing w:line="360" w:lineRule="auto"/>
        <w:ind w:firstLine="480" w:firstLineChars="200"/>
        <w:jc w:val="center"/>
        <w:rPr>
          <w:rFonts w:hint="eastAsia" w:ascii="仿宋" w:hAnsi="仿宋" w:eastAsia="仿宋" w:cs="仿宋"/>
          <w:kern w:val="0"/>
          <w:sz w:val="24"/>
          <w:lang w:val="zh-CN"/>
        </w:rPr>
      </w:pPr>
    </w:p>
    <w:p>
      <w:pPr>
        <w:adjustRightInd w:val="0"/>
        <w:snapToGrid w:val="0"/>
        <w:spacing w:line="360" w:lineRule="auto"/>
        <w:ind w:firstLine="480" w:firstLineChars="200"/>
        <w:jc w:val="center"/>
        <w:rPr>
          <w:rFonts w:hint="eastAsia" w:ascii="仿宋" w:hAnsi="仿宋" w:eastAsia="仿宋" w:cs="仿宋"/>
          <w:kern w:val="0"/>
          <w:sz w:val="24"/>
          <w:lang w:val="zh-CN"/>
        </w:rPr>
      </w:pPr>
      <w:r>
        <w:rPr>
          <w:rFonts w:hint="eastAsia" w:ascii="仿宋" w:hAnsi="仿宋" w:eastAsia="仿宋" w:cs="仿宋"/>
          <w:kern w:val="0"/>
          <w:sz w:val="24"/>
          <w:lang w:val="zh-CN"/>
        </w:rPr>
        <w:t>招标服务费承诺书</w:t>
      </w:r>
    </w:p>
    <w:p>
      <w:pPr>
        <w:adjustRightInd w:val="0"/>
        <w:snapToGrid w:val="0"/>
        <w:spacing w:line="360" w:lineRule="auto"/>
        <w:rPr>
          <w:rFonts w:hint="eastAsia" w:ascii="仿宋" w:hAnsi="仿宋" w:eastAsia="仿宋" w:cs="仿宋"/>
          <w:kern w:val="0"/>
          <w:sz w:val="24"/>
          <w:lang w:val="zh-CN"/>
        </w:rPr>
      </w:pPr>
    </w:p>
    <w:p>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致：</w:t>
      </w:r>
      <w:r>
        <w:rPr>
          <w:rFonts w:hint="eastAsia" w:ascii="仿宋" w:hAnsi="仿宋" w:eastAsia="仿宋" w:cs="仿宋"/>
          <w:kern w:val="0"/>
          <w:sz w:val="24"/>
        </w:rPr>
        <w:t>浙江通用招标代理</w:t>
      </w:r>
      <w:r>
        <w:rPr>
          <w:rFonts w:hint="eastAsia" w:ascii="仿宋" w:hAnsi="仿宋" w:eastAsia="仿宋" w:cs="仿宋"/>
          <w:kern w:val="0"/>
          <w:sz w:val="24"/>
          <w:lang w:val="zh-CN"/>
        </w:rPr>
        <w:t>有限公司</w:t>
      </w:r>
    </w:p>
    <w:p>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我们在贵公司代理</w:t>
      </w:r>
      <w:r>
        <w:rPr>
          <w:rFonts w:hint="eastAsia" w:ascii="仿宋" w:hAnsi="仿宋" w:eastAsia="仿宋" w:cs="仿宋"/>
          <w:sz w:val="24"/>
          <w:lang w:eastAsia="zh-CN"/>
        </w:rPr>
        <w:t>浙江省公安厅机场公安局空港亚运安保一体化指挥系统项目</w:t>
      </w:r>
      <w:r>
        <w:rPr>
          <w:rFonts w:hint="eastAsia" w:ascii="仿宋" w:hAnsi="仿宋" w:eastAsia="仿宋" w:cs="仿宋"/>
          <w:kern w:val="0"/>
          <w:sz w:val="24"/>
          <w:lang w:val="zh-CN"/>
        </w:rPr>
        <w:t>（项目编号：</w:t>
      </w:r>
      <w:r>
        <w:rPr>
          <w:rFonts w:hint="eastAsia" w:ascii="仿宋" w:hAnsi="仿宋" w:eastAsia="仿宋" w:cs="仿宋"/>
          <w:kern w:val="0"/>
          <w:sz w:val="24"/>
        </w:rPr>
        <w:t xml:space="preserve">     </w:t>
      </w:r>
      <w:r>
        <w:rPr>
          <w:rFonts w:hint="eastAsia" w:ascii="仿宋" w:hAnsi="仿宋" w:eastAsia="仿宋" w:cs="仿宋"/>
          <w:kern w:val="0"/>
          <w:sz w:val="24"/>
          <w:lang w:val="zh-CN"/>
        </w:rPr>
        <w:t>）公开招标中若获中标，我们保证在领取中标通知书</w:t>
      </w:r>
      <w:r>
        <w:rPr>
          <w:rFonts w:hint="eastAsia" w:ascii="仿宋" w:hAnsi="仿宋" w:eastAsia="仿宋" w:cs="仿宋"/>
          <w:kern w:val="0"/>
          <w:sz w:val="24"/>
        </w:rPr>
        <w:t>7个工作日内</w:t>
      </w:r>
      <w:r>
        <w:rPr>
          <w:rFonts w:hint="eastAsia" w:ascii="仿宋" w:hAnsi="仿宋" w:eastAsia="仿宋" w:cs="仿宋"/>
          <w:kern w:val="0"/>
          <w:sz w:val="24"/>
          <w:lang w:val="zh-CN"/>
        </w:rPr>
        <w:t>按招标文件的规定，以支票、银行汇票、电汇、现金或经贵公司认可的一种方式，向贵公司指定的银行账号，按照招标文件中招标服务费收取标准一次性支付招标服务费。</w:t>
      </w:r>
    </w:p>
    <w:p>
      <w:pPr>
        <w:adjustRightInd w:val="0"/>
        <w:snapToGrid w:val="0"/>
        <w:spacing w:line="360" w:lineRule="auto"/>
        <w:ind w:firstLine="480" w:firstLineChars="200"/>
        <w:rPr>
          <w:rFonts w:hint="eastAsia"/>
          <w:lang w:val="zh-CN"/>
        </w:rPr>
      </w:pPr>
      <w:r>
        <w:rPr>
          <w:rFonts w:hint="eastAsia" w:ascii="仿宋" w:hAnsi="仿宋" w:eastAsia="仿宋" w:cs="仿宋"/>
          <w:kern w:val="0"/>
          <w:sz w:val="24"/>
          <w:lang w:val="zh-CN"/>
        </w:rPr>
        <w:t>如若逾期，</w:t>
      </w:r>
      <w:r>
        <w:rPr>
          <w:rFonts w:hint="eastAsia" w:ascii="仿宋" w:hAnsi="仿宋" w:eastAsia="仿宋" w:cs="仿宋"/>
          <w:kern w:val="0"/>
          <w:sz w:val="24"/>
        </w:rPr>
        <w:t>我司承诺</w:t>
      </w:r>
      <w:r>
        <w:rPr>
          <w:rFonts w:hint="eastAsia" w:ascii="仿宋" w:hAnsi="仿宋" w:eastAsia="仿宋" w:cs="仿宋"/>
          <w:kern w:val="0"/>
          <w:sz w:val="24"/>
          <w:lang w:val="zh-CN"/>
        </w:rPr>
        <w:t>承担代理服务费每日百分之三的违约金，逾期十日未支付的，采购代理机构有权向杭州仲裁委员会对中标人提出仲裁，仲裁费用（包括仲裁受理费和仲裁处理费）均由中标人承担。</w:t>
      </w:r>
    </w:p>
    <w:p>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特此承诺。</w:t>
      </w:r>
    </w:p>
    <w:p>
      <w:pPr>
        <w:adjustRightInd w:val="0"/>
        <w:snapToGrid w:val="0"/>
        <w:spacing w:line="360" w:lineRule="auto"/>
        <w:rPr>
          <w:rFonts w:hint="eastAsia" w:ascii="仿宋" w:hAnsi="仿宋" w:eastAsia="仿宋" w:cs="仿宋"/>
          <w:kern w:val="0"/>
          <w:sz w:val="24"/>
          <w:lang w:val="zh-CN"/>
        </w:rPr>
      </w:pPr>
    </w:p>
    <w:p>
      <w:pPr>
        <w:adjustRightInd w:val="0"/>
        <w:snapToGrid w:val="0"/>
        <w:spacing w:line="360" w:lineRule="auto"/>
        <w:rPr>
          <w:rFonts w:hint="eastAsia" w:ascii="仿宋" w:hAnsi="仿宋" w:eastAsia="仿宋" w:cs="仿宋"/>
          <w:kern w:val="0"/>
          <w:sz w:val="24"/>
          <w:lang w:val="zh-CN"/>
        </w:rPr>
      </w:pP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承诺方法定名称（承诺方盖章）：</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地址：</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电话：</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传真：</w:t>
      </w:r>
      <w:r>
        <w:rPr>
          <w:rFonts w:hint="eastAsia" w:ascii="仿宋" w:hAnsi="仿宋" w:eastAsia="仿宋" w:cs="仿宋"/>
          <w:kern w:val="0"/>
          <w:sz w:val="24"/>
        </w:rPr>
        <w:t xml:space="preserve">              </w:t>
      </w:r>
    </w:p>
    <w:p>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邮编：</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w:t>
      </w:r>
    </w:p>
    <w:p>
      <w:pPr>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_GB2312" w:hAnsi="仿宋" w:eastAsia="仿宋_GB2312" w:cs="仿宋"/>
          <w:sz w:val="24"/>
        </w:rPr>
        <w:t>法定代表人或授权代表</w:t>
      </w:r>
      <w:r>
        <w:rPr>
          <w:rFonts w:hint="eastAsia" w:ascii="仿宋" w:hAnsi="仿宋" w:eastAsia="仿宋" w:cs="仿宋"/>
          <w:kern w:val="0"/>
          <w:sz w:val="24"/>
          <w:lang w:val="zh-CN"/>
        </w:rPr>
        <w:t xml:space="preserve">：                     </w:t>
      </w:r>
    </w:p>
    <w:p>
      <w:pPr>
        <w:adjustRightInd w:val="0"/>
        <w:snapToGrid w:val="0"/>
        <w:spacing w:line="360" w:lineRule="auto"/>
        <w:ind w:firstLine="480" w:firstLineChars="200"/>
        <w:rPr>
          <w:rFonts w:hint="eastAsia" w:ascii="仿宋_GB2312" w:hAnsi="仿宋" w:eastAsia="仿宋_GB2312" w:cs="仿宋"/>
          <w:b/>
          <w:bCs/>
          <w:sz w:val="24"/>
        </w:rPr>
      </w:pPr>
      <w:r>
        <w:rPr>
          <w:rFonts w:hint="eastAsia" w:ascii="仿宋" w:hAnsi="仿宋" w:eastAsia="仿宋" w:cs="仿宋"/>
          <w:kern w:val="0"/>
          <w:sz w:val="24"/>
          <w:lang w:val="zh-CN"/>
        </w:rPr>
        <w:t>承诺日期：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rPr>
          <w:rFonts w:hint="eastAsia" w:ascii="仿宋_GB2312" w:hAnsi="仿宋" w:eastAsia="仿宋_GB2312" w:cs="仿宋"/>
          <w:b/>
          <w:bCs/>
          <w:sz w:val="24"/>
          <w:lang w:val="zh-CN"/>
        </w:rPr>
      </w:pPr>
      <w:r>
        <w:rPr>
          <w:rFonts w:hint="eastAsia" w:ascii="仿宋_GB2312" w:hAnsi="仿宋" w:eastAsia="仿宋_GB2312" w:cs="仿宋"/>
          <w:b/>
          <w:bCs/>
          <w:sz w:val="24"/>
        </w:rPr>
        <w:t>四、</w:t>
      </w:r>
      <w:r>
        <w:rPr>
          <w:rFonts w:hint="eastAsia" w:ascii="仿宋_GB2312" w:hAnsi="仿宋" w:eastAsia="仿宋_GB2312" w:cs="仿宋"/>
          <w:b/>
          <w:bCs/>
          <w:sz w:val="24"/>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pgNumType w:start="1"/>
          <w:cols w:space="720" w:num="1"/>
          <w:titlePg/>
          <w:docGrid w:linePitch="312" w:charSpace="0"/>
        </w:sectPr>
      </w:pP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t>五、分包意向协议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tabs>
          <w:tab w:val="left" w:pos="432"/>
        </w:tabs>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sz w:val="24"/>
        </w:rPr>
      </w:pPr>
      <w:r>
        <w:rPr>
          <w:rFonts w:hint="eastAsia" w:ascii="仿宋_GB2312" w:hAnsi="仿宋" w:eastAsia="仿宋_GB2312" w:cs="仿宋"/>
          <w:b/>
          <w:bCs/>
          <w:sz w:val="24"/>
        </w:rPr>
        <w:t>六、投标人情况介绍</w:t>
      </w: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rPr>
          <w:rFonts w:hint="eastAsia" w:ascii="仿宋_GB2312" w:hAnsi="仿宋" w:eastAsia="仿宋_GB2312" w:cs="仿宋"/>
          <w:b/>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sz w:val="24"/>
        </w:rPr>
      </w:pPr>
    </w:p>
    <w:p>
      <w:pPr>
        <w:adjustRightInd w:val="0"/>
        <w:snapToGrid w:val="0"/>
        <w:spacing w:line="360" w:lineRule="auto"/>
        <w:jc w:val="left"/>
        <w:rPr>
          <w:rFonts w:hint="eastAsia" w:ascii="仿宋_GB2312" w:hAnsi="仿宋" w:eastAsia="仿宋_GB2312" w:cs="仿宋"/>
          <w:b/>
          <w:bCs/>
        </w:rPr>
      </w:pPr>
      <w:r>
        <w:rPr>
          <w:rFonts w:hint="eastAsia" w:ascii="仿宋_GB2312" w:hAnsi="仿宋" w:eastAsia="仿宋_GB2312" w:cs="仿宋"/>
          <w:b/>
          <w:bCs/>
          <w:sz w:val="24"/>
        </w:rPr>
        <w:t>七、供应商类似项目业绩（需提供证明资料）</w:t>
      </w:r>
    </w:p>
    <w:p>
      <w:pPr>
        <w:pStyle w:val="19"/>
        <w:adjustRightInd w:val="0"/>
        <w:snapToGrid w:val="0"/>
        <w:spacing w:before="156" w:after="156" w:line="360" w:lineRule="auto"/>
        <w:jc w:val="center"/>
        <w:rPr>
          <w:rFonts w:hint="eastAsia" w:ascii="仿宋_GB2312" w:hAnsi="仿宋" w:eastAsia="仿宋_GB2312" w:cs="仿宋"/>
          <w:b/>
          <w:bCs/>
        </w:rPr>
      </w:pPr>
      <w:r>
        <w:rPr>
          <w:rFonts w:hint="eastAsia" w:ascii="仿宋_GB2312" w:hAnsi="仿宋" w:eastAsia="仿宋_GB2312" w:cs="仿宋"/>
          <w:b/>
          <w:bCs/>
        </w:rPr>
        <w:t>类似成功业绩一览表</w:t>
      </w:r>
    </w:p>
    <w:tbl>
      <w:tblPr>
        <w:tblStyle w:val="34"/>
        <w:tblW w:w="0" w:type="auto"/>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项目</w:t>
            </w:r>
          </w:p>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简要描述</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服务</w:t>
            </w:r>
          </w:p>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规模</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服务起始日期</w:t>
            </w:r>
          </w:p>
        </w:tc>
        <w:tc>
          <w:tcPr>
            <w:tcW w:w="19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所在页码</w:t>
            </w: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仿宋_GB2312" w:hAnsi="仿宋" w:eastAsia="仿宋_GB2312" w:cs="仿宋"/>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9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w:t>
            </w: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9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_GB2312" w:hAnsi="仿宋" w:eastAsia="仿宋_GB2312" w:cs="仿宋"/>
                <w:sz w:val="24"/>
              </w:rPr>
            </w:pPr>
          </w:p>
        </w:tc>
      </w:tr>
    </w:tbl>
    <w:p>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注：供应商可按上述的格式自行编制。</w:t>
      </w:r>
    </w:p>
    <w:p>
      <w:pPr>
        <w:adjustRightInd w:val="0"/>
        <w:snapToGrid w:val="0"/>
        <w:spacing w:line="360" w:lineRule="auto"/>
        <w:jc w:val="left"/>
        <w:rPr>
          <w:rFonts w:hint="eastAsia" w:ascii="仿宋_GB2312" w:hAnsi="仿宋" w:eastAsia="仿宋_GB2312" w:cs="仿宋"/>
          <w:sz w:val="24"/>
        </w:rPr>
      </w:pP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pPr>
        <w:adjustRightInd w:val="0"/>
        <w:snapToGrid w:val="0"/>
        <w:spacing w:line="360" w:lineRule="auto"/>
        <w:jc w:val="left"/>
        <w:rPr>
          <w:rFonts w:hint="eastAsia" w:ascii="仿宋_GB2312" w:hAnsi="宋体" w:eastAsia="仿宋_GB2312"/>
          <w:b/>
          <w:bCs/>
          <w:sz w:val="24"/>
        </w:rPr>
      </w:pPr>
    </w:p>
    <w:p>
      <w:pPr>
        <w:jc w:val="left"/>
        <w:rPr>
          <w:rFonts w:hint="eastAsia" w:ascii="仿宋_GB2312" w:hAnsi="仿宋" w:eastAsia="仿宋_GB2312" w:cs="仿宋"/>
          <w:b/>
          <w:sz w:val="24"/>
          <w:szCs w:val="22"/>
        </w:rPr>
      </w:pPr>
      <w:r>
        <w:rPr>
          <w:rFonts w:hint="eastAsia" w:ascii="仿宋_GB2312" w:hAnsi="宋体" w:eastAsia="仿宋_GB2312"/>
          <w:b/>
          <w:bCs/>
          <w:sz w:val="24"/>
        </w:rPr>
        <w:t>八、</w:t>
      </w:r>
      <w:r>
        <w:rPr>
          <w:rFonts w:hint="eastAsia" w:ascii="仿宋_GB2312" w:hAnsi="仿宋" w:eastAsia="仿宋_GB2312" w:cs="仿宋"/>
          <w:b/>
          <w:sz w:val="24"/>
          <w:szCs w:val="22"/>
        </w:rPr>
        <w:t>完整技术解决和实施方案</w:t>
      </w:r>
    </w:p>
    <w:p>
      <w:pPr>
        <w:pStyle w:val="14"/>
        <w:ind w:firstLine="210"/>
        <w:rPr>
          <w:rFonts w:hint="eastAsia"/>
          <w:lang w:val="zh-CN"/>
        </w:rPr>
      </w:pP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ind w:firstLine="480" w:firstLineChars="200"/>
        <w:rPr>
          <w:rFonts w:hint="eastAsia" w:ascii="仿宋_GB2312" w:hAnsi="仿宋" w:eastAsia="仿宋_GB2312" w:cs="仿宋"/>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pPr>
        <w:pStyle w:val="14"/>
        <w:ind w:firstLine="210"/>
        <w:rPr>
          <w:rFonts w:hint="eastAsia"/>
          <w:lang w:val="zh-CN"/>
        </w:rPr>
      </w:pPr>
    </w:p>
    <w:p>
      <w:pPr>
        <w:pStyle w:val="19"/>
        <w:adjustRightInd w:val="0"/>
        <w:snapToGrid w:val="0"/>
        <w:spacing w:before="156" w:after="156" w:line="360" w:lineRule="auto"/>
        <w:ind w:left="210"/>
        <w:rPr>
          <w:rFonts w:hint="eastAsia" w:ascii="仿宋_GB2312" w:hAnsi="仿宋" w:eastAsia="仿宋_GB2312" w:cs="仿宋"/>
          <w:b/>
          <w:szCs w:val="22"/>
          <w:lang w:val="zh-CN"/>
        </w:rPr>
      </w:pPr>
      <w:r>
        <w:rPr>
          <w:rFonts w:hint="eastAsia" w:ascii="仿宋_GB2312" w:hAnsi="仿宋" w:eastAsia="仿宋_GB2312" w:cs="仿宋"/>
          <w:b/>
          <w:szCs w:val="22"/>
          <w:lang w:val="zh-CN"/>
        </w:rPr>
        <w:t>九、进行本项目实施的自有或租赁场地及设备详细情况</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pPr>
        <w:jc w:val="left"/>
        <w:rPr>
          <w:rFonts w:hint="eastAsia" w:ascii="仿宋_GB2312" w:hAnsi="仿宋" w:eastAsia="仿宋_GB2312" w:cs="仿宋"/>
          <w:b/>
          <w:bCs/>
          <w:lang w:val="zh-CN"/>
        </w:rPr>
      </w:pPr>
    </w:p>
    <w:p>
      <w:pPr>
        <w:ind w:firstLine="211" w:firstLineChars="100"/>
        <w:jc w:val="left"/>
        <w:rPr>
          <w:rFonts w:hint="eastAsia" w:ascii="仿宋_GB2312" w:hAnsi="仿宋" w:eastAsia="仿宋_GB2312" w:cs="仿宋"/>
          <w:b/>
        </w:rPr>
      </w:pPr>
      <w:r>
        <w:rPr>
          <w:rFonts w:hint="eastAsia" w:ascii="仿宋_GB2312" w:hAnsi="仿宋" w:eastAsia="仿宋_GB2312" w:cs="仿宋"/>
          <w:b/>
          <w:bCs/>
          <w:lang w:val="zh-CN"/>
        </w:rPr>
        <w:t>十、项目组成员</w:t>
      </w:r>
      <w:r>
        <w:rPr>
          <w:rFonts w:hint="eastAsia" w:ascii="仿宋_GB2312" w:hAnsi="宋体" w:eastAsia="仿宋_GB2312"/>
          <w:b/>
          <w:bCs/>
        </w:rPr>
        <w:t>情况</w:t>
      </w:r>
      <w:r>
        <w:rPr>
          <w:rFonts w:hint="eastAsia" w:ascii="仿宋_GB2312" w:hAnsi="仿宋" w:eastAsia="仿宋_GB2312" w:cs="仿宋"/>
          <w:b/>
          <w:bCs/>
          <w:lang w:val="zh-CN"/>
        </w:rPr>
        <w:t>一</w:t>
      </w:r>
      <w:r>
        <w:rPr>
          <w:rFonts w:hint="eastAsia" w:ascii="仿宋_GB2312" w:hAnsi="宋体" w:eastAsia="仿宋_GB2312"/>
          <w:b/>
          <w:bCs/>
          <w:lang w:val="zh-CN"/>
        </w:rPr>
        <w:t>览表</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项目名称：</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项目编号：</w:t>
      </w:r>
      <w:r>
        <w:rPr>
          <w:rFonts w:hint="eastAsia" w:ascii="仿宋_GB2312" w:hAnsi="仿宋" w:eastAsia="仿宋_GB2312" w:cs="仿宋"/>
          <w:sz w:val="24"/>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职务</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专业技术资格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证书编号</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bCs/>
                <w:sz w:val="24"/>
              </w:rPr>
            </w:pPr>
            <w:r>
              <w:rPr>
                <w:rFonts w:hint="eastAsia" w:ascii="仿宋_GB2312" w:hAnsi="仿宋" w:eastAsia="仿宋_GB2312" w:cs="仿宋"/>
                <w:bCs/>
                <w:sz w:val="24"/>
              </w:rPr>
              <w:t>参加本单位工作时间</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bCs/>
                <w:sz w:val="24"/>
              </w:rPr>
            </w:pPr>
            <w:r>
              <w:rPr>
                <w:rFonts w:hint="eastAsia" w:ascii="仿宋_GB2312" w:hAnsi="仿宋" w:eastAsia="仿宋_GB2312" w:cs="仿宋"/>
                <w:bCs/>
                <w:sz w:val="24"/>
              </w:rPr>
              <w:t>相关工作经验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_GB2312" w:hAnsi="仿宋" w:eastAsia="仿宋_GB2312" w:cs="仿宋"/>
                <w:sz w:val="24"/>
              </w:rPr>
            </w:pPr>
          </w:p>
        </w:tc>
      </w:tr>
    </w:tbl>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注：在填写时，如本表格不适合投标单位的实际情况，可根据本表格式自行划表填写。</w:t>
      </w:r>
    </w:p>
    <w:p>
      <w:pPr>
        <w:adjustRightInd w:val="0"/>
        <w:snapToGrid w:val="0"/>
        <w:spacing w:line="360" w:lineRule="auto"/>
        <w:jc w:val="left"/>
        <w:rPr>
          <w:rFonts w:hint="eastAsia" w:ascii="仿宋_GB2312" w:hAnsi="仿宋" w:eastAsia="仿宋_GB2312" w:cs="仿宋"/>
          <w:b/>
          <w:sz w:val="24"/>
        </w:rPr>
      </w:pPr>
    </w:p>
    <w:p>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ind w:firstLine="240" w:firstLineChars="100"/>
        <w:rPr>
          <w:rFonts w:hint="eastAsia" w:ascii="仿宋_GB2312" w:hAnsi="仿宋" w:eastAsia="仿宋_GB2312" w:cs="仿宋"/>
          <w:sz w:val="24"/>
          <w:u w:val="single"/>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日期：      年    月    日</w:t>
      </w:r>
    </w:p>
    <w:p>
      <w:pPr>
        <w:adjustRightInd w:val="0"/>
        <w:snapToGrid w:val="0"/>
        <w:spacing w:line="360" w:lineRule="auto"/>
        <w:rPr>
          <w:rFonts w:hint="eastAsia" w:ascii="仿宋_GB2312" w:hAnsi="仿宋" w:eastAsia="仿宋_GB2312" w:cs="仿宋"/>
          <w:b/>
          <w:sz w:val="24"/>
        </w:rPr>
      </w:pPr>
    </w:p>
    <w:p>
      <w:pPr>
        <w:adjustRightInd w:val="0"/>
        <w:snapToGrid w:val="0"/>
        <w:spacing w:line="360" w:lineRule="auto"/>
        <w:rPr>
          <w:rFonts w:hint="eastAsia" w:ascii="仿宋_GB2312" w:hAnsi="仿宋" w:eastAsia="仿宋_GB2312" w:cs="仿宋"/>
          <w:b/>
          <w:sz w:val="24"/>
        </w:rPr>
      </w:pPr>
      <w:r>
        <w:rPr>
          <w:rFonts w:hint="eastAsia" w:ascii="仿宋_GB2312" w:hAnsi="仿宋" w:eastAsia="仿宋_GB2312" w:cs="仿宋"/>
          <w:b/>
          <w:sz w:val="24"/>
        </w:rPr>
        <w:t>附：项目实施人员相关经验或资质证明文件复印件</w:t>
      </w:r>
    </w:p>
    <w:p>
      <w:pPr>
        <w:adjustRightInd w:val="0"/>
        <w:snapToGrid w:val="0"/>
        <w:spacing w:line="360" w:lineRule="auto"/>
        <w:rPr>
          <w:rFonts w:hint="eastAsia" w:ascii="仿宋_GB2312" w:hAnsi="仿宋" w:eastAsia="仿宋_GB2312" w:cs="仿宋"/>
          <w:b/>
          <w:sz w:val="24"/>
          <w:u w:val="single"/>
        </w:rPr>
      </w:pPr>
      <w:r>
        <w:rPr>
          <w:rFonts w:hint="eastAsia" w:ascii="仿宋_GB2312" w:hAnsi="仿宋" w:eastAsia="仿宋_GB2312" w:cs="仿宋"/>
          <w:b/>
          <w:sz w:val="24"/>
        </w:rPr>
        <w:t>姓名：</w:t>
      </w:r>
      <w:r>
        <w:rPr>
          <w:rFonts w:hint="eastAsia" w:ascii="仿宋_GB2312" w:hAnsi="仿宋" w:eastAsia="仿宋_GB2312" w:cs="仿宋"/>
          <w:b/>
          <w:sz w:val="24"/>
          <w:u w:val="single"/>
        </w:rPr>
        <w:t xml:space="preserve">                  </w:t>
      </w:r>
      <w:r>
        <w:rPr>
          <w:rFonts w:hint="eastAsia" w:ascii="仿宋_GB2312" w:hAnsi="仿宋" w:eastAsia="仿宋_GB2312" w:cs="仿宋"/>
          <w:b/>
          <w:sz w:val="24"/>
        </w:rPr>
        <w:t>职务：</w:t>
      </w:r>
      <w:r>
        <w:rPr>
          <w:rFonts w:hint="eastAsia" w:ascii="仿宋_GB2312" w:hAnsi="仿宋" w:eastAsia="仿宋_GB2312" w:cs="仿宋"/>
          <w:b/>
          <w:sz w:val="24"/>
          <w:u w:val="singl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noWrap w:val="0"/>
            <w:vAlign w:val="top"/>
          </w:tcPr>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经验或资质证明文件复印件。</w:t>
            </w:r>
          </w:p>
        </w:tc>
      </w:tr>
    </w:tbl>
    <w:p>
      <w:pPr>
        <w:pStyle w:val="19"/>
        <w:adjustRightInd w:val="0"/>
        <w:snapToGrid w:val="0"/>
        <w:spacing w:before="156" w:after="156" w:line="360" w:lineRule="auto"/>
        <w:rPr>
          <w:rFonts w:hint="eastAsia" w:ascii="仿宋_GB2312" w:hAnsi="仿宋" w:eastAsia="仿宋_GB2312" w:cs="仿宋"/>
        </w:rPr>
      </w:pPr>
      <w:r>
        <w:rPr>
          <w:rFonts w:hint="eastAsia" w:ascii="仿宋_GB2312" w:hAnsi="仿宋" w:eastAsia="仿宋_GB2312" w:cs="仿宋"/>
          <w:b/>
          <w:szCs w:val="22"/>
          <w:lang w:val="zh-CN"/>
        </w:rPr>
        <w:t>十一、各项内部管理制度</w:t>
      </w:r>
    </w:p>
    <w:p>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ind w:firstLine="240" w:firstLineChars="100"/>
        <w:rPr>
          <w:rFonts w:hint="eastAsia" w:ascii="仿宋_GB2312" w:hAnsi="仿宋" w:eastAsia="仿宋_GB2312" w:cs="仿宋"/>
          <w:sz w:val="24"/>
          <w:u w:val="single"/>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日期：      年    月    日</w:t>
      </w:r>
    </w:p>
    <w:p>
      <w:pPr>
        <w:pStyle w:val="19"/>
        <w:adjustRightInd w:val="0"/>
        <w:snapToGrid w:val="0"/>
        <w:spacing w:before="156" w:after="156" w:line="360" w:lineRule="auto"/>
        <w:rPr>
          <w:rFonts w:hint="eastAsia" w:ascii="仿宋_GB2312" w:hAnsi="仿宋" w:eastAsia="仿宋_GB2312" w:cs="仿宋"/>
          <w:b/>
          <w:szCs w:val="22"/>
        </w:rPr>
      </w:pPr>
      <w:r>
        <w:rPr>
          <w:rFonts w:hint="eastAsia" w:ascii="仿宋_GB2312" w:hAnsi="仿宋" w:eastAsia="仿宋_GB2312" w:cs="仿宋"/>
          <w:b/>
          <w:szCs w:val="22"/>
        </w:rPr>
        <w:t>十二、</w:t>
      </w:r>
      <w:r>
        <w:rPr>
          <w:rFonts w:hint="eastAsia" w:ascii="仿宋_GB2312" w:hAnsi="仿宋" w:eastAsia="仿宋_GB2312" w:cs="仿宋"/>
          <w:b/>
          <w:szCs w:val="22"/>
          <w:lang w:val="zh-CN"/>
        </w:rPr>
        <w:t>本地常驻服务和技术支持机构服务方案</w:t>
      </w:r>
    </w:p>
    <w:p>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ind w:firstLine="240" w:firstLineChars="100"/>
        <w:rPr>
          <w:rFonts w:hint="eastAsia" w:ascii="仿宋_GB2312" w:hAnsi="仿宋" w:eastAsia="仿宋_GB2312" w:cs="仿宋"/>
          <w:sz w:val="24"/>
          <w:u w:val="single"/>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240" w:firstLineChars="100"/>
        <w:rPr>
          <w:rFonts w:hint="eastAsia" w:ascii="仿宋_GB2312" w:hAnsi="仿宋" w:eastAsia="仿宋_GB2312" w:cs="仿宋"/>
          <w:b/>
          <w:bCs/>
        </w:rPr>
      </w:pPr>
      <w:r>
        <w:rPr>
          <w:rFonts w:hint="eastAsia" w:ascii="仿宋_GB2312" w:hAnsi="仿宋" w:eastAsia="仿宋_GB2312" w:cs="仿宋"/>
          <w:sz w:val="24"/>
        </w:rPr>
        <w:t>日期：      年    月    日</w:t>
      </w:r>
    </w:p>
    <w:p>
      <w:pPr>
        <w:pStyle w:val="19"/>
        <w:adjustRightInd w:val="0"/>
        <w:snapToGrid w:val="0"/>
        <w:spacing w:before="156" w:after="156" w:line="360" w:lineRule="auto"/>
        <w:rPr>
          <w:rFonts w:hint="eastAsia" w:ascii="仿宋_GB2312" w:hAnsi="仿宋" w:eastAsia="仿宋_GB2312" w:cs="仿宋"/>
          <w:b/>
          <w:bCs/>
        </w:rPr>
      </w:pPr>
      <w:r>
        <w:rPr>
          <w:rFonts w:hint="eastAsia" w:ascii="仿宋_GB2312" w:hAnsi="仿宋" w:eastAsia="仿宋_GB2312" w:cs="仿宋"/>
          <w:b/>
          <w:bCs/>
        </w:rPr>
        <w:t>十三、商务技术</w:t>
      </w:r>
      <w:r>
        <w:rPr>
          <w:rFonts w:hint="eastAsia" w:ascii="仿宋_GB2312" w:hAnsi="仿宋" w:eastAsia="仿宋_GB2312" w:cs="仿宋"/>
          <w:b/>
          <w:bCs/>
          <w:lang w:val="zh-CN"/>
        </w:rPr>
        <w:t>响应</w:t>
      </w:r>
      <w:r>
        <w:rPr>
          <w:rFonts w:hint="eastAsia" w:ascii="仿宋_GB2312" w:hAnsi="仿宋" w:eastAsia="仿宋_GB2312" w:cs="仿宋"/>
          <w:b/>
          <w:bCs/>
        </w:rPr>
        <w:t>表格式：</w:t>
      </w:r>
    </w:p>
    <w:p>
      <w:pPr>
        <w:pStyle w:val="19"/>
        <w:adjustRightInd w:val="0"/>
        <w:snapToGrid w:val="0"/>
        <w:spacing w:before="156" w:after="156" w:line="360" w:lineRule="auto"/>
        <w:jc w:val="center"/>
        <w:rPr>
          <w:rFonts w:hint="eastAsia" w:ascii="仿宋_GB2312" w:hAnsi="仿宋" w:eastAsia="仿宋_GB2312" w:cs="仿宋"/>
          <w:b/>
          <w:bCs/>
        </w:rPr>
      </w:pPr>
      <w:r>
        <w:rPr>
          <w:rFonts w:hint="eastAsia" w:ascii="仿宋_GB2312" w:hAnsi="仿宋" w:eastAsia="仿宋_GB2312" w:cs="仿宋"/>
          <w:b/>
          <w:bCs/>
        </w:rPr>
        <w:t>商务技术</w:t>
      </w:r>
      <w:r>
        <w:rPr>
          <w:rFonts w:hint="eastAsia" w:ascii="仿宋_GB2312" w:hAnsi="仿宋" w:eastAsia="仿宋_GB2312" w:cs="仿宋"/>
          <w:b/>
          <w:bCs/>
          <w:lang w:val="zh-CN"/>
        </w:rPr>
        <w:t>响应</w:t>
      </w:r>
      <w:r>
        <w:rPr>
          <w:rFonts w:hint="eastAsia" w:ascii="仿宋_GB2312" w:hAnsi="仿宋" w:eastAsia="仿宋_GB2312" w:cs="仿宋"/>
          <w:b/>
          <w:bCs/>
        </w:rPr>
        <w:t>表</w:t>
      </w:r>
    </w:p>
    <w:p>
      <w:pPr>
        <w:adjustRightInd w:val="0"/>
        <w:snapToGrid w:val="0"/>
        <w:spacing w:line="360" w:lineRule="auto"/>
        <w:rPr>
          <w:rFonts w:hint="eastAsia" w:ascii="仿宋_GB2312" w:hAnsi="仿宋" w:eastAsia="仿宋_GB2312" w:cs="仿宋"/>
          <w:sz w:val="24"/>
          <w:u w:val="single"/>
        </w:rPr>
      </w:pPr>
      <w:r>
        <w:rPr>
          <w:rFonts w:hint="eastAsia" w:ascii="仿宋_GB2312" w:hAnsi="仿宋" w:eastAsia="仿宋_GB2312" w:cs="仿宋"/>
          <w:sz w:val="24"/>
        </w:rPr>
        <w:t>项目名称：</w:t>
      </w:r>
      <w:r>
        <w:rPr>
          <w:rFonts w:hint="eastAsia" w:ascii="仿宋_GB2312" w:hAnsi="仿宋" w:eastAsia="仿宋_GB2312" w:cs="仿宋"/>
          <w:sz w:val="24"/>
          <w:u w:val="single"/>
        </w:rPr>
        <w:t xml:space="preserve">                </w:t>
      </w: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项目编号：</w:t>
      </w:r>
      <w:r>
        <w:rPr>
          <w:rFonts w:hint="eastAsia" w:ascii="仿宋_GB2312" w:hAnsi="仿宋" w:eastAsia="仿宋_GB2312" w:cs="仿宋"/>
          <w:sz w:val="24"/>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名称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招标文件要求</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投标文件响应</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偏离情况</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 w:eastAsia="仿宋_GB2312" w:cs="仿宋"/>
                <w:sz w:val="24"/>
              </w:rPr>
            </w:pPr>
            <w:r>
              <w:rPr>
                <w:rFonts w:hint="eastAsia" w:ascii="仿宋_GB2312" w:hAnsi="仿宋" w:eastAsia="仿宋_GB2312"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21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21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ascii="仿宋_GB2312" w:hAnsi="仿宋" w:eastAsia="仿宋_GB2312" w:cs="仿宋"/>
                <w:sz w:val="24"/>
              </w:rPr>
            </w:pPr>
            <w:r>
              <w:rPr>
                <w:rFonts w:hint="eastAsia" w:ascii="仿宋_GB2312" w:hAnsi="仿宋" w:eastAsia="仿宋_GB2312" w:cs="仿宋"/>
                <w:sz w:val="24"/>
              </w:rPr>
              <w:t>...</w:t>
            </w:r>
          </w:p>
        </w:tc>
        <w:tc>
          <w:tcPr>
            <w:tcW w:w="19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21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c>
          <w:tcPr>
            <w:tcW w:w="156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仿宋_GB2312" w:hAnsi="仿宋" w:eastAsia="仿宋_GB2312" w:cs="仿宋"/>
                <w:sz w:val="24"/>
              </w:rPr>
            </w:pPr>
          </w:p>
        </w:tc>
      </w:tr>
    </w:tbl>
    <w:p>
      <w:pPr>
        <w:pStyle w:val="12"/>
        <w:adjustRightInd w:val="0"/>
        <w:snapToGrid w:val="0"/>
        <w:spacing w:line="360" w:lineRule="auto"/>
        <w:rPr>
          <w:rFonts w:hint="eastAsia" w:ascii="仿宋_GB2312" w:hAnsi="仿宋" w:eastAsia="仿宋_GB2312" w:cs="仿宋"/>
          <w:spacing w:val="20"/>
          <w:sz w:val="24"/>
        </w:rPr>
      </w:pPr>
      <w:r>
        <w:rPr>
          <w:rFonts w:hint="eastAsia" w:ascii="仿宋_GB2312" w:hAnsi="仿宋" w:eastAsia="仿宋_GB2312" w:cs="仿宋"/>
          <w:sz w:val="24"/>
          <w:szCs w:val="24"/>
        </w:rPr>
        <w:t>注：供应商应根据实际情况对照招标文件要求在“偏离情况”栏注明“正偏离”、“负偏离”或“无偏离”。</w:t>
      </w:r>
    </w:p>
    <w:p>
      <w:pPr>
        <w:adjustRightInd w:val="0"/>
        <w:snapToGrid w:val="0"/>
        <w:spacing w:line="360" w:lineRule="auto"/>
        <w:jc w:val="left"/>
        <w:rPr>
          <w:rFonts w:hint="eastAsia" w:ascii="仿宋_GB2312" w:hAnsi="仿宋" w:eastAsia="仿宋_GB2312" w:cs="仿宋"/>
          <w:sz w:val="24"/>
        </w:rPr>
      </w:pPr>
    </w:p>
    <w:p>
      <w:pPr>
        <w:adjustRightInd w:val="0"/>
        <w:snapToGrid w:val="0"/>
        <w:spacing w:line="360" w:lineRule="auto"/>
        <w:ind w:firstLine="240" w:firstLineChars="100"/>
        <w:rPr>
          <w:rFonts w:hint="eastAsia" w:ascii="仿宋_GB2312" w:hAnsi="仿宋" w:eastAsia="仿宋_GB2312" w:cs="仿宋"/>
          <w:sz w:val="24"/>
        </w:rPr>
      </w:pPr>
      <w:r>
        <w:rPr>
          <w:rFonts w:hint="eastAsia" w:ascii="仿宋_GB2312" w:hAnsi="仿宋" w:eastAsia="仿宋_GB2312" w:cs="仿宋"/>
          <w:sz w:val="24"/>
        </w:rPr>
        <w:t>供应商全称（公章）：</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pPr>
        <w:adjustRightInd w:val="0"/>
        <w:snapToGrid w:val="0"/>
        <w:spacing w:line="360" w:lineRule="auto"/>
        <w:ind w:firstLine="240" w:firstLineChars="100"/>
        <w:rPr>
          <w:rFonts w:hint="eastAsia" w:ascii="仿宋_GB2312" w:hAnsi="仿宋" w:eastAsia="仿宋_GB2312" w:cs="仿宋"/>
          <w:sz w:val="24"/>
          <w:u w:val="single"/>
        </w:rPr>
      </w:pPr>
      <w:r>
        <w:rPr>
          <w:rFonts w:hint="eastAsia" w:ascii="仿宋_GB2312" w:hAnsi="仿宋" w:eastAsia="仿宋_GB2312" w:cs="仿宋"/>
          <w:sz w:val="24"/>
        </w:rPr>
        <w:t>法定代表人或授权代表（签字）：</w:t>
      </w:r>
      <w:r>
        <w:rPr>
          <w:rFonts w:hint="eastAsia" w:ascii="仿宋_GB2312" w:hAnsi="仿宋" w:eastAsia="仿宋_GB2312" w:cs="仿宋"/>
          <w:sz w:val="24"/>
          <w:u w:val="single"/>
        </w:rPr>
        <w:t xml:space="preserve">             </w:t>
      </w:r>
    </w:p>
    <w:p>
      <w:pPr>
        <w:adjustRightInd w:val="0"/>
        <w:snapToGrid w:val="0"/>
        <w:spacing w:line="360" w:lineRule="auto"/>
        <w:ind w:firstLine="240" w:firstLineChars="100"/>
        <w:rPr>
          <w:rFonts w:hint="eastAsia" w:ascii="仿宋_GB2312" w:hAnsi="仿宋" w:eastAsia="仿宋_GB2312" w:cs="仿宋"/>
          <w:b/>
          <w:bCs/>
        </w:rPr>
      </w:pPr>
      <w:r>
        <w:rPr>
          <w:rFonts w:hint="eastAsia" w:ascii="仿宋_GB2312" w:hAnsi="仿宋" w:eastAsia="仿宋_GB2312" w:cs="仿宋"/>
          <w:sz w:val="24"/>
        </w:rPr>
        <w:t>日期：      年    月    日</w:t>
      </w:r>
    </w:p>
    <w:p>
      <w:pPr>
        <w:adjustRightInd w:val="0"/>
        <w:snapToGrid w:val="0"/>
        <w:spacing w:line="360" w:lineRule="auto"/>
        <w:rPr>
          <w:rFonts w:hint="eastAsia" w:ascii="仿宋_GB2312" w:hAnsi="仿宋" w:eastAsia="仿宋_GB2312" w:cs="仿宋"/>
          <w:b/>
          <w:bCs/>
          <w:sz w:val="24"/>
        </w:rPr>
      </w:pPr>
    </w:p>
    <w:p>
      <w:pPr>
        <w:adjustRightInd w:val="0"/>
        <w:snapToGrid w:val="0"/>
        <w:spacing w:line="360" w:lineRule="auto"/>
        <w:rPr>
          <w:rFonts w:hint="eastAsia" w:ascii="仿宋_GB2312" w:hAnsi="仿宋" w:eastAsia="仿宋_GB2312" w:cs="仿宋"/>
          <w:b/>
          <w:bCs/>
          <w:sz w:val="24"/>
        </w:rPr>
      </w:pPr>
    </w:p>
    <w:p>
      <w:pPr>
        <w:adjustRightInd w:val="0"/>
        <w:snapToGrid w:val="0"/>
        <w:spacing w:line="360" w:lineRule="auto"/>
        <w:rPr>
          <w:rFonts w:hint="eastAsia" w:ascii="仿宋_GB2312" w:hAnsi="仿宋" w:eastAsia="仿宋_GB2312" w:cs="仿宋"/>
          <w:b/>
          <w:bCs/>
          <w:sz w:val="24"/>
          <w:lang w:val="zh-CN"/>
        </w:rPr>
      </w:pPr>
      <w:r>
        <w:rPr>
          <w:rFonts w:hint="eastAsia" w:ascii="仿宋_GB2312" w:hAnsi="仿宋" w:eastAsia="仿宋_GB2312" w:cs="仿宋"/>
          <w:b/>
          <w:bCs/>
          <w:sz w:val="24"/>
        </w:rPr>
        <w:t>十四、供应商提出的对本项目服务承诺情况</w:t>
      </w:r>
    </w:p>
    <w:p>
      <w:pPr>
        <w:adjustRightInd w:val="0"/>
        <w:snapToGrid w:val="0"/>
        <w:spacing w:line="360" w:lineRule="auto"/>
        <w:rPr>
          <w:rFonts w:hint="eastAsia" w:ascii="仿宋_GB2312" w:hAnsi="仿宋" w:eastAsia="仿宋_GB2312" w:cs="仿宋"/>
          <w:b/>
          <w:bCs/>
          <w:sz w:val="24"/>
          <w:lang w:val="zh-CN"/>
        </w:rPr>
      </w:pPr>
    </w:p>
    <w:p>
      <w:pPr>
        <w:pStyle w:val="19"/>
        <w:adjustRightInd w:val="0"/>
        <w:snapToGrid w:val="0"/>
        <w:spacing w:before="156" w:after="156" w:line="360" w:lineRule="auto"/>
        <w:rPr>
          <w:rFonts w:hint="eastAsia" w:ascii="仿宋_GB2312" w:hAnsi="仿宋" w:eastAsia="仿宋_GB2312" w:cs="仿宋"/>
          <w:b/>
          <w:bCs/>
        </w:rPr>
      </w:pPr>
      <w:r>
        <w:rPr>
          <w:rFonts w:hint="eastAsia" w:ascii="仿宋_GB2312" w:hAnsi="仿宋" w:eastAsia="仿宋_GB2312" w:cs="仿宋"/>
          <w:b/>
          <w:bCs/>
        </w:rPr>
        <w:t>十五、供应商认为需要说明的其他文件和资料</w:t>
      </w:r>
    </w:p>
    <w:p>
      <w:pPr>
        <w:adjustRightInd w:val="0"/>
        <w:snapToGrid w:val="0"/>
        <w:spacing w:before="156" w:beforeLines="50" w:after="50" w:line="360" w:lineRule="auto"/>
        <w:rPr>
          <w:rFonts w:hint="eastAsia" w:ascii="仿宋" w:hAnsi="仿宋" w:eastAsia="仿宋" w:cs="仿宋"/>
          <w:b/>
          <w:bCs/>
          <w:sz w:val="24"/>
        </w:rPr>
      </w:pPr>
    </w:p>
    <w:p>
      <w:pPr>
        <w:adjustRightInd w:val="0"/>
        <w:snapToGrid w:val="0"/>
        <w:spacing w:before="156" w:beforeLines="50" w:after="50" w:line="360" w:lineRule="auto"/>
        <w:rPr>
          <w:rFonts w:hint="eastAsia" w:ascii="仿宋" w:hAnsi="仿宋" w:eastAsia="仿宋" w:cs="仿宋"/>
          <w:b/>
          <w:bCs/>
          <w:sz w:val="24"/>
        </w:rPr>
      </w:pPr>
      <w:r>
        <w:rPr>
          <w:rFonts w:hint="eastAsia" w:ascii="仿宋" w:hAnsi="仿宋" w:eastAsia="仿宋" w:cs="仿宋"/>
          <w:b/>
          <w:bCs/>
          <w:sz w:val="24"/>
        </w:rPr>
        <w:t>十六、</w:t>
      </w:r>
      <w:r>
        <w:rPr>
          <w:rFonts w:hint="eastAsia" w:ascii="仿宋" w:hAnsi="仿宋" w:eastAsia="仿宋" w:cs="仿宋"/>
          <w:b/>
          <w:bCs/>
          <w:sz w:val="24"/>
          <w:lang w:val="zh-CN"/>
        </w:rPr>
        <w:t>政府采购供应商廉洁自律承诺书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adjustRightInd w:val="0"/>
        <w:snapToGrid w:val="0"/>
        <w:spacing w:before="156" w:beforeLines="50" w:after="50" w:line="360" w:lineRule="auto"/>
        <w:rPr>
          <w:rFonts w:hint="eastAsia" w:ascii="仿宋_GB2312" w:hAnsi="仿宋" w:eastAsia="仿宋_GB2312" w:cs="仿宋"/>
          <w:sz w:val="30"/>
          <w:szCs w:val="30"/>
        </w:rPr>
      </w:pPr>
    </w:p>
    <w:p>
      <w:pPr>
        <w:adjustRightInd w:val="0"/>
        <w:snapToGrid w:val="0"/>
        <w:spacing w:before="156" w:beforeLines="50" w:after="50" w:line="360" w:lineRule="auto"/>
        <w:rPr>
          <w:rFonts w:hint="eastAsia" w:ascii="仿宋_GB2312" w:hAnsi="仿宋" w:eastAsia="仿宋_GB2312" w:cs="仿宋"/>
          <w:sz w:val="30"/>
          <w:szCs w:val="30"/>
        </w:rPr>
      </w:pPr>
    </w:p>
    <w:p>
      <w:pPr>
        <w:adjustRightInd w:val="0"/>
        <w:snapToGrid w:val="0"/>
        <w:spacing w:before="156" w:beforeLines="50" w:after="50" w:line="360" w:lineRule="auto"/>
        <w:rPr>
          <w:rFonts w:hint="eastAsia" w:ascii="仿宋_GB2312" w:hAnsi="仿宋" w:eastAsia="仿宋_GB2312" w:cs="仿宋"/>
          <w:sz w:val="30"/>
          <w:szCs w:val="30"/>
        </w:rPr>
      </w:pPr>
    </w:p>
    <w:p>
      <w:pPr>
        <w:adjustRightInd w:val="0"/>
        <w:snapToGrid w:val="0"/>
        <w:spacing w:before="156" w:beforeLines="50" w:after="50" w:line="360" w:lineRule="auto"/>
        <w:rPr>
          <w:rFonts w:hint="eastAsia" w:ascii="仿宋_GB2312" w:hAnsi="仿宋" w:eastAsia="仿宋_GB2312" w:cs="仿宋"/>
          <w:sz w:val="30"/>
          <w:szCs w:val="30"/>
        </w:rPr>
      </w:pPr>
    </w:p>
    <w:p>
      <w:pPr>
        <w:adjustRightInd w:val="0"/>
        <w:snapToGrid w:val="0"/>
        <w:spacing w:before="156" w:beforeLines="50" w:after="50" w:line="360" w:lineRule="auto"/>
        <w:rPr>
          <w:rFonts w:hint="eastAsia" w:ascii="仿宋_GB2312" w:hAnsi="仿宋" w:eastAsia="仿宋_GB2312" w:cs="仿宋"/>
          <w:b/>
          <w:sz w:val="30"/>
          <w:szCs w:val="30"/>
        </w:rPr>
      </w:pPr>
      <w:r>
        <w:rPr>
          <w:rFonts w:hint="eastAsia" w:ascii="仿宋_GB2312" w:hAnsi="仿宋" w:eastAsia="仿宋_GB2312" w:cs="仿宋"/>
        </w:rPr>
        <w:br w:type="page"/>
      </w:r>
      <w:r>
        <w:rPr>
          <w:rFonts w:hint="eastAsia" w:ascii="仿宋_GB2312" w:hAnsi="仿宋" w:eastAsia="仿宋_GB2312" w:cs="仿宋"/>
          <w:sz w:val="30"/>
          <w:szCs w:val="30"/>
        </w:rPr>
        <w:t>封面</w:t>
      </w:r>
      <w:r>
        <w:rPr>
          <w:rFonts w:hint="eastAsia" w:ascii="仿宋_GB2312" w:hAnsi="仿宋" w:eastAsia="仿宋_GB2312" w:cs="仿宋"/>
          <w:b/>
          <w:sz w:val="30"/>
          <w:szCs w:val="30"/>
        </w:rPr>
        <w:t xml:space="preserve">：                                    </w:t>
      </w:r>
      <w:r>
        <w:rPr>
          <w:rFonts w:hint="eastAsia" w:ascii="仿宋_GB2312" w:hAnsi="仿宋" w:eastAsia="仿宋_GB2312" w:cs="仿宋"/>
          <w:sz w:val="30"/>
          <w:szCs w:val="30"/>
        </w:rPr>
        <w:t xml:space="preserve"> 正本或副本</w:t>
      </w:r>
    </w:p>
    <w:p>
      <w:pPr>
        <w:adjustRightInd w:val="0"/>
        <w:snapToGrid w:val="0"/>
        <w:spacing w:line="360" w:lineRule="auto"/>
        <w:ind w:right="-110"/>
        <w:jc w:val="center"/>
        <w:rPr>
          <w:rFonts w:hint="eastAsia" w:ascii="仿宋_GB2312" w:hAnsi="仿宋" w:eastAsia="仿宋_GB2312" w:cs="仿宋"/>
          <w:spacing w:val="40"/>
          <w:sz w:val="52"/>
          <w:szCs w:val="52"/>
        </w:rPr>
      </w:pPr>
    </w:p>
    <w:p>
      <w:pPr>
        <w:adjustRightInd w:val="0"/>
        <w:snapToGrid w:val="0"/>
        <w:spacing w:line="360" w:lineRule="auto"/>
        <w:ind w:right="-110"/>
        <w:jc w:val="center"/>
        <w:rPr>
          <w:rFonts w:hint="eastAsia" w:ascii="仿宋_GB2312" w:hAnsi="仿宋" w:eastAsia="仿宋_GB2312" w:cs="仿宋"/>
          <w:spacing w:val="40"/>
          <w:sz w:val="52"/>
          <w:szCs w:val="52"/>
        </w:rPr>
      </w:pPr>
      <w:r>
        <w:rPr>
          <w:rFonts w:hint="eastAsia" w:ascii="仿宋_GB2312" w:hAnsi="仿宋" w:eastAsia="仿宋_GB2312" w:cs="仿宋"/>
          <w:spacing w:val="40"/>
          <w:sz w:val="52"/>
          <w:szCs w:val="52"/>
        </w:rPr>
        <w:t>***项目名称</w:t>
      </w:r>
    </w:p>
    <w:p>
      <w:pPr>
        <w:adjustRightInd w:val="0"/>
        <w:snapToGrid w:val="0"/>
        <w:spacing w:before="312" w:beforeLines="100" w:line="360" w:lineRule="auto"/>
        <w:ind w:right="-108"/>
        <w:jc w:val="center"/>
        <w:rPr>
          <w:rFonts w:hint="eastAsia" w:ascii="仿宋_GB2312" w:hAnsi="仿宋" w:eastAsia="仿宋_GB2312" w:cs="仿宋"/>
          <w:sz w:val="36"/>
          <w:szCs w:val="36"/>
        </w:rPr>
      </w:pPr>
      <w:r>
        <w:rPr>
          <w:rFonts w:hint="eastAsia" w:ascii="仿宋_GB2312" w:hAnsi="仿宋" w:eastAsia="仿宋_GB2312" w:cs="仿宋"/>
          <w:sz w:val="36"/>
          <w:szCs w:val="36"/>
        </w:rPr>
        <w:t>项目编号：</w:t>
      </w:r>
    </w:p>
    <w:p>
      <w:pPr>
        <w:adjustRightInd w:val="0"/>
        <w:snapToGrid w:val="0"/>
        <w:spacing w:before="312" w:beforeLines="100" w:line="360" w:lineRule="auto"/>
        <w:ind w:right="-108"/>
        <w:jc w:val="center"/>
        <w:rPr>
          <w:rFonts w:hint="eastAsia" w:ascii="仿宋_GB2312" w:hAnsi="仿宋" w:eastAsia="仿宋_GB2312" w:cs="仿宋"/>
          <w:sz w:val="36"/>
          <w:szCs w:val="36"/>
        </w:rPr>
      </w:pPr>
    </w:p>
    <w:p>
      <w:pPr>
        <w:adjustRightInd w:val="0"/>
        <w:snapToGrid w:val="0"/>
        <w:spacing w:after="100" w:afterAutospacing="1"/>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报</w:t>
      </w:r>
    </w:p>
    <w:p>
      <w:pPr>
        <w:adjustRightInd w:val="0"/>
        <w:snapToGrid w:val="0"/>
        <w:spacing w:after="100" w:afterAutospacing="1"/>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价</w:t>
      </w:r>
    </w:p>
    <w:p>
      <w:pPr>
        <w:adjustRightInd w:val="0"/>
        <w:snapToGrid w:val="0"/>
        <w:spacing w:after="100" w:afterAutospacing="1"/>
        <w:jc w:val="center"/>
        <w:rPr>
          <w:rFonts w:hint="eastAsia" w:ascii="仿宋_GB2312" w:hAnsi="仿宋" w:eastAsia="仿宋_GB2312" w:cs="仿宋"/>
          <w:b/>
          <w:spacing w:val="40"/>
          <w:sz w:val="72"/>
          <w:szCs w:val="72"/>
        </w:rPr>
      </w:pPr>
      <w:r>
        <w:rPr>
          <w:rFonts w:hint="eastAsia" w:ascii="仿宋_GB2312" w:hAnsi="仿宋" w:eastAsia="仿宋_GB2312" w:cs="仿宋"/>
          <w:b/>
          <w:spacing w:val="40"/>
          <w:sz w:val="72"/>
          <w:szCs w:val="72"/>
        </w:rPr>
        <w:t>文</w:t>
      </w:r>
    </w:p>
    <w:p>
      <w:pPr>
        <w:adjustRightInd w:val="0"/>
        <w:snapToGrid w:val="0"/>
        <w:spacing w:after="100" w:afterAutospacing="1"/>
        <w:jc w:val="center"/>
        <w:rPr>
          <w:rFonts w:hint="eastAsia" w:ascii="仿宋_GB2312" w:hAnsi="仿宋" w:eastAsia="仿宋_GB2312" w:cs="仿宋"/>
          <w:b/>
          <w:spacing w:val="40"/>
          <w:sz w:val="84"/>
          <w:szCs w:val="84"/>
        </w:rPr>
      </w:pPr>
      <w:r>
        <w:rPr>
          <w:rFonts w:hint="eastAsia" w:ascii="仿宋_GB2312" w:hAnsi="仿宋" w:eastAsia="仿宋_GB2312" w:cs="仿宋"/>
          <w:b/>
          <w:spacing w:val="40"/>
          <w:sz w:val="72"/>
          <w:szCs w:val="72"/>
        </w:rPr>
        <w:t>件</w:t>
      </w:r>
    </w:p>
    <w:p>
      <w:pPr>
        <w:adjustRightInd w:val="0"/>
        <w:snapToGrid w:val="0"/>
        <w:spacing w:line="360" w:lineRule="auto"/>
        <w:ind w:right="532"/>
        <w:jc w:val="center"/>
        <w:rPr>
          <w:rFonts w:hint="eastAsia" w:ascii="仿宋_GB2312" w:hAnsi="仿宋" w:eastAsia="仿宋_GB2312" w:cs="仿宋"/>
          <w:sz w:val="36"/>
          <w:szCs w:val="36"/>
        </w:rPr>
      </w:pPr>
    </w:p>
    <w:p>
      <w:pPr>
        <w:adjustRightInd w:val="0"/>
        <w:snapToGrid w:val="0"/>
        <w:spacing w:line="360" w:lineRule="auto"/>
        <w:ind w:right="532"/>
        <w:jc w:val="center"/>
        <w:rPr>
          <w:rFonts w:hint="eastAsia" w:ascii="仿宋_GB2312" w:hAnsi="仿宋" w:eastAsia="仿宋_GB2312" w:cs="仿宋"/>
          <w:sz w:val="36"/>
          <w:szCs w:val="36"/>
        </w:rPr>
      </w:pPr>
    </w:p>
    <w:p>
      <w:pPr>
        <w:adjustRightInd w:val="0"/>
        <w:snapToGrid w:val="0"/>
        <w:spacing w:line="360" w:lineRule="auto"/>
        <w:ind w:right="532"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投标人全称（公章）：</w:t>
      </w:r>
    </w:p>
    <w:p>
      <w:pPr>
        <w:adjustRightInd w:val="0"/>
        <w:snapToGrid w:val="0"/>
        <w:spacing w:line="360" w:lineRule="auto"/>
        <w:ind w:right="532"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授权代表（签字）：</w:t>
      </w:r>
    </w:p>
    <w:p>
      <w:pPr>
        <w:wordWrap w:val="0"/>
        <w:adjustRightInd w:val="0"/>
        <w:snapToGrid w:val="0"/>
        <w:spacing w:line="360" w:lineRule="auto"/>
        <w:ind w:right="-108"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地    址：</w:t>
      </w:r>
    </w:p>
    <w:p>
      <w:pPr>
        <w:wordWrap w:val="0"/>
        <w:adjustRightInd w:val="0"/>
        <w:snapToGrid w:val="0"/>
        <w:spacing w:line="360" w:lineRule="auto"/>
        <w:ind w:right="-108"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时    间：</w:t>
      </w:r>
    </w:p>
    <w:p>
      <w:pPr>
        <w:adjustRightInd w:val="0"/>
        <w:snapToGrid w:val="0"/>
        <w:spacing w:line="360" w:lineRule="auto"/>
        <w:jc w:val="center"/>
        <w:rPr>
          <w:rFonts w:hint="eastAsia" w:ascii="仿宋_GB2312" w:hAnsi="仿宋" w:eastAsia="仿宋_GB2312" w:cs="仿宋"/>
          <w:b/>
          <w:sz w:val="36"/>
          <w:szCs w:val="36"/>
        </w:rPr>
      </w:pPr>
    </w:p>
    <w:p>
      <w:pPr>
        <w:adjustRightInd w:val="0"/>
        <w:snapToGrid w:val="0"/>
        <w:spacing w:line="360" w:lineRule="auto"/>
        <w:jc w:val="center"/>
        <w:rPr>
          <w:rFonts w:hint="eastAsia" w:ascii="仿宋_GB2312" w:hAnsi="仿宋" w:eastAsia="仿宋_GB2312" w:cs="仿宋"/>
          <w:b/>
          <w:sz w:val="36"/>
          <w:szCs w:val="36"/>
        </w:rPr>
      </w:pPr>
      <w:r>
        <w:rPr>
          <w:rFonts w:hint="eastAsia" w:ascii="仿宋_GB2312" w:hAnsi="仿宋" w:eastAsia="仿宋_GB2312" w:cs="仿宋"/>
          <w:b/>
          <w:sz w:val="36"/>
          <w:szCs w:val="36"/>
        </w:rPr>
        <w:t>报价文件</w:t>
      </w:r>
    </w:p>
    <w:p>
      <w:pPr>
        <w:adjustRightInd w:val="0"/>
        <w:snapToGrid w:val="0"/>
        <w:spacing w:line="360" w:lineRule="auto"/>
        <w:jc w:val="center"/>
        <w:rPr>
          <w:rFonts w:hint="eastAsia" w:ascii="仿宋_GB2312" w:hAnsi="仿宋" w:eastAsia="仿宋_GB2312" w:cs="仿宋"/>
          <w:sz w:val="32"/>
          <w:szCs w:val="32"/>
        </w:rPr>
      </w:pPr>
      <w:r>
        <w:rPr>
          <w:rFonts w:hint="eastAsia" w:ascii="仿宋_GB2312" w:hAnsi="仿宋" w:eastAsia="仿宋_GB2312" w:cs="仿宋"/>
          <w:sz w:val="32"/>
          <w:szCs w:val="32"/>
        </w:rPr>
        <w:t>目录</w:t>
      </w:r>
    </w:p>
    <w:p>
      <w:pPr>
        <w:tabs>
          <w:tab w:val="left" w:pos="3870"/>
          <w:tab w:val="left" w:pos="4085"/>
        </w:tabs>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（1）投标响应函————————————————————————（页码）</w:t>
      </w:r>
    </w:p>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（2）投标（开标）一览表————————————————————（页码）</w:t>
      </w:r>
    </w:p>
    <w:p>
      <w:pPr>
        <w:tabs>
          <w:tab w:val="left" w:pos="3870"/>
          <w:tab w:val="left" w:pos="4085"/>
        </w:tabs>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（3）投标报价明细表——————————————————————（页码）</w:t>
      </w:r>
    </w:p>
    <w:p>
      <w:pPr>
        <w:adjustRightInd w:val="0"/>
        <w:snapToGrid w:val="0"/>
        <w:spacing w:line="360" w:lineRule="auto"/>
        <w:jc w:val="left"/>
        <w:rPr>
          <w:rFonts w:hint="eastAsia"/>
        </w:rPr>
      </w:pPr>
      <w:r>
        <w:rPr>
          <w:rFonts w:hint="eastAsia" w:ascii="仿宋_GB2312" w:hAnsi="仿宋" w:eastAsia="仿宋_GB2312" w:cs="仿宋"/>
          <w:sz w:val="24"/>
        </w:rPr>
        <w:t>（</w:t>
      </w:r>
      <w:r>
        <w:rPr>
          <w:rFonts w:hint="eastAsia" w:ascii="仿宋_GB2312" w:hAnsi="仿宋" w:eastAsia="仿宋_GB2312" w:cs="仿宋"/>
          <w:sz w:val="24"/>
          <w:lang w:val="en-US" w:eastAsia="zh-CN"/>
        </w:rPr>
        <w:t>4</w:t>
      </w:r>
      <w:r>
        <w:rPr>
          <w:rFonts w:hint="eastAsia" w:ascii="仿宋_GB2312" w:hAnsi="仿宋" w:eastAsia="仿宋_GB2312" w:cs="仿宋"/>
          <w:sz w:val="24"/>
        </w:rPr>
        <w:t>）中小企业声明函————————————</w:t>
      </w:r>
      <w:r>
        <w:rPr>
          <w:rFonts w:hint="eastAsia" w:ascii="仿宋" w:hAnsi="仿宋" w:eastAsia="仿宋" w:cs="仿宋"/>
          <w:b/>
          <w:kern w:val="0"/>
          <w:sz w:val="24"/>
        </w:rPr>
        <w:t>—————————</w:t>
      </w:r>
      <w:r>
        <w:rPr>
          <w:rFonts w:hint="eastAsia" w:ascii="仿宋_GB2312" w:hAnsi="仿宋" w:eastAsia="仿宋_GB2312" w:cs="仿宋"/>
          <w:sz w:val="24"/>
        </w:rPr>
        <w:t>—（页码）</w:t>
      </w:r>
    </w:p>
    <w:p>
      <w:pPr>
        <w:tabs>
          <w:tab w:val="left" w:pos="3870"/>
          <w:tab w:val="left" w:pos="4085"/>
        </w:tabs>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w:t>
      </w:r>
      <w:r>
        <w:rPr>
          <w:rFonts w:hint="eastAsia" w:ascii="仿宋_GB2312" w:hAnsi="仿宋" w:eastAsia="仿宋_GB2312" w:cs="仿宋"/>
          <w:sz w:val="24"/>
          <w:lang w:val="en-US" w:eastAsia="zh-CN"/>
        </w:rPr>
        <w:t>5</w:t>
      </w:r>
      <w:r>
        <w:rPr>
          <w:rFonts w:hint="eastAsia" w:ascii="仿宋_GB2312" w:hAnsi="仿宋" w:eastAsia="仿宋_GB2312" w:cs="仿宋"/>
          <w:sz w:val="24"/>
        </w:rPr>
        <w:t>）投标人针对报价需要说明的其他文件和说明（如有）——————（页码）</w:t>
      </w:r>
    </w:p>
    <w:p>
      <w:pPr>
        <w:adjustRightInd w:val="0"/>
        <w:snapToGrid w:val="0"/>
        <w:spacing w:line="360" w:lineRule="auto"/>
        <w:jc w:val="left"/>
        <w:rPr>
          <w:rFonts w:hint="eastAsia" w:ascii="仿宋_GB2312" w:hAnsi="仿宋" w:eastAsia="仿宋_GB2312" w:cs="仿宋"/>
          <w:sz w:val="24"/>
        </w:rPr>
      </w:pPr>
    </w:p>
    <w:p>
      <w:pPr>
        <w:adjustRightInd w:val="0"/>
        <w:snapToGrid w:val="0"/>
        <w:spacing w:line="360" w:lineRule="auto"/>
        <w:jc w:val="left"/>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rPr>
        <w:br w:type="page"/>
      </w:r>
      <w:r>
        <w:rPr>
          <w:rFonts w:hint="eastAsia" w:ascii="仿宋_GB2312" w:hAnsi="仿宋" w:eastAsia="仿宋_GB2312" w:cs="仿宋"/>
          <w:b/>
          <w:bCs/>
          <w:sz w:val="24"/>
        </w:rPr>
        <w:t>一、投标响应函格式：</w:t>
      </w:r>
    </w:p>
    <w:p>
      <w:pPr>
        <w:pStyle w:val="58"/>
        <w:keepNext w:val="0"/>
        <w:pageBreakBefore w:val="0"/>
        <w:tabs>
          <w:tab w:val="clear" w:pos="720"/>
        </w:tabs>
        <w:adjustRightInd w:val="0"/>
        <w:snapToGrid w:val="0"/>
        <w:outlineLvl w:val="9"/>
        <w:rPr>
          <w:rFonts w:ascii="仿宋" w:hAnsi="仿宋" w:eastAsia="仿宋" w:cs="仿宋"/>
          <w:sz w:val="24"/>
          <w:szCs w:val="24"/>
        </w:rPr>
      </w:pPr>
      <w:bookmarkStart w:id="12" w:name="_Toc415734855"/>
      <w:r>
        <w:rPr>
          <w:rFonts w:hint="eastAsia" w:ascii="仿宋" w:hAnsi="仿宋" w:eastAsia="仿宋" w:cs="仿宋"/>
          <w:sz w:val="24"/>
          <w:szCs w:val="24"/>
        </w:rPr>
        <w:t>投标响应函</w:t>
      </w:r>
      <w:bookmarkEnd w:id="12"/>
    </w:p>
    <w:p>
      <w:pPr>
        <w:adjustRightInd w:val="0"/>
        <w:snapToGrid w:val="0"/>
        <w:spacing w:line="360" w:lineRule="auto"/>
        <w:rPr>
          <w:rFonts w:ascii="仿宋" w:hAnsi="仿宋" w:eastAsia="仿宋" w:cs="仿宋"/>
          <w:sz w:val="24"/>
        </w:rPr>
      </w:pPr>
      <w:r>
        <w:rPr>
          <w:rFonts w:hint="eastAsia" w:ascii="仿宋" w:hAnsi="仿宋" w:eastAsia="仿宋" w:cs="仿宋"/>
          <w:sz w:val="24"/>
          <w:lang w:val="zh-CN"/>
        </w:rPr>
        <w:t>浙江省公安厅机场公安局、</w:t>
      </w:r>
      <w:r>
        <w:rPr>
          <w:rFonts w:hint="eastAsia" w:ascii="仿宋" w:hAnsi="仿宋" w:eastAsia="仿宋" w:cs="仿宋"/>
          <w:sz w:val="24"/>
        </w:rPr>
        <w:t>浙江通用招标代理有限公司：</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投标人全称</w:t>
      </w:r>
      <w:r>
        <w:rPr>
          <w:rFonts w:ascii="仿宋" w:hAnsi="仿宋" w:eastAsia="仿宋" w:cs="仿宋"/>
          <w:sz w:val="24"/>
        </w:rPr>
        <w:t>)</w:t>
      </w:r>
      <w:r>
        <w:rPr>
          <w:rFonts w:hint="eastAsia" w:ascii="仿宋" w:hAnsi="仿宋" w:eastAsia="仿宋" w:cs="仿宋"/>
          <w:sz w:val="24"/>
        </w:rPr>
        <w:t>授权</w:t>
      </w:r>
      <w:r>
        <w:rPr>
          <w:rFonts w:ascii="仿宋" w:hAnsi="仿宋" w:eastAsia="仿宋" w:cs="仿宋"/>
          <w:sz w:val="24"/>
        </w:rPr>
        <w:t>(</w:t>
      </w:r>
      <w:r>
        <w:rPr>
          <w:rFonts w:hint="eastAsia" w:ascii="仿宋" w:hAnsi="仿宋" w:eastAsia="仿宋" w:cs="仿宋"/>
          <w:sz w:val="24"/>
        </w:rPr>
        <w:t>全权代表姓名</w:t>
      </w:r>
      <w:r>
        <w:rPr>
          <w:rFonts w:ascii="仿宋" w:hAnsi="仿宋" w:eastAsia="仿宋" w:cs="仿宋"/>
          <w:sz w:val="24"/>
        </w:rPr>
        <w:t>)(</w:t>
      </w:r>
      <w:r>
        <w:rPr>
          <w:rFonts w:hint="eastAsia" w:ascii="仿宋" w:hAnsi="仿宋" w:eastAsia="仿宋" w:cs="仿宋"/>
          <w:sz w:val="24"/>
        </w:rPr>
        <w:t>职务、职称</w:t>
      </w:r>
      <w:r>
        <w:rPr>
          <w:rFonts w:ascii="仿宋" w:hAnsi="仿宋" w:eastAsia="仿宋" w:cs="仿宋"/>
          <w:sz w:val="24"/>
        </w:rPr>
        <w:t>)</w:t>
      </w:r>
      <w:r>
        <w:rPr>
          <w:rFonts w:hint="eastAsia" w:ascii="仿宋" w:hAnsi="仿宋" w:eastAsia="仿宋" w:cs="仿宋"/>
          <w:sz w:val="24"/>
        </w:rPr>
        <w:t>为全权代表，参加贵方组织的</w:t>
      </w:r>
      <w:r>
        <w:rPr>
          <w:rFonts w:hint="eastAsia" w:ascii="仿宋" w:hAnsi="仿宋" w:eastAsia="仿宋" w:cs="仿宋"/>
          <w:b/>
          <w:snapToGrid w:val="0"/>
          <w:kern w:val="0"/>
          <w:sz w:val="24"/>
          <w:lang w:eastAsia="zh-CN"/>
        </w:rPr>
        <w:t>浙江省公安厅机场公安局空港亚运安保一体化指挥系统项目</w:t>
      </w:r>
      <w:r>
        <w:rPr>
          <w:rFonts w:ascii="仿宋" w:hAnsi="仿宋" w:eastAsia="仿宋" w:cs="仿宋"/>
          <w:sz w:val="24"/>
        </w:rPr>
        <w:t>(</w:t>
      </w:r>
      <w:r>
        <w:rPr>
          <w:rFonts w:hint="eastAsia" w:ascii="仿宋" w:hAnsi="仿宋" w:eastAsia="仿宋" w:cs="仿宋"/>
          <w:sz w:val="24"/>
        </w:rPr>
        <w:t xml:space="preserve">采购编号：  </w:t>
      </w:r>
      <w:r>
        <w:rPr>
          <w:rFonts w:ascii="仿宋" w:hAnsi="仿宋" w:eastAsia="仿宋" w:cs="仿宋"/>
          <w:sz w:val="24"/>
        </w:rPr>
        <w:t xml:space="preserve">) </w:t>
      </w:r>
      <w:r>
        <w:rPr>
          <w:rFonts w:hint="eastAsia" w:ascii="仿宋" w:hAnsi="仿宋" w:eastAsia="仿宋" w:cs="仿宋"/>
          <w:sz w:val="24"/>
        </w:rPr>
        <w:t>招标的有关活动，并对此项目进行投标。为此：</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、我方同意在投标人</w:t>
      </w:r>
      <w:r>
        <w:rPr>
          <w:rFonts w:hint="eastAsia" w:ascii="仿宋" w:hAnsi="仿宋" w:eastAsia="仿宋" w:cs="仿宋"/>
          <w:kern w:val="44"/>
          <w:sz w:val="24"/>
        </w:rPr>
        <w:t>编制和提交采购响应文件须知</w:t>
      </w:r>
      <w:r>
        <w:rPr>
          <w:rFonts w:hint="eastAsia" w:ascii="仿宋" w:hAnsi="仿宋" w:eastAsia="仿宋" w:cs="仿宋"/>
          <w:sz w:val="24"/>
        </w:rPr>
        <w:t>规定的开标日期起遵守本投标文件中的承诺且在投标有效期满之前均具有约束力。</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遵守国家法律、行政法规，具有良好的信誉和商业道德；</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具有履行合同的能力和良好的履行合同记录；</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良好的资金、财务状况；</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产品及生产所需装备符合中国政府规定的相应技术标准和环保标准；</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没有违反政府采购法规、政策的记录；</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没有发生重大经济纠纷和走私犯罪记录。</w:t>
      </w:r>
    </w:p>
    <w:p>
      <w:pPr>
        <w:adjustRightInd w:val="0"/>
        <w:snapToGrid w:val="0"/>
        <w:spacing w:line="360" w:lineRule="auto"/>
        <w:ind w:left="479" w:leftChars="228"/>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、提供</w:t>
      </w:r>
      <w:r>
        <w:rPr>
          <w:rFonts w:hint="eastAsia" w:ascii="仿宋" w:hAnsi="仿宋" w:eastAsia="仿宋" w:cs="仿宋"/>
          <w:kern w:val="44"/>
          <w:sz w:val="24"/>
        </w:rPr>
        <w:t>编制和提交采购响应文件须知</w:t>
      </w:r>
      <w:r>
        <w:rPr>
          <w:rFonts w:hint="eastAsia" w:ascii="仿宋" w:hAnsi="仿宋" w:eastAsia="仿宋" w:cs="仿宋"/>
          <w:sz w:val="24"/>
        </w:rPr>
        <w:t>规定的全部投标文件，包括投标文件</w:t>
      </w:r>
      <w:r>
        <w:rPr>
          <w:rFonts w:hint="eastAsia" w:ascii="仿宋" w:hAnsi="仿宋" w:eastAsia="仿宋" w:cs="仿宋"/>
          <w:kern w:val="44"/>
          <w:sz w:val="24"/>
        </w:rPr>
        <w:t>（见投标须知前附表所述）。</w:t>
      </w:r>
      <w:r>
        <w:rPr>
          <w:rFonts w:hint="eastAsia" w:ascii="仿宋" w:hAnsi="仿宋" w:eastAsia="仿宋" w:cs="仿宋"/>
          <w:sz w:val="24"/>
        </w:rPr>
        <w:t>具体内容为：</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投标</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一览表及投标报价明细清单；</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投标资格、</w:t>
      </w:r>
      <w:r>
        <w:rPr>
          <w:rFonts w:hint="eastAsia" w:ascii="仿宋" w:hAnsi="仿宋" w:eastAsia="仿宋" w:cs="仿宋"/>
          <w:sz w:val="24"/>
          <w:lang w:val="zh-CN"/>
        </w:rPr>
        <w:t>商务</w:t>
      </w:r>
      <w:r>
        <w:rPr>
          <w:rFonts w:hint="eastAsia" w:ascii="仿宋" w:hAnsi="仿宋" w:eastAsia="仿宋" w:cs="仿宋"/>
          <w:kern w:val="0"/>
          <w:sz w:val="24"/>
          <w:lang w:val="zh-CN"/>
        </w:rPr>
        <w:t>技术文件</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kern w:val="44"/>
          <w:sz w:val="24"/>
        </w:rPr>
        <w:t>编制和提交采购响应文件须知</w:t>
      </w:r>
      <w:r>
        <w:rPr>
          <w:rFonts w:hint="eastAsia" w:ascii="仿宋" w:hAnsi="仿宋" w:eastAsia="仿宋" w:cs="仿宋"/>
          <w:sz w:val="24"/>
        </w:rPr>
        <w:t>要求投标人提交的全部文件；</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按招标文件要求提供和交付的货物和服务的投标报价详见投标</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保证忠实地执行双方所签订的合同，并承担合同规定的责任和义务；</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保证遵守招标文件中的其他有关规定。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4、我方完全理解贵方不一定要接受最低价的投标。</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6、我方已详细审核全部招标文件，包括招标文件修改书</w:t>
      </w:r>
      <w:r>
        <w:rPr>
          <w:rFonts w:ascii="仿宋" w:hAnsi="仿宋" w:eastAsia="仿宋" w:cs="仿宋"/>
          <w:sz w:val="24"/>
        </w:rPr>
        <w:t>(</w:t>
      </w:r>
      <w:r>
        <w:rPr>
          <w:rFonts w:hint="eastAsia" w:ascii="仿宋" w:hAnsi="仿宋" w:eastAsia="仿宋" w:cs="仿宋"/>
          <w:sz w:val="24"/>
        </w:rPr>
        <w:t>如果有</w:t>
      </w:r>
      <w:r>
        <w:rPr>
          <w:rFonts w:ascii="仿宋" w:hAnsi="仿宋" w:eastAsia="仿宋" w:cs="仿宋"/>
          <w:sz w:val="24"/>
        </w:rPr>
        <w:t>)</w:t>
      </w:r>
      <w:r>
        <w:rPr>
          <w:rFonts w:hint="eastAsia" w:ascii="仿宋" w:hAnsi="仿宋" w:eastAsia="仿宋" w:cs="仿宋"/>
          <w:sz w:val="24"/>
        </w:rPr>
        <w:t>、参考资料及有关附件，确认无误。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7、我方将严格遵守《中华人民共和国政府采购法》第七十七条规定，供应商有下列情形之一的，处以采购金额</w:t>
      </w:r>
      <w:r>
        <w:rPr>
          <w:rFonts w:ascii="仿宋" w:hAnsi="仿宋" w:eastAsia="仿宋" w:cs="仿宋"/>
          <w:sz w:val="24"/>
        </w:rPr>
        <w:t>5</w:t>
      </w:r>
      <w:r>
        <w:rPr>
          <w:rFonts w:hint="eastAsia" w:ascii="仿宋" w:hAnsi="仿宋" w:eastAsia="仿宋" w:cs="仿宋"/>
          <w:sz w:val="24"/>
        </w:rPr>
        <w:t>‰以上</w:t>
      </w:r>
      <w:r>
        <w:rPr>
          <w:rFonts w:ascii="仿宋" w:hAnsi="仿宋" w:eastAsia="仿宋" w:cs="仿宋"/>
          <w:sz w:val="24"/>
        </w:rPr>
        <w:t>10</w:t>
      </w:r>
      <w:r>
        <w:rPr>
          <w:rFonts w:hint="eastAsia" w:ascii="仿宋" w:hAnsi="仿宋" w:eastAsia="仿宋" w:cs="仿宋"/>
          <w:sz w:val="24"/>
        </w:rPr>
        <w:t>‰以下的罚款，列入不良行为记录名单，在一至三年内禁止参加政府采购活动；有违法所得的，并处没收违法所得；情节严重的，由工商行政管理机关吊销营业执照；构成犯罪的，依法追究刑事责任：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a)</w:t>
      </w:r>
      <w:r>
        <w:rPr>
          <w:rFonts w:hint="eastAsia" w:ascii="仿宋" w:hAnsi="仿宋" w:eastAsia="仿宋" w:cs="仿宋"/>
          <w:sz w:val="24"/>
        </w:rPr>
        <w:t>提供虚假材料谋取中标、成交的；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b)</w:t>
      </w:r>
      <w:r>
        <w:rPr>
          <w:rFonts w:hint="eastAsia" w:ascii="仿宋" w:hAnsi="仿宋" w:eastAsia="仿宋" w:cs="仿宋"/>
          <w:sz w:val="24"/>
        </w:rPr>
        <w:t>采取不正当手段诋毁、排挤其他供应商的；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c)</w:t>
      </w:r>
      <w:r>
        <w:rPr>
          <w:rFonts w:hint="eastAsia" w:ascii="仿宋" w:hAnsi="仿宋" w:eastAsia="仿宋" w:cs="仿宋"/>
          <w:sz w:val="24"/>
        </w:rPr>
        <w:t>与招标人、其它供应商或者招标代理机构恶意串通的；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d)</w:t>
      </w:r>
      <w:r>
        <w:rPr>
          <w:rFonts w:hint="eastAsia" w:ascii="仿宋" w:hAnsi="仿宋" w:eastAsia="仿宋" w:cs="仿宋"/>
          <w:sz w:val="24"/>
        </w:rPr>
        <w:t>向招标人、招标代理机构行贿或者提供其他不正当利益的；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e)</w:t>
      </w:r>
      <w:r>
        <w:rPr>
          <w:rFonts w:hint="eastAsia" w:ascii="仿宋" w:hAnsi="仿宋" w:eastAsia="仿宋" w:cs="仿宋"/>
          <w:sz w:val="24"/>
        </w:rPr>
        <w:t>在招标采购过程中与招标人进行协商谈判的；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f)</w:t>
      </w:r>
      <w:r>
        <w:rPr>
          <w:rFonts w:hint="eastAsia" w:ascii="仿宋" w:hAnsi="仿宋" w:eastAsia="仿宋" w:cs="仿宋"/>
          <w:sz w:val="24"/>
        </w:rPr>
        <w:t>拒绝有关部门监督检查或提供虚假情况的。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w:t>
      </w:r>
      <w:r>
        <w:rPr>
          <w:rFonts w:ascii="仿宋" w:hAnsi="仿宋" w:eastAsia="仿宋" w:cs="仿宋"/>
          <w:sz w:val="24"/>
        </w:rPr>
        <w:t>a)</w:t>
      </w:r>
      <w:r>
        <w:rPr>
          <w:rFonts w:hint="eastAsia" w:ascii="仿宋" w:hAnsi="仿宋" w:eastAsia="仿宋" w:cs="仿宋"/>
          <w:sz w:val="24"/>
        </w:rPr>
        <w:t>至</w:t>
      </w:r>
      <w:r>
        <w:rPr>
          <w:rFonts w:ascii="仿宋" w:hAnsi="仿宋" w:eastAsia="仿宋" w:cs="仿宋"/>
          <w:sz w:val="24"/>
        </w:rPr>
        <w:t>e)</w:t>
      </w:r>
      <w:r>
        <w:rPr>
          <w:rFonts w:hint="eastAsia" w:ascii="仿宋" w:hAnsi="仿宋" w:eastAsia="仿宋" w:cs="仿宋"/>
          <w:sz w:val="24"/>
        </w:rPr>
        <w:t>项情形之一的，中标、成交无效。</w:t>
      </w:r>
    </w:p>
    <w:p>
      <w:pPr>
        <w:adjustRightInd w:val="0"/>
        <w:snapToGrid w:val="0"/>
        <w:spacing w:line="360" w:lineRule="auto"/>
        <w:ind w:firstLine="3600" w:firstLineChars="1500"/>
        <w:rPr>
          <w:rFonts w:ascii="仿宋" w:hAnsi="仿宋" w:eastAsia="仿宋" w:cs="仿宋"/>
          <w:sz w:val="24"/>
        </w:rPr>
      </w:pP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投标人名称（公章）：</w:t>
      </w: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法定代表人或其授权代表（签字或盖章）：</w:t>
      </w: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adjustRightInd w:val="0"/>
        <w:snapToGrid w:val="0"/>
        <w:spacing w:line="360" w:lineRule="auto"/>
        <w:ind w:left="420" w:leftChars="200" w:firstLine="4200" w:firstLineChars="1750"/>
        <w:rPr>
          <w:rFonts w:ascii="仿宋" w:hAnsi="仿宋" w:eastAsia="仿宋" w:cs="仿宋"/>
          <w:kern w:val="0"/>
          <w:sz w:val="24"/>
          <w:u w:val="single"/>
          <w:lang w:val="zh-CN"/>
        </w:rPr>
      </w:pPr>
    </w:p>
    <w:p>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ascii="仿宋" w:hAnsi="仿宋" w:eastAsia="仿宋" w:cs="仿宋"/>
          <w:kern w:val="0"/>
          <w:sz w:val="24"/>
          <w:lang w:val="zh-CN"/>
        </w:rPr>
        <w:t xml:space="preserve">      </w:t>
      </w:r>
      <w:r>
        <w:rPr>
          <w:rFonts w:hint="eastAsia" w:ascii="仿宋" w:hAnsi="仿宋" w:eastAsia="仿宋" w:cs="仿宋"/>
          <w:kern w:val="0"/>
          <w:sz w:val="24"/>
          <w:lang w:val="zh-CN"/>
        </w:rPr>
        <w:t>联系电话：</w:t>
      </w:r>
      <w:r>
        <w:rPr>
          <w:rFonts w:ascii="仿宋" w:hAnsi="仿宋" w:eastAsia="仿宋" w:cs="仿宋"/>
          <w:kern w:val="0"/>
          <w:sz w:val="24"/>
          <w:lang w:val="zh-CN"/>
        </w:rPr>
        <w:t xml:space="preserve"> </w:t>
      </w:r>
    </w:p>
    <w:p>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p>
    <w:p>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ascii="仿宋" w:hAnsi="仿宋" w:eastAsia="仿宋" w:cs="仿宋"/>
          <w:kern w:val="0"/>
          <w:sz w:val="24"/>
          <w:lang w:val="zh-CN"/>
        </w:rPr>
        <w:t xml:space="preserve">    </w:t>
      </w:r>
      <w:r>
        <w:rPr>
          <w:rFonts w:hint="eastAsia" w:ascii="仿宋" w:hAnsi="仿宋" w:eastAsia="仿宋" w:cs="仿宋"/>
          <w:kern w:val="0"/>
          <w:sz w:val="24"/>
          <w:lang w:val="zh-CN"/>
        </w:rPr>
        <w:t>传真号码：</w:t>
      </w:r>
    </w:p>
    <w:p>
      <w:pPr>
        <w:adjustRightInd w:val="0"/>
        <w:snapToGrid w:val="0"/>
        <w:spacing w:line="360" w:lineRule="auto"/>
        <w:rPr>
          <w:rFonts w:ascii="仿宋" w:hAnsi="仿宋" w:eastAsia="仿宋" w:cs="仿宋"/>
          <w:kern w:val="0"/>
          <w:sz w:val="24"/>
          <w:lang w:val="zh-CN"/>
        </w:rPr>
      </w:pPr>
      <w:r>
        <w:rPr>
          <w:rFonts w:hint="eastAsia" w:ascii="仿宋" w:hAnsi="仿宋" w:eastAsia="仿宋" w:cs="仿宋"/>
          <w:b/>
          <w:kern w:val="0"/>
          <w:sz w:val="24"/>
          <w:lang w:val="zh-CN"/>
        </w:rPr>
        <w:t>注：未按照本投标响应函要求填报的将被视为非实质性响应投标，从而可能导致该投标被拒绝。</w:t>
      </w:r>
    </w:p>
    <w:p>
      <w:pPr>
        <w:pStyle w:val="19"/>
        <w:adjustRightInd w:val="0"/>
        <w:snapToGrid w:val="0"/>
        <w:spacing w:beforeLines="0" w:afterLines="0"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rPr>
      </w:pPr>
    </w:p>
    <w:p>
      <w:pPr>
        <w:adjustRightInd w:val="0"/>
        <w:snapToGrid w:val="0"/>
        <w:spacing w:line="360" w:lineRule="auto"/>
        <w:rPr>
          <w:rFonts w:hint="eastAsia" w:ascii="仿宋_GB2312" w:hAnsi="仿宋" w:eastAsia="仿宋_GB2312" w:cs="仿宋"/>
          <w:b/>
          <w:bCs/>
          <w:sz w:val="24"/>
        </w:rPr>
      </w:pPr>
      <w:r>
        <w:rPr>
          <w:rFonts w:hint="eastAsia" w:ascii="仿宋_GB2312" w:hAnsi="仿宋" w:eastAsia="仿宋_GB2312" w:cs="仿宋"/>
          <w:b/>
          <w:bCs/>
          <w:sz w:val="24"/>
        </w:rPr>
        <w:br w:type="page"/>
      </w:r>
      <w:r>
        <w:rPr>
          <w:rFonts w:hint="eastAsia" w:ascii="仿宋_GB2312" w:hAnsi="仿宋" w:eastAsia="仿宋_GB2312" w:cs="仿宋"/>
          <w:b/>
          <w:bCs/>
          <w:sz w:val="24"/>
        </w:rPr>
        <w:t>二、投标（开标）一览表格式：</w:t>
      </w:r>
    </w:p>
    <w:p>
      <w:pPr>
        <w:pStyle w:val="19"/>
        <w:adjustRightInd w:val="0"/>
        <w:snapToGrid w:val="0"/>
        <w:spacing w:beforeLines="0" w:afterLines="0" w:line="360" w:lineRule="auto"/>
        <w:jc w:val="center"/>
        <w:rPr>
          <w:rFonts w:hint="eastAsia" w:ascii="仿宋_GB2312" w:hAnsi="仿宋" w:eastAsia="仿宋_GB2312" w:cs="仿宋"/>
          <w:b/>
          <w:bCs/>
        </w:rPr>
      </w:pPr>
    </w:p>
    <w:p>
      <w:pPr>
        <w:pStyle w:val="19"/>
        <w:adjustRightInd w:val="0"/>
        <w:snapToGrid w:val="0"/>
        <w:spacing w:beforeLines="0" w:afterLines="0" w:line="360" w:lineRule="auto"/>
        <w:jc w:val="center"/>
        <w:rPr>
          <w:rFonts w:hint="eastAsia" w:ascii="仿宋_GB2312" w:hAnsi="仿宋" w:eastAsia="仿宋_GB2312" w:cs="仿宋"/>
          <w:b/>
          <w:bCs/>
        </w:rPr>
      </w:pPr>
      <w:r>
        <w:rPr>
          <w:rFonts w:hint="eastAsia" w:ascii="仿宋_GB2312" w:hAnsi="仿宋" w:eastAsia="仿宋_GB2312" w:cs="仿宋"/>
          <w:b/>
          <w:bCs/>
        </w:rPr>
        <w:t>投标（开标）一览表</w:t>
      </w:r>
    </w:p>
    <w:p>
      <w:pPr>
        <w:pStyle w:val="19"/>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rPr>
        <w:t>项目名称：</w:t>
      </w:r>
      <w:r>
        <w:rPr>
          <w:rFonts w:hint="eastAsia" w:ascii="仿宋_GB2312" w:hAnsi="仿宋" w:eastAsia="仿宋_GB2312" w:cs="仿宋"/>
          <w:u w:val="single"/>
        </w:rPr>
        <w:t xml:space="preserve">            </w:t>
      </w:r>
    </w:p>
    <w:p>
      <w:pPr>
        <w:pStyle w:val="19"/>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rPr>
        <w:t>项目编号：</w:t>
      </w:r>
      <w:r>
        <w:rPr>
          <w:rFonts w:hint="eastAsia" w:ascii="仿宋_GB2312" w:hAnsi="仿宋" w:eastAsia="仿宋_GB2312" w:cs="仿宋"/>
          <w:u w:val="single"/>
        </w:rPr>
        <w:t xml:space="preserve">            </w:t>
      </w:r>
    </w:p>
    <w:p>
      <w:pPr>
        <w:adjustRightInd w:val="0"/>
        <w:snapToGrid w:val="0"/>
        <w:spacing w:line="360" w:lineRule="auto"/>
        <w:ind w:firstLine="240" w:firstLineChars="100"/>
        <w:jc w:val="right"/>
        <w:rPr>
          <w:rFonts w:hint="eastAsia" w:ascii="仿宋_GB2312" w:hAnsi="仿宋" w:eastAsia="仿宋_GB2312" w:cs="仿宋"/>
          <w:sz w:val="24"/>
        </w:rPr>
      </w:pPr>
      <w:r>
        <w:rPr>
          <w:rFonts w:hint="eastAsia" w:ascii="仿宋_GB2312" w:hAnsi="仿宋" w:eastAsia="仿宋_GB2312" w:cs="仿宋"/>
          <w:sz w:val="24"/>
        </w:rPr>
        <w:t xml:space="preserve">  金额单位：人民币（元）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17"/>
        <w:gridCol w:w="2715"/>
        <w:gridCol w:w="163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0"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序号</w:t>
            </w:r>
          </w:p>
        </w:tc>
        <w:tc>
          <w:tcPr>
            <w:tcW w:w="2217"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项目内容</w:t>
            </w:r>
          </w:p>
        </w:tc>
        <w:tc>
          <w:tcPr>
            <w:tcW w:w="2715"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投标总价</w:t>
            </w:r>
          </w:p>
        </w:tc>
        <w:tc>
          <w:tcPr>
            <w:tcW w:w="1635"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完成时间</w:t>
            </w:r>
          </w:p>
        </w:tc>
        <w:tc>
          <w:tcPr>
            <w:tcW w:w="1668"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0"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1</w:t>
            </w:r>
          </w:p>
        </w:tc>
        <w:tc>
          <w:tcPr>
            <w:tcW w:w="2217"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default" w:ascii="仿宋_GB2312" w:hAnsi="仿宋" w:eastAsia="仿宋_GB2312" w:cs="仿宋"/>
                <w:kern w:val="0"/>
                <w:sz w:val="24"/>
                <w:lang w:val="en-US" w:eastAsia="zh-CN"/>
              </w:rPr>
            </w:pPr>
            <w:r>
              <w:rPr>
                <w:rFonts w:hint="default" w:ascii="仿宋_GB2312" w:hAnsi="仿宋" w:eastAsia="仿宋_GB2312" w:cs="仿宋"/>
                <w:kern w:val="0"/>
                <w:sz w:val="24"/>
                <w:lang w:val="en-US" w:eastAsia="zh-CN"/>
              </w:rPr>
              <w:t>浙江省公安厅机场公安局空港亚运安保一体化指挥系统项目</w:t>
            </w:r>
          </w:p>
        </w:tc>
        <w:tc>
          <w:tcPr>
            <w:tcW w:w="2715"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小写：￥</w:t>
            </w:r>
            <w:r>
              <w:rPr>
                <w:rFonts w:hint="eastAsia" w:ascii="仿宋_GB2312" w:hAnsi="仿宋" w:eastAsia="仿宋_GB2312" w:cs="仿宋"/>
                <w:kern w:val="0"/>
                <w:sz w:val="24"/>
                <w:u w:val="single"/>
              </w:rPr>
              <w:t xml:space="preserve">               </w:t>
            </w:r>
          </w:p>
          <w:p>
            <w:pPr>
              <w:keepNext w:val="0"/>
              <w:keepLines w:val="0"/>
              <w:suppressLineNumbers w:val="0"/>
              <w:autoSpaceDE w:val="0"/>
              <w:autoSpaceDN w:val="0"/>
              <w:adjustRightInd w:val="0"/>
              <w:snapToGrid w:val="0"/>
              <w:spacing w:before="0" w:beforeAutospacing="0" w:after="0" w:afterAutospacing="0" w:line="360" w:lineRule="auto"/>
              <w:ind w:left="0" w:right="0"/>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大写：</w:t>
            </w:r>
            <w:r>
              <w:rPr>
                <w:rFonts w:hint="eastAsia" w:ascii="仿宋_GB2312" w:hAnsi="仿宋" w:eastAsia="仿宋_GB2312" w:cs="仿宋"/>
                <w:kern w:val="0"/>
                <w:sz w:val="24"/>
                <w:u w:val="single"/>
              </w:rPr>
              <w:t xml:space="preserve">                 </w:t>
            </w:r>
            <w:r>
              <w:rPr>
                <w:rFonts w:hint="eastAsia" w:ascii="仿宋_GB2312" w:hAnsi="仿宋" w:eastAsia="仿宋_GB2312" w:cs="仿宋"/>
                <w:kern w:val="0"/>
                <w:sz w:val="24"/>
              </w:rPr>
              <w:t xml:space="preserve">  </w:t>
            </w:r>
          </w:p>
        </w:tc>
        <w:tc>
          <w:tcPr>
            <w:tcW w:w="1635"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textAlignment w:val="bottom"/>
              <w:outlineLvl w:val="0"/>
              <w:rPr>
                <w:rFonts w:hint="eastAsia" w:ascii="仿宋_GB2312" w:hAnsi="仿宋" w:eastAsia="仿宋_GB2312" w:cs="仿宋"/>
                <w:kern w:val="0"/>
                <w:sz w:val="24"/>
              </w:rPr>
            </w:pPr>
          </w:p>
        </w:tc>
        <w:tc>
          <w:tcPr>
            <w:tcW w:w="1668"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textAlignment w:val="bottom"/>
              <w:outlineLvl w:val="0"/>
              <w:rPr>
                <w:rFonts w:hint="eastAsia" w:ascii="仿宋_GB2312" w:hAnsi="仿宋" w:eastAsia="仿宋_GB2312" w:cs="仿宋"/>
                <w:kern w:val="0"/>
                <w:sz w:val="24"/>
              </w:rPr>
            </w:pPr>
            <w:r>
              <w:rPr>
                <w:rFonts w:hint="eastAsia" w:ascii="仿宋_GB2312" w:hAnsi="仿宋" w:eastAsia="仿宋_GB2312" w:cs="仿宋"/>
                <w:kern w:val="0"/>
                <w:sz w:val="24"/>
              </w:rPr>
              <w:t>包含一切可能发生的费用</w:t>
            </w:r>
          </w:p>
        </w:tc>
      </w:tr>
    </w:tbl>
    <w:p>
      <w:pPr>
        <w:adjustRightInd w:val="0"/>
        <w:snapToGrid w:val="0"/>
        <w:spacing w:line="360" w:lineRule="auto"/>
        <w:jc w:val="left"/>
        <w:rPr>
          <w:rFonts w:hint="eastAsia" w:ascii="仿宋_GB2312" w:hAnsi="仿宋" w:eastAsia="仿宋_GB2312" w:cs="仿宋"/>
          <w:sz w:val="24"/>
        </w:rPr>
      </w:pPr>
      <w:r>
        <w:rPr>
          <w:rFonts w:hint="eastAsia" w:ascii="仿宋_GB2312" w:hAnsi="仿宋" w:eastAsia="仿宋_GB2312" w:cs="仿宋"/>
          <w:sz w:val="24"/>
        </w:rPr>
        <w:t>注: 1、报价一经涂改，应在涂改处加盖单位公章或者由法定代表人或授权代表签字，否则其投标作无效标处理；</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2、投标报价应包括为完成本项目所涉及的一切费用；</w:t>
      </w:r>
    </w:p>
    <w:p>
      <w:pPr>
        <w:adjustRightInd w:val="0"/>
        <w:snapToGrid w:val="0"/>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3、以上报价应与“投标报价明细表”中的“合计”相一致。</w:t>
      </w:r>
    </w:p>
    <w:p>
      <w:pPr>
        <w:adjustRightInd w:val="0"/>
        <w:snapToGrid w:val="0"/>
        <w:spacing w:line="360" w:lineRule="auto"/>
        <w:jc w:val="left"/>
        <w:rPr>
          <w:rFonts w:hint="eastAsia" w:ascii="仿宋_GB2312" w:hAnsi="仿宋" w:eastAsia="仿宋_GB2312" w:cs="仿宋"/>
          <w:sz w:val="24"/>
        </w:rPr>
      </w:pPr>
    </w:p>
    <w:p>
      <w:pPr>
        <w:adjustRightInd w:val="0"/>
        <w:snapToGrid w:val="0"/>
        <w:spacing w:line="360" w:lineRule="auto"/>
        <w:rPr>
          <w:rFonts w:hint="eastAsia" w:ascii="仿宋_GB2312" w:hAnsi="仿宋" w:eastAsia="仿宋_GB2312" w:cs="仿宋"/>
          <w:spacing w:val="20"/>
          <w:sz w:val="24"/>
        </w:rPr>
      </w:pP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投标人名称（公章）：</w:t>
      </w:r>
    </w:p>
    <w:p>
      <w:pPr>
        <w:tabs>
          <w:tab w:val="left" w:pos="1943"/>
        </w:tabs>
        <w:autoSpaceDE w:val="0"/>
        <w:autoSpaceDN w:val="0"/>
        <w:adjustRightInd w:val="0"/>
        <w:snapToGrid w:val="0"/>
        <w:spacing w:line="360" w:lineRule="auto"/>
        <w:ind w:firstLine="3600" w:firstLineChars="1500"/>
        <w:jc w:val="left"/>
        <w:rPr>
          <w:rFonts w:hint="eastAsia" w:ascii="仿宋" w:hAnsi="仿宋" w:eastAsia="仿宋" w:cs="仿宋"/>
          <w:kern w:val="0"/>
          <w:sz w:val="24"/>
        </w:rPr>
      </w:pPr>
      <w:r>
        <w:rPr>
          <w:rFonts w:hint="eastAsia" w:ascii="仿宋" w:hAnsi="仿宋" w:eastAsia="仿宋" w:cs="仿宋"/>
          <w:kern w:val="0"/>
          <w:sz w:val="24"/>
        </w:rPr>
        <w:t>法定代表人或其授权代表</w:t>
      </w:r>
      <w:r>
        <w:rPr>
          <w:rFonts w:hint="eastAsia" w:ascii="仿宋" w:hAnsi="仿宋" w:eastAsia="仿宋" w:cs="仿宋"/>
          <w:kern w:val="0"/>
          <w:sz w:val="24"/>
          <w:lang w:eastAsia="zh-CN"/>
        </w:rPr>
        <w:t>（</w:t>
      </w:r>
      <w:r>
        <w:rPr>
          <w:rFonts w:hint="eastAsia" w:ascii="仿宋" w:hAnsi="仿宋" w:eastAsia="仿宋" w:cs="仿宋"/>
          <w:kern w:val="0"/>
          <w:sz w:val="24"/>
          <w:lang w:val="zh-CN"/>
        </w:rPr>
        <w:t>签字或盖章</w:t>
      </w:r>
      <w:r>
        <w:rPr>
          <w:rFonts w:hint="eastAsia" w:ascii="仿宋" w:hAnsi="仿宋" w:eastAsia="仿宋" w:cs="仿宋"/>
          <w:kern w:val="0"/>
          <w:sz w:val="24"/>
          <w:lang w:eastAsia="zh-CN"/>
        </w:rPr>
        <w:t>）：</w:t>
      </w: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pStyle w:val="19"/>
        <w:adjustRightInd w:val="0"/>
        <w:snapToGrid w:val="0"/>
        <w:spacing w:beforeLines="0" w:afterLines="0" w:line="360" w:lineRule="auto"/>
        <w:rPr>
          <w:rFonts w:hint="eastAsia" w:ascii="仿宋_GB2312" w:hAnsi="仿宋" w:eastAsia="仿宋_GB2312" w:cs="仿宋"/>
          <w:b/>
          <w:bCs/>
        </w:rPr>
      </w:pPr>
    </w:p>
    <w:p>
      <w:pPr>
        <w:adjustRightInd w:val="0"/>
        <w:snapToGrid w:val="0"/>
        <w:spacing w:line="360" w:lineRule="auto"/>
        <w:rPr>
          <w:rFonts w:hint="eastAsia" w:ascii="仿宋_GB2312" w:hAnsi="仿宋" w:eastAsia="仿宋_GB2312" w:cs="仿宋"/>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b/>
          <w:bCs/>
        </w:rPr>
      </w:pPr>
    </w:p>
    <w:p>
      <w:pPr>
        <w:pStyle w:val="19"/>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b/>
          <w:bCs/>
        </w:rPr>
        <w:t>三、投标报价明细表格式：</w:t>
      </w:r>
      <w:r>
        <w:rPr>
          <w:rFonts w:hint="eastAsia" w:ascii="仿宋_GB2312" w:hAnsi="仿宋" w:eastAsia="仿宋_GB2312" w:cs="仿宋"/>
        </w:rPr>
        <w:t xml:space="preserve">       </w:t>
      </w:r>
    </w:p>
    <w:p>
      <w:pPr>
        <w:pStyle w:val="19"/>
        <w:adjustRightInd w:val="0"/>
        <w:snapToGrid w:val="0"/>
        <w:spacing w:beforeLines="0" w:afterLines="0" w:line="360" w:lineRule="auto"/>
        <w:jc w:val="center"/>
        <w:rPr>
          <w:rFonts w:hint="eastAsia" w:ascii="仿宋_GB2312" w:hAnsi="仿宋" w:eastAsia="仿宋_GB2312" w:cs="仿宋"/>
          <w:b/>
          <w:lang w:eastAsia="zh-CN"/>
        </w:rPr>
      </w:pPr>
      <w:r>
        <w:rPr>
          <w:rFonts w:hint="eastAsia" w:ascii="仿宋_GB2312" w:hAnsi="仿宋" w:eastAsia="仿宋_GB2312" w:cs="仿宋"/>
          <w:b/>
        </w:rPr>
        <w:t>投标报价明细</w:t>
      </w:r>
      <w:r>
        <w:rPr>
          <w:rFonts w:hint="eastAsia" w:ascii="仿宋_GB2312" w:hAnsi="仿宋" w:eastAsia="仿宋_GB2312" w:cs="仿宋"/>
          <w:b/>
          <w:lang w:eastAsia="zh-CN"/>
        </w:rPr>
        <w:t>清单</w:t>
      </w:r>
    </w:p>
    <w:p>
      <w:pPr>
        <w:pStyle w:val="19"/>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rPr>
        <w:t>项目名称：</w:t>
      </w:r>
      <w:r>
        <w:rPr>
          <w:rFonts w:hint="eastAsia" w:ascii="仿宋_GB2312" w:hAnsi="仿宋" w:eastAsia="仿宋_GB2312" w:cs="仿宋"/>
          <w:u w:val="single"/>
        </w:rPr>
        <w:t xml:space="preserve">            </w:t>
      </w:r>
    </w:p>
    <w:p>
      <w:pPr>
        <w:pStyle w:val="19"/>
        <w:adjustRightInd w:val="0"/>
        <w:snapToGrid w:val="0"/>
        <w:spacing w:beforeLines="0" w:afterLines="0" w:line="360" w:lineRule="auto"/>
        <w:rPr>
          <w:rFonts w:hint="eastAsia" w:ascii="仿宋_GB2312" w:hAnsi="仿宋" w:eastAsia="仿宋_GB2312" w:cs="仿宋"/>
        </w:rPr>
      </w:pPr>
      <w:r>
        <w:rPr>
          <w:rFonts w:hint="eastAsia" w:ascii="仿宋_GB2312" w:hAnsi="仿宋" w:eastAsia="仿宋_GB2312" w:cs="仿宋"/>
        </w:rPr>
        <w:t>项目编号：</w:t>
      </w:r>
      <w:r>
        <w:rPr>
          <w:rFonts w:hint="eastAsia" w:ascii="仿宋_GB2312" w:hAnsi="仿宋" w:eastAsia="仿宋_GB2312" w:cs="仿宋"/>
          <w:u w:val="single"/>
        </w:rPr>
        <w:t xml:space="preserve">            </w:t>
      </w:r>
    </w:p>
    <w:p>
      <w:pPr>
        <w:pStyle w:val="19"/>
        <w:adjustRightInd w:val="0"/>
        <w:snapToGrid w:val="0"/>
        <w:spacing w:beforeLines="0" w:afterLines="0" w:line="360" w:lineRule="auto"/>
        <w:ind w:firstLine="3120" w:firstLineChars="1300"/>
        <w:jc w:val="right"/>
        <w:rPr>
          <w:rFonts w:hint="eastAsia" w:ascii="仿宋_GB2312" w:hAnsi="仿宋" w:eastAsia="仿宋_GB2312" w:cs="仿宋"/>
        </w:rPr>
      </w:pPr>
      <w:r>
        <w:rPr>
          <w:rFonts w:hint="eastAsia" w:ascii="仿宋_GB2312" w:hAnsi="仿宋" w:eastAsia="仿宋_GB2312" w:cs="仿宋"/>
        </w:rPr>
        <w:t xml:space="preserve"> 金额单位：人民币（元）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36"/>
        <w:gridCol w:w="1152"/>
        <w:gridCol w:w="692"/>
        <w:gridCol w:w="692"/>
        <w:gridCol w:w="1382"/>
        <w:gridCol w:w="138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构成服务费名称</w:t>
            </w: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内容描述</w:t>
            </w: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单价（元）</w:t>
            </w: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合价（元）</w:t>
            </w: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83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15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8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445" w:type="dxa"/>
            <w:gridSpan w:val="6"/>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总价（以上费用之和，含税）</w:t>
            </w:r>
          </w:p>
        </w:tc>
        <w:tc>
          <w:tcPr>
            <w:tcW w:w="138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692"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rPr>
          <w:rFonts w:hint="eastAsia"/>
        </w:rPr>
      </w:pPr>
    </w:p>
    <w:p>
      <w:pPr>
        <w:tabs>
          <w:tab w:val="left" w:pos="1418"/>
        </w:tabs>
        <w:adjustRightInd w:val="0"/>
        <w:snapToGrid w:val="0"/>
        <w:spacing w:line="360" w:lineRule="auto"/>
        <w:rPr>
          <w:rFonts w:hint="eastAsia" w:ascii="仿宋_GB2312" w:hAnsi="仿宋" w:eastAsia="仿宋_GB2312" w:cs="仿宋"/>
          <w:sz w:val="24"/>
        </w:rPr>
      </w:pPr>
    </w:p>
    <w:p>
      <w:pPr>
        <w:tabs>
          <w:tab w:val="left" w:pos="1418"/>
        </w:tabs>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注：1、此表总计金额应与 “开标一览表”中投标报价相一致；</w:t>
      </w:r>
    </w:p>
    <w:p>
      <w:pPr>
        <w:tabs>
          <w:tab w:val="left" w:pos="1418"/>
        </w:tabs>
        <w:adjustRightInd w:val="0"/>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    2、此表可进一步细分，栏目可另加，应包括为完成本项目可能发生的全部费用。</w:t>
      </w:r>
    </w:p>
    <w:p>
      <w:pPr>
        <w:adjustRightInd w:val="0"/>
        <w:snapToGrid w:val="0"/>
        <w:spacing w:line="360" w:lineRule="auto"/>
        <w:rPr>
          <w:rFonts w:hint="eastAsia" w:ascii="仿宋_GB2312" w:hAnsi="仿宋" w:eastAsia="仿宋_GB2312" w:cs="仿宋"/>
          <w:spacing w:val="20"/>
          <w:sz w:val="24"/>
        </w:rPr>
      </w:pP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投标人名称（公章）：</w:t>
      </w:r>
    </w:p>
    <w:p>
      <w:pPr>
        <w:adjustRightInd w:val="0"/>
        <w:snapToGrid w:val="0"/>
        <w:spacing w:line="360" w:lineRule="auto"/>
        <w:ind w:firstLine="3600" w:firstLineChars="1500"/>
        <w:rPr>
          <w:rFonts w:hint="eastAsia" w:ascii="仿宋_GB2312" w:hAnsi="仿宋" w:eastAsia="仿宋_GB2312" w:cs="仿宋"/>
          <w:b/>
          <w:bCs/>
          <w:sz w:val="24"/>
        </w:rPr>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adjustRightInd w:val="0"/>
        <w:snapToGrid w:val="0"/>
        <w:spacing w:before="50" w:after="50" w:line="360" w:lineRule="auto"/>
        <w:jc w:val="left"/>
        <w:rPr>
          <w:rFonts w:hint="eastAsia" w:ascii="仿宋_GB2312" w:hAnsi="仿宋" w:eastAsia="仿宋_GB2312" w:cs="仿宋"/>
          <w:b/>
          <w:bCs/>
          <w:sz w:val="24"/>
          <w:lang w:eastAsia="zh-CN"/>
        </w:rPr>
      </w:pPr>
    </w:p>
    <w:p>
      <w:pPr>
        <w:adjustRightInd w:val="0"/>
        <w:snapToGrid w:val="0"/>
        <w:spacing w:before="50" w:after="50" w:line="360" w:lineRule="auto"/>
        <w:jc w:val="left"/>
        <w:rPr>
          <w:rFonts w:hint="eastAsia" w:ascii="仿宋_GB2312" w:hAnsi="仿宋" w:eastAsia="仿宋_GB2312" w:cs="仿宋"/>
          <w:b/>
          <w:bCs/>
          <w:sz w:val="24"/>
        </w:rPr>
      </w:pPr>
      <w:r>
        <w:rPr>
          <w:rFonts w:hint="eastAsia" w:ascii="仿宋_GB2312" w:hAnsi="仿宋" w:eastAsia="仿宋_GB2312" w:cs="仿宋"/>
          <w:b/>
          <w:bCs/>
          <w:sz w:val="24"/>
          <w:lang w:eastAsia="zh-CN"/>
        </w:rPr>
        <w:t>四</w:t>
      </w:r>
      <w:r>
        <w:rPr>
          <w:rFonts w:hint="eastAsia" w:ascii="仿宋_GB2312" w:hAnsi="仿宋" w:eastAsia="仿宋_GB2312" w:cs="仿宋"/>
          <w:b/>
          <w:bCs/>
          <w:sz w:val="24"/>
        </w:rPr>
        <w:t>、中小企业声明函</w:t>
      </w:r>
    </w:p>
    <w:p>
      <w:pPr>
        <w:adjustRightInd w:val="0"/>
        <w:snapToGrid w:val="0"/>
        <w:spacing w:line="360" w:lineRule="auto"/>
        <w:ind w:firstLine="482" w:firstLineChars="200"/>
        <w:jc w:val="center"/>
        <w:rPr>
          <w:rFonts w:hint="eastAsia" w:ascii="仿宋_GB2312" w:hAnsi="仿宋" w:eastAsia="仿宋_GB2312" w:cs="仿宋"/>
          <w:sz w:val="24"/>
        </w:rPr>
      </w:pPr>
      <w:r>
        <w:rPr>
          <w:rFonts w:hint="eastAsia" w:ascii="仿宋_GB2312" w:hAnsi="仿宋" w:eastAsia="仿宋_GB2312" w:cs="仿宋"/>
          <w:b/>
          <w:bCs/>
          <w:sz w:val="24"/>
        </w:rPr>
        <w:t>中小企业声明函（工程、服务）</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firstLine="442" w:firstLineChars="200"/>
        <w:rPr>
          <w:rFonts w:hint="eastAsia" w:ascii="仿宋_GB2312" w:hAnsi="仿宋" w:eastAsia="仿宋_GB2312" w:cs="仿宋"/>
          <w:sz w:val="24"/>
        </w:rPr>
      </w:pPr>
      <w:r>
        <w:rPr>
          <w:rFonts w:hint="eastAsia" w:ascii="仿宋" w:hAnsi="仿宋" w:eastAsia="仿宋" w:cs="仿宋"/>
          <w:b/>
          <w:bCs/>
          <w:sz w:val="22"/>
          <w:szCs w:val="22"/>
        </w:rPr>
        <w:t>浙江省公安厅机场公安局空港亚运安保一体化指挥系统项目</w:t>
      </w:r>
      <w:r>
        <w:rPr>
          <w:rFonts w:hint="eastAsia" w:ascii="仿宋_GB2312" w:hAnsi="仿宋" w:eastAsia="仿宋_GB2312" w:cs="仿宋"/>
          <w:sz w:val="24"/>
        </w:rPr>
        <w:t xml:space="preserve">属于 </w:t>
      </w:r>
      <w:r>
        <w:rPr>
          <w:rFonts w:hint="eastAsia" w:ascii="仿宋_GB2312" w:hAnsi="仿宋" w:eastAsia="仿宋_GB2312" w:cs="仿宋"/>
          <w:sz w:val="24"/>
          <w:u w:val="single"/>
        </w:rPr>
        <w:t xml:space="preserve">              </w:t>
      </w:r>
      <w:r>
        <w:rPr>
          <w:rFonts w:hint="eastAsia" w:ascii="仿宋_GB2312" w:hAnsi="仿宋" w:eastAsia="仿宋_GB2312" w:cs="仿宋"/>
          <w:sz w:val="24"/>
        </w:rPr>
        <w:t>；承建（承接）企业为</w:t>
      </w:r>
      <w:r>
        <w:rPr>
          <w:rFonts w:hint="eastAsia" w:ascii="仿宋_GB2312" w:hAnsi="仿宋" w:eastAsia="仿宋_GB2312" w:cs="仿宋"/>
          <w:sz w:val="24"/>
          <w:u w:val="single"/>
        </w:rPr>
        <w:t xml:space="preserve"> （企业名称）</w:t>
      </w:r>
      <w:r>
        <w:rPr>
          <w:rFonts w:hint="eastAsia" w:ascii="仿宋_GB2312" w:hAnsi="仿宋" w:eastAsia="仿宋_GB2312" w:cs="仿宋"/>
          <w:sz w:val="24"/>
        </w:rPr>
        <w:t xml:space="preserve"> ，从业人员</w:t>
      </w:r>
      <w:r>
        <w:rPr>
          <w:rFonts w:hint="eastAsia" w:ascii="仿宋_GB2312" w:hAnsi="仿宋" w:eastAsia="仿宋_GB2312" w:cs="仿宋"/>
          <w:sz w:val="24"/>
          <w:u w:val="single"/>
        </w:rPr>
        <w:t xml:space="preserve">   </w:t>
      </w:r>
      <w:r>
        <w:rPr>
          <w:rFonts w:hint="eastAsia" w:ascii="仿宋_GB2312" w:hAnsi="仿宋" w:eastAsia="仿宋_GB2312" w:cs="仿宋"/>
          <w:sz w:val="24"/>
        </w:rPr>
        <w:t>人，营业收入为</w:t>
      </w:r>
      <w:r>
        <w:rPr>
          <w:rFonts w:hint="eastAsia" w:ascii="仿宋_GB2312" w:hAnsi="仿宋" w:eastAsia="仿宋_GB2312" w:cs="仿宋"/>
          <w:sz w:val="24"/>
          <w:u w:val="single"/>
        </w:rPr>
        <w:t xml:space="preserve">  </w:t>
      </w:r>
      <w:r>
        <w:rPr>
          <w:rFonts w:hint="eastAsia" w:ascii="仿宋_GB2312" w:hAnsi="仿宋" w:eastAsia="仿宋_GB2312" w:cs="仿宋"/>
          <w:sz w:val="24"/>
        </w:rPr>
        <w:t>万元，资产总额为</w:t>
      </w:r>
      <w:r>
        <w:rPr>
          <w:rFonts w:hint="eastAsia" w:ascii="仿宋_GB2312" w:hAnsi="仿宋" w:eastAsia="仿宋_GB2312" w:cs="仿宋"/>
          <w:sz w:val="24"/>
          <w:u w:val="single"/>
        </w:rPr>
        <w:t xml:space="preserve">   </w:t>
      </w:r>
      <w:r>
        <w:rPr>
          <w:rFonts w:hint="eastAsia" w:ascii="仿宋_GB2312" w:hAnsi="仿宋" w:eastAsia="仿宋_GB2312" w:cs="仿宋"/>
          <w:sz w:val="24"/>
        </w:rPr>
        <w:t>万元属于</w:t>
      </w:r>
      <w:r>
        <w:rPr>
          <w:rFonts w:hint="eastAsia" w:ascii="仿宋_GB2312" w:hAnsi="仿宋" w:eastAsia="仿宋_GB2312" w:cs="仿宋"/>
          <w:sz w:val="24"/>
          <w:u w:val="single"/>
        </w:rPr>
        <w:t xml:space="preserve"> （中型企业、小型企业、微型企业）</w:t>
      </w:r>
      <w:r>
        <w:rPr>
          <w:rFonts w:hint="eastAsia" w:ascii="仿宋_GB2312" w:hAnsi="仿宋" w:eastAsia="仿宋_GB2312" w:cs="仿宋"/>
          <w:sz w:val="24"/>
        </w:rPr>
        <w:t xml:space="preserve"> ；</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本企业对上述声明内容的真实性负责。如有虚假，将依法承担相应责任。</w:t>
      </w:r>
    </w:p>
    <w:p>
      <w:pPr>
        <w:adjustRightInd w:val="0"/>
        <w:snapToGrid w:val="0"/>
        <w:spacing w:line="360" w:lineRule="auto"/>
        <w:ind w:firstLine="480" w:firstLineChars="200"/>
        <w:rPr>
          <w:rFonts w:hint="eastAsia" w:ascii="仿宋_GB2312" w:hAnsi="仿宋" w:eastAsia="仿宋_GB2312" w:cs="仿宋"/>
          <w:sz w:val="24"/>
        </w:rPr>
      </w:pP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投标人名称（公章）：</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法定代表人或其授权代表（签字）：</w:t>
      </w:r>
    </w:p>
    <w:p>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日期：  年  月   日</w:t>
      </w:r>
    </w:p>
    <w:p>
      <w:pPr>
        <w:adjustRightInd w:val="0"/>
        <w:snapToGrid w:val="0"/>
        <w:spacing w:line="360" w:lineRule="auto"/>
        <w:ind w:firstLine="482" w:firstLineChars="200"/>
        <w:rPr>
          <w:rFonts w:hint="eastAsia" w:ascii="仿宋_GB2312" w:hAnsi="仿宋" w:eastAsia="仿宋_GB2312" w:cs="仿宋"/>
          <w:b/>
          <w:bCs/>
          <w:sz w:val="24"/>
        </w:rPr>
      </w:pPr>
    </w:p>
    <w:p>
      <w:pPr>
        <w:adjustRightInd w:val="0"/>
        <w:snapToGrid w:val="0"/>
        <w:spacing w:line="360" w:lineRule="auto"/>
        <w:ind w:firstLine="482" w:firstLineChars="200"/>
        <w:rPr>
          <w:rFonts w:hint="eastAsia" w:ascii="仿宋_GB2312" w:hAnsi="仿宋" w:eastAsia="仿宋_GB2312" w:cs="仿宋"/>
          <w:b/>
          <w:bCs/>
          <w:sz w:val="24"/>
        </w:rPr>
      </w:pPr>
      <w:r>
        <w:rPr>
          <w:rFonts w:hint="eastAsia" w:ascii="仿宋_GB2312" w:hAnsi="仿宋" w:eastAsia="仿宋_GB2312" w:cs="仿宋"/>
          <w:b/>
          <w:bCs/>
          <w:sz w:val="24"/>
        </w:rPr>
        <w:t>说明：</w:t>
      </w:r>
    </w:p>
    <w:p>
      <w:pPr>
        <w:adjustRightInd w:val="0"/>
        <w:snapToGrid w:val="0"/>
        <w:spacing w:line="360" w:lineRule="auto"/>
        <w:ind w:left="437" w:leftChars="208" w:firstLine="0" w:firstLineChars="0"/>
        <w:rPr>
          <w:rFonts w:hint="eastAsia" w:ascii="仿宋_GB2312" w:hAnsi="仿宋" w:eastAsia="仿宋_GB2312" w:cs="仿宋"/>
          <w:b/>
          <w:bCs/>
          <w:sz w:val="22"/>
          <w:szCs w:val="22"/>
        </w:rPr>
      </w:pPr>
      <w:r>
        <w:rPr>
          <w:rFonts w:hint="eastAsia" w:ascii="仿宋_GB2312" w:hAnsi="仿宋" w:eastAsia="仿宋_GB2312" w:cs="仿宋"/>
          <w:b/>
          <w:bCs/>
          <w:sz w:val="22"/>
          <w:szCs w:val="22"/>
        </w:rPr>
        <w:t>1）中标人享受《政府采购促进中小企业发展管理办法》（财库〔2020〕46号）规定的中小企业扶持政策的，《中小企业声明函》随中标结果同时公告；</w:t>
      </w:r>
    </w:p>
    <w:p>
      <w:pPr>
        <w:adjustRightInd w:val="0"/>
        <w:snapToGrid w:val="0"/>
        <w:spacing w:line="360" w:lineRule="auto"/>
        <w:ind w:left="437" w:leftChars="208" w:firstLine="0" w:firstLineChars="0"/>
        <w:rPr>
          <w:rFonts w:hint="eastAsia" w:ascii="仿宋_GB2312" w:hAnsi="仿宋" w:eastAsia="仿宋_GB2312" w:cs="仿宋"/>
          <w:b/>
          <w:bCs/>
          <w:sz w:val="22"/>
          <w:szCs w:val="22"/>
        </w:rPr>
      </w:pPr>
      <w:r>
        <w:rPr>
          <w:rFonts w:hint="eastAsia" w:ascii="仿宋_GB2312" w:hAnsi="仿宋" w:eastAsia="仿宋_GB2312" w:cs="仿宋"/>
          <w:b/>
          <w:bCs/>
          <w:sz w:val="22"/>
          <w:szCs w:val="22"/>
        </w:rPr>
        <w:t>2）从业人员、营业收入、资产总额填报上一年度数据，无上一年度数据的新成立企业可不填报；</w:t>
      </w:r>
    </w:p>
    <w:p>
      <w:pPr>
        <w:adjustRightInd w:val="0"/>
        <w:snapToGrid w:val="0"/>
        <w:spacing w:line="360" w:lineRule="auto"/>
        <w:ind w:firstLine="442" w:firstLineChars="200"/>
        <w:rPr>
          <w:rFonts w:hint="eastAsia" w:ascii="仿宋_GB2312" w:hAnsi="仿宋" w:eastAsia="仿宋_GB2312" w:cs="仿宋"/>
          <w:b/>
          <w:bCs/>
          <w:sz w:val="22"/>
          <w:szCs w:val="22"/>
        </w:rPr>
      </w:pPr>
      <w:r>
        <w:rPr>
          <w:rFonts w:hint="eastAsia" w:ascii="仿宋_GB2312" w:hAnsi="仿宋" w:eastAsia="仿宋_GB2312" w:cs="仿宋"/>
          <w:b/>
          <w:bCs/>
          <w:sz w:val="22"/>
          <w:szCs w:val="22"/>
        </w:rPr>
        <w:t>3）“中小企业声明函”填写不全的，视为未填报；</w:t>
      </w:r>
    </w:p>
    <w:p>
      <w:pPr>
        <w:adjustRightInd w:val="0"/>
        <w:snapToGrid w:val="0"/>
        <w:spacing w:line="360" w:lineRule="auto"/>
        <w:ind w:left="437" w:leftChars="208" w:firstLine="0" w:firstLineChars="0"/>
        <w:rPr>
          <w:rFonts w:hint="eastAsia" w:ascii="仿宋_GB2312" w:hAnsi="仿宋" w:eastAsia="仿宋_GB2312" w:cs="仿宋"/>
          <w:b/>
          <w:bCs/>
          <w:sz w:val="22"/>
          <w:szCs w:val="22"/>
        </w:rPr>
      </w:pPr>
      <w:r>
        <w:rPr>
          <w:rFonts w:hint="eastAsia" w:ascii="仿宋_GB2312" w:hAnsi="仿宋" w:eastAsia="仿宋_GB2312" w:cs="仿宋"/>
          <w:b/>
          <w:bCs/>
          <w:sz w:val="22"/>
          <w:szCs w:val="22"/>
        </w:rPr>
        <w:t>4）投标人提供《中小企业声明函》内容不实的，属于提供虚假材料谋取中标，依照《中华人民共和国政府采购法》等国家有关规定追究相应责任；</w:t>
      </w:r>
    </w:p>
    <w:p>
      <w:pPr>
        <w:adjustRightInd w:val="0"/>
        <w:snapToGrid w:val="0"/>
        <w:spacing w:line="360" w:lineRule="auto"/>
        <w:ind w:firstLine="442" w:firstLineChars="200"/>
        <w:rPr>
          <w:rFonts w:hint="eastAsia" w:ascii="仿宋_GB2312" w:hAnsi="仿宋" w:eastAsia="仿宋_GB2312" w:cs="仿宋"/>
          <w:b/>
          <w:bCs/>
          <w:sz w:val="22"/>
          <w:szCs w:val="22"/>
        </w:rPr>
      </w:pPr>
      <w:r>
        <w:rPr>
          <w:rFonts w:hint="eastAsia" w:ascii="仿宋_GB2312" w:hAnsi="仿宋" w:eastAsia="仿宋_GB2312" w:cs="仿宋"/>
          <w:b/>
          <w:bCs/>
          <w:sz w:val="22"/>
          <w:szCs w:val="22"/>
        </w:rPr>
        <w:t>5）本项目只以《中小企业声明函》作为评判投标人是否属于中小企业的唯一依据。</w:t>
      </w:r>
    </w:p>
    <w:p>
      <w:pPr>
        <w:adjustRightInd w:val="0"/>
        <w:snapToGrid w:val="0"/>
        <w:spacing w:line="360" w:lineRule="auto"/>
        <w:ind w:firstLine="480" w:firstLineChars="200"/>
        <w:rPr>
          <w:rFonts w:hint="eastAsia" w:ascii="仿宋_GB2312" w:hAnsi="仿宋" w:eastAsia="仿宋_GB2312" w:cs="仿宋"/>
          <w:sz w:val="24"/>
        </w:rPr>
      </w:pPr>
    </w:p>
    <w:p>
      <w:pPr>
        <w:adjustRightInd w:val="0"/>
        <w:snapToGrid w:val="0"/>
        <w:spacing w:line="360" w:lineRule="auto"/>
        <w:ind w:firstLine="480" w:firstLineChars="200"/>
        <w:rPr>
          <w:rFonts w:hint="eastAsia" w:ascii="仿宋_GB2312" w:hAnsi="仿宋" w:eastAsia="仿宋_GB2312" w:cs="仿宋"/>
          <w:sz w:val="24"/>
        </w:rPr>
      </w:pPr>
    </w:p>
    <w:p>
      <w:pPr>
        <w:spacing w:line="360" w:lineRule="auto"/>
        <w:jc w:val="center"/>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属于监狱企业的证明文件</w:t>
      </w:r>
    </w:p>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（若属于监狱企业）</w:t>
      </w:r>
    </w:p>
    <w:p>
      <w:pPr>
        <w:spacing w:line="360" w:lineRule="auto"/>
        <w:ind w:right="0" w:firstLine="354" w:firstLineChars="147"/>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4"/>
        <w:rPr>
          <w:rFonts w:hint="eastAsia" w:ascii="仿宋" w:hAnsi="仿宋" w:eastAsia="仿宋" w:cs="仿宋"/>
          <w:b/>
          <w:bCs/>
          <w:sz w:val="24"/>
          <w:szCs w:val="24"/>
          <w:highlight w:val="none"/>
        </w:rPr>
      </w:pPr>
    </w:p>
    <w:p>
      <w:pPr>
        <w:rPr>
          <w:rFonts w:hint="eastAsia"/>
        </w:rPr>
      </w:pPr>
    </w:p>
    <w:p>
      <w:pPr>
        <w:pStyle w:val="15"/>
        <w:spacing w:line="360" w:lineRule="auto"/>
        <w:ind w:firstLine="0"/>
        <w:jc w:val="center"/>
        <w:outlineLvl w:val="2"/>
        <w:rPr>
          <w:rFonts w:hint="eastAsia" w:ascii="仿宋" w:hAnsi="仿宋" w:eastAsia="仿宋" w:cs="仿宋"/>
          <w:sz w:val="24"/>
          <w:szCs w:val="24"/>
          <w:highlight w:val="none"/>
        </w:rPr>
      </w:pPr>
      <w:r>
        <w:rPr>
          <w:rFonts w:hint="eastAsia" w:ascii="仿宋" w:hAnsi="仿宋" w:eastAsia="仿宋" w:cs="仿宋"/>
          <w:b/>
          <w:spacing w:val="6"/>
          <w:sz w:val="24"/>
          <w:szCs w:val="24"/>
          <w:highlight w:val="none"/>
        </w:rPr>
        <w:t>残疾人福利性单位声明函</w:t>
      </w:r>
    </w:p>
    <w:p>
      <w:pPr>
        <w:spacing w:line="360" w:lineRule="auto"/>
        <w:jc w:val="center"/>
        <w:rPr>
          <w:rFonts w:hint="eastAsia" w:ascii="仿宋" w:hAnsi="仿宋" w:eastAsia="仿宋" w:cs="仿宋"/>
          <w:b/>
          <w:spacing w:val="-6"/>
          <w:sz w:val="21"/>
          <w:szCs w:val="21"/>
          <w:highlight w:val="none"/>
        </w:rPr>
      </w:pPr>
      <w:r>
        <w:rPr>
          <w:rFonts w:hint="eastAsia" w:ascii="仿宋" w:hAnsi="仿宋" w:eastAsia="仿宋" w:cs="仿宋"/>
          <w:b/>
          <w:bCs/>
          <w:sz w:val="21"/>
          <w:szCs w:val="21"/>
          <w:highlight w:val="none"/>
        </w:rPr>
        <w:t>（若属于残疾人福利性单位）</w:t>
      </w:r>
    </w:p>
    <w:p>
      <w:pPr>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号）的规定，本单位为符合条件的残疾人福利性单位，且本单位参加</w:t>
      </w:r>
      <w:r>
        <w:rPr>
          <w:rFonts w:hint="eastAsia" w:ascii="仿宋" w:hAnsi="仿宋" w:eastAsia="仿宋" w:cs="仿宋"/>
          <w:bCs/>
          <w:spacing w:val="-6"/>
          <w:sz w:val="24"/>
          <w:highlight w:val="none"/>
        </w:rPr>
        <w:t>浙江工业大学的</w:t>
      </w:r>
      <w:r>
        <w:rPr>
          <w:rFonts w:hint="eastAsia" w:ascii="仿宋" w:hAnsi="仿宋" w:eastAsia="仿宋" w:cs="仿宋"/>
          <w:bCs/>
          <w:spacing w:val="-6"/>
          <w:sz w:val="24"/>
          <w:highlight w:val="none"/>
          <w:lang w:eastAsia="zh-CN"/>
        </w:rPr>
        <w:t>电气虚拟仿真实验软件开发</w:t>
      </w:r>
      <w:r>
        <w:rPr>
          <w:rFonts w:hint="eastAsia" w:ascii="仿宋" w:hAnsi="仿宋" w:eastAsia="仿宋" w:cs="仿宋"/>
          <w:spacing w:val="6"/>
          <w:sz w:val="24"/>
          <w:highlight w:val="none"/>
        </w:rPr>
        <w:t>采购活动</w:t>
      </w:r>
      <w:r>
        <w:rPr>
          <w:rFonts w:hint="eastAsia" w:ascii="仿宋" w:hAnsi="仿宋" w:eastAsia="仿宋" w:cs="仿宋"/>
          <w:spacing w:val="6"/>
          <w:sz w:val="24"/>
          <w:highlight w:val="none"/>
          <w:lang w:val="en-US" w:eastAsia="zh-CN"/>
        </w:rPr>
        <w:t>由本单位提供服务</w:t>
      </w:r>
      <w:r>
        <w:rPr>
          <w:rFonts w:hint="eastAsia" w:ascii="仿宋" w:hAnsi="仿宋" w:eastAsia="仿宋" w:cs="仿宋"/>
          <w:spacing w:val="6"/>
          <w:sz w:val="24"/>
          <w:highlight w:val="none"/>
        </w:rPr>
        <w:t>。</w:t>
      </w:r>
    </w:p>
    <w:p>
      <w:pPr>
        <w:spacing w:line="360" w:lineRule="auto"/>
        <w:ind w:firstLine="504" w:firstLineChars="200"/>
        <w:rPr>
          <w:rFonts w:hint="eastAsia" w:ascii="仿宋" w:hAnsi="仿宋" w:eastAsia="仿宋" w:cs="仿宋"/>
          <w:b/>
          <w:bCs/>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pPr>
        <w:spacing w:line="360" w:lineRule="auto"/>
        <w:rPr>
          <w:rFonts w:hint="eastAsia" w:ascii="宋体" w:hAnsi="宋体" w:cs="宋体"/>
          <w:b/>
          <w:bCs/>
          <w:spacing w:val="-6"/>
          <w:sz w:val="24"/>
          <w:highlight w:val="none"/>
        </w:rPr>
      </w:pP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adjustRightInd w:val="0"/>
        <w:snapToGrid w:val="0"/>
        <w:spacing w:line="360" w:lineRule="auto"/>
        <w:ind w:firstLine="4560" w:firstLineChars="1900"/>
        <w:jc w:val="left"/>
        <w:rPr>
          <w:rFonts w:hint="eastAsia" w:ascii="仿宋" w:hAnsi="仿宋" w:eastAsia="仿宋" w:cs="仿宋"/>
          <w:kern w:val="0"/>
          <w:sz w:val="24"/>
        </w:rPr>
      </w:pPr>
      <w:r>
        <w:rPr>
          <w:rFonts w:hint="eastAsia" w:ascii="仿宋" w:hAnsi="仿宋" w:eastAsia="仿宋" w:cs="仿宋"/>
          <w:kern w:val="0"/>
          <w:sz w:val="24"/>
        </w:rPr>
        <w:t>日期：</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ind w:right="420"/>
        <w:rPr>
          <w:rFonts w:hint="eastAsia" w:ascii="仿宋_GB2312" w:hAnsi="仿宋" w:eastAsia="仿宋_GB2312" w:cs="仿宋"/>
          <w:b/>
          <w:bCs/>
          <w:lang w:eastAsia="zh-CN"/>
        </w:rPr>
      </w:pPr>
    </w:p>
    <w:p>
      <w:pPr>
        <w:ind w:right="420"/>
        <w:rPr>
          <w:rFonts w:hint="eastAsia" w:ascii="仿宋_GB2312" w:hAnsi="仿宋" w:eastAsia="仿宋_GB2312" w:cs="仿宋"/>
          <w:b/>
          <w:bCs/>
          <w:lang w:eastAsia="zh-CN"/>
        </w:rPr>
      </w:pPr>
    </w:p>
    <w:p>
      <w:pPr>
        <w:ind w:right="420"/>
        <w:rPr>
          <w:rFonts w:hint="eastAsia" w:ascii="仿宋_GB2312" w:hAnsi="仿宋" w:eastAsia="仿宋_GB2312" w:cs="仿宋"/>
          <w:b/>
          <w:bCs/>
          <w:sz w:val="22"/>
          <w:szCs w:val="28"/>
          <w:lang w:eastAsia="zh-CN"/>
        </w:rPr>
      </w:pPr>
    </w:p>
    <w:p>
      <w:pPr>
        <w:ind w:right="420"/>
        <w:rPr>
          <w:rFonts w:hint="eastAsia" w:ascii="仿宋_GB2312" w:hAnsi="仿宋" w:eastAsia="仿宋_GB2312" w:cs="仿宋"/>
          <w:b/>
          <w:bCs/>
          <w:sz w:val="22"/>
          <w:szCs w:val="28"/>
          <w:lang w:eastAsia="zh-CN"/>
        </w:rPr>
      </w:pPr>
    </w:p>
    <w:p>
      <w:pPr>
        <w:ind w:right="420"/>
        <w:rPr>
          <w:rFonts w:hint="eastAsia" w:ascii="仿宋_GB2312" w:hAnsi="仿宋" w:eastAsia="仿宋_GB2312" w:cs="仿宋"/>
          <w:b/>
          <w:bCs/>
          <w:sz w:val="22"/>
          <w:szCs w:val="28"/>
          <w:lang w:eastAsia="zh-CN"/>
        </w:rPr>
      </w:pPr>
    </w:p>
    <w:p>
      <w:pPr>
        <w:ind w:right="420"/>
        <w:rPr>
          <w:rFonts w:hint="eastAsia" w:ascii="仿宋_GB2312" w:hAnsi="仿宋" w:eastAsia="仿宋_GB2312" w:cs="仿宋"/>
          <w:b/>
          <w:bCs/>
          <w:sz w:val="24"/>
          <w:szCs w:val="32"/>
          <w:lang w:eastAsia="zh-CN"/>
        </w:rPr>
      </w:pPr>
    </w:p>
    <w:p>
      <w:pPr>
        <w:ind w:right="420"/>
        <w:rPr>
          <w:rFonts w:hint="eastAsia" w:ascii="仿宋_GB2312" w:hAnsi="仿宋" w:eastAsia="仿宋_GB2312" w:cs="仿宋"/>
          <w:b/>
          <w:bCs/>
          <w:sz w:val="24"/>
          <w:szCs w:val="32"/>
        </w:rPr>
      </w:pPr>
      <w:r>
        <w:rPr>
          <w:rFonts w:hint="eastAsia" w:ascii="仿宋_GB2312" w:hAnsi="仿宋" w:eastAsia="仿宋_GB2312" w:cs="仿宋"/>
          <w:b/>
          <w:bCs/>
          <w:sz w:val="24"/>
          <w:szCs w:val="32"/>
          <w:lang w:eastAsia="zh-CN"/>
        </w:rPr>
        <w:t>五</w:t>
      </w:r>
      <w:r>
        <w:rPr>
          <w:rFonts w:hint="eastAsia" w:ascii="仿宋_GB2312" w:hAnsi="仿宋" w:eastAsia="仿宋_GB2312" w:cs="仿宋"/>
          <w:b/>
          <w:bCs/>
          <w:sz w:val="24"/>
          <w:szCs w:val="32"/>
        </w:rPr>
        <w:t>、投标人针对报价需要说明的其他文件和说明（如有）</w:t>
      </w:r>
    </w:p>
    <w:p>
      <w:pPr>
        <w:snapToGrid w:val="0"/>
        <w:spacing w:line="360" w:lineRule="auto"/>
        <w:ind w:right="480"/>
        <w:jc w:val="both"/>
        <w:rPr>
          <w:rFonts w:hint="eastAsia" w:ascii="仿宋_GB2312" w:hAnsi="仿宋" w:eastAsia="仿宋_GB2312" w:cs="仿宋_GB2312"/>
          <w:b/>
          <w:kern w:val="0"/>
          <w:sz w:val="32"/>
          <w:szCs w:val="32"/>
          <w:lang w:val="zh-CN"/>
        </w:rPr>
      </w:pPr>
    </w:p>
    <w:p>
      <w:pPr>
        <w:snapToGrid w:val="0"/>
        <w:spacing w:line="360" w:lineRule="auto"/>
        <w:ind w:right="480"/>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政府采购活动现场确认声明书</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浙江通用招标代理有限公司：</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本人经由</w:t>
      </w:r>
      <w:r>
        <w:rPr>
          <w:rFonts w:hint="eastAsia" w:ascii="仿宋" w:hAnsi="仿宋" w:eastAsia="仿宋" w:cs="仿宋"/>
          <w:sz w:val="24"/>
          <w:u w:val="single"/>
        </w:rPr>
        <w:t xml:space="preserve">                      （单位）</w:t>
      </w:r>
      <w:r>
        <w:rPr>
          <w:rFonts w:hint="eastAsia" w:ascii="仿宋" w:hAnsi="仿宋" w:eastAsia="仿宋" w:cs="仿宋"/>
          <w:sz w:val="24"/>
        </w:rPr>
        <w:t>法人代表（负责人）</w:t>
      </w:r>
      <w:r>
        <w:rPr>
          <w:rFonts w:hint="eastAsia" w:ascii="仿宋" w:hAnsi="仿宋" w:eastAsia="仿宋" w:cs="仿宋"/>
          <w:sz w:val="24"/>
          <w:u w:val="single"/>
        </w:rPr>
        <w:t xml:space="preserve">        （姓名）</w:t>
      </w:r>
      <w:r>
        <w:rPr>
          <w:rFonts w:hint="eastAsia" w:ascii="仿宋" w:hAnsi="仿宋" w:eastAsia="仿宋" w:cs="仿宋"/>
          <w:sz w:val="24"/>
        </w:rPr>
        <w:t>合法授权参加</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）政府采购活动，经与本单位法人代表（负责人）联系确认，现就有关公平竞争事项郑重声明如下：</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一、本单位与采购人之间 </w:t>
      </w:r>
      <w:r>
        <w:rPr>
          <w:rFonts w:hint="eastAsia" w:ascii="仿宋" w:hAnsi="仿宋" w:eastAsia="仿宋" w:cs="仿宋"/>
          <w:sz w:val="24"/>
        </w:rPr>
        <w:sym w:font="Wingdings 2" w:char="0052"/>
      </w:r>
      <w:r>
        <w:rPr>
          <w:rFonts w:hint="eastAsia" w:ascii="仿宋" w:hAnsi="仿宋" w:eastAsia="仿宋" w:cs="仿宋"/>
          <w:sz w:val="24"/>
        </w:rPr>
        <w:t xml:space="preserve">不存在利害关系 </w:t>
      </w:r>
      <w:r>
        <w:rPr>
          <w:rFonts w:hint="eastAsia" w:ascii="仿宋" w:hAnsi="仿宋" w:eastAsia="仿宋" w:cs="仿宋"/>
          <w:sz w:val="24"/>
        </w:rPr>
        <w:sym w:font="Wingdings 2" w:char="00A3"/>
      </w:r>
      <w:r>
        <w:rPr>
          <w:rFonts w:hint="eastAsia" w:ascii="仿宋" w:hAnsi="仿宋" w:eastAsia="仿宋" w:cs="仿宋"/>
          <w:sz w:val="24"/>
        </w:rPr>
        <w:t>存在下列利害关系</w:t>
      </w:r>
      <w:r>
        <w:rPr>
          <w:rFonts w:hint="eastAsia" w:ascii="仿宋" w:hAnsi="仿宋" w:eastAsia="仿宋" w:cs="仿宋"/>
          <w:sz w:val="24"/>
          <w:u w:val="single"/>
        </w:rPr>
        <w:t xml:space="preserve">           </w:t>
      </w:r>
      <w:r>
        <w:rPr>
          <w:rFonts w:hint="eastAsia" w:ascii="仿宋" w:hAnsi="仿宋" w:eastAsia="仿宋" w:cs="仿宋"/>
          <w:sz w:val="24"/>
        </w:rPr>
        <w:t>： A.投资关系    B.行政隶属关系    C.业务指导关系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D.其他可能影响采购公正的利害关系（如有，请如实说明）</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二、现已清楚知道参加本项目采购活动的其他所有供应商名称，本单位 </w:t>
      </w:r>
      <w:r>
        <w:rPr>
          <w:rFonts w:hint="eastAsia" w:ascii="仿宋" w:hAnsi="仿宋" w:eastAsia="仿宋" w:cs="仿宋"/>
          <w:sz w:val="24"/>
        </w:rPr>
        <w:sym w:font="Wingdings 2" w:char="0052"/>
      </w:r>
      <w:r>
        <w:rPr>
          <w:rFonts w:hint="eastAsia" w:ascii="仿宋" w:hAnsi="仿宋" w:eastAsia="仿宋" w:cs="仿宋"/>
          <w:sz w:val="24"/>
        </w:rPr>
        <w:t>与其他所有供应商之间均不存在利害关系 □与</w:t>
      </w:r>
      <w:r>
        <w:rPr>
          <w:rFonts w:hint="eastAsia" w:ascii="仿宋" w:hAnsi="仿宋" w:eastAsia="仿宋" w:cs="仿宋"/>
          <w:sz w:val="24"/>
          <w:u w:val="single"/>
        </w:rPr>
        <w:t xml:space="preserve">          （供应商名称）</w:t>
      </w:r>
      <w:r>
        <w:rPr>
          <w:rFonts w:hint="eastAsia" w:ascii="仿宋" w:hAnsi="仿宋" w:eastAsia="仿宋" w:cs="仿宋"/>
          <w:sz w:val="24"/>
        </w:rPr>
        <w:t>之间存在下列利害关系</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A.法定代表人或负责人或实际控制人是同一人</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B.法定代表人或负责人或实际控制人是夫妻关系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C.法定代表人或负责人或实际控制人是直系血亲关系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D.法定代表人或负责人或实际控制人存在三代以内旁系血亲关系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E.法定代表人或负责人或实际控制人存在近姻亲关系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F.法定代表人或负责人或实际控制人存在股份控制或实际控制关系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G.存在共同直接或间接投资设立子公司、联营企业和合营企业情况</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I.其他利害关系情况</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三、现已清楚知道并严格遵守政府采购法律法规和现场纪律。</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四、我发现</w:t>
      </w:r>
      <w:r>
        <w:rPr>
          <w:rFonts w:hint="eastAsia" w:ascii="仿宋" w:hAnsi="仿宋" w:eastAsia="仿宋" w:cs="仿宋"/>
          <w:sz w:val="24"/>
          <w:u w:val="single"/>
        </w:rPr>
        <w:t xml:space="preserve">                    </w:t>
      </w:r>
      <w:r>
        <w:rPr>
          <w:rFonts w:hint="eastAsia" w:ascii="仿宋" w:hAnsi="仿宋" w:eastAsia="仿宋" w:cs="仿宋"/>
          <w:sz w:val="24"/>
        </w:rPr>
        <w:t>供应商之间存在或可能存在上述第二条第        项利害关系。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供应商代表签字：                                     </w:t>
      </w:r>
    </w:p>
    <w:p>
      <w:pPr>
        <w:adjustRightInd w:val="0"/>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年  月  日</w:t>
      </w:r>
    </w:p>
    <w:p>
      <w:pPr>
        <w:pStyle w:val="79"/>
        <w:jc w:val="center"/>
        <w:rPr>
          <w:rFonts w:hint="eastAsia"/>
        </w:rPr>
      </w:pPr>
      <w:r>
        <w:rPr>
          <w:rFonts w:hint="eastAsia" w:ascii="仿宋" w:hAnsi="仿宋" w:eastAsia="仿宋" w:cs="仿宋"/>
          <w:b/>
          <w:bCs/>
        </w:rPr>
        <w:t>（此表于开标后30分钟内发送到971826914@qq.com邮箱）</w:t>
      </w:r>
    </w:p>
    <w:p>
      <w:pPr>
        <w:adjustRightInd w:val="0"/>
        <w:snapToGrid w:val="0"/>
        <w:spacing w:line="360" w:lineRule="auto"/>
        <w:ind w:firstLine="480" w:firstLineChars="200"/>
        <w:rPr>
          <w:rFonts w:hint="eastAsia" w:ascii="仿宋_GB2312" w:hAnsi="仿宋" w:eastAsia="仿宋_GB2312" w:cs="仿宋"/>
          <w:sz w:val="24"/>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right"/>
      <w:rPr>
        <w:rFonts w:hint="eastAsia" w:ascii="仿宋" w:hAnsi="仿宋" w:eastAsia="仿宋" w:cs="仿宋"/>
      </w:rPr>
    </w:pPr>
    <w:r>
      <w:rPr>
        <w:rFonts w:hint="eastAsia" w:ascii="仿宋" w:hAnsi="仿宋" w:eastAsia="仿宋" w:cs="仿宋"/>
      </w:rPr>
      <w:t>浙江通用招标代理有限公司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lang/>
      </w:rPr>
      <w:t>2</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kq+FnRAQAAowMAAA4AAABkcnMvZTJvRG9jLnhtbK1TS27bMBDd F8gdCO5jKUbTCoLlIIWRIEDRFkh7AJoiLQL8gUNb8gXaG3TVTfc9l8/RISU5RbrJIhtqfnwz73G0 uhmMJgcRQDnb0KtFSYmw3LXK7hr67evdZUUJRGZbpp0VDT0KoDfrizer3tdi6TqnWxEIglioe9/Q LkZfFwXwThgGC+eFxaR0wbCIbtgVbWA9ohtdLMvyXdG70PrguADA6GZM0gkxvATQSam42Di+N8LG ETUIzSJSgk55oOs8rZSCx89SgohENxSZxnxiE7S36SzWK1bvAvOd4tMI7CUjPONkmLLY9Ay1YZGR fVD/QRnFgwMn44I7U4xEsiLI4qp8ps1jx7zIXFBq8GfR4fVg+afDl0BUi5tAiWUGH/z088fp15/T 7+/kbZKn91Bj1aPHujh8cEMqneKAwcR6kMGkL/IhmEdxj2dxxRAJT5eqZVWVmOKYmx3EKZ6u+wDx XjhDktHQgK+XRWWHjxDH0rkkdbPuTmmNcVZrS3pEva7eX+cb5xSia4tNEotx2mTFYTtMFLauPSKz HlegoRY3nhL9YFHhtC2zEWZjOxt7H9Suy+uU+oO/3UccJ0+ZOoywU2N8u8xz2rO0HP/6uerp31r/ B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AZKvhZ0QEAAKMDAAAOAAAAAAAAAAEAIAAAACIB AABkcnMvZTJvRG9jLnhtbFBLBQYAAAAABgAGAFkBAABlBQAAAAA= ">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sVhPrSAQAAowMAAA4AAABkcnMvZTJvRG9jLnhtbK1TS27bMBDd F+gdCO5rKQ7SCoLloIWRIEDRFkhyAJoiLQL8gUNb8gXaG3TVTfc9l8/RISU5QbrJohtqhjN8M+/N aHU9GE0OIoBytqEXi5ISYblrld019PHh5l1FCURmW6adFQ09CqDX67dvVr2vxdJ1TrciEASxUPe+ oV2Mvi4K4J0wDBbOC4tB6YJhEd2wK9rAekQ3uliW5fuid6H1wXEBgLebMUgnxPAaQCel4mLj+N4I G0fUIDSLSAk65YGuc7dSCh6/SgkiEt1QZBrziUXQ3qazWK9YvQvMd4pPLbDXtPCCk2HKYtEz1IZF RvZB/QNlFA8OnIwL7kwxEsmKIIuL8oU29x3zInNBqcGfRYf/B8u/HL4FotqGXlJimcGBn37+OP36 c/r9nVwmeXoPNWbde8yLwyc34NLM94CXifUgg0lf5EMwjuIez+KKIRKeHlXLqioxxDE2O4hfPD33 AeKtcIYko6EBp5dFZYfPEMfUOSVVs+5GaZ0nqC3pEfWq+nCVX5xDiK4tFkksxm6TFYftMFHbuvaI zHpcgYZa3HhK9J1FhdO2zEaYje1s7H1Quy6vU2oF/M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xWE+tIBAACjAwAADgAAAAAAAAABACAAAAAi AQAAZHJzL2Uyb0RvYy54bWxQSwUGAAAAAAYABgBZAQAAZgUAAAAA ">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right"/>
      <w:rPr>
        <w:rFonts w:hint="eastAsia" w:ascii="仿宋" w:hAnsi="仿宋" w:eastAsia="仿宋" w:cs="仿宋"/>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20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 AQAADwAAAGRycy9kb3ducmV2LnhtbE2PwU7DMBBE70j8g7VI3KidCpUqxOmhEhduFITEbRtv4wh7 Hdlumvw9Lhe4rDSa0czbZjd7JyaKaQisoVopEMRdMAP3Gj7eXx62IFJGNugCk4aFEuza25sGaxMu /EbTIfeilHCqUYPNeaylTJ0lj2kVRuLinUL0mIuMvTQRL6XcO7lWaiM9DlwWLI60t9R9H85ew9P8 GWhMtKev09RFOyxb97pofX9XqWcQmeb8F4YrfkGHtjAdw5lNEk5DeST/3qunNiCOGtaPFci2kf/Z 2x9QSwMEFAAAAAgAh07iQLMbc6TMAQAAlgMAAA4AAABkcnMvZTJvRG9jLnhtbK1TzY7TMBC+I/EO lu80SatdUNR0BaoWISFAWngA17EbS/6Tx23SF4A34MSFO8/V52DsJF3YvexhL+lkZvrN930zWd8M RpOjCKCcbWi1KCkRlrtW2X1Dv329ffWGEojMtkw7Kxp6EkBvNi9frHtfi6XrnG5FIAhioe59Q7sY fV0UwDthGCycFxaL0gXDIr6GfdEG1iO60cWyLK+L3oXWB8cFAGa3Y5FOiOEpgE5KxcXW8YMRNo6o QWgWURJ0ygPdZLZSCh4/SwkiEt1QVBrzE4dgvEvPYrNm9T4w3yk+UWBPofBAk2HK4tAL1JZFRg5B PYIyigcHTsYFd6YYhWRHUEVVPvDmrmNeZC1oNfiL6fB8sPzT8Usgqm3okhLLDC78/PPH+def8+/v pEr29B5q7Lrz2BeHd27Ao5nzgMmkepDBpF/UQ7CO5p4u5oohEo7J69erCgscK9XVqlxdJZDi/r8+ QHwvnCEpaGjA1WVH2fEjxLF1bkmjrLtVWuf1aftfAjFTpkjER4IpisNumNTsXHtCMT1uvaEWj5wS /cGiqelA5iDMwW4ODj6ofYfUqswL/NtDRBKZW5owwk6DcV1Z3XRa6R7+fc9d95/T5i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BnqzVF0AAAAAMBAAAPAAAAAAAAAAEAIAAAACIAAABkcnMvZG93bnJl di54bWxQSwECFAAUAAAACACHTuJAsxtzpMwBAACWAwAADgAAAAAAAAABACAAAAAfAQAAZHJzL2Uy b0RvYy54bWxQSwUGAAAAAAYABgBZAQAAXQ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20</w:t>
                    </w:r>
                    <w:r>
                      <w:rPr>
                        <w:rFonts w:hint="eastAsia"/>
                        <w:sz w:val="18"/>
                      </w:rPr>
                      <w:fldChar w:fldCharType="end"/>
                    </w:r>
                  </w:p>
                </w:txbxContent>
              </v:textbox>
            </v:shape>
          </w:pict>
        </mc:Fallback>
      </mc:AlternateContent>
    </w:r>
    <w:r>
      <w:rPr>
        <w:rFonts w:hint="eastAsia" w:ascii="仿宋" w:hAnsi="仿宋" w:eastAsia="仿宋" w:cs="仿宋"/>
      </w:rPr>
      <w:t xml:space="preserve">     浙江通用招标代理有限公司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7310" cy="1530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t>72</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2.05pt;width:5.3pt;mso-position-horizontal:center;mso-position-horizontal-relative:margin;mso-wrap-style:none;z-index:251662336;mso-width-relative:page;mso-height-relative:page;" filled="f" stroked="f" coordsize="21600,21600" o:gfxdata="UEsDBAoAAAAAAIdO4kAAAAAAAAAAAAAAAAAEAAAAZHJzL1BLAwQUAAAACACHTuJAZ6s1RdAAAAAD AQAADwAAAGRycy9kb3ducmV2LnhtbE2PwU7DMBBE70j8g7VI3KidCpUqxOmhEhduFITEbRtv4wh7 Hdlumvw9Lhe4rDSa0czbZjd7JyaKaQisoVopEMRdMAP3Gj7eXx62IFJGNugCk4aFEuza25sGaxMu /EbTIfeilHCqUYPNeaylTJ0lj2kVRuLinUL0mIuMvTQRL6XcO7lWaiM9DlwWLI60t9R9H85ew9P8 GWhMtKev09RFOyxb97pofX9XqWcQmeb8F4YrfkGHtjAdw5lNEk5DeST/3qunNiCOGtaPFci2kf/Z 2x9QSwMEFAAAAAgAh07iQAsum9XMAQAAlgMAAA4AAABkcnMvZTJvRG9jLnhtbK1TzY7TMBC+I/EO lu80ScsuKGq6AlWLkBAgLTyA69iNJf/J4zbpC8AbcOLCnefqc+zYSbqwXPbAJZ3MTL/5vm8m65vB aHIUAZSzDa0WJSXCctcqu2/o1y+3L15TApHZlmlnRUNPAujN5vmzde9rsXSd060IBEEs1L1vaBej r4sCeCcMg4XzwmJRumBYxNewL9rAekQ3uliW5XXRu9D64LgAwOx2LNIJMTwF0EmpuNg6fjDCxhE1 CM0iSoJOeaCbzFZKweMnKUFEohuKSmN+4hCMd+lZbNas3gfmO8UnCuwpFB5pMkxZHHqB2rLIyCGo f6CM4sGBk3HBnSlGIdkRVFGVj7y565gXWQtaDf5iOvw/WP7x+DkQ1Tb0JSWWGVz4+cf388/f51/f yDLZ03uosevOY18c3roBj2bOAyaT6kEGk35RD8E6mnu6mCuGSDgmr1+tKixwrFRXq3J1lUCKh//6 APGdcIakoKEBV5cdZccPEMfWuSWNsu5WaZ3Xp+1fCcRMmSIRHwmmKA67YVKzc+0JxfS49YZaPHJK 9HuLpqYDmYMwB7s5OPig9h1SqzIv8G8OEUlkbmnCCDsNxnVlddNppXv48z13PXxOm3t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BnqzVF0AAAAAMBAAAPAAAAAAAAAAEAIAAAACIAAABkcnMvZG93bnJl di54bWxQSwECFAAUAAAACACHTuJACy6b1cwBAACWAwAADgAAAAAAAAABACAAAAAfAQAAZHJzL2Uy b0RvYy54bWxQSwUGAAAAAAYABgBZAQAAXQUAAAAA ">
              <v:fill on="f" focussize="0,0"/>
              <v:stroke on="f"/>
              <v:imagedata o:title=""/>
              <o:lock v:ext="edit" aspectratio="f"/>
              <v:textbox inset="0mm,0mm,0mm,0mm" style="mso-fit-shape-to-text:t;">
                <w:txbxContent>
                  <w:p>
                    <w:pPr>
                      <w:snapToGrid w:val="0"/>
                      <w:rPr>
                        <w:sz w:val="18"/>
                      </w:rPr>
                    </w:pPr>
                    <w:r>
                      <w:rPr>
                        <w:rFonts w:hint="eastAsia"/>
                        <w:sz w:val="18"/>
                      </w:rPr>
                      <w:t>72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hint="eastAsia" w:ascii="仿宋_GB2312" w:eastAsia="仿宋_GB2312"/>
        <w:color w:val="404040"/>
        <w:sz w:val="15"/>
        <w:szCs w:val="15"/>
        <w:lang w:eastAsia="zh-CN"/>
      </w:rPr>
    </w:pPr>
    <w:r>
      <w:rPr>
        <w:rFonts w:hint="eastAsia" w:ascii="仿宋_GB2312" w:eastAsia="仿宋_GB2312"/>
        <w:color w:val="404040"/>
        <w:sz w:val="15"/>
        <w:szCs w:val="15"/>
        <w:lang w:eastAsia="zh-CN"/>
      </w:rPr>
      <w:t>浙江省公安厅机场公安局空港亚运安保一体化指挥系统项目</w:t>
    </w:r>
    <w:r>
      <w:rPr>
        <w:rFonts w:hint="eastAsia" w:ascii="仿宋_GB2312" w:eastAsia="仿宋_GB2312"/>
        <w:color w:val="404040"/>
        <w:sz w:val="15"/>
        <w:szCs w:val="15"/>
      </w:rPr>
      <w:t>公开招标文件                                         .</w:t>
    </w:r>
    <w:r>
      <w:rPr>
        <w:rFonts w:hint="eastAsia" w:ascii="仿宋_GB2312" w:eastAsia="仿宋_GB2312"/>
        <w:color w:val="404040"/>
        <w:sz w:val="15"/>
        <w:szCs w:val="15"/>
        <w:lang w:eastAsia="zh-CN"/>
      </w:rPr>
      <w:t>ZJTY2022H-GH-047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ascii="仿宋" w:hAnsi="仿宋" w:eastAsia="仿宋" w:cs="仿宋"/>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w:t>
    </w:r>
    <w:r>
      <w:rPr>
        <w:rFonts w:hint="eastAsia"/>
      </w:rPr>
      <w:t xml:space="preserve">         </w:t>
    </w:r>
  </w:p>
  <w:p>
    <w:pPr>
      <w:pStyle w:val="24"/>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8C960"/>
    <w:multiLevelType w:val="singleLevel"/>
    <w:tmpl w:val="D0A8C960"/>
    <w:lvl w:ilvl="0" w:tentative="0">
      <w:start w:val="5"/>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multilevel"/>
    <w:tmpl w:val="00000003"/>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4"/>
    <w:multiLevelType w:val="multilevel"/>
    <w:tmpl w:val="0000000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67"/>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5"/>
    <w:multiLevelType w:val="multilevel"/>
    <w:tmpl w:val="00000005"/>
    <w:lvl w:ilvl="0" w:tentative="0">
      <w:start w:val="1"/>
      <w:numFmt w:val="chineseCountingThousand"/>
      <w:lvlText w:val="第%1章 "/>
      <w:lvlJc w:val="left"/>
      <w:pPr>
        <w:tabs>
          <w:tab w:val="left" w:pos="420"/>
        </w:tabs>
        <w:ind w:left="1470" w:hanging="420"/>
      </w:pPr>
      <w:rPr>
        <w:rFonts w:hint="eastAsia"/>
      </w:rPr>
    </w:lvl>
    <w:lvl w:ilvl="1" w:tentative="0">
      <w:start w:val="1"/>
      <w:numFmt w:val="chineseCountingThousand"/>
      <w:lvlText w:val="第%2节"/>
      <w:lvlJc w:val="left"/>
      <w:pPr>
        <w:tabs>
          <w:tab w:val="left" w:pos="2315"/>
        </w:tabs>
        <w:ind w:left="3365" w:hanging="575"/>
      </w:pPr>
      <w:rPr>
        <w:rFonts w:hint="eastAsia"/>
      </w:rPr>
    </w:lvl>
    <w:lvl w:ilvl="2" w:tentative="0">
      <w:start w:val="1"/>
      <w:numFmt w:val="chineseCounting"/>
      <w:lvlText w:val="%3、"/>
      <w:lvlJc w:val="left"/>
      <w:pPr>
        <w:tabs>
          <w:tab w:val="left" w:pos="1020"/>
        </w:tabs>
        <w:ind w:left="2070" w:hanging="720"/>
      </w:pPr>
      <w:rPr>
        <w:rFonts w:hint="eastAsia" w:ascii="宋体" w:hAnsi="宋体" w:eastAsia="宋体"/>
      </w:rPr>
    </w:lvl>
    <w:lvl w:ilvl="3" w:tentative="0">
      <w:start w:val="1"/>
      <w:numFmt w:val="decimal"/>
      <w:lvlText w:val="%4"/>
      <w:lvlJc w:val="left"/>
      <w:pPr>
        <w:tabs>
          <w:tab w:val="left" w:pos="2604"/>
        </w:tabs>
        <w:ind w:left="3654" w:hanging="864"/>
      </w:pPr>
      <w:rPr>
        <w:rFonts w:hint="eastAsia" w:ascii="宋体" w:hAnsi="宋体" w:eastAsia="宋体"/>
      </w:rPr>
    </w:lvl>
    <w:lvl w:ilvl="4" w:tentative="0">
      <w:start w:val="1"/>
      <w:numFmt w:val="decimal"/>
      <w:pStyle w:val="64"/>
      <w:lvlText w:val="%3.%4.%5"/>
      <w:lvlJc w:val="left"/>
      <w:pPr>
        <w:tabs>
          <w:tab w:val="left" w:pos="1008"/>
        </w:tabs>
        <w:ind w:left="2058" w:hanging="1008"/>
      </w:pPr>
      <w:rPr>
        <w:rFonts w:hint="eastAsia"/>
      </w:rPr>
    </w:lvl>
    <w:lvl w:ilvl="5" w:tentative="0">
      <w:start w:val="1"/>
      <w:numFmt w:val="decimal"/>
      <w:lvlText w:val="%1.%2.%3.%4.%5.%6."/>
      <w:lvlJc w:val="left"/>
      <w:pPr>
        <w:tabs>
          <w:tab w:val="left" w:pos="1151"/>
        </w:tabs>
        <w:ind w:left="2201" w:hanging="1151"/>
      </w:pPr>
      <w:rPr>
        <w:rFonts w:hint="eastAsia"/>
      </w:rPr>
    </w:lvl>
    <w:lvl w:ilvl="6" w:tentative="0">
      <w:start w:val="1"/>
      <w:numFmt w:val="decimal"/>
      <w:lvlText w:val="%1.%2.%3.%4.%5.%6.%7."/>
      <w:lvlJc w:val="left"/>
      <w:pPr>
        <w:tabs>
          <w:tab w:val="left" w:pos="1296"/>
        </w:tabs>
        <w:ind w:left="2346" w:hanging="1296"/>
      </w:pPr>
      <w:rPr>
        <w:rFonts w:hint="eastAsia"/>
      </w:rPr>
    </w:lvl>
    <w:lvl w:ilvl="7" w:tentative="0">
      <w:start w:val="1"/>
      <w:numFmt w:val="decimal"/>
      <w:lvlText w:val="%1.%2.%3.%4.%5.%6.%7.%8."/>
      <w:lvlJc w:val="left"/>
      <w:pPr>
        <w:tabs>
          <w:tab w:val="left" w:pos="1440"/>
        </w:tabs>
        <w:ind w:left="2490" w:hanging="1440"/>
      </w:pPr>
      <w:rPr>
        <w:rFonts w:hint="eastAsia"/>
      </w:rPr>
    </w:lvl>
    <w:lvl w:ilvl="8" w:tentative="0">
      <w:start w:val="1"/>
      <w:numFmt w:val="decimal"/>
      <w:lvlText w:val="%1.%2.%3.%4.%5.%6.%7.%8.%9."/>
      <w:lvlJc w:val="left"/>
      <w:pPr>
        <w:tabs>
          <w:tab w:val="left" w:pos="1583"/>
        </w:tabs>
        <w:ind w:left="2633" w:hanging="1583"/>
      </w:pPr>
      <w:rPr>
        <w:rFonts w:hint="eastAsia"/>
      </w:rPr>
    </w:lvl>
  </w:abstractNum>
  <w:abstractNum w:abstractNumId="5">
    <w:nsid w:val="00000009"/>
    <w:multiLevelType w:val="singleLevel"/>
    <w:tmpl w:val="00000009"/>
    <w:lvl w:ilvl="0" w:tentative="0">
      <w:start w:val="3"/>
      <w:numFmt w:val="decimal"/>
      <w:pStyle w:val="59"/>
      <w:suff w:val="nothing"/>
      <w:lvlText w:val="（%1）"/>
      <w:lvlJc w:val="left"/>
      <w:rPr>
        <w:rFonts w:cs="Times New Roman"/>
      </w:rPr>
    </w:lvl>
  </w:abstractNum>
  <w:abstractNum w:abstractNumId="6">
    <w:nsid w:val="4F341A5B"/>
    <w:multiLevelType w:val="singleLevel"/>
    <w:tmpl w:val="4F341A5B"/>
    <w:lvl w:ilvl="0" w:tentative="0">
      <w:start w:val="4"/>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四月">
    <w15:presenceInfo w15:providerId="None" w15:userId="四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Yzg5MmI1Zjk3MGE3MTkwMzdlZDlhMWM4MDUzZmMifQ=="/>
  </w:docVars>
  <w:rsids>
    <w:rsidRoot w:val="00172A27"/>
    <w:rsid w:val="000026B9"/>
    <w:rsid w:val="0000466D"/>
    <w:rsid w:val="0001055D"/>
    <w:rsid w:val="00011A8E"/>
    <w:rsid w:val="00014E4C"/>
    <w:rsid w:val="00016AFF"/>
    <w:rsid w:val="00020700"/>
    <w:rsid w:val="00024D05"/>
    <w:rsid w:val="0002664D"/>
    <w:rsid w:val="00026D2A"/>
    <w:rsid w:val="00027BDE"/>
    <w:rsid w:val="00033331"/>
    <w:rsid w:val="00034EA5"/>
    <w:rsid w:val="00034FC7"/>
    <w:rsid w:val="00041538"/>
    <w:rsid w:val="000425A0"/>
    <w:rsid w:val="000432B7"/>
    <w:rsid w:val="0004336A"/>
    <w:rsid w:val="0004587C"/>
    <w:rsid w:val="0005033E"/>
    <w:rsid w:val="00052F5E"/>
    <w:rsid w:val="00053F4C"/>
    <w:rsid w:val="00054135"/>
    <w:rsid w:val="000543BA"/>
    <w:rsid w:val="00055C7B"/>
    <w:rsid w:val="000565EB"/>
    <w:rsid w:val="000579EC"/>
    <w:rsid w:val="00057AA1"/>
    <w:rsid w:val="00060FBD"/>
    <w:rsid w:val="000652D4"/>
    <w:rsid w:val="000675C0"/>
    <w:rsid w:val="000727A6"/>
    <w:rsid w:val="00073A02"/>
    <w:rsid w:val="000759DB"/>
    <w:rsid w:val="00075FC2"/>
    <w:rsid w:val="0007736E"/>
    <w:rsid w:val="000828E7"/>
    <w:rsid w:val="00083E63"/>
    <w:rsid w:val="00083EE7"/>
    <w:rsid w:val="0008664E"/>
    <w:rsid w:val="00086C00"/>
    <w:rsid w:val="00090923"/>
    <w:rsid w:val="000936A3"/>
    <w:rsid w:val="00094BD9"/>
    <w:rsid w:val="00094F9E"/>
    <w:rsid w:val="000A0138"/>
    <w:rsid w:val="000A2AD7"/>
    <w:rsid w:val="000A3AD1"/>
    <w:rsid w:val="000A3F72"/>
    <w:rsid w:val="000A4400"/>
    <w:rsid w:val="000A4FAB"/>
    <w:rsid w:val="000A54C2"/>
    <w:rsid w:val="000B027C"/>
    <w:rsid w:val="000B0827"/>
    <w:rsid w:val="000B1977"/>
    <w:rsid w:val="000B6771"/>
    <w:rsid w:val="000C1DA1"/>
    <w:rsid w:val="000D024E"/>
    <w:rsid w:val="000D2551"/>
    <w:rsid w:val="000D3AB1"/>
    <w:rsid w:val="000D4355"/>
    <w:rsid w:val="000D4536"/>
    <w:rsid w:val="000D70F5"/>
    <w:rsid w:val="000D7C8F"/>
    <w:rsid w:val="000D7CAA"/>
    <w:rsid w:val="000D7FB6"/>
    <w:rsid w:val="000E0D1B"/>
    <w:rsid w:val="000E2C31"/>
    <w:rsid w:val="000E3C65"/>
    <w:rsid w:val="000E4737"/>
    <w:rsid w:val="000E5D57"/>
    <w:rsid w:val="000F05AA"/>
    <w:rsid w:val="000F176D"/>
    <w:rsid w:val="000F2B3F"/>
    <w:rsid w:val="000F4874"/>
    <w:rsid w:val="000F7A37"/>
    <w:rsid w:val="000F7BAE"/>
    <w:rsid w:val="00100FA6"/>
    <w:rsid w:val="0010215C"/>
    <w:rsid w:val="001027A9"/>
    <w:rsid w:val="00110B64"/>
    <w:rsid w:val="0011208B"/>
    <w:rsid w:val="00114530"/>
    <w:rsid w:val="0011504F"/>
    <w:rsid w:val="00115314"/>
    <w:rsid w:val="00115E41"/>
    <w:rsid w:val="00120E7D"/>
    <w:rsid w:val="00121D4A"/>
    <w:rsid w:val="0012552B"/>
    <w:rsid w:val="00136A4C"/>
    <w:rsid w:val="001377BE"/>
    <w:rsid w:val="00140A19"/>
    <w:rsid w:val="0014130A"/>
    <w:rsid w:val="0014302F"/>
    <w:rsid w:val="0014554A"/>
    <w:rsid w:val="001455E8"/>
    <w:rsid w:val="00146021"/>
    <w:rsid w:val="00146865"/>
    <w:rsid w:val="00146C45"/>
    <w:rsid w:val="0014763E"/>
    <w:rsid w:val="001536B6"/>
    <w:rsid w:val="00153A31"/>
    <w:rsid w:val="00153EA9"/>
    <w:rsid w:val="00155FEC"/>
    <w:rsid w:val="0016148F"/>
    <w:rsid w:val="0016510C"/>
    <w:rsid w:val="0016514B"/>
    <w:rsid w:val="00166E94"/>
    <w:rsid w:val="00171455"/>
    <w:rsid w:val="00183593"/>
    <w:rsid w:val="00191064"/>
    <w:rsid w:val="00192513"/>
    <w:rsid w:val="0019411B"/>
    <w:rsid w:val="0019563D"/>
    <w:rsid w:val="0019655B"/>
    <w:rsid w:val="001A113E"/>
    <w:rsid w:val="001A1953"/>
    <w:rsid w:val="001A23F7"/>
    <w:rsid w:val="001A4B72"/>
    <w:rsid w:val="001B1F7E"/>
    <w:rsid w:val="001B3035"/>
    <w:rsid w:val="001B48BA"/>
    <w:rsid w:val="001C13F8"/>
    <w:rsid w:val="001C4B09"/>
    <w:rsid w:val="001D3009"/>
    <w:rsid w:val="001D4552"/>
    <w:rsid w:val="001D564C"/>
    <w:rsid w:val="001D74C4"/>
    <w:rsid w:val="001E62AE"/>
    <w:rsid w:val="001F0494"/>
    <w:rsid w:val="001F2713"/>
    <w:rsid w:val="001F6A05"/>
    <w:rsid w:val="001F6C8B"/>
    <w:rsid w:val="001F6FC1"/>
    <w:rsid w:val="00212F11"/>
    <w:rsid w:val="0021437A"/>
    <w:rsid w:val="00215B44"/>
    <w:rsid w:val="00215D4A"/>
    <w:rsid w:val="0021672F"/>
    <w:rsid w:val="00217018"/>
    <w:rsid w:val="00217421"/>
    <w:rsid w:val="00217445"/>
    <w:rsid w:val="00217E8C"/>
    <w:rsid w:val="00225489"/>
    <w:rsid w:val="00225F99"/>
    <w:rsid w:val="00232455"/>
    <w:rsid w:val="002359FA"/>
    <w:rsid w:val="00235A32"/>
    <w:rsid w:val="00236B17"/>
    <w:rsid w:val="00237260"/>
    <w:rsid w:val="00240058"/>
    <w:rsid w:val="0024060B"/>
    <w:rsid w:val="00243570"/>
    <w:rsid w:val="00244815"/>
    <w:rsid w:val="00246923"/>
    <w:rsid w:val="00251EFF"/>
    <w:rsid w:val="00254A5D"/>
    <w:rsid w:val="002553B5"/>
    <w:rsid w:val="00255F72"/>
    <w:rsid w:val="00262032"/>
    <w:rsid w:val="002628D4"/>
    <w:rsid w:val="00262FD8"/>
    <w:rsid w:val="002649E9"/>
    <w:rsid w:val="002654BA"/>
    <w:rsid w:val="002718D7"/>
    <w:rsid w:val="002835BB"/>
    <w:rsid w:val="002848F5"/>
    <w:rsid w:val="00285516"/>
    <w:rsid w:val="0028655D"/>
    <w:rsid w:val="00287CBD"/>
    <w:rsid w:val="002904BF"/>
    <w:rsid w:val="002906FB"/>
    <w:rsid w:val="00292443"/>
    <w:rsid w:val="002944B9"/>
    <w:rsid w:val="002A028D"/>
    <w:rsid w:val="002A07FA"/>
    <w:rsid w:val="002A083D"/>
    <w:rsid w:val="002A0FE7"/>
    <w:rsid w:val="002A13F3"/>
    <w:rsid w:val="002A19CD"/>
    <w:rsid w:val="002A2234"/>
    <w:rsid w:val="002A3B42"/>
    <w:rsid w:val="002A5B46"/>
    <w:rsid w:val="002A5C43"/>
    <w:rsid w:val="002A608F"/>
    <w:rsid w:val="002B0DF6"/>
    <w:rsid w:val="002B1388"/>
    <w:rsid w:val="002B26CC"/>
    <w:rsid w:val="002B3A9C"/>
    <w:rsid w:val="002B4A6C"/>
    <w:rsid w:val="002B52A9"/>
    <w:rsid w:val="002B6B26"/>
    <w:rsid w:val="002C28A8"/>
    <w:rsid w:val="002C292D"/>
    <w:rsid w:val="002C3497"/>
    <w:rsid w:val="002C4191"/>
    <w:rsid w:val="002C5B6E"/>
    <w:rsid w:val="002C7323"/>
    <w:rsid w:val="002D047A"/>
    <w:rsid w:val="002D5F22"/>
    <w:rsid w:val="002E3141"/>
    <w:rsid w:val="002E7DB8"/>
    <w:rsid w:val="002E7FA9"/>
    <w:rsid w:val="002F0238"/>
    <w:rsid w:val="002F1885"/>
    <w:rsid w:val="002F2401"/>
    <w:rsid w:val="002F25AA"/>
    <w:rsid w:val="002F5135"/>
    <w:rsid w:val="002F577B"/>
    <w:rsid w:val="00300C89"/>
    <w:rsid w:val="00302D8E"/>
    <w:rsid w:val="00303608"/>
    <w:rsid w:val="00303F7D"/>
    <w:rsid w:val="003041EB"/>
    <w:rsid w:val="00304795"/>
    <w:rsid w:val="003067A0"/>
    <w:rsid w:val="003073F0"/>
    <w:rsid w:val="00312FF0"/>
    <w:rsid w:val="00315B46"/>
    <w:rsid w:val="00316954"/>
    <w:rsid w:val="003174BF"/>
    <w:rsid w:val="003253B6"/>
    <w:rsid w:val="0032589D"/>
    <w:rsid w:val="00325B55"/>
    <w:rsid w:val="00326DAD"/>
    <w:rsid w:val="00327C34"/>
    <w:rsid w:val="003333B8"/>
    <w:rsid w:val="003341BD"/>
    <w:rsid w:val="00334EBE"/>
    <w:rsid w:val="00340E72"/>
    <w:rsid w:val="00342DE6"/>
    <w:rsid w:val="00351C52"/>
    <w:rsid w:val="00353525"/>
    <w:rsid w:val="00355D10"/>
    <w:rsid w:val="00360BD2"/>
    <w:rsid w:val="00364837"/>
    <w:rsid w:val="00365BB3"/>
    <w:rsid w:val="00375AC8"/>
    <w:rsid w:val="00375E60"/>
    <w:rsid w:val="00381A73"/>
    <w:rsid w:val="00382AEF"/>
    <w:rsid w:val="0038430F"/>
    <w:rsid w:val="00384F8E"/>
    <w:rsid w:val="0038633D"/>
    <w:rsid w:val="00387B13"/>
    <w:rsid w:val="00392DC3"/>
    <w:rsid w:val="00394950"/>
    <w:rsid w:val="00395648"/>
    <w:rsid w:val="003968D6"/>
    <w:rsid w:val="003A12EC"/>
    <w:rsid w:val="003A181C"/>
    <w:rsid w:val="003A3354"/>
    <w:rsid w:val="003A353C"/>
    <w:rsid w:val="003A3BDA"/>
    <w:rsid w:val="003A55AE"/>
    <w:rsid w:val="003A5A72"/>
    <w:rsid w:val="003A5F29"/>
    <w:rsid w:val="003A62D7"/>
    <w:rsid w:val="003A66CD"/>
    <w:rsid w:val="003B75E7"/>
    <w:rsid w:val="003B7CC8"/>
    <w:rsid w:val="003C0074"/>
    <w:rsid w:val="003C09BD"/>
    <w:rsid w:val="003C0E41"/>
    <w:rsid w:val="003C191E"/>
    <w:rsid w:val="003C2F09"/>
    <w:rsid w:val="003C3426"/>
    <w:rsid w:val="003C4F9F"/>
    <w:rsid w:val="003C5B7B"/>
    <w:rsid w:val="003C7B64"/>
    <w:rsid w:val="003D2E67"/>
    <w:rsid w:val="003D7B27"/>
    <w:rsid w:val="003E2505"/>
    <w:rsid w:val="003E3764"/>
    <w:rsid w:val="003E542A"/>
    <w:rsid w:val="003E62BA"/>
    <w:rsid w:val="003F0E8C"/>
    <w:rsid w:val="003F691D"/>
    <w:rsid w:val="004038CE"/>
    <w:rsid w:val="0040400F"/>
    <w:rsid w:val="00404FA7"/>
    <w:rsid w:val="004103B2"/>
    <w:rsid w:val="00410C8C"/>
    <w:rsid w:val="00413ABA"/>
    <w:rsid w:val="00414BBE"/>
    <w:rsid w:val="004240A3"/>
    <w:rsid w:val="00424AF9"/>
    <w:rsid w:val="00425461"/>
    <w:rsid w:val="00425582"/>
    <w:rsid w:val="00425DA1"/>
    <w:rsid w:val="00427D10"/>
    <w:rsid w:val="00430B2A"/>
    <w:rsid w:val="00434266"/>
    <w:rsid w:val="0043485B"/>
    <w:rsid w:val="00435B0E"/>
    <w:rsid w:val="0044157F"/>
    <w:rsid w:val="00443967"/>
    <w:rsid w:val="00443F67"/>
    <w:rsid w:val="00444F9F"/>
    <w:rsid w:val="00444FD2"/>
    <w:rsid w:val="00446E48"/>
    <w:rsid w:val="0044740F"/>
    <w:rsid w:val="00447A38"/>
    <w:rsid w:val="004510FE"/>
    <w:rsid w:val="004515BC"/>
    <w:rsid w:val="00453DAE"/>
    <w:rsid w:val="00455905"/>
    <w:rsid w:val="00455FB1"/>
    <w:rsid w:val="00456235"/>
    <w:rsid w:val="004566F8"/>
    <w:rsid w:val="00456AC7"/>
    <w:rsid w:val="004602C7"/>
    <w:rsid w:val="004615DD"/>
    <w:rsid w:val="004623F0"/>
    <w:rsid w:val="004631F1"/>
    <w:rsid w:val="00464486"/>
    <w:rsid w:val="004678E6"/>
    <w:rsid w:val="004716D3"/>
    <w:rsid w:val="00472831"/>
    <w:rsid w:val="00473DAC"/>
    <w:rsid w:val="00476193"/>
    <w:rsid w:val="00481889"/>
    <w:rsid w:val="00485E4C"/>
    <w:rsid w:val="004878F5"/>
    <w:rsid w:val="00487E64"/>
    <w:rsid w:val="00494274"/>
    <w:rsid w:val="00495F11"/>
    <w:rsid w:val="004A2087"/>
    <w:rsid w:val="004A2967"/>
    <w:rsid w:val="004A7339"/>
    <w:rsid w:val="004B3949"/>
    <w:rsid w:val="004B41EA"/>
    <w:rsid w:val="004B4F3C"/>
    <w:rsid w:val="004C0F8C"/>
    <w:rsid w:val="004C44C6"/>
    <w:rsid w:val="004C541C"/>
    <w:rsid w:val="004C6169"/>
    <w:rsid w:val="004D195A"/>
    <w:rsid w:val="004D1B53"/>
    <w:rsid w:val="004D291B"/>
    <w:rsid w:val="004D2F48"/>
    <w:rsid w:val="004D474C"/>
    <w:rsid w:val="004D5860"/>
    <w:rsid w:val="004D600E"/>
    <w:rsid w:val="004D6733"/>
    <w:rsid w:val="004D6D8A"/>
    <w:rsid w:val="004E44A4"/>
    <w:rsid w:val="004E6320"/>
    <w:rsid w:val="004E7659"/>
    <w:rsid w:val="004F33C4"/>
    <w:rsid w:val="004F41D2"/>
    <w:rsid w:val="004F533D"/>
    <w:rsid w:val="004F5C13"/>
    <w:rsid w:val="004F6976"/>
    <w:rsid w:val="004F73A4"/>
    <w:rsid w:val="005051CE"/>
    <w:rsid w:val="005051DC"/>
    <w:rsid w:val="00505CBA"/>
    <w:rsid w:val="00511FBE"/>
    <w:rsid w:val="00513156"/>
    <w:rsid w:val="00515BDA"/>
    <w:rsid w:val="00516A17"/>
    <w:rsid w:val="00517F19"/>
    <w:rsid w:val="00526763"/>
    <w:rsid w:val="00530608"/>
    <w:rsid w:val="005332D4"/>
    <w:rsid w:val="005332E4"/>
    <w:rsid w:val="005374C9"/>
    <w:rsid w:val="00540774"/>
    <w:rsid w:val="00542A4F"/>
    <w:rsid w:val="00547A42"/>
    <w:rsid w:val="00547EB3"/>
    <w:rsid w:val="005615C5"/>
    <w:rsid w:val="0056471D"/>
    <w:rsid w:val="0056475A"/>
    <w:rsid w:val="00566E4E"/>
    <w:rsid w:val="00567AF3"/>
    <w:rsid w:val="0057556E"/>
    <w:rsid w:val="005759F6"/>
    <w:rsid w:val="00580BB9"/>
    <w:rsid w:val="00584936"/>
    <w:rsid w:val="00585079"/>
    <w:rsid w:val="0058796B"/>
    <w:rsid w:val="00590A75"/>
    <w:rsid w:val="005929DC"/>
    <w:rsid w:val="00592F98"/>
    <w:rsid w:val="0059466C"/>
    <w:rsid w:val="00594730"/>
    <w:rsid w:val="005955A8"/>
    <w:rsid w:val="00595DCA"/>
    <w:rsid w:val="005A120D"/>
    <w:rsid w:val="005A5273"/>
    <w:rsid w:val="005B0820"/>
    <w:rsid w:val="005B17DB"/>
    <w:rsid w:val="005B2FBF"/>
    <w:rsid w:val="005C146A"/>
    <w:rsid w:val="005C3F6E"/>
    <w:rsid w:val="005C40BD"/>
    <w:rsid w:val="005C4417"/>
    <w:rsid w:val="005C66C9"/>
    <w:rsid w:val="005C6F6C"/>
    <w:rsid w:val="005C7D18"/>
    <w:rsid w:val="005C7E94"/>
    <w:rsid w:val="005D045A"/>
    <w:rsid w:val="005D2CC2"/>
    <w:rsid w:val="005D39F4"/>
    <w:rsid w:val="005D3AF5"/>
    <w:rsid w:val="005D3B80"/>
    <w:rsid w:val="005D4E05"/>
    <w:rsid w:val="005D4F27"/>
    <w:rsid w:val="005E337E"/>
    <w:rsid w:val="005E57AD"/>
    <w:rsid w:val="005F1D89"/>
    <w:rsid w:val="005F31B3"/>
    <w:rsid w:val="005F48FA"/>
    <w:rsid w:val="005F4BEE"/>
    <w:rsid w:val="005F6980"/>
    <w:rsid w:val="006003D5"/>
    <w:rsid w:val="00604328"/>
    <w:rsid w:val="00607213"/>
    <w:rsid w:val="00610595"/>
    <w:rsid w:val="00612F39"/>
    <w:rsid w:val="00614CA9"/>
    <w:rsid w:val="00615C02"/>
    <w:rsid w:val="00620611"/>
    <w:rsid w:val="00621393"/>
    <w:rsid w:val="00621C3E"/>
    <w:rsid w:val="00624F5D"/>
    <w:rsid w:val="00626794"/>
    <w:rsid w:val="00631118"/>
    <w:rsid w:val="00633AFB"/>
    <w:rsid w:val="00633E54"/>
    <w:rsid w:val="006355C7"/>
    <w:rsid w:val="00635F49"/>
    <w:rsid w:val="00636006"/>
    <w:rsid w:val="00636FB5"/>
    <w:rsid w:val="006417E1"/>
    <w:rsid w:val="00643C3B"/>
    <w:rsid w:val="00650E62"/>
    <w:rsid w:val="00651EFF"/>
    <w:rsid w:val="00653690"/>
    <w:rsid w:val="00661AC9"/>
    <w:rsid w:val="00661F98"/>
    <w:rsid w:val="00662751"/>
    <w:rsid w:val="00662F9B"/>
    <w:rsid w:val="00664124"/>
    <w:rsid w:val="0066440F"/>
    <w:rsid w:val="00666041"/>
    <w:rsid w:val="00670F75"/>
    <w:rsid w:val="00671F54"/>
    <w:rsid w:val="006727F8"/>
    <w:rsid w:val="00676091"/>
    <w:rsid w:val="006776ED"/>
    <w:rsid w:val="0068046E"/>
    <w:rsid w:val="006834E8"/>
    <w:rsid w:val="00684C5A"/>
    <w:rsid w:val="006873F6"/>
    <w:rsid w:val="006912C0"/>
    <w:rsid w:val="006919E4"/>
    <w:rsid w:val="0069319B"/>
    <w:rsid w:val="006935FA"/>
    <w:rsid w:val="00695D5A"/>
    <w:rsid w:val="00695E45"/>
    <w:rsid w:val="006A00E1"/>
    <w:rsid w:val="006A532B"/>
    <w:rsid w:val="006A569D"/>
    <w:rsid w:val="006A7731"/>
    <w:rsid w:val="006B1457"/>
    <w:rsid w:val="006B1EFA"/>
    <w:rsid w:val="006B6548"/>
    <w:rsid w:val="006C0EFB"/>
    <w:rsid w:val="006C39D5"/>
    <w:rsid w:val="006D05EA"/>
    <w:rsid w:val="006D183F"/>
    <w:rsid w:val="006D3E83"/>
    <w:rsid w:val="006E02AA"/>
    <w:rsid w:val="006E1071"/>
    <w:rsid w:val="006E1098"/>
    <w:rsid w:val="006E2CA5"/>
    <w:rsid w:val="006E6C3F"/>
    <w:rsid w:val="006E6F39"/>
    <w:rsid w:val="006E7C01"/>
    <w:rsid w:val="006F4126"/>
    <w:rsid w:val="006F4E54"/>
    <w:rsid w:val="006F515D"/>
    <w:rsid w:val="00700E7E"/>
    <w:rsid w:val="00701972"/>
    <w:rsid w:val="00701E67"/>
    <w:rsid w:val="007029CB"/>
    <w:rsid w:val="00705267"/>
    <w:rsid w:val="00707BDE"/>
    <w:rsid w:val="007102FE"/>
    <w:rsid w:val="007118A8"/>
    <w:rsid w:val="007138AC"/>
    <w:rsid w:val="0071447C"/>
    <w:rsid w:val="00715602"/>
    <w:rsid w:val="007176C8"/>
    <w:rsid w:val="00717F28"/>
    <w:rsid w:val="00720AAA"/>
    <w:rsid w:val="0072205C"/>
    <w:rsid w:val="00722881"/>
    <w:rsid w:val="00724300"/>
    <w:rsid w:val="00724CAB"/>
    <w:rsid w:val="007250AD"/>
    <w:rsid w:val="0072608E"/>
    <w:rsid w:val="007328EF"/>
    <w:rsid w:val="00733075"/>
    <w:rsid w:val="007351C0"/>
    <w:rsid w:val="00743E5A"/>
    <w:rsid w:val="00747465"/>
    <w:rsid w:val="00755047"/>
    <w:rsid w:val="00757997"/>
    <w:rsid w:val="00761D29"/>
    <w:rsid w:val="00762474"/>
    <w:rsid w:val="00764A15"/>
    <w:rsid w:val="00765A00"/>
    <w:rsid w:val="00780C2E"/>
    <w:rsid w:val="00780DCA"/>
    <w:rsid w:val="00781266"/>
    <w:rsid w:val="007840CE"/>
    <w:rsid w:val="0078509E"/>
    <w:rsid w:val="0079117F"/>
    <w:rsid w:val="007915F5"/>
    <w:rsid w:val="00793C68"/>
    <w:rsid w:val="00794151"/>
    <w:rsid w:val="00795A17"/>
    <w:rsid w:val="00796F54"/>
    <w:rsid w:val="00797664"/>
    <w:rsid w:val="007A160D"/>
    <w:rsid w:val="007A5DE4"/>
    <w:rsid w:val="007A6950"/>
    <w:rsid w:val="007A6B53"/>
    <w:rsid w:val="007B165C"/>
    <w:rsid w:val="007B3E52"/>
    <w:rsid w:val="007C22AD"/>
    <w:rsid w:val="007C3BC0"/>
    <w:rsid w:val="007C77BA"/>
    <w:rsid w:val="007C7A92"/>
    <w:rsid w:val="007C7AB8"/>
    <w:rsid w:val="007C7D0E"/>
    <w:rsid w:val="007D0D4C"/>
    <w:rsid w:val="007D3D74"/>
    <w:rsid w:val="007D48DC"/>
    <w:rsid w:val="007D7991"/>
    <w:rsid w:val="007E11E5"/>
    <w:rsid w:val="007E1405"/>
    <w:rsid w:val="007E244B"/>
    <w:rsid w:val="007E3186"/>
    <w:rsid w:val="007E465F"/>
    <w:rsid w:val="007E7A84"/>
    <w:rsid w:val="007F00FD"/>
    <w:rsid w:val="007F0BD8"/>
    <w:rsid w:val="007F128F"/>
    <w:rsid w:val="007F20C3"/>
    <w:rsid w:val="007F3F3E"/>
    <w:rsid w:val="007F72D5"/>
    <w:rsid w:val="00802528"/>
    <w:rsid w:val="00803B9C"/>
    <w:rsid w:val="00805DD7"/>
    <w:rsid w:val="00806B52"/>
    <w:rsid w:val="00810EE7"/>
    <w:rsid w:val="00811A11"/>
    <w:rsid w:val="00817BF7"/>
    <w:rsid w:val="008220A3"/>
    <w:rsid w:val="00823474"/>
    <w:rsid w:val="0082347F"/>
    <w:rsid w:val="0082412D"/>
    <w:rsid w:val="00826656"/>
    <w:rsid w:val="00826A02"/>
    <w:rsid w:val="008272D8"/>
    <w:rsid w:val="0082738D"/>
    <w:rsid w:val="00830C6C"/>
    <w:rsid w:val="00834755"/>
    <w:rsid w:val="00835174"/>
    <w:rsid w:val="00837840"/>
    <w:rsid w:val="00844550"/>
    <w:rsid w:val="00845C90"/>
    <w:rsid w:val="00847123"/>
    <w:rsid w:val="008518B5"/>
    <w:rsid w:val="00852762"/>
    <w:rsid w:val="00853EDE"/>
    <w:rsid w:val="0085454B"/>
    <w:rsid w:val="008566DD"/>
    <w:rsid w:val="00856E85"/>
    <w:rsid w:val="00862F64"/>
    <w:rsid w:val="008672B2"/>
    <w:rsid w:val="008675E3"/>
    <w:rsid w:val="008703A6"/>
    <w:rsid w:val="008709B4"/>
    <w:rsid w:val="00872779"/>
    <w:rsid w:val="00872BDF"/>
    <w:rsid w:val="00872C63"/>
    <w:rsid w:val="00875463"/>
    <w:rsid w:val="008829A9"/>
    <w:rsid w:val="0088590E"/>
    <w:rsid w:val="00886431"/>
    <w:rsid w:val="00893194"/>
    <w:rsid w:val="00896C79"/>
    <w:rsid w:val="0089717A"/>
    <w:rsid w:val="00897FDD"/>
    <w:rsid w:val="008A6572"/>
    <w:rsid w:val="008B10D4"/>
    <w:rsid w:val="008B3BBD"/>
    <w:rsid w:val="008B402F"/>
    <w:rsid w:val="008B5408"/>
    <w:rsid w:val="008B5F97"/>
    <w:rsid w:val="008B7106"/>
    <w:rsid w:val="008B77D4"/>
    <w:rsid w:val="008C153C"/>
    <w:rsid w:val="008C7097"/>
    <w:rsid w:val="008C7478"/>
    <w:rsid w:val="008C7673"/>
    <w:rsid w:val="008D0E44"/>
    <w:rsid w:val="008D1943"/>
    <w:rsid w:val="008D4C54"/>
    <w:rsid w:val="008D50B7"/>
    <w:rsid w:val="008E13DC"/>
    <w:rsid w:val="008E3111"/>
    <w:rsid w:val="008E3A97"/>
    <w:rsid w:val="008E4883"/>
    <w:rsid w:val="008E501C"/>
    <w:rsid w:val="008E51E9"/>
    <w:rsid w:val="008E5297"/>
    <w:rsid w:val="008E674E"/>
    <w:rsid w:val="008F1069"/>
    <w:rsid w:val="008F15EB"/>
    <w:rsid w:val="008F26D9"/>
    <w:rsid w:val="008F288F"/>
    <w:rsid w:val="008F3C6E"/>
    <w:rsid w:val="008F612D"/>
    <w:rsid w:val="008F6184"/>
    <w:rsid w:val="00912222"/>
    <w:rsid w:val="009137AE"/>
    <w:rsid w:val="009173F1"/>
    <w:rsid w:val="00922558"/>
    <w:rsid w:val="00923713"/>
    <w:rsid w:val="009263A0"/>
    <w:rsid w:val="00926EF8"/>
    <w:rsid w:val="00930449"/>
    <w:rsid w:val="0093171A"/>
    <w:rsid w:val="00931CC2"/>
    <w:rsid w:val="009377E5"/>
    <w:rsid w:val="0094177E"/>
    <w:rsid w:val="00941E6F"/>
    <w:rsid w:val="009422CA"/>
    <w:rsid w:val="00943B48"/>
    <w:rsid w:val="00952088"/>
    <w:rsid w:val="00952543"/>
    <w:rsid w:val="00952773"/>
    <w:rsid w:val="00952798"/>
    <w:rsid w:val="00953CA4"/>
    <w:rsid w:val="00955E6E"/>
    <w:rsid w:val="009618B6"/>
    <w:rsid w:val="00962205"/>
    <w:rsid w:val="00964FDF"/>
    <w:rsid w:val="00970459"/>
    <w:rsid w:val="00971E52"/>
    <w:rsid w:val="00976E35"/>
    <w:rsid w:val="00980E22"/>
    <w:rsid w:val="00981B3E"/>
    <w:rsid w:val="00981C2E"/>
    <w:rsid w:val="0098238E"/>
    <w:rsid w:val="00983A20"/>
    <w:rsid w:val="0099190E"/>
    <w:rsid w:val="009954A6"/>
    <w:rsid w:val="00997E33"/>
    <w:rsid w:val="00997F33"/>
    <w:rsid w:val="009A2D6D"/>
    <w:rsid w:val="009A40EA"/>
    <w:rsid w:val="009A4DE6"/>
    <w:rsid w:val="009A5054"/>
    <w:rsid w:val="009A5208"/>
    <w:rsid w:val="009B5527"/>
    <w:rsid w:val="009B71DC"/>
    <w:rsid w:val="009C3B8F"/>
    <w:rsid w:val="009C4430"/>
    <w:rsid w:val="009C562B"/>
    <w:rsid w:val="009C5E52"/>
    <w:rsid w:val="009D0720"/>
    <w:rsid w:val="009D0A35"/>
    <w:rsid w:val="009D207F"/>
    <w:rsid w:val="009D28A7"/>
    <w:rsid w:val="009D4D9B"/>
    <w:rsid w:val="009D5C72"/>
    <w:rsid w:val="009E33A5"/>
    <w:rsid w:val="009E4701"/>
    <w:rsid w:val="009E4E36"/>
    <w:rsid w:val="009F0753"/>
    <w:rsid w:val="009F109F"/>
    <w:rsid w:val="009F38AA"/>
    <w:rsid w:val="009F6527"/>
    <w:rsid w:val="00A0438C"/>
    <w:rsid w:val="00A047E5"/>
    <w:rsid w:val="00A05210"/>
    <w:rsid w:val="00A056DD"/>
    <w:rsid w:val="00A06A82"/>
    <w:rsid w:val="00A07BB2"/>
    <w:rsid w:val="00A07F59"/>
    <w:rsid w:val="00A11DCB"/>
    <w:rsid w:val="00A13D5B"/>
    <w:rsid w:val="00A144FF"/>
    <w:rsid w:val="00A21453"/>
    <w:rsid w:val="00A321BA"/>
    <w:rsid w:val="00A32287"/>
    <w:rsid w:val="00A33180"/>
    <w:rsid w:val="00A3372F"/>
    <w:rsid w:val="00A35CB3"/>
    <w:rsid w:val="00A35DB3"/>
    <w:rsid w:val="00A37017"/>
    <w:rsid w:val="00A4146B"/>
    <w:rsid w:val="00A41C9C"/>
    <w:rsid w:val="00A442FB"/>
    <w:rsid w:val="00A45467"/>
    <w:rsid w:val="00A512DE"/>
    <w:rsid w:val="00A5157A"/>
    <w:rsid w:val="00A56D70"/>
    <w:rsid w:val="00A5751B"/>
    <w:rsid w:val="00A652B3"/>
    <w:rsid w:val="00A71033"/>
    <w:rsid w:val="00A71635"/>
    <w:rsid w:val="00A72905"/>
    <w:rsid w:val="00A74229"/>
    <w:rsid w:val="00A74390"/>
    <w:rsid w:val="00A77C31"/>
    <w:rsid w:val="00A842AA"/>
    <w:rsid w:val="00A87ECD"/>
    <w:rsid w:val="00A94DF0"/>
    <w:rsid w:val="00A964BE"/>
    <w:rsid w:val="00A966EB"/>
    <w:rsid w:val="00AA04F7"/>
    <w:rsid w:val="00AA268E"/>
    <w:rsid w:val="00AA3B51"/>
    <w:rsid w:val="00AA55E2"/>
    <w:rsid w:val="00AA66B0"/>
    <w:rsid w:val="00AA773A"/>
    <w:rsid w:val="00AA7DB0"/>
    <w:rsid w:val="00AB0E4A"/>
    <w:rsid w:val="00AB1086"/>
    <w:rsid w:val="00AC2884"/>
    <w:rsid w:val="00AC5022"/>
    <w:rsid w:val="00AC7840"/>
    <w:rsid w:val="00AD3374"/>
    <w:rsid w:val="00AD3421"/>
    <w:rsid w:val="00AD5561"/>
    <w:rsid w:val="00AE1249"/>
    <w:rsid w:val="00AE1D12"/>
    <w:rsid w:val="00AE4930"/>
    <w:rsid w:val="00AE7164"/>
    <w:rsid w:val="00AE7C86"/>
    <w:rsid w:val="00AF0547"/>
    <w:rsid w:val="00AF2718"/>
    <w:rsid w:val="00AF7ADE"/>
    <w:rsid w:val="00B02AD0"/>
    <w:rsid w:val="00B0309E"/>
    <w:rsid w:val="00B04E68"/>
    <w:rsid w:val="00B164C6"/>
    <w:rsid w:val="00B21AE2"/>
    <w:rsid w:val="00B23467"/>
    <w:rsid w:val="00B23569"/>
    <w:rsid w:val="00B26475"/>
    <w:rsid w:val="00B27286"/>
    <w:rsid w:val="00B325DC"/>
    <w:rsid w:val="00B36C4B"/>
    <w:rsid w:val="00B37B98"/>
    <w:rsid w:val="00B4104A"/>
    <w:rsid w:val="00B44DDB"/>
    <w:rsid w:val="00B46B21"/>
    <w:rsid w:val="00B54B87"/>
    <w:rsid w:val="00B56913"/>
    <w:rsid w:val="00B6021B"/>
    <w:rsid w:val="00B61CCC"/>
    <w:rsid w:val="00B66165"/>
    <w:rsid w:val="00B705A5"/>
    <w:rsid w:val="00B808F1"/>
    <w:rsid w:val="00B80B70"/>
    <w:rsid w:val="00B82579"/>
    <w:rsid w:val="00B83AA0"/>
    <w:rsid w:val="00B8632E"/>
    <w:rsid w:val="00B873C5"/>
    <w:rsid w:val="00B90E68"/>
    <w:rsid w:val="00B93828"/>
    <w:rsid w:val="00BA1D43"/>
    <w:rsid w:val="00BA3CBD"/>
    <w:rsid w:val="00BA3EC9"/>
    <w:rsid w:val="00BA4AA9"/>
    <w:rsid w:val="00BA5E71"/>
    <w:rsid w:val="00BB0AA0"/>
    <w:rsid w:val="00BB13E3"/>
    <w:rsid w:val="00BB2E21"/>
    <w:rsid w:val="00BB57E3"/>
    <w:rsid w:val="00BB691F"/>
    <w:rsid w:val="00BC0B7B"/>
    <w:rsid w:val="00BC0CDA"/>
    <w:rsid w:val="00BC1901"/>
    <w:rsid w:val="00BC4815"/>
    <w:rsid w:val="00BC5775"/>
    <w:rsid w:val="00BD290C"/>
    <w:rsid w:val="00BE193D"/>
    <w:rsid w:val="00BE47FA"/>
    <w:rsid w:val="00BE602A"/>
    <w:rsid w:val="00BE70DD"/>
    <w:rsid w:val="00BE7A6B"/>
    <w:rsid w:val="00BF0D15"/>
    <w:rsid w:val="00BF50A0"/>
    <w:rsid w:val="00BF67FA"/>
    <w:rsid w:val="00C00020"/>
    <w:rsid w:val="00C0174A"/>
    <w:rsid w:val="00C0239D"/>
    <w:rsid w:val="00C02719"/>
    <w:rsid w:val="00C03872"/>
    <w:rsid w:val="00C04128"/>
    <w:rsid w:val="00C06231"/>
    <w:rsid w:val="00C06858"/>
    <w:rsid w:val="00C12F33"/>
    <w:rsid w:val="00C138A8"/>
    <w:rsid w:val="00C165E1"/>
    <w:rsid w:val="00C201BF"/>
    <w:rsid w:val="00C23392"/>
    <w:rsid w:val="00C27351"/>
    <w:rsid w:val="00C33021"/>
    <w:rsid w:val="00C40CCE"/>
    <w:rsid w:val="00C414CA"/>
    <w:rsid w:val="00C4757E"/>
    <w:rsid w:val="00C4784D"/>
    <w:rsid w:val="00C53422"/>
    <w:rsid w:val="00C53935"/>
    <w:rsid w:val="00C550CD"/>
    <w:rsid w:val="00C56E11"/>
    <w:rsid w:val="00C57DAF"/>
    <w:rsid w:val="00C64ABB"/>
    <w:rsid w:val="00C6567F"/>
    <w:rsid w:val="00C6626A"/>
    <w:rsid w:val="00C66980"/>
    <w:rsid w:val="00C729AD"/>
    <w:rsid w:val="00C77A6C"/>
    <w:rsid w:val="00C804EA"/>
    <w:rsid w:val="00C832AC"/>
    <w:rsid w:val="00C93959"/>
    <w:rsid w:val="00C94586"/>
    <w:rsid w:val="00C94DC3"/>
    <w:rsid w:val="00CA6ABA"/>
    <w:rsid w:val="00CB003E"/>
    <w:rsid w:val="00CB0218"/>
    <w:rsid w:val="00CB2724"/>
    <w:rsid w:val="00CB2AA7"/>
    <w:rsid w:val="00CB3778"/>
    <w:rsid w:val="00CB3923"/>
    <w:rsid w:val="00CB54A5"/>
    <w:rsid w:val="00CB55CE"/>
    <w:rsid w:val="00CB665C"/>
    <w:rsid w:val="00CC16DF"/>
    <w:rsid w:val="00CC73FC"/>
    <w:rsid w:val="00CD4AEE"/>
    <w:rsid w:val="00CD579A"/>
    <w:rsid w:val="00CE081F"/>
    <w:rsid w:val="00CE08EB"/>
    <w:rsid w:val="00CE0F86"/>
    <w:rsid w:val="00CE5C81"/>
    <w:rsid w:val="00CE74AA"/>
    <w:rsid w:val="00CE7609"/>
    <w:rsid w:val="00CF1353"/>
    <w:rsid w:val="00CF3B0C"/>
    <w:rsid w:val="00CF4639"/>
    <w:rsid w:val="00CF6A55"/>
    <w:rsid w:val="00CF6D42"/>
    <w:rsid w:val="00CF6E9E"/>
    <w:rsid w:val="00D05949"/>
    <w:rsid w:val="00D0678E"/>
    <w:rsid w:val="00D122F4"/>
    <w:rsid w:val="00D13369"/>
    <w:rsid w:val="00D15421"/>
    <w:rsid w:val="00D16104"/>
    <w:rsid w:val="00D215DD"/>
    <w:rsid w:val="00D230F4"/>
    <w:rsid w:val="00D234DB"/>
    <w:rsid w:val="00D34E9F"/>
    <w:rsid w:val="00D40B44"/>
    <w:rsid w:val="00D40EA6"/>
    <w:rsid w:val="00D42F49"/>
    <w:rsid w:val="00D44FA8"/>
    <w:rsid w:val="00D469A0"/>
    <w:rsid w:val="00D4726D"/>
    <w:rsid w:val="00D47C09"/>
    <w:rsid w:val="00D555ED"/>
    <w:rsid w:val="00D55941"/>
    <w:rsid w:val="00D55B18"/>
    <w:rsid w:val="00D6635E"/>
    <w:rsid w:val="00D67A5F"/>
    <w:rsid w:val="00D67C44"/>
    <w:rsid w:val="00D705AE"/>
    <w:rsid w:val="00D73A9B"/>
    <w:rsid w:val="00D74570"/>
    <w:rsid w:val="00D74C21"/>
    <w:rsid w:val="00D77996"/>
    <w:rsid w:val="00D82123"/>
    <w:rsid w:val="00D84622"/>
    <w:rsid w:val="00D87751"/>
    <w:rsid w:val="00D87CAD"/>
    <w:rsid w:val="00D91564"/>
    <w:rsid w:val="00D92419"/>
    <w:rsid w:val="00D940B3"/>
    <w:rsid w:val="00D96B9A"/>
    <w:rsid w:val="00DA0A53"/>
    <w:rsid w:val="00DA0B96"/>
    <w:rsid w:val="00DA3895"/>
    <w:rsid w:val="00DA79B5"/>
    <w:rsid w:val="00DB0507"/>
    <w:rsid w:val="00DB05F8"/>
    <w:rsid w:val="00DB1EC3"/>
    <w:rsid w:val="00DB4780"/>
    <w:rsid w:val="00DB4856"/>
    <w:rsid w:val="00DC0281"/>
    <w:rsid w:val="00DC0C59"/>
    <w:rsid w:val="00DC14F7"/>
    <w:rsid w:val="00DC389C"/>
    <w:rsid w:val="00DC4299"/>
    <w:rsid w:val="00DD70B2"/>
    <w:rsid w:val="00DD7BF9"/>
    <w:rsid w:val="00DE012F"/>
    <w:rsid w:val="00DE3052"/>
    <w:rsid w:val="00DE3823"/>
    <w:rsid w:val="00DE66EB"/>
    <w:rsid w:val="00DF011A"/>
    <w:rsid w:val="00DF0408"/>
    <w:rsid w:val="00DF0BB5"/>
    <w:rsid w:val="00DF14E4"/>
    <w:rsid w:val="00DF22BE"/>
    <w:rsid w:val="00DF3B67"/>
    <w:rsid w:val="00DF4548"/>
    <w:rsid w:val="00DF4E9E"/>
    <w:rsid w:val="00DF596F"/>
    <w:rsid w:val="00E02DA2"/>
    <w:rsid w:val="00E046D4"/>
    <w:rsid w:val="00E05660"/>
    <w:rsid w:val="00E07D3F"/>
    <w:rsid w:val="00E118DD"/>
    <w:rsid w:val="00E128DE"/>
    <w:rsid w:val="00E13AA0"/>
    <w:rsid w:val="00E17918"/>
    <w:rsid w:val="00E20753"/>
    <w:rsid w:val="00E224C2"/>
    <w:rsid w:val="00E2331B"/>
    <w:rsid w:val="00E277E7"/>
    <w:rsid w:val="00E300A8"/>
    <w:rsid w:val="00E30B87"/>
    <w:rsid w:val="00E30C12"/>
    <w:rsid w:val="00E32596"/>
    <w:rsid w:val="00E32836"/>
    <w:rsid w:val="00E33CC7"/>
    <w:rsid w:val="00E35263"/>
    <w:rsid w:val="00E358DF"/>
    <w:rsid w:val="00E365F4"/>
    <w:rsid w:val="00E36C9B"/>
    <w:rsid w:val="00E41051"/>
    <w:rsid w:val="00E41445"/>
    <w:rsid w:val="00E4282E"/>
    <w:rsid w:val="00E43325"/>
    <w:rsid w:val="00E45C2A"/>
    <w:rsid w:val="00E4640F"/>
    <w:rsid w:val="00E5201A"/>
    <w:rsid w:val="00E55F48"/>
    <w:rsid w:val="00E57E78"/>
    <w:rsid w:val="00E620E6"/>
    <w:rsid w:val="00E64B51"/>
    <w:rsid w:val="00E6689F"/>
    <w:rsid w:val="00E70A64"/>
    <w:rsid w:val="00E71060"/>
    <w:rsid w:val="00E749E7"/>
    <w:rsid w:val="00E775AC"/>
    <w:rsid w:val="00E77C5D"/>
    <w:rsid w:val="00E81684"/>
    <w:rsid w:val="00E82931"/>
    <w:rsid w:val="00E84788"/>
    <w:rsid w:val="00E860A9"/>
    <w:rsid w:val="00E86A9C"/>
    <w:rsid w:val="00E912A6"/>
    <w:rsid w:val="00E9445F"/>
    <w:rsid w:val="00E976D6"/>
    <w:rsid w:val="00EA04C3"/>
    <w:rsid w:val="00EA240F"/>
    <w:rsid w:val="00EA5859"/>
    <w:rsid w:val="00EB3F50"/>
    <w:rsid w:val="00EB603B"/>
    <w:rsid w:val="00EC15B9"/>
    <w:rsid w:val="00EC52BB"/>
    <w:rsid w:val="00ED362C"/>
    <w:rsid w:val="00ED3C3B"/>
    <w:rsid w:val="00ED7C98"/>
    <w:rsid w:val="00EE3AE9"/>
    <w:rsid w:val="00EE4586"/>
    <w:rsid w:val="00EE53DC"/>
    <w:rsid w:val="00EE58E9"/>
    <w:rsid w:val="00EF2BA4"/>
    <w:rsid w:val="00EF3D0D"/>
    <w:rsid w:val="00EF55F5"/>
    <w:rsid w:val="00EF5C18"/>
    <w:rsid w:val="00F00A04"/>
    <w:rsid w:val="00F02E6D"/>
    <w:rsid w:val="00F054D7"/>
    <w:rsid w:val="00F07B00"/>
    <w:rsid w:val="00F111D8"/>
    <w:rsid w:val="00F12DEF"/>
    <w:rsid w:val="00F25BAE"/>
    <w:rsid w:val="00F3128F"/>
    <w:rsid w:val="00F3198E"/>
    <w:rsid w:val="00F35147"/>
    <w:rsid w:val="00F35F27"/>
    <w:rsid w:val="00F37E2A"/>
    <w:rsid w:val="00F42E61"/>
    <w:rsid w:val="00F43C11"/>
    <w:rsid w:val="00F45172"/>
    <w:rsid w:val="00F51254"/>
    <w:rsid w:val="00F52848"/>
    <w:rsid w:val="00F53C90"/>
    <w:rsid w:val="00F54D4F"/>
    <w:rsid w:val="00F56371"/>
    <w:rsid w:val="00F56581"/>
    <w:rsid w:val="00F65F86"/>
    <w:rsid w:val="00F673B1"/>
    <w:rsid w:val="00F7025B"/>
    <w:rsid w:val="00F713B8"/>
    <w:rsid w:val="00F7580B"/>
    <w:rsid w:val="00F77A67"/>
    <w:rsid w:val="00F8073D"/>
    <w:rsid w:val="00F80CA2"/>
    <w:rsid w:val="00F80F6D"/>
    <w:rsid w:val="00F816CE"/>
    <w:rsid w:val="00F8352B"/>
    <w:rsid w:val="00F87AB3"/>
    <w:rsid w:val="00F90C08"/>
    <w:rsid w:val="00F91B4D"/>
    <w:rsid w:val="00F93983"/>
    <w:rsid w:val="00F93A39"/>
    <w:rsid w:val="00F94D28"/>
    <w:rsid w:val="00F96758"/>
    <w:rsid w:val="00F96A31"/>
    <w:rsid w:val="00F97D6C"/>
    <w:rsid w:val="00FA1EB1"/>
    <w:rsid w:val="00FA6B37"/>
    <w:rsid w:val="00FB11C7"/>
    <w:rsid w:val="00FB6F48"/>
    <w:rsid w:val="00FC235E"/>
    <w:rsid w:val="00FC23AF"/>
    <w:rsid w:val="00FC3C26"/>
    <w:rsid w:val="00FC5C4D"/>
    <w:rsid w:val="00FC7B2F"/>
    <w:rsid w:val="00FD0AD7"/>
    <w:rsid w:val="00FD1750"/>
    <w:rsid w:val="00FD194B"/>
    <w:rsid w:val="00FD5FF6"/>
    <w:rsid w:val="00FD682A"/>
    <w:rsid w:val="00FD682F"/>
    <w:rsid w:val="00FE047C"/>
    <w:rsid w:val="00FE1E68"/>
    <w:rsid w:val="00FE440E"/>
    <w:rsid w:val="00FE5D8F"/>
    <w:rsid w:val="00FE66FB"/>
    <w:rsid w:val="00FF1070"/>
    <w:rsid w:val="00FF7963"/>
    <w:rsid w:val="00FF79F8"/>
    <w:rsid w:val="00FF79FB"/>
    <w:rsid w:val="011F65D6"/>
    <w:rsid w:val="0158156C"/>
    <w:rsid w:val="015D6E80"/>
    <w:rsid w:val="016E63F9"/>
    <w:rsid w:val="018E53BB"/>
    <w:rsid w:val="019A7C7D"/>
    <w:rsid w:val="01A67ADE"/>
    <w:rsid w:val="01AD2E01"/>
    <w:rsid w:val="01AD5503"/>
    <w:rsid w:val="01B175E6"/>
    <w:rsid w:val="01CE26A0"/>
    <w:rsid w:val="01CF4023"/>
    <w:rsid w:val="01D06754"/>
    <w:rsid w:val="01DB2B10"/>
    <w:rsid w:val="01DC6DAA"/>
    <w:rsid w:val="01E44A00"/>
    <w:rsid w:val="01F730F5"/>
    <w:rsid w:val="01FB30E3"/>
    <w:rsid w:val="020316CA"/>
    <w:rsid w:val="02090E67"/>
    <w:rsid w:val="0209504C"/>
    <w:rsid w:val="02143DAC"/>
    <w:rsid w:val="02176509"/>
    <w:rsid w:val="022162AA"/>
    <w:rsid w:val="023906E5"/>
    <w:rsid w:val="025B7276"/>
    <w:rsid w:val="02825419"/>
    <w:rsid w:val="0294788F"/>
    <w:rsid w:val="02A202B0"/>
    <w:rsid w:val="02B4259E"/>
    <w:rsid w:val="02BB418F"/>
    <w:rsid w:val="02C238EF"/>
    <w:rsid w:val="02D53E23"/>
    <w:rsid w:val="02ED55BE"/>
    <w:rsid w:val="02FD083E"/>
    <w:rsid w:val="032B5F26"/>
    <w:rsid w:val="03387AAA"/>
    <w:rsid w:val="033F18FD"/>
    <w:rsid w:val="036A389A"/>
    <w:rsid w:val="03733AC2"/>
    <w:rsid w:val="037D53E1"/>
    <w:rsid w:val="037E3260"/>
    <w:rsid w:val="039D4A2B"/>
    <w:rsid w:val="03D05308"/>
    <w:rsid w:val="03D3340F"/>
    <w:rsid w:val="03DB5DAC"/>
    <w:rsid w:val="03E35522"/>
    <w:rsid w:val="03E53E9E"/>
    <w:rsid w:val="03EC7CF2"/>
    <w:rsid w:val="03EF2588"/>
    <w:rsid w:val="04101BF0"/>
    <w:rsid w:val="041B7FFC"/>
    <w:rsid w:val="042626E8"/>
    <w:rsid w:val="042D11A4"/>
    <w:rsid w:val="04345400"/>
    <w:rsid w:val="049C7496"/>
    <w:rsid w:val="04A9221D"/>
    <w:rsid w:val="04DF6864"/>
    <w:rsid w:val="04E65B8D"/>
    <w:rsid w:val="04E71C6C"/>
    <w:rsid w:val="04E75B5B"/>
    <w:rsid w:val="04F0361C"/>
    <w:rsid w:val="04F70694"/>
    <w:rsid w:val="04F94FFF"/>
    <w:rsid w:val="04FA26A2"/>
    <w:rsid w:val="050B2CC2"/>
    <w:rsid w:val="0512425D"/>
    <w:rsid w:val="0518400C"/>
    <w:rsid w:val="051F2025"/>
    <w:rsid w:val="053C6B70"/>
    <w:rsid w:val="054618FA"/>
    <w:rsid w:val="05507C78"/>
    <w:rsid w:val="055E79A3"/>
    <w:rsid w:val="056A5307"/>
    <w:rsid w:val="057000E1"/>
    <w:rsid w:val="05852E0B"/>
    <w:rsid w:val="05962443"/>
    <w:rsid w:val="059C3CB5"/>
    <w:rsid w:val="05A51AA3"/>
    <w:rsid w:val="05CD5CE7"/>
    <w:rsid w:val="05CF2BE4"/>
    <w:rsid w:val="05D83331"/>
    <w:rsid w:val="060E6E80"/>
    <w:rsid w:val="06116DB7"/>
    <w:rsid w:val="061E01D3"/>
    <w:rsid w:val="061F71EF"/>
    <w:rsid w:val="06222385"/>
    <w:rsid w:val="062D2548"/>
    <w:rsid w:val="063338C2"/>
    <w:rsid w:val="065906F6"/>
    <w:rsid w:val="065B6E0B"/>
    <w:rsid w:val="06696014"/>
    <w:rsid w:val="06780C37"/>
    <w:rsid w:val="06992DB7"/>
    <w:rsid w:val="06AA5B10"/>
    <w:rsid w:val="06CF495C"/>
    <w:rsid w:val="06F25F34"/>
    <w:rsid w:val="0703788F"/>
    <w:rsid w:val="070F52E0"/>
    <w:rsid w:val="071E5E0E"/>
    <w:rsid w:val="07381BBA"/>
    <w:rsid w:val="074F7BDE"/>
    <w:rsid w:val="0762510A"/>
    <w:rsid w:val="076F4FFC"/>
    <w:rsid w:val="0778001E"/>
    <w:rsid w:val="079A08E7"/>
    <w:rsid w:val="07A6253A"/>
    <w:rsid w:val="07B96AD3"/>
    <w:rsid w:val="07C738B6"/>
    <w:rsid w:val="07D948CC"/>
    <w:rsid w:val="07FE5F45"/>
    <w:rsid w:val="07FF3F08"/>
    <w:rsid w:val="081945D3"/>
    <w:rsid w:val="082B57A2"/>
    <w:rsid w:val="08311717"/>
    <w:rsid w:val="08426019"/>
    <w:rsid w:val="084B0A05"/>
    <w:rsid w:val="085362F9"/>
    <w:rsid w:val="08570D6B"/>
    <w:rsid w:val="086955C6"/>
    <w:rsid w:val="086E1ED4"/>
    <w:rsid w:val="08866B1D"/>
    <w:rsid w:val="089B6F51"/>
    <w:rsid w:val="08A2298F"/>
    <w:rsid w:val="08B0686F"/>
    <w:rsid w:val="08CE2A18"/>
    <w:rsid w:val="08DE110F"/>
    <w:rsid w:val="08F32CDB"/>
    <w:rsid w:val="08F50FD3"/>
    <w:rsid w:val="08F64A4B"/>
    <w:rsid w:val="090258CB"/>
    <w:rsid w:val="090410B1"/>
    <w:rsid w:val="090F23DD"/>
    <w:rsid w:val="09132EB8"/>
    <w:rsid w:val="092714F6"/>
    <w:rsid w:val="093641E0"/>
    <w:rsid w:val="095021AC"/>
    <w:rsid w:val="095B09E2"/>
    <w:rsid w:val="0980458D"/>
    <w:rsid w:val="09813ACC"/>
    <w:rsid w:val="09B303ED"/>
    <w:rsid w:val="09D231A0"/>
    <w:rsid w:val="09FE73D1"/>
    <w:rsid w:val="0A0F4485"/>
    <w:rsid w:val="0A1606A7"/>
    <w:rsid w:val="0A1B3427"/>
    <w:rsid w:val="0A2A09E0"/>
    <w:rsid w:val="0A2A37A9"/>
    <w:rsid w:val="0A2C3A60"/>
    <w:rsid w:val="0A3138A8"/>
    <w:rsid w:val="0A324397"/>
    <w:rsid w:val="0A392BC9"/>
    <w:rsid w:val="0A6069B8"/>
    <w:rsid w:val="0A686409"/>
    <w:rsid w:val="0A8D3F1E"/>
    <w:rsid w:val="0AC556F3"/>
    <w:rsid w:val="0AF07E43"/>
    <w:rsid w:val="0B173A92"/>
    <w:rsid w:val="0B192521"/>
    <w:rsid w:val="0B1A4810"/>
    <w:rsid w:val="0B40744F"/>
    <w:rsid w:val="0B511945"/>
    <w:rsid w:val="0B6329A6"/>
    <w:rsid w:val="0B676535"/>
    <w:rsid w:val="0B6A2766"/>
    <w:rsid w:val="0B7B6D35"/>
    <w:rsid w:val="0B824424"/>
    <w:rsid w:val="0BA86E3D"/>
    <w:rsid w:val="0BAE6595"/>
    <w:rsid w:val="0BB6747D"/>
    <w:rsid w:val="0BBE484B"/>
    <w:rsid w:val="0BC53752"/>
    <w:rsid w:val="0BCA0CC0"/>
    <w:rsid w:val="0BCB66DA"/>
    <w:rsid w:val="0BD26275"/>
    <w:rsid w:val="0BDB356B"/>
    <w:rsid w:val="0BE21763"/>
    <w:rsid w:val="0BE411E4"/>
    <w:rsid w:val="0C09062B"/>
    <w:rsid w:val="0C307F58"/>
    <w:rsid w:val="0C327D26"/>
    <w:rsid w:val="0C514399"/>
    <w:rsid w:val="0C6533CE"/>
    <w:rsid w:val="0C666F41"/>
    <w:rsid w:val="0C702C11"/>
    <w:rsid w:val="0C7D0B32"/>
    <w:rsid w:val="0C8541A6"/>
    <w:rsid w:val="0C8C1CFD"/>
    <w:rsid w:val="0C964437"/>
    <w:rsid w:val="0C972604"/>
    <w:rsid w:val="0CBC75AE"/>
    <w:rsid w:val="0CCB259D"/>
    <w:rsid w:val="0CD37BC5"/>
    <w:rsid w:val="0CE26BC5"/>
    <w:rsid w:val="0CEF777F"/>
    <w:rsid w:val="0D173089"/>
    <w:rsid w:val="0D1803B8"/>
    <w:rsid w:val="0D1852EF"/>
    <w:rsid w:val="0D1D7E3B"/>
    <w:rsid w:val="0D232AA2"/>
    <w:rsid w:val="0D2C46A5"/>
    <w:rsid w:val="0D356C21"/>
    <w:rsid w:val="0D3C2416"/>
    <w:rsid w:val="0D4138D3"/>
    <w:rsid w:val="0D530F1C"/>
    <w:rsid w:val="0D612572"/>
    <w:rsid w:val="0D754ABD"/>
    <w:rsid w:val="0D89409E"/>
    <w:rsid w:val="0D8D419A"/>
    <w:rsid w:val="0DA4275C"/>
    <w:rsid w:val="0DA8152A"/>
    <w:rsid w:val="0DB31D9E"/>
    <w:rsid w:val="0DBB62D2"/>
    <w:rsid w:val="0DD32049"/>
    <w:rsid w:val="0DDD5C0B"/>
    <w:rsid w:val="0DF82566"/>
    <w:rsid w:val="0E1239BB"/>
    <w:rsid w:val="0E2C52BF"/>
    <w:rsid w:val="0E367CDC"/>
    <w:rsid w:val="0E3B6627"/>
    <w:rsid w:val="0E4C0AC3"/>
    <w:rsid w:val="0E502FE9"/>
    <w:rsid w:val="0E572DAA"/>
    <w:rsid w:val="0E6063E0"/>
    <w:rsid w:val="0E666EB5"/>
    <w:rsid w:val="0E8D2CAC"/>
    <w:rsid w:val="0E9139D9"/>
    <w:rsid w:val="0E951AEE"/>
    <w:rsid w:val="0E986745"/>
    <w:rsid w:val="0EA07F1D"/>
    <w:rsid w:val="0EA73C39"/>
    <w:rsid w:val="0ECB2ED6"/>
    <w:rsid w:val="0F075DAA"/>
    <w:rsid w:val="0F327BF4"/>
    <w:rsid w:val="0F4C02F5"/>
    <w:rsid w:val="0F50311F"/>
    <w:rsid w:val="0F5959B7"/>
    <w:rsid w:val="0F6B2B33"/>
    <w:rsid w:val="0F890DA4"/>
    <w:rsid w:val="0F891A2A"/>
    <w:rsid w:val="0F901B80"/>
    <w:rsid w:val="0FC226D4"/>
    <w:rsid w:val="0FC34D1F"/>
    <w:rsid w:val="0FCD7FF7"/>
    <w:rsid w:val="0FD05DAE"/>
    <w:rsid w:val="0FDA1C1D"/>
    <w:rsid w:val="0FDC6874"/>
    <w:rsid w:val="0FDD363A"/>
    <w:rsid w:val="0FF26B15"/>
    <w:rsid w:val="100159A6"/>
    <w:rsid w:val="100B5F5D"/>
    <w:rsid w:val="100F4C2D"/>
    <w:rsid w:val="101651DC"/>
    <w:rsid w:val="10193D68"/>
    <w:rsid w:val="101A6E46"/>
    <w:rsid w:val="102452EF"/>
    <w:rsid w:val="102D0A5E"/>
    <w:rsid w:val="103344C5"/>
    <w:rsid w:val="10472C73"/>
    <w:rsid w:val="10511B53"/>
    <w:rsid w:val="105A52EC"/>
    <w:rsid w:val="10755AD1"/>
    <w:rsid w:val="107566F7"/>
    <w:rsid w:val="107D01A9"/>
    <w:rsid w:val="107F20D5"/>
    <w:rsid w:val="10875C4F"/>
    <w:rsid w:val="109B03CC"/>
    <w:rsid w:val="109C76C1"/>
    <w:rsid w:val="10B17732"/>
    <w:rsid w:val="10B30B8C"/>
    <w:rsid w:val="10BC70E5"/>
    <w:rsid w:val="10D31EEA"/>
    <w:rsid w:val="10F8590D"/>
    <w:rsid w:val="10FB4805"/>
    <w:rsid w:val="11040D83"/>
    <w:rsid w:val="110969E4"/>
    <w:rsid w:val="110E760C"/>
    <w:rsid w:val="111611DD"/>
    <w:rsid w:val="11165A5A"/>
    <w:rsid w:val="1119261D"/>
    <w:rsid w:val="111C224E"/>
    <w:rsid w:val="11251AF4"/>
    <w:rsid w:val="112E23FC"/>
    <w:rsid w:val="11372409"/>
    <w:rsid w:val="1139526E"/>
    <w:rsid w:val="11420CF3"/>
    <w:rsid w:val="114D4BBD"/>
    <w:rsid w:val="114E56A0"/>
    <w:rsid w:val="116160A5"/>
    <w:rsid w:val="1188437C"/>
    <w:rsid w:val="11890C6C"/>
    <w:rsid w:val="1194223F"/>
    <w:rsid w:val="119753D6"/>
    <w:rsid w:val="11975FEB"/>
    <w:rsid w:val="11A37219"/>
    <w:rsid w:val="11A70309"/>
    <w:rsid w:val="11DA4D81"/>
    <w:rsid w:val="11FF5DA5"/>
    <w:rsid w:val="12064EE1"/>
    <w:rsid w:val="120D05C9"/>
    <w:rsid w:val="120E7E1E"/>
    <w:rsid w:val="1218719E"/>
    <w:rsid w:val="12215F11"/>
    <w:rsid w:val="122E4398"/>
    <w:rsid w:val="1279362F"/>
    <w:rsid w:val="127A4649"/>
    <w:rsid w:val="127F0AF5"/>
    <w:rsid w:val="12826671"/>
    <w:rsid w:val="128C2914"/>
    <w:rsid w:val="1290446D"/>
    <w:rsid w:val="129720B8"/>
    <w:rsid w:val="12A5703B"/>
    <w:rsid w:val="12B02D70"/>
    <w:rsid w:val="12B04250"/>
    <w:rsid w:val="12B37BD2"/>
    <w:rsid w:val="12CA39E2"/>
    <w:rsid w:val="12CE792F"/>
    <w:rsid w:val="12DB29FE"/>
    <w:rsid w:val="12E85F4B"/>
    <w:rsid w:val="13047949"/>
    <w:rsid w:val="13267AB2"/>
    <w:rsid w:val="132E339F"/>
    <w:rsid w:val="1349653E"/>
    <w:rsid w:val="13524A2E"/>
    <w:rsid w:val="136010D8"/>
    <w:rsid w:val="13794D5E"/>
    <w:rsid w:val="13891297"/>
    <w:rsid w:val="13D77957"/>
    <w:rsid w:val="13E15F03"/>
    <w:rsid w:val="13EC1308"/>
    <w:rsid w:val="13EF3707"/>
    <w:rsid w:val="14031121"/>
    <w:rsid w:val="14154833"/>
    <w:rsid w:val="142C2F63"/>
    <w:rsid w:val="143011C5"/>
    <w:rsid w:val="14420E4C"/>
    <w:rsid w:val="145C0940"/>
    <w:rsid w:val="14615889"/>
    <w:rsid w:val="146530A5"/>
    <w:rsid w:val="14662AD7"/>
    <w:rsid w:val="146F3ABA"/>
    <w:rsid w:val="1492250A"/>
    <w:rsid w:val="14A73031"/>
    <w:rsid w:val="14AD4E3C"/>
    <w:rsid w:val="14CA47A2"/>
    <w:rsid w:val="14FF7696"/>
    <w:rsid w:val="150D1A17"/>
    <w:rsid w:val="151C0408"/>
    <w:rsid w:val="153D2BA6"/>
    <w:rsid w:val="15491A77"/>
    <w:rsid w:val="154E4F1D"/>
    <w:rsid w:val="1554208C"/>
    <w:rsid w:val="156575F4"/>
    <w:rsid w:val="15781EF5"/>
    <w:rsid w:val="1581171B"/>
    <w:rsid w:val="15854626"/>
    <w:rsid w:val="158F2835"/>
    <w:rsid w:val="15A7383E"/>
    <w:rsid w:val="15CB7E96"/>
    <w:rsid w:val="15D5483C"/>
    <w:rsid w:val="15F162AB"/>
    <w:rsid w:val="15F43FC5"/>
    <w:rsid w:val="15FC3166"/>
    <w:rsid w:val="160042E5"/>
    <w:rsid w:val="16072901"/>
    <w:rsid w:val="160830E6"/>
    <w:rsid w:val="160A611D"/>
    <w:rsid w:val="160F550C"/>
    <w:rsid w:val="162911F7"/>
    <w:rsid w:val="164E6A0F"/>
    <w:rsid w:val="168020A8"/>
    <w:rsid w:val="1683477C"/>
    <w:rsid w:val="16A545D7"/>
    <w:rsid w:val="16B55786"/>
    <w:rsid w:val="16B8444B"/>
    <w:rsid w:val="16C975DB"/>
    <w:rsid w:val="16CC6413"/>
    <w:rsid w:val="16E210D1"/>
    <w:rsid w:val="170F2D7A"/>
    <w:rsid w:val="1731099F"/>
    <w:rsid w:val="17315E05"/>
    <w:rsid w:val="175D0479"/>
    <w:rsid w:val="175D4012"/>
    <w:rsid w:val="176148B3"/>
    <w:rsid w:val="17686560"/>
    <w:rsid w:val="178C2102"/>
    <w:rsid w:val="178C56AE"/>
    <w:rsid w:val="17AD6784"/>
    <w:rsid w:val="17B11F5F"/>
    <w:rsid w:val="17B403B9"/>
    <w:rsid w:val="17C27CF7"/>
    <w:rsid w:val="17CD0B4B"/>
    <w:rsid w:val="17CD3D1E"/>
    <w:rsid w:val="181359E4"/>
    <w:rsid w:val="181B1599"/>
    <w:rsid w:val="181F3EB1"/>
    <w:rsid w:val="182D5E7E"/>
    <w:rsid w:val="18321055"/>
    <w:rsid w:val="183337D8"/>
    <w:rsid w:val="18356386"/>
    <w:rsid w:val="18365A1B"/>
    <w:rsid w:val="18600ED9"/>
    <w:rsid w:val="18632672"/>
    <w:rsid w:val="186B32EC"/>
    <w:rsid w:val="188016DB"/>
    <w:rsid w:val="18996DCB"/>
    <w:rsid w:val="18A35A82"/>
    <w:rsid w:val="18BE16A2"/>
    <w:rsid w:val="18C953F4"/>
    <w:rsid w:val="18CA4D5A"/>
    <w:rsid w:val="18DC43A3"/>
    <w:rsid w:val="18E046E8"/>
    <w:rsid w:val="18EB6C2D"/>
    <w:rsid w:val="18F17920"/>
    <w:rsid w:val="190D0912"/>
    <w:rsid w:val="190F4F8D"/>
    <w:rsid w:val="19112A65"/>
    <w:rsid w:val="191C552C"/>
    <w:rsid w:val="191E0AA7"/>
    <w:rsid w:val="193B099F"/>
    <w:rsid w:val="193B4E4B"/>
    <w:rsid w:val="19464B88"/>
    <w:rsid w:val="19520E66"/>
    <w:rsid w:val="1954064D"/>
    <w:rsid w:val="195A701F"/>
    <w:rsid w:val="195B4D50"/>
    <w:rsid w:val="19613398"/>
    <w:rsid w:val="196906A5"/>
    <w:rsid w:val="196F3DD8"/>
    <w:rsid w:val="197F6B4D"/>
    <w:rsid w:val="199850B2"/>
    <w:rsid w:val="199E5C8B"/>
    <w:rsid w:val="19A20E66"/>
    <w:rsid w:val="19A4008A"/>
    <w:rsid w:val="19DF606B"/>
    <w:rsid w:val="1A091490"/>
    <w:rsid w:val="1A125F95"/>
    <w:rsid w:val="1A36685B"/>
    <w:rsid w:val="1A531DA2"/>
    <w:rsid w:val="1A654DB4"/>
    <w:rsid w:val="1A757757"/>
    <w:rsid w:val="1A924A6C"/>
    <w:rsid w:val="1A937F12"/>
    <w:rsid w:val="1A9E451A"/>
    <w:rsid w:val="1AD25511"/>
    <w:rsid w:val="1AD75C3A"/>
    <w:rsid w:val="1AE249E9"/>
    <w:rsid w:val="1B012F9C"/>
    <w:rsid w:val="1B0513EA"/>
    <w:rsid w:val="1B3F7238"/>
    <w:rsid w:val="1B465224"/>
    <w:rsid w:val="1B4D5930"/>
    <w:rsid w:val="1B51178D"/>
    <w:rsid w:val="1B5C23E0"/>
    <w:rsid w:val="1B7A300F"/>
    <w:rsid w:val="1BBA3C2E"/>
    <w:rsid w:val="1BCE1737"/>
    <w:rsid w:val="1BD9554B"/>
    <w:rsid w:val="1C005C05"/>
    <w:rsid w:val="1C1A62AA"/>
    <w:rsid w:val="1C1B2D45"/>
    <w:rsid w:val="1C1C3850"/>
    <w:rsid w:val="1C4F508F"/>
    <w:rsid w:val="1C5372E3"/>
    <w:rsid w:val="1C617D30"/>
    <w:rsid w:val="1C681261"/>
    <w:rsid w:val="1CA125C8"/>
    <w:rsid w:val="1CA714A8"/>
    <w:rsid w:val="1CA7693F"/>
    <w:rsid w:val="1CA81EF4"/>
    <w:rsid w:val="1CB471CD"/>
    <w:rsid w:val="1CC232E4"/>
    <w:rsid w:val="1CC758AA"/>
    <w:rsid w:val="1CC95003"/>
    <w:rsid w:val="1CD049D9"/>
    <w:rsid w:val="1CD84490"/>
    <w:rsid w:val="1CEC325E"/>
    <w:rsid w:val="1CF106CF"/>
    <w:rsid w:val="1CF70261"/>
    <w:rsid w:val="1D2D2CF3"/>
    <w:rsid w:val="1D314954"/>
    <w:rsid w:val="1D5D1A84"/>
    <w:rsid w:val="1D714D0F"/>
    <w:rsid w:val="1D716CB0"/>
    <w:rsid w:val="1D783AB6"/>
    <w:rsid w:val="1D856233"/>
    <w:rsid w:val="1D8C35ED"/>
    <w:rsid w:val="1D8F0168"/>
    <w:rsid w:val="1DB2069D"/>
    <w:rsid w:val="1DB5331B"/>
    <w:rsid w:val="1DBC0322"/>
    <w:rsid w:val="1DCB6613"/>
    <w:rsid w:val="1DD43E86"/>
    <w:rsid w:val="1DDD214A"/>
    <w:rsid w:val="1DF7594B"/>
    <w:rsid w:val="1DFA0FEE"/>
    <w:rsid w:val="1E255A22"/>
    <w:rsid w:val="1E3131DB"/>
    <w:rsid w:val="1E450384"/>
    <w:rsid w:val="1E4A1392"/>
    <w:rsid w:val="1E544464"/>
    <w:rsid w:val="1E5C7B4C"/>
    <w:rsid w:val="1E6A3B7F"/>
    <w:rsid w:val="1E93502F"/>
    <w:rsid w:val="1E9F776E"/>
    <w:rsid w:val="1EA06440"/>
    <w:rsid w:val="1EA100C3"/>
    <w:rsid w:val="1ECE04C2"/>
    <w:rsid w:val="1EDD2A7E"/>
    <w:rsid w:val="1EE61CA7"/>
    <w:rsid w:val="1F010A59"/>
    <w:rsid w:val="1F2B3721"/>
    <w:rsid w:val="1F543994"/>
    <w:rsid w:val="1F5E025E"/>
    <w:rsid w:val="1F607565"/>
    <w:rsid w:val="1F7023CB"/>
    <w:rsid w:val="1F7B03B9"/>
    <w:rsid w:val="1F844BEB"/>
    <w:rsid w:val="1F892A21"/>
    <w:rsid w:val="1F93542D"/>
    <w:rsid w:val="1F9A409A"/>
    <w:rsid w:val="1FC61C97"/>
    <w:rsid w:val="1FCC2E8F"/>
    <w:rsid w:val="1FD14FDF"/>
    <w:rsid w:val="1FDD2AA6"/>
    <w:rsid w:val="1FDF5489"/>
    <w:rsid w:val="1FEA2106"/>
    <w:rsid w:val="1FEC00B5"/>
    <w:rsid w:val="1FEC5182"/>
    <w:rsid w:val="1FF715A0"/>
    <w:rsid w:val="20445063"/>
    <w:rsid w:val="2059423F"/>
    <w:rsid w:val="20730C4C"/>
    <w:rsid w:val="20850416"/>
    <w:rsid w:val="20A03A95"/>
    <w:rsid w:val="20AA7959"/>
    <w:rsid w:val="20BC0728"/>
    <w:rsid w:val="20C15AFA"/>
    <w:rsid w:val="20C222FF"/>
    <w:rsid w:val="20CC5201"/>
    <w:rsid w:val="20D851C2"/>
    <w:rsid w:val="20E8499B"/>
    <w:rsid w:val="20FB44E9"/>
    <w:rsid w:val="211D0B08"/>
    <w:rsid w:val="212717AC"/>
    <w:rsid w:val="21312494"/>
    <w:rsid w:val="213D585A"/>
    <w:rsid w:val="2144727F"/>
    <w:rsid w:val="21540BE4"/>
    <w:rsid w:val="216471CE"/>
    <w:rsid w:val="217C52B9"/>
    <w:rsid w:val="218B7ED0"/>
    <w:rsid w:val="21904F9A"/>
    <w:rsid w:val="21997F25"/>
    <w:rsid w:val="219E49BB"/>
    <w:rsid w:val="21CE0431"/>
    <w:rsid w:val="21CF436B"/>
    <w:rsid w:val="21E035B6"/>
    <w:rsid w:val="21EC1819"/>
    <w:rsid w:val="21F14BE5"/>
    <w:rsid w:val="21FC12D9"/>
    <w:rsid w:val="2211528B"/>
    <w:rsid w:val="223D1A67"/>
    <w:rsid w:val="22464820"/>
    <w:rsid w:val="22513B95"/>
    <w:rsid w:val="22570411"/>
    <w:rsid w:val="226C6475"/>
    <w:rsid w:val="226D1522"/>
    <w:rsid w:val="22C956EE"/>
    <w:rsid w:val="22D05863"/>
    <w:rsid w:val="22D26032"/>
    <w:rsid w:val="22D96826"/>
    <w:rsid w:val="22E12431"/>
    <w:rsid w:val="230D42C2"/>
    <w:rsid w:val="231A2F44"/>
    <w:rsid w:val="23231469"/>
    <w:rsid w:val="232F0790"/>
    <w:rsid w:val="235D3C9C"/>
    <w:rsid w:val="2360409F"/>
    <w:rsid w:val="236F0ED8"/>
    <w:rsid w:val="237E12CB"/>
    <w:rsid w:val="237E3A25"/>
    <w:rsid w:val="238F4DD5"/>
    <w:rsid w:val="23B411B6"/>
    <w:rsid w:val="23BA05F0"/>
    <w:rsid w:val="23BD324D"/>
    <w:rsid w:val="23C31E7C"/>
    <w:rsid w:val="23CD5A54"/>
    <w:rsid w:val="23CE5EF1"/>
    <w:rsid w:val="23EA6DE7"/>
    <w:rsid w:val="23ED18EA"/>
    <w:rsid w:val="23F32496"/>
    <w:rsid w:val="243A550E"/>
    <w:rsid w:val="24412133"/>
    <w:rsid w:val="24481592"/>
    <w:rsid w:val="245D2237"/>
    <w:rsid w:val="24634EC1"/>
    <w:rsid w:val="2464133D"/>
    <w:rsid w:val="246D235C"/>
    <w:rsid w:val="247767B0"/>
    <w:rsid w:val="24792273"/>
    <w:rsid w:val="247A22FB"/>
    <w:rsid w:val="248A33E6"/>
    <w:rsid w:val="248F320D"/>
    <w:rsid w:val="24AD2392"/>
    <w:rsid w:val="24B72BDC"/>
    <w:rsid w:val="24E45DA7"/>
    <w:rsid w:val="2508680C"/>
    <w:rsid w:val="2527615E"/>
    <w:rsid w:val="252F0FB1"/>
    <w:rsid w:val="253138D4"/>
    <w:rsid w:val="253849E2"/>
    <w:rsid w:val="253F1357"/>
    <w:rsid w:val="254D7DF9"/>
    <w:rsid w:val="25605025"/>
    <w:rsid w:val="25623E46"/>
    <w:rsid w:val="257012E3"/>
    <w:rsid w:val="257266BD"/>
    <w:rsid w:val="25AC4F43"/>
    <w:rsid w:val="25AE5D63"/>
    <w:rsid w:val="25C878D4"/>
    <w:rsid w:val="25CC3378"/>
    <w:rsid w:val="25E4702A"/>
    <w:rsid w:val="25EA69A1"/>
    <w:rsid w:val="25ED149B"/>
    <w:rsid w:val="2603767D"/>
    <w:rsid w:val="262E0C30"/>
    <w:rsid w:val="263415B6"/>
    <w:rsid w:val="26363969"/>
    <w:rsid w:val="263E4B6D"/>
    <w:rsid w:val="26667CF1"/>
    <w:rsid w:val="268243F4"/>
    <w:rsid w:val="26996D27"/>
    <w:rsid w:val="26A31C5B"/>
    <w:rsid w:val="26A739CC"/>
    <w:rsid w:val="26A82E24"/>
    <w:rsid w:val="26DB0FF6"/>
    <w:rsid w:val="26E82FAE"/>
    <w:rsid w:val="26F811B5"/>
    <w:rsid w:val="27054874"/>
    <w:rsid w:val="270A354F"/>
    <w:rsid w:val="2711434A"/>
    <w:rsid w:val="276949FA"/>
    <w:rsid w:val="2785238E"/>
    <w:rsid w:val="279C0864"/>
    <w:rsid w:val="27A8132D"/>
    <w:rsid w:val="27E9419D"/>
    <w:rsid w:val="27F142DE"/>
    <w:rsid w:val="27FD518D"/>
    <w:rsid w:val="28140829"/>
    <w:rsid w:val="281F59AE"/>
    <w:rsid w:val="28343C59"/>
    <w:rsid w:val="28534819"/>
    <w:rsid w:val="285A186A"/>
    <w:rsid w:val="285E0851"/>
    <w:rsid w:val="286679FC"/>
    <w:rsid w:val="2878726B"/>
    <w:rsid w:val="2888382E"/>
    <w:rsid w:val="288C2568"/>
    <w:rsid w:val="289B0253"/>
    <w:rsid w:val="28C10DD6"/>
    <w:rsid w:val="28C6134F"/>
    <w:rsid w:val="28D52467"/>
    <w:rsid w:val="28D86CF9"/>
    <w:rsid w:val="28DE7D6B"/>
    <w:rsid w:val="28F717E3"/>
    <w:rsid w:val="290221F3"/>
    <w:rsid w:val="290E37F1"/>
    <w:rsid w:val="2915456B"/>
    <w:rsid w:val="29427126"/>
    <w:rsid w:val="29432817"/>
    <w:rsid w:val="294A6719"/>
    <w:rsid w:val="294D6120"/>
    <w:rsid w:val="2962449C"/>
    <w:rsid w:val="298266CA"/>
    <w:rsid w:val="29881391"/>
    <w:rsid w:val="298C24D6"/>
    <w:rsid w:val="2997499C"/>
    <w:rsid w:val="299B1DD6"/>
    <w:rsid w:val="299E7626"/>
    <w:rsid w:val="29A52B05"/>
    <w:rsid w:val="29AE6BE5"/>
    <w:rsid w:val="29B10EDD"/>
    <w:rsid w:val="29D9156F"/>
    <w:rsid w:val="29DA2A1A"/>
    <w:rsid w:val="29DA5184"/>
    <w:rsid w:val="29E334E4"/>
    <w:rsid w:val="29E95A18"/>
    <w:rsid w:val="29FA05EA"/>
    <w:rsid w:val="29FE0468"/>
    <w:rsid w:val="2A0A3243"/>
    <w:rsid w:val="2A2033A7"/>
    <w:rsid w:val="2A247F3C"/>
    <w:rsid w:val="2A3A70DC"/>
    <w:rsid w:val="2A3D7C26"/>
    <w:rsid w:val="2A586FF8"/>
    <w:rsid w:val="2A6E29A9"/>
    <w:rsid w:val="2A78635B"/>
    <w:rsid w:val="2A84669C"/>
    <w:rsid w:val="2A88408D"/>
    <w:rsid w:val="2A885C72"/>
    <w:rsid w:val="2A8A7838"/>
    <w:rsid w:val="2A92118D"/>
    <w:rsid w:val="2AA371B3"/>
    <w:rsid w:val="2AA84F05"/>
    <w:rsid w:val="2AAA17F9"/>
    <w:rsid w:val="2ABB48CC"/>
    <w:rsid w:val="2ABB77FB"/>
    <w:rsid w:val="2AE7630E"/>
    <w:rsid w:val="2AFB7172"/>
    <w:rsid w:val="2B116A9A"/>
    <w:rsid w:val="2B184C26"/>
    <w:rsid w:val="2B194DBF"/>
    <w:rsid w:val="2B344107"/>
    <w:rsid w:val="2B370BC4"/>
    <w:rsid w:val="2B45651C"/>
    <w:rsid w:val="2B511A8A"/>
    <w:rsid w:val="2B55180B"/>
    <w:rsid w:val="2B58521E"/>
    <w:rsid w:val="2B5C6D0E"/>
    <w:rsid w:val="2B635406"/>
    <w:rsid w:val="2B77064A"/>
    <w:rsid w:val="2B99474B"/>
    <w:rsid w:val="2B9D03AD"/>
    <w:rsid w:val="2BA0147C"/>
    <w:rsid w:val="2BCD3CB9"/>
    <w:rsid w:val="2BEC699D"/>
    <w:rsid w:val="2BF7734E"/>
    <w:rsid w:val="2C037C56"/>
    <w:rsid w:val="2C0716D1"/>
    <w:rsid w:val="2C250F09"/>
    <w:rsid w:val="2C37527D"/>
    <w:rsid w:val="2C4231A6"/>
    <w:rsid w:val="2C4D101D"/>
    <w:rsid w:val="2C4E7B43"/>
    <w:rsid w:val="2C5916FF"/>
    <w:rsid w:val="2C6D21CE"/>
    <w:rsid w:val="2C7E193A"/>
    <w:rsid w:val="2C7F60D3"/>
    <w:rsid w:val="2C8E5011"/>
    <w:rsid w:val="2C944D34"/>
    <w:rsid w:val="2CAA0F80"/>
    <w:rsid w:val="2CBA5CAC"/>
    <w:rsid w:val="2CBD3580"/>
    <w:rsid w:val="2CC65387"/>
    <w:rsid w:val="2CEA2359"/>
    <w:rsid w:val="2CF76641"/>
    <w:rsid w:val="2D055D4A"/>
    <w:rsid w:val="2D0D2719"/>
    <w:rsid w:val="2D34169C"/>
    <w:rsid w:val="2D3E6864"/>
    <w:rsid w:val="2D490FC7"/>
    <w:rsid w:val="2D4F5290"/>
    <w:rsid w:val="2D5613C2"/>
    <w:rsid w:val="2D594881"/>
    <w:rsid w:val="2D6C416F"/>
    <w:rsid w:val="2D7B60DA"/>
    <w:rsid w:val="2D821FB1"/>
    <w:rsid w:val="2D8A3EBA"/>
    <w:rsid w:val="2D9B034B"/>
    <w:rsid w:val="2D9F5A94"/>
    <w:rsid w:val="2DA33FD6"/>
    <w:rsid w:val="2DBF2F4F"/>
    <w:rsid w:val="2DC02A9E"/>
    <w:rsid w:val="2DE675E5"/>
    <w:rsid w:val="2DF5263A"/>
    <w:rsid w:val="2E057BB2"/>
    <w:rsid w:val="2E0A6539"/>
    <w:rsid w:val="2E0A7E71"/>
    <w:rsid w:val="2E1E4F33"/>
    <w:rsid w:val="2E3B64D7"/>
    <w:rsid w:val="2E3C19F7"/>
    <w:rsid w:val="2E3C1EC2"/>
    <w:rsid w:val="2E402EF8"/>
    <w:rsid w:val="2E4F170A"/>
    <w:rsid w:val="2E566FC3"/>
    <w:rsid w:val="2E5D4FA8"/>
    <w:rsid w:val="2E6861D0"/>
    <w:rsid w:val="2E7841C7"/>
    <w:rsid w:val="2E7F3379"/>
    <w:rsid w:val="2E913A1A"/>
    <w:rsid w:val="2E942420"/>
    <w:rsid w:val="2E9637FB"/>
    <w:rsid w:val="2EA25EC6"/>
    <w:rsid w:val="2EB13BC8"/>
    <w:rsid w:val="2EBF2C92"/>
    <w:rsid w:val="2EC27208"/>
    <w:rsid w:val="2ED6372C"/>
    <w:rsid w:val="2EF92DC6"/>
    <w:rsid w:val="2EFF5465"/>
    <w:rsid w:val="2F367688"/>
    <w:rsid w:val="2F382599"/>
    <w:rsid w:val="2F3B018D"/>
    <w:rsid w:val="2F3B0E03"/>
    <w:rsid w:val="2F475C7C"/>
    <w:rsid w:val="2F4A4214"/>
    <w:rsid w:val="2F6D303A"/>
    <w:rsid w:val="2F7F59A5"/>
    <w:rsid w:val="2F9A2FE0"/>
    <w:rsid w:val="2FA66DCB"/>
    <w:rsid w:val="2FEF5C9D"/>
    <w:rsid w:val="2FFB132F"/>
    <w:rsid w:val="2FFC1D59"/>
    <w:rsid w:val="30243A3B"/>
    <w:rsid w:val="302C2E7D"/>
    <w:rsid w:val="30317714"/>
    <w:rsid w:val="30331B18"/>
    <w:rsid w:val="30383DC8"/>
    <w:rsid w:val="304B643B"/>
    <w:rsid w:val="3066004D"/>
    <w:rsid w:val="3067426F"/>
    <w:rsid w:val="307636C0"/>
    <w:rsid w:val="3078785B"/>
    <w:rsid w:val="307C201E"/>
    <w:rsid w:val="308465C8"/>
    <w:rsid w:val="30995E55"/>
    <w:rsid w:val="30C34A07"/>
    <w:rsid w:val="30C82853"/>
    <w:rsid w:val="30CC0271"/>
    <w:rsid w:val="30EF6BCD"/>
    <w:rsid w:val="30F20FA9"/>
    <w:rsid w:val="30FE0403"/>
    <w:rsid w:val="311656BC"/>
    <w:rsid w:val="311E1911"/>
    <w:rsid w:val="312B7547"/>
    <w:rsid w:val="312F39FB"/>
    <w:rsid w:val="313127E5"/>
    <w:rsid w:val="3133319A"/>
    <w:rsid w:val="313F0745"/>
    <w:rsid w:val="314B028E"/>
    <w:rsid w:val="31594595"/>
    <w:rsid w:val="31614F93"/>
    <w:rsid w:val="31696406"/>
    <w:rsid w:val="316E2F94"/>
    <w:rsid w:val="316F1034"/>
    <w:rsid w:val="316F4622"/>
    <w:rsid w:val="318322A4"/>
    <w:rsid w:val="31C43DAD"/>
    <w:rsid w:val="31C5081F"/>
    <w:rsid w:val="31D41C53"/>
    <w:rsid w:val="31EF4A99"/>
    <w:rsid w:val="31F40056"/>
    <w:rsid w:val="31F554A8"/>
    <w:rsid w:val="31FE0981"/>
    <w:rsid w:val="320740A8"/>
    <w:rsid w:val="3213596A"/>
    <w:rsid w:val="321808C8"/>
    <w:rsid w:val="322250C6"/>
    <w:rsid w:val="3226147E"/>
    <w:rsid w:val="32342C37"/>
    <w:rsid w:val="32352821"/>
    <w:rsid w:val="323F43EF"/>
    <w:rsid w:val="32421EBD"/>
    <w:rsid w:val="324B3712"/>
    <w:rsid w:val="324F6087"/>
    <w:rsid w:val="3254043E"/>
    <w:rsid w:val="325E0E0B"/>
    <w:rsid w:val="325E717A"/>
    <w:rsid w:val="326D2D74"/>
    <w:rsid w:val="32992167"/>
    <w:rsid w:val="32CE5C8C"/>
    <w:rsid w:val="32ED05F0"/>
    <w:rsid w:val="3300624A"/>
    <w:rsid w:val="33054CF4"/>
    <w:rsid w:val="33382DC2"/>
    <w:rsid w:val="33772B98"/>
    <w:rsid w:val="33916089"/>
    <w:rsid w:val="339B7097"/>
    <w:rsid w:val="33A217A0"/>
    <w:rsid w:val="33B226E8"/>
    <w:rsid w:val="33C05DDD"/>
    <w:rsid w:val="33C36B88"/>
    <w:rsid w:val="33CA29F9"/>
    <w:rsid w:val="33D71898"/>
    <w:rsid w:val="340E00BE"/>
    <w:rsid w:val="34266909"/>
    <w:rsid w:val="342C54F0"/>
    <w:rsid w:val="34386527"/>
    <w:rsid w:val="343B32CE"/>
    <w:rsid w:val="34467365"/>
    <w:rsid w:val="3490016D"/>
    <w:rsid w:val="34A82583"/>
    <w:rsid w:val="34AD6156"/>
    <w:rsid w:val="34AE011D"/>
    <w:rsid w:val="34B54FE1"/>
    <w:rsid w:val="34BB42F6"/>
    <w:rsid w:val="34CA5325"/>
    <w:rsid w:val="34EF37A8"/>
    <w:rsid w:val="350018B2"/>
    <w:rsid w:val="351A6630"/>
    <w:rsid w:val="3529391A"/>
    <w:rsid w:val="35297257"/>
    <w:rsid w:val="353A2A41"/>
    <w:rsid w:val="3542161F"/>
    <w:rsid w:val="35422082"/>
    <w:rsid w:val="354F14FD"/>
    <w:rsid w:val="35607857"/>
    <w:rsid w:val="35634238"/>
    <w:rsid w:val="356F5374"/>
    <w:rsid w:val="35734284"/>
    <w:rsid w:val="35764AB7"/>
    <w:rsid w:val="35BF67E5"/>
    <w:rsid w:val="35C24A9A"/>
    <w:rsid w:val="35C42EEA"/>
    <w:rsid w:val="35DB4C68"/>
    <w:rsid w:val="35DC1210"/>
    <w:rsid w:val="362A1EF9"/>
    <w:rsid w:val="36382D67"/>
    <w:rsid w:val="363953F9"/>
    <w:rsid w:val="36604909"/>
    <w:rsid w:val="366276BB"/>
    <w:rsid w:val="366836AE"/>
    <w:rsid w:val="367F31DB"/>
    <w:rsid w:val="368E2F5E"/>
    <w:rsid w:val="369A40A7"/>
    <w:rsid w:val="36A63D04"/>
    <w:rsid w:val="36AF6AFE"/>
    <w:rsid w:val="36BF09B9"/>
    <w:rsid w:val="36C507D2"/>
    <w:rsid w:val="36D84EEE"/>
    <w:rsid w:val="36EB4718"/>
    <w:rsid w:val="37010417"/>
    <w:rsid w:val="3709445E"/>
    <w:rsid w:val="37107EAE"/>
    <w:rsid w:val="37200923"/>
    <w:rsid w:val="37346D30"/>
    <w:rsid w:val="374E1098"/>
    <w:rsid w:val="376A313E"/>
    <w:rsid w:val="3771508C"/>
    <w:rsid w:val="378B0037"/>
    <w:rsid w:val="378E7AEF"/>
    <w:rsid w:val="379337C8"/>
    <w:rsid w:val="37B41876"/>
    <w:rsid w:val="37C5317C"/>
    <w:rsid w:val="37C563A8"/>
    <w:rsid w:val="37D253D5"/>
    <w:rsid w:val="37F66795"/>
    <w:rsid w:val="37F73C28"/>
    <w:rsid w:val="37FD1712"/>
    <w:rsid w:val="37FD63B9"/>
    <w:rsid w:val="38210F83"/>
    <w:rsid w:val="38432489"/>
    <w:rsid w:val="38626C48"/>
    <w:rsid w:val="386555B4"/>
    <w:rsid w:val="38666EE1"/>
    <w:rsid w:val="387E576C"/>
    <w:rsid w:val="3885539C"/>
    <w:rsid w:val="3887584F"/>
    <w:rsid w:val="38A411E0"/>
    <w:rsid w:val="38CD1716"/>
    <w:rsid w:val="38D54DC4"/>
    <w:rsid w:val="38DE1292"/>
    <w:rsid w:val="39336439"/>
    <w:rsid w:val="393568CC"/>
    <w:rsid w:val="39622CDA"/>
    <w:rsid w:val="39B177BE"/>
    <w:rsid w:val="39BB19A5"/>
    <w:rsid w:val="39DF4418"/>
    <w:rsid w:val="39F138EC"/>
    <w:rsid w:val="3A0C17F2"/>
    <w:rsid w:val="3A12442F"/>
    <w:rsid w:val="3A1E15C5"/>
    <w:rsid w:val="3A251997"/>
    <w:rsid w:val="3A4C07DF"/>
    <w:rsid w:val="3A850EC8"/>
    <w:rsid w:val="3A8C2297"/>
    <w:rsid w:val="3A8D5226"/>
    <w:rsid w:val="3A965040"/>
    <w:rsid w:val="3AA33360"/>
    <w:rsid w:val="3AB07377"/>
    <w:rsid w:val="3ABE2957"/>
    <w:rsid w:val="3AC450D9"/>
    <w:rsid w:val="3AF33BDC"/>
    <w:rsid w:val="3AF64B29"/>
    <w:rsid w:val="3B0A1B94"/>
    <w:rsid w:val="3B0B0879"/>
    <w:rsid w:val="3B0F4C2F"/>
    <w:rsid w:val="3B191E9E"/>
    <w:rsid w:val="3B191FF9"/>
    <w:rsid w:val="3B1E15B7"/>
    <w:rsid w:val="3B1E1B96"/>
    <w:rsid w:val="3B274B26"/>
    <w:rsid w:val="3B3119A1"/>
    <w:rsid w:val="3B374F7E"/>
    <w:rsid w:val="3B432326"/>
    <w:rsid w:val="3B44718A"/>
    <w:rsid w:val="3B647267"/>
    <w:rsid w:val="3B655AAB"/>
    <w:rsid w:val="3B661367"/>
    <w:rsid w:val="3B80237D"/>
    <w:rsid w:val="3B8826F3"/>
    <w:rsid w:val="3B916533"/>
    <w:rsid w:val="3B936383"/>
    <w:rsid w:val="3BC63599"/>
    <w:rsid w:val="3BCA6ED6"/>
    <w:rsid w:val="3BCF1A22"/>
    <w:rsid w:val="3BD30FAD"/>
    <w:rsid w:val="3BD579B1"/>
    <w:rsid w:val="3BD940DA"/>
    <w:rsid w:val="3BEA5867"/>
    <w:rsid w:val="3BF05DAE"/>
    <w:rsid w:val="3BF55CFE"/>
    <w:rsid w:val="3C0C6507"/>
    <w:rsid w:val="3C0E5C63"/>
    <w:rsid w:val="3C132906"/>
    <w:rsid w:val="3C141232"/>
    <w:rsid w:val="3C2C7715"/>
    <w:rsid w:val="3C3D30FE"/>
    <w:rsid w:val="3C5E1EDB"/>
    <w:rsid w:val="3C8955F2"/>
    <w:rsid w:val="3C9056E6"/>
    <w:rsid w:val="3C9A6D17"/>
    <w:rsid w:val="3CA5415A"/>
    <w:rsid w:val="3CB53C62"/>
    <w:rsid w:val="3CBC33CF"/>
    <w:rsid w:val="3CCD7EF5"/>
    <w:rsid w:val="3CD65FD0"/>
    <w:rsid w:val="3CF95386"/>
    <w:rsid w:val="3D0C0A3A"/>
    <w:rsid w:val="3D0E7A1D"/>
    <w:rsid w:val="3D20259F"/>
    <w:rsid w:val="3D2F046D"/>
    <w:rsid w:val="3D360098"/>
    <w:rsid w:val="3D376379"/>
    <w:rsid w:val="3D4D0964"/>
    <w:rsid w:val="3D660FF2"/>
    <w:rsid w:val="3D6809A9"/>
    <w:rsid w:val="3D697CF1"/>
    <w:rsid w:val="3D86312A"/>
    <w:rsid w:val="3DB624CA"/>
    <w:rsid w:val="3DBA119B"/>
    <w:rsid w:val="3DC66193"/>
    <w:rsid w:val="3DD82D02"/>
    <w:rsid w:val="3DE73901"/>
    <w:rsid w:val="3DF02A80"/>
    <w:rsid w:val="3DF4531C"/>
    <w:rsid w:val="3E02579D"/>
    <w:rsid w:val="3E217729"/>
    <w:rsid w:val="3E282408"/>
    <w:rsid w:val="3E4953ED"/>
    <w:rsid w:val="3E81070D"/>
    <w:rsid w:val="3E946A02"/>
    <w:rsid w:val="3EA73BD7"/>
    <w:rsid w:val="3EBA139B"/>
    <w:rsid w:val="3EE53886"/>
    <w:rsid w:val="3EF11D7C"/>
    <w:rsid w:val="3EFB7A4F"/>
    <w:rsid w:val="3F03785A"/>
    <w:rsid w:val="3F05034E"/>
    <w:rsid w:val="3F064091"/>
    <w:rsid w:val="3F1D3188"/>
    <w:rsid w:val="3F344620"/>
    <w:rsid w:val="3F484DCF"/>
    <w:rsid w:val="3F4F373E"/>
    <w:rsid w:val="3F5127CF"/>
    <w:rsid w:val="3F685F8A"/>
    <w:rsid w:val="3F6A1D94"/>
    <w:rsid w:val="3F762CC8"/>
    <w:rsid w:val="3F963197"/>
    <w:rsid w:val="3FA26098"/>
    <w:rsid w:val="3FCE54C1"/>
    <w:rsid w:val="3FCE7F87"/>
    <w:rsid w:val="3FE41675"/>
    <w:rsid w:val="400957C9"/>
    <w:rsid w:val="40255F50"/>
    <w:rsid w:val="402E37B1"/>
    <w:rsid w:val="403E5FE4"/>
    <w:rsid w:val="404E1D8E"/>
    <w:rsid w:val="4054420F"/>
    <w:rsid w:val="405B441C"/>
    <w:rsid w:val="40641431"/>
    <w:rsid w:val="406E49F7"/>
    <w:rsid w:val="407E1D82"/>
    <w:rsid w:val="40864A45"/>
    <w:rsid w:val="40870463"/>
    <w:rsid w:val="409B36FB"/>
    <w:rsid w:val="40A11B62"/>
    <w:rsid w:val="40B32F61"/>
    <w:rsid w:val="40DD65FC"/>
    <w:rsid w:val="40EB76D4"/>
    <w:rsid w:val="40F65D5D"/>
    <w:rsid w:val="40F73205"/>
    <w:rsid w:val="40F849C7"/>
    <w:rsid w:val="41014156"/>
    <w:rsid w:val="411B6109"/>
    <w:rsid w:val="41223BE8"/>
    <w:rsid w:val="412C5B37"/>
    <w:rsid w:val="412E4C7F"/>
    <w:rsid w:val="41444ABD"/>
    <w:rsid w:val="41456331"/>
    <w:rsid w:val="414A6C45"/>
    <w:rsid w:val="414F4C40"/>
    <w:rsid w:val="416D1CDE"/>
    <w:rsid w:val="41746FA7"/>
    <w:rsid w:val="417A41AA"/>
    <w:rsid w:val="41944567"/>
    <w:rsid w:val="41995CE7"/>
    <w:rsid w:val="41A40187"/>
    <w:rsid w:val="41A85CE1"/>
    <w:rsid w:val="41B50FA2"/>
    <w:rsid w:val="41CC44D2"/>
    <w:rsid w:val="41D863EE"/>
    <w:rsid w:val="420C649C"/>
    <w:rsid w:val="42150EFF"/>
    <w:rsid w:val="423C539D"/>
    <w:rsid w:val="4243063A"/>
    <w:rsid w:val="424675AB"/>
    <w:rsid w:val="42574BEA"/>
    <w:rsid w:val="425E660F"/>
    <w:rsid w:val="42A50A45"/>
    <w:rsid w:val="42B17DBF"/>
    <w:rsid w:val="42B36E09"/>
    <w:rsid w:val="42C336BA"/>
    <w:rsid w:val="42E136AC"/>
    <w:rsid w:val="43016AA0"/>
    <w:rsid w:val="431660B6"/>
    <w:rsid w:val="431B1FB4"/>
    <w:rsid w:val="4345143A"/>
    <w:rsid w:val="43513F0C"/>
    <w:rsid w:val="435512E9"/>
    <w:rsid w:val="43597A55"/>
    <w:rsid w:val="43671BEF"/>
    <w:rsid w:val="43892E9A"/>
    <w:rsid w:val="438A28CF"/>
    <w:rsid w:val="43976403"/>
    <w:rsid w:val="43AF6007"/>
    <w:rsid w:val="43C1604C"/>
    <w:rsid w:val="43CC21DD"/>
    <w:rsid w:val="43D27B13"/>
    <w:rsid w:val="43E3316F"/>
    <w:rsid w:val="43E34D2B"/>
    <w:rsid w:val="43E64655"/>
    <w:rsid w:val="43F26F93"/>
    <w:rsid w:val="43F95CCB"/>
    <w:rsid w:val="44063823"/>
    <w:rsid w:val="44116086"/>
    <w:rsid w:val="441931FA"/>
    <w:rsid w:val="4429305A"/>
    <w:rsid w:val="442E35D5"/>
    <w:rsid w:val="44356571"/>
    <w:rsid w:val="44412B90"/>
    <w:rsid w:val="444E0C83"/>
    <w:rsid w:val="44510C6F"/>
    <w:rsid w:val="44514E55"/>
    <w:rsid w:val="44602FD6"/>
    <w:rsid w:val="44673F42"/>
    <w:rsid w:val="449338E1"/>
    <w:rsid w:val="449E0263"/>
    <w:rsid w:val="44B10E6D"/>
    <w:rsid w:val="44C43D1D"/>
    <w:rsid w:val="44C45548"/>
    <w:rsid w:val="44E47101"/>
    <w:rsid w:val="44EF0A3B"/>
    <w:rsid w:val="450A193F"/>
    <w:rsid w:val="450E3EE3"/>
    <w:rsid w:val="451A3E3B"/>
    <w:rsid w:val="451E2865"/>
    <w:rsid w:val="453759A4"/>
    <w:rsid w:val="454B1417"/>
    <w:rsid w:val="455A7376"/>
    <w:rsid w:val="455B014F"/>
    <w:rsid w:val="4568594A"/>
    <w:rsid w:val="456C7CFF"/>
    <w:rsid w:val="45807091"/>
    <w:rsid w:val="45884DCC"/>
    <w:rsid w:val="45931377"/>
    <w:rsid w:val="45966245"/>
    <w:rsid w:val="45BD3779"/>
    <w:rsid w:val="45C313C6"/>
    <w:rsid w:val="45C54B30"/>
    <w:rsid w:val="45DF2FF2"/>
    <w:rsid w:val="45E57E63"/>
    <w:rsid w:val="462C4169"/>
    <w:rsid w:val="46391366"/>
    <w:rsid w:val="464A73D4"/>
    <w:rsid w:val="466B3889"/>
    <w:rsid w:val="468031B0"/>
    <w:rsid w:val="46902F02"/>
    <w:rsid w:val="469E683E"/>
    <w:rsid w:val="46A31B07"/>
    <w:rsid w:val="46BE1699"/>
    <w:rsid w:val="46CC7DB4"/>
    <w:rsid w:val="46D80BE2"/>
    <w:rsid w:val="46E16BF5"/>
    <w:rsid w:val="46FD3D92"/>
    <w:rsid w:val="470A4F43"/>
    <w:rsid w:val="47125FE7"/>
    <w:rsid w:val="471661F1"/>
    <w:rsid w:val="471A7416"/>
    <w:rsid w:val="47301C52"/>
    <w:rsid w:val="47303B2D"/>
    <w:rsid w:val="475723EA"/>
    <w:rsid w:val="4764152B"/>
    <w:rsid w:val="47652F79"/>
    <w:rsid w:val="47737A6F"/>
    <w:rsid w:val="477910CF"/>
    <w:rsid w:val="47925833"/>
    <w:rsid w:val="47BD1304"/>
    <w:rsid w:val="47C63C03"/>
    <w:rsid w:val="47C67FBD"/>
    <w:rsid w:val="47CD0C87"/>
    <w:rsid w:val="480C26CA"/>
    <w:rsid w:val="480F6688"/>
    <w:rsid w:val="481E64CC"/>
    <w:rsid w:val="482C3EBF"/>
    <w:rsid w:val="483B6DB4"/>
    <w:rsid w:val="485058E6"/>
    <w:rsid w:val="4859285B"/>
    <w:rsid w:val="48784B0A"/>
    <w:rsid w:val="488D1AA5"/>
    <w:rsid w:val="48EE587A"/>
    <w:rsid w:val="48F42711"/>
    <w:rsid w:val="48F76E2E"/>
    <w:rsid w:val="49050DEB"/>
    <w:rsid w:val="49103BAD"/>
    <w:rsid w:val="4911682E"/>
    <w:rsid w:val="49156CA9"/>
    <w:rsid w:val="491E5C7E"/>
    <w:rsid w:val="49206672"/>
    <w:rsid w:val="492B795E"/>
    <w:rsid w:val="49302C55"/>
    <w:rsid w:val="49343FC8"/>
    <w:rsid w:val="493447C1"/>
    <w:rsid w:val="49443508"/>
    <w:rsid w:val="494D2F51"/>
    <w:rsid w:val="495E3CEB"/>
    <w:rsid w:val="496C2A23"/>
    <w:rsid w:val="497629BB"/>
    <w:rsid w:val="49791F9F"/>
    <w:rsid w:val="497E2966"/>
    <w:rsid w:val="497F084F"/>
    <w:rsid w:val="49857A23"/>
    <w:rsid w:val="49980E94"/>
    <w:rsid w:val="49A44508"/>
    <w:rsid w:val="49BD5DE3"/>
    <w:rsid w:val="49C02175"/>
    <w:rsid w:val="49CC40D2"/>
    <w:rsid w:val="49DB4ECC"/>
    <w:rsid w:val="49F42431"/>
    <w:rsid w:val="49FC4EF2"/>
    <w:rsid w:val="4A101CA4"/>
    <w:rsid w:val="4A105DA5"/>
    <w:rsid w:val="4A106F62"/>
    <w:rsid w:val="4A1208AC"/>
    <w:rsid w:val="4A144831"/>
    <w:rsid w:val="4A283DF9"/>
    <w:rsid w:val="4A2F7299"/>
    <w:rsid w:val="4A3A377A"/>
    <w:rsid w:val="4A530032"/>
    <w:rsid w:val="4A5568B3"/>
    <w:rsid w:val="4AA86B75"/>
    <w:rsid w:val="4AE372D9"/>
    <w:rsid w:val="4AF51102"/>
    <w:rsid w:val="4B1F451A"/>
    <w:rsid w:val="4B222217"/>
    <w:rsid w:val="4B27158D"/>
    <w:rsid w:val="4B33684F"/>
    <w:rsid w:val="4B5405D3"/>
    <w:rsid w:val="4B617F6B"/>
    <w:rsid w:val="4B7E0A90"/>
    <w:rsid w:val="4BB05301"/>
    <w:rsid w:val="4BC64349"/>
    <w:rsid w:val="4BCD3094"/>
    <w:rsid w:val="4BCF0689"/>
    <w:rsid w:val="4BCF3B38"/>
    <w:rsid w:val="4BD51B2A"/>
    <w:rsid w:val="4BD63583"/>
    <w:rsid w:val="4BDE1F5A"/>
    <w:rsid w:val="4BE56F98"/>
    <w:rsid w:val="4BFB1FA4"/>
    <w:rsid w:val="4C0917D6"/>
    <w:rsid w:val="4C247629"/>
    <w:rsid w:val="4C3E0566"/>
    <w:rsid w:val="4C4A0BAC"/>
    <w:rsid w:val="4C524305"/>
    <w:rsid w:val="4C544A7A"/>
    <w:rsid w:val="4C820264"/>
    <w:rsid w:val="4C92481A"/>
    <w:rsid w:val="4C947C88"/>
    <w:rsid w:val="4C962BFE"/>
    <w:rsid w:val="4CA87FD7"/>
    <w:rsid w:val="4CB93C83"/>
    <w:rsid w:val="4CC139D6"/>
    <w:rsid w:val="4CD7529E"/>
    <w:rsid w:val="4CE973D7"/>
    <w:rsid w:val="4CEB7BD6"/>
    <w:rsid w:val="4CEE70B3"/>
    <w:rsid w:val="4CF52634"/>
    <w:rsid w:val="4D051423"/>
    <w:rsid w:val="4D0E0661"/>
    <w:rsid w:val="4D2E5C7C"/>
    <w:rsid w:val="4D3A1FB5"/>
    <w:rsid w:val="4D3B4033"/>
    <w:rsid w:val="4D3F6D90"/>
    <w:rsid w:val="4D471E37"/>
    <w:rsid w:val="4D4A5919"/>
    <w:rsid w:val="4D6417EC"/>
    <w:rsid w:val="4D6C2220"/>
    <w:rsid w:val="4D775099"/>
    <w:rsid w:val="4D7A31C3"/>
    <w:rsid w:val="4D7C268F"/>
    <w:rsid w:val="4D95584B"/>
    <w:rsid w:val="4D9F78AC"/>
    <w:rsid w:val="4DAC359B"/>
    <w:rsid w:val="4DC55016"/>
    <w:rsid w:val="4DC757CC"/>
    <w:rsid w:val="4DCD48CB"/>
    <w:rsid w:val="4DD6739F"/>
    <w:rsid w:val="4DE77036"/>
    <w:rsid w:val="4DE933BC"/>
    <w:rsid w:val="4E0A17C8"/>
    <w:rsid w:val="4E0B1188"/>
    <w:rsid w:val="4E402294"/>
    <w:rsid w:val="4E52609C"/>
    <w:rsid w:val="4E7E2FDB"/>
    <w:rsid w:val="4E7E5AEE"/>
    <w:rsid w:val="4E813DB3"/>
    <w:rsid w:val="4E90275C"/>
    <w:rsid w:val="4E9F6974"/>
    <w:rsid w:val="4EB72D26"/>
    <w:rsid w:val="4EBB1E14"/>
    <w:rsid w:val="4EBB3140"/>
    <w:rsid w:val="4EBF1BEC"/>
    <w:rsid w:val="4ED356C6"/>
    <w:rsid w:val="4ED6441E"/>
    <w:rsid w:val="4EDA59D6"/>
    <w:rsid w:val="4EE07D55"/>
    <w:rsid w:val="4EE9515B"/>
    <w:rsid w:val="4EEA2FE3"/>
    <w:rsid w:val="4EEB1EB1"/>
    <w:rsid w:val="4EFD0864"/>
    <w:rsid w:val="4F16110F"/>
    <w:rsid w:val="4F1A1C68"/>
    <w:rsid w:val="4F1A4209"/>
    <w:rsid w:val="4F1C001F"/>
    <w:rsid w:val="4F345FED"/>
    <w:rsid w:val="4F4776C7"/>
    <w:rsid w:val="4F5E0689"/>
    <w:rsid w:val="4F5E684F"/>
    <w:rsid w:val="4F6C3FFC"/>
    <w:rsid w:val="4F7830DA"/>
    <w:rsid w:val="4F8B2DE1"/>
    <w:rsid w:val="4F8E6190"/>
    <w:rsid w:val="4F9F28B4"/>
    <w:rsid w:val="4FA13518"/>
    <w:rsid w:val="4FA871BC"/>
    <w:rsid w:val="4FB809FA"/>
    <w:rsid w:val="4FC33130"/>
    <w:rsid w:val="4FD91F9C"/>
    <w:rsid w:val="4FDF0BD6"/>
    <w:rsid w:val="500A02FA"/>
    <w:rsid w:val="500E7DD7"/>
    <w:rsid w:val="500F4E81"/>
    <w:rsid w:val="50110C51"/>
    <w:rsid w:val="502D0FD0"/>
    <w:rsid w:val="503A5EA1"/>
    <w:rsid w:val="504537D5"/>
    <w:rsid w:val="50474B4B"/>
    <w:rsid w:val="505B66A8"/>
    <w:rsid w:val="506023A2"/>
    <w:rsid w:val="506F3298"/>
    <w:rsid w:val="50737F88"/>
    <w:rsid w:val="50824E95"/>
    <w:rsid w:val="508E16F8"/>
    <w:rsid w:val="509131D3"/>
    <w:rsid w:val="509809C5"/>
    <w:rsid w:val="50B633E8"/>
    <w:rsid w:val="50BD7727"/>
    <w:rsid w:val="50CF6263"/>
    <w:rsid w:val="50DA014D"/>
    <w:rsid w:val="50EA5BC8"/>
    <w:rsid w:val="50F63058"/>
    <w:rsid w:val="50FD0D6A"/>
    <w:rsid w:val="51086075"/>
    <w:rsid w:val="510C3E9A"/>
    <w:rsid w:val="5115171D"/>
    <w:rsid w:val="5123467C"/>
    <w:rsid w:val="512555A3"/>
    <w:rsid w:val="5127789B"/>
    <w:rsid w:val="51387953"/>
    <w:rsid w:val="515C6578"/>
    <w:rsid w:val="516A572D"/>
    <w:rsid w:val="51717DE6"/>
    <w:rsid w:val="51813467"/>
    <w:rsid w:val="5189354A"/>
    <w:rsid w:val="518B643F"/>
    <w:rsid w:val="519417C2"/>
    <w:rsid w:val="51972CA6"/>
    <w:rsid w:val="51A72B4D"/>
    <w:rsid w:val="51C05501"/>
    <w:rsid w:val="51EE6B6D"/>
    <w:rsid w:val="51F03193"/>
    <w:rsid w:val="51F0370F"/>
    <w:rsid w:val="51F03DA8"/>
    <w:rsid w:val="51FA5BF2"/>
    <w:rsid w:val="521D0688"/>
    <w:rsid w:val="521E1CFD"/>
    <w:rsid w:val="523652AF"/>
    <w:rsid w:val="52381DD5"/>
    <w:rsid w:val="524B67E3"/>
    <w:rsid w:val="52521515"/>
    <w:rsid w:val="52643AFF"/>
    <w:rsid w:val="5269011E"/>
    <w:rsid w:val="52697528"/>
    <w:rsid w:val="52952322"/>
    <w:rsid w:val="52954F20"/>
    <w:rsid w:val="5298074E"/>
    <w:rsid w:val="52A918D2"/>
    <w:rsid w:val="52AC77BD"/>
    <w:rsid w:val="52B72F2C"/>
    <w:rsid w:val="52D14B53"/>
    <w:rsid w:val="52D51F86"/>
    <w:rsid w:val="52EE6514"/>
    <w:rsid w:val="53145940"/>
    <w:rsid w:val="53257A64"/>
    <w:rsid w:val="53272EB7"/>
    <w:rsid w:val="5327371E"/>
    <w:rsid w:val="532A328D"/>
    <w:rsid w:val="534742EE"/>
    <w:rsid w:val="535918FA"/>
    <w:rsid w:val="535D606F"/>
    <w:rsid w:val="537E0193"/>
    <w:rsid w:val="53853D18"/>
    <w:rsid w:val="53A013D5"/>
    <w:rsid w:val="53C70004"/>
    <w:rsid w:val="53D74DCA"/>
    <w:rsid w:val="53E02890"/>
    <w:rsid w:val="53F5677C"/>
    <w:rsid w:val="53FB4BFE"/>
    <w:rsid w:val="541D1F85"/>
    <w:rsid w:val="54274A39"/>
    <w:rsid w:val="542C4BD4"/>
    <w:rsid w:val="54307162"/>
    <w:rsid w:val="54391219"/>
    <w:rsid w:val="545D18DF"/>
    <w:rsid w:val="547B7A48"/>
    <w:rsid w:val="549A2607"/>
    <w:rsid w:val="54A63098"/>
    <w:rsid w:val="54BB7EE1"/>
    <w:rsid w:val="54E03176"/>
    <w:rsid w:val="550F42B5"/>
    <w:rsid w:val="552A41DC"/>
    <w:rsid w:val="553C04C8"/>
    <w:rsid w:val="554F065E"/>
    <w:rsid w:val="5563065A"/>
    <w:rsid w:val="55715C9F"/>
    <w:rsid w:val="55780C9E"/>
    <w:rsid w:val="558104D8"/>
    <w:rsid w:val="55BC3F7C"/>
    <w:rsid w:val="55DF63F2"/>
    <w:rsid w:val="55EC2DC2"/>
    <w:rsid w:val="55F15FA1"/>
    <w:rsid w:val="55FC6B00"/>
    <w:rsid w:val="55FF3195"/>
    <w:rsid w:val="55FF4EC1"/>
    <w:rsid w:val="56052641"/>
    <w:rsid w:val="56315736"/>
    <w:rsid w:val="56674CF7"/>
    <w:rsid w:val="56856E12"/>
    <w:rsid w:val="56955B08"/>
    <w:rsid w:val="5698718B"/>
    <w:rsid w:val="56A06BCD"/>
    <w:rsid w:val="56AA0DEB"/>
    <w:rsid w:val="56CE526A"/>
    <w:rsid w:val="56CE666D"/>
    <w:rsid w:val="56D148D5"/>
    <w:rsid w:val="56DC03C5"/>
    <w:rsid w:val="56F27F45"/>
    <w:rsid w:val="5700425A"/>
    <w:rsid w:val="57231549"/>
    <w:rsid w:val="57351294"/>
    <w:rsid w:val="57361D03"/>
    <w:rsid w:val="574542B8"/>
    <w:rsid w:val="578E1FD6"/>
    <w:rsid w:val="57972DA2"/>
    <w:rsid w:val="57986160"/>
    <w:rsid w:val="57A33912"/>
    <w:rsid w:val="57AF5F4B"/>
    <w:rsid w:val="57B442B6"/>
    <w:rsid w:val="57B51DD3"/>
    <w:rsid w:val="57BC509B"/>
    <w:rsid w:val="57DD28B4"/>
    <w:rsid w:val="57DD2C8E"/>
    <w:rsid w:val="57ED6550"/>
    <w:rsid w:val="57F674FD"/>
    <w:rsid w:val="58086526"/>
    <w:rsid w:val="581969B8"/>
    <w:rsid w:val="581D0082"/>
    <w:rsid w:val="582D37A1"/>
    <w:rsid w:val="582E1CE6"/>
    <w:rsid w:val="58584CAD"/>
    <w:rsid w:val="58621AE2"/>
    <w:rsid w:val="586C1237"/>
    <w:rsid w:val="587428E3"/>
    <w:rsid w:val="587A3D12"/>
    <w:rsid w:val="587D515F"/>
    <w:rsid w:val="58970993"/>
    <w:rsid w:val="58A4773F"/>
    <w:rsid w:val="58B07BF1"/>
    <w:rsid w:val="58BE35B3"/>
    <w:rsid w:val="58C078B2"/>
    <w:rsid w:val="58F85491"/>
    <w:rsid w:val="59071224"/>
    <w:rsid w:val="59106A9F"/>
    <w:rsid w:val="59154DDB"/>
    <w:rsid w:val="59216CC0"/>
    <w:rsid w:val="594A78E9"/>
    <w:rsid w:val="596B1334"/>
    <w:rsid w:val="596F044C"/>
    <w:rsid w:val="598B31E8"/>
    <w:rsid w:val="59956397"/>
    <w:rsid w:val="59B50E67"/>
    <w:rsid w:val="59BF6BB8"/>
    <w:rsid w:val="59E73167"/>
    <w:rsid w:val="59ED1C93"/>
    <w:rsid w:val="59EF6B6F"/>
    <w:rsid w:val="59FD4806"/>
    <w:rsid w:val="5A03009A"/>
    <w:rsid w:val="5A072F12"/>
    <w:rsid w:val="5A1D528A"/>
    <w:rsid w:val="5A2E560A"/>
    <w:rsid w:val="5A326E61"/>
    <w:rsid w:val="5A3751DE"/>
    <w:rsid w:val="5A3E25F5"/>
    <w:rsid w:val="5A485884"/>
    <w:rsid w:val="5A554DF9"/>
    <w:rsid w:val="5A557759"/>
    <w:rsid w:val="5A566C04"/>
    <w:rsid w:val="5A5C5ECC"/>
    <w:rsid w:val="5A604CAB"/>
    <w:rsid w:val="5A664F19"/>
    <w:rsid w:val="5A78262C"/>
    <w:rsid w:val="5ABB17A3"/>
    <w:rsid w:val="5ACE4595"/>
    <w:rsid w:val="5ADD0ED2"/>
    <w:rsid w:val="5AE414FC"/>
    <w:rsid w:val="5AFD568C"/>
    <w:rsid w:val="5B0C1F26"/>
    <w:rsid w:val="5B137EB7"/>
    <w:rsid w:val="5B405245"/>
    <w:rsid w:val="5B61247F"/>
    <w:rsid w:val="5B775F09"/>
    <w:rsid w:val="5B972F52"/>
    <w:rsid w:val="5BA567E0"/>
    <w:rsid w:val="5BBF0A74"/>
    <w:rsid w:val="5BCF3E05"/>
    <w:rsid w:val="5BFB403C"/>
    <w:rsid w:val="5C1702CD"/>
    <w:rsid w:val="5C1847F5"/>
    <w:rsid w:val="5C250C50"/>
    <w:rsid w:val="5C332244"/>
    <w:rsid w:val="5C39767F"/>
    <w:rsid w:val="5C3D0FE3"/>
    <w:rsid w:val="5C7B02F6"/>
    <w:rsid w:val="5C9914B8"/>
    <w:rsid w:val="5CAA1051"/>
    <w:rsid w:val="5CBE62CB"/>
    <w:rsid w:val="5CDE5E89"/>
    <w:rsid w:val="5CDF2E42"/>
    <w:rsid w:val="5CED0783"/>
    <w:rsid w:val="5CF71724"/>
    <w:rsid w:val="5CF926A0"/>
    <w:rsid w:val="5CFF4A50"/>
    <w:rsid w:val="5D0D5B69"/>
    <w:rsid w:val="5D4B3FCB"/>
    <w:rsid w:val="5D7128A4"/>
    <w:rsid w:val="5D7C3C41"/>
    <w:rsid w:val="5D8F5D8E"/>
    <w:rsid w:val="5D981E45"/>
    <w:rsid w:val="5DB64AAB"/>
    <w:rsid w:val="5DB725E1"/>
    <w:rsid w:val="5DC60467"/>
    <w:rsid w:val="5DDB6CD6"/>
    <w:rsid w:val="5DDE4028"/>
    <w:rsid w:val="5DEE6868"/>
    <w:rsid w:val="5DEF6FA8"/>
    <w:rsid w:val="5DFC29D7"/>
    <w:rsid w:val="5E0604AF"/>
    <w:rsid w:val="5E38682B"/>
    <w:rsid w:val="5E4252AA"/>
    <w:rsid w:val="5E4C6944"/>
    <w:rsid w:val="5E636A98"/>
    <w:rsid w:val="5E724473"/>
    <w:rsid w:val="5E967515"/>
    <w:rsid w:val="5EA509F1"/>
    <w:rsid w:val="5EAB380E"/>
    <w:rsid w:val="5EB6769C"/>
    <w:rsid w:val="5EBD215E"/>
    <w:rsid w:val="5EBF1341"/>
    <w:rsid w:val="5EC969EE"/>
    <w:rsid w:val="5ED2390C"/>
    <w:rsid w:val="5ED465A7"/>
    <w:rsid w:val="5EE270FC"/>
    <w:rsid w:val="5F0A33C6"/>
    <w:rsid w:val="5F0E50AD"/>
    <w:rsid w:val="5F120201"/>
    <w:rsid w:val="5F243F08"/>
    <w:rsid w:val="5F373EF0"/>
    <w:rsid w:val="5F3A56A0"/>
    <w:rsid w:val="5F51419C"/>
    <w:rsid w:val="5F700385"/>
    <w:rsid w:val="5F8C2F91"/>
    <w:rsid w:val="5FA54E49"/>
    <w:rsid w:val="5FAC69CB"/>
    <w:rsid w:val="5FB456AB"/>
    <w:rsid w:val="5FB7374D"/>
    <w:rsid w:val="5FD2578C"/>
    <w:rsid w:val="5FF1063A"/>
    <w:rsid w:val="5FFE2FE8"/>
    <w:rsid w:val="602411D3"/>
    <w:rsid w:val="60263074"/>
    <w:rsid w:val="60284187"/>
    <w:rsid w:val="603A250A"/>
    <w:rsid w:val="603F5C77"/>
    <w:rsid w:val="6041745B"/>
    <w:rsid w:val="6053200C"/>
    <w:rsid w:val="60594B9A"/>
    <w:rsid w:val="605D101B"/>
    <w:rsid w:val="606624C8"/>
    <w:rsid w:val="606B3DDE"/>
    <w:rsid w:val="607E0535"/>
    <w:rsid w:val="60A60CEE"/>
    <w:rsid w:val="60A80E50"/>
    <w:rsid w:val="60BC19E2"/>
    <w:rsid w:val="60C85458"/>
    <w:rsid w:val="60D46ED9"/>
    <w:rsid w:val="60F74CAA"/>
    <w:rsid w:val="60FA6EB1"/>
    <w:rsid w:val="610A7FB0"/>
    <w:rsid w:val="610C4AF7"/>
    <w:rsid w:val="611B0393"/>
    <w:rsid w:val="612C1431"/>
    <w:rsid w:val="612F6C17"/>
    <w:rsid w:val="6134464C"/>
    <w:rsid w:val="613F5E83"/>
    <w:rsid w:val="61413752"/>
    <w:rsid w:val="61426A38"/>
    <w:rsid w:val="6162096D"/>
    <w:rsid w:val="61677358"/>
    <w:rsid w:val="61743D08"/>
    <w:rsid w:val="618539C7"/>
    <w:rsid w:val="61AE3E54"/>
    <w:rsid w:val="61D66E62"/>
    <w:rsid w:val="6208266D"/>
    <w:rsid w:val="620B6834"/>
    <w:rsid w:val="62131828"/>
    <w:rsid w:val="62200874"/>
    <w:rsid w:val="62243C92"/>
    <w:rsid w:val="62267E7B"/>
    <w:rsid w:val="62283E25"/>
    <w:rsid w:val="62354946"/>
    <w:rsid w:val="62405A9C"/>
    <w:rsid w:val="625C3127"/>
    <w:rsid w:val="625E363F"/>
    <w:rsid w:val="62621ABC"/>
    <w:rsid w:val="62783A5A"/>
    <w:rsid w:val="629063D9"/>
    <w:rsid w:val="62A85104"/>
    <w:rsid w:val="62AB1846"/>
    <w:rsid w:val="62AB7A3A"/>
    <w:rsid w:val="62EB09EB"/>
    <w:rsid w:val="62F07586"/>
    <w:rsid w:val="62F6223D"/>
    <w:rsid w:val="6303101A"/>
    <w:rsid w:val="63063BB8"/>
    <w:rsid w:val="630644BB"/>
    <w:rsid w:val="63165876"/>
    <w:rsid w:val="6316B953"/>
    <w:rsid w:val="63214BF3"/>
    <w:rsid w:val="63217BD1"/>
    <w:rsid w:val="6330796A"/>
    <w:rsid w:val="633E6FD1"/>
    <w:rsid w:val="63487D75"/>
    <w:rsid w:val="6355299A"/>
    <w:rsid w:val="635A7FEC"/>
    <w:rsid w:val="636B32A7"/>
    <w:rsid w:val="637C4399"/>
    <w:rsid w:val="63AB4C15"/>
    <w:rsid w:val="63BB1E61"/>
    <w:rsid w:val="63C04103"/>
    <w:rsid w:val="63C16289"/>
    <w:rsid w:val="63D73744"/>
    <w:rsid w:val="63D77DAC"/>
    <w:rsid w:val="63D87F2E"/>
    <w:rsid w:val="63E456D8"/>
    <w:rsid w:val="63E91405"/>
    <w:rsid w:val="63EB0F88"/>
    <w:rsid w:val="63EB5986"/>
    <w:rsid w:val="64032C45"/>
    <w:rsid w:val="640F5D56"/>
    <w:rsid w:val="641420D7"/>
    <w:rsid w:val="64234A30"/>
    <w:rsid w:val="64296E58"/>
    <w:rsid w:val="642C1CCB"/>
    <w:rsid w:val="64330A04"/>
    <w:rsid w:val="64394612"/>
    <w:rsid w:val="643B5E4A"/>
    <w:rsid w:val="64484A60"/>
    <w:rsid w:val="644A09E9"/>
    <w:rsid w:val="645526AF"/>
    <w:rsid w:val="64597C54"/>
    <w:rsid w:val="646112A5"/>
    <w:rsid w:val="6464342C"/>
    <w:rsid w:val="646F3B90"/>
    <w:rsid w:val="647428DB"/>
    <w:rsid w:val="647567C3"/>
    <w:rsid w:val="64AC2F08"/>
    <w:rsid w:val="64BB68ED"/>
    <w:rsid w:val="64CD2DFE"/>
    <w:rsid w:val="64DA03F1"/>
    <w:rsid w:val="64DA7F84"/>
    <w:rsid w:val="64E65869"/>
    <w:rsid w:val="64EF2D41"/>
    <w:rsid w:val="64EF6B2B"/>
    <w:rsid w:val="650A43DA"/>
    <w:rsid w:val="650C56D2"/>
    <w:rsid w:val="652146B3"/>
    <w:rsid w:val="65276EE7"/>
    <w:rsid w:val="65452BDC"/>
    <w:rsid w:val="654B32C8"/>
    <w:rsid w:val="654F51BB"/>
    <w:rsid w:val="65585BC1"/>
    <w:rsid w:val="65610F5A"/>
    <w:rsid w:val="657423EE"/>
    <w:rsid w:val="65AC1058"/>
    <w:rsid w:val="65B61DEF"/>
    <w:rsid w:val="65F81CA5"/>
    <w:rsid w:val="66053D3B"/>
    <w:rsid w:val="660F58E0"/>
    <w:rsid w:val="66100DFA"/>
    <w:rsid w:val="66240B2A"/>
    <w:rsid w:val="665954BC"/>
    <w:rsid w:val="665F60FD"/>
    <w:rsid w:val="66650177"/>
    <w:rsid w:val="6672584F"/>
    <w:rsid w:val="667543D3"/>
    <w:rsid w:val="668734C3"/>
    <w:rsid w:val="66EB7FF4"/>
    <w:rsid w:val="67041086"/>
    <w:rsid w:val="671634A4"/>
    <w:rsid w:val="67190C46"/>
    <w:rsid w:val="672B07F3"/>
    <w:rsid w:val="67622E70"/>
    <w:rsid w:val="676E4DA3"/>
    <w:rsid w:val="67820224"/>
    <w:rsid w:val="679057CB"/>
    <w:rsid w:val="67A61DC6"/>
    <w:rsid w:val="67B21D29"/>
    <w:rsid w:val="67B61CEA"/>
    <w:rsid w:val="67BB4E88"/>
    <w:rsid w:val="67BC6E04"/>
    <w:rsid w:val="67BE5BE6"/>
    <w:rsid w:val="67C43F9F"/>
    <w:rsid w:val="67E95BA4"/>
    <w:rsid w:val="67F508D9"/>
    <w:rsid w:val="67FF048B"/>
    <w:rsid w:val="680E58AE"/>
    <w:rsid w:val="6812303F"/>
    <w:rsid w:val="681971B1"/>
    <w:rsid w:val="6821063A"/>
    <w:rsid w:val="68241AC0"/>
    <w:rsid w:val="68252630"/>
    <w:rsid w:val="682A1ABE"/>
    <w:rsid w:val="683347FB"/>
    <w:rsid w:val="68553D37"/>
    <w:rsid w:val="685B27B5"/>
    <w:rsid w:val="686F7DB3"/>
    <w:rsid w:val="6891551C"/>
    <w:rsid w:val="68A03591"/>
    <w:rsid w:val="68B55766"/>
    <w:rsid w:val="68F2495E"/>
    <w:rsid w:val="68F72177"/>
    <w:rsid w:val="68FA5F25"/>
    <w:rsid w:val="68FB6470"/>
    <w:rsid w:val="69005336"/>
    <w:rsid w:val="6916746C"/>
    <w:rsid w:val="691B013B"/>
    <w:rsid w:val="69234BCC"/>
    <w:rsid w:val="692767C0"/>
    <w:rsid w:val="692B4C72"/>
    <w:rsid w:val="692F74DA"/>
    <w:rsid w:val="693C38BA"/>
    <w:rsid w:val="695C0779"/>
    <w:rsid w:val="695F68F3"/>
    <w:rsid w:val="696D26DD"/>
    <w:rsid w:val="6971165C"/>
    <w:rsid w:val="699041ED"/>
    <w:rsid w:val="69986730"/>
    <w:rsid w:val="69A72E68"/>
    <w:rsid w:val="69B7165E"/>
    <w:rsid w:val="69CC62C5"/>
    <w:rsid w:val="69CD585E"/>
    <w:rsid w:val="69D0781E"/>
    <w:rsid w:val="69E27919"/>
    <w:rsid w:val="69E758F4"/>
    <w:rsid w:val="69ED4DA4"/>
    <w:rsid w:val="69F97F72"/>
    <w:rsid w:val="69FB7826"/>
    <w:rsid w:val="6A0279CE"/>
    <w:rsid w:val="6A09215A"/>
    <w:rsid w:val="6A26227A"/>
    <w:rsid w:val="6A3320FA"/>
    <w:rsid w:val="6A3F2B7F"/>
    <w:rsid w:val="6A5C43AC"/>
    <w:rsid w:val="6A6C73B1"/>
    <w:rsid w:val="6A761C76"/>
    <w:rsid w:val="6A88015F"/>
    <w:rsid w:val="6A93424C"/>
    <w:rsid w:val="6A990761"/>
    <w:rsid w:val="6AA206DF"/>
    <w:rsid w:val="6AD349EC"/>
    <w:rsid w:val="6AE378A8"/>
    <w:rsid w:val="6AE51A58"/>
    <w:rsid w:val="6AE971FE"/>
    <w:rsid w:val="6AFD1F7A"/>
    <w:rsid w:val="6B0529C2"/>
    <w:rsid w:val="6B092EAC"/>
    <w:rsid w:val="6B181A4A"/>
    <w:rsid w:val="6B1B7AAA"/>
    <w:rsid w:val="6B23506E"/>
    <w:rsid w:val="6B546EA6"/>
    <w:rsid w:val="6B5501DA"/>
    <w:rsid w:val="6B72763E"/>
    <w:rsid w:val="6B7A0DFE"/>
    <w:rsid w:val="6B801EE1"/>
    <w:rsid w:val="6B8D60F7"/>
    <w:rsid w:val="6B907347"/>
    <w:rsid w:val="6B9333B5"/>
    <w:rsid w:val="6B976C33"/>
    <w:rsid w:val="6B9A2455"/>
    <w:rsid w:val="6B9B601D"/>
    <w:rsid w:val="6BA01140"/>
    <w:rsid w:val="6BA54F9D"/>
    <w:rsid w:val="6BB62736"/>
    <w:rsid w:val="6BC645E3"/>
    <w:rsid w:val="6BC64A88"/>
    <w:rsid w:val="6BF1695D"/>
    <w:rsid w:val="6BFD0BB9"/>
    <w:rsid w:val="6C0B689E"/>
    <w:rsid w:val="6C263EF7"/>
    <w:rsid w:val="6C2665EA"/>
    <w:rsid w:val="6C2E2D9D"/>
    <w:rsid w:val="6C3E3820"/>
    <w:rsid w:val="6C512E26"/>
    <w:rsid w:val="6C5778E3"/>
    <w:rsid w:val="6C6B7EA5"/>
    <w:rsid w:val="6C6F59CB"/>
    <w:rsid w:val="6C84644B"/>
    <w:rsid w:val="6C900637"/>
    <w:rsid w:val="6CB24EBA"/>
    <w:rsid w:val="6CCC0689"/>
    <w:rsid w:val="6CCC44CE"/>
    <w:rsid w:val="6CD53B16"/>
    <w:rsid w:val="6CF312E2"/>
    <w:rsid w:val="6D0D340F"/>
    <w:rsid w:val="6D1D7E02"/>
    <w:rsid w:val="6D2C1403"/>
    <w:rsid w:val="6D2D2825"/>
    <w:rsid w:val="6D2F74EA"/>
    <w:rsid w:val="6D352E02"/>
    <w:rsid w:val="6D482FEB"/>
    <w:rsid w:val="6D4A5CE1"/>
    <w:rsid w:val="6D5B64A9"/>
    <w:rsid w:val="6D650E7C"/>
    <w:rsid w:val="6D6D07C9"/>
    <w:rsid w:val="6D791F82"/>
    <w:rsid w:val="6D8635F9"/>
    <w:rsid w:val="6D9717C1"/>
    <w:rsid w:val="6D9B6F83"/>
    <w:rsid w:val="6DC275EA"/>
    <w:rsid w:val="6DCE44A1"/>
    <w:rsid w:val="6DDB2EB5"/>
    <w:rsid w:val="6DE4225A"/>
    <w:rsid w:val="6E18322B"/>
    <w:rsid w:val="6E1934B8"/>
    <w:rsid w:val="6E305292"/>
    <w:rsid w:val="6E6320D5"/>
    <w:rsid w:val="6E727911"/>
    <w:rsid w:val="6E753CB3"/>
    <w:rsid w:val="6E7B0F31"/>
    <w:rsid w:val="6E8A617B"/>
    <w:rsid w:val="6E946D95"/>
    <w:rsid w:val="6EB94BA3"/>
    <w:rsid w:val="6EBF5C28"/>
    <w:rsid w:val="6ECD5CF4"/>
    <w:rsid w:val="6ED06AFB"/>
    <w:rsid w:val="6EDC1DEF"/>
    <w:rsid w:val="6EE70F44"/>
    <w:rsid w:val="6EF70B20"/>
    <w:rsid w:val="6F1D4AB8"/>
    <w:rsid w:val="6F2409A2"/>
    <w:rsid w:val="6F27231F"/>
    <w:rsid w:val="6F3E3E3A"/>
    <w:rsid w:val="6F490E35"/>
    <w:rsid w:val="6F4B6468"/>
    <w:rsid w:val="6F543687"/>
    <w:rsid w:val="6F5C5BA9"/>
    <w:rsid w:val="6F5E5779"/>
    <w:rsid w:val="6F681A7E"/>
    <w:rsid w:val="6F720184"/>
    <w:rsid w:val="6F8F7FF3"/>
    <w:rsid w:val="6FA40305"/>
    <w:rsid w:val="6FA61B1D"/>
    <w:rsid w:val="6FB67043"/>
    <w:rsid w:val="6FC5371B"/>
    <w:rsid w:val="6FD41298"/>
    <w:rsid w:val="6FD90FCE"/>
    <w:rsid w:val="6FE57E66"/>
    <w:rsid w:val="70061129"/>
    <w:rsid w:val="702153BA"/>
    <w:rsid w:val="7023326E"/>
    <w:rsid w:val="702C5338"/>
    <w:rsid w:val="70546C18"/>
    <w:rsid w:val="70602F42"/>
    <w:rsid w:val="70944142"/>
    <w:rsid w:val="709902CC"/>
    <w:rsid w:val="70AB40B7"/>
    <w:rsid w:val="70B0281C"/>
    <w:rsid w:val="70C97A28"/>
    <w:rsid w:val="71065DDE"/>
    <w:rsid w:val="710D43F3"/>
    <w:rsid w:val="711C76A0"/>
    <w:rsid w:val="713345B3"/>
    <w:rsid w:val="714012EC"/>
    <w:rsid w:val="71497745"/>
    <w:rsid w:val="714B0C72"/>
    <w:rsid w:val="7168384B"/>
    <w:rsid w:val="71692F0B"/>
    <w:rsid w:val="716E5656"/>
    <w:rsid w:val="7172280B"/>
    <w:rsid w:val="71764C49"/>
    <w:rsid w:val="719105FF"/>
    <w:rsid w:val="71A03A3E"/>
    <w:rsid w:val="71A84F80"/>
    <w:rsid w:val="71AD0EB9"/>
    <w:rsid w:val="71AE796D"/>
    <w:rsid w:val="71B5609B"/>
    <w:rsid w:val="71BB1CB0"/>
    <w:rsid w:val="71C728EC"/>
    <w:rsid w:val="71C74A19"/>
    <w:rsid w:val="71C92755"/>
    <w:rsid w:val="71D72443"/>
    <w:rsid w:val="71DF10BD"/>
    <w:rsid w:val="71E13C5E"/>
    <w:rsid w:val="71F76900"/>
    <w:rsid w:val="7200750B"/>
    <w:rsid w:val="72011EAD"/>
    <w:rsid w:val="7215158B"/>
    <w:rsid w:val="721F3CCD"/>
    <w:rsid w:val="722A2F37"/>
    <w:rsid w:val="722D3DCC"/>
    <w:rsid w:val="723112E2"/>
    <w:rsid w:val="72382263"/>
    <w:rsid w:val="72394CDF"/>
    <w:rsid w:val="723D0E8D"/>
    <w:rsid w:val="7251579C"/>
    <w:rsid w:val="72575FC0"/>
    <w:rsid w:val="726D68D7"/>
    <w:rsid w:val="728007C0"/>
    <w:rsid w:val="729B335C"/>
    <w:rsid w:val="729D5BEB"/>
    <w:rsid w:val="72A458D7"/>
    <w:rsid w:val="72BC0798"/>
    <w:rsid w:val="72C61A0E"/>
    <w:rsid w:val="72E32351"/>
    <w:rsid w:val="72F2712D"/>
    <w:rsid w:val="72FA6E7B"/>
    <w:rsid w:val="730E15CD"/>
    <w:rsid w:val="73110991"/>
    <w:rsid w:val="73111BDD"/>
    <w:rsid w:val="73162030"/>
    <w:rsid w:val="73174141"/>
    <w:rsid w:val="7325752B"/>
    <w:rsid w:val="73582D06"/>
    <w:rsid w:val="73792ADB"/>
    <w:rsid w:val="73893016"/>
    <w:rsid w:val="73AB03D7"/>
    <w:rsid w:val="73C3178C"/>
    <w:rsid w:val="73D471E3"/>
    <w:rsid w:val="73E02311"/>
    <w:rsid w:val="73F623F9"/>
    <w:rsid w:val="740005C9"/>
    <w:rsid w:val="740C6B0D"/>
    <w:rsid w:val="74156AF6"/>
    <w:rsid w:val="741D2E8B"/>
    <w:rsid w:val="74386FFB"/>
    <w:rsid w:val="743F117C"/>
    <w:rsid w:val="744676C1"/>
    <w:rsid w:val="74543212"/>
    <w:rsid w:val="74575767"/>
    <w:rsid w:val="74840E7C"/>
    <w:rsid w:val="74842BF8"/>
    <w:rsid w:val="748E65FE"/>
    <w:rsid w:val="74A03302"/>
    <w:rsid w:val="74A21BD1"/>
    <w:rsid w:val="74A60D6B"/>
    <w:rsid w:val="74BB046E"/>
    <w:rsid w:val="74D23C44"/>
    <w:rsid w:val="74F07512"/>
    <w:rsid w:val="74F6632E"/>
    <w:rsid w:val="74F67E5A"/>
    <w:rsid w:val="750E2482"/>
    <w:rsid w:val="75302DD0"/>
    <w:rsid w:val="75374793"/>
    <w:rsid w:val="754216B3"/>
    <w:rsid w:val="754A5374"/>
    <w:rsid w:val="754C3544"/>
    <w:rsid w:val="755C1417"/>
    <w:rsid w:val="75757B3C"/>
    <w:rsid w:val="75975609"/>
    <w:rsid w:val="75991C1A"/>
    <w:rsid w:val="75A14214"/>
    <w:rsid w:val="75A55316"/>
    <w:rsid w:val="75DB12A8"/>
    <w:rsid w:val="75E43415"/>
    <w:rsid w:val="76091A03"/>
    <w:rsid w:val="760D62FF"/>
    <w:rsid w:val="761C1C5D"/>
    <w:rsid w:val="763D7C1D"/>
    <w:rsid w:val="764A32CE"/>
    <w:rsid w:val="764F4E50"/>
    <w:rsid w:val="765E3E2A"/>
    <w:rsid w:val="766B1D7C"/>
    <w:rsid w:val="769512A8"/>
    <w:rsid w:val="769F702E"/>
    <w:rsid w:val="76A00377"/>
    <w:rsid w:val="76C00489"/>
    <w:rsid w:val="76C22BC6"/>
    <w:rsid w:val="76C60B1B"/>
    <w:rsid w:val="76D16C4B"/>
    <w:rsid w:val="76D404DC"/>
    <w:rsid w:val="76E24DD1"/>
    <w:rsid w:val="76E9794A"/>
    <w:rsid w:val="76EB39E0"/>
    <w:rsid w:val="76FA5FE0"/>
    <w:rsid w:val="77073F6D"/>
    <w:rsid w:val="770A2A1E"/>
    <w:rsid w:val="771F3B49"/>
    <w:rsid w:val="77367CDD"/>
    <w:rsid w:val="774B64DE"/>
    <w:rsid w:val="774E5E6B"/>
    <w:rsid w:val="77565376"/>
    <w:rsid w:val="775D2713"/>
    <w:rsid w:val="77650853"/>
    <w:rsid w:val="776A3DA3"/>
    <w:rsid w:val="7776728E"/>
    <w:rsid w:val="77871CE3"/>
    <w:rsid w:val="7799379B"/>
    <w:rsid w:val="77B94888"/>
    <w:rsid w:val="77B959CC"/>
    <w:rsid w:val="77C15F85"/>
    <w:rsid w:val="77C22121"/>
    <w:rsid w:val="77CA3AE5"/>
    <w:rsid w:val="77CF6BD1"/>
    <w:rsid w:val="77E1504B"/>
    <w:rsid w:val="77E531E0"/>
    <w:rsid w:val="77E867EA"/>
    <w:rsid w:val="77EB06C6"/>
    <w:rsid w:val="77F119B6"/>
    <w:rsid w:val="77F16349"/>
    <w:rsid w:val="77F80A01"/>
    <w:rsid w:val="7813126F"/>
    <w:rsid w:val="78151B0A"/>
    <w:rsid w:val="78231F18"/>
    <w:rsid w:val="78281A63"/>
    <w:rsid w:val="783A6A35"/>
    <w:rsid w:val="784D3AF3"/>
    <w:rsid w:val="78512557"/>
    <w:rsid w:val="78530C1C"/>
    <w:rsid w:val="787A0AF1"/>
    <w:rsid w:val="787A3FFD"/>
    <w:rsid w:val="78825C64"/>
    <w:rsid w:val="7896116A"/>
    <w:rsid w:val="78B869BD"/>
    <w:rsid w:val="78C1793F"/>
    <w:rsid w:val="78D45947"/>
    <w:rsid w:val="78D87FE6"/>
    <w:rsid w:val="78ED1CAE"/>
    <w:rsid w:val="78F814BA"/>
    <w:rsid w:val="7902480A"/>
    <w:rsid w:val="790B1CE7"/>
    <w:rsid w:val="790B3F5B"/>
    <w:rsid w:val="790B7E30"/>
    <w:rsid w:val="79120949"/>
    <w:rsid w:val="79176695"/>
    <w:rsid w:val="794A2744"/>
    <w:rsid w:val="79513BF2"/>
    <w:rsid w:val="795B2899"/>
    <w:rsid w:val="79766798"/>
    <w:rsid w:val="7995131B"/>
    <w:rsid w:val="799B63B3"/>
    <w:rsid w:val="79BD1115"/>
    <w:rsid w:val="79BE6EBF"/>
    <w:rsid w:val="79CD44BD"/>
    <w:rsid w:val="79FF5FB9"/>
    <w:rsid w:val="7A0468A5"/>
    <w:rsid w:val="7A0E281E"/>
    <w:rsid w:val="7A1E6873"/>
    <w:rsid w:val="7A2453E6"/>
    <w:rsid w:val="7A2C079B"/>
    <w:rsid w:val="7A3E45E6"/>
    <w:rsid w:val="7A452391"/>
    <w:rsid w:val="7A4E51BE"/>
    <w:rsid w:val="7A792DD8"/>
    <w:rsid w:val="7A7A3B23"/>
    <w:rsid w:val="7A7E6175"/>
    <w:rsid w:val="7A866F24"/>
    <w:rsid w:val="7A931334"/>
    <w:rsid w:val="7A983EEB"/>
    <w:rsid w:val="7AB01AAE"/>
    <w:rsid w:val="7ABB2CAB"/>
    <w:rsid w:val="7ADE6784"/>
    <w:rsid w:val="7B0220D5"/>
    <w:rsid w:val="7B0537C3"/>
    <w:rsid w:val="7B196C4C"/>
    <w:rsid w:val="7B310F16"/>
    <w:rsid w:val="7B393376"/>
    <w:rsid w:val="7B425892"/>
    <w:rsid w:val="7B4E603C"/>
    <w:rsid w:val="7B5A4ED4"/>
    <w:rsid w:val="7B6E2289"/>
    <w:rsid w:val="7B7D2DEA"/>
    <w:rsid w:val="7B837402"/>
    <w:rsid w:val="7B8C5267"/>
    <w:rsid w:val="7B8E6C66"/>
    <w:rsid w:val="7B9B65DC"/>
    <w:rsid w:val="7B9E1553"/>
    <w:rsid w:val="7BA72545"/>
    <w:rsid w:val="7BA7747E"/>
    <w:rsid w:val="7BBC2DAE"/>
    <w:rsid w:val="7BE375EE"/>
    <w:rsid w:val="7C161F55"/>
    <w:rsid w:val="7C1F0C9E"/>
    <w:rsid w:val="7C2802CA"/>
    <w:rsid w:val="7C427891"/>
    <w:rsid w:val="7C4505EB"/>
    <w:rsid w:val="7C6E0BAB"/>
    <w:rsid w:val="7C711686"/>
    <w:rsid w:val="7C7249DA"/>
    <w:rsid w:val="7C9A0624"/>
    <w:rsid w:val="7CA35FF5"/>
    <w:rsid w:val="7CA6029F"/>
    <w:rsid w:val="7CAE37D1"/>
    <w:rsid w:val="7CB83873"/>
    <w:rsid w:val="7CC6351F"/>
    <w:rsid w:val="7CC913D0"/>
    <w:rsid w:val="7CCD7A78"/>
    <w:rsid w:val="7CDF111D"/>
    <w:rsid w:val="7CF03127"/>
    <w:rsid w:val="7CF4572C"/>
    <w:rsid w:val="7D0B1FE0"/>
    <w:rsid w:val="7D1056C2"/>
    <w:rsid w:val="7D5116E6"/>
    <w:rsid w:val="7D512049"/>
    <w:rsid w:val="7D633CDA"/>
    <w:rsid w:val="7D76251A"/>
    <w:rsid w:val="7D7A5D6C"/>
    <w:rsid w:val="7D87797E"/>
    <w:rsid w:val="7DA01648"/>
    <w:rsid w:val="7DB47BF4"/>
    <w:rsid w:val="7DD218F8"/>
    <w:rsid w:val="7DD3489F"/>
    <w:rsid w:val="7DF37614"/>
    <w:rsid w:val="7E0B41A0"/>
    <w:rsid w:val="7E303A17"/>
    <w:rsid w:val="7E341BA0"/>
    <w:rsid w:val="7E385FE4"/>
    <w:rsid w:val="7E41719A"/>
    <w:rsid w:val="7E511DCA"/>
    <w:rsid w:val="7E5F6A40"/>
    <w:rsid w:val="7E661D6C"/>
    <w:rsid w:val="7E68516F"/>
    <w:rsid w:val="7E6B2E2E"/>
    <w:rsid w:val="7E775C36"/>
    <w:rsid w:val="7E7E44EE"/>
    <w:rsid w:val="7E854308"/>
    <w:rsid w:val="7E99264F"/>
    <w:rsid w:val="7EAA5207"/>
    <w:rsid w:val="7EC16F4F"/>
    <w:rsid w:val="7EC94123"/>
    <w:rsid w:val="7EDF1237"/>
    <w:rsid w:val="7EF66695"/>
    <w:rsid w:val="7EF9193E"/>
    <w:rsid w:val="7F093D76"/>
    <w:rsid w:val="7F115D3D"/>
    <w:rsid w:val="7F49724B"/>
    <w:rsid w:val="7F5D1D4D"/>
    <w:rsid w:val="7F6110BD"/>
    <w:rsid w:val="7F624FF2"/>
    <w:rsid w:val="7F645D25"/>
    <w:rsid w:val="7F830F83"/>
    <w:rsid w:val="7F835D30"/>
    <w:rsid w:val="7F864836"/>
    <w:rsid w:val="7F9D61FD"/>
    <w:rsid w:val="7FA11F32"/>
    <w:rsid w:val="7FBC5675"/>
    <w:rsid w:val="7FC845AE"/>
    <w:rsid w:val="7FCC425E"/>
    <w:rsid w:val="7FDF53AC"/>
    <w:rsid w:val="7FE13ECE"/>
    <w:rsid w:val="7FE6789F"/>
    <w:rsid w:val="7FE73CE6"/>
    <w:rsid w:val="7FF350A7"/>
    <w:rsid w:val="7FF55858"/>
    <w:rsid w:val="7FF65F0F"/>
    <w:rsid w:val="7FFF3405"/>
    <w:rsid w:val="994EADE3"/>
    <w:rsid w:val="D89E927C"/>
    <w:rsid w:val="DFBD75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41"/>
    <w:qFormat/>
    <w:uiPriority w:val="0"/>
    <w:pPr>
      <w:keepNext/>
      <w:keepLines/>
      <w:spacing w:before="340" w:beforeLines="0" w:after="330" w:afterLines="0" w:line="576" w:lineRule="auto"/>
      <w:ind w:firstLine="0" w:firstLineChars="0"/>
      <w:textAlignment w:val="center"/>
      <w:outlineLvl w:val="0"/>
    </w:pPr>
    <w:rPr>
      <w:rFonts w:ascii="Times New Roman" w:hAnsi="Times New Roman" w:eastAsia="宋体" w:cs="Times New Roman"/>
      <w:bCs/>
      <w:kern w:val="44"/>
      <w:sz w:val="44"/>
      <w:szCs w:val="44"/>
    </w:rPr>
  </w:style>
  <w:style w:type="paragraph" w:styleId="5">
    <w:name w:val="heading 2"/>
    <w:basedOn w:val="1"/>
    <w:next w:val="1"/>
    <w:link w:val="42"/>
    <w:qFormat/>
    <w:uiPriority w:val="0"/>
    <w:pPr>
      <w:keepNext/>
      <w:keepLines/>
      <w:spacing w:before="260" w:after="260" w:line="415"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260" w:beforeLines="0" w:after="260" w:afterLines="0" w:line="413" w:lineRule="auto"/>
      <w:ind w:firstLine="0" w:firstLineChars="0"/>
      <w:outlineLvl w:val="2"/>
    </w:pPr>
    <w:rPr>
      <w:rFonts w:ascii="Times New Roman" w:hAnsi="Times New Roman" w:eastAsia="宋体" w:cs="Times New Roman"/>
      <w:b/>
      <w:bCs/>
      <w:szCs w:val="32"/>
    </w:rPr>
  </w:style>
  <w:style w:type="paragraph" w:styleId="7">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paragraph" w:styleId="8">
    <w:name w:val="heading 5"/>
    <w:basedOn w:val="1"/>
    <w:next w:val="1"/>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character" w:default="1" w:styleId="36">
    <w:name w:val="Default Paragraph Font"/>
    <w:uiPriority w:val="0"/>
    <w:rPr>
      <w:rFonts w:ascii="Times New Roman" w:hAnsi="Times New Roman" w:eastAsia="宋体" w:cs="Times New Roman"/>
    </w:rPr>
  </w:style>
  <w:style w:type="table" w:default="1" w:styleId="34">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Style w:val="34"/>
      <w:tblCellMar>
        <w:top w:w="0" w:type="dxa"/>
        <w:left w:w="108" w:type="dxa"/>
        <w:bottom w:w="0" w:type="dxa"/>
        <w:right w:w="108" w:type="dxa"/>
      </w:tblCellMar>
    </w:tblPr>
  </w:style>
  <w:style w:type="paragraph" w:styleId="2">
    <w:name w:val="Normal Indent"/>
    <w:basedOn w:val="1"/>
    <w:next w:val="3"/>
    <w:uiPriority w:val="0"/>
    <w:pPr>
      <w:ind w:firstLine="420"/>
    </w:pPr>
    <w:rPr>
      <w:rFonts w:ascii="Times New Roman" w:hAnsi="Times New Roman" w:eastAsia="宋体" w:cs="Times New Roman"/>
      <w:szCs w:val="20"/>
    </w:rPr>
  </w:style>
  <w:style w:type="paragraph" w:customStyle="1" w:styleId="3">
    <w:name w:val="*正文"/>
    <w:basedOn w:val="1"/>
    <w:qFormat/>
    <w:uiPriority w:val="0"/>
    <w:pPr>
      <w:widowControl/>
      <w:adjustRightInd w:val="0"/>
      <w:snapToGrid w:val="0"/>
      <w:spacing w:line="360" w:lineRule="auto"/>
      <w:ind w:firstLine="200" w:firstLineChars="200"/>
      <w:jc w:val="left"/>
    </w:pPr>
    <w:rPr>
      <w:rFonts w:ascii="宋体" w:hAnsi="宋体"/>
      <w:sz w:val="24"/>
      <w:szCs w:val="24"/>
    </w:rPr>
  </w:style>
  <w:style w:type="paragraph" w:styleId="9">
    <w:name w:val="List Number"/>
    <w:basedOn w:val="1"/>
    <w:uiPriority w:val="0"/>
    <w:pPr>
      <w:widowControl/>
      <w:numPr>
        <w:ilvl w:val="0"/>
        <w:numId w:val="1"/>
      </w:numPr>
      <w:tabs>
        <w:tab w:val="left" w:pos="454"/>
        <w:tab w:val="left" w:pos="720"/>
        <w:tab w:val="clear" w:pos="900"/>
      </w:tabs>
      <w:spacing w:afterLines="50"/>
      <w:ind w:left="454" w:hanging="284"/>
      <w:jc w:val="left"/>
    </w:pPr>
    <w:rPr>
      <w:rFonts w:ascii="Times New Roman" w:hAnsi="Times New Roman" w:eastAsia="宋体" w:cs="Times New Roman"/>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iPriority w:val="0"/>
    <w:pPr>
      <w:jc w:val="left"/>
    </w:pPr>
    <w:rPr>
      <w:rFonts w:ascii="Times New Roman" w:hAnsi="Times New Roman" w:eastAsia="宋体" w:cs="Times New Roman"/>
    </w:rPr>
  </w:style>
  <w:style w:type="paragraph" w:styleId="12">
    <w:name w:val="Body Text 3"/>
    <w:basedOn w:val="1"/>
    <w:uiPriority w:val="0"/>
    <w:pPr>
      <w:spacing w:after="120"/>
    </w:pPr>
    <w:rPr>
      <w:rFonts w:ascii="Times New Roman" w:hAnsi="Times New Roman" w:eastAsia="宋体" w:cs="Times New Roman"/>
      <w:sz w:val="16"/>
      <w:szCs w:val="16"/>
    </w:rPr>
  </w:style>
  <w:style w:type="paragraph" w:styleId="13">
    <w:name w:val="Body Text"/>
    <w:basedOn w:val="1"/>
    <w:next w:val="14"/>
    <w:uiPriority w:val="0"/>
    <w:pPr>
      <w:spacing w:after="120"/>
    </w:pPr>
    <w:rPr>
      <w:rFonts w:ascii="Times New Roman" w:hAnsi="Times New Roman" w:eastAsia="宋体" w:cs="Times New Roman"/>
    </w:rPr>
  </w:style>
  <w:style w:type="paragraph" w:styleId="14">
    <w:name w:val="Body Text First Indent"/>
    <w:basedOn w:val="13"/>
    <w:next w:val="1"/>
    <w:uiPriority w:val="0"/>
    <w:pPr>
      <w:ind w:firstLine="420" w:firstLineChars="100"/>
    </w:pPr>
    <w:rPr>
      <w:rFonts w:ascii="Times New Roman" w:hAnsi="Times New Roman" w:eastAsia="宋体" w:cs="Times New Roman"/>
    </w:rPr>
  </w:style>
  <w:style w:type="paragraph" w:styleId="15">
    <w:name w:val="Body Text Indent"/>
    <w:basedOn w:val="1"/>
    <w:next w:val="16"/>
    <w:uiPriority w:val="0"/>
    <w:pPr>
      <w:spacing w:after="120"/>
      <w:ind w:left="420" w:leftChars="200"/>
    </w:pPr>
    <w:rPr>
      <w:rFonts w:ascii="Times New Roman" w:hAnsi="Times New Roman" w:eastAsia="宋体" w:cs="Times New Roman"/>
    </w:rPr>
  </w:style>
  <w:style w:type="paragraph" w:styleId="16">
    <w:name w:val="Body Text First Indent 2"/>
    <w:basedOn w:val="15"/>
    <w:qFormat/>
    <w:uiPriority w:val="0"/>
    <w:pPr>
      <w:spacing w:after="120"/>
      <w:ind w:left="420" w:leftChars="200" w:firstLine="420" w:firstLineChars="200"/>
    </w:pPr>
    <w:rPr>
      <w:kern w:val="0"/>
      <w:sz w:val="21"/>
    </w:rPr>
  </w:style>
  <w:style w:type="paragraph" w:styleId="17">
    <w:name w:val="List 2"/>
    <w:basedOn w:val="1"/>
    <w:uiPriority w:val="0"/>
    <w:pPr>
      <w:ind w:left="100" w:leftChars="200" w:hanging="200" w:hangingChars="200"/>
    </w:pPr>
    <w:rPr>
      <w:rFonts w:ascii="Times New Roman" w:hAnsi="Times New Roman" w:eastAsia="宋体" w:cs="Times New Roman"/>
    </w:rPr>
  </w:style>
  <w:style w:type="paragraph" w:styleId="18">
    <w:name w:val="index 4"/>
    <w:basedOn w:val="1"/>
    <w:next w:val="1"/>
    <w:unhideWhenUsed/>
    <w:qFormat/>
    <w:uiPriority w:val="99"/>
    <w:pPr>
      <w:ind w:left="600" w:leftChars="600"/>
    </w:pPr>
  </w:style>
  <w:style w:type="paragraph" w:styleId="19">
    <w:name w:val="Plain Text"/>
    <w:basedOn w:val="1"/>
    <w:next w:val="1"/>
    <w:link w:val="43"/>
    <w:uiPriority w:val="0"/>
    <w:pPr>
      <w:spacing w:beforeLines="50" w:afterLines="50" w:line="400" w:lineRule="exact"/>
    </w:pPr>
    <w:rPr>
      <w:rFonts w:ascii="宋体" w:hAnsi="Courier New" w:eastAsia="宋体" w:cs="Times New Roman"/>
      <w:sz w:val="24"/>
    </w:rPr>
  </w:style>
  <w:style w:type="paragraph" w:styleId="20">
    <w:name w:val="Date"/>
    <w:basedOn w:val="1"/>
    <w:next w:val="1"/>
    <w:link w:val="44"/>
    <w:uiPriority w:val="0"/>
    <w:pPr>
      <w:ind w:left="2500" w:leftChars="2500"/>
    </w:pPr>
    <w:rPr>
      <w:rFonts w:ascii="Times New Roman" w:hAnsi="Times New Roman" w:eastAsia="楷体_GB2312" w:cs="Times New Roman"/>
      <w:sz w:val="32"/>
      <w:szCs w:val="20"/>
    </w:rPr>
  </w:style>
  <w:style w:type="paragraph" w:styleId="21">
    <w:name w:val="Body Text Indent 2"/>
    <w:basedOn w:val="1"/>
    <w:uiPriority w:val="0"/>
    <w:pPr>
      <w:snapToGrid w:val="0"/>
      <w:ind w:firstLine="542" w:firstLineChars="225"/>
    </w:pPr>
    <w:rPr>
      <w:rFonts w:ascii="仿宋_GB2312" w:hAnsi="宋体" w:eastAsia="宋体" w:cs="Arial"/>
      <w:b/>
      <w:bCs/>
      <w:color w:val="000000"/>
      <w:sz w:val="24"/>
    </w:rPr>
  </w:style>
  <w:style w:type="paragraph" w:styleId="22">
    <w:name w:val="Balloon Text"/>
    <w:basedOn w:val="1"/>
    <w:link w:val="45"/>
    <w:uiPriority w:val="0"/>
    <w:rPr>
      <w:rFonts w:ascii="Times New Roman" w:hAnsi="Times New Roman" w:eastAsia="宋体" w:cs="Times New Roman"/>
      <w:sz w:val="18"/>
      <w:szCs w:val="18"/>
    </w:rPr>
  </w:style>
  <w:style w:type="paragraph" w:styleId="2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4">
    <w:name w:val="header"/>
    <w:basedOn w:val="1"/>
    <w:link w:val="46"/>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5">
    <w:name w:val="toc 1"/>
    <w:basedOn w:val="1"/>
    <w:next w:val="1"/>
    <w:uiPriority w:val="0"/>
    <w:rPr>
      <w:rFonts w:ascii="Times New Roman" w:hAnsi="Times New Roman" w:eastAsia="宋体" w:cs="Times New Roman"/>
    </w:rPr>
  </w:style>
  <w:style w:type="paragraph" w:styleId="26">
    <w:name w:val="Subtitle"/>
    <w:basedOn w:val="1"/>
    <w:next w:val="1"/>
    <w:qFormat/>
    <w:uiPriority w:val="0"/>
    <w:pPr>
      <w:spacing w:afterLines="50"/>
      <w:jc w:val="center"/>
    </w:pPr>
    <w:rPr>
      <w:rFonts w:ascii="Times New Roman" w:hAnsi="Times New Roman" w:eastAsia="Times New Roman" w:cs="Times New Roman"/>
      <w:sz w:val="18"/>
      <w:szCs w:val="18"/>
    </w:rPr>
  </w:style>
  <w:style w:type="paragraph" w:styleId="27">
    <w:name w:val="List"/>
    <w:basedOn w:val="1"/>
    <w:uiPriority w:val="0"/>
    <w:pPr>
      <w:ind w:left="200" w:hanging="200" w:hangingChars="200"/>
    </w:pPr>
    <w:rPr>
      <w:rFonts w:ascii="Times New Roman" w:hAnsi="Times New Roman" w:eastAsia="宋体" w:cs="Times New Roman"/>
    </w:rPr>
  </w:style>
  <w:style w:type="paragraph" w:styleId="28">
    <w:name w:val="toc 6"/>
    <w:basedOn w:val="1"/>
    <w:next w:val="1"/>
    <w:qFormat/>
    <w:uiPriority w:val="0"/>
    <w:pPr>
      <w:ind w:left="1050"/>
      <w:jc w:val="left"/>
    </w:pPr>
    <w:rPr>
      <w:rFonts w:ascii="仿宋_GB2312" w:eastAsia="仿宋_GB2312"/>
      <w:sz w:val="18"/>
      <w:szCs w:val="18"/>
    </w:rPr>
  </w:style>
  <w:style w:type="paragraph" w:styleId="29">
    <w:name w:val="Body Text Indent 3"/>
    <w:basedOn w:val="1"/>
    <w:uiPriority w:val="0"/>
    <w:pPr>
      <w:spacing w:after="120"/>
      <w:ind w:left="420" w:leftChars="200"/>
    </w:pPr>
    <w:rPr>
      <w:rFonts w:ascii="Times New Roman" w:hAnsi="Times New Roman" w:eastAsia="宋体" w:cs="Times New Roman"/>
      <w:sz w:val="16"/>
      <w:szCs w:val="16"/>
    </w:rPr>
  </w:style>
  <w:style w:type="paragraph" w:styleId="30">
    <w:name w:val="Body Text 2"/>
    <w:basedOn w:val="1"/>
    <w:uiPriority w:val="0"/>
    <w:pPr>
      <w:spacing w:after="120" w:line="480" w:lineRule="auto"/>
    </w:pPr>
    <w:rPr>
      <w:rFonts w:ascii="Times New Roman" w:hAnsi="Times New Roman" w:eastAsia="宋体" w:cs="Times New Roman"/>
    </w:rPr>
  </w:style>
  <w:style w:type="paragraph" w:styleId="3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uiPriority w:val="0"/>
    <w:pPr>
      <w:widowControl/>
      <w:spacing w:before="100" w:beforeLines="0" w:beforeAutospacing="1" w:after="100" w:afterLines="0" w:afterAutospacing="1" w:line="300" w:lineRule="atLeast"/>
      <w:jc w:val="left"/>
    </w:pPr>
    <w:rPr>
      <w:rFonts w:ascii="宋体" w:hAnsi="宋体" w:eastAsia="宋体" w:cs="Times New Roman"/>
      <w:color w:val="000000"/>
      <w:kern w:val="0"/>
      <w:sz w:val="18"/>
    </w:rPr>
  </w:style>
  <w:style w:type="paragraph" w:styleId="33">
    <w:name w:val="annotation subject"/>
    <w:basedOn w:val="11"/>
    <w:next w:val="11"/>
    <w:uiPriority w:val="0"/>
    <w:rPr>
      <w:rFonts w:ascii="Times New Roman" w:hAnsi="Times New Roman" w:eastAsia="宋体" w:cs="Times New Roman"/>
      <w:b/>
      <w:bCs/>
    </w:rPr>
  </w:style>
  <w:style w:type="table" w:styleId="35">
    <w:name w:val="Table Grid"/>
    <w:basedOn w:val="34"/>
    <w:uiPriority w:val="0"/>
    <w:pPr>
      <w:widowControl w:val="0"/>
      <w:jc w:val="both"/>
    </w:pPr>
    <w:rPr>
      <w:rFonts w:ascii="Times New Roman" w:hAnsi="Times New Roman" w:eastAsia="宋体" w:cs="Times New Roman"/>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rFonts w:ascii="Times New Roman" w:hAnsi="Times New Roman" w:eastAsia="宋体" w:cs="Times New Roman"/>
      <w:b/>
      <w:bCs/>
    </w:rPr>
  </w:style>
  <w:style w:type="character" w:styleId="38">
    <w:name w:val="page number"/>
    <w:uiPriority w:val="0"/>
    <w:rPr>
      <w:rFonts w:ascii="Times New Roman" w:hAnsi="Times New Roman" w:eastAsia="宋体" w:cs="Times New Roman"/>
    </w:rPr>
  </w:style>
  <w:style w:type="character" w:styleId="39">
    <w:name w:val="Hyperlink"/>
    <w:basedOn w:val="36"/>
    <w:uiPriority w:val="0"/>
    <w:rPr>
      <w:rFonts w:ascii="Times New Roman" w:hAnsi="Times New Roman" w:eastAsia="宋体" w:cs="Times New Roman"/>
      <w:color w:val="0000FF"/>
      <w:u w:val="single"/>
    </w:rPr>
  </w:style>
  <w:style w:type="character" w:styleId="40">
    <w:name w:val="annotation reference"/>
    <w:uiPriority w:val="0"/>
    <w:rPr>
      <w:rFonts w:ascii="Times New Roman" w:hAnsi="Times New Roman" w:eastAsia="宋体" w:cs="Times New Roman"/>
      <w:sz w:val="21"/>
      <w:szCs w:val="21"/>
    </w:rPr>
  </w:style>
  <w:style w:type="character" w:customStyle="1" w:styleId="41">
    <w:name w:val="标题 1 字符"/>
    <w:link w:val="4"/>
    <w:uiPriority w:val="0"/>
    <w:rPr>
      <w:rFonts w:ascii="Times New Roman" w:hAnsi="Times New Roman" w:eastAsia="宋体" w:cs="Times New Roman"/>
      <w:bCs/>
      <w:kern w:val="44"/>
      <w:sz w:val="44"/>
      <w:szCs w:val="44"/>
    </w:rPr>
  </w:style>
  <w:style w:type="character" w:customStyle="1" w:styleId="42">
    <w:name w:val="标题 2 字符"/>
    <w:link w:val="5"/>
    <w:uiPriority w:val="0"/>
    <w:rPr>
      <w:rFonts w:ascii="Arial" w:hAnsi="Arial" w:eastAsia="黑体" w:cs="Times New Roman"/>
      <w:b/>
      <w:bCs/>
      <w:sz w:val="32"/>
      <w:szCs w:val="32"/>
    </w:rPr>
  </w:style>
  <w:style w:type="character" w:customStyle="1" w:styleId="43">
    <w:name w:val="纯文本 字符"/>
    <w:link w:val="19"/>
    <w:uiPriority w:val="0"/>
    <w:rPr>
      <w:rFonts w:ascii="宋体" w:hAnsi="Courier New" w:eastAsia="宋体" w:cs="Times New Roman"/>
      <w:kern w:val="2"/>
      <w:sz w:val="24"/>
      <w:szCs w:val="24"/>
      <w:lang w:val="en-US" w:eastAsia="zh-CN" w:bidi="ar-SA"/>
    </w:rPr>
  </w:style>
  <w:style w:type="character" w:customStyle="1" w:styleId="44">
    <w:name w:val="日期 字符"/>
    <w:link w:val="20"/>
    <w:uiPriority w:val="0"/>
    <w:rPr>
      <w:rFonts w:ascii="Times New Roman" w:hAnsi="Times New Roman" w:eastAsia="楷体_GB2312" w:cs="Times New Roman"/>
      <w:kern w:val="2"/>
      <w:sz w:val="32"/>
      <w:lang w:val="en-US" w:eastAsia="zh-CN" w:bidi="ar-SA"/>
    </w:rPr>
  </w:style>
  <w:style w:type="character" w:customStyle="1" w:styleId="45">
    <w:name w:val="批注框文本 字符"/>
    <w:link w:val="22"/>
    <w:uiPriority w:val="0"/>
    <w:rPr>
      <w:rFonts w:ascii="Times New Roman" w:hAnsi="Times New Roman" w:eastAsia="宋体" w:cs="Times New Roman"/>
      <w:kern w:val="2"/>
      <w:sz w:val="18"/>
      <w:szCs w:val="18"/>
    </w:rPr>
  </w:style>
  <w:style w:type="character" w:customStyle="1" w:styleId="46">
    <w:name w:val="页眉 字符"/>
    <w:link w:val="24"/>
    <w:uiPriority w:val="0"/>
    <w:rPr>
      <w:rFonts w:ascii="Times New Roman" w:hAnsi="Times New Roman" w:eastAsia="宋体" w:cs="Times New Roman"/>
      <w:kern w:val="2"/>
      <w:sz w:val="18"/>
      <w:szCs w:val="18"/>
    </w:rPr>
  </w:style>
  <w:style w:type="character" w:customStyle="1" w:styleId="47">
    <w:name w:val="10f0000001"/>
    <w:uiPriority w:val="0"/>
    <w:rPr>
      <w:rFonts w:ascii="Times New Roman" w:hAnsi="Times New Roman" w:eastAsia="宋体" w:cs="Times New Roman"/>
      <w:b/>
      <w:bCs/>
      <w:spacing w:val="320"/>
      <w:sz w:val="20"/>
      <w:szCs w:val="20"/>
    </w:rPr>
  </w:style>
  <w:style w:type="character" w:customStyle="1" w:styleId="48">
    <w:name w:val="正文2 Char"/>
    <w:link w:val="49"/>
    <w:uiPriority w:val="0"/>
    <w:rPr>
      <w:rFonts w:ascii="Times New Roman" w:hAnsi="Times New Roman" w:eastAsia="宋体" w:cs="Times New Roman"/>
      <w:kern w:val="2"/>
      <w:sz w:val="24"/>
      <w:lang w:val="en-US" w:eastAsia="zh-CN" w:bidi="ar-SA"/>
    </w:rPr>
  </w:style>
  <w:style w:type="paragraph" w:customStyle="1" w:styleId="49">
    <w:name w:val="正文2"/>
    <w:basedOn w:val="1"/>
    <w:link w:val="48"/>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50">
    <w:name w:val="标题 1 Char Char"/>
    <w:uiPriority w:val="0"/>
    <w:rPr>
      <w:rFonts w:ascii="Times New Roman" w:hAnsi="Times New Roman" w:eastAsia="宋体" w:cs="Times New Roman"/>
      <w:b/>
      <w:spacing w:val="-2"/>
      <w:sz w:val="24"/>
      <w:lang w:val="en-US" w:eastAsia="zh-CN"/>
    </w:rPr>
  </w:style>
  <w:style w:type="character" w:customStyle="1" w:styleId="51">
    <w:name w:val="font31"/>
    <w:basedOn w:val="36"/>
    <w:qFormat/>
    <w:uiPriority w:val="0"/>
    <w:rPr>
      <w:rFonts w:hint="eastAsia" w:ascii="宋体" w:hAnsi="宋体" w:eastAsia="宋体" w:cs="宋体"/>
      <w:color w:val="000000"/>
      <w:sz w:val="18"/>
      <w:szCs w:val="18"/>
      <w:u w:val="none"/>
    </w:rPr>
  </w:style>
  <w:style w:type="character" w:customStyle="1" w:styleId="52">
    <w:name w:val="p141"/>
    <w:uiPriority w:val="0"/>
    <w:rPr>
      <w:rFonts w:ascii="Times New Roman" w:hAnsi="Times New Roman" w:eastAsia="宋体" w:cs="Times New Roman"/>
      <w:sz w:val="21"/>
      <w:szCs w:val="21"/>
    </w:rPr>
  </w:style>
  <w:style w:type="character" w:customStyle="1" w:styleId="53">
    <w:name w:val="Char Char4"/>
    <w:uiPriority w:val="0"/>
    <w:rPr>
      <w:rFonts w:ascii="宋体" w:hAnsi="Courier New" w:eastAsia="宋体" w:cs="Times New Roman"/>
      <w:sz w:val="21"/>
      <w:lang w:val="en-US" w:eastAsia="zh-CN"/>
    </w:rPr>
  </w:style>
  <w:style w:type="paragraph" w:customStyle="1" w:styleId="54">
    <w:name w:val="No Spacing"/>
    <w:uiPriority w:val="0"/>
    <w:rPr>
      <w:sz w:val="22"/>
      <w:szCs w:val="22"/>
      <w:lang w:val="en-US" w:eastAsia="en-US" w:bidi="ar-SA"/>
    </w:rPr>
  </w:style>
  <w:style w:type="paragraph" w:customStyle="1" w:styleId="55">
    <w:name w:val="List Paragraph"/>
    <w:basedOn w:val="1"/>
    <w:uiPriority w:val="0"/>
    <w:pPr>
      <w:ind w:firstLine="420" w:firstLineChars="200"/>
    </w:pPr>
    <w:rPr>
      <w:rFonts w:ascii="Times New Roman" w:hAnsi="Times New Roman" w:eastAsia="宋体" w:cs="Times New Roman"/>
    </w:rPr>
  </w:style>
  <w:style w:type="paragraph" w:customStyle="1" w:styleId="56">
    <w:name w:val="标准小三"/>
    <w:basedOn w:val="1"/>
    <w:uiPriority w:val="0"/>
    <w:pPr>
      <w:spacing w:line="700" w:lineRule="exact"/>
      <w:ind w:firstLine="200" w:firstLineChars="200"/>
    </w:pPr>
    <w:rPr>
      <w:rFonts w:ascii="仿宋_GB2312" w:hAnsi="Arial" w:eastAsia="仿宋_GB2312" w:cs="Times New Roman"/>
      <w:snapToGrid w:val="0"/>
      <w:color w:val="000000"/>
      <w:kern w:val="0"/>
      <w:sz w:val="30"/>
      <w:szCs w:val="32"/>
    </w:rPr>
  </w:style>
  <w:style w:type="paragraph" w:customStyle="1" w:styleId="57">
    <w:name w:val="无间隔3"/>
    <w:qFormat/>
    <w:uiPriority w:val="0"/>
    <w:pPr>
      <w:widowControl w:val="0"/>
      <w:jc w:val="both"/>
    </w:pPr>
    <w:rPr>
      <w:rFonts w:ascii="Calibri" w:hAnsi="Calibri"/>
      <w:kern w:val="2"/>
      <w:sz w:val="21"/>
      <w:szCs w:val="22"/>
      <w:lang w:val="en-US" w:eastAsia="zh-CN" w:bidi="ar-SA"/>
    </w:rPr>
  </w:style>
  <w:style w:type="paragraph" w:customStyle="1" w:styleId="58">
    <w:name w:val="部分1"/>
    <w:basedOn w:val="1"/>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9">
    <w:name w:val="样式1"/>
    <w:basedOn w:val="1"/>
    <w:uiPriority w:val="0"/>
    <w:pPr>
      <w:numPr>
        <w:ilvl w:val="0"/>
        <w:numId w:val="2"/>
      </w:numPr>
      <w:tabs>
        <w:tab w:val="left" w:pos="709"/>
      </w:tabs>
      <w:adjustRightInd w:val="0"/>
    </w:pPr>
    <w:rPr>
      <w:rFonts w:ascii="宋体" w:hAnsi="宋体" w:eastAsia="宋体" w:cs="Times New Roman"/>
      <w:kern w:val="0"/>
      <w:szCs w:val="21"/>
    </w:rPr>
  </w:style>
  <w:style w:type="paragraph" w:customStyle="1" w:styleId="60">
    <w:name w:val="Body Text Indent 2"/>
    <w:basedOn w:val="1"/>
    <w:uiPriority w:val="0"/>
    <w:pPr>
      <w:spacing w:after="120" w:line="480" w:lineRule="auto"/>
      <w:ind w:left="420" w:leftChars="200"/>
    </w:pPr>
    <w:rPr>
      <w:rFonts w:ascii="Times New Roman" w:hAnsi="Times New Roman" w:eastAsia="宋体" w:cs="Times New Roman"/>
      <w:szCs w:val="20"/>
    </w:rPr>
  </w:style>
  <w:style w:type="paragraph" w:customStyle="1" w:styleId="61">
    <w:name w:val="Char Char Char Char Char Char Char Char Char Char"/>
    <w:basedOn w:val="1"/>
    <w:uiPriority w:val="0"/>
    <w:rPr>
      <w:rFonts w:ascii="Tahoma" w:hAnsi="Tahoma" w:eastAsia="宋体" w:cs="Times New Roman"/>
      <w:sz w:val="24"/>
      <w:szCs w:val="20"/>
    </w:rPr>
  </w:style>
  <w:style w:type="paragraph" w:customStyle="1" w:styleId="62">
    <w:name w:val="无间隔1"/>
    <w:uiPriority w:val="0"/>
    <w:rPr>
      <w:sz w:val="22"/>
      <w:szCs w:val="22"/>
      <w:lang w:val="en-US" w:eastAsia="en-US" w:bidi="ar-SA"/>
    </w:rPr>
  </w:style>
  <w:style w:type="paragraph" w:customStyle="1" w:styleId="63">
    <w:name w:val="_Style 2"/>
    <w:basedOn w:val="1"/>
    <w:uiPriority w:val="0"/>
    <w:pPr>
      <w:tabs>
        <w:tab w:val="left" w:pos="1008"/>
      </w:tabs>
      <w:ind w:left="1008" w:hanging="1008"/>
    </w:pPr>
    <w:rPr>
      <w:rFonts w:ascii="Times New Roman" w:hAnsi="Times New Roman" w:eastAsia="宋体" w:cs="Times New Roman"/>
    </w:rPr>
  </w:style>
  <w:style w:type="paragraph" w:customStyle="1" w:styleId="64">
    <w:name w:val="样式 标题 5 + 右侧:  -0.18 字符"/>
    <w:basedOn w:val="1"/>
    <w:uiPriority w:val="0"/>
    <w:pPr>
      <w:numPr>
        <w:ilvl w:val="4"/>
        <w:numId w:val="3"/>
      </w:numPr>
    </w:pPr>
    <w:rPr>
      <w:rFonts w:ascii="Times New Roman" w:hAnsi="Times New Roman" w:eastAsia="宋体" w:cs="Times New Roman"/>
    </w:rPr>
  </w:style>
  <w:style w:type="paragraph" w:customStyle="1" w:styleId="65">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6">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67">
    <w:name w:val="样式 标题 3 +"/>
    <w:basedOn w:val="6"/>
    <w:uiPriority w:val="0"/>
    <w:pPr>
      <w:numPr>
        <w:ilvl w:val="2"/>
        <w:numId w:val="4"/>
      </w:numPr>
    </w:pPr>
    <w:rPr>
      <w:rFonts w:ascii="Times New Roman" w:hAnsi="Times New Roman" w:eastAsia="宋体" w:cs="Times New Roman"/>
      <w:kern w:val="0"/>
    </w:rPr>
  </w:style>
  <w:style w:type="paragraph" w:customStyle="1" w:styleId="68">
    <w:name w:val="_Style 3"/>
    <w:uiPriority w:val="0"/>
    <w:pPr>
      <w:widowControl w:val="0"/>
      <w:jc w:val="both"/>
    </w:pPr>
    <w:rPr>
      <w:rFonts w:eastAsia="Arial"/>
      <w:kern w:val="2"/>
      <w:sz w:val="21"/>
      <w:szCs w:val="22"/>
      <w:lang w:val="en-US" w:eastAsia="zh-CN" w:bidi="ar-SA"/>
    </w:rPr>
  </w:style>
  <w:style w:type="paragraph" w:customStyle="1" w:styleId="69">
    <w:name w:val="正文1"/>
    <w:basedOn w:val="1"/>
    <w:uiPriority w:val="0"/>
    <w:pPr>
      <w:adjustRightInd w:val="0"/>
      <w:spacing w:after="0" w:line="360" w:lineRule="auto"/>
      <w:ind w:firstLine="560" w:firstLineChars="200"/>
      <w:jc w:val="both"/>
    </w:pPr>
    <w:rPr>
      <w:rFonts w:hint="default" w:ascii="宋体" w:hAnsi="宋体" w:eastAsia="宋体" w:cs="宋体"/>
      <w:bCs/>
      <w:sz w:val="28"/>
      <w:szCs w:val="28"/>
    </w:rPr>
  </w:style>
  <w:style w:type="paragraph" w:styleId="70">
    <w:name w:val="List Paragraph"/>
    <w:basedOn w:val="1"/>
    <w:qFormat/>
    <w:uiPriority w:val="0"/>
    <w:pPr>
      <w:ind w:firstLine="420" w:firstLineChars="200"/>
    </w:pPr>
    <w:rPr>
      <w:rFonts w:ascii="Calibri" w:hAnsi="Calibri" w:eastAsia="宋体" w:cs="Times New Roman"/>
      <w:szCs w:val="22"/>
    </w:rPr>
  </w:style>
  <w:style w:type="paragraph" w:customStyle="1" w:styleId="71">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72">
    <w:name w:val="Bullets"/>
    <w:basedOn w:val="1"/>
    <w:uiPriority w:val="0"/>
    <w:pPr>
      <w:widowControl/>
      <w:adjustRightInd w:val="0"/>
      <w:snapToGrid w:val="0"/>
      <w:spacing w:before="60" w:after="60"/>
    </w:pPr>
    <w:rPr>
      <w:rFonts w:ascii="Calibri" w:hAnsi="Calibri" w:eastAsia="宋体" w:cs="Times New Roman"/>
      <w:kern w:val="0"/>
      <w:sz w:val="24"/>
      <w:szCs w:val="22"/>
      <w:lang w:val="en-GB"/>
    </w:rPr>
  </w:style>
  <w:style w:type="paragraph" w:customStyle="1" w:styleId="73">
    <w:name w:val="_Style 48"/>
    <w:basedOn w:val="2"/>
    <w:uiPriority w:val="0"/>
    <w:pPr>
      <w:widowControl/>
      <w:spacing w:after="156" w:afterLines="50" w:line="360" w:lineRule="auto"/>
      <w:ind w:firstLine="480" w:firstLineChars="200"/>
      <w:jc w:val="left"/>
    </w:pPr>
    <w:rPr>
      <w:rFonts w:ascii="Times New Roman" w:hAnsi="Times New Roman" w:eastAsia="宋体" w:cs="Times New Roman"/>
    </w:rPr>
  </w:style>
  <w:style w:type="paragraph" w:customStyle="1" w:styleId="74">
    <w:name w:val="表内文字"/>
    <w:basedOn w:val="1"/>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75">
    <w:name w:val="列出段落11"/>
    <w:basedOn w:val="1"/>
    <w:uiPriority w:val="0"/>
    <w:pPr>
      <w:ind w:firstLine="420" w:firstLineChars="200"/>
    </w:pPr>
    <w:rPr>
      <w:rFonts w:ascii="等线" w:hAnsi="等线" w:eastAsia="宋体" w:cs="Times New Roman"/>
      <w:sz w:val="24"/>
      <w:szCs w:val="22"/>
    </w:rPr>
  </w:style>
  <w:style w:type="paragraph" w:styleId="76">
    <w:name w:val=""/>
    <w:uiPriority w:val="0"/>
    <w:rPr>
      <w:kern w:val="2"/>
      <w:sz w:val="21"/>
      <w:szCs w:val="24"/>
      <w:lang w:val="en-US" w:eastAsia="zh-CN" w:bidi="ar-SA"/>
    </w:rPr>
  </w:style>
  <w:style w:type="paragraph" w:customStyle="1" w:styleId="77">
    <w:name w:val="KS表格"/>
    <w:basedOn w:val="1"/>
    <w:uiPriority w:val="0"/>
    <w:pPr>
      <w:spacing w:line="300" w:lineRule="auto"/>
    </w:pPr>
    <w:rPr>
      <w:rFonts w:ascii="Times New Roman" w:hAnsi="Times New Roman" w:eastAsia="宋体" w:cs="Times New Roman"/>
      <w:kern w:val="0"/>
      <w:sz w:val="20"/>
      <w:szCs w:val="20"/>
    </w:rPr>
  </w:style>
  <w:style w:type="paragraph" w:customStyle="1" w:styleId="78">
    <w:name w:val="trs_edito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7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0">
    <w:name w:val="IBM 正文"/>
    <w:basedOn w:val="1"/>
    <w:uiPriority w:val="0"/>
    <w:pPr>
      <w:spacing w:line="360" w:lineRule="atLeast"/>
    </w:pPr>
    <w:rPr>
      <w:rFonts w:ascii="Times New Roman" w:hAnsi="Times New Roman" w:eastAsia="宋体" w:cs="Times New Roman"/>
      <w:sz w:val="24"/>
    </w:rPr>
  </w:style>
  <w:style w:type="paragraph" w:customStyle="1" w:styleId="81">
    <w:name w:val="列出段落1"/>
    <w:basedOn w:val="1"/>
    <w:qFormat/>
    <w:uiPriority w:val="99"/>
    <w:pPr>
      <w:ind w:firstLine="420" w:firstLineChars="200"/>
    </w:pPr>
    <w:rPr>
      <w:rFonts w:ascii="Calibri" w:hAnsi="Calibri" w:eastAsia="宋体" w:cs="Times New Roman"/>
      <w:sz w:val="24"/>
    </w:rPr>
  </w:style>
  <w:style w:type="paragraph" w:customStyle="1" w:styleId="82">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83">
    <w:name w:val="无间隔11"/>
    <w:qFormat/>
    <w:uiPriority w:val="0"/>
    <w:pPr>
      <w:adjustRightInd w:val="0"/>
      <w:snapToGrid w:val="0"/>
    </w:pPr>
    <w:rPr>
      <w:rFonts w:ascii="Tahoma" w:hAnsi="Tahoma" w:eastAsia="微软雅黑" w:cs="Tahoma"/>
      <w:sz w:val="22"/>
      <w:szCs w:val="22"/>
      <w:lang w:val="en-US" w:eastAsia="zh-CN" w:bidi="ar-SA"/>
    </w:rPr>
  </w:style>
  <w:style w:type="paragraph" w:customStyle="1" w:styleId="84">
    <w:name w:val="[Normal]"/>
    <w:uiPriority w:val="0"/>
    <w:rPr>
      <w:rFonts w:ascii="宋体" w:hAnsi="宋体"/>
      <w:sz w:val="24"/>
      <w:szCs w:val="22"/>
      <w:lang w:val="zh-CN" w:eastAsia="zh-CN" w:bidi="ar-SA"/>
    </w:rPr>
  </w:style>
  <w:style w:type="paragraph" w:customStyle="1" w:styleId="85">
    <w:name w:val="正文空2格  1."/>
    <w:basedOn w:val="1"/>
    <w:uiPriority w:val="0"/>
    <w:pPr>
      <w:ind w:firstLine="480" w:firstLineChars="200"/>
    </w:pPr>
    <w:rPr>
      <w:rFonts w:ascii="Times New Roman" w:hAnsi="Times New Roman" w:eastAsia="宋体" w:cs="宋体"/>
      <w:sz w:val="28"/>
      <w:szCs w:val="20"/>
    </w:rPr>
  </w:style>
  <w:style w:type="paragraph" w:customStyle="1" w:styleId="86">
    <w:name w:val="表格文字"/>
    <w:basedOn w:val="1"/>
    <w:next w:val="13"/>
    <w:uiPriority w:val="0"/>
    <w:rPr>
      <w:rFonts w:ascii="Arial" w:hAnsi="Arial" w:eastAsia="宋体" w:cs="Times New Roman"/>
      <w:szCs w:val="21"/>
    </w:rPr>
  </w:style>
  <w:style w:type="paragraph" w:customStyle="1" w:styleId="87">
    <w:name w:val="列表段落1"/>
    <w:basedOn w:val="1"/>
    <w:uiPriority w:val="0"/>
    <w:pPr>
      <w:widowControl w:val="0"/>
      <w:ind w:firstLine="420" w:firstLineChars="200"/>
      <w:jc w:val="both"/>
    </w:pPr>
    <w:rPr>
      <w:rFonts w:ascii="Times New Roman" w:hAnsi="Times New Roman" w:eastAsia="宋体" w:cs="Times New Roman"/>
      <w:spacing w:val="0"/>
      <w:kern w:val="2"/>
      <w:szCs w:val="24"/>
    </w:rPr>
  </w:style>
  <w:style w:type="paragraph" w:customStyle="1" w:styleId="88">
    <w:name w:val="样式3"/>
    <w:basedOn w:val="19"/>
    <w:uiPriority w:val="0"/>
    <w:pPr>
      <w:spacing w:line="240" w:lineRule="atLeast"/>
      <w:outlineLvl w:val="0"/>
    </w:pPr>
    <w:rPr>
      <w:rFonts w:ascii="Calibri" w:hAnsi="Calibri" w:eastAsia="宋体" w:cs="Times New Roman"/>
      <w:sz w:val="28"/>
      <w:szCs w:val="20"/>
    </w:rPr>
  </w:style>
  <w:style w:type="paragraph" w:customStyle="1" w:styleId="89">
    <w:name w:val="Char Char Char Char Char Char"/>
    <w:basedOn w:val="1"/>
    <w:uiPriority w:val="0"/>
    <w:pPr>
      <w:ind w:firstLine="200" w:firstLineChars="200"/>
    </w:pPr>
    <w:rPr>
      <w:rFonts w:ascii="Tahoma" w:hAnsi="Tahoma" w:eastAsia="宋体" w:cs="Times New Roman"/>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17"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94</Pages>
  <Words>60556</Words>
  <Characters>64549</Characters>
  <Lines>318</Lines>
  <Paragraphs>89</Paragraphs>
  <TotalTime>42</TotalTime>
  <ScaleCrop>false</ScaleCrop>
  <LinksUpToDate>false</LinksUpToDate>
  <CharactersWithSpaces>67868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2022-07-13T11:31:00Z</dcterms:created>
  <dc:creator>微软用户</dc:creator>
  <cp:lastModifiedBy>WPS_1701756769</cp:lastModifiedBy>
  <cp:lastPrinted>2017-04-01T15:39:00Z</cp:lastPrinted>
  <dcterms:modified xsi:type="dcterms:W3CDTF">2024-02-26T02:07:04Z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3B252B0FD9CE443F948DF81059DDE53F_13</vt:lpwstr>
  </property>
  <property fmtid="{D5CDD505-2E9C-101B-9397-08002B2CF9AE}" pid="4" name="commondata">
    <vt:lpwstr>eyJoZGlkIjoiMDMzMzBlOTUxZTgxOTFlYjk1YjQwNWFkOWYzMmYzZjYifQ==</vt:lpwstr>
  </property>
</Properties>
</file>