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600" w:beforeLines="250" w:line="312" w:lineRule="auto"/>
        <w:jc w:val="center"/>
        <w:rPr>
          <w:rFonts w:hint="eastAsia" w:ascii="宋体" w:eastAsia="宋体" w:cs="宋体"/>
          <w:sz w:val="52"/>
          <w:szCs w:val="52"/>
          <w:lang w:eastAsia="zh-CN"/>
        </w:rPr>
      </w:pPr>
      <w:r>
        <w:rPr>
          <w:rFonts w:hint="eastAsia" w:ascii="宋体" w:hAnsi="宋体" w:cs="宋体"/>
          <w:sz w:val="52"/>
          <w:szCs w:val="52"/>
          <w:lang w:eastAsia="zh-CN"/>
        </w:rPr>
        <w:t>龙游县残疾人联合会</w:t>
      </w:r>
    </w:p>
    <w:p>
      <w:pPr>
        <w:spacing w:before="600" w:beforeLines="250" w:line="312" w:lineRule="auto"/>
        <w:jc w:val="center"/>
        <w:rPr>
          <w:rFonts w:hint="eastAsia" w:ascii="宋体" w:eastAsia="宋体" w:cs="宋体"/>
          <w:b/>
          <w:sz w:val="52"/>
          <w:szCs w:val="52"/>
          <w:lang w:eastAsia="zh-CN"/>
        </w:rPr>
      </w:pPr>
      <w:r>
        <w:rPr>
          <w:rFonts w:hint="eastAsia" w:ascii="宋体" w:hAnsi="宋体" w:cs="宋体"/>
          <w:sz w:val="52"/>
          <w:szCs w:val="52"/>
          <w:lang w:eastAsia="zh-CN"/>
        </w:rPr>
        <w:t>龙游县残疾儿童康复中心设备采购项目（标段四）</w:t>
      </w:r>
    </w:p>
    <w:p>
      <w:pPr>
        <w:spacing w:before="600" w:beforeLines="250" w:line="312" w:lineRule="auto"/>
        <w:jc w:val="center"/>
        <w:rPr>
          <w:rFonts w:ascii="宋体" w:cs="宋体"/>
          <w:b/>
          <w:sz w:val="72"/>
          <w:szCs w:val="72"/>
        </w:rPr>
      </w:pPr>
      <w:r>
        <w:rPr>
          <w:rFonts w:hint="eastAsia" w:ascii="宋体" w:hAnsi="宋体" w:cs="宋体"/>
          <w:b/>
          <w:sz w:val="72"/>
          <w:szCs w:val="72"/>
        </w:rPr>
        <w:t>招标文件</w:t>
      </w:r>
    </w:p>
    <w:p>
      <w:pPr>
        <w:spacing w:line="312" w:lineRule="auto"/>
        <w:rPr>
          <w:rFonts w:ascii="宋体" w:cs="宋体"/>
          <w:sz w:val="28"/>
          <w:szCs w:val="28"/>
        </w:rPr>
      </w:pPr>
    </w:p>
    <w:p>
      <w:pPr>
        <w:spacing w:line="312" w:lineRule="auto"/>
        <w:rPr>
          <w:rFonts w:ascii="宋体" w:cs="宋体"/>
          <w:sz w:val="28"/>
          <w:szCs w:val="28"/>
        </w:rPr>
      </w:pPr>
    </w:p>
    <w:p>
      <w:pPr>
        <w:spacing w:line="312" w:lineRule="auto"/>
        <w:rPr>
          <w:rFonts w:ascii="宋体" w:cs="宋体"/>
          <w:sz w:val="28"/>
          <w:szCs w:val="28"/>
        </w:rPr>
      </w:pPr>
    </w:p>
    <w:p>
      <w:pPr>
        <w:spacing w:line="312" w:lineRule="auto"/>
        <w:rPr>
          <w:rFonts w:ascii="宋体" w:cs="宋体"/>
          <w:sz w:val="28"/>
          <w:szCs w:val="28"/>
        </w:rPr>
      </w:pPr>
    </w:p>
    <w:p>
      <w:pPr>
        <w:spacing w:line="312" w:lineRule="auto"/>
        <w:rPr>
          <w:rFonts w:hint="eastAsia" w:ascii="宋体" w:eastAsia="宋体" w:cs="宋体"/>
          <w:sz w:val="32"/>
          <w:szCs w:val="32"/>
          <w:lang w:eastAsia="zh-CN"/>
        </w:rPr>
      </w:pPr>
      <w:r>
        <w:rPr>
          <w:rFonts w:hint="eastAsia" w:ascii="宋体" w:hAnsi="宋体" w:cs="宋体"/>
          <w:sz w:val="32"/>
          <w:szCs w:val="32"/>
        </w:rPr>
        <w:t>项目名称：</w:t>
      </w:r>
      <w:r>
        <w:rPr>
          <w:rFonts w:hint="eastAsia" w:ascii="宋体" w:hAnsi="宋体" w:cs="宋体"/>
          <w:sz w:val="32"/>
          <w:szCs w:val="32"/>
          <w:lang w:eastAsia="zh-CN"/>
        </w:rPr>
        <w:t>龙游县残疾儿童康复中心设备采购项目（标段四）</w:t>
      </w:r>
    </w:p>
    <w:p>
      <w:pPr>
        <w:spacing w:line="312" w:lineRule="auto"/>
        <w:ind w:firstLine="2240" w:firstLineChars="700"/>
        <w:rPr>
          <w:rFonts w:ascii="宋体" w:cs="宋体"/>
          <w:sz w:val="32"/>
          <w:szCs w:val="32"/>
        </w:rPr>
      </w:pPr>
    </w:p>
    <w:p>
      <w:pPr>
        <w:spacing w:line="312" w:lineRule="auto"/>
        <w:ind w:firstLine="1280" w:firstLineChars="400"/>
        <w:rPr>
          <w:rFonts w:hint="eastAsia" w:asci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ZJCT-Z20210126</w:t>
      </w:r>
    </w:p>
    <w:p>
      <w:pPr>
        <w:spacing w:line="312" w:lineRule="auto"/>
        <w:ind w:firstLine="2240" w:firstLineChars="700"/>
        <w:rPr>
          <w:rFonts w:ascii="宋体" w:cs="宋体"/>
          <w:sz w:val="32"/>
          <w:szCs w:val="32"/>
        </w:rPr>
      </w:pPr>
    </w:p>
    <w:p>
      <w:pPr>
        <w:spacing w:line="312" w:lineRule="auto"/>
        <w:ind w:firstLine="1280" w:firstLineChars="400"/>
        <w:rPr>
          <w:rFonts w:hint="eastAsia" w:asci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龙游县残疾人联合会</w:t>
      </w:r>
    </w:p>
    <w:p>
      <w:pPr>
        <w:spacing w:line="312" w:lineRule="auto"/>
        <w:ind w:firstLine="2240" w:firstLineChars="700"/>
        <w:rPr>
          <w:rFonts w:ascii="宋体" w:cs="宋体"/>
          <w:sz w:val="32"/>
          <w:szCs w:val="32"/>
        </w:rPr>
      </w:pPr>
    </w:p>
    <w:p>
      <w:pPr>
        <w:spacing w:line="312" w:lineRule="auto"/>
        <w:ind w:firstLine="1280" w:firstLineChars="400"/>
        <w:rPr>
          <w:rFonts w:ascii="宋体" w:cs="宋体"/>
          <w:sz w:val="32"/>
          <w:szCs w:val="32"/>
        </w:rPr>
      </w:pPr>
      <w:r>
        <w:rPr>
          <w:rFonts w:hint="eastAsia" w:ascii="宋体" w:hAnsi="宋体" w:cs="宋体"/>
          <w:sz w:val="32"/>
          <w:szCs w:val="32"/>
        </w:rPr>
        <w:t>采购代理机构：浙江省成套工程有限公司</w:t>
      </w:r>
    </w:p>
    <w:p>
      <w:pPr>
        <w:spacing w:line="312" w:lineRule="auto"/>
        <w:jc w:val="center"/>
        <w:rPr>
          <w:rFonts w:ascii="宋体" w:cs="宋体"/>
          <w:sz w:val="32"/>
          <w:szCs w:val="32"/>
        </w:rPr>
      </w:pPr>
    </w:p>
    <w:p>
      <w:pPr>
        <w:pStyle w:val="60"/>
      </w:pPr>
    </w:p>
    <w:p>
      <w:pPr>
        <w:spacing w:line="312" w:lineRule="auto"/>
        <w:jc w:val="center"/>
        <w:rPr>
          <w:rFonts w:ascii="宋体" w:cs="宋体"/>
          <w:sz w:val="32"/>
          <w:szCs w:val="32"/>
        </w:rPr>
        <w:sectPr>
          <w:headerReference r:id="rId5" w:type="first"/>
          <w:headerReference r:id="rId3" w:type="default"/>
          <w:footerReference r:id="rId6" w:type="default"/>
          <w:headerReference r:id="rId4" w:type="even"/>
          <w:pgSz w:w="11906" w:h="16838"/>
          <w:pgMar w:top="1389" w:right="1247" w:bottom="1389" w:left="1247" w:header="851" w:footer="992" w:gutter="397"/>
          <w:cols w:space="720" w:num="1"/>
          <w:docGrid w:linePitch="312" w:charSpace="0"/>
        </w:sectPr>
      </w:pPr>
      <w:r>
        <w:rPr>
          <w:rFonts w:hint="eastAsia" w:ascii="宋体" w:hAnsi="宋体" w:cs="宋体"/>
          <w:sz w:val="32"/>
          <w:szCs w:val="32"/>
        </w:rPr>
        <w:t>二〇二</w:t>
      </w:r>
      <w:r>
        <w:rPr>
          <w:rFonts w:hint="eastAsia" w:ascii="宋体" w:hAnsi="宋体" w:cs="宋体"/>
          <w:sz w:val="32"/>
          <w:szCs w:val="32"/>
          <w:lang w:eastAsia="zh-CN"/>
        </w:rPr>
        <w:t>一</w:t>
      </w:r>
      <w:r>
        <w:rPr>
          <w:rFonts w:hint="eastAsia" w:ascii="宋体" w:hAnsi="宋体" w:cs="宋体"/>
          <w:sz w:val="32"/>
          <w:szCs w:val="32"/>
        </w:rPr>
        <w:t>年</w:t>
      </w:r>
      <w:r>
        <w:rPr>
          <w:rFonts w:hint="eastAsia" w:ascii="宋体" w:hAnsi="宋体" w:cs="宋体"/>
          <w:sz w:val="32"/>
          <w:szCs w:val="32"/>
          <w:lang w:eastAsia="zh-CN"/>
        </w:rPr>
        <w:t>十一</w:t>
      </w:r>
      <w:r>
        <w:rPr>
          <w:rFonts w:hint="eastAsia" w:ascii="宋体" w:hAnsi="宋体" w:cs="宋体"/>
          <w:sz w:val="32"/>
          <w:szCs w:val="32"/>
        </w:rPr>
        <w:t>月</w:t>
      </w:r>
    </w:p>
    <w:p>
      <w:pPr>
        <w:snapToGrid w:val="0"/>
        <w:spacing w:line="312" w:lineRule="auto"/>
        <w:jc w:val="center"/>
        <w:rPr>
          <w:rFonts w:ascii="宋体" w:cs="宋体"/>
          <w:b/>
          <w:szCs w:val="21"/>
        </w:rPr>
      </w:pPr>
      <w:bookmarkStart w:id="0" w:name="_Toc354401488"/>
      <w:bookmarkStart w:id="1" w:name="_Toc350256312"/>
      <w:bookmarkStart w:id="2" w:name="_Toc322352981"/>
      <w:r>
        <w:rPr>
          <w:rFonts w:hint="eastAsia" w:ascii="宋体" w:hAnsi="宋体" w:cs="宋体"/>
          <w:b/>
          <w:szCs w:val="21"/>
        </w:rPr>
        <w:t>目录</w:t>
      </w:r>
    </w:p>
    <w:p>
      <w:pPr>
        <w:pStyle w:val="41"/>
        <w:tabs>
          <w:tab w:val="right" w:leader="dot" w:pos="9128"/>
        </w:tabs>
        <w:spacing w:line="312" w:lineRule="auto"/>
        <w:rPr>
          <w:rFonts w:ascii="宋体" w:hAnsi="宋体" w:eastAsia="宋体" w:cs="宋体"/>
          <w:sz w:val="21"/>
          <w:szCs w:val="21"/>
        </w:rPr>
      </w:pPr>
      <w:r>
        <w:rPr>
          <w:rFonts w:ascii="宋体" w:hAnsi="宋体" w:eastAsia="宋体" w:cs="宋体"/>
          <w:sz w:val="21"/>
          <w:szCs w:val="21"/>
        </w:rPr>
        <w:fldChar w:fldCharType="begin"/>
      </w:r>
      <w:r>
        <w:rPr>
          <w:rFonts w:ascii="宋体" w:hAnsi="宋体" w:eastAsia="宋体" w:cs="宋体"/>
          <w:sz w:val="21"/>
          <w:szCs w:val="21"/>
        </w:rPr>
        <w:instrText xml:space="preserve"> TOC \o "1-3" \h \z \u </w:instrText>
      </w:r>
      <w:r>
        <w:rPr>
          <w:rFonts w:ascii="宋体" w:hAnsi="宋体" w:eastAsia="宋体" w:cs="宋体"/>
          <w:sz w:val="21"/>
          <w:szCs w:val="21"/>
        </w:rPr>
        <w:fldChar w:fldCharType="separate"/>
      </w:r>
    </w:p>
    <w:p>
      <w:pPr>
        <w:pStyle w:val="268"/>
        <w:tabs>
          <w:tab w:val="right" w:leader="dot" w:pos="9128"/>
        </w:tabs>
        <w:rPr>
          <w:b/>
        </w:rPr>
      </w:pPr>
      <w:r>
        <w:fldChar w:fldCharType="begin"/>
      </w:r>
      <w:r>
        <w:instrText xml:space="preserve"> HYPERLINK \l "_Toc25310" </w:instrText>
      </w:r>
      <w:r>
        <w:fldChar w:fldCharType="separate"/>
      </w:r>
      <w:r>
        <w:rPr>
          <w:rFonts w:hint="eastAsia" w:ascii="宋体" w:hAnsi="宋体" w:cs="宋体"/>
          <w:b/>
          <w:szCs w:val="21"/>
        </w:rPr>
        <w:t>第一章招标公告</w:t>
      </w:r>
      <w:r>
        <w:rPr>
          <w:b/>
        </w:rPr>
        <w:tab/>
      </w:r>
      <w:r>
        <w:rPr>
          <w:b/>
        </w:rPr>
        <w:fldChar w:fldCharType="begin"/>
      </w:r>
      <w:r>
        <w:rPr>
          <w:b/>
        </w:rPr>
        <w:instrText xml:space="preserve"> PAGEREF _Toc25310 </w:instrText>
      </w:r>
      <w:r>
        <w:rPr>
          <w:b/>
        </w:rPr>
        <w:fldChar w:fldCharType="separate"/>
      </w:r>
      <w:r>
        <w:rPr>
          <w:b/>
        </w:rPr>
        <w:t>3</w:t>
      </w:r>
      <w:r>
        <w:rPr>
          <w:b/>
        </w:rPr>
        <w:fldChar w:fldCharType="end"/>
      </w:r>
      <w:r>
        <w:rPr>
          <w:b/>
        </w:rPr>
        <w:fldChar w:fldCharType="end"/>
      </w:r>
    </w:p>
    <w:p>
      <w:pPr>
        <w:pStyle w:val="268"/>
        <w:tabs>
          <w:tab w:val="right" w:leader="dot" w:pos="9128"/>
        </w:tabs>
        <w:rPr>
          <w:b/>
        </w:rPr>
      </w:pPr>
      <w:r>
        <w:fldChar w:fldCharType="begin"/>
      </w:r>
      <w:r>
        <w:instrText xml:space="preserve"> HYPERLINK \l "_Toc30819" </w:instrText>
      </w:r>
      <w:r>
        <w:fldChar w:fldCharType="separate"/>
      </w:r>
      <w:r>
        <w:rPr>
          <w:rFonts w:hint="eastAsia" w:ascii="宋体" w:hAnsi="宋体" w:cs="宋体"/>
          <w:b/>
          <w:szCs w:val="21"/>
        </w:rPr>
        <w:t>第二章投标须知前附表及投标须知</w:t>
      </w:r>
      <w:r>
        <w:rPr>
          <w:b/>
        </w:rPr>
        <w:tab/>
      </w:r>
      <w:r>
        <w:rPr>
          <w:b/>
        </w:rPr>
        <w:fldChar w:fldCharType="begin"/>
      </w:r>
      <w:r>
        <w:rPr>
          <w:b/>
        </w:rPr>
        <w:instrText xml:space="preserve"> PAGEREF _Toc30819 </w:instrText>
      </w:r>
      <w:r>
        <w:rPr>
          <w:b/>
        </w:rPr>
        <w:fldChar w:fldCharType="separate"/>
      </w:r>
      <w:r>
        <w:rPr>
          <w:b/>
        </w:rPr>
        <w:t>6</w:t>
      </w:r>
      <w:r>
        <w:rPr>
          <w:b/>
        </w:rPr>
        <w:fldChar w:fldCharType="end"/>
      </w:r>
      <w:r>
        <w:rPr>
          <w:b/>
        </w:rPr>
        <w:fldChar w:fldCharType="end"/>
      </w:r>
    </w:p>
    <w:p>
      <w:pPr>
        <w:pStyle w:val="214"/>
        <w:tabs>
          <w:tab w:val="right" w:leader="dot" w:pos="9128"/>
        </w:tabs>
        <w:ind w:left="420"/>
      </w:pPr>
      <w:r>
        <w:fldChar w:fldCharType="begin"/>
      </w:r>
      <w:r>
        <w:instrText xml:space="preserve"> HYPERLINK \l "_Toc13717" </w:instrText>
      </w:r>
      <w:r>
        <w:fldChar w:fldCharType="separate"/>
      </w:r>
      <w:r>
        <w:rPr>
          <w:rFonts w:hint="eastAsia" w:ascii="宋体" w:hAnsi="宋体" w:cs="宋体"/>
          <w:szCs w:val="21"/>
        </w:rPr>
        <w:t>一、投标须知前附表</w:t>
      </w:r>
      <w:r>
        <w:tab/>
      </w:r>
      <w:r>
        <w:fldChar w:fldCharType="begin"/>
      </w:r>
      <w:r>
        <w:instrText xml:space="preserve"> PAGEREF _Toc13717 </w:instrText>
      </w:r>
      <w:r>
        <w:fldChar w:fldCharType="separate"/>
      </w:r>
      <w:r>
        <w:t>6</w:t>
      </w:r>
      <w:r>
        <w:fldChar w:fldCharType="end"/>
      </w:r>
      <w:r>
        <w:fldChar w:fldCharType="end"/>
      </w:r>
    </w:p>
    <w:p>
      <w:pPr>
        <w:pStyle w:val="214"/>
        <w:tabs>
          <w:tab w:val="right" w:leader="dot" w:pos="9128"/>
        </w:tabs>
        <w:ind w:left="420"/>
      </w:pPr>
      <w:r>
        <w:fldChar w:fldCharType="begin"/>
      </w:r>
      <w:r>
        <w:instrText xml:space="preserve"> HYPERLINK \l "_Toc9259" </w:instrText>
      </w:r>
      <w:r>
        <w:fldChar w:fldCharType="separate"/>
      </w:r>
      <w:r>
        <w:rPr>
          <w:rFonts w:hint="eastAsia" w:ascii="宋体" w:hAnsi="宋体" w:cs="宋体"/>
          <w:szCs w:val="21"/>
        </w:rPr>
        <w:t>二、投标须知</w:t>
      </w:r>
      <w:r>
        <w:tab/>
      </w:r>
      <w:r>
        <w:fldChar w:fldCharType="begin"/>
      </w:r>
      <w:r>
        <w:instrText xml:space="preserve"> PAGEREF _Toc9259 </w:instrText>
      </w:r>
      <w:r>
        <w:fldChar w:fldCharType="separate"/>
      </w:r>
      <w:r>
        <w:t>8</w:t>
      </w:r>
      <w:r>
        <w:fldChar w:fldCharType="end"/>
      </w:r>
      <w:r>
        <w:fldChar w:fldCharType="end"/>
      </w:r>
    </w:p>
    <w:p>
      <w:pPr>
        <w:pStyle w:val="214"/>
        <w:tabs>
          <w:tab w:val="right" w:leader="dot" w:pos="9128"/>
        </w:tabs>
        <w:ind w:left="420"/>
      </w:pPr>
      <w:r>
        <w:fldChar w:fldCharType="begin"/>
      </w:r>
      <w:r>
        <w:instrText xml:space="preserve"> HYPERLINK \l "_Toc18325" </w:instrText>
      </w:r>
      <w:r>
        <w:fldChar w:fldCharType="separate"/>
      </w:r>
      <w:r>
        <w:rPr>
          <w:rFonts w:hint="eastAsia" w:ascii="宋体" w:hAnsi="宋体" w:cs="宋体"/>
          <w:szCs w:val="21"/>
        </w:rPr>
        <w:t>三、招标文件说明</w:t>
      </w:r>
      <w:r>
        <w:tab/>
      </w:r>
      <w:r>
        <w:fldChar w:fldCharType="begin"/>
      </w:r>
      <w:r>
        <w:instrText xml:space="preserve"> PAGEREF _Toc18325 </w:instrText>
      </w:r>
      <w:r>
        <w:fldChar w:fldCharType="separate"/>
      </w:r>
      <w:r>
        <w:t>9</w:t>
      </w:r>
      <w:r>
        <w:fldChar w:fldCharType="end"/>
      </w:r>
      <w:r>
        <w:fldChar w:fldCharType="end"/>
      </w:r>
    </w:p>
    <w:p>
      <w:pPr>
        <w:pStyle w:val="214"/>
        <w:tabs>
          <w:tab w:val="right" w:leader="dot" w:pos="9128"/>
        </w:tabs>
        <w:ind w:left="420"/>
      </w:pPr>
      <w:r>
        <w:fldChar w:fldCharType="begin"/>
      </w:r>
      <w:r>
        <w:instrText xml:space="preserve"> HYPERLINK \l "_Toc10953" </w:instrText>
      </w:r>
      <w:r>
        <w:fldChar w:fldCharType="separate"/>
      </w:r>
      <w:r>
        <w:rPr>
          <w:rFonts w:hint="eastAsia" w:ascii="宋体" w:hAnsi="宋体" w:cs="宋体"/>
          <w:szCs w:val="21"/>
        </w:rPr>
        <w:t>四、投标文件的编制</w:t>
      </w:r>
      <w:r>
        <w:tab/>
      </w:r>
      <w:r>
        <w:fldChar w:fldCharType="begin"/>
      </w:r>
      <w:r>
        <w:instrText xml:space="preserve"> PAGEREF _Toc10953 </w:instrText>
      </w:r>
      <w:r>
        <w:fldChar w:fldCharType="separate"/>
      </w:r>
      <w:r>
        <w:t>9</w:t>
      </w:r>
      <w:r>
        <w:fldChar w:fldCharType="end"/>
      </w:r>
      <w:r>
        <w:fldChar w:fldCharType="end"/>
      </w:r>
    </w:p>
    <w:p>
      <w:pPr>
        <w:pStyle w:val="214"/>
        <w:tabs>
          <w:tab w:val="right" w:leader="dot" w:pos="9128"/>
        </w:tabs>
        <w:ind w:left="420"/>
      </w:pPr>
      <w:r>
        <w:fldChar w:fldCharType="begin"/>
      </w:r>
      <w:r>
        <w:instrText xml:space="preserve"> HYPERLINK \l "_Toc2053" </w:instrText>
      </w:r>
      <w:r>
        <w:fldChar w:fldCharType="separate"/>
      </w:r>
      <w:r>
        <w:rPr>
          <w:rFonts w:hint="eastAsia" w:ascii="宋体" w:hAnsi="宋体" w:cs="宋体"/>
          <w:szCs w:val="21"/>
        </w:rPr>
        <w:t>五、投标文件的签署及规定</w:t>
      </w:r>
      <w:r>
        <w:tab/>
      </w:r>
      <w:r>
        <w:fldChar w:fldCharType="begin"/>
      </w:r>
      <w:r>
        <w:instrText xml:space="preserve"> PAGEREF _Toc2053 </w:instrText>
      </w:r>
      <w:r>
        <w:fldChar w:fldCharType="separate"/>
      </w:r>
      <w:r>
        <w:t>11</w:t>
      </w:r>
      <w:r>
        <w:fldChar w:fldCharType="end"/>
      </w:r>
      <w:r>
        <w:fldChar w:fldCharType="end"/>
      </w:r>
    </w:p>
    <w:p>
      <w:pPr>
        <w:pStyle w:val="214"/>
        <w:tabs>
          <w:tab w:val="right" w:leader="dot" w:pos="9128"/>
        </w:tabs>
        <w:ind w:left="420"/>
      </w:pPr>
      <w:r>
        <w:fldChar w:fldCharType="begin"/>
      </w:r>
      <w:r>
        <w:instrText xml:space="preserve"> HYPERLINK \l "_Toc20021" </w:instrText>
      </w:r>
      <w:r>
        <w:fldChar w:fldCharType="separate"/>
      </w:r>
      <w:r>
        <w:rPr>
          <w:rFonts w:hint="eastAsia" w:ascii="宋体" w:hAnsi="宋体" w:cs="宋体"/>
          <w:szCs w:val="21"/>
        </w:rPr>
        <w:t>六、投标文件的递交</w:t>
      </w:r>
      <w:r>
        <w:tab/>
      </w:r>
      <w:r>
        <w:fldChar w:fldCharType="begin"/>
      </w:r>
      <w:r>
        <w:instrText xml:space="preserve"> PAGEREF _Toc20021 </w:instrText>
      </w:r>
      <w:r>
        <w:fldChar w:fldCharType="separate"/>
      </w:r>
      <w:r>
        <w:t>12</w:t>
      </w:r>
      <w:r>
        <w:fldChar w:fldCharType="end"/>
      </w:r>
      <w:r>
        <w:fldChar w:fldCharType="end"/>
      </w:r>
    </w:p>
    <w:p>
      <w:pPr>
        <w:pStyle w:val="214"/>
        <w:tabs>
          <w:tab w:val="right" w:leader="dot" w:pos="9128"/>
        </w:tabs>
        <w:ind w:left="420"/>
      </w:pPr>
      <w:r>
        <w:fldChar w:fldCharType="begin"/>
      </w:r>
      <w:r>
        <w:instrText xml:space="preserve"> HYPERLINK \l "_Toc19117" </w:instrText>
      </w:r>
      <w:r>
        <w:fldChar w:fldCharType="separate"/>
      </w:r>
      <w:r>
        <w:rPr>
          <w:rFonts w:hint="eastAsia" w:ascii="宋体" w:hAnsi="宋体" w:cs="宋体"/>
          <w:szCs w:val="21"/>
        </w:rPr>
        <w:t>七、投标无效的情形</w:t>
      </w:r>
      <w:r>
        <w:tab/>
      </w:r>
      <w:r>
        <w:fldChar w:fldCharType="begin"/>
      </w:r>
      <w:r>
        <w:instrText xml:space="preserve"> PAGEREF _Toc19117 </w:instrText>
      </w:r>
      <w:r>
        <w:fldChar w:fldCharType="separate"/>
      </w:r>
      <w:r>
        <w:t>12</w:t>
      </w:r>
      <w:r>
        <w:fldChar w:fldCharType="end"/>
      </w:r>
      <w:r>
        <w:fldChar w:fldCharType="end"/>
      </w:r>
    </w:p>
    <w:p>
      <w:pPr>
        <w:pStyle w:val="214"/>
        <w:tabs>
          <w:tab w:val="right" w:leader="dot" w:pos="9128"/>
        </w:tabs>
        <w:ind w:left="420"/>
      </w:pPr>
      <w:r>
        <w:fldChar w:fldCharType="begin"/>
      </w:r>
      <w:r>
        <w:instrText xml:space="preserve"> HYPERLINK \l "_Toc28187" </w:instrText>
      </w:r>
      <w:r>
        <w:fldChar w:fldCharType="separate"/>
      </w:r>
      <w:r>
        <w:rPr>
          <w:rFonts w:hint="eastAsia" w:ascii="宋体" w:hAnsi="宋体" w:cs="宋体"/>
          <w:szCs w:val="21"/>
        </w:rPr>
        <w:t>八、串通投标的情形</w:t>
      </w:r>
      <w:r>
        <w:tab/>
      </w:r>
      <w:r>
        <w:fldChar w:fldCharType="begin"/>
      </w:r>
      <w:r>
        <w:instrText xml:space="preserve"> PAGEREF _Toc28187 </w:instrText>
      </w:r>
      <w:r>
        <w:fldChar w:fldCharType="separate"/>
      </w:r>
      <w:r>
        <w:t>13</w:t>
      </w:r>
      <w:r>
        <w:fldChar w:fldCharType="end"/>
      </w:r>
      <w:r>
        <w:fldChar w:fldCharType="end"/>
      </w:r>
    </w:p>
    <w:p>
      <w:pPr>
        <w:pStyle w:val="214"/>
        <w:tabs>
          <w:tab w:val="right" w:leader="dot" w:pos="9128"/>
        </w:tabs>
        <w:ind w:left="420"/>
      </w:pPr>
      <w:r>
        <w:fldChar w:fldCharType="begin"/>
      </w:r>
      <w:r>
        <w:instrText xml:space="preserve"> HYPERLINK \l "_Toc26495" </w:instrText>
      </w:r>
      <w:r>
        <w:fldChar w:fldCharType="separate"/>
      </w:r>
      <w:r>
        <w:rPr>
          <w:rFonts w:hint="eastAsia" w:ascii="宋体" w:hAnsi="宋体" w:cs="宋体"/>
          <w:szCs w:val="21"/>
        </w:rPr>
        <w:t>九、废标的情形</w:t>
      </w:r>
      <w:r>
        <w:tab/>
      </w:r>
      <w:r>
        <w:fldChar w:fldCharType="begin"/>
      </w:r>
      <w:r>
        <w:instrText xml:space="preserve"> PAGEREF _Toc26495 </w:instrText>
      </w:r>
      <w:r>
        <w:fldChar w:fldCharType="separate"/>
      </w:r>
      <w:r>
        <w:t>13</w:t>
      </w:r>
      <w:r>
        <w:fldChar w:fldCharType="end"/>
      </w:r>
      <w:r>
        <w:fldChar w:fldCharType="end"/>
      </w:r>
    </w:p>
    <w:p>
      <w:pPr>
        <w:pStyle w:val="214"/>
        <w:tabs>
          <w:tab w:val="right" w:leader="dot" w:pos="9128"/>
        </w:tabs>
        <w:ind w:left="420"/>
      </w:pPr>
      <w:r>
        <w:fldChar w:fldCharType="begin"/>
      </w:r>
      <w:r>
        <w:instrText xml:space="preserve"> HYPERLINK \l "_Toc1465" </w:instrText>
      </w:r>
      <w:r>
        <w:fldChar w:fldCharType="separate"/>
      </w:r>
      <w:r>
        <w:rPr>
          <w:rFonts w:hint="eastAsia" w:ascii="宋体" w:hAnsi="宋体" w:cs="宋体"/>
          <w:szCs w:val="21"/>
        </w:rPr>
        <w:t>十、开标和评标</w:t>
      </w:r>
      <w:r>
        <w:tab/>
      </w:r>
      <w:r>
        <w:fldChar w:fldCharType="begin"/>
      </w:r>
      <w:r>
        <w:instrText xml:space="preserve"> PAGEREF _Toc1465 </w:instrText>
      </w:r>
      <w:r>
        <w:fldChar w:fldCharType="separate"/>
      </w:r>
      <w:r>
        <w:t>13</w:t>
      </w:r>
      <w:r>
        <w:fldChar w:fldCharType="end"/>
      </w:r>
      <w:r>
        <w:fldChar w:fldCharType="end"/>
      </w:r>
    </w:p>
    <w:p>
      <w:pPr>
        <w:pStyle w:val="214"/>
        <w:tabs>
          <w:tab w:val="right" w:leader="dot" w:pos="9128"/>
        </w:tabs>
        <w:ind w:left="420"/>
      </w:pPr>
      <w:r>
        <w:fldChar w:fldCharType="begin"/>
      </w:r>
      <w:r>
        <w:instrText xml:space="preserve"> HYPERLINK \l "_Toc11148" </w:instrText>
      </w:r>
      <w:r>
        <w:fldChar w:fldCharType="separate"/>
      </w:r>
      <w:r>
        <w:rPr>
          <w:rFonts w:hint="eastAsia" w:ascii="宋体" w:hAnsi="宋体" w:cs="宋体"/>
          <w:szCs w:val="21"/>
        </w:rPr>
        <w:t>十一、定标</w:t>
      </w:r>
      <w:r>
        <w:tab/>
      </w:r>
      <w:r>
        <w:fldChar w:fldCharType="begin"/>
      </w:r>
      <w:r>
        <w:instrText xml:space="preserve"> PAGEREF _Toc11148 </w:instrText>
      </w:r>
      <w:r>
        <w:fldChar w:fldCharType="separate"/>
      </w:r>
      <w:r>
        <w:t>15</w:t>
      </w:r>
      <w:r>
        <w:fldChar w:fldCharType="end"/>
      </w:r>
      <w:r>
        <w:fldChar w:fldCharType="end"/>
      </w:r>
    </w:p>
    <w:p>
      <w:pPr>
        <w:pStyle w:val="214"/>
        <w:tabs>
          <w:tab w:val="right" w:leader="dot" w:pos="9128"/>
        </w:tabs>
        <w:ind w:left="420"/>
      </w:pPr>
      <w:r>
        <w:fldChar w:fldCharType="begin"/>
      </w:r>
      <w:r>
        <w:instrText xml:space="preserve"> HYPERLINK \l "_Toc6522" </w:instrText>
      </w:r>
      <w:r>
        <w:fldChar w:fldCharType="separate"/>
      </w:r>
      <w:r>
        <w:rPr>
          <w:rFonts w:hint="eastAsia" w:ascii="宋体" w:hAnsi="宋体" w:cs="宋体"/>
          <w:szCs w:val="21"/>
        </w:rPr>
        <w:t>十二、质疑与投诉</w:t>
      </w:r>
      <w:r>
        <w:tab/>
      </w:r>
      <w:r>
        <w:fldChar w:fldCharType="begin"/>
      </w:r>
      <w:r>
        <w:instrText xml:space="preserve"> PAGEREF _Toc6522 </w:instrText>
      </w:r>
      <w:r>
        <w:fldChar w:fldCharType="separate"/>
      </w:r>
      <w:r>
        <w:t>16</w:t>
      </w:r>
      <w:r>
        <w:fldChar w:fldCharType="end"/>
      </w:r>
      <w:r>
        <w:fldChar w:fldCharType="end"/>
      </w:r>
    </w:p>
    <w:p>
      <w:pPr>
        <w:pStyle w:val="214"/>
        <w:tabs>
          <w:tab w:val="right" w:leader="dot" w:pos="9128"/>
        </w:tabs>
        <w:ind w:left="420"/>
      </w:pPr>
      <w:r>
        <w:fldChar w:fldCharType="begin"/>
      </w:r>
      <w:r>
        <w:instrText xml:space="preserve"> HYPERLINK \l "_Toc20144" </w:instrText>
      </w:r>
      <w:r>
        <w:fldChar w:fldCharType="separate"/>
      </w:r>
      <w:r>
        <w:rPr>
          <w:rFonts w:hint="eastAsia" w:ascii="宋体" w:hAnsi="宋体" w:cs="宋体"/>
          <w:szCs w:val="21"/>
        </w:rPr>
        <w:t>十三、法律责任</w:t>
      </w:r>
      <w:r>
        <w:tab/>
      </w:r>
      <w:r>
        <w:fldChar w:fldCharType="begin"/>
      </w:r>
      <w:r>
        <w:instrText xml:space="preserve"> PAGEREF _Toc20144 </w:instrText>
      </w:r>
      <w:r>
        <w:fldChar w:fldCharType="separate"/>
      </w:r>
      <w:r>
        <w:t>16</w:t>
      </w:r>
      <w:r>
        <w:fldChar w:fldCharType="end"/>
      </w:r>
      <w:r>
        <w:fldChar w:fldCharType="end"/>
      </w:r>
    </w:p>
    <w:p>
      <w:pPr>
        <w:pStyle w:val="214"/>
        <w:tabs>
          <w:tab w:val="right" w:leader="dot" w:pos="9128"/>
        </w:tabs>
        <w:ind w:left="420"/>
      </w:pPr>
      <w:r>
        <w:fldChar w:fldCharType="begin"/>
      </w:r>
      <w:r>
        <w:instrText xml:space="preserve"> HYPERLINK \l "_Toc6783" </w:instrText>
      </w:r>
      <w:r>
        <w:fldChar w:fldCharType="separate"/>
      </w:r>
      <w:r>
        <w:rPr>
          <w:rFonts w:hint="eastAsia" w:ascii="宋体" w:hAnsi="宋体" w:cs="宋体"/>
          <w:szCs w:val="21"/>
        </w:rPr>
        <w:t>十四、代理服务费</w:t>
      </w:r>
      <w:r>
        <w:tab/>
      </w:r>
      <w:r>
        <w:fldChar w:fldCharType="begin"/>
      </w:r>
      <w:r>
        <w:instrText xml:space="preserve"> PAGEREF _Toc6783 </w:instrText>
      </w:r>
      <w:r>
        <w:fldChar w:fldCharType="separate"/>
      </w:r>
      <w:r>
        <w:t>17</w:t>
      </w:r>
      <w:r>
        <w:fldChar w:fldCharType="end"/>
      </w:r>
      <w:r>
        <w:fldChar w:fldCharType="end"/>
      </w:r>
    </w:p>
    <w:p>
      <w:pPr>
        <w:pStyle w:val="214"/>
        <w:tabs>
          <w:tab w:val="right" w:leader="dot" w:pos="9128"/>
        </w:tabs>
        <w:ind w:left="420"/>
      </w:pPr>
      <w:r>
        <w:fldChar w:fldCharType="begin"/>
      </w:r>
      <w:r>
        <w:instrText xml:space="preserve"> HYPERLINK \l "_Toc31597" </w:instrText>
      </w:r>
      <w:r>
        <w:fldChar w:fldCharType="separate"/>
      </w:r>
      <w:r>
        <w:rPr>
          <w:rFonts w:hint="eastAsia" w:ascii="宋体" w:hAnsi="宋体" w:cs="宋体"/>
          <w:szCs w:val="21"/>
        </w:rPr>
        <w:t>十五、其他</w:t>
      </w:r>
      <w:r>
        <w:tab/>
      </w:r>
      <w:r>
        <w:fldChar w:fldCharType="begin"/>
      </w:r>
      <w:r>
        <w:instrText xml:space="preserve"> PAGEREF _Toc31597 </w:instrText>
      </w:r>
      <w:r>
        <w:fldChar w:fldCharType="separate"/>
      </w:r>
      <w:r>
        <w:t>17</w:t>
      </w:r>
      <w:r>
        <w:fldChar w:fldCharType="end"/>
      </w:r>
      <w:r>
        <w:fldChar w:fldCharType="end"/>
      </w:r>
    </w:p>
    <w:p>
      <w:pPr>
        <w:pStyle w:val="268"/>
        <w:tabs>
          <w:tab w:val="right" w:leader="dot" w:pos="9128"/>
        </w:tabs>
        <w:rPr>
          <w:b/>
        </w:rPr>
      </w:pPr>
      <w:r>
        <w:fldChar w:fldCharType="begin"/>
      </w:r>
      <w:r>
        <w:instrText xml:space="preserve"> HYPERLINK \l "_Toc14210" </w:instrText>
      </w:r>
      <w:r>
        <w:fldChar w:fldCharType="separate"/>
      </w:r>
      <w:r>
        <w:rPr>
          <w:rFonts w:hint="eastAsia" w:ascii="宋体" w:hAnsi="宋体" w:cs="宋体"/>
          <w:b/>
          <w:szCs w:val="21"/>
        </w:rPr>
        <w:t>第三章</w:t>
      </w:r>
      <w:r>
        <w:rPr>
          <w:rFonts w:hint="eastAsia" w:ascii="宋体" w:hAnsi="宋体" w:cs="宋体"/>
          <w:b/>
          <w:szCs w:val="21"/>
          <w:lang w:eastAsia="zh-CN"/>
        </w:rPr>
        <w:t>采购需求</w:t>
      </w:r>
      <w:r>
        <w:rPr>
          <w:b/>
        </w:rPr>
        <w:tab/>
      </w:r>
      <w:r>
        <w:rPr>
          <w:b/>
        </w:rPr>
        <w:fldChar w:fldCharType="begin"/>
      </w:r>
      <w:r>
        <w:rPr>
          <w:b/>
        </w:rPr>
        <w:instrText xml:space="preserve"> PAGEREF _Toc14210 </w:instrText>
      </w:r>
      <w:r>
        <w:rPr>
          <w:b/>
        </w:rPr>
        <w:fldChar w:fldCharType="separate"/>
      </w:r>
      <w:r>
        <w:rPr>
          <w:b/>
        </w:rPr>
        <w:t>18</w:t>
      </w:r>
      <w:r>
        <w:rPr>
          <w:b/>
        </w:rPr>
        <w:fldChar w:fldCharType="end"/>
      </w:r>
      <w:r>
        <w:rPr>
          <w:b/>
        </w:rPr>
        <w:fldChar w:fldCharType="end"/>
      </w:r>
    </w:p>
    <w:p>
      <w:pPr>
        <w:pStyle w:val="268"/>
        <w:tabs>
          <w:tab w:val="right" w:leader="dot" w:pos="9128"/>
        </w:tabs>
      </w:pPr>
      <w:r>
        <w:fldChar w:fldCharType="begin"/>
      </w:r>
      <w:r>
        <w:instrText xml:space="preserve"> HYPERLINK \l "_Toc373" </w:instrText>
      </w:r>
      <w:r>
        <w:fldChar w:fldCharType="separate"/>
      </w:r>
      <w:r>
        <w:rPr>
          <w:rFonts w:hint="eastAsia" w:ascii="宋体" w:hAnsi="宋体" w:cs="宋体"/>
          <w:b/>
          <w:szCs w:val="21"/>
        </w:rPr>
        <w:t>第四章合同的通用和专用条款</w:t>
      </w:r>
      <w:r>
        <w:rPr>
          <w:b/>
        </w:rPr>
        <w:tab/>
      </w:r>
      <w:r>
        <w:rPr>
          <w:b/>
        </w:rPr>
        <w:fldChar w:fldCharType="begin"/>
      </w:r>
      <w:r>
        <w:rPr>
          <w:b/>
        </w:rPr>
        <w:instrText xml:space="preserve"> PAGEREF _Toc373 </w:instrText>
      </w:r>
      <w:r>
        <w:rPr>
          <w:b/>
        </w:rPr>
        <w:fldChar w:fldCharType="separate"/>
      </w:r>
      <w:r>
        <w:rPr>
          <w:b/>
        </w:rPr>
        <w:t>18</w:t>
      </w:r>
      <w:r>
        <w:rPr>
          <w:b/>
        </w:rPr>
        <w:fldChar w:fldCharType="end"/>
      </w:r>
      <w:r>
        <w:rPr>
          <w:b/>
        </w:rPr>
        <w:fldChar w:fldCharType="end"/>
      </w:r>
    </w:p>
    <w:p>
      <w:pPr>
        <w:pStyle w:val="268"/>
        <w:tabs>
          <w:tab w:val="right" w:leader="dot" w:pos="9128"/>
        </w:tabs>
        <w:rPr>
          <w:b/>
        </w:rPr>
      </w:pPr>
      <w:r>
        <w:fldChar w:fldCharType="begin"/>
      </w:r>
      <w:r>
        <w:instrText xml:space="preserve"> HYPERLINK \l "_Toc5525" </w:instrText>
      </w:r>
      <w:r>
        <w:fldChar w:fldCharType="separate"/>
      </w:r>
      <w:r>
        <w:rPr>
          <w:rFonts w:hint="eastAsia" w:ascii="宋体" w:hAnsi="宋体" w:cs="宋体"/>
          <w:b/>
          <w:szCs w:val="21"/>
        </w:rPr>
        <w:t>第五章应提交的有关格式范例</w:t>
      </w:r>
      <w:r>
        <w:rPr>
          <w:b/>
        </w:rPr>
        <w:tab/>
      </w:r>
      <w:r>
        <w:rPr>
          <w:b/>
        </w:rPr>
        <w:fldChar w:fldCharType="begin"/>
      </w:r>
      <w:r>
        <w:rPr>
          <w:b/>
        </w:rPr>
        <w:instrText xml:space="preserve"> PAGEREF _Toc5525 </w:instrText>
      </w:r>
      <w:r>
        <w:rPr>
          <w:b/>
        </w:rPr>
        <w:fldChar w:fldCharType="separate"/>
      </w:r>
      <w:r>
        <w:rPr>
          <w:b/>
        </w:rPr>
        <w:t>40</w:t>
      </w:r>
      <w:r>
        <w:rPr>
          <w:b/>
        </w:rPr>
        <w:fldChar w:fldCharType="end"/>
      </w:r>
      <w:r>
        <w:rPr>
          <w:b/>
        </w:rPr>
        <w:fldChar w:fldCharType="end"/>
      </w:r>
    </w:p>
    <w:p>
      <w:pPr>
        <w:pStyle w:val="214"/>
        <w:tabs>
          <w:tab w:val="right" w:leader="dot" w:pos="9128"/>
        </w:tabs>
        <w:ind w:left="420"/>
      </w:pPr>
      <w:r>
        <w:fldChar w:fldCharType="begin"/>
      </w:r>
      <w:r>
        <w:instrText xml:space="preserve"> HYPERLINK \l "_Toc16658" </w:instrText>
      </w:r>
      <w:r>
        <w:fldChar w:fldCharType="separate"/>
      </w:r>
      <w:r>
        <w:rPr>
          <w:rFonts w:hint="eastAsia" w:ascii="宋体" w:hAnsi="宋体" w:cs="宋体"/>
          <w:szCs w:val="21"/>
        </w:rPr>
        <w:t>一、投标文件封面</w:t>
      </w:r>
      <w:r>
        <w:tab/>
      </w:r>
      <w:r>
        <w:fldChar w:fldCharType="begin"/>
      </w:r>
      <w:r>
        <w:instrText xml:space="preserve"> PAGEREF _Toc16658 </w:instrText>
      </w:r>
      <w:r>
        <w:fldChar w:fldCharType="separate"/>
      </w:r>
      <w:r>
        <w:t>40</w:t>
      </w:r>
      <w:r>
        <w:fldChar w:fldCharType="end"/>
      </w:r>
      <w:r>
        <w:fldChar w:fldCharType="end"/>
      </w:r>
    </w:p>
    <w:p>
      <w:pPr>
        <w:pStyle w:val="214"/>
        <w:tabs>
          <w:tab w:val="right" w:leader="dot" w:pos="9128"/>
        </w:tabs>
        <w:ind w:left="420"/>
      </w:pPr>
      <w:r>
        <w:fldChar w:fldCharType="begin"/>
      </w:r>
      <w:r>
        <w:instrText xml:space="preserve"> HYPERLINK \l "_Toc23038" </w:instrText>
      </w:r>
      <w:r>
        <w:fldChar w:fldCharType="separate"/>
      </w:r>
      <w:r>
        <w:rPr>
          <w:rFonts w:hint="eastAsia" w:ascii="宋体" w:hAnsi="宋体" w:cs="宋体"/>
          <w:szCs w:val="21"/>
        </w:rPr>
        <w:t>二、资格文件</w:t>
      </w:r>
      <w:r>
        <w:tab/>
      </w:r>
      <w:r>
        <w:fldChar w:fldCharType="begin"/>
      </w:r>
      <w:r>
        <w:instrText xml:space="preserve"> PAGEREF _Toc23038 </w:instrText>
      </w:r>
      <w:r>
        <w:fldChar w:fldCharType="separate"/>
      </w:r>
      <w:r>
        <w:t>41</w:t>
      </w:r>
      <w:r>
        <w:fldChar w:fldCharType="end"/>
      </w:r>
      <w:r>
        <w:fldChar w:fldCharType="end"/>
      </w:r>
    </w:p>
    <w:p>
      <w:pPr>
        <w:pStyle w:val="214"/>
        <w:tabs>
          <w:tab w:val="right" w:leader="dot" w:pos="9128"/>
        </w:tabs>
        <w:ind w:left="420"/>
      </w:pPr>
      <w:r>
        <w:fldChar w:fldCharType="begin"/>
      </w:r>
      <w:r>
        <w:instrText xml:space="preserve"> HYPERLINK \l "_Toc6338" </w:instrText>
      </w:r>
      <w:r>
        <w:fldChar w:fldCharType="separate"/>
      </w:r>
      <w:r>
        <w:rPr>
          <w:rFonts w:hint="eastAsia" w:ascii="宋体" w:hAnsi="宋体" w:cs="宋体"/>
          <w:szCs w:val="21"/>
        </w:rPr>
        <w:t>三、</w:t>
      </w:r>
      <w:r>
        <w:rPr>
          <w:rFonts w:hint="eastAsia" w:ascii="宋体" w:cs="宋体"/>
          <w:szCs w:val="21"/>
        </w:rPr>
        <w:t>商务技术文件</w:t>
      </w:r>
      <w:r>
        <w:tab/>
      </w:r>
      <w:r>
        <w:fldChar w:fldCharType="begin"/>
      </w:r>
      <w:r>
        <w:instrText xml:space="preserve"> PAGEREF _Toc6338 </w:instrText>
      </w:r>
      <w:r>
        <w:fldChar w:fldCharType="separate"/>
      </w:r>
      <w:r>
        <w:t>44</w:t>
      </w:r>
      <w:r>
        <w:fldChar w:fldCharType="end"/>
      </w:r>
      <w:r>
        <w:fldChar w:fldCharType="end"/>
      </w:r>
    </w:p>
    <w:p>
      <w:pPr>
        <w:pStyle w:val="214"/>
        <w:tabs>
          <w:tab w:val="right" w:leader="dot" w:pos="9128"/>
        </w:tabs>
        <w:ind w:left="420"/>
      </w:pPr>
      <w:r>
        <w:fldChar w:fldCharType="begin"/>
      </w:r>
      <w:r>
        <w:instrText xml:space="preserve"> HYPERLINK \l "_Toc21412" </w:instrText>
      </w:r>
      <w:r>
        <w:fldChar w:fldCharType="separate"/>
      </w:r>
      <w:r>
        <w:rPr>
          <w:rFonts w:hint="eastAsia" w:ascii="宋体" w:hAnsi="宋体" w:cs="宋体"/>
          <w:szCs w:val="21"/>
        </w:rPr>
        <w:t>四、报价文件</w:t>
      </w:r>
      <w:r>
        <w:tab/>
      </w:r>
      <w:r>
        <w:fldChar w:fldCharType="begin"/>
      </w:r>
      <w:r>
        <w:instrText xml:space="preserve"> PAGEREF _Toc21412 </w:instrText>
      </w:r>
      <w:r>
        <w:fldChar w:fldCharType="separate"/>
      </w:r>
      <w:r>
        <w:t>47</w:t>
      </w:r>
      <w:r>
        <w:fldChar w:fldCharType="end"/>
      </w:r>
      <w:r>
        <w:fldChar w:fldCharType="end"/>
      </w:r>
    </w:p>
    <w:p>
      <w:pPr>
        <w:pStyle w:val="268"/>
        <w:tabs>
          <w:tab w:val="right" w:leader="dot" w:pos="9128"/>
        </w:tabs>
        <w:rPr>
          <w:b/>
        </w:rPr>
      </w:pPr>
      <w:r>
        <w:fldChar w:fldCharType="begin"/>
      </w:r>
      <w:r>
        <w:instrText xml:space="preserve"> HYPERLINK \l "_Toc27195" </w:instrText>
      </w:r>
      <w:r>
        <w:fldChar w:fldCharType="separate"/>
      </w:r>
      <w:r>
        <w:rPr>
          <w:rFonts w:hint="eastAsia" w:ascii="宋体" w:hAnsi="宋体" w:cs="宋体"/>
          <w:b/>
          <w:bCs/>
          <w:szCs w:val="21"/>
          <w:lang w:val="zh-CN"/>
        </w:rPr>
        <w:t>第六章评标办法及开标程序</w:t>
      </w:r>
      <w:r>
        <w:rPr>
          <w:b/>
        </w:rPr>
        <w:tab/>
      </w:r>
      <w:r>
        <w:rPr>
          <w:b/>
        </w:rPr>
        <w:fldChar w:fldCharType="begin"/>
      </w:r>
      <w:r>
        <w:rPr>
          <w:b/>
        </w:rPr>
        <w:instrText xml:space="preserve"> PAGEREF _Toc27195 </w:instrText>
      </w:r>
      <w:r>
        <w:rPr>
          <w:b/>
        </w:rPr>
        <w:fldChar w:fldCharType="separate"/>
      </w:r>
      <w:r>
        <w:rPr>
          <w:b/>
        </w:rPr>
        <w:t>49</w:t>
      </w:r>
      <w:r>
        <w:rPr>
          <w:b/>
        </w:rPr>
        <w:fldChar w:fldCharType="end"/>
      </w:r>
      <w:r>
        <w:rPr>
          <w:b/>
        </w:rPr>
        <w:fldChar w:fldCharType="end"/>
      </w:r>
    </w:p>
    <w:p>
      <w:pPr>
        <w:pStyle w:val="214"/>
        <w:tabs>
          <w:tab w:val="right" w:leader="dot" w:pos="9128"/>
        </w:tabs>
        <w:ind w:left="420"/>
      </w:pPr>
      <w:r>
        <w:fldChar w:fldCharType="begin"/>
      </w:r>
      <w:r>
        <w:instrText xml:space="preserve"> HYPERLINK \l "_Toc27354" </w:instrText>
      </w:r>
      <w:r>
        <w:fldChar w:fldCharType="separate"/>
      </w:r>
      <w:r>
        <w:rPr>
          <w:rFonts w:hint="eastAsia" w:ascii="宋体" w:hAnsi="宋体" w:cs="宋体"/>
          <w:bCs/>
          <w:szCs w:val="21"/>
          <w:lang w:val="zh-CN"/>
        </w:rPr>
        <w:t>一、评标委员会的组成</w:t>
      </w:r>
      <w:r>
        <w:tab/>
      </w:r>
      <w:r>
        <w:fldChar w:fldCharType="begin"/>
      </w:r>
      <w:r>
        <w:instrText xml:space="preserve"> PAGEREF _Toc27354 </w:instrText>
      </w:r>
      <w:r>
        <w:fldChar w:fldCharType="separate"/>
      </w:r>
      <w:r>
        <w:t>49</w:t>
      </w:r>
      <w:r>
        <w:fldChar w:fldCharType="end"/>
      </w:r>
      <w:r>
        <w:fldChar w:fldCharType="end"/>
      </w:r>
    </w:p>
    <w:p>
      <w:pPr>
        <w:pStyle w:val="214"/>
        <w:tabs>
          <w:tab w:val="right" w:leader="dot" w:pos="9128"/>
        </w:tabs>
        <w:ind w:left="420"/>
      </w:pPr>
      <w:r>
        <w:fldChar w:fldCharType="begin"/>
      </w:r>
      <w:r>
        <w:instrText xml:space="preserve"> HYPERLINK \l "_Toc1085" </w:instrText>
      </w:r>
      <w:r>
        <w:fldChar w:fldCharType="separate"/>
      </w:r>
      <w:r>
        <w:rPr>
          <w:rFonts w:hint="eastAsia" w:ascii="宋体" w:hAnsi="宋体" w:cs="宋体"/>
          <w:bCs/>
          <w:szCs w:val="21"/>
          <w:lang w:val="zh-CN"/>
        </w:rPr>
        <w:t>二、评标原则</w:t>
      </w:r>
      <w:r>
        <w:tab/>
      </w:r>
      <w:r>
        <w:fldChar w:fldCharType="begin"/>
      </w:r>
      <w:r>
        <w:instrText xml:space="preserve"> PAGEREF _Toc1085 </w:instrText>
      </w:r>
      <w:r>
        <w:fldChar w:fldCharType="separate"/>
      </w:r>
      <w:r>
        <w:t>49</w:t>
      </w:r>
      <w:r>
        <w:fldChar w:fldCharType="end"/>
      </w:r>
      <w:r>
        <w:fldChar w:fldCharType="end"/>
      </w:r>
    </w:p>
    <w:p>
      <w:pPr>
        <w:pStyle w:val="214"/>
        <w:tabs>
          <w:tab w:val="right" w:leader="dot" w:pos="9128"/>
        </w:tabs>
        <w:ind w:left="420"/>
      </w:pPr>
      <w:r>
        <w:fldChar w:fldCharType="begin"/>
      </w:r>
      <w:r>
        <w:instrText xml:space="preserve"> HYPERLINK \l "_Toc18178" </w:instrText>
      </w:r>
      <w:r>
        <w:fldChar w:fldCharType="separate"/>
      </w:r>
      <w:r>
        <w:rPr>
          <w:rFonts w:hint="eastAsia" w:ascii="宋体" w:hAnsi="宋体" w:cs="宋体"/>
          <w:bCs/>
          <w:szCs w:val="21"/>
          <w:lang w:val="zh-CN"/>
        </w:rPr>
        <w:t>三、注意事项</w:t>
      </w:r>
      <w:r>
        <w:tab/>
      </w:r>
      <w:r>
        <w:fldChar w:fldCharType="begin"/>
      </w:r>
      <w:r>
        <w:instrText xml:space="preserve"> PAGEREF _Toc18178 </w:instrText>
      </w:r>
      <w:r>
        <w:fldChar w:fldCharType="separate"/>
      </w:r>
      <w:r>
        <w:t>49</w:t>
      </w:r>
      <w:r>
        <w:fldChar w:fldCharType="end"/>
      </w:r>
      <w:r>
        <w:fldChar w:fldCharType="end"/>
      </w:r>
    </w:p>
    <w:p>
      <w:pPr>
        <w:pStyle w:val="214"/>
        <w:tabs>
          <w:tab w:val="right" w:leader="dot" w:pos="9128"/>
        </w:tabs>
        <w:ind w:left="420"/>
      </w:pPr>
      <w:r>
        <w:fldChar w:fldCharType="begin"/>
      </w:r>
      <w:r>
        <w:instrText xml:space="preserve"> HYPERLINK \l "_Toc28630" </w:instrText>
      </w:r>
      <w:r>
        <w:fldChar w:fldCharType="separate"/>
      </w:r>
      <w:r>
        <w:rPr>
          <w:rFonts w:hint="eastAsia" w:ascii="宋体" w:hAnsi="宋体" w:cs="宋体"/>
          <w:bCs/>
          <w:szCs w:val="21"/>
          <w:lang w:val="zh-CN"/>
        </w:rPr>
        <w:t>四、评分标准</w:t>
      </w:r>
      <w:r>
        <w:tab/>
      </w:r>
      <w:r>
        <w:fldChar w:fldCharType="begin"/>
      </w:r>
      <w:r>
        <w:instrText xml:space="preserve"> PAGEREF _Toc28630 </w:instrText>
      </w:r>
      <w:r>
        <w:fldChar w:fldCharType="separate"/>
      </w:r>
      <w:r>
        <w:t>49</w:t>
      </w:r>
      <w:r>
        <w:fldChar w:fldCharType="end"/>
      </w:r>
      <w:r>
        <w:fldChar w:fldCharType="end"/>
      </w:r>
    </w:p>
    <w:p>
      <w:pPr>
        <w:pStyle w:val="214"/>
        <w:tabs>
          <w:tab w:val="right" w:leader="dot" w:pos="9128"/>
        </w:tabs>
        <w:ind w:left="420"/>
      </w:pPr>
      <w:r>
        <w:fldChar w:fldCharType="begin"/>
      </w:r>
      <w:r>
        <w:instrText xml:space="preserve"> HYPERLINK \l "_Toc2080" </w:instrText>
      </w:r>
      <w:r>
        <w:fldChar w:fldCharType="separate"/>
      </w:r>
      <w:r>
        <w:rPr>
          <w:rFonts w:hint="eastAsia" w:ascii="宋体" w:hAnsi="宋体" w:cs="宋体"/>
          <w:bCs/>
          <w:szCs w:val="21"/>
          <w:lang w:val="zh-CN"/>
        </w:rPr>
        <w:t>五、开评标程序</w:t>
      </w:r>
      <w:r>
        <w:tab/>
      </w:r>
      <w:r>
        <w:fldChar w:fldCharType="begin"/>
      </w:r>
      <w:r>
        <w:instrText xml:space="preserve"> PAGEREF _Toc2080 </w:instrText>
      </w:r>
      <w:r>
        <w:fldChar w:fldCharType="separate"/>
      </w:r>
      <w:r>
        <w:t>49</w:t>
      </w:r>
      <w:r>
        <w:fldChar w:fldCharType="end"/>
      </w:r>
      <w:r>
        <w:fldChar w:fldCharType="end"/>
      </w:r>
    </w:p>
    <w:p>
      <w:pPr>
        <w:pStyle w:val="268"/>
        <w:tabs>
          <w:tab w:val="right" w:leader="dot" w:pos="9128"/>
        </w:tabs>
        <w:rPr>
          <w:b/>
        </w:rPr>
      </w:pPr>
      <w:r>
        <w:fldChar w:fldCharType="begin"/>
      </w:r>
      <w:r>
        <w:instrText xml:space="preserve"> HYPERLINK \l "_Toc5218" </w:instrText>
      </w:r>
      <w:r>
        <w:fldChar w:fldCharType="separate"/>
      </w:r>
      <w:r>
        <w:rPr>
          <w:rFonts w:hint="eastAsia" w:ascii="宋体" w:hAnsi="宋体" w:cs="宋体"/>
          <w:b/>
          <w:szCs w:val="21"/>
          <w:lang w:val="zh-CN"/>
        </w:rPr>
        <w:t>第七章政府采购政策功能相关说明</w:t>
      </w:r>
      <w:r>
        <w:rPr>
          <w:b/>
        </w:rPr>
        <w:tab/>
      </w:r>
      <w:r>
        <w:rPr>
          <w:b/>
        </w:rPr>
        <w:t>4</w:t>
      </w:r>
      <w:r>
        <w:rPr>
          <w:b/>
        </w:rPr>
        <w:fldChar w:fldCharType="end"/>
      </w:r>
      <w:r>
        <w:rPr>
          <w:b/>
        </w:rPr>
        <w:t>2</w:t>
      </w:r>
    </w:p>
    <w:p/>
    <w:p>
      <w:pPr>
        <w:snapToGrid w:val="0"/>
        <w:spacing w:line="312" w:lineRule="auto"/>
        <w:jc w:val="center"/>
        <w:rPr>
          <w:rFonts w:ascii="宋体" w:cs="宋体"/>
          <w:szCs w:val="21"/>
        </w:rPr>
      </w:pPr>
      <w:r>
        <w:rPr>
          <w:rFonts w:ascii="宋体" w:hAnsi="宋体" w:cs="宋体"/>
          <w:szCs w:val="21"/>
        </w:rPr>
        <w:fldChar w:fldCharType="end"/>
      </w:r>
      <w:bookmarkEnd w:id="0"/>
      <w:bookmarkEnd w:id="1"/>
      <w:bookmarkEnd w:id="2"/>
      <w:bookmarkStart w:id="3" w:name="_Toc354491895"/>
      <w:bookmarkStart w:id="4" w:name="_Toc356371429"/>
    </w:p>
    <w:p>
      <w:pPr>
        <w:snapToGrid w:val="0"/>
        <w:spacing w:line="312" w:lineRule="auto"/>
        <w:jc w:val="center"/>
        <w:outlineLvl w:val="0"/>
        <w:rPr>
          <w:rFonts w:ascii="宋体" w:cs="宋体"/>
          <w:b/>
          <w:szCs w:val="21"/>
        </w:rPr>
      </w:pPr>
      <w:r>
        <w:rPr>
          <w:rFonts w:ascii="宋体" w:cs="宋体"/>
          <w:szCs w:val="21"/>
        </w:rPr>
        <w:br w:type="page"/>
      </w:r>
      <w:bookmarkStart w:id="5" w:name="_Toc25310"/>
      <w:bookmarkStart w:id="6" w:name="_Toc2041"/>
      <w:r>
        <w:rPr>
          <w:rFonts w:hint="eastAsia" w:ascii="宋体" w:hAnsi="宋体" w:cs="宋体"/>
          <w:b/>
          <w:szCs w:val="21"/>
        </w:rPr>
        <w:t>第一章</w:t>
      </w:r>
      <w:bookmarkEnd w:id="3"/>
      <w:r>
        <w:rPr>
          <w:rFonts w:hint="eastAsia" w:ascii="宋体" w:hAnsi="宋体" w:cs="宋体"/>
          <w:b/>
          <w:szCs w:val="21"/>
        </w:rPr>
        <w:t>招标公告</w:t>
      </w:r>
      <w:bookmarkEnd w:id="4"/>
      <w:bookmarkEnd w:id="5"/>
      <w:bookmarkEnd w:id="6"/>
    </w:p>
    <w:p>
      <w:pPr>
        <w:spacing w:line="312" w:lineRule="auto"/>
        <w:jc w:val="center"/>
        <w:rPr>
          <w:rFonts w:ascii="宋体" w:cs="宋体"/>
          <w:b/>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szCs w:val="21"/>
        </w:rPr>
      </w:pPr>
      <w:bookmarkStart w:id="7" w:name="_Toc354491896"/>
      <w:bookmarkStart w:id="8" w:name="_Toc322352982"/>
      <w:bookmarkStart w:id="9" w:name="_Toc356371430"/>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szCs w:val="21"/>
        </w:rPr>
      </w:pPr>
      <w:r>
        <w:rPr>
          <w:rFonts w:hint="eastAsia" w:ascii="宋体" w:hAnsi="宋体" w:cs="宋体"/>
          <w:szCs w:val="21"/>
          <w:u w:val="single"/>
          <w:lang w:eastAsia="zh-CN"/>
        </w:rPr>
        <w:t>龙游县残疾儿童康复中心设备采购项目（标段四）</w:t>
      </w:r>
      <w:r>
        <w:rPr>
          <w:rFonts w:hint="eastAsia" w:ascii="宋体" w:hAnsi="宋体" w:cs="宋体"/>
          <w:szCs w:val="21"/>
        </w:rPr>
        <w:t>招标项目的潜在投标人应在</w:t>
      </w:r>
      <w:r>
        <w:rPr>
          <w:rFonts w:hint="eastAsia" w:ascii="宋体" w:hAnsi="宋体" w:cs="宋体"/>
          <w:szCs w:val="21"/>
          <w:u w:val="single"/>
        </w:rPr>
        <w:t>浙江政府采购网（</w:t>
      </w:r>
      <w:r>
        <w:rPr>
          <w:rFonts w:ascii="宋体" w:hAnsi="宋体" w:cs="宋体"/>
          <w:szCs w:val="21"/>
          <w:u w:val="single"/>
        </w:rPr>
        <w:t>http://zfcg.czt.zj.gov.cn</w:t>
      </w:r>
      <w:r>
        <w:rPr>
          <w:rFonts w:hint="eastAsia" w:ascii="宋体" w:hAnsi="宋体" w:cs="宋体"/>
          <w:szCs w:val="21"/>
          <w:u w:val="single"/>
        </w:rPr>
        <w:t>）</w:t>
      </w:r>
      <w:r>
        <w:rPr>
          <w:rFonts w:hint="eastAsia" w:ascii="宋体" w:hAnsi="宋体" w:cs="宋体"/>
          <w:szCs w:val="21"/>
        </w:rPr>
        <w:t>获取招标文件，并于</w:t>
      </w:r>
      <w:r>
        <w:rPr>
          <w:rFonts w:hint="eastAsia" w:ascii="宋体" w:hAnsi="宋体" w:cs="宋体"/>
          <w:szCs w:val="21"/>
          <w:u w:val="single"/>
          <w:lang w:eastAsia="zh-CN"/>
        </w:rPr>
        <w:t>2021</w:t>
      </w:r>
      <w:r>
        <w:rPr>
          <w:rFonts w:hint="eastAsia" w:ascii="宋体" w:hAnsi="宋体" w:cs="宋体"/>
          <w:bCs/>
          <w:szCs w:val="21"/>
          <w:u w:val="single"/>
        </w:rPr>
        <w:t>年</w:t>
      </w:r>
      <w:r>
        <w:rPr>
          <w:rFonts w:hint="eastAsia" w:ascii="宋体" w:hAnsi="宋体" w:cs="宋体"/>
          <w:bCs/>
          <w:szCs w:val="21"/>
          <w:u w:val="single"/>
          <w:lang w:val="en-US" w:eastAsia="zh-CN"/>
        </w:rPr>
        <w:t>11</w:t>
      </w:r>
      <w:r>
        <w:rPr>
          <w:rFonts w:hint="eastAsia" w:ascii="宋体" w:hAnsi="宋体" w:cs="宋体"/>
          <w:bCs/>
          <w:szCs w:val="21"/>
          <w:u w:val="single"/>
        </w:rPr>
        <w:t>月</w:t>
      </w:r>
      <w:r>
        <w:rPr>
          <w:rFonts w:hint="eastAsia" w:ascii="宋体" w:hAnsi="宋体" w:cs="宋体"/>
          <w:bCs/>
          <w:szCs w:val="21"/>
          <w:u w:val="single"/>
          <w:lang w:val="en-US" w:eastAsia="zh-CN"/>
        </w:rPr>
        <w:t>26</w:t>
      </w:r>
      <w:r>
        <w:rPr>
          <w:rFonts w:hint="eastAsia" w:ascii="宋体" w:hAnsi="宋体" w:cs="宋体"/>
          <w:bCs/>
          <w:szCs w:val="21"/>
          <w:u w:val="single"/>
        </w:rPr>
        <w:t>日</w:t>
      </w:r>
      <w:r>
        <w:rPr>
          <w:rFonts w:hint="eastAsia" w:ascii="宋体" w:hAnsi="宋体" w:cs="宋体"/>
          <w:bCs/>
          <w:szCs w:val="21"/>
          <w:u w:val="single"/>
          <w:lang w:val="en-US" w:eastAsia="zh-CN"/>
        </w:rPr>
        <w:t>14</w:t>
      </w:r>
      <w:r>
        <w:rPr>
          <w:rFonts w:ascii="宋体" w:hAnsi="宋体" w:cs="宋体"/>
          <w:bCs/>
          <w:szCs w:val="21"/>
          <w:u w:val="single"/>
        </w:rPr>
        <w:t xml:space="preserve"> </w:t>
      </w:r>
      <w:r>
        <w:rPr>
          <w:rFonts w:hint="eastAsia" w:ascii="宋体" w:hAnsi="宋体" w:cs="宋体"/>
          <w:bCs/>
          <w:szCs w:val="21"/>
          <w:u w:val="single"/>
        </w:rPr>
        <w:t>点</w:t>
      </w:r>
      <w:r>
        <w:rPr>
          <w:rFonts w:ascii="宋体" w:hAnsi="宋体" w:cs="宋体"/>
          <w:bCs/>
          <w:szCs w:val="21"/>
          <w:u w:val="single"/>
        </w:rPr>
        <w:t>30</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pPr>
        <w:pStyle w:val="4"/>
        <w:spacing w:before="0" w:after="0" w:line="360" w:lineRule="auto"/>
        <w:ind w:firstLine="422" w:firstLineChars="200"/>
        <w:rPr>
          <w:rFonts w:ascii="宋体" w:hAnsi="宋体" w:eastAsia="宋体" w:cs="宋体"/>
          <w:bCs w:val="0"/>
          <w:sz w:val="21"/>
          <w:szCs w:val="21"/>
        </w:rPr>
      </w:pPr>
      <w:bookmarkStart w:id="10" w:name="_Toc35393621"/>
      <w:bookmarkStart w:id="11" w:name="_Toc28359079"/>
      <w:bookmarkStart w:id="12" w:name="_Toc28359002"/>
      <w:bookmarkStart w:id="13" w:name="_Toc35393790"/>
      <w:bookmarkStart w:id="14" w:name="_Hlk24379207"/>
      <w:r>
        <w:rPr>
          <w:rFonts w:hint="eastAsia" w:ascii="宋体" w:hAnsi="宋体" w:eastAsia="宋体" w:cs="宋体"/>
          <w:bCs w:val="0"/>
          <w:sz w:val="21"/>
          <w:szCs w:val="21"/>
        </w:rPr>
        <w:t>一、项目基本情况</w:t>
      </w:r>
      <w:bookmarkEnd w:id="10"/>
      <w:bookmarkEnd w:id="11"/>
      <w:bookmarkEnd w:id="12"/>
      <w:bookmarkEnd w:id="13"/>
    </w:p>
    <w:p>
      <w:pPr>
        <w:spacing w:line="360" w:lineRule="auto"/>
        <w:ind w:firstLine="420" w:firstLineChars="200"/>
        <w:rPr>
          <w:rFonts w:hint="eastAsia" w:ascii="宋体" w:eastAsia="宋体" w:cs="宋体"/>
          <w:color w:val="FF0000"/>
          <w:szCs w:val="21"/>
          <w:lang w:eastAsia="zh-CN"/>
        </w:rPr>
      </w:pPr>
      <w:r>
        <w:rPr>
          <w:rFonts w:hint="eastAsia" w:ascii="宋体" w:hAnsi="宋体" w:cs="宋体"/>
          <w:szCs w:val="21"/>
        </w:rPr>
        <w:t>项目编号：</w:t>
      </w:r>
      <w:r>
        <w:rPr>
          <w:rFonts w:hint="eastAsia" w:ascii="宋体" w:hAnsi="宋体" w:cs="宋体"/>
          <w:szCs w:val="21"/>
          <w:lang w:eastAsia="zh-CN"/>
        </w:rPr>
        <w:t>ZJCT-Z20210126</w:t>
      </w:r>
    </w:p>
    <w:p>
      <w:pPr>
        <w:spacing w:line="360" w:lineRule="auto"/>
        <w:ind w:firstLine="420" w:firstLineChars="200"/>
        <w:rPr>
          <w:rFonts w:hint="eastAsia" w:asci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龙游县残疾儿童康复中心设备采购项目（标段四）</w:t>
      </w:r>
    </w:p>
    <w:bookmarkEnd w:id="14"/>
    <w:p>
      <w:pPr>
        <w:snapToGrid w:val="0"/>
        <w:spacing w:line="360" w:lineRule="auto"/>
        <w:ind w:firstLine="420" w:firstLineChars="200"/>
        <w:rPr>
          <w:rFonts w:ascii="宋体" w:cs="宋体"/>
          <w:kern w:val="0"/>
          <w:szCs w:val="21"/>
        </w:rPr>
      </w:pPr>
      <w:r>
        <w:rPr>
          <w:rFonts w:hint="eastAsia" w:ascii="宋体" w:hAnsi="宋体" w:cs="宋体"/>
          <w:szCs w:val="21"/>
        </w:rPr>
        <w:t>预算</w:t>
      </w:r>
      <w:r>
        <w:rPr>
          <w:rFonts w:hint="eastAsia" w:ascii="宋体" w:hAnsi="宋体" w:cs="宋体"/>
          <w:kern w:val="0"/>
          <w:szCs w:val="21"/>
          <w:highlight w:val="none"/>
        </w:rPr>
        <w:t>金额：</w:t>
      </w:r>
      <w:r>
        <w:rPr>
          <w:rFonts w:hint="eastAsia" w:ascii="宋体" w:hAnsi="宋体" w:cs="宋体"/>
          <w:kern w:val="0"/>
          <w:szCs w:val="21"/>
          <w:highlight w:val="none"/>
          <w:lang w:val="en-US" w:eastAsia="zh-CN"/>
        </w:rPr>
        <w:t>1822942.00</w:t>
      </w:r>
      <w:r>
        <w:rPr>
          <w:rFonts w:hint="eastAsia" w:ascii="宋体" w:hAnsi="宋体" w:cs="宋体"/>
          <w:kern w:val="0"/>
          <w:szCs w:val="21"/>
          <w:highlight w:val="none"/>
        </w:rPr>
        <w:t>元</w:t>
      </w:r>
    </w:p>
    <w:p>
      <w:pPr>
        <w:snapToGrid w:val="0"/>
        <w:spacing w:line="360" w:lineRule="auto"/>
        <w:ind w:firstLine="420" w:firstLineChars="200"/>
        <w:rPr>
          <w:rFonts w:hint="default" w:ascii="宋体" w:hAnsi="宋体" w:eastAsia="宋体" w:cs="宋体"/>
          <w:kern w:val="0"/>
          <w:szCs w:val="21"/>
          <w:lang w:val="en-US" w:eastAsia="zh-CN"/>
        </w:rPr>
      </w:pPr>
      <w:r>
        <w:rPr>
          <w:rFonts w:hint="eastAsia" w:ascii="宋体" w:hAnsi="宋体" w:cs="宋体"/>
          <w:kern w:val="0"/>
          <w:szCs w:val="21"/>
        </w:rPr>
        <w:t>最高限价：</w:t>
      </w:r>
      <w:r>
        <w:rPr>
          <w:rFonts w:hint="eastAsia" w:ascii="宋体" w:hAnsi="宋体" w:cs="宋体"/>
          <w:kern w:val="0"/>
          <w:szCs w:val="21"/>
          <w:lang w:val="en-US" w:eastAsia="zh-CN"/>
        </w:rPr>
        <w:t>1822942.00元</w:t>
      </w:r>
    </w:p>
    <w:p>
      <w:pPr>
        <w:spacing w:line="360" w:lineRule="auto"/>
        <w:ind w:firstLine="420" w:firstLineChars="200"/>
        <w:rPr>
          <w:rFonts w:ascii="宋体" w:cs="宋体"/>
          <w:szCs w:val="21"/>
          <w:u w:val="single"/>
        </w:rPr>
      </w:pPr>
      <w:r>
        <w:rPr>
          <w:rFonts w:hint="eastAsia" w:ascii="宋体" w:hAnsi="宋体" w:cs="宋体"/>
          <w:szCs w:val="21"/>
        </w:rPr>
        <w:t>采购需求：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529"/>
        <w:gridCol w:w="702"/>
        <w:gridCol w:w="902"/>
        <w:gridCol w:w="182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78" w:type="dxa"/>
            <w:noWrap/>
          </w:tcPr>
          <w:p>
            <w:pPr>
              <w:snapToGrid w:val="0"/>
              <w:spacing w:line="360" w:lineRule="auto"/>
              <w:rPr>
                <w:rFonts w:ascii="宋体" w:cs="宋体"/>
                <w:kern w:val="0"/>
                <w:szCs w:val="21"/>
              </w:rPr>
            </w:pPr>
            <w:r>
              <w:rPr>
                <w:rFonts w:hint="eastAsia" w:ascii="宋体" w:hAnsi="宋体" w:cs="宋体"/>
                <w:kern w:val="0"/>
                <w:szCs w:val="21"/>
              </w:rPr>
              <w:t>序号</w:t>
            </w:r>
          </w:p>
        </w:tc>
        <w:tc>
          <w:tcPr>
            <w:tcW w:w="3529" w:type="dxa"/>
            <w:noWrap/>
          </w:tcPr>
          <w:p>
            <w:pPr>
              <w:snapToGrid w:val="0"/>
              <w:spacing w:line="360" w:lineRule="auto"/>
              <w:ind w:firstLine="420" w:firstLineChars="200"/>
              <w:rPr>
                <w:rFonts w:ascii="宋体" w:cs="宋体"/>
                <w:kern w:val="0"/>
                <w:szCs w:val="21"/>
              </w:rPr>
            </w:pPr>
            <w:r>
              <w:rPr>
                <w:rFonts w:hint="eastAsia" w:ascii="宋体" w:hAnsi="宋体" w:cs="宋体"/>
                <w:kern w:val="0"/>
                <w:szCs w:val="21"/>
              </w:rPr>
              <w:t>内容</w:t>
            </w:r>
          </w:p>
        </w:tc>
        <w:tc>
          <w:tcPr>
            <w:tcW w:w="702" w:type="dxa"/>
            <w:noWrap/>
          </w:tcPr>
          <w:p>
            <w:pPr>
              <w:snapToGrid w:val="0"/>
              <w:spacing w:line="360" w:lineRule="auto"/>
              <w:rPr>
                <w:rFonts w:ascii="宋体" w:cs="宋体"/>
                <w:kern w:val="0"/>
                <w:szCs w:val="21"/>
              </w:rPr>
            </w:pPr>
            <w:r>
              <w:rPr>
                <w:rFonts w:hint="eastAsia" w:ascii="宋体" w:hAnsi="宋体" w:cs="宋体"/>
                <w:kern w:val="0"/>
                <w:szCs w:val="21"/>
              </w:rPr>
              <w:t>数量</w:t>
            </w:r>
          </w:p>
        </w:tc>
        <w:tc>
          <w:tcPr>
            <w:tcW w:w="902" w:type="dxa"/>
            <w:noWrap/>
          </w:tcPr>
          <w:p>
            <w:pPr>
              <w:snapToGrid w:val="0"/>
              <w:spacing w:line="360" w:lineRule="auto"/>
              <w:jc w:val="center"/>
              <w:rPr>
                <w:rFonts w:ascii="宋体" w:cs="宋体"/>
                <w:kern w:val="0"/>
                <w:szCs w:val="21"/>
              </w:rPr>
            </w:pPr>
            <w:r>
              <w:rPr>
                <w:rFonts w:hint="eastAsia" w:ascii="宋体" w:hAnsi="宋体" w:cs="宋体"/>
                <w:kern w:val="0"/>
                <w:szCs w:val="21"/>
              </w:rPr>
              <w:t>单位</w:t>
            </w:r>
          </w:p>
        </w:tc>
        <w:tc>
          <w:tcPr>
            <w:tcW w:w="1828" w:type="dxa"/>
            <w:noWrap/>
            <w:vAlign w:val="center"/>
          </w:tcPr>
          <w:p>
            <w:pPr>
              <w:snapToGrid w:val="0"/>
              <w:spacing w:line="360" w:lineRule="auto"/>
              <w:jc w:val="center"/>
              <w:rPr>
                <w:rFonts w:ascii="宋体" w:cs="宋体"/>
                <w:color w:val="000000"/>
                <w:kern w:val="0"/>
                <w:szCs w:val="21"/>
              </w:rPr>
            </w:pPr>
            <w:r>
              <w:rPr>
                <w:rFonts w:hint="eastAsia" w:ascii="宋体" w:hAnsi="宋体" w:cs="宋体"/>
                <w:color w:val="000000"/>
                <w:kern w:val="0"/>
                <w:szCs w:val="21"/>
              </w:rPr>
              <w:t>预算金额</w:t>
            </w:r>
          </w:p>
        </w:tc>
        <w:tc>
          <w:tcPr>
            <w:tcW w:w="1828" w:type="dxa"/>
            <w:noWrap/>
            <w:vAlign w:val="center"/>
          </w:tcPr>
          <w:p>
            <w:pPr>
              <w:snapToGrid w:val="0"/>
              <w:spacing w:line="360" w:lineRule="auto"/>
              <w:jc w:val="center"/>
              <w:rPr>
                <w:rFonts w:ascii="宋体" w:cs="宋体"/>
                <w:color w:val="000000"/>
                <w:kern w:val="0"/>
                <w:szCs w:val="21"/>
              </w:rPr>
            </w:pPr>
            <w:r>
              <w:rPr>
                <w:rFonts w:hint="eastAsia" w:ascii="宋体" w:hAnsi="宋体" w:cs="宋体"/>
                <w:color w:val="000000"/>
                <w:kern w:val="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8" w:type="dxa"/>
            <w:noWrap/>
            <w:vAlign w:val="center"/>
          </w:tcPr>
          <w:p>
            <w:pPr>
              <w:snapToGrid w:val="0"/>
              <w:spacing w:line="360" w:lineRule="auto"/>
              <w:ind w:firstLine="420" w:firstLineChars="200"/>
              <w:jc w:val="center"/>
              <w:rPr>
                <w:rFonts w:ascii="宋体" w:hAnsi="宋体" w:cs="宋体"/>
                <w:kern w:val="0"/>
                <w:szCs w:val="21"/>
              </w:rPr>
            </w:pPr>
            <w:r>
              <w:rPr>
                <w:rFonts w:ascii="宋体" w:hAnsi="宋体" w:cs="宋体"/>
                <w:kern w:val="0"/>
                <w:szCs w:val="21"/>
              </w:rPr>
              <w:t>1</w:t>
            </w:r>
          </w:p>
        </w:tc>
        <w:tc>
          <w:tcPr>
            <w:tcW w:w="3529" w:type="dxa"/>
            <w:noWrap/>
            <w:vAlign w:val="center"/>
          </w:tcPr>
          <w:p>
            <w:pPr>
              <w:snapToGrid w:val="0"/>
              <w:spacing w:line="360" w:lineRule="auto"/>
              <w:rPr>
                <w:rFonts w:hint="eastAsia" w:ascii="宋体" w:eastAsia="宋体" w:cs="宋体"/>
                <w:kern w:val="0"/>
                <w:szCs w:val="21"/>
                <w:lang w:eastAsia="zh-CN"/>
              </w:rPr>
            </w:pPr>
            <w:r>
              <w:rPr>
                <w:rFonts w:hint="eastAsia" w:ascii="宋体" w:hAnsi="宋体" w:cs="宋体"/>
                <w:bCs/>
                <w:szCs w:val="21"/>
                <w:lang w:eastAsia="zh-CN"/>
              </w:rPr>
              <w:t>龙游县残疾人联合会龙游县残疾儿童康复中心设备采购项目（标段四）</w:t>
            </w:r>
          </w:p>
        </w:tc>
        <w:tc>
          <w:tcPr>
            <w:tcW w:w="702" w:type="dxa"/>
            <w:noWrap/>
            <w:vAlign w:val="center"/>
          </w:tcPr>
          <w:p>
            <w:pPr>
              <w:snapToGrid w:val="0"/>
              <w:spacing w:line="360" w:lineRule="auto"/>
              <w:jc w:val="center"/>
              <w:rPr>
                <w:rFonts w:ascii="宋体" w:hAnsi="宋体" w:cs="宋体"/>
                <w:kern w:val="0"/>
                <w:szCs w:val="21"/>
              </w:rPr>
            </w:pPr>
            <w:r>
              <w:rPr>
                <w:rFonts w:hint="eastAsia" w:ascii="宋体" w:hAnsi="宋体" w:cs="宋体"/>
                <w:kern w:val="0"/>
                <w:szCs w:val="21"/>
                <w:lang w:val="en-US" w:eastAsia="zh-CN"/>
              </w:rPr>
              <w:t>1</w:t>
            </w:r>
          </w:p>
        </w:tc>
        <w:tc>
          <w:tcPr>
            <w:tcW w:w="902" w:type="dxa"/>
            <w:noWrap/>
            <w:vAlign w:val="center"/>
          </w:tcPr>
          <w:p>
            <w:pPr>
              <w:snapToGrid w:val="0"/>
              <w:spacing w:line="360" w:lineRule="auto"/>
              <w:jc w:val="center"/>
              <w:rPr>
                <w:rFonts w:hint="eastAsia" w:ascii="宋体" w:eastAsia="宋体" w:cs="宋体"/>
                <w:kern w:val="0"/>
                <w:szCs w:val="21"/>
                <w:lang w:eastAsia="zh-CN"/>
              </w:rPr>
            </w:pPr>
            <w:r>
              <w:rPr>
                <w:rFonts w:hint="eastAsia" w:ascii="宋体" w:hAnsi="宋体" w:cs="宋体"/>
                <w:kern w:val="0"/>
                <w:szCs w:val="21"/>
                <w:lang w:eastAsia="zh-CN"/>
              </w:rPr>
              <w:t>批</w:t>
            </w:r>
          </w:p>
        </w:tc>
        <w:tc>
          <w:tcPr>
            <w:tcW w:w="1828" w:type="dxa"/>
            <w:noWrap/>
            <w:vAlign w:val="center"/>
          </w:tcPr>
          <w:p>
            <w:pPr>
              <w:snapToGrid w:val="0"/>
              <w:spacing w:line="360" w:lineRule="auto"/>
              <w:rPr>
                <w:rFonts w:ascii="宋体" w:cs="宋体"/>
                <w:kern w:val="0"/>
                <w:szCs w:val="21"/>
              </w:rPr>
            </w:pPr>
            <w:r>
              <w:rPr>
                <w:rFonts w:hint="eastAsia" w:ascii="宋体" w:hAnsi="宋体" w:cs="宋体"/>
                <w:kern w:val="0"/>
                <w:szCs w:val="21"/>
                <w:lang w:val="en-US" w:eastAsia="zh-CN"/>
              </w:rPr>
              <w:t>1822942.00</w:t>
            </w:r>
            <w:r>
              <w:rPr>
                <w:rFonts w:hint="eastAsia" w:ascii="宋体" w:hAnsi="宋体" w:cs="宋体"/>
                <w:kern w:val="0"/>
                <w:szCs w:val="21"/>
              </w:rPr>
              <w:t>元</w:t>
            </w:r>
          </w:p>
        </w:tc>
        <w:tc>
          <w:tcPr>
            <w:tcW w:w="1828" w:type="dxa"/>
            <w:noWrap/>
            <w:vAlign w:val="center"/>
          </w:tcPr>
          <w:p>
            <w:pPr>
              <w:snapToGrid w:val="0"/>
              <w:spacing w:line="360" w:lineRule="auto"/>
              <w:jc w:val="center"/>
              <w:rPr>
                <w:rFonts w:ascii="宋体" w:hAnsi="宋体" w:cs="宋体"/>
                <w:kern w:val="0"/>
                <w:szCs w:val="21"/>
              </w:rPr>
            </w:pPr>
            <w:r>
              <w:rPr>
                <w:rFonts w:hint="eastAsia" w:ascii="宋体" w:hAnsi="宋体" w:cs="宋体"/>
                <w:kern w:val="0"/>
                <w:szCs w:val="21"/>
                <w:lang w:val="en-US" w:eastAsia="zh-CN"/>
              </w:rPr>
              <w:t>1822942.00元</w:t>
            </w:r>
          </w:p>
        </w:tc>
      </w:tr>
    </w:tbl>
    <w:p>
      <w:pPr>
        <w:spacing w:line="360" w:lineRule="auto"/>
        <w:ind w:firstLine="420" w:firstLineChars="200"/>
        <w:rPr>
          <w:rFonts w:hint="eastAsia" w:ascii="宋体" w:eastAsia="宋体" w:cs="宋体"/>
          <w:szCs w:val="21"/>
          <w:u w:val="single"/>
          <w:lang w:eastAsia="zh-CN"/>
        </w:rPr>
      </w:pPr>
      <w:r>
        <w:rPr>
          <w:rFonts w:hint="eastAsia" w:ascii="宋体" w:hAnsi="宋体" w:cs="宋体"/>
          <w:szCs w:val="21"/>
        </w:rPr>
        <w:t>合同履行期限：</w:t>
      </w:r>
      <w:r>
        <w:rPr>
          <w:rFonts w:hint="eastAsia" w:ascii="宋体" w:hAnsi="宋体" w:cs="宋体"/>
          <w:szCs w:val="21"/>
          <w:lang w:val="en-US" w:eastAsia="zh-CN"/>
        </w:rPr>
        <w:t>/</w:t>
      </w:r>
    </w:p>
    <w:p>
      <w:pPr>
        <w:spacing w:line="360" w:lineRule="auto"/>
        <w:ind w:firstLine="420" w:firstLineChars="200"/>
        <w:rPr>
          <w:rFonts w:ascii="宋体" w:cs="宋体"/>
          <w:szCs w:val="21"/>
        </w:rPr>
      </w:pPr>
      <w:r>
        <w:rPr>
          <w:rFonts w:hint="eastAsia" w:ascii="宋体" w:hAnsi="宋体" w:cs="宋体"/>
          <w:szCs w:val="21"/>
        </w:rPr>
        <w:t>本项目不接受联合体投标。</w:t>
      </w:r>
    </w:p>
    <w:p>
      <w:pPr>
        <w:pStyle w:val="4"/>
        <w:spacing w:before="0" w:after="0" w:line="360" w:lineRule="auto"/>
        <w:ind w:firstLine="422" w:firstLineChars="200"/>
        <w:rPr>
          <w:rFonts w:ascii="宋体" w:hAnsi="宋体" w:eastAsia="宋体" w:cs="宋体"/>
          <w:bCs w:val="0"/>
          <w:sz w:val="21"/>
          <w:szCs w:val="21"/>
        </w:rPr>
      </w:pPr>
      <w:bookmarkStart w:id="15" w:name="_Toc28359080"/>
      <w:bookmarkStart w:id="16" w:name="_Toc35393791"/>
      <w:bookmarkStart w:id="17" w:name="_Toc35393622"/>
      <w:bookmarkStart w:id="18" w:name="_Toc28359003"/>
      <w:r>
        <w:rPr>
          <w:rFonts w:hint="eastAsia" w:ascii="宋体" w:hAnsi="宋体" w:eastAsia="宋体" w:cs="宋体"/>
          <w:bCs w:val="0"/>
          <w:sz w:val="21"/>
          <w:szCs w:val="21"/>
        </w:rPr>
        <w:t>二、申请人的资格要求：</w:t>
      </w:r>
      <w:bookmarkEnd w:id="15"/>
      <w:bookmarkEnd w:id="16"/>
      <w:bookmarkEnd w:id="17"/>
      <w:bookmarkEnd w:id="18"/>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满足《中华人民共和国政府采购法》第二十二条规定；</w:t>
      </w:r>
    </w:p>
    <w:p>
      <w:pPr>
        <w:spacing w:line="360" w:lineRule="auto"/>
        <w:ind w:firstLine="420" w:firstLineChars="200"/>
        <w:rPr>
          <w:rFonts w:ascii="宋体" w:cs="宋体"/>
          <w:szCs w:val="21"/>
          <w:u w:val="single"/>
        </w:rPr>
      </w:pPr>
      <w:bookmarkStart w:id="19" w:name="_Toc28359081"/>
      <w:bookmarkStart w:id="20" w:name="_Toc28359004"/>
      <w:r>
        <w:rPr>
          <w:rFonts w:ascii="宋体" w:hAnsi="宋体" w:cs="宋体"/>
          <w:szCs w:val="21"/>
        </w:rPr>
        <w:t>2.</w:t>
      </w:r>
      <w:r>
        <w:rPr>
          <w:rFonts w:hint="eastAsia" w:ascii="宋体" w:hAnsi="宋体" w:cs="宋体"/>
          <w:szCs w:val="21"/>
        </w:rPr>
        <w:t>落实政府采购政策需满足的资格要求：</w:t>
      </w:r>
      <w:r>
        <w:rPr>
          <w:rFonts w:hint="eastAsia" w:ascii="宋体" w:hAnsi="宋体" w:cs="宋体"/>
          <w:szCs w:val="21"/>
          <w:u w:val="single"/>
        </w:rPr>
        <w:t>对符合财政扶持政策的中小企业（小型、微型）、监狱企业、残疾人福利性单位给予价格优惠扶持</w:t>
      </w:r>
      <w:r>
        <w:rPr>
          <w:rFonts w:hint="eastAsia" w:ascii="宋体" w:hAnsi="宋体" w:cs="宋体"/>
          <w:szCs w:val="21"/>
        </w:rPr>
        <w:t>；</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本项目的特定资格要求：</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rPr>
        <w:t>（</w:t>
      </w:r>
      <w:r>
        <w:rPr>
          <w:rFonts w:ascii="宋体" w:hAnsi="宋体" w:cs="宋体"/>
          <w:szCs w:val="21"/>
          <w:highlight w:val="none"/>
          <w:u w:val="single"/>
        </w:rPr>
        <w:t>1</w:t>
      </w:r>
      <w:r>
        <w:rPr>
          <w:rFonts w:hint="eastAsia" w:ascii="宋体" w:hAnsi="宋体" w:cs="宋体"/>
          <w:szCs w:val="21"/>
          <w:highlight w:val="none"/>
          <w:u w:val="single"/>
        </w:rPr>
        <w:t>）提供投标产品有效的《医疗器械产品注册证》或备案表，如非医疗器械产品则无需提供。</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2</w:t>
      </w:r>
      <w:r>
        <w:rPr>
          <w:rFonts w:hint="eastAsia" w:ascii="宋体" w:hAnsi="宋体" w:cs="宋体"/>
          <w:szCs w:val="21"/>
          <w:highlight w:val="none"/>
          <w:u w:val="single"/>
          <w:lang w:eastAsia="zh-CN"/>
        </w:rPr>
        <w:t>）</w:t>
      </w:r>
      <w:r>
        <w:rPr>
          <w:rFonts w:hint="eastAsia" w:ascii="宋体" w:hAnsi="宋体" w:cs="宋体"/>
          <w:szCs w:val="21"/>
          <w:highlight w:val="none"/>
          <w:u w:val="single"/>
        </w:rPr>
        <w:t>提供供应商有效的《医疗器械经营企业许可证》或医疗器械经营备案凭证，如非第二类、第三类医疗器械产品则无需提供，如果是制造商另须提供《医疗器械生产许可证》。</w:t>
      </w:r>
    </w:p>
    <w:p>
      <w:pPr>
        <w:spacing w:line="360" w:lineRule="auto"/>
        <w:ind w:firstLine="420" w:firstLineChars="200"/>
        <w:rPr>
          <w:rFonts w:ascii="宋体" w:cs="宋体"/>
          <w:szCs w:val="21"/>
          <w:highlight w:val="none"/>
          <w:u w:val="single"/>
        </w:rPr>
      </w:pPr>
      <w:r>
        <w:rPr>
          <w:rFonts w:hint="eastAsia" w:ascii="宋体" w:hAnsi="宋体" w:cs="宋体"/>
          <w:szCs w:val="21"/>
          <w:highlight w:val="none"/>
          <w:u w:val="single"/>
        </w:rPr>
        <w:t>（</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）单位负责人为同一人或者存在直接控股、管理关系的不同投标人，不得参加同一合同项下的政府采购活动；</w:t>
      </w:r>
    </w:p>
    <w:p>
      <w:pPr>
        <w:spacing w:line="360" w:lineRule="auto"/>
        <w:ind w:firstLine="420" w:firstLineChars="200"/>
        <w:rPr>
          <w:rFonts w:ascii="宋体" w:cs="宋体"/>
          <w:i/>
          <w:iCs/>
          <w:szCs w:val="21"/>
          <w:highlight w:val="none"/>
          <w:u w:val="single"/>
        </w:rPr>
      </w:pPr>
      <w:r>
        <w:rPr>
          <w:rFonts w:hint="eastAsia" w:ascii="宋体" w:hAnsi="宋体" w:cs="宋体"/>
          <w:szCs w:val="21"/>
          <w:highlight w:val="none"/>
          <w:u w:val="single"/>
        </w:rPr>
        <w:t>（</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）投标人未被列入失信被执行人名单、重大税收违法案件当事人名单、政府采购严重违法失信行为记录名单，信用信息以信用中国网站（</w:t>
      </w:r>
      <w:r>
        <w:rPr>
          <w:rFonts w:ascii="宋体" w:hAnsi="宋体" w:cs="宋体"/>
          <w:szCs w:val="21"/>
          <w:highlight w:val="none"/>
          <w:u w:val="single"/>
        </w:rPr>
        <w:t>www.creditchina.gov.cn</w:t>
      </w:r>
      <w:r>
        <w:rPr>
          <w:rFonts w:hint="eastAsia" w:ascii="宋体" w:hAnsi="宋体" w:cs="宋体"/>
          <w:szCs w:val="21"/>
          <w:highlight w:val="none"/>
          <w:u w:val="single"/>
        </w:rPr>
        <w:t>）、中国政府采购网（</w:t>
      </w:r>
      <w:r>
        <w:rPr>
          <w:rFonts w:ascii="宋体" w:hAnsi="宋体" w:cs="宋体"/>
          <w:szCs w:val="21"/>
          <w:highlight w:val="none"/>
          <w:u w:val="single"/>
        </w:rPr>
        <w:t>www.ccgp.gov.cn</w:t>
      </w:r>
      <w:r>
        <w:rPr>
          <w:rFonts w:hint="eastAsia" w:ascii="宋体" w:hAnsi="宋体" w:cs="宋体"/>
          <w:szCs w:val="21"/>
          <w:highlight w:val="none"/>
          <w:u w:val="single"/>
        </w:rPr>
        <w:t>）公布为准。</w:t>
      </w:r>
    </w:p>
    <w:p>
      <w:pPr>
        <w:pStyle w:val="4"/>
        <w:spacing w:before="0" w:after="0" w:line="360" w:lineRule="auto"/>
        <w:ind w:firstLine="422" w:firstLineChars="200"/>
        <w:rPr>
          <w:rFonts w:ascii="宋体" w:hAnsi="宋体" w:eastAsia="宋体" w:cs="宋体"/>
          <w:bCs w:val="0"/>
          <w:sz w:val="21"/>
          <w:szCs w:val="21"/>
        </w:rPr>
      </w:pPr>
      <w:bookmarkStart w:id="21" w:name="_Toc35393792"/>
      <w:bookmarkStart w:id="22" w:name="_Toc35393623"/>
      <w:r>
        <w:rPr>
          <w:rFonts w:hint="eastAsia" w:ascii="宋体" w:hAnsi="宋体" w:eastAsia="宋体" w:cs="宋体"/>
          <w:bCs w:val="0"/>
          <w:sz w:val="21"/>
          <w:szCs w:val="21"/>
        </w:rPr>
        <w:t>三、获取招标文件</w:t>
      </w:r>
      <w:bookmarkEnd w:id="19"/>
      <w:bookmarkEnd w:id="20"/>
      <w:bookmarkEnd w:id="21"/>
      <w:bookmarkEnd w:id="22"/>
    </w:p>
    <w:p>
      <w:pPr>
        <w:spacing w:line="360" w:lineRule="auto"/>
        <w:ind w:firstLine="420" w:firstLineChars="200"/>
        <w:rPr>
          <w:rFonts w:ascii="宋体" w:cs="宋体"/>
          <w:color w:val="000000"/>
          <w:szCs w:val="21"/>
        </w:rPr>
      </w:pPr>
      <w:bookmarkStart w:id="23" w:name="_Toc28359005"/>
      <w:bookmarkStart w:id="24" w:name="_Toc28359082"/>
      <w:bookmarkStart w:id="25" w:name="_Toc35393624"/>
      <w:bookmarkStart w:id="26" w:name="_Toc35393793"/>
      <w:r>
        <w:rPr>
          <w:rFonts w:ascii="宋体" w:hAnsi="宋体" w:cs="宋体"/>
          <w:szCs w:val="21"/>
        </w:rPr>
        <w:t>1.</w:t>
      </w:r>
      <w:r>
        <w:rPr>
          <w:rFonts w:hint="eastAsia" w:ascii="宋体" w:hAnsi="宋体" w:cs="宋体"/>
          <w:color w:val="000000"/>
          <w:szCs w:val="21"/>
        </w:rPr>
        <w:t>本项目招标文件实行“政府采购云平台”在线获取，</w:t>
      </w:r>
      <w:r>
        <w:rPr>
          <w:rFonts w:hint="eastAsia" w:ascii="宋体" w:hAnsi="宋体" w:cs="宋体"/>
          <w:color w:val="000000"/>
          <w:kern w:val="0"/>
          <w:szCs w:val="21"/>
        </w:rPr>
        <w:t>不提供招标文件纸质版</w:t>
      </w:r>
      <w:r>
        <w:rPr>
          <w:rFonts w:hint="eastAsia" w:ascii="宋体" w:hAnsi="宋体" w:cs="宋体"/>
          <w:color w:val="000000"/>
          <w:szCs w:val="21"/>
        </w:rPr>
        <w:t>。供应商获取招标文件前应先完成“政府采购云平台”的账号注册同时办理</w:t>
      </w:r>
      <w:r>
        <w:rPr>
          <w:rFonts w:ascii="宋体" w:hAnsi="宋体" w:cs="宋体"/>
          <w:color w:val="000000"/>
          <w:szCs w:val="21"/>
        </w:rPr>
        <w:t>CA</w:t>
      </w:r>
      <w:r>
        <w:rPr>
          <w:rFonts w:hint="eastAsia" w:ascii="宋体" w:hAnsi="宋体" w:cs="宋体"/>
          <w:color w:val="000000"/>
          <w:szCs w:val="21"/>
        </w:rPr>
        <w:t>领取；</w:t>
      </w:r>
    </w:p>
    <w:p>
      <w:pPr>
        <w:pStyle w:val="25"/>
        <w:snapToGrid w:val="0"/>
        <w:ind w:firstLine="420" w:firstLineChars="200"/>
        <w:rPr>
          <w:rFonts w:ascii="宋体" w:cs="宋体"/>
          <w:sz w:val="21"/>
          <w:szCs w:val="21"/>
        </w:rPr>
      </w:pPr>
      <w:r>
        <w:rPr>
          <w:rFonts w:ascii="宋体" w:hAnsi="宋体" w:cs="宋体"/>
          <w:sz w:val="21"/>
          <w:szCs w:val="21"/>
        </w:rPr>
        <w:t>2.</w:t>
      </w:r>
      <w:r>
        <w:rPr>
          <w:rFonts w:hint="eastAsia" w:ascii="宋体" w:hAnsi="宋体" w:cs="宋体"/>
          <w:sz w:val="21"/>
          <w:szCs w:val="21"/>
        </w:rPr>
        <w:t>地点：政采云平台（</w:t>
      </w:r>
      <w:r>
        <w:rPr>
          <w:rFonts w:ascii="宋体" w:hAnsi="宋体" w:cs="宋体"/>
          <w:sz w:val="21"/>
          <w:szCs w:val="21"/>
        </w:rPr>
        <w:t>http://zfcg.czt.zj.gov.cn</w:t>
      </w:r>
      <w:r>
        <w:rPr>
          <w:rFonts w:hint="eastAsia" w:ascii="宋体" w:hAnsi="宋体" w:cs="宋体"/>
          <w:sz w:val="21"/>
          <w:szCs w:val="21"/>
        </w:rPr>
        <w:t>）；</w:t>
      </w:r>
    </w:p>
    <w:p>
      <w:pPr>
        <w:pStyle w:val="25"/>
        <w:snapToGrid w:val="0"/>
        <w:ind w:firstLine="420" w:firstLineChars="200"/>
        <w:rPr>
          <w:rFonts w:ascii="宋体" w:cs="宋体"/>
          <w:sz w:val="21"/>
          <w:szCs w:val="21"/>
        </w:rPr>
      </w:pPr>
      <w:r>
        <w:rPr>
          <w:rFonts w:ascii="宋体" w:hAnsi="宋体" w:cs="宋体"/>
          <w:sz w:val="21"/>
          <w:szCs w:val="21"/>
        </w:rPr>
        <w:t>3.</w:t>
      </w:r>
      <w:r>
        <w:rPr>
          <w:rFonts w:hint="eastAsia" w:ascii="宋体" w:hAnsi="宋体" w:cs="宋体"/>
          <w:sz w:val="21"/>
          <w:szCs w:val="21"/>
        </w:rPr>
        <w:t>方式：潜在供应商登陆政采云平台，在线申请获取招标文件（进入“项目采购”应用，在获取招标文件菜单中选择项目，申请获取招标文件</w:t>
      </w:r>
      <w:r>
        <w:rPr>
          <w:rFonts w:hint="eastAsia" w:ascii="宋体" w:hAnsi="宋体" w:cs="宋体"/>
          <w:color w:val="000000"/>
          <w:sz w:val="21"/>
          <w:szCs w:val="21"/>
        </w:rPr>
        <w:t>，本项目招标文件不收取工本费</w:t>
      </w:r>
      <w:r>
        <w:rPr>
          <w:rFonts w:hint="eastAsia" w:ascii="宋体" w:hAnsi="宋体" w:cs="宋体"/>
          <w:sz w:val="21"/>
          <w:szCs w:val="21"/>
        </w:rPr>
        <w:t>；</w:t>
      </w:r>
      <w:r>
        <w:rPr>
          <w:rFonts w:hint="eastAsia" w:ascii="宋体" w:hAnsi="宋体" w:cs="宋体"/>
          <w:sz w:val="21"/>
          <w:szCs w:val="21"/>
          <w:u w:val="single"/>
        </w:rPr>
        <w:t>仅需浏览招标文件的供应商可点击“游客，浏览招标文件”直接下载招标文件浏览</w:t>
      </w:r>
      <w:r>
        <w:rPr>
          <w:rFonts w:hint="eastAsia" w:ascii="宋体" w:hAnsi="宋体" w:cs="宋体"/>
          <w:sz w:val="21"/>
          <w:szCs w:val="21"/>
        </w:rPr>
        <w:t>）；</w:t>
      </w:r>
    </w:p>
    <w:p>
      <w:pPr>
        <w:widowControl/>
        <w:snapToGrid w:val="0"/>
        <w:spacing w:line="360" w:lineRule="auto"/>
        <w:ind w:firstLine="420" w:firstLineChars="200"/>
        <w:jc w:val="left"/>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供应商获取招标文件时须提交的文件资料：无；</w:t>
      </w:r>
    </w:p>
    <w:p>
      <w:pPr>
        <w:widowControl/>
        <w:snapToGrid w:val="0"/>
        <w:spacing w:line="360" w:lineRule="auto"/>
        <w:ind w:firstLine="420" w:firstLineChars="200"/>
        <w:jc w:val="left"/>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60" w:lineRule="auto"/>
        <w:ind w:firstLine="420" w:firstLineChars="200"/>
        <w:jc w:val="left"/>
        <w:rPr>
          <w:rFonts w:ascii="宋体" w:cs="宋体"/>
          <w:szCs w:val="21"/>
        </w:rPr>
      </w:pPr>
      <w:r>
        <w:rPr>
          <w:rFonts w:hint="eastAsia" w:ascii="宋体" w:hAnsi="宋体" w:cs="宋体"/>
          <w:color w:val="000000"/>
          <w:kern w:val="0"/>
          <w:szCs w:val="21"/>
        </w:rPr>
        <w:t>注：请供应商按上述要求获取招标文件，如未在“</w:t>
      </w:r>
      <w:r>
        <w:rPr>
          <w:rFonts w:hint="eastAsia" w:ascii="宋体" w:hAnsi="宋体" w:cs="宋体"/>
          <w:szCs w:val="21"/>
        </w:rPr>
        <w:t>政采云”系统内完成相关流程，引起的投标无效责任自负。</w:t>
      </w:r>
    </w:p>
    <w:p>
      <w:pPr>
        <w:pStyle w:val="4"/>
        <w:spacing w:before="0" w:after="0" w:line="360" w:lineRule="auto"/>
        <w:ind w:firstLine="422" w:firstLineChars="200"/>
        <w:rPr>
          <w:rFonts w:ascii="宋体" w:hAnsi="宋体" w:eastAsia="宋体" w:cs="宋体"/>
          <w:bCs w:val="0"/>
          <w:sz w:val="21"/>
          <w:szCs w:val="21"/>
        </w:rPr>
      </w:pPr>
      <w:r>
        <w:rPr>
          <w:rFonts w:hint="eastAsia" w:ascii="宋体" w:hAnsi="宋体" w:eastAsia="宋体" w:cs="宋体"/>
          <w:bCs w:val="0"/>
          <w:sz w:val="21"/>
          <w:szCs w:val="21"/>
        </w:rPr>
        <w:t>四、提交投标文件</w:t>
      </w:r>
      <w:bookmarkEnd w:id="23"/>
      <w:bookmarkEnd w:id="24"/>
      <w:r>
        <w:rPr>
          <w:rFonts w:hint="eastAsia" w:ascii="宋体" w:hAnsi="宋体" w:eastAsia="宋体" w:cs="宋体"/>
          <w:bCs w:val="0"/>
          <w:sz w:val="21"/>
          <w:szCs w:val="21"/>
        </w:rPr>
        <w:t>截止时间、开标时间和地点</w:t>
      </w:r>
      <w:bookmarkEnd w:id="25"/>
      <w:bookmarkEnd w:id="26"/>
    </w:p>
    <w:p>
      <w:pPr>
        <w:snapToGrid w:val="0"/>
        <w:spacing w:line="360" w:lineRule="auto"/>
        <w:ind w:firstLine="420" w:firstLineChars="200"/>
        <w:rPr>
          <w:rFonts w:ascii="宋体" w:cs="宋体"/>
          <w:bCs/>
          <w:szCs w:val="21"/>
        </w:rPr>
      </w:pPr>
      <w:bookmarkStart w:id="27" w:name="_Toc35393625"/>
      <w:bookmarkStart w:id="28" w:name="_Toc28359084"/>
      <w:bookmarkStart w:id="29" w:name="_Toc28359007"/>
      <w:bookmarkStart w:id="30" w:name="_Toc35393794"/>
      <w:r>
        <w:rPr>
          <w:rFonts w:ascii="宋体" w:hAnsi="宋体" w:cs="宋体"/>
          <w:bCs/>
          <w:szCs w:val="21"/>
        </w:rPr>
        <w:t>1.</w:t>
      </w:r>
      <w:r>
        <w:rPr>
          <w:rFonts w:hint="eastAsia" w:ascii="宋体" w:hAnsi="宋体" w:cs="宋体"/>
          <w:bCs/>
          <w:szCs w:val="21"/>
        </w:rPr>
        <w:t>投标文件递交截止时间及地点：</w:t>
      </w:r>
      <w:r>
        <w:rPr>
          <w:rFonts w:hint="eastAsia" w:ascii="宋体" w:hAnsi="宋体" w:cs="宋体"/>
          <w:bCs/>
          <w:szCs w:val="21"/>
          <w:lang w:eastAsia="zh-CN"/>
        </w:rPr>
        <w:t>2021</w:t>
      </w:r>
      <w:r>
        <w:rPr>
          <w:rFonts w:hint="eastAsia" w:ascii="宋体" w:hAnsi="宋体" w:cs="宋体"/>
          <w:bCs/>
          <w:szCs w:val="21"/>
        </w:rPr>
        <w:t>年</w:t>
      </w:r>
      <w:r>
        <w:rPr>
          <w:rFonts w:hint="eastAsia" w:ascii="宋体" w:hAnsi="宋体" w:cs="宋体"/>
          <w:bCs/>
          <w:szCs w:val="21"/>
          <w:lang w:val="en-US" w:eastAsia="zh-CN"/>
        </w:rPr>
        <w:t>11</w:t>
      </w:r>
      <w:r>
        <w:rPr>
          <w:rFonts w:hint="eastAsia" w:ascii="宋体" w:hAnsi="宋体" w:cs="宋体"/>
          <w:bCs/>
          <w:szCs w:val="21"/>
        </w:rPr>
        <w:t>月</w:t>
      </w:r>
      <w:r>
        <w:rPr>
          <w:rFonts w:hint="eastAsia" w:ascii="宋体" w:hAnsi="宋体" w:cs="宋体"/>
          <w:bCs/>
          <w:szCs w:val="21"/>
          <w:lang w:val="en-US" w:eastAsia="zh-CN"/>
        </w:rPr>
        <w:t>26</w:t>
      </w:r>
      <w:r>
        <w:rPr>
          <w:rFonts w:hint="eastAsia" w:ascii="宋体" w:hAnsi="宋体" w:cs="宋体"/>
          <w:bCs/>
          <w:szCs w:val="21"/>
        </w:rPr>
        <w:t>日</w:t>
      </w:r>
      <w:r>
        <w:rPr>
          <w:rFonts w:hint="eastAsia" w:ascii="宋体" w:hAnsi="宋体" w:cs="宋体"/>
          <w:bCs/>
          <w:szCs w:val="21"/>
          <w:lang w:val="en-US" w:eastAsia="zh-CN"/>
        </w:rPr>
        <w:t>14</w:t>
      </w:r>
      <w:r>
        <w:rPr>
          <w:rFonts w:hint="eastAsia" w:ascii="宋体" w:hAnsi="宋体" w:cs="宋体"/>
          <w:bCs/>
          <w:szCs w:val="21"/>
        </w:rPr>
        <w:t>时</w:t>
      </w:r>
      <w:r>
        <w:rPr>
          <w:rFonts w:ascii="宋体" w:hAnsi="宋体" w:cs="宋体"/>
          <w:bCs/>
          <w:szCs w:val="21"/>
        </w:rPr>
        <w:t>30</w:t>
      </w:r>
      <w:r>
        <w:rPr>
          <w:rFonts w:hint="eastAsia" w:ascii="宋体" w:hAnsi="宋体" w:cs="宋体"/>
          <w:bCs/>
          <w:szCs w:val="21"/>
        </w:rPr>
        <w:t>分，政采云平台。</w:t>
      </w:r>
    </w:p>
    <w:p>
      <w:pPr>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开标时间：</w:t>
      </w:r>
      <w:r>
        <w:rPr>
          <w:rFonts w:hint="eastAsia" w:ascii="宋体" w:hAnsi="宋体" w:cs="宋体"/>
          <w:bCs/>
          <w:szCs w:val="21"/>
          <w:lang w:eastAsia="zh-CN"/>
        </w:rPr>
        <w:t>2021</w:t>
      </w:r>
      <w:r>
        <w:rPr>
          <w:rFonts w:hint="eastAsia" w:ascii="宋体" w:hAnsi="宋体" w:cs="宋体"/>
          <w:bCs/>
          <w:szCs w:val="21"/>
        </w:rPr>
        <w:t>年</w:t>
      </w:r>
      <w:r>
        <w:rPr>
          <w:rFonts w:hint="eastAsia" w:ascii="宋体" w:hAnsi="宋体" w:cs="宋体"/>
          <w:bCs/>
          <w:szCs w:val="21"/>
          <w:lang w:val="en-US" w:eastAsia="zh-CN"/>
        </w:rPr>
        <w:t>11</w:t>
      </w:r>
      <w:r>
        <w:rPr>
          <w:rFonts w:hint="eastAsia" w:ascii="宋体" w:hAnsi="宋体" w:cs="宋体"/>
          <w:bCs/>
          <w:szCs w:val="21"/>
        </w:rPr>
        <w:t>月</w:t>
      </w:r>
      <w:r>
        <w:rPr>
          <w:rFonts w:hint="eastAsia" w:ascii="宋体" w:hAnsi="宋体" w:cs="宋体"/>
          <w:bCs/>
          <w:szCs w:val="21"/>
          <w:lang w:val="en-US" w:eastAsia="zh-CN"/>
        </w:rPr>
        <w:t>26</w:t>
      </w:r>
      <w:r>
        <w:rPr>
          <w:rFonts w:hint="eastAsia" w:ascii="宋体" w:hAnsi="宋体" w:cs="宋体"/>
          <w:bCs/>
          <w:szCs w:val="21"/>
        </w:rPr>
        <w:t>日</w:t>
      </w:r>
      <w:r>
        <w:rPr>
          <w:rFonts w:hint="eastAsia" w:ascii="宋体" w:hAnsi="宋体" w:cs="宋体"/>
          <w:bCs/>
          <w:szCs w:val="21"/>
          <w:lang w:val="en-US" w:eastAsia="zh-CN"/>
        </w:rPr>
        <w:t>14</w:t>
      </w:r>
      <w:r>
        <w:rPr>
          <w:rFonts w:hint="eastAsia" w:ascii="宋体" w:hAnsi="宋体" w:cs="宋体"/>
          <w:bCs/>
          <w:szCs w:val="21"/>
        </w:rPr>
        <w:t>时</w:t>
      </w:r>
      <w:r>
        <w:rPr>
          <w:rFonts w:ascii="宋体" w:hAnsi="宋体" w:cs="宋体"/>
          <w:bCs/>
          <w:szCs w:val="21"/>
        </w:rPr>
        <w:t>30</w:t>
      </w:r>
      <w:r>
        <w:rPr>
          <w:rFonts w:hint="eastAsia" w:ascii="宋体" w:hAnsi="宋体" w:cs="宋体"/>
          <w:bCs/>
          <w:szCs w:val="21"/>
        </w:rPr>
        <w:t>分。</w:t>
      </w:r>
    </w:p>
    <w:p>
      <w:pPr>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lang w:eastAsia="zh-CN"/>
        </w:rPr>
        <w:t>开标</w:t>
      </w:r>
      <w:r>
        <w:rPr>
          <w:rFonts w:hint="eastAsia" w:ascii="宋体" w:hAnsi="宋体" w:cs="宋体"/>
          <w:bCs/>
          <w:szCs w:val="21"/>
        </w:rPr>
        <w:t>地点：政采云平台。</w:t>
      </w:r>
    </w:p>
    <w:p>
      <w:pPr>
        <w:pStyle w:val="4"/>
        <w:spacing w:before="0" w:after="0" w:line="360" w:lineRule="auto"/>
        <w:ind w:firstLine="422" w:firstLineChars="200"/>
        <w:rPr>
          <w:rFonts w:ascii="宋体" w:hAnsi="宋体" w:eastAsia="宋体" w:cs="宋体"/>
          <w:bCs w:val="0"/>
          <w:sz w:val="21"/>
          <w:szCs w:val="21"/>
        </w:rPr>
      </w:pPr>
      <w:r>
        <w:rPr>
          <w:rFonts w:hint="eastAsia" w:ascii="宋体" w:hAnsi="宋体" w:eastAsia="宋体" w:cs="宋体"/>
          <w:bCs w:val="0"/>
          <w:sz w:val="21"/>
          <w:szCs w:val="21"/>
        </w:rPr>
        <w:t>五、公告期限</w:t>
      </w:r>
      <w:bookmarkEnd w:id="27"/>
      <w:bookmarkEnd w:id="28"/>
      <w:bookmarkEnd w:id="29"/>
      <w:bookmarkEnd w:id="30"/>
    </w:p>
    <w:p>
      <w:pPr>
        <w:spacing w:line="360" w:lineRule="auto"/>
        <w:ind w:firstLine="420" w:firstLineChars="200"/>
        <w:rPr>
          <w:rFonts w:ascii="宋体" w:cs="宋体"/>
          <w:kern w:val="0"/>
          <w:szCs w:val="21"/>
        </w:rPr>
      </w:pPr>
      <w:r>
        <w:rPr>
          <w:rFonts w:hint="eastAsia" w:ascii="宋体" w:hAnsi="宋体" w:cs="宋体"/>
          <w:kern w:val="0"/>
          <w:szCs w:val="21"/>
        </w:rPr>
        <w:t>自本公告发布之日起</w:t>
      </w:r>
      <w:r>
        <w:rPr>
          <w:rFonts w:ascii="宋体" w:hAnsi="宋体" w:cs="宋体"/>
          <w:kern w:val="0"/>
          <w:szCs w:val="21"/>
        </w:rPr>
        <w:t>5</w:t>
      </w:r>
      <w:r>
        <w:rPr>
          <w:rFonts w:hint="eastAsia" w:ascii="宋体" w:hAnsi="宋体" w:cs="宋体"/>
          <w:kern w:val="0"/>
          <w:szCs w:val="21"/>
        </w:rPr>
        <w:t>个工作日。</w:t>
      </w:r>
    </w:p>
    <w:p>
      <w:pPr>
        <w:pStyle w:val="4"/>
        <w:spacing w:before="0" w:after="0" w:line="360" w:lineRule="auto"/>
        <w:ind w:firstLine="422" w:firstLineChars="200"/>
        <w:rPr>
          <w:rFonts w:ascii="宋体" w:hAnsi="宋体" w:eastAsia="宋体" w:cs="宋体"/>
          <w:bCs w:val="0"/>
          <w:sz w:val="21"/>
          <w:szCs w:val="21"/>
        </w:rPr>
      </w:pPr>
      <w:bookmarkStart w:id="31" w:name="_Toc35393626"/>
      <w:bookmarkStart w:id="32" w:name="_Toc35393795"/>
      <w:r>
        <w:rPr>
          <w:rFonts w:hint="eastAsia" w:ascii="宋体" w:hAnsi="宋体" w:eastAsia="宋体" w:cs="宋体"/>
          <w:bCs w:val="0"/>
          <w:sz w:val="21"/>
          <w:szCs w:val="21"/>
        </w:rPr>
        <w:t>六、其他补充事宜</w:t>
      </w:r>
      <w:bookmarkEnd w:id="31"/>
      <w:bookmarkEnd w:id="32"/>
    </w:p>
    <w:p>
      <w:pPr>
        <w:pStyle w:val="236"/>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质疑和投诉：投标人如认为招标文件、采购过程和中标结果使自身的合法权益受到损害的，可以在知道或者应知其权益受到损害之日起七个工作日内，以书面形式向采购代理机构提出质疑；投标人对采购代理机构的质疑答复不满意或者采购代理机构未在规定时间内作出答复的，可以在答复期满后十五个工作日内</w:t>
      </w:r>
      <w:r>
        <w:rPr>
          <w:rFonts w:hint="eastAsia" w:ascii="宋体" w:hAnsi="宋体" w:eastAsia="宋体" w:cs="宋体"/>
          <w:sz w:val="21"/>
          <w:szCs w:val="21"/>
          <w:highlight w:val="none"/>
        </w:rPr>
        <w:t>向</w:t>
      </w:r>
      <w:r>
        <w:rPr>
          <w:rFonts w:hint="eastAsia" w:ascii="宋体" w:hAnsi="宋体" w:eastAsia="宋体" w:cs="宋体"/>
          <w:sz w:val="21"/>
          <w:szCs w:val="21"/>
          <w:highlight w:val="none"/>
          <w:lang w:eastAsia="zh-CN"/>
        </w:rPr>
        <w:t>龙游县财政局政府采购监管科</w:t>
      </w:r>
      <w:r>
        <w:rPr>
          <w:rFonts w:hint="eastAsia" w:ascii="宋体" w:hAnsi="宋体" w:eastAsia="宋体" w:cs="宋体"/>
          <w:sz w:val="21"/>
          <w:szCs w:val="21"/>
          <w:highlight w:val="none"/>
        </w:rPr>
        <w:t>投诉（联系人：</w:t>
      </w:r>
      <w:r>
        <w:rPr>
          <w:rFonts w:hint="eastAsia" w:ascii="宋体" w:hAnsi="宋体" w:eastAsia="宋体" w:cs="宋体"/>
          <w:sz w:val="21"/>
          <w:szCs w:val="21"/>
          <w:highlight w:val="none"/>
          <w:lang w:eastAsia="zh-CN"/>
        </w:rPr>
        <w:t>严先生</w:t>
      </w: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eastAsia="zh-CN"/>
        </w:rPr>
        <w:t>0570-7011687</w:t>
      </w:r>
      <w:r>
        <w:rPr>
          <w:rFonts w:hint="eastAsia" w:ascii="宋体" w:hAnsi="宋体" w:eastAsia="宋体" w:cs="宋体"/>
          <w:sz w:val="21"/>
          <w:szCs w:val="21"/>
          <w:highlight w:val="none"/>
        </w:rPr>
        <w:t>）。</w:t>
      </w:r>
    </w:p>
    <w:p>
      <w:pPr>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color w:val="000000"/>
          <w:szCs w:val="21"/>
        </w:rPr>
        <w:t>在线投标响应（电子投标）说明</w:t>
      </w:r>
    </w:p>
    <w:p>
      <w:pPr>
        <w:spacing w:line="360" w:lineRule="auto"/>
        <w:ind w:firstLine="420" w:firstLineChars="200"/>
        <w:rPr>
          <w:rFonts w:ascii="宋体" w:cs="宋体"/>
          <w:color w:val="000000"/>
          <w:szCs w:val="21"/>
        </w:rPr>
      </w:pPr>
      <w:r>
        <w:rPr>
          <w:rFonts w:ascii="宋体" w:hAnsi="宋体" w:cs="宋体"/>
          <w:color w:val="000000"/>
          <w:szCs w:val="21"/>
        </w:rPr>
        <w:t>2.1</w:t>
      </w:r>
      <w:r>
        <w:rPr>
          <w:rFonts w:hint="eastAsia" w:ascii="宋体" w:hAnsi="宋体" w:cs="宋体"/>
          <w:color w:val="000000"/>
          <w:szCs w:val="21"/>
          <w:u w:val="single"/>
        </w:rPr>
        <w:t>本项目通过“政府采购云平台（</w:t>
      </w:r>
      <w:r>
        <w:rPr>
          <w:rFonts w:ascii="宋体" w:hAnsi="宋体" w:cs="宋体"/>
          <w:color w:val="000000"/>
          <w:szCs w:val="21"/>
          <w:u w:val="single"/>
        </w:rPr>
        <w:t>www.zcygov.cn</w:t>
      </w:r>
      <w:r>
        <w:rPr>
          <w:rFonts w:hint="eastAsia" w:ascii="宋体" w:hAnsi="宋体" w:cs="宋体"/>
          <w:color w:val="000000"/>
          <w:szCs w:val="21"/>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000000"/>
          <w:szCs w:val="21"/>
        </w:rPr>
        <w:t>。</w:t>
      </w:r>
    </w:p>
    <w:p>
      <w:pPr>
        <w:spacing w:line="360" w:lineRule="auto"/>
        <w:ind w:firstLine="420" w:firstLineChars="200"/>
        <w:rPr>
          <w:rFonts w:ascii="宋体" w:cs="宋体"/>
          <w:color w:val="000000"/>
          <w:szCs w:val="21"/>
          <w:highlight w:val="yellow"/>
          <w:u w:val="single"/>
        </w:rPr>
      </w:pPr>
      <w:r>
        <w:rPr>
          <w:rFonts w:hint="eastAsia" w:ascii="宋体" w:hAnsi="宋体" w:cs="宋体"/>
          <w:color w:val="000000"/>
          <w:szCs w:val="21"/>
        </w:rPr>
        <w:t>“政采云电子交易客户端”请自行前往“浙江政府采购网</w:t>
      </w:r>
      <w:r>
        <w:rPr>
          <w:rFonts w:ascii="宋体" w:hAnsi="宋体" w:cs="宋体"/>
          <w:color w:val="000000"/>
          <w:szCs w:val="21"/>
        </w:rPr>
        <w:t>-</w:t>
      </w:r>
      <w:r>
        <w:rPr>
          <w:rFonts w:hint="eastAsia" w:ascii="宋体" w:hAnsi="宋体" w:cs="宋体"/>
          <w:color w:val="000000"/>
          <w:szCs w:val="21"/>
        </w:rPr>
        <w:t>下载专区</w:t>
      </w:r>
      <w:r>
        <w:rPr>
          <w:rFonts w:ascii="宋体" w:hAnsi="宋体" w:cs="宋体"/>
          <w:color w:val="000000"/>
          <w:szCs w:val="21"/>
        </w:rPr>
        <w:t>-</w:t>
      </w:r>
      <w:r>
        <w:rPr>
          <w:rFonts w:hint="eastAsia" w:ascii="宋体" w:hAnsi="宋体" w:cs="宋体"/>
          <w:color w:val="000000"/>
          <w:szCs w:val="21"/>
        </w:rPr>
        <w:t>电子交易客户端”进行下载；电子投标具体操作流程文档详见网址：</w:t>
      </w:r>
      <w:r>
        <w:rPr>
          <w:rFonts w:ascii="宋体" w:hAnsi="宋体" w:cs="宋体"/>
          <w:color w:val="000000"/>
          <w:szCs w:val="21"/>
        </w:rPr>
        <w:t>https://help.zcygov.cn/web/site_2/2018/12-28/2573.html</w:t>
      </w:r>
      <w:r>
        <w:rPr>
          <w:rFonts w:hint="eastAsia" w:ascii="宋体" w:hAnsi="宋体" w:cs="宋体"/>
          <w:color w:val="000000"/>
          <w:szCs w:val="21"/>
        </w:rPr>
        <w:t>；通过“政府采购云平台”参与在线投标时如遇平台技术问题详询</w:t>
      </w:r>
      <w:r>
        <w:rPr>
          <w:rFonts w:ascii="宋体" w:hAnsi="宋体" w:cs="宋体"/>
          <w:color w:val="000000"/>
          <w:szCs w:val="21"/>
        </w:rPr>
        <w:t>400-881-7190</w:t>
      </w:r>
      <w:r>
        <w:rPr>
          <w:rFonts w:hint="eastAsia" w:ascii="宋体" w:hAnsi="宋体" w:cs="宋体"/>
          <w:color w:val="000000"/>
          <w:szCs w:val="21"/>
        </w:rPr>
        <w:t>。</w:t>
      </w:r>
    </w:p>
    <w:p>
      <w:pPr>
        <w:spacing w:line="360" w:lineRule="auto"/>
        <w:ind w:firstLine="420" w:firstLineChars="200"/>
        <w:rPr>
          <w:rFonts w:ascii="宋体" w:cs="宋体"/>
          <w:color w:val="000000"/>
          <w:szCs w:val="21"/>
        </w:rPr>
      </w:pPr>
      <w:r>
        <w:rPr>
          <w:rFonts w:ascii="宋体" w:hAnsi="宋体" w:cs="宋体"/>
          <w:color w:val="000000"/>
          <w:szCs w:val="21"/>
        </w:rPr>
        <w:t>2.2</w:t>
      </w:r>
      <w:r>
        <w:rPr>
          <w:rFonts w:hint="eastAsia" w:ascii="宋体" w:hAnsi="宋体" w:cs="宋体"/>
          <w:color w:val="000000"/>
          <w:szCs w:val="21"/>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000000"/>
          <w:szCs w:val="21"/>
        </w:rPr>
        <w:t>。使用“政采云电子交易客户端”需要提前申领</w:t>
      </w:r>
      <w:r>
        <w:rPr>
          <w:rFonts w:ascii="宋体" w:hAnsi="宋体" w:cs="宋体"/>
          <w:color w:val="000000"/>
          <w:szCs w:val="21"/>
        </w:rPr>
        <w:t>CA</w:t>
      </w:r>
      <w:r>
        <w:rPr>
          <w:rFonts w:hint="eastAsia" w:ascii="宋体" w:hAnsi="宋体" w:cs="宋体"/>
          <w:color w:val="000000"/>
          <w:szCs w:val="21"/>
        </w:rPr>
        <w:t>数字证书，申领流程请自行前往“浙江政府采购网</w:t>
      </w:r>
      <w:r>
        <w:rPr>
          <w:rFonts w:ascii="宋体" w:hAnsi="宋体" w:cs="宋体"/>
          <w:color w:val="000000"/>
          <w:szCs w:val="21"/>
        </w:rPr>
        <w:t>-</w:t>
      </w:r>
      <w:r>
        <w:rPr>
          <w:rFonts w:hint="eastAsia" w:ascii="宋体" w:hAnsi="宋体" w:cs="宋体"/>
          <w:color w:val="000000"/>
          <w:szCs w:val="21"/>
        </w:rPr>
        <w:t>下载专区</w:t>
      </w:r>
      <w:r>
        <w:rPr>
          <w:rFonts w:ascii="宋体" w:hAnsi="宋体" w:cs="宋体"/>
          <w:color w:val="000000"/>
          <w:szCs w:val="21"/>
        </w:rPr>
        <w:t>-</w:t>
      </w:r>
      <w:r>
        <w:rPr>
          <w:rFonts w:hint="eastAsia" w:ascii="宋体" w:hAnsi="宋体" w:cs="宋体"/>
          <w:color w:val="000000"/>
          <w:szCs w:val="21"/>
        </w:rPr>
        <w:t>电子交易客户端</w:t>
      </w:r>
      <w:r>
        <w:rPr>
          <w:rFonts w:ascii="宋体" w:hAnsi="宋体" w:cs="宋体"/>
          <w:color w:val="000000"/>
          <w:szCs w:val="21"/>
        </w:rPr>
        <w:t>-</w:t>
      </w:r>
      <w:r>
        <w:fldChar w:fldCharType="begin"/>
      </w:r>
      <w:r>
        <w:instrText xml:space="preserve"> HYPERLINK "http://www.zjzfcg.gov.cn/bidClientTemplate/2019-05-27/12945.html" \t "_blank" \o "CA驱动和申领流程" </w:instrText>
      </w:r>
      <w:r>
        <w:fldChar w:fldCharType="separate"/>
      </w:r>
      <w:r>
        <w:rPr>
          <w:rFonts w:ascii="宋体" w:hAnsi="宋体" w:cs="宋体"/>
          <w:color w:val="000000"/>
          <w:szCs w:val="21"/>
        </w:rPr>
        <w:t>CA</w:t>
      </w:r>
      <w:r>
        <w:rPr>
          <w:rFonts w:hint="eastAsia" w:ascii="宋体" w:hAnsi="宋体" w:cs="宋体"/>
          <w:color w:val="000000"/>
          <w:szCs w:val="21"/>
        </w:rPr>
        <w:t>驱动和申领流程</w:t>
      </w:r>
      <w:r>
        <w:rPr>
          <w:rFonts w:hint="eastAsia" w:ascii="宋体" w:hAnsi="宋体" w:cs="宋体"/>
          <w:color w:val="000000"/>
          <w:szCs w:val="21"/>
        </w:rPr>
        <w:fldChar w:fldCharType="end"/>
      </w:r>
      <w:r>
        <w:rPr>
          <w:rFonts w:hint="eastAsia" w:ascii="宋体" w:hAnsi="宋体" w:cs="宋体"/>
          <w:color w:val="000000"/>
          <w:szCs w:val="21"/>
        </w:rPr>
        <w:t>”进行查阅；</w:t>
      </w:r>
    </w:p>
    <w:p>
      <w:pPr>
        <w:spacing w:line="360" w:lineRule="auto"/>
        <w:ind w:firstLine="420" w:firstLineChars="200"/>
        <w:rPr>
          <w:rFonts w:ascii="宋体" w:cs="宋体"/>
          <w:color w:val="000000"/>
          <w:szCs w:val="21"/>
        </w:rPr>
      </w:pPr>
      <w:r>
        <w:rPr>
          <w:rFonts w:ascii="宋体" w:hAnsi="宋体" w:cs="宋体"/>
          <w:color w:val="000000"/>
          <w:szCs w:val="21"/>
        </w:rPr>
        <w:t>2.3</w:t>
      </w:r>
      <w:r>
        <w:rPr>
          <w:rFonts w:hint="eastAsia" w:ascii="宋体" w:hAnsi="宋体" w:cs="宋体"/>
          <w:color w:val="000000"/>
          <w:szCs w:val="21"/>
        </w:rPr>
        <w:t>投标供应商应当在投标文件递交截止时间前，将系统上生成的“电子加密投标文件（即后缀格式为</w:t>
      </w:r>
      <w:r>
        <w:rPr>
          <w:rFonts w:ascii="宋体" w:hAnsi="宋体" w:cs="宋体"/>
          <w:color w:val="000000"/>
          <w:szCs w:val="21"/>
        </w:rPr>
        <w:t>.jmbs</w:t>
      </w:r>
      <w:r>
        <w:rPr>
          <w:rFonts w:hint="eastAsia" w:ascii="宋体" w:hAnsi="宋体" w:cs="宋体"/>
          <w:color w:val="000000"/>
          <w:szCs w:val="21"/>
        </w:rPr>
        <w:t>的加密标书，下同）”上传递交至“政府采购云平台”。投标文件递交截止时间以后上传递交的电子加密投标文件将被“政府采购云平台”拒收，投标文件递交截止时间前可以补充、修改或者撤回。补充或者修改电子加密投标文件的，应当先行撤回原文件，补充、修改后重新传输提交。投标文件递交截止时间前未完成传输的，视为撤回投标文件。</w:t>
      </w:r>
    </w:p>
    <w:p>
      <w:pPr>
        <w:pStyle w:val="236"/>
        <w:spacing w:line="360" w:lineRule="auto"/>
        <w:rPr>
          <w:rFonts w:ascii="宋体" w:hAnsi="宋体" w:eastAsia="宋体" w:cs="宋体"/>
          <w:sz w:val="21"/>
          <w:szCs w:val="21"/>
        </w:rPr>
      </w:pPr>
      <w:r>
        <w:rPr>
          <w:rFonts w:ascii="宋体" w:hAnsi="宋体" w:eastAsia="宋体" w:cs="宋体"/>
          <w:color w:val="000000"/>
          <w:sz w:val="21"/>
          <w:szCs w:val="21"/>
        </w:rPr>
        <w:t>2.4</w:t>
      </w:r>
      <w:r>
        <w:rPr>
          <w:rFonts w:hint="eastAsia" w:ascii="宋体" w:hAnsi="宋体" w:eastAsia="宋体" w:cs="宋体"/>
          <w:color w:val="000000"/>
          <w:sz w:val="21"/>
          <w:szCs w:val="21"/>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4"/>
        <w:spacing w:before="0" w:after="0" w:line="360" w:lineRule="auto"/>
        <w:ind w:firstLine="422" w:firstLineChars="200"/>
        <w:rPr>
          <w:rFonts w:ascii="宋体" w:hAnsi="宋体" w:eastAsia="宋体" w:cs="宋体"/>
          <w:bCs w:val="0"/>
          <w:sz w:val="21"/>
          <w:szCs w:val="21"/>
        </w:rPr>
      </w:pPr>
      <w:bookmarkStart w:id="33" w:name="_Toc28359085"/>
      <w:bookmarkStart w:id="34" w:name="_Toc35393627"/>
      <w:bookmarkStart w:id="35" w:name="_Toc35393796"/>
      <w:bookmarkStart w:id="36" w:name="_Toc28359008"/>
      <w:r>
        <w:rPr>
          <w:rFonts w:hint="eastAsia" w:ascii="宋体" w:hAnsi="宋体" w:eastAsia="宋体" w:cs="宋体"/>
          <w:bCs w:val="0"/>
          <w:sz w:val="21"/>
          <w:szCs w:val="21"/>
        </w:rPr>
        <w:t>七、对本次招标提出询问，请按以下方式联系。</w:t>
      </w:r>
      <w:bookmarkEnd w:id="33"/>
      <w:bookmarkEnd w:id="34"/>
      <w:bookmarkEnd w:id="35"/>
      <w:bookmarkEnd w:id="36"/>
    </w:p>
    <w:p>
      <w:pPr>
        <w:snapToGrid w:val="0"/>
        <w:spacing w:line="360" w:lineRule="auto"/>
        <w:ind w:firstLine="420" w:firstLineChars="200"/>
        <w:rPr>
          <w:rFonts w:hint="eastAsia" w:ascii="宋体" w:eastAsia="宋体" w:cs="宋体"/>
          <w:szCs w:val="21"/>
          <w:lang w:eastAsia="zh-CN"/>
        </w:rPr>
      </w:pPr>
      <w:r>
        <w:rPr>
          <w:rFonts w:hint="eastAsia" w:ascii="宋体" w:hAnsi="宋体" w:cs="宋体"/>
          <w:szCs w:val="21"/>
        </w:rPr>
        <w:t>采购人：</w:t>
      </w:r>
      <w:r>
        <w:rPr>
          <w:rFonts w:hint="eastAsia" w:ascii="宋体" w:hAnsi="宋体" w:cs="宋体"/>
          <w:szCs w:val="21"/>
          <w:lang w:eastAsia="zh-CN"/>
        </w:rPr>
        <w:t>龙游县残疾人联合会</w:t>
      </w:r>
    </w:p>
    <w:p>
      <w:pPr>
        <w:snapToGrid w:val="0"/>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饶</w:t>
      </w:r>
      <w:r>
        <w:rPr>
          <w:rFonts w:hint="eastAsia" w:ascii="宋体" w:hAnsi="宋体" w:cs="宋体"/>
          <w:szCs w:val="21"/>
          <w:highlight w:val="none"/>
        </w:rPr>
        <w:t>先生</w:t>
      </w:r>
      <w:r>
        <w:rPr>
          <w:rFonts w:hint="eastAsia" w:ascii="宋体" w:hAnsi="宋体" w:cs="宋体"/>
          <w:szCs w:val="21"/>
          <w:highlight w:val="none"/>
          <w:lang w:eastAsia="zh-CN"/>
        </w:rPr>
        <w:t>，</w:t>
      </w:r>
      <w:r>
        <w:rPr>
          <w:rFonts w:hint="eastAsia" w:ascii="宋体" w:hAnsi="宋体" w:cs="宋体"/>
          <w:szCs w:val="21"/>
          <w:highlight w:val="none"/>
        </w:rPr>
        <w:t>联系电话：0570-</w:t>
      </w:r>
      <w:r>
        <w:rPr>
          <w:rFonts w:hint="eastAsia" w:ascii="宋体" w:hAnsi="宋体" w:cs="宋体"/>
          <w:szCs w:val="21"/>
          <w:highlight w:val="none"/>
          <w:lang w:val="en-US" w:eastAsia="zh-CN"/>
        </w:rPr>
        <w:t>7020758</w:t>
      </w:r>
    </w:p>
    <w:p>
      <w:pPr>
        <w:snapToGrid w:val="0"/>
        <w:spacing w:line="360" w:lineRule="auto"/>
        <w:ind w:firstLine="420" w:firstLineChars="200"/>
        <w:rPr>
          <w:rFonts w:ascii="宋体" w:cs="宋体"/>
          <w:szCs w:val="21"/>
        </w:rPr>
      </w:pPr>
      <w:r>
        <w:rPr>
          <w:rFonts w:hint="eastAsia" w:ascii="宋体" w:hAnsi="宋体" w:cs="宋体"/>
          <w:szCs w:val="21"/>
        </w:rPr>
        <w:t>采购代理机构名称：浙江省成套工程有限公司</w:t>
      </w:r>
    </w:p>
    <w:p>
      <w:pPr>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项目联系人：吴先生</w:t>
      </w:r>
      <w:r>
        <w:rPr>
          <w:rFonts w:hint="eastAsia" w:ascii="宋体" w:hAnsi="宋体" w:cs="宋体"/>
          <w:szCs w:val="21"/>
          <w:lang w:eastAsia="zh-CN"/>
        </w:rPr>
        <w:t>、张先生</w:t>
      </w:r>
      <w:r>
        <w:rPr>
          <w:rFonts w:hint="eastAsia" w:ascii="宋体" w:hAnsi="宋体" w:cs="宋体"/>
          <w:szCs w:val="21"/>
        </w:rPr>
        <w:t>，联系电话：</w:t>
      </w:r>
      <w:r>
        <w:rPr>
          <w:rFonts w:hint="eastAsia" w:ascii="宋体" w:hAnsi="宋体" w:cs="宋体"/>
          <w:szCs w:val="21"/>
          <w:lang w:eastAsia="zh-CN"/>
        </w:rPr>
        <w:t>0570-8757589</w:t>
      </w:r>
      <w:r>
        <w:rPr>
          <w:rFonts w:hint="eastAsia" w:ascii="宋体" w:hAnsi="宋体" w:cs="宋体"/>
          <w:szCs w:val="21"/>
          <w:lang w:val="en-US" w:eastAsia="zh-CN"/>
        </w:rPr>
        <w:t>/18367054001、18857049901</w:t>
      </w:r>
    </w:p>
    <w:p>
      <w:pPr>
        <w:snapToGrid w:val="0"/>
        <w:spacing w:line="360" w:lineRule="auto"/>
        <w:ind w:firstLine="420" w:firstLineChars="200"/>
        <w:rPr>
          <w:rFonts w:ascii="宋体" w:hAnsi="宋体" w:cs="宋体"/>
          <w:szCs w:val="21"/>
        </w:rPr>
      </w:pPr>
      <w:r>
        <w:rPr>
          <w:rFonts w:hint="eastAsia" w:ascii="宋体" w:hAnsi="宋体" w:cs="宋体"/>
          <w:szCs w:val="21"/>
        </w:rPr>
        <w:t>质疑受理人：毛女士</w:t>
      </w:r>
      <w:r>
        <w:rPr>
          <w:rFonts w:hint="eastAsia" w:ascii="宋体" w:hAnsi="宋体" w:cs="宋体"/>
          <w:szCs w:val="21"/>
          <w:lang w:eastAsia="zh-CN"/>
        </w:rPr>
        <w:t>，</w:t>
      </w:r>
      <w:r>
        <w:rPr>
          <w:rFonts w:hint="eastAsia" w:ascii="宋体" w:hAnsi="宋体" w:cs="宋体"/>
          <w:szCs w:val="21"/>
        </w:rPr>
        <w:t>联系电话：</w:t>
      </w:r>
      <w:r>
        <w:rPr>
          <w:rFonts w:ascii="宋体" w:hAnsi="宋体" w:cs="宋体"/>
          <w:szCs w:val="21"/>
        </w:rPr>
        <w:t>0570-8757587</w:t>
      </w:r>
    </w:p>
    <w:p>
      <w:pPr>
        <w:snapToGrid w:val="0"/>
        <w:spacing w:line="360" w:lineRule="auto"/>
        <w:ind w:firstLine="420" w:firstLineChars="200"/>
        <w:rPr>
          <w:rFonts w:ascii="宋体" w:hAnsi="宋体" w:cs="宋体"/>
          <w:szCs w:val="21"/>
        </w:rPr>
      </w:pPr>
      <w:r>
        <w:rPr>
          <w:rFonts w:hint="eastAsia" w:ascii="宋体" w:hAnsi="宋体" w:cs="宋体"/>
          <w:szCs w:val="21"/>
        </w:rPr>
        <w:t>传真：</w:t>
      </w:r>
      <w:r>
        <w:rPr>
          <w:rFonts w:ascii="宋体" w:hAnsi="宋体" w:cs="宋体"/>
          <w:szCs w:val="21"/>
        </w:rPr>
        <w:t>0570-8757585</w:t>
      </w:r>
    </w:p>
    <w:p>
      <w:pPr>
        <w:snapToGrid w:val="0"/>
        <w:spacing w:line="360" w:lineRule="auto"/>
        <w:ind w:firstLine="420" w:firstLineChars="200"/>
        <w:rPr>
          <w:rFonts w:hint="eastAsia" w:ascii="宋体" w:eastAsia="宋体" w:cs="宋体"/>
          <w:szCs w:val="21"/>
          <w:lang w:eastAsia="zh-CN"/>
        </w:rPr>
      </w:pPr>
      <w:r>
        <w:rPr>
          <w:rFonts w:hint="eastAsia" w:ascii="宋体" w:hAnsi="宋体" w:cs="宋体"/>
          <w:szCs w:val="21"/>
        </w:rPr>
        <w:t>同级政府采购监督管理部门名称：</w:t>
      </w:r>
      <w:r>
        <w:rPr>
          <w:rFonts w:hint="eastAsia" w:asciiTheme="minorEastAsia" w:hAnsiTheme="minorEastAsia" w:eastAsiaTheme="minorEastAsia" w:cstheme="minorEastAsia"/>
          <w:szCs w:val="21"/>
          <w:lang w:eastAsia="zh-CN"/>
        </w:rPr>
        <w:t>龙游县财政局政府采购监管科</w:t>
      </w:r>
    </w:p>
    <w:p>
      <w:pPr>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Cs w:val="21"/>
        </w:rPr>
        <w:t>联系人：</w:t>
      </w:r>
      <w:r>
        <w:rPr>
          <w:rFonts w:hint="eastAsia" w:ascii="宋体" w:hAnsi="宋体" w:cs="宋体"/>
          <w:sz w:val="21"/>
          <w:szCs w:val="21"/>
          <w:highlight w:val="none"/>
          <w:lang w:eastAsia="zh-CN"/>
        </w:rPr>
        <w:t>严先生</w:t>
      </w:r>
    </w:p>
    <w:p>
      <w:pPr>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监督投诉电话：0570-7011687</w:t>
      </w:r>
      <w:bookmarkStart w:id="165" w:name="_GoBack"/>
      <w:bookmarkEnd w:id="165"/>
    </w:p>
    <w:p>
      <w:pPr>
        <w:snapToGrid w:val="0"/>
        <w:spacing w:line="360" w:lineRule="auto"/>
        <w:ind w:firstLine="420" w:firstLineChars="200"/>
        <w:rPr>
          <w:rFonts w:hint="eastAsia" w:ascii="宋体" w:hAnsi="宋体" w:eastAsia="宋体" w:cs="宋体"/>
          <w:sz w:val="21"/>
          <w:szCs w:val="21"/>
          <w:highlight w:val="none"/>
          <w:lang w:eastAsia="zh-CN"/>
        </w:rPr>
      </w:pPr>
      <w:bookmarkStart w:id="37" w:name="_Toc19792"/>
      <w:r>
        <w:rPr>
          <w:rFonts w:hint="eastAsia" w:ascii="宋体" w:hAnsi="宋体" w:eastAsia="宋体" w:cs="宋体"/>
          <w:sz w:val="21"/>
          <w:szCs w:val="21"/>
          <w:highlight w:val="none"/>
          <w:lang w:eastAsia="zh-CN"/>
        </w:rPr>
        <w:t>地址：龙游县莲湖路69号</w:t>
      </w:r>
      <w:bookmarkEnd w:id="37"/>
    </w:p>
    <w:p>
      <w:pPr>
        <w:snapToGrid w:val="0"/>
        <w:spacing w:line="360" w:lineRule="auto"/>
        <w:ind w:firstLine="6300" w:firstLineChars="3000"/>
        <w:rPr>
          <w:rFonts w:ascii="宋体" w:cs="宋体"/>
          <w:szCs w:val="21"/>
        </w:rPr>
      </w:pPr>
      <w:r>
        <w:rPr>
          <w:rFonts w:hint="eastAsia" w:ascii="宋体" w:hAnsi="宋体" w:cs="宋体"/>
          <w:szCs w:val="21"/>
        </w:rPr>
        <w:t>时间：</w:t>
      </w:r>
      <w:r>
        <w:rPr>
          <w:rFonts w:hint="eastAsia" w:ascii="宋体" w:hAnsi="宋体" w:cs="宋体"/>
          <w:szCs w:val="21"/>
          <w:lang w:eastAsia="zh-CN"/>
        </w:rPr>
        <w:t>2021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p>
    <w:p>
      <w:pPr>
        <w:snapToGrid w:val="0"/>
        <w:spacing w:before="120" w:beforeLines="50" w:after="120" w:afterLines="50" w:line="312" w:lineRule="auto"/>
        <w:jc w:val="center"/>
        <w:outlineLvl w:val="0"/>
        <w:rPr>
          <w:rFonts w:ascii="宋体" w:cs="宋体"/>
          <w:b/>
          <w:szCs w:val="21"/>
        </w:rPr>
      </w:pPr>
      <w:r>
        <w:rPr>
          <w:rFonts w:ascii="宋体" w:cs="宋体"/>
          <w:b/>
          <w:szCs w:val="21"/>
        </w:rPr>
        <w:br w:type="page"/>
      </w:r>
      <w:bookmarkStart w:id="38" w:name="_Toc30819"/>
      <w:bookmarkStart w:id="39" w:name="_Toc31264"/>
      <w:r>
        <w:rPr>
          <w:rFonts w:hint="eastAsia" w:ascii="宋体" w:hAnsi="宋体" w:cs="宋体"/>
          <w:b/>
          <w:szCs w:val="21"/>
        </w:rPr>
        <w:t>第二章投标</w:t>
      </w:r>
      <w:bookmarkEnd w:id="7"/>
      <w:bookmarkEnd w:id="8"/>
      <w:r>
        <w:rPr>
          <w:rFonts w:hint="eastAsia" w:ascii="宋体" w:hAnsi="宋体" w:cs="宋体"/>
          <w:b/>
          <w:szCs w:val="21"/>
        </w:rPr>
        <w:t>须知前附表及投标须知</w:t>
      </w:r>
      <w:bookmarkEnd w:id="9"/>
      <w:bookmarkEnd w:id="38"/>
      <w:bookmarkEnd w:id="39"/>
    </w:p>
    <w:p>
      <w:pPr>
        <w:numPr>
          <w:ilvl w:val="0"/>
          <w:numId w:val="1"/>
        </w:numPr>
        <w:snapToGrid w:val="0"/>
        <w:spacing w:before="120" w:beforeLines="50" w:after="120" w:afterLines="50" w:line="312" w:lineRule="auto"/>
        <w:outlineLvl w:val="1"/>
        <w:rPr>
          <w:rFonts w:ascii="宋体" w:cs="宋体"/>
          <w:b/>
          <w:szCs w:val="21"/>
        </w:rPr>
      </w:pPr>
      <w:bookmarkStart w:id="40" w:name="_Toc356371431"/>
      <w:bookmarkStart w:id="41" w:name="_Toc13717"/>
      <w:bookmarkStart w:id="42" w:name="_Toc6759"/>
      <w:r>
        <w:rPr>
          <w:rFonts w:hint="eastAsia" w:ascii="宋体" w:hAnsi="宋体" w:cs="宋体"/>
          <w:b/>
          <w:szCs w:val="21"/>
        </w:rPr>
        <w:t>投标须知前附表</w:t>
      </w:r>
      <w:bookmarkEnd w:id="40"/>
      <w:bookmarkEnd w:id="41"/>
      <w:bookmarkEnd w:id="42"/>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int="eastAsia" w:hAnsi="宋体" w:cs="宋体"/>
                <w:szCs w:val="21"/>
              </w:rPr>
              <w:t>序号</w:t>
            </w:r>
          </w:p>
        </w:tc>
        <w:tc>
          <w:tcPr>
            <w:tcW w:w="2629" w:type="dxa"/>
            <w:vAlign w:val="center"/>
          </w:tcPr>
          <w:p>
            <w:pPr>
              <w:pStyle w:val="32"/>
              <w:snapToGrid w:val="0"/>
              <w:spacing w:line="312" w:lineRule="auto"/>
              <w:jc w:val="center"/>
              <w:rPr>
                <w:rFonts w:hAnsi="宋体" w:cs="宋体"/>
                <w:szCs w:val="21"/>
              </w:rPr>
            </w:pPr>
            <w:r>
              <w:rPr>
                <w:rFonts w:hint="eastAsia" w:hAnsi="宋体" w:cs="宋体"/>
                <w:szCs w:val="21"/>
              </w:rPr>
              <w:t>内容</w:t>
            </w:r>
          </w:p>
        </w:tc>
        <w:tc>
          <w:tcPr>
            <w:tcW w:w="6227" w:type="dxa"/>
            <w:vAlign w:val="center"/>
          </w:tcPr>
          <w:p>
            <w:pPr>
              <w:pStyle w:val="32"/>
              <w:snapToGrid w:val="0"/>
              <w:spacing w:line="312" w:lineRule="auto"/>
              <w:jc w:val="center"/>
              <w:rPr>
                <w:rFonts w:hAnsi="宋体" w:cs="宋体"/>
                <w:szCs w:val="21"/>
              </w:rPr>
            </w:pPr>
            <w:r>
              <w:rPr>
                <w:rFonts w:hint="eastAsia" w:hAnsi="宋体" w:cs="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w:t>
            </w:r>
          </w:p>
        </w:tc>
        <w:tc>
          <w:tcPr>
            <w:tcW w:w="2629" w:type="dxa"/>
            <w:vAlign w:val="center"/>
          </w:tcPr>
          <w:p>
            <w:pPr>
              <w:pStyle w:val="32"/>
              <w:snapToGrid w:val="0"/>
              <w:spacing w:line="312" w:lineRule="auto"/>
              <w:rPr>
                <w:rFonts w:hAnsi="宋体" w:cs="宋体"/>
                <w:szCs w:val="21"/>
              </w:rPr>
            </w:pPr>
            <w:r>
              <w:rPr>
                <w:rFonts w:hint="eastAsia" w:hAnsi="宋体" w:cs="宋体"/>
                <w:szCs w:val="21"/>
              </w:rPr>
              <w:t>采购人</w:t>
            </w:r>
          </w:p>
        </w:tc>
        <w:tc>
          <w:tcPr>
            <w:tcW w:w="6227" w:type="dxa"/>
            <w:vAlign w:val="center"/>
          </w:tcPr>
          <w:p>
            <w:pPr>
              <w:pStyle w:val="32"/>
              <w:snapToGrid w:val="0"/>
              <w:spacing w:line="312" w:lineRule="auto"/>
              <w:rPr>
                <w:rFonts w:hint="eastAsia" w:hAnsi="宋体" w:eastAsia="宋体" w:cs="宋体"/>
                <w:szCs w:val="21"/>
                <w:lang w:eastAsia="zh-CN"/>
              </w:rPr>
            </w:pPr>
            <w:r>
              <w:rPr>
                <w:rFonts w:hint="eastAsia" w:hAnsi="宋体" w:cs="宋体"/>
                <w:szCs w:val="21"/>
                <w:lang w:eastAsia="zh-CN"/>
              </w:rPr>
              <w:t>龙游县残疾人联合会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2</w:t>
            </w:r>
          </w:p>
        </w:tc>
        <w:tc>
          <w:tcPr>
            <w:tcW w:w="2629" w:type="dxa"/>
            <w:vAlign w:val="center"/>
          </w:tcPr>
          <w:p>
            <w:pPr>
              <w:pStyle w:val="32"/>
              <w:snapToGrid w:val="0"/>
              <w:spacing w:line="312" w:lineRule="auto"/>
              <w:rPr>
                <w:rFonts w:hAnsi="宋体" w:cs="宋体"/>
                <w:szCs w:val="21"/>
              </w:rPr>
            </w:pPr>
            <w:r>
              <w:rPr>
                <w:rFonts w:hint="eastAsia" w:hAnsi="宋体" w:cs="宋体"/>
                <w:szCs w:val="21"/>
              </w:rPr>
              <w:t>项目名称</w:t>
            </w:r>
          </w:p>
        </w:tc>
        <w:tc>
          <w:tcPr>
            <w:tcW w:w="6227" w:type="dxa"/>
            <w:vAlign w:val="center"/>
          </w:tcPr>
          <w:p>
            <w:pPr>
              <w:snapToGrid w:val="0"/>
              <w:spacing w:line="312" w:lineRule="auto"/>
              <w:rPr>
                <w:rFonts w:hint="eastAsia" w:ascii="宋体" w:eastAsia="宋体" w:cs="宋体"/>
                <w:szCs w:val="21"/>
                <w:lang w:eastAsia="zh-CN"/>
              </w:rPr>
            </w:pPr>
            <w:r>
              <w:rPr>
                <w:rFonts w:hint="eastAsia" w:ascii="宋体" w:hAnsi="宋体" w:cs="宋体"/>
                <w:bCs/>
                <w:szCs w:val="21"/>
                <w:lang w:eastAsia="zh-CN"/>
              </w:rPr>
              <w:t>龙游县残疾儿童康复中心设备采购项目（标段四）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3</w:t>
            </w:r>
          </w:p>
        </w:tc>
        <w:tc>
          <w:tcPr>
            <w:tcW w:w="2629" w:type="dxa"/>
            <w:vAlign w:val="center"/>
          </w:tcPr>
          <w:p>
            <w:pPr>
              <w:pStyle w:val="32"/>
              <w:snapToGrid w:val="0"/>
              <w:spacing w:line="312" w:lineRule="auto"/>
              <w:rPr>
                <w:rFonts w:hAnsi="宋体" w:cs="宋体"/>
                <w:szCs w:val="21"/>
              </w:rPr>
            </w:pPr>
            <w:r>
              <w:rPr>
                <w:rFonts w:hint="eastAsia" w:hAnsi="宋体" w:cs="宋体"/>
                <w:szCs w:val="21"/>
              </w:rPr>
              <w:t>预算价</w:t>
            </w:r>
          </w:p>
        </w:tc>
        <w:tc>
          <w:tcPr>
            <w:tcW w:w="6227" w:type="dxa"/>
            <w:vAlign w:val="center"/>
          </w:tcPr>
          <w:p>
            <w:pPr>
              <w:spacing w:line="312" w:lineRule="auto"/>
              <w:rPr>
                <w:rFonts w:ascii="宋体" w:cs="宋体"/>
                <w:szCs w:val="21"/>
              </w:rPr>
            </w:pPr>
            <w:r>
              <w:rPr>
                <w:rFonts w:hint="eastAsia" w:ascii="宋体" w:hAnsi="宋体" w:cs="宋体"/>
                <w:kern w:val="0"/>
                <w:szCs w:val="21"/>
                <w:lang w:val="en-US" w:eastAsia="zh-CN"/>
              </w:rPr>
              <w:t>1822942.00</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4</w:t>
            </w:r>
          </w:p>
        </w:tc>
        <w:tc>
          <w:tcPr>
            <w:tcW w:w="2629" w:type="dxa"/>
            <w:vAlign w:val="center"/>
          </w:tcPr>
          <w:p>
            <w:pPr>
              <w:pStyle w:val="32"/>
              <w:snapToGrid w:val="0"/>
              <w:spacing w:line="380" w:lineRule="exact"/>
              <w:rPr>
                <w:rFonts w:ascii="宋体" w:cs="宋体"/>
                <w:kern w:val="0"/>
                <w:szCs w:val="21"/>
                <w:highlight w:val="none"/>
              </w:rPr>
            </w:pPr>
            <w:r>
              <w:rPr>
                <w:rFonts w:hint="eastAsia" w:hAnsi="宋体" w:cs="宋体"/>
                <w:szCs w:val="21"/>
                <w:highlight w:val="none"/>
              </w:rPr>
              <w:t>供货周期要求</w:t>
            </w:r>
          </w:p>
        </w:tc>
        <w:tc>
          <w:tcPr>
            <w:tcW w:w="6227" w:type="dxa"/>
            <w:vAlign w:val="center"/>
          </w:tcPr>
          <w:p>
            <w:pPr>
              <w:pStyle w:val="32"/>
              <w:snapToGrid w:val="0"/>
              <w:spacing w:line="380" w:lineRule="exact"/>
              <w:rPr>
                <w:rFonts w:ascii="宋体" w:cs="宋体"/>
                <w:kern w:val="0"/>
                <w:szCs w:val="21"/>
                <w:highlight w:val="none"/>
              </w:rPr>
            </w:pPr>
            <w:r>
              <w:rPr>
                <w:rFonts w:hint="eastAsia" w:hAnsi="宋体" w:cs="宋体"/>
                <w:highlight w:val="none"/>
                <w:lang w:eastAsia="zh-CN"/>
              </w:rPr>
              <w:t>接到采购人供货通知后</w:t>
            </w:r>
            <w:r>
              <w:rPr>
                <w:rFonts w:hint="eastAsia" w:hAnsi="宋体" w:cs="宋体"/>
                <w:highlight w:val="none"/>
                <w:lang w:val="en-US" w:eastAsia="zh-CN"/>
              </w:rPr>
              <w:t>30</w:t>
            </w:r>
            <w:r>
              <w:rPr>
                <w:rFonts w:hint="eastAsia" w:hAnsi="宋体" w:cs="宋体"/>
                <w:highlight w:val="none"/>
                <w:lang w:eastAsia="zh-CN"/>
              </w:rPr>
              <w:t>日历天内完成供货及安装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5</w:t>
            </w:r>
          </w:p>
        </w:tc>
        <w:tc>
          <w:tcPr>
            <w:tcW w:w="2629" w:type="dxa"/>
            <w:vAlign w:val="center"/>
          </w:tcPr>
          <w:p>
            <w:pPr>
              <w:pStyle w:val="32"/>
              <w:snapToGrid w:val="0"/>
              <w:spacing w:line="312" w:lineRule="auto"/>
              <w:rPr>
                <w:rFonts w:hAnsi="宋体" w:cs="宋体"/>
                <w:szCs w:val="21"/>
              </w:rPr>
            </w:pPr>
            <w:r>
              <w:rPr>
                <w:rFonts w:hint="eastAsia" w:hAnsi="宋体" w:cs="宋体"/>
                <w:szCs w:val="21"/>
              </w:rPr>
              <w:t>现场踏勘（如有）</w:t>
            </w:r>
          </w:p>
        </w:tc>
        <w:tc>
          <w:tcPr>
            <w:tcW w:w="6227" w:type="dxa"/>
            <w:vAlign w:val="center"/>
          </w:tcPr>
          <w:p>
            <w:pPr>
              <w:pStyle w:val="32"/>
              <w:snapToGrid w:val="0"/>
              <w:spacing w:line="312" w:lineRule="auto"/>
              <w:rPr>
                <w:rFonts w:hAnsi="宋体" w:cs="宋体"/>
                <w:szCs w:val="21"/>
              </w:rPr>
            </w:pPr>
            <w:r>
              <w:rPr>
                <w:rFonts w:hint="eastAsia" w:hAnsi="宋体" w:cs="宋体"/>
                <w:szCs w:val="21"/>
              </w:rPr>
              <w:t>采购人不组织踏勘现场，但投标人须自行安排踏勘现场情况和周边的情况，掌握和分析与投标和报价相关的一切信息，并自行承担踏勘现场的一切费用和风险。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6</w:t>
            </w:r>
          </w:p>
        </w:tc>
        <w:tc>
          <w:tcPr>
            <w:tcW w:w="2629" w:type="dxa"/>
            <w:vAlign w:val="center"/>
          </w:tcPr>
          <w:p>
            <w:pPr>
              <w:pStyle w:val="32"/>
              <w:snapToGrid w:val="0"/>
              <w:spacing w:line="312" w:lineRule="auto"/>
              <w:rPr>
                <w:rFonts w:hAnsi="宋体" w:cs="宋体"/>
                <w:szCs w:val="21"/>
              </w:rPr>
            </w:pPr>
            <w:r>
              <w:rPr>
                <w:rFonts w:hint="eastAsia" w:hAnsi="宋体" w:cs="宋体"/>
                <w:szCs w:val="21"/>
              </w:rPr>
              <w:t>投标有效期</w:t>
            </w:r>
          </w:p>
        </w:tc>
        <w:tc>
          <w:tcPr>
            <w:tcW w:w="6227" w:type="dxa"/>
            <w:vAlign w:val="center"/>
          </w:tcPr>
          <w:p>
            <w:pPr>
              <w:pStyle w:val="32"/>
              <w:snapToGrid w:val="0"/>
              <w:spacing w:line="312" w:lineRule="auto"/>
              <w:rPr>
                <w:rFonts w:hAnsi="宋体" w:cs="宋体"/>
                <w:szCs w:val="21"/>
              </w:rPr>
            </w:pPr>
            <w:r>
              <w:rPr>
                <w:rFonts w:hint="eastAsia" w:hAnsi="宋体" w:cs="宋体"/>
                <w:szCs w:val="21"/>
              </w:rPr>
              <w:t>投标文件递交截止之日起</w:t>
            </w:r>
            <w:r>
              <w:rPr>
                <w:rFonts w:hAnsi="宋体" w:cs="宋体"/>
                <w:szCs w:val="21"/>
              </w:rPr>
              <w:t>90</w:t>
            </w:r>
            <w:r>
              <w:rPr>
                <w:rFonts w:hint="eastAsia"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7</w:t>
            </w:r>
          </w:p>
        </w:tc>
        <w:tc>
          <w:tcPr>
            <w:tcW w:w="2629" w:type="dxa"/>
            <w:vAlign w:val="center"/>
          </w:tcPr>
          <w:p>
            <w:pPr>
              <w:pStyle w:val="32"/>
              <w:snapToGrid w:val="0"/>
              <w:spacing w:line="312" w:lineRule="auto"/>
              <w:rPr>
                <w:rFonts w:hAnsi="宋体" w:cs="宋体"/>
                <w:spacing w:val="-20"/>
                <w:szCs w:val="21"/>
              </w:rPr>
            </w:pPr>
            <w:r>
              <w:rPr>
                <w:rFonts w:hint="eastAsia" w:hAnsi="宋体" w:cs="宋体"/>
                <w:szCs w:val="21"/>
              </w:rPr>
              <w:t>投标文件的签章</w:t>
            </w:r>
          </w:p>
        </w:tc>
        <w:tc>
          <w:tcPr>
            <w:tcW w:w="6227" w:type="dxa"/>
            <w:vAlign w:val="center"/>
          </w:tcPr>
          <w:p>
            <w:pPr>
              <w:pStyle w:val="32"/>
              <w:snapToGrid w:val="0"/>
              <w:spacing w:line="312" w:lineRule="auto"/>
              <w:rPr>
                <w:rFonts w:hAnsi="宋体" w:cs="宋体"/>
                <w:szCs w:val="21"/>
              </w:rPr>
            </w:pPr>
            <w:r>
              <w:rPr>
                <w:rFonts w:hint="eastAsia" w:hAnsi="宋体" w:cs="宋体"/>
                <w:szCs w:val="21"/>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8</w:t>
            </w:r>
          </w:p>
        </w:tc>
        <w:tc>
          <w:tcPr>
            <w:tcW w:w="2629" w:type="dxa"/>
            <w:vAlign w:val="center"/>
          </w:tcPr>
          <w:p>
            <w:pPr>
              <w:pStyle w:val="32"/>
              <w:snapToGrid w:val="0"/>
              <w:spacing w:line="312" w:lineRule="auto"/>
              <w:rPr>
                <w:rFonts w:hAnsi="宋体" w:cs="宋体"/>
                <w:spacing w:val="-20"/>
                <w:szCs w:val="21"/>
              </w:rPr>
            </w:pPr>
            <w:r>
              <w:rPr>
                <w:rFonts w:hint="eastAsia" w:hAnsi="宋体" w:cs="宋体"/>
                <w:spacing w:val="-20"/>
                <w:szCs w:val="21"/>
              </w:rPr>
              <w:t>投标文件的编制及形式</w:t>
            </w:r>
          </w:p>
        </w:tc>
        <w:tc>
          <w:tcPr>
            <w:tcW w:w="6227" w:type="dxa"/>
            <w:vAlign w:val="center"/>
          </w:tcPr>
          <w:p>
            <w:pPr>
              <w:spacing w:line="360" w:lineRule="auto"/>
              <w:rPr>
                <w:rFonts w:hAnsi="宋体" w:cs="宋体"/>
                <w:szCs w:val="21"/>
              </w:rPr>
            </w:pPr>
            <w:r>
              <w:rPr>
                <w:rFonts w:hint="eastAsia" w:hAnsi="宋体" w:cs="宋体"/>
                <w:szCs w:val="21"/>
              </w:rPr>
              <w:t>供应商应先安装“政采云电子交易客户端”，并按照本招标文件和“政府采购云平台”的要求，通过“政采云电子交易客户端”编制并加密投标文件（包括“电子加密投标文件”和“备份投标文件”）</w:t>
            </w:r>
          </w:p>
          <w:p>
            <w:pPr>
              <w:pStyle w:val="32"/>
              <w:snapToGrid w:val="0"/>
              <w:spacing w:line="312" w:lineRule="auto"/>
              <w:rPr>
                <w:rFonts w:hAnsi="宋体" w:cs="宋体"/>
                <w:szCs w:val="21"/>
              </w:rPr>
            </w:pPr>
            <w:r>
              <w:rPr>
                <w:rFonts w:hint="eastAsia" w:ascii="Times New Roman" w:hAnsi="宋体" w:cs="宋体"/>
                <w:szCs w:val="21"/>
              </w:rPr>
              <w:t>（</w:t>
            </w:r>
            <w:r>
              <w:rPr>
                <w:rFonts w:ascii="Times New Roman" w:hAnsi="宋体" w:cs="宋体"/>
                <w:szCs w:val="21"/>
              </w:rPr>
              <w:t>1</w:t>
            </w:r>
            <w:r>
              <w:rPr>
                <w:rFonts w:hint="eastAsia" w:ascii="Times New Roman" w:hAnsi="宋体" w:cs="宋体"/>
                <w:szCs w:val="21"/>
              </w:rPr>
              <w:t>）</w:t>
            </w:r>
            <w:r>
              <w:rPr>
                <w:rFonts w:hint="eastAsia" w:hAnsi="宋体" w:cs="宋体"/>
                <w:szCs w:val="21"/>
              </w:rPr>
              <w:t>“电子加密投标文件”是指通过“政采云电子交易客户端”完成投标文件编制后生成并加密的数据电文形式的投标文件。</w:t>
            </w:r>
          </w:p>
          <w:p>
            <w:pPr>
              <w:pStyle w:val="32"/>
              <w:snapToGrid w:val="0"/>
              <w:spacing w:line="312" w:lineRule="auto"/>
              <w:rPr>
                <w:rFonts w:hAnsi="宋体" w:cs="宋体"/>
                <w:szCs w:val="21"/>
              </w:rPr>
            </w:pPr>
            <w:r>
              <w:rPr>
                <w:rFonts w:hint="eastAsia" w:hAnsi="宋体" w:cs="宋体"/>
                <w:szCs w:val="21"/>
              </w:rPr>
              <w:t>（</w:t>
            </w:r>
            <w:r>
              <w:rPr>
                <w:rFonts w:hAnsi="宋体" w:cs="宋体"/>
                <w:szCs w:val="21"/>
              </w:rPr>
              <w:t>2</w:t>
            </w:r>
            <w:r>
              <w:rPr>
                <w:rFonts w:hint="eastAsia" w:hAnsi="宋体" w:cs="宋体"/>
                <w:szCs w:val="21"/>
              </w:rPr>
              <w:t>）“备份投标文件”是指与“电子加密投标文件”同时生成的数据电文形式的电子文件（备份标书），其他方式编制的备份投标文件视为无效备份投标文件。</w:t>
            </w:r>
          </w:p>
          <w:p>
            <w:pPr>
              <w:pStyle w:val="32"/>
              <w:snapToGrid w:val="0"/>
              <w:spacing w:line="312" w:lineRule="auto"/>
              <w:jc w:val="left"/>
              <w:rPr>
                <w:rFonts w:hAnsi="宋体" w:cs="宋体"/>
                <w:szCs w:val="21"/>
              </w:rPr>
            </w:pPr>
            <w:r>
              <w:rPr>
                <w:rFonts w:hint="eastAsia" w:hAnsi="宋体" w:cs="宋体"/>
                <w:szCs w:val="21"/>
              </w:rPr>
              <w:t>（</w:t>
            </w:r>
            <w:r>
              <w:rPr>
                <w:rFonts w:hAnsi="宋体" w:cs="宋体"/>
                <w:szCs w:val="21"/>
              </w:rPr>
              <w:t>3</w:t>
            </w:r>
            <w:r>
              <w:rPr>
                <w:rFonts w:hint="eastAsia" w:hAnsi="宋体" w:cs="宋体"/>
                <w:szCs w:val="21"/>
              </w:rPr>
              <w:t>）投标文件编制参照政采云平台供应商项目采购</w:t>
            </w:r>
            <w:r>
              <w:rPr>
                <w:rFonts w:hAnsi="宋体" w:cs="宋体"/>
                <w:szCs w:val="21"/>
              </w:rPr>
              <w:t>-</w:t>
            </w:r>
            <w:r>
              <w:rPr>
                <w:rFonts w:hint="eastAsia" w:hAnsi="宋体" w:cs="宋体"/>
                <w:szCs w:val="21"/>
              </w:rPr>
              <w:t>电子招投标操作指南（网址：</w:t>
            </w:r>
            <w:r>
              <w:rPr>
                <w:rFonts w:hAnsi="宋体" w:cs="宋体"/>
                <w:szCs w:val="21"/>
              </w:rPr>
              <w:t>https://help.zcygov.cn/web/site_2/2018/12-28/2573.html</w:t>
            </w:r>
            <w:r>
              <w:rPr>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9</w:t>
            </w:r>
          </w:p>
        </w:tc>
        <w:tc>
          <w:tcPr>
            <w:tcW w:w="2629" w:type="dxa"/>
            <w:vAlign w:val="center"/>
          </w:tcPr>
          <w:p>
            <w:pPr>
              <w:pStyle w:val="32"/>
              <w:snapToGrid w:val="0"/>
              <w:spacing w:line="312" w:lineRule="auto"/>
              <w:rPr>
                <w:rFonts w:hAnsi="宋体" w:cs="宋体"/>
                <w:szCs w:val="21"/>
              </w:rPr>
            </w:pPr>
            <w:r>
              <w:rPr>
                <w:rFonts w:hint="eastAsia" w:hAnsi="宋体" w:cs="宋体"/>
                <w:szCs w:val="21"/>
              </w:rPr>
              <w:t>投标文件的上传和递交</w:t>
            </w:r>
          </w:p>
        </w:tc>
        <w:tc>
          <w:tcPr>
            <w:tcW w:w="6227" w:type="dxa"/>
            <w:vAlign w:val="center"/>
          </w:tcPr>
          <w:p>
            <w:pPr>
              <w:pStyle w:val="32"/>
              <w:snapToGrid w:val="0"/>
              <w:spacing w:line="312" w:lineRule="auto"/>
              <w:rPr>
                <w:rFonts w:hAnsi="宋体" w:cs="宋体"/>
                <w:szCs w:val="21"/>
              </w:rPr>
            </w:pPr>
            <w:r>
              <w:rPr>
                <w:rFonts w:hint="eastAsia" w:hAnsi="宋体" w:cs="宋体"/>
                <w:szCs w:val="21"/>
              </w:rPr>
              <w:t>（</w:t>
            </w:r>
            <w:r>
              <w:rPr>
                <w:rFonts w:hAnsi="宋体" w:cs="宋体"/>
                <w:szCs w:val="21"/>
              </w:rPr>
              <w:t>1</w:t>
            </w:r>
            <w:r>
              <w:rPr>
                <w:rFonts w:hint="eastAsia" w:hAnsi="宋体" w:cs="宋体"/>
                <w:szCs w:val="21"/>
              </w:rPr>
              <w:t>）“电子加密投标文件”的上传、递交：</w:t>
            </w:r>
          </w:p>
          <w:p>
            <w:pPr>
              <w:pStyle w:val="32"/>
              <w:snapToGrid w:val="0"/>
              <w:spacing w:line="312" w:lineRule="auto"/>
              <w:rPr>
                <w:rFonts w:hAnsi="宋体" w:cs="宋体"/>
                <w:szCs w:val="21"/>
              </w:rPr>
            </w:pPr>
            <w:r>
              <w:rPr>
                <w:rFonts w:hAnsi="宋体" w:cs="宋体"/>
                <w:szCs w:val="21"/>
              </w:rPr>
              <w:t>a.</w:t>
            </w:r>
            <w:r>
              <w:rPr>
                <w:rFonts w:hint="eastAsia" w:hAnsi="宋体" w:cs="宋体"/>
                <w:szCs w:val="21"/>
              </w:rPr>
              <w:t>投标供应商应在投标截止时间前将“电子加密投标文件”成功上传递交至“政府采购云平台”，否则投标无效。</w:t>
            </w:r>
          </w:p>
          <w:p>
            <w:pPr>
              <w:pStyle w:val="32"/>
              <w:snapToGrid w:val="0"/>
              <w:spacing w:line="312" w:lineRule="auto"/>
              <w:rPr>
                <w:rFonts w:hAnsi="宋体" w:cs="宋体"/>
                <w:szCs w:val="21"/>
              </w:rPr>
            </w:pPr>
            <w:r>
              <w:rPr>
                <w:rFonts w:hAnsi="宋体" w:cs="宋体"/>
                <w:szCs w:val="21"/>
              </w:rPr>
              <w:t>b.</w:t>
            </w:r>
            <w:r>
              <w:rPr>
                <w:rFonts w:hint="eastAsia" w:hAnsi="宋体" w:cs="宋体"/>
                <w:szCs w:val="21"/>
              </w:rPr>
              <w:t>“电子加密投标文件”成功上传递交后，供应商可自行打印投标文件接收回执。</w:t>
            </w:r>
          </w:p>
          <w:p>
            <w:pPr>
              <w:pStyle w:val="32"/>
              <w:snapToGrid w:val="0"/>
              <w:spacing w:line="312" w:lineRule="auto"/>
              <w:rPr>
                <w:rFonts w:hAnsi="宋体" w:cs="宋体"/>
                <w:szCs w:val="21"/>
              </w:rPr>
            </w:pPr>
            <w:r>
              <w:rPr>
                <w:rFonts w:hint="eastAsia" w:hAnsi="宋体" w:cs="宋体"/>
                <w:szCs w:val="21"/>
              </w:rPr>
              <w:t>（</w:t>
            </w:r>
            <w:r>
              <w:rPr>
                <w:rFonts w:hAnsi="宋体" w:cs="宋体"/>
                <w:szCs w:val="21"/>
              </w:rPr>
              <w:t>2</w:t>
            </w:r>
            <w:r>
              <w:rPr>
                <w:rFonts w:hint="eastAsia" w:hAnsi="宋体" w:cs="宋体"/>
                <w:szCs w:val="21"/>
              </w:rPr>
              <w:t>）“备份投标文件”的递交：</w:t>
            </w:r>
          </w:p>
          <w:p>
            <w:pPr>
              <w:pStyle w:val="32"/>
              <w:snapToGrid w:val="0"/>
              <w:spacing w:line="312" w:lineRule="auto"/>
              <w:rPr>
                <w:rFonts w:hAnsi="宋体" w:cs="宋体"/>
                <w:szCs w:val="21"/>
              </w:rPr>
            </w:pPr>
            <w:r>
              <w:rPr>
                <w:rFonts w:hAnsi="宋体" w:cs="宋体"/>
                <w:szCs w:val="21"/>
              </w:rPr>
              <w:t>a.</w:t>
            </w:r>
            <w:r>
              <w:rPr>
                <w:rFonts w:hint="eastAsia" w:hAnsi="宋体" w:cs="宋体"/>
                <w:szCs w:val="21"/>
              </w:rPr>
              <w:t>投标供应商在“政府采购云平台”完成“电子加密投标文件”的上传递交后，还可以在投标截止时间前将“备份投标文件”（一份）采用邮箱发送至项目负责人邮箱（</w:t>
            </w:r>
            <w:r>
              <w:rPr>
                <w:rFonts w:hAnsi="宋体" w:cs="宋体"/>
                <w:szCs w:val="21"/>
              </w:rPr>
              <w:t>3477872623@qq.com</w:t>
            </w:r>
            <w:r>
              <w:rPr>
                <w:rFonts w:hint="eastAsia" w:hAnsi="宋体" w:cs="宋体"/>
                <w:szCs w:val="21"/>
              </w:rPr>
              <w:t>），逾期发送至邮箱的“备份投标文件”将不予接收；解密</w:t>
            </w:r>
            <w:r>
              <w:rPr>
                <w:rFonts w:hAnsi="宋体" w:cs="宋体"/>
                <w:szCs w:val="21"/>
              </w:rPr>
              <w:t>CA</w:t>
            </w:r>
            <w:r>
              <w:rPr>
                <w:rFonts w:hint="eastAsia" w:hAnsi="宋体" w:cs="宋体"/>
                <w:szCs w:val="21"/>
              </w:rPr>
              <w:t>必须是上传并制作电子投标文件</w:t>
            </w:r>
            <w:r>
              <w:rPr>
                <w:rFonts w:hAnsi="宋体" w:cs="宋体"/>
                <w:szCs w:val="21"/>
              </w:rPr>
              <w:t>CA</w:t>
            </w:r>
            <w:r>
              <w:rPr>
                <w:rFonts w:hint="eastAsia" w:hAnsi="宋体" w:cs="宋体"/>
                <w:szCs w:val="21"/>
              </w:rPr>
              <w:t>锁。</w:t>
            </w:r>
          </w:p>
          <w:p>
            <w:pPr>
              <w:pStyle w:val="32"/>
              <w:snapToGrid w:val="0"/>
              <w:spacing w:line="312" w:lineRule="auto"/>
              <w:rPr>
                <w:rFonts w:hAnsi="宋体" w:cs="宋体"/>
                <w:szCs w:val="21"/>
              </w:rPr>
            </w:pPr>
            <w:r>
              <w:rPr>
                <w:rFonts w:hAnsi="宋体" w:cs="宋体"/>
                <w:szCs w:val="21"/>
              </w:rPr>
              <w:t>b.</w:t>
            </w:r>
            <w:r>
              <w:rPr>
                <w:rFonts w:hint="eastAsia" w:hAnsi="宋体" w:cs="宋体"/>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10</w:t>
            </w:r>
          </w:p>
        </w:tc>
        <w:tc>
          <w:tcPr>
            <w:tcW w:w="2629" w:type="dxa"/>
            <w:vAlign w:val="center"/>
          </w:tcPr>
          <w:p>
            <w:pPr>
              <w:pStyle w:val="32"/>
              <w:snapToGrid w:val="0"/>
              <w:spacing w:line="312" w:lineRule="auto"/>
              <w:rPr>
                <w:rFonts w:hAnsi="宋体" w:cs="宋体"/>
                <w:szCs w:val="21"/>
              </w:rPr>
            </w:pPr>
            <w:r>
              <w:rPr>
                <w:rFonts w:hint="eastAsia" w:hAnsi="宋体" w:cs="宋体"/>
                <w:szCs w:val="21"/>
              </w:rPr>
              <w:t>电子加密投标文件的解密和异常情况处理：</w:t>
            </w:r>
          </w:p>
          <w:p>
            <w:pPr>
              <w:pStyle w:val="32"/>
              <w:snapToGrid w:val="0"/>
              <w:spacing w:line="312" w:lineRule="auto"/>
              <w:rPr>
                <w:rFonts w:hAnsi="宋体" w:cs="宋体"/>
                <w:szCs w:val="21"/>
              </w:rPr>
            </w:pPr>
          </w:p>
        </w:tc>
        <w:tc>
          <w:tcPr>
            <w:tcW w:w="6227" w:type="dxa"/>
            <w:vAlign w:val="center"/>
          </w:tcPr>
          <w:p>
            <w:pPr>
              <w:pStyle w:val="32"/>
              <w:snapToGrid w:val="0"/>
              <w:spacing w:line="312" w:lineRule="auto"/>
              <w:rPr>
                <w:rFonts w:hAnsi="宋体" w:cs="宋体"/>
                <w:szCs w:val="21"/>
              </w:rPr>
            </w:pPr>
            <w:r>
              <w:rPr>
                <w:rFonts w:hint="eastAsia" w:hAnsi="宋体" w:cs="宋体"/>
                <w:szCs w:val="21"/>
              </w:rPr>
              <w:t>（</w:t>
            </w:r>
            <w:r>
              <w:rPr>
                <w:rFonts w:hAnsi="宋体" w:cs="宋体"/>
                <w:szCs w:val="21"/>
              </w:rPr>
              <w:t>1</w:t>
            </w:r>
            <w:r>
              <w:rPr>
                <w:rFonts w:hint="eastAsia" w:hAnsi="宋体" w:cs="宋体"/>
                <w:szCs w:val="21"/>
              </w:rPr>
              <w:t>）开标后，采购组织机构将向各投标供应商发出“电子加密投标文件”的解密通知，各投标供应商代表应当在接到解密通知后</w:t>
            </w:r>
            <w:r>
              <w:rPr>
                <w:rFonts w:hAnsi="宋体" w:cs="宋体"/>
                <w:szCs w:val="21"/>
              </w:rPr>
              <w:t>30</w:t>
            </w:r>
            <w:r>
              <w:rPr>
                <w:rFonts w:hint="eastAsia" w:hAnsi="宋体" w:cs="宋体"/>
                <w:szCs w:val="21"/>
              </w:rPr>
              <w:t>分钟内自行完成“电子加密投标文件”的在线解密。</w:t>
            </w:r>
          </w:p>
          <w:p>
            <w:pPr>
              <w:pStyle w:val="32"/>
              <w:snapToGrid w:val="0"/>
              <w:spacing w:line="312" w:lineRule="auto"/>
              <w:rPr>
                <w:rFonts w:hAnsi="宋体" w:cs="宋体"/>
                <w:szCs w:val="21"/>
              </w:rPr>
            </w:pPr>
            <w:r>
              <w:rPr>
                <w:rFonts w:hint="eastAsia" w:hAnsi="宋体" w:cs="宋体"/>
                <w:szCs w:val="21"/>
              </w:rPr>
              <w:t>（</w:t>
            </w:r>
            <w:r>
              <w:rPr>
                <w:rFonts w:hAnsi="宋体" w:cs="宋体"/>
                <w:szCs w:val="21"/>
              </w:rPr>
              <w:t>2</w:t>
            </w:r>
            <w:r>
              <w:rPr>
                <w:rFonts w:hint="eastAsia" w:hAnsi="宋体" w:cs="宋体"/>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32"/>
              <w:snapToGrid w:val="0"/>
              <w:spacing w:line="312" w:lineRule="auto"/>
              <w:rPr>
                <w:rFonts w:hAnsi="宋体" w:cs="宋体"/>
                <w:szCs w:val="21"/>
              </w:rPr>
            </w:pPr>
            <w:r>
              <w:rPr>
                <w:rFonts w:hint="eastAsia" w:hAnsi="宋体" w:cs="宋体"/>
                <w:szCs w:val="21"/>
              </w:rPr>
              <w:t>（</w:t>
            </w:r>
            <w:r>
              <w:rPr>
                <w:rFonts w:hAnsi="宋体" w:cs="宋体"/>
                <w:szCs w:val="21"/>
              </w:rPr>
              <w:t>3</w:t>
            </w:r>
            <w:r>
              <w:rPr>
                <w:rFonts w:hint="eastAsia" w:hAnsi="宋体" w:cs="宋体"/>
                <w:szCs w:val="21"/>
              </w:rPr>
              <w:t>）投标截止时间前，投标供应商仅递交了“备份投标文件”而未将电子加密投标文件上传至“政府采购云平台”的，投标无效。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11</w:t>
            </w:r>
          </w:p>
        </w:tc>
        <w:tc>
          <w:tcPr>
            <w:tcW w:w="2629" w:type="dxa"/>
            <w:vAlign w:val="center"/>
          </w:tcPr>
          <w:p>
            <w:pPr>
              <w:pStyle w:val="32"/>
              <w:snapToGrid w:val="0"/>
              <w:spacing w:line="312" w:lineRule="auto"/>
              <w:rPr>
                <w:rFonts w:hAnsi="宋体" w:cs="宋体"/>
                <w:spacing w:val="-20"/>
                <w:szCs w:val="21"/>
              </w:rPr>
            </w:pPr>
            <w:r>
              <w:rPr>
                <w:rFonts w:hint="eastAsia" w:hAnsi="宋体" w:cs="宋体"/>
                <w:spacing w:val="-20"/>
                <w:szCs w:val="21"/>
              </w:rPr>
              <w:t>投标文件递交截止时间</w:t>
            </w:r>
          </w:p>
        </w:tc>
        <w:tc>
          <w:tcPr>
            <w:tcW w:w="6227" w:type="dxa"/>
            <w:vAlign w:val="center"/>
          </w:tcPr>
          <w:p>
            <w:pPr>
              <w:pStyle w:val="32"/>
              <w:snapToGrid w:val="0"/>
              <w:spacing w:line="312" w:lineRule="auto"/>
              <w:rPr>
                <w:rFonts w:hAnsi="宋体" w:cs="宋体"/>
                <w:szCs w:val="21"/>
              </w:rPr>
            </w:pPr>
            <w:r>
              <w:rPr>
                <w:rFonts w:hint="eastAsia" w:hAnsi="宋体" w:cs="宋体"/>
                <w:szCs w:val="21"/>
                <w:lang w:eastAsia="zh-CN"/>
              </w:rPr>
              <w:t>2021</w:t>
            </w:r>
            <w:r>
              <w:rPr>
                <w:rFonts w:hint="eastAsia" w:hAnsi="宋体" w:cs="宋体"/>
                <w:szCs w:val="21"/>
              </w:rPr>
              <w:t>年</w:t>
            </w:r>
            <w:r>
              <w:rPr>
                <w:rFonts w:hint="eastAsia" w:hAnsi="宋体" w:cs="宋体"/>
                <w:szCs w:val="21"/>
                <w:lang w:val="en-US" w:eastAsia="zh-CN"/>
              </w:rPr>
              <w:t>11</w:t>
            </w:r>
            <w:r>
              <w:rPr>
                <w:rFonts w:hint="eastAsia" w:hAnsi="宋体" w:cs="宋体"/>
                <w:szCs w:val="21"/>
              </w:rPr>
              <w:t>月</w:t>
            </w:r>
            <w:r>
              <w:rPr>
                <w:rFonts w:hint="eastAsia" w:hAnsi="宋体" w:cs="宋体"/>
                <w:szCs w:val="21"/>
                <w:lang w:val="en-US" w:eastAsia="zh-CN"/>
              </w:rPr>
              <w:t>26</w:t>
            </w:r>
            <w:r>
              <w:rPr>
                <w:rFonts w:hint="eastAsia" w:hAnsi="宋体" w:cs="宋体"/>
                <w:szCs w:val="21"/>
              </w:rPr>
              <w:t>日</w:t>
            </w:r>
            <w:r>
              <w:rPr>
                <w:rFonts w:hint="eastAsia" w:hAnsi="宋体" w:cs="宋体"/>
                <w:szCs w:val="21"/>
                <w:lang w:val="en-US" w:eastAsia="zh-CN"/>
              </w:rPr>
              <w:t>14</w:t>
            </w:r>
            <w:r>
              <w:rPr>
                <w:rFonts w:hint="eastAsia" w:hAnsi="宋体" w:cs="宋体"/>
                <w:szCs w:val="21"/>
              </w:rPr>
              <w:t>时</w:t>
            </w:r>
            <w:r>
              <w:rPr>
                <w:rFonts w:hAnsi="宋体" w:cs="宋体"/>
                <w:szCs w:val="21"/>
              </w:rPr>
              <w:t>30</w:t>
            </w:r>
            <w:r>
              <w:rPr>
                <w:rFonts w:hint="eastAsia" w:hAnsi="宋体" w:cs="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12</w:t>
            </w:r>
          </w:p>
        </w:tc>
        <w:tc>
          <w:tcPr>
            <w:tcW w:w="2629" w:type="dxa"/>
            <w:vAlign w:val="center"/>
          </w:tcPr>
          <w:p>
            <w:pPr>
              <w:pStyle w:val="32"/>
              <w:snapToGrid w:val="0"/>
              <w:spacing w:line="312" w:lineRule="auto"/>
              <w:rPr>
                <w:rFonts w:hAnsi="宋体" w:cs="宋体"/>
                <w:spacing w:val="-20"/>
                <w:szCs w:val="21"/>
              </w:rPr>
            </w:pPr>
            <w:r>
              <w:rPr>
                <w:rFonts w:hint="eastAsia" w:hAnsi="宋体" w:cs="宋体"/>
                <w:spacing w:val="-20"/>
                <w:szCs w:val="21"/>
              </w:rPr>
              <w:t>开标地点</w:t>
            </w:r>
          </w:p>
        </w:tc>
        <w:tc>
          <w:tcPr>
            <w:tcW w:w="6227" w:type="dxa"/>
            <w:vAlign w:val="center"/>
          </w:tcPr>
          <w:p>
            <w:pPr>
              <w:snapToGrid w:val="0"/>
              <w:spacing w:line="312" w:lineRule="auto"/>
              <w:rPr>
                <w:rFonts w:hint="eastAsia" w:ascii="宋体" w:eastAsia="宋体" w:cs="宋体"/>
                <w:szCs w:val="21"/>
                <w:lang w:eastAsia="zh-CN"/>
              </w:rPr>
            </w:pPr>
            <w:r>
              <w:rPr>
                <w:rFonts w:hint="eastAsia" w:ascii="宋体" w:cs="宋体"/>
                <w:szCs w:val="21"/>
                <w:lang w:eastAsia="zh-CN"/>
              </w:rPr>
              <w:t>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13</w:t>
            </w:r>
          </w:p>
        </w:tc>
        <w:tc>
          <w:tcPr>
            <w:tcW w:w="2629" w:type="dxa"/>
            <w:vAlign w:val="center"/>
          </w:tcPr>
          <w:p>
            <w:pPr>
              <w:pStyle w:val="32"/>
              <w:snapToGrid w:val="0"/>
              <w:spacing w:line="312" w:lineRule="auto"/>
              <w:rPr>
                <w:rFonts w:hAnsi="宋体" w:cs="宋体"/>
                <w:szCs w:val="21"/>
              </w:rPr>
            </w:pPr>
            <w:r>
              <w:rPr>
                <w:rFonts w:hint="eastAsia" w:hAnsi="宋体" w:cs="宋体"/>
                <w:szCs w:val="21"/>
              </w:rPr>
              <w:t>开标时间</w:t>
            </w:r>
          </w:p>
        </w:tc>
        <w:tc>
          <w:tcPr>
            <w:tcW w:w="6227" w:type="dxa"/>
            <w:vAlign w:val="center"/>
          </w:tcPr>
          <w:p>
            <w:pPr>
              <w:pStyle w:val="32"/>
              <w:snapToGrid w:val="0"/>
              <w:spacing w:line="312" w:lineRule="auto"/>
              <w:rPr>
                <w:rFonts w:hAnsi="宋体" w:cs="宋体"/>
                <w:szCs w:val="21"/>
              </w:rPr>
            </w:pPr>
            <w:r>
              <w:rPr>
                <w:rFonts w:hint="eastAsia" w:hAnsi="宋体" w:cs="宋体"/>
                <w:szCs w:val="21"/>
                <w:lang w:eastAsia="zh-CN"/>
              </w:rPr>
              <w:t>2021</w:t>
            </w:r>
            <w:r>
              <w:rPr>
                <w:rFonts w:hint="eastAsia" w:hAnsi="宋体" w:cs="宋体"/>
                <w:szCs w:val="21"/>
              </w:rPr>
              <w:t>年</w:t>
            </w:r>
            <w:r>
              <w:rPr>
                <w:rFonts w:hint="eastAsia" w:hAnsi="宋体" w:cs="宋体"/>
                <w:szCs w:val="21"/>
                <w:lang w:val="en-US" w:eastAsia="zh-CN"/>
              </w:rPr>
              <w:t>11</w:t>
            </w:r>
            <w:r>
              <w:rPr>
                <w:rFonts w:hint="eastAsia" w:hAnsi="宋体" w:cs="宋体"/>
                <w:szCs w:val="21"/>
              </w:rPr>
              <w:t>月</w:t>
            </w:r>
            <w:r>
              <w:rPr>
                <w:rFonts w:hint="eastAsia" w:hAnsi="宋体" w:cs="宋体"/>
                <w:szCs w:val="21"/>
                <w:lang w:val="en-US" w:eastAsia="zh-CN"/>
              </w:rPr>
              <w:t>26</w:t>
            </w:r>
            <w:r>
              <w:rPr>
                <w:rFonts w:hint="eastAsia" w:hAnsi="宋体" w:cs="宋体"/>
                <w:szCs w:val="21"/>
              </w:rPr>
              <w:t>日</w:t>
            </w:r>
            <w:r>
              <w:rPr>
                <w:rFonts w:hint="eastAsia" w:hAnsi="宋体" w:cs="宋体"/>
                <w:szCs w:val="21"/>
                <w:lang w:val="en-US" w:eastAsia="zh-CN"/>
              </w:rPr>
              <w:t>14</w:t>
            </w:r>
            <w:r>
              <w:rPr>
                <w:rFonts w:hint="eastAsia" w:hAnsi="宋体" w:cs="宋体"/>
                <w:szCs w:val="21"/>
              </w:rPr>
              <w:t>时</w:t>
            </w:r>
            <w:r>
              <w:rPr>
                <w:rFonts w:hAnsi="宋体" w:cs="宋体"/>
                <w:szCs w:val="21"/>
              </w:rPr>
              <w:t>30</w:t>
            </w:r>
            <w:r>
              <w:rPr>
                <w:rFonts w:hint="eastAsia" w:hAnsi="宋体" w:cs="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14</w:t>
            </w:r>
          </w:p>
        </w:tc>
        <w:tc>
          <w:tcPr>
            <w:tcW w:w="2629" w:type="dxa"/>
            <w:vAlign w:val="center"/>
          </w:tcPr>
          <w:p>
            <w:pPr>
              <w:pStyle w:val="32"/>
              <w:snapToGrid w:val="0"/>
              <w:spacing w:line="312" w:lineRule="auto"/>
              <w:rPr>
                <w:rFonts w:hAnsi="宋体" w:cs="宋体"/>
                <w:szCs w:val="21"/>
              </w:rPr>
            </w:pPr>
            <w:r>
              <w:rPr>
                <w:rFonts w:hint="eastAsia" w:hAnsi="宋体" w:cs="宋体"/>
                <w:szCs w:val="21"/>
              </w:rPr>
              <w:t>签订合同</w:t>
            </w:r>
          </w:p>
        </w:tc>
        <w:tc>
          <w:tcPr>
            <w:tcW w:w="6227" w:type="dxa"/>
            <w:vAlign w:val="center"/>
          </w:tcPr>
          <w:p>
            <w:pPr>
              <w:pStyle w:val="32"/>
              <w:snapToGrid w:val="0"/>
              <w:spacing w:line="312" w:lineRule="auto"/>
              <w:rPr>
                <w:rFonts w:hAnsi="宋体" w:cs="宋体"/>
                <w:szCs w:val="21"/>
              </w:rPr>
            </w:pPr>
            <w:r>
              <w:rPr>
                <w:rFonts w:hint="eastAsia" w:hAnsi="宋体" w:cs="宋体"/>
                <w:szCs w:val="21"/>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15</w:t>
            </w:r>
          </w:p>
        </w:tc>
        <w:tc>
          <w:tcPr>
            <w:tcW w:w="2629" w:type="dxa"/>
            <w:vAlign w:val="center"/>
          </w:tcPr>
          <w:p>
            <w:pPr>
              <w:pStyle w:val="32"/>
              <w:snapToGrid w:val="0"/>
              <w:spacing w:line="312" w:lineRule="auto"/>
              <w:rPr>
                <w:rFonts w:hAnsi="宋体" w:cs="宋体"/>
                <w:szCs w:val="21"/>
              </w:rPr>
            </w:pPr>
            <w:r>
              <w:rPr>
                <w:rFonts w:hint="eastAsia" w:hAnsi="宋体" w:cs="宋体"/>
                <w:szCs w:val="21"/>
              </w:rPr>
              <w:t>履约保证金交纳</w:t>
            </w:r>
          </w:p>
        </w:tc>
        <w:tc>
          <w:tcPr>
            <w:tcW w:w="6227" w:type="dxa"/>
            <w:vAlign w:val="center"/>
          </w:tcPr>
          <w:p>
            <w:pPr>
              <w:pStyle w:val="32"/>
              <w:snapToGrid w:val="0"/>
              <w:spacing w:line="312" w:lineRule="auto"/>
              <w:rPr>
                <w:rFonts w:hAnsi="宋体" w:cs="宋体"/>
                <w:szCs w:val="21"/>
                <w:lang w:val="zh-CN"/>
              </w:rPr>
            </w:pPr>
            <w:r>
              <w:rPr>
                <w:rFonts w:hint="eastAsia" w:hAnsi="宋体" w:cs="宋体"/>
                <w:szCs w:val="21"/>
              </w:rPr>
              <w:t>合同签订后五天内，中标人通过电汇、转账、银行或保险公司出具履约保函向采购人交纳中标金额</w:t>
            </w:r>
            <w:r>
              <w:rPr>
                <w:rFonts w:hAnsi="宋体" w:cs="宋体"/>
                <w:szCs w:val="21"/>
              </w:rPr>
              <w:t>5%</w:t>
            </w:r>
            <w:r>
              <w:rPr>
                <w:rFonts w:hint="eastAsia" w:hAnsi="宋体" w:cs="宋体"/>
                <w:szCs w:val="21"/>
              </w:rPr>
              <w:t>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16</w:t>
            </w:r>
          </w:p>
        </w:tc>
        <w:tc>
          <w:tcPr>
            <w:tcW w:w="2629" w:type="dxa"/>
            <w:vAlign w:val="center"/>
          </w:tcPr>
          <w:p>
            <w:pPr>
              <w:pStyle w:val="32"/>
              <w:spacing w:line="312" w:lineRule="auto"/>
              <w:rPr>
                <w:rFonts w:hAnsi="宋体" w:cs="宋体"/>
                <w:szCs w:val="21"/>
              </w:rPr>
            </w:pPr>
            <w:r>
              <w:rPr>
                <w:rFonts w:hint="eastAsia" w:hAnsi="宋体" w:cs="宋体"/>
                <w:szCs w:val="21"/>
              </w:rPr>
              <w:t>联合体投标</w:t>
            </w:r>
          </w:p>
        </w:tc>
        <w:tc>
          <w:tcPr>
            <w:tcW w:w="6227" w:type="dxa"/>
            <w:vAlign w:val="center"/>
          </w:tcPr>
          <w:p>
            <w:pPr>
              <w:pStyle w:val="32"/>
              <w:spacing w:line="312" w:lineRule="auto"/>
              <w:rPr>
                <w:rFonts w:hAnsi="宋体" w:cs="宋体"/>
                <w:szCs w:val="21"/>
              </w:rPr>
            </w:pPr>
            <w:r>
              <w:rPr>
                <w:rFonts w:hint="eastAsia" w:hAnsi="宋体" w:cs="宋体"/>
                <w:szCs w:val="21"/>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17</w:t>
            </w:r>
          </w:p>
        </w:tc>
        <w:tc>
          <w:tcPr>
            <w:tcW w:w="2629" w:type="dxa"/>
            <w:vAlign w:val="center"/>
          </w:tcPr>
          <w:p>
            <w:pPr>
              <w:pStyle w:val="32"/>
              <w:snapToGrid w:val="0"/>
              <w:spacing w:line="312" w:lineRule="auto"/>
              <w:rPr>
                <w:rFonts w:hAnsi="宋体" w:cs="宋体"/>
                <w:szCs w:val="21"/>
              </w:rPr>
            </w:pPr>
            <w:r>
              <w:rPr>
                <w:rFonts w:hint="eastAsia" w:hAnsi="宋体" w:cs="宋体"/>
                <w:szCs w:val="21"/>
              </w:rPr>
              <w:t>联系方式</w:t>
            </w:r>
          </w:p>
        </w:tc>
        <w:tc>
          <w:tcPr>
            <w:tcW w:w="6227" w:type="dxa"/>
            <w:vAlign w:val="center"/>
          </w:tcPr>
          <w:p>
            <w:pPr>
              <w:snapToGrid w:val="0"/>
              <w:spacing w:line="312" w:lineRule="auto"/>
              <w:rPr>
                <w:rFonts w:hint="eastAsia" w:ascii="宋体" w:eastAsia="宋体" w:cs="宋体"/>
                <w:szCs w:val="21"/>
                <w:lang w:eastAsia="zh-CN"/>
              </w:rPr>
            </w:pPr>
            <w:r>
              <w:rPr>
                <w:rFonts w:hint="eastAsia" w:ascii="宋体" w:hAnsi="宋体" w:cs="宋体"/>
                <w:szCs w:val="21"/>
              </w:rPr>
              <w:t>采购人：</w:t>
            </w:r>
            <w:r>
              <w:rPr>
                <w:rFonts w:hint="eastAsia" w:ascii="宋体" w:hAnsi="宋体" w:cs="宋体"/>
                <w:szCs w:val="21"/>
                <w:lang w:eastAsia="zh-CN"/>
              </w:rPr>
              <w:t>龙游县残疾人联合会</w:t>
            </w:r>
          </w:p>
          <w:p>
            <w:pPr>
              <w:snapToGrid w:val="0"/>
              <w:spacing w:line="312" w:lineRule="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饶</w:t>
            </w:r>
            <w:r>
              <w:rPr>
                <w:rFonts w:hint="eastAsia" w:ascii="宋体" w:hAnsi="宋体" w:cs="宋体"/>
                <w:szCs w:val="21"/>
                <w:highlight w:val="none"/>
              </w:rPr>
              <w:t>先生</w:t>
            </w:r>
          </w:p>
          <w:p>
            <w:pPr>
              <w:snapToGrid w:val="0"/>
              <w:spacing w:line="312" w:lineRule="auto"/>
              <w:rPr>
                <w:rFonts w:hint="eastAsia" w:ascii="宋体" w:hAnsi="宋体" w:cs="宋体"/>
                <w:szCs w:val="21"/>
                <w:highlight w:val="none"/>
              </w:rPr>
            </w:pPr>
            <w:r>
              <w:rPr>
                <w:rFonts w:hint="eastAsia" w:ascii="宋体" w:hAnsi="宋体" w:cs="宋体"/>
                <w:szCs w:val="21"/>
                <w:highlight w:val="none"/>
              </w:rPr>
              <w:t>联系电话：0570-</w:t>
            </w:r>
            <w:r>
              <w:rPr>
                <w:rFonts w:hint="eastAsia" w:ascii="宋体" w:hAnsi="宋体" w:cs="宋体"/>
                <w:szCs w:val="21"/>
                <w:highlight w:val="none"/>
                <w:lang w:val="en-US" w:eastAsia="zh-CN"/>
              </w:rPr>
              <w:t>7020758</w:t>
            </w:r>
          </w:p>
          <w:p>
            <w:pPr>
              <w:snapToGrid w:val="0"/>
              <w:spacing w:line="312" w:lineRule="auto"/>
              <w:rPr>
                <w:rFonts w:ascii="宋体" w:cs="宋体"/>
                <w:szCs w:val="21"/>
              </w:rPr>
            </w:pPr>
            <w:r>
              <w:rPr>
                <w:rFonts w:hint="eastAsia" w:ascii="宋体" w:hAnsi="宋体" w:cs="宋体"/>
                <w:szCs w:val="21"/>
              </w:rPr>
              <w:t>采购代理机构名称：浙江省成套工程有限公司</w:t>
            </w:r>
          </w:p>
          <w:p>
            <w:pPr>
              <w:snapToGrid w:val="0"/>
              <w:spacing w:line="312" w:lineRule="auto"/>
              <w:rPr>
                <w:rFonts w:hint="eastAsia" w:ascii="宋体" w:eastAsia="宋体" w:cs="宋体"/>
                <w:szCs w:val="21"/>
                <w:lang w:eastAsia="zh-CN"/>
              </w:rPr>
            </w:pPr>
            <w:r>
              <w:rPr>
                <w:rFonts w:hint="eastAsia" w:ascii="宋体" w:hAnsi="宋体" w:cs="宋体"/>
                <w:szCs w:val="21"/>
              </w:rPr>
              <w:t>项目联系人：吴先生</w:t>
            </w:r>
            <w:r>
              <w:rPr>
                <w:rFonts w:hint="eastAsia" w:ascii="宋体" w:hAnsi="宋体" w:cs="宋体"/>
                <w:szCs w:val="21"/>
                <w:lang w:eastAsia="zh-CN"/>
              </w:rPr>
              <w:t>、张先生</w:t>
            </w:r>
          </w:p>
          <w:p>
            <w:pPr>
              <w:snapToGrid w:val="0"/>
              <w:spacing w:line="312" w:lineRule="auto"/>
              <w:rPr>
                <w:rFonts w:hint="eastAsia" w:ascii="宋体" w:eastAsia="宋体" w:cs="宋体"/>
                <w:szCs w:val="21"/>
                <w:lang w:eastAsia="zh-CN"/>
              </w:rPr>
            </w:pPr>
            <w:r>
              <w:rPr>
                <w:rFonts w:hint="eastAsia" w:ascii="宋体" w:hAnsi="宋体" w:cs="宋体"/>
                <w:szCs w:val="21"/>
              </w:rPr>
              <w:t>联系电话：</w:t>
            </w:r>
            <w:r>
              <w:rPr>
                <w:rFonts w:hint="eastAsia" w:ascii="宋体" w:hAnsi="宋体" w:cs="宋体"/>
                <w:szCs w:val="21"/>
                <w:lang w:eastAsia="zh-CN"/>
              </w:rPr>
              <w:t>0570-8757589</w:t>
            </w:r>
            <w:r>
              <w:rPr>
                <w:rFonts w:ascii="宋体" w:hAnsi="宋体" w:cs="宋体"/>
                <w:szCs w:val="21"/>
              </w:rPr>
              <w:t>/18367054001</w:t>
            </w:r>
            <w:r>
              <w:rPr>
                <w:rFonts w:hint="eastAsia" w:ascii="宋体" w:hAnsi="宋体" w:cs="宋体"/>
                <w:szCs w:val="21"/>
                <w:lang w:eastAsia="zh-CN"/>
              </w:rPr>
              <w:t>、</w:t>
            </w:r>
            <w:r>
              <w:rPr>
                <w:rFonts w:hint="eastAsia" w:ascii="宋体" w:hAnsi="宋体" w:cs="宋体"/>
                <w:szCs w:val="21"/>
                <w:lang w:val="en-US" w:eastAsia="zh-CN"/>
              </w:rPr>
              <w:t>18857049901</w:t>
            </w:r>
          </w:p>
          <w:p>
            <w:pPr>
              <w:snapToGrid w:val="0"/>
              <w:spacing w:line="312" w:lineRule="auto"/>
              <w:rPr>
                <w:rFonts w:ascii="宋体" w:cs="宋体"/>
                <w:szCs w:val="21"/>
              </w:rPr>
            </w:pPr>
            <w:r>
              <w:rPr>
                <w:rFonts w:hint="eastAsia" w:ascii="宋体" w:hAnsi="宋体" w:cs="宋体"/>
                <w:szCs w:val="21"/>
              </w:rPr>
              <w:t>传真：</w:t>
            </w:r>
            <w:r>
              <w:rPr>
                <w:rFonts w:ascii="宋体" w:hAnsi="宋体" w:cs="宋体"/>
                <w:szCs w:val="21"/>
              </w:rPr>
              <w:t>0570-8757585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18</w:t>
            </w:r>
          </w:p>
        </w:tc>
        <w:tc>
          <w:tcPr>
            <w:tcW w:w="2629" w:type="dxa"/>
            <w:vAlign w:val="center"/>
          </w:tcPr>
          <w:p>
            <w:pPr>
              <w:pStyle w:val="32"/>
              <w:snapToGrid w:val="0"/>
              <w:spacing w:line="312" w:lineRule="auto"/>
              <w:rPr>
                <w:rFonts w:hAnsi="宋体" w:cs="宋体"/>
                <w:szCs w:val="21"/>
              </w:rPr>
            </w:pPr>
            <w:r>
              <w:rPr>
                <w:rFonts w:hint="eastAsia" w:hAnsi="宋体" w:cs="宋体"/>
                <w:szCs w:val="21"/>
              </w:rPr>
              <w:t>注意事项</w:t>
            </w:r>
          </w:p>
        </w:tc>
        <w:tc>
          <w:tcPr>
            <w:tcW w:w="6227" w:type="dxa"/>
            <w:vAlign w:val="center"/>
          </w:tcPr>
          <w:p>
            <w:pPr>
              <w:pStyle w:val="32"/>
              <w:snapToGrid w:val="0"/>
              <w:spacing w:line="312" w:lineRule="auto"/>
              <w:rPr>
                <w:rFonts w:hAnsi="宋体" w:cs="宋体"/>
                <w:szCs w:val="21"/>
              </w:rPr>
            </w:pPr>
            <w:r>
              <w:rPr>
                <w:rFonts w:hint="eastAsia" w:hAnsi="宋体" w:cs="宋体"/>
                <w:szCs w:val="21"/>
              </w:rPr>
              <w:t>根据《关于在政府采购活动中查询及使用信用记录有关问题的通知》财库</w:t>
            </w:r>
            <w:r>
              <w:rPr>
                <w:rFonts w:hAnsi="宋体" w:cs="宋体"/>
                <w:szCs w:val="21"/>
              </w:rPr>
              <w:t>[2016]125</w:t>
            </w:r>
            <w:r>
              <w:rPr>
                <w:rFonts w:hint="eastAsia" w:hAnsi="宋体" w:cs="宋体"/>
                <w:szCs w:val="21"/>
              </w:rPr>
              <w:t>号的规定：</w:t>
            </w:r>
          </w:p>
          <w:p>
            <w:pPr>
              <w:pStyle w:val="32"/>
              <w:snapToGrid w:val="0"/>
              <w:spacing w:line="312" w:lineRule="auto"/>
              <w:rPr>
                <w:rFonts w:hAnsi="宋体" w:cs="宋体"/>
                <w:szCs w:val="21"/>
              </w:rPr>
            </w:pPr>
            <w:r>
              <w:rPr>
                <w:rFonts w:hAnsi="宋体" w:cs="宋体"/>
                <w:szCs w:val="21"/>
              </w:rPr>
              <w:t>1</w:t>
            </w:r>
            <w:r>
              <w:rPr>
                <w:rFonts w:hint="eastAsia" w:hAnsi="宋体" w:cs="宋体"/>
                <w:szCs w:val="21"/>
              </w:rPr>
              <w:t>）采购人或采购代理机构将对本项目供应商的信用记录进行查询。查询渠道为信用中国网站（</w:t>
            </w:r>
            <w:r>
              <w:rPr>
                <w:rFonts w:hAnsi="宋体" w:cs="宋体"/>
                <w:szCs w:val="21"/>
              </w:rPr>
              <w:t>www.creditchina.gov.cn</w:t>
            </w:r>
            <w:r>
              <w:rPr>
                <w:rFonts w:hint="eastAsia" w:hAnsi="宋体" w:cs="宋体"/>
                <w:szCs w:val="21"/>
              </w:rPr>
              <w:t>）、中国政府采购网（</w:t>
            </w:r>
            <w:r>
              <w:rPr>
                <w:rFonts w:hAnsi="宋体" w:cs="宋体"/>
                <w:szCs w:val="21"/>
              </w:rPr>
              <w:t>www.ccgp.gov.cn</w:t>
            </w:r>
            <w:r>
              <w:rPr>
                <w:rFonts w:hint="eastAsia" w:hAnsi="宋体" w:cs="宋体"/>
                <w:szCs w:val="21"/>
              </w:rPr>
              <w:t>）；</w:t>
            </w:r>
          </w:p>
          <w:p>
            <w:pPr>
              <w:pStyle w:val="32"/>
              <w:snapToGrid w:val="0"/>
              <w:spacing w:line="312" w:lineRule="auto"/>
              <w:rPr>
                <w:rFonts w:hAnsi="宋体" w:cs="宋体"/>
                <w:szCs w:val="21"/>
              </w:rPr>
            </w:pPr>
            <w:r>
              <w:rPr>
                <w:rFonts w:hAnsi="宋体" w:cs="宋体"/>
                <w:szCs w:val="21"/>
              </w:rPr>
              <w:t>2</w:t>
            </w:r>
            <w:r>
              <w:rPr>
                <w:rFonts w:hint="eastAsia" w:hAnsi="宋体" w:cs="宋体"/>
                <w:szCs w:val="21"/>
              </w:rPr>
              <w:t>）截止时点：提交投标文件（响应文件）截止时间前</w:t>
            </w:r>
            <w:r>
              <w:rPr>
                <w:rFonts w:hAnsi="宋体" w:cs="宋体"/>
                <w:szCs w:val="21"/>
              </w:rPr>
              <w:t>3</w:t>
            </w:r>
            <w:r>
              <w:rPr>
                <w:rFonts w:hint="eastAsia" w:hAnsi="宋体" w:cs="宋体"/>
                <w:szCs w:val="21"/>
              </w:rPr>
              <w:t>年内；</w:t>
            </w:r>
          </w:p>
          <w:p>
            <w:pPr>
              <w:pStyle w:val="32"/>
              <w:snapToGrid w:val="0"/>
              <w:spacing w:line="312" w:lineRule="auto"/>
              <w:rPr>
                <w:rFonts w:hAnsi="宋体" w:cs="宋体"/>
                <w:szCs w:val="21"/>
              </w:rPr>
            </w:pPr>
            <w:r>
              <w:rPr>
                <w:rFonts w:hAnsi="宋体" w:cs="宋体"/>
                <w:szCs w:val="21"/>
              </w:rPr>
              <w:t>3</w:t>
            </w:r>
            <w:r>
              <w:rPr>
                <w:rFonts w:hint="eastAsia" w:hAnsi="宋体" w:cs="宋体"/>
                <w:szCs w:val="21"/>
              </w:rPr>
              <w:t>）查询记录和证据的留存：信用信息查询记录和证据以网页截图等方式留存。</w:t>
            </w:r>
          </w:p>
          <w:p>
            <w:pPr>
              <w:pStyle w:val="32"/>
              <w:snapToGrid w:val="0"/>
              <w:spacing w:line="312" w:lineRule="auto"/>
              <w:rPr>
                <w:rFonts w:hAnsi="宋体" w:cs="宋体"/>
                <w:szCs w:val="21"/>
              </w:rPr>
            </w:pPr>
            <w:r>
              <w:rPr>
                <w:rFonts w:hAnsi="宋体" w:cs="宋体"/>
                <w:szCs w:val="21"/>
              </w:rPr>
              <w:t>4</w:t>
            </w:r>
            <w:r>
              <w:rPr>
                <w:rFonts w:hint="eastAsia" w:hAnsi="宋体" w:cs="宋体"/>
                <w:szCs w:val="21"/>
              </w:rPr>
              <w:t>）使用规则：被列入失信被执行人、重大税收违法案件当事人名单、政府采购严重违法失信行为记录名单及其它不符合《中华人民共和国政府采购法》第二十二条规定条件的，其投标将被拒绝。</w:t>
            </w:r>
          </w:p>
          <w:p>
            <w:pPr>
              <w:pStyle w:val="32"/>
              <w:snapToGrid w:val="0"/>
              <w:spacing w:line="312" w:lineRule="auto"/>
              <w:rPr>
                <w:rFonts w:hAnsi="宋体" w:cs="宋体"/>
                <w:szCs w:val="21"/>
              </w:rPr>
            </w:pPr>
            <w:r>
              <w:rPr>
                <w:rFonts w:hAnsi="宋体" w:cs="宋体"/>
                <w:szCs w:val="21"/>
              </w:rPr>
              <w:t>5</w:t>
            </w:r>
            <w:r>
              <w:rPr>
                <w:rFonts w:hint="eastAsia" w:hAnsi="宋体" w:cs="宋体"/>
                <w:szCs w:val="21"/>
              </w:rPr>
              <w:t>）联合体成员任意一方存在不良信用记录的，视同联合体存在不良信用记录。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pStyle w:val="32"/>
              <w:snapToGrid w:val="0"/>
              <w:spacing w:line="312" w:lineRule="auto"/>
              <w:jc w:val="center"/>
              <w:rPr>
                <w:rFonts w:hAnsi="宋体" w:cs="宋体"/>
                <w:szCs w:val="21"/>
              </w:rPr>
            </w:pPr>
            <w:r>
              <w:rPr>
                <w:rFonts w:hAnsi="宋体" w:cs="宋体"/>
                <w:szCs w:val="21"/>
              </w:rPr>
              <w:t>19</w:t>
            </w:r>
          </w:p>
        </w:tc>
        <w:tc>
          <w:tcPr>
            <w:tcW w:w="2629" w:type="dxa"/>
            <w:vAlign w:val="center"/>
          </w:tcPr>
          <w:p>
            <w:pPr>
              <w:pStyle w:val="32"/>
              <w:snapToGrid w:val="0"/>
              <w:spacing w:line="312" w:lineRule="auto"/>
              <w:rPr>
                <w:rFonts w:hAnsi="宋体" w:cs="宋体"/>
                <w:szCs w:val="21"/>
              </w:rPr>
            </w:pPr>
            <w:r>
              <w:rPr>
                <w:rFonts w:hint="eastAsia" w:hAnsi="宋体" w:cs="宋体"/>
                <w:szCs w:val="21"/>
              </w:rPr>
              <w:t>采购公告，更正公告，中标公示发布网址</w:t>
            </w:r>
          </w:p>
        </w:tc>
        <w:tc>
          <w:tcPr>
            <w:tcW w:w="6227" w:type="dxa"/>
            <w:vAlign w:val="center"/>
          </w:tcPr>
          <w:p>
            <w:pPr>
              <w:pStyle w:val="32"/>
              <w:snapToGrid w:val="0"/>
              <w:spacing w:line="312" w:lineRule="auto"/>
              <w:rPr>
                <w:rFonts w:hAnsi="宋体" w:cs="宋体"/>
                <w:szCs w:val="21"/>
              </w:rPr>
            </w:pPr>
            <w:r>
              <w:rPr>
                <w:rFonts w:hint="eastAsia" w:hAnsi="宋体" w:cs="宋体"/>
                <w:szCs w:val="21"/>
              </w:rPr>
              <w:t>浙江政府采购网（</w:t>
            </w:r>
            <w:r>
              <w:fldChar w:fldCharType="begin"/>
            </w:r>
            <w:r>
              <w:instrText xml:space="preserve"> HYPERLINK "http://www.zjzfcg.gov.cn" </w:instrText>
            </w:r>
            <w:r>
              <w:fldChar w:fldCharType="separate"/>
            </w:r>
            <w:r>
              <w:rPr>
                <w:rFonts w:hAnsi="宋体" w:cs="宋体"/>
                <w:szCs w:val="21"/>
              </w:rPr>
              <w:t>http://www.zjzf</w:t>
            </w:r>
            <w:bookmarkStart w:id="43" w:name="_Hlt165275729"/>
            <w:bookmarkStart w:id="44" w:name="_Hlt165275728"/>
            <w:r>
              <w:rPr>
                <w:rFonts w:hAnsi="宋体" w:cs="宋体"/>
                <w:szCs w:val="21"/>
              </w:rPr>
              <w:t>c</w:t>
            </w:r>
            <w:bookmarkEnd w:id="43"/>
            <w:bookmarkEnd w:id="44"/>
            <w:r>
              <w:rPr>
                <w:rFonts w:hAnsi="宋体" w:cs="宋体"/>
                <w:szCs w:val="21"/>
              </w:rPr>
              <w:t>g</w:t>
            </w:r>
            <w:bookmarkStart w:id="45" w:name="_Hlt165275713"/>
            <w:bookmarkStart w:id="46" w:name="_Hlt165275712"/>
            <w:r>
              <w:rPr>
                <w:rFonts w:hAnsi="宋体" w:cs="宋体"/>
                <w:szCs w:val="21"/>
              </w:rPr>
              <w:t>.</w:t>
            </w:r>
            <w:bookmarkEnd w:id="45"/>
            <w:bookmarkEnd w:id="46"/>
            <w:r>
              <w:rPr>
                <w:rFonts w:hAnsi="宋体" w:cs="宋体"/>
                <w:szCs w:val="21"/>
              </w:rPr>
              <w:t>gov.cn</w:t>
            </w:r>
            <w:r>
              <w:rPr>
                <w:rFonts w:hAnsi="宋体" w:cs="宋体"/>
                <w:szCs w:val="21"/>
              </w:rPr>
              <w:fldChar w:fldCharType="end"/>
            </w:r>
            <w:r>
              <w:rPr>
                <w:rFonts w:hint="eastAsia" w:hAnsi="宋体" w:cs="宋体"/>
                <w:szCs w:val="21"/>
              </w:rPr>
              <w:t>）</w:t>
            </w:r>
          </w:p>
        </w:tc>
      </w:tr>
    </w:tbl>
    <w:p>
      <w:pPr>
        <w:numPr>
          <w:ilvl w:val="0"/>
          <w:numId w:val="1"/>
        </w:numPr>
        <w:snapToGrid w:val="0"/>
        <w:spacing w:line="360" w:lineRule="auto"/>
        <w:ind w:left="0" w:firstLine="422" w:firstLineChars="200"/>
        <w:outlineLvl w:val="1"/>
        <w:rPr>
          <w:rFonts w:ascii="宋体" w:cs="宋体"/>
          <w:b/>
          <w:szCs w:val="21"/>
        </w:rPr>
      </w:pPr>
      <w:bookmarkStart w:id="47" w:name="_Toc16402"/>
      <w:bookmarkStart w:id="48" w:name="_Toc356371433"/>
      <w:bookmarkStart w:id="49" w:name="_Toc9259"/>
      <w:bookmarkStart w:id="50" w:name="_Toc356371435"/>
      <w:bookmarkStart w:id="51" w:name="_Toc17416"/>
      <w:r>
        <w:rPr>
          <w:rFonts w:hint="eastAsia" w:ascii="宋体" w:hAnsi="宋体" w:cs="宋体"/>
          <w:b/>
          <w:szCs w:val="21"/>
        </w:rPr>
        <w:t>投标须知</w:t>
      </w:r>
      <w:bookmarkEnd w:id="47"/>
      <w:bookmarkEnd w:id="48"/>
      <w:bookmarkEnd w:id="49"/>
    </w:p>
    <w:p>
      <w:pPr>
        <w:numPr>
          <w:ilvl w:val="1"/>
          <w:numId w:val="1"/>
        </w:numPr>
        <w:snapToGrid w:val="0"/>
        <w:spacing w:line="360" w:lineRule="auto"/>
        <w:ind w:firstLine="420" w:firstLineChars="200"/>
        <w:rPr>
          <w:rFonts w:ascii="宋体" w:cs="宋体"/>
          <w:b/>
          <w:szCs w:val="21"/>
        </w:rPr>
      </w:pPr>
      <w:r>
        <w:rPr>
          <w:rFonts w:hint="eastAsia" w:ascii="宋体" w:hAnsi="宋体" w:cs="宋体"/>
          <w:szCs w:val="21"/>
        </w:rPr>
        <w:t>适用范围</w:t>
      </w:r>
    </w:p>
    <w:p>
      <w:pPr>
        <w:tabs>
          <w:tab w:val="left" w:pos="0"/>
          <w:tab w:val="left" w:pos="900"/>
          <w:tab w:val="left" w:pos="7020"/>
          <w:tab w:val="left" w:pos="8460"/>
        </w:tabs>
        <w:snapToGrid w:val="0"/>
        <w:spacing w:line="360" w:lineRule="auto"/>
        <w:ind w:firstLine="420" w:firstLineChars="200"/>
        <w:rPr>
          <w:rFonts w:ascii="宋体" w:cs="宋体"/>
          <w:szCs w:val="21"/>
        </w:rPr>
      </w:pPr>
      <w:r>
        <w:rPr>
          <w:rFonts w:hint="eastAsia" w:ascii="宋体" w:hAnsi="宋体" w:cs="宋体"/>
          <w:szCs w:val="21"/>
        </w:rPr>
        <w:t>本招标文件仅适用于本次招标采购项目的招标、投标、评标、定标、验收、合同履约、付款等行为。</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定义</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“采购代理机构”系指组织本次招标的浙江省成套工程有限公司。</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“采购人”系指提出本次采购的委托单位：</w:t>
      </w:r>
      <w:r>
        <w:rPr>
          <w:rFonts w:hint="eastAsia" w:ascii="宋体" w:hAnsi="宋体" w:cs="宋体"/>
          <w:szCs w:val="21"/>
          <w:lang w:eastAsia="zh-CN"/>
        </w:rPr>
        <w:t>龙游县残疾人联合会</w:t>
      </w:r>
      <w:r>
        <w:rPr>
          <w:rFonts w:hint="eastAsia" w:ascii="宋体" w:hAnsi="宋体" w:cs="宋体"/>
          <w:szCs w:val="21"/>
        </w:rPr>
        <w:t>。</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“投标人”系指向招标方提交投标文件的供应商。</w:t>
      </w:r>
    </w:p>
    <w:p>
      <w:pPr>
        <w:numPr>
          <w:ilvl w:val="2"/>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“货物” 系指投标人按投标文件规定向采购人提供的各类设备、软件、技术资料及使用手册等。</w:t>
      </w:r>
    </w:p>
    <w:p>
      <w:pPr>
        <w:numPr>
          <w:ilvl w:val="2"/>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“服务”系指根据本合同规定，中标人必须承担安装、调试、技术协助、培训以及其他类似的义务。</w:t>
      </w:r>
    </w:p>
    <w:p>
      <w:pPr>
        <w:numPr>
          <w:ilvl w:val="2"/>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“▲”系指实质性要求条款。</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投标费用</w:t>
      </w:r>
    </w:p>
    <w:p>
      <w:pPr>
        <w:tabs>
          <w:tab w:val="left" w:pos="0"/>
          <w:tab w:val="left" w:pos="900"/>
          <w:tab w:val="left" w:pos="7020"/>
          <w:tab w:val="left" w:pos="8460"/>
        </w:tabs>
        <w:snapToGrid w:val="0"/>
        <w:spacing w:line="360" w:lineRule="auto"/>
        <w:ind w:firstLine="420" w:firstLineChars="200"/>
        <w:rPr>
          <w:rFonts w:ascii="宋体" w:cs="宋体"/>
          <w:szCs w:val="21"/>
        </w:rPr>
      </w:pPr>
      <w:r>
        <w:rPr>
          <w:rFonts w:hint="eastAsia" w:ascii="宋体" w:hAnsi="宋体" w:cs="宋体"/>
          <w:szCs w:val="21"/>
        </w:rPr>
        <w:t>不论投标结果如何，投标人均应自行承担所有与投标有关的全部费用。</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招标方式</w:t>
      </w:r>
    </w:p>
    <w:p>
      <w:pPr>
        <w:snapToGrid w:val="0"/>
        <w:spacing w:line="360" w:lineRule="auto"/>
        <w:ind w:firstLine="420" w:firstLineChars="200"/>
        <w:jc w:val="left"/>
        <w:rPr>
          <w:rFonts w:ascii="宋体" w:cs="宋体"/>
          <w:szCs w:val="21"/>
        </w:rPr>
      </w:pPr>
      <w:r>
        <w:rPr>
          <w:rFonts w:hint="eastAsia" w:ascii="宋体" w:hAnsi="宋体" w:cs="宋体"/>
          <w:szCs w:val="21"/>
        </w:rPr>
        <w:t>本次招标采用公开招标方式进行。</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投标委托</w:t>
      </w:r>
    </w:p>
    <w:p>
      <w:pPr>
        <w:snapToGrid w:val="0"/>
        <w:spacing w:line="360" w:lineRule="auto"/>
        <w:ind w:firstLine="420" w:firstLineChars="200"/>
        <w:jc w:val="left"/>
        <w:rPr>
          <w:rFonts w:ascii="宋体" w:cs="宋体"/>
          <w:szCs w:val="21"/>
        </w:rPr>
      </w:pPr>
      <w:r>
        <w:rPr>
          <w:rFonts w:hint="eastAsia" w:ascii="宋体" w:hAnsi="宋体" w:cs="宋体"/>
          <w:szCs w:val="21"/>
        </w:rPr>
        <w:t>投标人代表须具有身份证明文件。</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联合体投标</w:t>
      </w:r>
    </w:p>
    <w:p>
      <w:pPr>
        <w:snapToGrid w:val="0"/>
        <w:spacing w:line="360" w:lineRule="auto"/>
        <w:ind w:firstLine="420" w:firstLineChars="200"/>
        <w:jc w:val="left"/>
        <w:rPr>
          <w:rFonts w:ascii="宋体" w:cs="宋体"/>
          <w:szCs w:val="21"/>
        </w:rPr>
      </w:pPr>
      <w:r>
        <w:rPr>
          <w:rFonts w:hint="eastAsia" w:ascii="宋体" w:hAnsi="宋体" w:cs="宋体"/>
          <w:szCs w:val="21"/>
        </w:rPr>
        <w:t>本项目不接受联合体投标。</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转包与分包</w:t>
      </w:r>
    </w:p>
    <w:p>
      <w:pPr>
        <w:snapToGrid w:val="0"/>
        <w:spacing w:line="360" w:lineRule="auto"/>
        <w:ind w:firstLine="420" w:firstLineChars="200"/>
        <w:rPr>
          <w:rFonts w:ascii="宋体" w:cs="宋体"/>
          <w:kern w:val="0"/>
          <w:szCs w:val="21"/>
        </w:rPr>
      </w:pPr>
      <w:r>
        <w:rPr>
          <w:rFonts w:hint="eastAsia" w:ascii="宋体" w:hAnsi="宋体" w:cs="宋体"/>
          <w:kern w:val="0"/>
          <w:szCs w:val="21"/>
        </w:rPr>
        <w:t>本项目不允许转包。分包须经采购人书面同意后方可实施。</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特别说明：</w:t>
      </w:r>
    </w:p>
    <w:p>
      <w:pPr>
        <w:numPr>
          <w:ilvl w:val="2"/>
          <w:numId w:val="1"/>
        </w:numPr>
        <w:snapToGrid w:val="0"/>
        <w:spacing w:line="360" w:lineRule="auto"/>
        <w:ind w:firstLine="420" w:firstLineChars="200"/>
        <w:rPr>
          <w:rFonts w:hint="eastAsia" w:ascii="宋体" w:hAnsi="宋体" w:eastAsia="宋体" w:cs="宋体"/>
          <w:b/>
          <w:szCs w:val="21"/>
        </w:rPr>
      </w:pPr>
      <w:r>
        <w:rPr>
          <w:rFonts w:hint="eastAsia" w:ascii="宋体" w:hAnsi="宋体" w:eastAsia="宋体" w:cs="宋体"/>
          <w:szCs w:val="21"/>
        </w:rPr>
        <w:t>▲</w:t>
      </w:r>
      <w:r>
        <w:rPr>
          <w:rFonts w:hint="eastAsia" w:ascii="宋体" w:hAnsi="宋体" w:eastAsia="宋体" w:cs="宋体"/>
          <w:kern w:val="0"/>
          <w:szCs w:val="21"/>
        </w:rPr>
        <w:t>多家供应商参加投标，如其中两家或两家以上供应商的法定代表人为同一人或相互之间存在投资关系且达到控股的，应当按一个供应商认定。评审时，取其中通过资格审查后的报价最低一家为有效供应商；当报价相同时，则以资信技术标最优一家为有效供应商；均相同时，由评标委员会集体决定。</w:t>
      </w:r>
    </w:p>
    <w:p>
      <w:pPr>
        <w:numPr>
          <w:ilvl w:val="2"/>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非单一产品采购项目中，多家投标人提供的核心产品品牌相同的，按一家投标人认定。</w:t>
      </w:r>
    </w:p>
    <w:p>
      <w:pPr>
        <w:numPr>
          <w:ilvl w:val="2"/>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▲投标人投标所使用的资格、信誉、荣誉、业绩与企业认证必须为本法人所拥有。</w:t>
      </w:r>
    </w:p>
    <w:p>
      <w:pPr>
        <w:numPr>
          <w:ilvl w:val="2"/>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▲投标人应仔细阅读招标文件的所有内容，按照招标文件的要求提交投标文件，并对所提供的全部资料的真实性承担法律责任。</w:t>
      </w:r>
    </w:p>
    <w:p>
      <w:pPr>
        <w:numPr>
          <w:ilvl w:val="2"/>
          <w:numId w:val="1"/>
        </w:numPr>
        <w:snapToGrid w:val="0"/>
        <w:spacing w:line="360" w:lineRule="auto"/>
        <w:ind w:firstLine="420" w:firstLineChars="200"/>
        <w:rPr>
          <w:rFonts w:ascii="宋体" w:cs="宋体"/>
          <w:b/>
          <w:szCs w:val="21"/>
        </w:rPr>
      </w:pPr>
      <w:r>
        <w:rPr>
          <w:rFonts w:hint="eastAsia" w:ascii="宋体" w:hAnsi="宋体" w:eastAsia="宋体" w:cs="宋体"/>
          <w:szCs w:val="21"/>
        </w:rPr>
        <w:t>▲投标人在投标活动中提供任何虚假材料，其投标无效，并报监管部门查处；中标后发现的，中标人须依照相关法律法规赔偿采购人，且民事赔偿并不免除违法投标人的行政与刑事责任。</w:t>
      </w:r>
    </w:p>
    <w:p>
      <w:pPr>
        <w:numPr>
          <w:ilvl w:val="0"/>
          <w:numId w:val="1"/>
        </w:numPr>
        <w:snapToGrid w:val="0"/>
        <w:spacing w:line="360" w:lineRule="auto"/>
        <w:ind w:left="0" w:firstLine="422" w:firstLineChars="200"/>
        <w:outlineLvl w:val="1"/>
        <w:rPr>
          <w:rFonts w:ascii="宋体" w:cs="宋体"/>
          <w:b/>
          <w:szCs w:val="21"/>
        </w:rPr>
      </w:pPr>
      <w:bookmarkStart w:id="52" w:name="_Toc18325"/>
      <w:bookmarkStart w:id="53" w:name="_Toc356371434"/>
      <w:bookmarkStart w:id="54" w:name="_Toc15235"/>
      <w:r>
        <w:rPr>
          <w:rFonts w:hint="eastAsia" w:ascii="宋体" w:hAnsi="宋体" w:cs="宋体"/>
          <w:b/>
          <w:szCs w:val="21"/>
        </w:rPr>
        <w:t>招标文件说明</w:t>
      </w:r>
      <w:bookmarkEnd w:id="52"/>
      <w:bookmarkEnd w:id="53"/>
      <w:bookmarkEnd w:id="54"/>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招标文件的组成</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招标公告；</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投标须知前附表及投标须知；</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采购内容及要求；</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合同文本；</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应提交的有关格式范例；</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评标办法及开标程序。</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招标文件的澄清及修改</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采购人可对已发出的招标文件进行必要的澄清或修改，如澄清或修改的内容可能影响投标文件编制的，采购人应当在投标截止时间至少</w:t>
      </w:r>
      <w:r>
        <w:rPr>
          <w:rFonts w:ascii="宋体" w:hAnsi="宋体" w:cs="宋体"/>
          <w:szCs w:val="21"/>
        </w:rPr>
        <w:t>15</w:t>
      </w:r>
      <w:r>
        <w:rPr>
          <w:rFonts w:hint="eastAsia" w:ascii="宋体" w:hAnsi="宋体" w:cs="宋体"/>
          <w:szCs w:val="21"/>
        </w:rPr>
        <w:t>日前，在采购公告原发布媒体上发布更正公告，更正内容作为招标文件的组成部分；不足</w:t>
      </w:r>
      <w:r>
        <w:rPr>
          <w:rFonts w:ascii="宋体" w:hAnsi="宋体" w:cs="宋体"/>
          <w:szCs w:val="21"/>
        </w:rPr>
        <w:t>15</w:t>
      </w:r>
      <w:r>
        <w:rPr>
          <w:rFonts w:hint="eastAsia" w:ascii="宋体" w:hAnsi="宋体" w:cs="宋体"/>
          <w:szCs w:val="21"/>
        </w:rPr>
        <w:t>日的，采购人将顺延提交投标文件的截止时间。如澄清或修改的内容不影响投标文件编制的，采购人将不延长提交投标文件的截止时间。</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投标人对招标文件有异议的，应当在知道或者应知其权益受到损害之日起七个工作日内以书面形式向采购人提出，否则采购人将不予受理。采购人将在收到异议之日起</w:t>
      </w:r>
      <w:r>
        <w:rPr>
          <w:rFonts w:ascii="宋体" w:hAnsi="宋体" w:cs="宋体"/>
          <w:szCs w:val="21"/>
        </w:rPr>
        <w:t>3</w:t>
      </w:r>
      <w:r>
        <w:rPr>
          <w:rFonts w:hint="eastAsia" w:ascii="宋体" w:hAnsi="宋体" w:cs="宋体"/>
          <w:szCs w:val="21"/>
        </w:rPr>
        <w:t>日内作出答复，并在本采购信息发布媒体上发布变更公告，公告内容作为招标文件的构成部分。</w:t>
      </w:r>
    </w:p>
    <w:p>
      <w:pPr>
        <w:numPr>
          <w:ilvl w:val="0"/>
          <w:numId w:val="1"/>
        </w:numPr>
        <w:snapToGrid w:val="0"/>
        <w:spacing w:line="360" w:lineRule="auto"/>
        <w:ind w:left="0" w:firstLine="422" w:firstLineChars="200"/>
        <w:outlineLvl w:val="1"/>
        <w:rPr>
          <w:rFonts w:ascii="宋体" w:cs="宋体"/>
          <w:b/>
          <w:szCs w:val="21"/>
        </w:rPr>
      </w:pPr>
      <w:bookmarkStart w:id="55" w:name="_Toc10953"/>
      <w:r>
        <w:rPr>
          <w:rFonts w:hint="eastAsia" w:ascii="宋体" w:hAnsi="宋体" w:cs="宋体"/>
          <w:b/>
          <w:szCs w:val="21"/>
        </w:rPr>
        <w:t>投标文件的编制</w:t>
      </w:r>
      <w:bookmarkEnd w:id="50"/>
      <w:bookmarkEnd w:id="51"/>
      <w:bookmarkEnd w:id="55"/>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总体要求</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供应商应仔细阅读招标文件的所有内容，按本文件的要求提供投标文件，并保证所提供的全部资料的真实性，以使其投标文件对招标文件作出实质性响应，否则，投标文件可能视为无效投标文件。</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投标文件及供应商与采购有关的来往通知，函件和文件均应使用中文。</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供应商应按本文件中提供的文件格式、内容和要求制作投标文件。</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投标文件的组成及份数</w:t>
      </w:r>
    </w:p>
    <w:p>
      <w:pPr>
        <w:tabs>
          <w:tab w:val="left" w:pos="0"/>
          <w:tab w:val="left" w:pos="900"/>
          <w:tab w:val="left" w:pos="7020"/>
          <w:tab w:val="left" w:pos="8460"/>
        </w:tabs>
        <w:snapToGrid w:val="0"/>
        <w:spacing w:line="360" w:lineRule="auto"/>
        <w:ind w:firstLine="422" w:firstLineChars="200"/>
        <w:rPr>
          <w:rFonts w:ascii="宋体" w:cs="宋体"/>
          <w:b/>
          <w:szCs w:val="21"/>
        </w:rPr>
      </w:pPr>
      <w:r>
        <w:rPr>
          <w:rFonts w:hint="eastAsia" w:ascii="宋体" w:hAnsi="宋体" w:cs="宋体"/>
          <w:b/>
          <w:szCs w:val="21"/>
        </w:rPr>
        <w:t>▲</w:t>
      </w:r>
      <w:r>
        <w:rPr>
          <w:rFonts w:hint="eastAsia" w:ascii="宋体" w:hAnsi="宋体" w:cs="宋体"/>
          <w:szCs w:val="21"/>
        </w:rPr>
        <w:t>投标文件应分为【资格文件】、【商务技术文件】和【报价文件】。</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【资格文件】</w:t>
      </w:r>
    </w:p>
    <w:p>
      <w:pPr>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）▲投标函；</w:t>
      </w:r>
    </w:p>
    <w:p>
      <w:pPr>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）供应商资格声明；</w:t>
      </w:r>
    </w:p>
    <w:p>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（3）有效的投标人《企业法人营业执照》复印件； </w:t>
      </w:r>
    </w:p>
    <w:p>
      <w:pPr>
        <w:snapToGrid w:val="0"/>
        <w:spacing w:line="360" w:lineRule="auto"/>
        <w:ind w:firstLine="420" w:firstLineChars="200"/>
        <w:rPr>
          <w:rFonts w:hint="eastAsia" w:ascii="宋体" w:hAnsi="宋体" w:cs="宋体"/>
          <w:szCs w:val="21"/>
        </w:rPr>
      </w:pPr>
      <w:r>
        <w:rPr>
          <w:rFonts w:hint="eastAsia" w:ascii="宋体" w:hAnsi="宋体" w:cs="宋体"/>
          <w:szCs w:val="21"/>
        </w:rPr>
        <w:t>（4）有效的投标人《医疗器械经营企业许可证》或医疗器械经营备案凭证复印件，如非第二类、第三类医疗器械产品则无需提供，如果是制造商另须提供《医疗器械生产许可证》；</w:t>
      </w:r>
    </w:p>
    <w:p>
      <w:pPr>
        <w:snapToGrid w:val="0"/>
        <w:spacing w:line="360" w:lineRule="auto"/>
        <w:ind w:firstLine="420" w:firstLineChars="200"/>
        <w:rPr>
          <w:rFonts w:hint="eastAsia" w:ascii="宋体" w:hAnsi="宋体" w:cs="宋体"/>
          <w:szCs w:val="21"/>
        </w:rPr>
      </w:pPr>
      <w:r>
        <w:rPr>
          <w:rFonts w:hint="eastAsia" w:ascii="宋体" w:hAnsi="宋体" w:cs="宋体"/>
          <w:szCs w:val="21"/>
        </w:rPr>
        <w:t>（5）提供有效的投标产品《医疗器械注册证》或备案表，如非医疗器械产品则无需提供；</w:t>
      </w:r>
    </w:p>
    <w:p>
      <w:pPr>
        <w:snapToGrid w:val="0"/>
        <w:spacing w:line="360" w:lineRule="auto"/>
        <w:ind w:firstLine="420" w:firstLineChars="200"/>
        <w:rPr>
          <w:rFonts w:hint="eastAsia" w:ascii="宋体" w:hAnsi="宋体" w:cs="宋体"/>
          <w:szCs w:val="21"/>
        </w:rPr>
      </w:pPr>
      <w:r>
        <w:rPr>
          <w:rFonts w:hint="eastAsia" w:ascii="宋体" w:hAnsi="宋体" w:cs="宋体"/>
          <w:szCs w:val="21"/>
        </w:rPr>
        <w:t>（6）法定代表人授权委托书（授权代表人参加时提供，一式两份，其中一份无需密封，带至开标现场供核验，格式见第五章）；</w:t>
      </w:r>
    </w:p>
    <w:p>
      <w:pPr>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）法定代表人身份证明（法定代表人参加时提供，一式两份，其中一份无需密封，带至开标现场供核验，格式见第五章）；</w:t>
      </w:r>
    </w:p>
    <w:p>
      <w:pPr>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）法定代表人或授权代表人身份证复印件；</w:t>
      </w:r>
    </w:p>
    <w:p>
      <w:pPr>
        <w:snapToGrid w:val="0"/>
        <w:spacing w:line="360" w:lineRule="auto"/>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）无不良信用记录的证明材料【信用中国网站“失信被执行人”“重大税收违法案件当事人” 名单查询结果以网页截图方式留存；中国政府采购网“政府采购严重违法失信行为记录名单”查询结果以网页截图方式留存】。</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【商务技术文件】</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（1）近三年来同类产品的生产、销售情况及主要用户清单；</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（2）详细的产品清单及软硬件简要说明一览表；</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（3）产品主要技术资料和性能的详细描述；</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（4）技术偏离表； </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（5）随机备品、备件和专业工具清单；</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（6）售后服务网点介绍、服务内容、措施和售后服务承诺书；</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（7）技术支持及服务承诺书；</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（8）投标廉洁承诺书；</w:t>
      </w:r>
    </w:p>
    <w:p>
      <w:pPr>
        <w:snapToGrid w:val="0"/>
        <w:spacing w:line="360" w:lineRule="auto"/>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）供应商认为需要的其他技术</w:t>
      </w:r>
      <w:r>
        <w:rPr>
          <w:rFonts w:hint="eastAsia" w:ascii="宋体" w:hAnsi="宋体" w:cs="宋体"/>
          <w:szCs w:val="21"/>
          <w:lang w:eastAsia="zh-CN"/>
        </w:rPr>
        <w:t>商务</w:t>
      </w:r>
      <w:r>
        <w:rPr>
          <w:rFonts w:hint="eastAsia" w:ascii="宋体" w:hAnsi="宋体" w:cs="宋体"/>
          <w:szCs w:val="21"/>
        </w:rPr>
        <w:t>资料。</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【报价文件】</w:t>
      </w:r>
    </w:p>
    <w:p>
      <w:pPr>
        <w:numPr>
          <w:ilvl w:val="0"/>
          <w:numId w:val="2"/>
        </w:numPr>
        <w:snapToGrid w:val="0"/>
        <w:spacing w:line="360" w:lineRule="auto"/>
        <w:ind w:firstLine="420" w:firstLineChars="200"/>
        <w:rPr>
          <w:rFonts w:hint="eastAsia" w:ascii="宋体" w:hAnsi="宋体" w:cs="宋体"/>
          <w:szCs w:val="21"/>
        </w:rPr>
      </w:pPr>
      <w:r>
        <w:rPr>
          <w:rFonts w:hint="eastAsia" w:ascii="宋体" w:hAnsi="宋体" w:cs="宋体"/>
          <w:szCs w:val="21"/>
        </w:rPr>
        <w:t>▲开标一览表；</w:t>
      </w:r>
    </w:p>
    <w:p>
      <w:pPr>
        <w:numPr>
          <w:ilvl w:val="0"/>
          <w:numId w:val="2"/>
        </w:numPr>
        <w:snapToGrid w:val="0"/>
        <w:spacing w:line="360" w:lineRule="auto"/>
        <w:ind w:firstLine="420" w:firstLineChars="200"/>
      </w:pPr>
      <w:r>
        <w:rPr>
          <w:rFonts w:hint="eastAsia"/>
        </w:rPr>
        <w:t>▲投标设备报价明细表；</w:t>
      </w:r>
    </w:p>
    <w:p>
      <w:pPr>
        <w:snapToGrid w:val="0"/>
        <w:spacing w:line="360" w:lineRule="auto"/>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）《中小企业声明函》；</w:t>
      </w:r>
    </w:p>
    <w:p>
      <w:pPr>
        <w:snapToGrid w:val="0"/>
        <w:spacing w:line="360" w:lineRule="auto"/>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）监狱和戒毒企业应提供由省级以上监狱管理局、戒毒管理局（含新疆生产建设兵团）出具的属于监狱企业的证明文件；</w:t>
      </w:r>
    </w:p>
    <w:p>
      <w:pPr>
        <w:snapToGrid w:val="0"/>
        <w:spacing w:line="360" w:lineRule="auto"/>
        <w:ind w:firstLine="420" w:firstLineChars="200"/>
        <w:rPr>
          <w:rFonts w:ascii="宋体" w:cs="宋体"/>
          <w:szCs w:val="21"/>
        </w:rPr>
      </w:pPr>
      <w:r>
        <w:rPr>
          <w:rFonts w:hint="eastAsia" w:ascii="宋体" w:hAnsi="宋体" w:cs="宋体"/>
          <w:szCs w:val="21"/>
          <w:lang w:val="en-GB"/>
        </w:rPr>
        <w:t>（</w:t>
      </w:r>
      <w:r>
        <w:rPr>
          <w:rFonts w:hint="eastAsia" w:ascii="宋体" w:hAnsi="宋体" w:cs="宋体"/>
          <w:szCs w:val="21"/>
          <w:lang w:val="en-US" w:eastAsia="zh-CN"/>
        </w:rPr>
        <w:t>5</w:t>
      </w:r>
      <w:r>
        <w:rPr>
          <w:rFonts w:hint="eastAsia" w:ascii="宋体" w:hAnsi="宋体" w:cs="宋体"/>
          <w:szCs w:val="21"/>
          <w:lang w:val="en-GB"/>
        </w:rPr>
        <w:t>）《产品适用</w:t>
      </w:r>
      <w:r>
        <w:rPr>
          <w:rFonts w:hint="eastAsia" w:ascii="宋体" w:hAnsi="宋体" w:cs="宋体"/>
          <w:szCs w:val="21"/>
        </w:rPr>
        <w:t>监狱和戒毒企业</w:t>
      </w:r>
      <w:r>
        <w:rPr>
          <w:rFonts w:hint="eastAsia" w:ascii="宋体" w:hAnsi="宋体" w:cs="宋体"/>
          <w:szCs w:val="21"/>
          <w:lang w:val="en-GB"/>
        </w:rPr>
        <w:t>政策情况表》；</w:t>
      </w:r>
    </w:p>
    <w:p>
      <w:pPr>
        <w:snapToGrid w:val="0"/>
        <w:spacing w:line="360" w:lineRule="auto"/>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）残疾人福利性单位应提供残疾人福利性单位声明函；</w:t>
      </w:r>
    </w:p>
    <w:p>
      <w:pPr>
        <w:snapToGrid w:val="0"/>
        <w:spacing w:line="360" w:lineRule="auto"/>
        <w:ind w:firstLine="420" w:firstLineChars="200"/>
        <w:rPr>
          <w:rFonts w:ascii="宋体" w:cs="宋体"/>
          <w:szCs w:val="21"/>
        </w:rPr>
      </w:pPr>
      <w:r>
        <w:rPr>
          <w:rFonts w:hint="eastAsia" w:ascii="宋体" w:hAnsi="宋体" w:cs="宋体"/>
          <w:szCs w:val="21"/>
          <w:lang w:val="en-GB"/>
        </w:rPr>
        <w:t>（</w:t>
      </w:r>
      <w:r>
        <w:rPr>
          <w:rFonts w:hint="eastAsia" w:ascii="宋体" w:hAnsi="宋体" w:cs="宋体"/>
          <w:szCs w:val="21"/>
          <w:lang w:val="en-US" w:eastAsia="zh-CN"/>
        </w:rPr>
        <w:t>7</w:t>
      </w:r>
      <w:r>
        <w:rPr>
          <w:rFonts w:hint="eastAsia" w:ascii="宋体" w:hAnsi="宋体" w:cs="宋体"/>
          <w:szCs w:val="21"/>
          <w:lang w:val="en-GB"/>
        </w:rPr>
        <w:t>）《产品适用</w:t>
      </w:r>
      <w:r>
        <w:rPr>
          <w:rFonts w:hint="eastAsia" w:ascii="宋体" w:hAnsi="宋体" w:cs="宋体"/>
          <w:szCs w:val="21"/>
        </w:rPr>
        <w:t>残疾人福利性单位</w:t>
      </w:r>
      <w:r>
        <w:rPr>
          <w:rFonts w:hint="eastAsia" w:ascii="宋体" w:hAnsi="宋体" w:cs="宋体"/>
          <w:szCs w:val="21"/>
          <w:lang w:val="en-GB"/>
        </w:rPr>
        <w:t>政策情况表》；</w:t>
      </w:r>
    </w:p>
    <w:p>
      <w:pPr>
        <w:snapToGrid w:val="0"/>
        <w:spacing w:line="360" w:lineRule="auto"/>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）投标人认为需要提供的其他商务资料。</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投标文件内容填写说明</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供应商必须保证投标文件所提供的全部资料真实可靠，并接受采购人对其中任何资料进一步审查的要求。</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《开标一览表》为在开标仪式上唱标的内容，要求按格式填写、统一规范，不得自行增减内容。</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投标文件不得涂改和增删，如有错漏必须修改，修改处须由法定代表人或授权委托人签字或盖章。</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由于字迹模糊或表达不清引起的后果由投标人负责。</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技术偏离表：所承诺服务等方面有偏离或有优于采购需求的服务，应填写《技术偏离表》，否则认为响应招标文件要求。</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投标报价</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投标报价应按招标文件中相关附表格式填写。</w:t>
      </w:r>
    </w:p>
    <w:p>
      <w:pPr>
        <w:numPr>
          <w:ilvl w:val="2"/>
          <w:numId w:val="1"/>
        </w:numPr>
        <w:snapToGrid w:val="0"/>
        <w:spacing w:line="360" w:lineRule="auto"/>
        <w:ind w:firstLine="420" w:firstLineChars="200"/>
        <w:rPr>
          <w:rFonts w:ascii="宋体" w:cs="宋体"/>
          <w:szCs w:val="21"/>
        </w:rPr>
      </w:pPr>
      <w:r>
        <w:rPr>
          <w:rFonts w:hint="eastAsia" w:ascii="宋体" w:hAnsi="宋体" w:cs="Times New Roman"/>
          <w:sz w:val="21"/>
          <w:szCs w:val="16"/>
          <w:lang w:val="zh-CN"/>
        </w:rPr>
        <w:t>本项目投标报价是履行合同的最终价格，</w:t>
      </w:r>
      <w:r>
        <w:rPr>
          <w:rFonts w:hint="eastAsia" w:ascii="宋体" w:hAnsi="宋体" w:eastAsia="宋体" w:cs="宋体"/>
          <w:szCs w:val="21"/>
        </w:rPr>
        <w:t>报价中必须包含货物及零配件的购置安装、运输保险、装卸、培训辅导、质保期内售后服务、全额含税发票、雇员费用、合同实施过程中的应预见和不可预见费用等</w:t>
      </w:r>
      <w:r>
        <w:rPr>
          <w:rFonts w:hint="eastAsia" w:ascii="宋体" w:hAnsi="宋体" w:cs="Times New Roman"/>
          <w:sz w:val="21"/>
          <w:szCs w:val="16"/>
          <w:lang w:val="zh-CN"/>
        </w:rPr>
        <w:t>。采购人不再为本项目支付其它任何费用。无论投标人对报价是否有特别说明，均视为所报价格包含了招标文件规定的全部项目价格。招标文件未列明，而投标人认为必需的费用也需列入报价。中标后，不得以任何原因及理由作任何调整</w:t>
      </w:r>
      <w:r>
        <w:rPr>
          <w:rFonts w:hint="eastAsia" w:ascii="宋体" w:hAnsi="宋体"/>
          <w:color w:val="000000"/>
        </w:rPr>
        <w:t>。</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投标文件只允许有一个报价，有选择的或有条件的报价将不予接受。</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投标有效期</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▲投标文件从投标文件递交截止之日起，有效期为</w:t>
      </w:r>
      <w:r>
        <w:rPr>
          <w:rFonts w:ascii="宋体" w:hAnsi="宋体" w:cs="宋体"/>
          <w:szCs w:val="21"/>
        </w:rPr>
        <w:t>90</w:t>
      </w:r>
      <w:r>
        <w:rPr>
          <w:rFonts w:hint="eastAsia" w:ascii="宋体" w:hAnsi="宋体" w:cs="宋体"/>
          <w:szCs w:val="21"/>
        </w:rPr>
        <w:t>天；</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pPr>
        <w:numPr>
          <w:ilvl w:val="0"/>
          <w:numId w:val="1"/>
        </w:numPr>
        <w:snapToGrid w:val="0"/>
        <w:spacing w:line="360" w:lineRule="auto"/>
        <w:ind w:left="0" w:firstLine="422" w:firstLineChars="200"/>
        <w:outlineLvl w:val="1"/>
        <w:rPr>
          <w:rFonts w:ascii="宋体" w:cs="宋体"/>
          <w:b/>
          <w:szCs w:val="21"/>
        </w:rPr>
      </w:pPr>
      <w:bookmarkStart w:id="56" w:name="_Toc14685"/>
      <w:bookmarkStart w:id="57" w:name="_Toc2053"/>
      <w:r>
        <w:rPr>
          <w:rFonts w:hint="eastAsia" w:ascii="宋体" w:hAnsi="宋体" w:cs="宋体"/>
          <w:b/>
          <w:szCs w:val="21"/>
        </w:rPr>
        <w:t>投标文件的签署及规定</w:t>
      </w:r>
      <w:bookmarkEnd w:id="56"/>
      <w:bookmarkEnd w:id="57"/>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《投标文件》的签章：见《前附表》；</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《投标文件》应由投标供应商法定代表人或其授权代表签字（或盖章），并时加盖投标供应商公章。</w:t>
      </w:r>
    </w:p>
    <w:p>
      <w:pPr>
        <w:numPr>
          <w:ilvl w:val="0"/>
          <w:numId w:val="1"/>
        </w:numPr>
        <w:snapToGrid w:val="0"/>
        <w:spacing w:line="360" w:lineRule="auto"/>
        <w:ind w:left="0" w:firstLine="422" w:firstLineChars="200"/>
        <w:outlineLvl w:val="1"/>
        <w:rPr>
          <w:rFonts w:ascii="宋体" w:cs="宋体"/>
          <w:b/>
          <w:szCs w:val="21"/>
        </w:rPr>
      </w:pPr>
      <w:bookmarkStart w:id="58" w:name="_Toc356371437"/>
      <w:bookmarkStart w:id="59" w:name="_Toc20021"/>
      <w:bookmarkStart w:id="60" w:name="_Toc28256"/>
      <w:r>
        <w:rPr>
          <w:rFonts w:hint="eastAsia" w:ascii="宋体" w:hAnsi="宋体" w:cs="宋体"/>
          <w:b/>
          <w:szCs w:val="21"/>
        </w:rPr>
        <w:t>投标文件的递交</w:t>
      </w:r>
      <w:bookmarkEnd w:id="58"/>
      <w:bookmarkEnd w:id="59"/>
      <w:bookmarkEnd w:id="60"/>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递交投标文件截止期</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投标供应商应在投标截止时间前将“电子加密投标文件”成功上传递交至“政府采购云平台”，否则投标无效。</w:t>
      </w:r>
    </w:p>
    <w:p>
      <w:pPr>
        <w:numPr>
          <w:ilvl w:val="2"/>
          <w:numId w:val="1"/>
        </w:numPr>
        <w:snapToGrid w:val="0"/>
        <w:spacing w:line="360" w:lineRule="auto"/>
        <w:ind w:firstLine="420" w:firstLineChars="200"/>
        <w:rPr>
          <w:rFonts w:cs="宋体"/>
        </w:rPr>
      </w:pPr>
      <w:r>
        <w:rPr>
          <w:rFonts w:hint="eastAsia" w:ascii="宋体" w:hAnsi="宋体" w:cs="宋体"/>
          <w:szCs w:val="21"/>
        </w:rPr>
        <w:t>“电子加密投标文件”成功上传递交后，供应商可自行打印投标文件接收回执。</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投标文件的修改和撤销</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在递交投标文件截止时间后，供应商不得对其投标文件做任何修改。</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递交投标文件截止时间后，供应商不得撤回其投标文件。</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实质上没有响应本文件要求的投标文件将被拒绝。供应商不得通过修正或撤销不合要求的偏离或保留从而使其投标文件成为实质上响应的文件。</w:t>
      </w:r>
    </w:p>
    <w:p>
      <w:pPr>
        <w:numPr>
          <w:ilvl w:val="0"/>
          <w:numId w:val="1"/>
        </w:numPr>
        <w:snapToGrid w:val="0"/>
        <w:spacing w:line="360" w:lineRule="auto"/>
        <w:ind w:left="0" w:firstLine="422" w:firstLineChars="200"/>
        <w:outlineLvl w:val="1"/>
        <w:rPr>
          <w:rFonts w:ascii="宋体" w:cs="宋体"/>
          <w:b/>
          <w:szCs w:val="21"/>
        </w:rPr>
      </w:pPr>
      <w:bookmarkStart w:id="61" w:name="_Toc2881"/>
      <w:bookmarkStart w:id="62" w:name="_Toc19117"/>
      <w:bookmarkStart w:id="63" w:name="_Toc356371438"/>
      <w:r>
        <w:rPr>
          <w:rFonts w:hint="eastAsia" w:ascii="宋体" w:hAnsi="宋体" w:cs="宋体"/>
          <w:b/>
          <w:szCs w:val="21"/>
        </w:rPr>
        <w:t>投标无效的情形</w:t>
      </w:r>
      <w:bookmarkEnd w:id="61"/>
      <w:bookmarkEnd w:id="62"/>
      <w:bookmarkEnd w:id="63"/>
    </w:p>
    <w:p>
      <w:pPr>
        <w:numPr>
          <w:ilvl w:val="1"/>
          <w:numId w:val="1"/>
        </w:numPr>
        <w:snapToGrid w:val="0"/>
        <w:spacing w:line="360" w:lineRule="auto"/>
        <w:ind w:firstLine="420" w:firstLineChars="200"/>
        <w:rPr>
          <w:rFonts w:ascii="宋体" w:cs="宋体"/>
          <w:szCs w:val="21"/>
        </w:rPr>
      </w:pPr>
      <w:bookmarkStart w:id="64" w:name="_Toc356371439"/>
      <w:r>
        <w:rPr>
          <w:rFonts w:hint="eastAsia" w:ascii="宋体" w:hAnsi="宋体" w:cs="宋体"/>
          <w:szCs w:val="21"/>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不具备招标文件规定资格要求；</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投标文件未按招标文件要求签署、盖章的，未有效授权的；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招标文件中有▲处条款投标人未作实质性响应的；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资格文件或商务技术文件中包含报价的；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投标人的报价明显低于其他通过符合性审查投标人的报价，投标人不能证明其报价合理性，并在评标现场合理的时间内提供书面说明与相关证明材料的；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投标文件关键内容字迹模糊、无法辨认的；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投标文件含有采购人不能接受的附加条件的；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报价超出招标文件中规定的预算金额或者最高限价的；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提供虚假材料谋取中标的；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投标人串通投标的；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电子投标文件解密失败的，且未在规定时间内提交电子备份投标文件的；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仅提交“备份投标文件”的；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电子投标文件未按规定要求提供电子签章的；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电子备份投标文件启用后，未按规定要求提供电子签章的；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不符合法律、法规和招标文件规定的其他实质性要求的。</w:t>
      </w:r>
    </w:p>
    <w:p>
      <w:pPr>
        <w:numPr>
          <w:ilvl w:val="0"/>
          <w:numId w:val="1"/>
        </w:numPr>
        <w:snapToGrid w:val="0"/>
        <w:spacing w:line="360" w:lineRule="auto"/>
        <w:ind w:left="0" w:firstLine="422" w:firstLineChars="200"/>
        <w:outlineLvl w:val="1"/>
        <w:rPr>
          <w:rFonts w:ascii="宋体" w:cs="宋体"/>
          <w:b/>
          <w:szCs w:val="21"/>
        </w:rPr>
      </w:pPr>
      <w:bookmarkStart w:id="65" w:name="_Toc28187"/>
      <w:bookmarkStart w:id="66" w:name="串通投标的情形"/>
      <w:r>
        <w:rPr>
          <w:rFonts w:hint="eastAsia" w:ascii="宋体" w:hAnsi="宋体" w:cs="宋体"/>
          <w:b/>
          <w:szCs w:val="21"/>
        </w:rPr>
        <w:t>串通投标的情形</w:t>
      </w:r>
      <w:bookmarkEnd w:id="65"/>
    </w:p>
    <w:bookmarkEnd w:id="66"/>
    <w:p>
      <w:pPr>
        <w:pStyle w:val="236"/>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pStyle w:val="236"/>
        <w:numPr>
          <w:ilvl w:val="1"/>
          <w:numId w:val="1"/>
        </w:numPr>
        <w:snapToGrid w:val="0"/>
        <w:spacing w:line="360" w:lineRule="auto"/>
        <w:ind w:firstLine="560"/>
        <w:rPr>
          <w:rFonts w:ascii="宋体" w:hAnsi="宋体" w:eastAsia="宋体" w:cs="宋体"/>
          <w:bCs/>
          <w:vanish/>
          <w:szCs w:val="28"/>
        </w:rPr>
      </w:pPr>
    </w:p>
    <w:p>
      <w:pPr>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不同投标人的投标文件由同一单位或者个人编制；</w:t>
      </w:r>
    </w:p>
    <w:p>
      <w:pPr>
        <w:snapToGrid w:val="0"/>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rPr>
        <w:t>不同投标人委托同一单位或者个人办理投标事宜；</w:t>
      </w:r>
    </w:p>
    <w:p>
      <w:pPr>
        <w:snapToGrid w:val="0"/>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不同投标人的投标文件载明的项目管理成员或者联系人员为同一人；</w:t>
      </w:r>
    </w:p>
    <w:p>
      <w:pPr>
        <w:snapToGrid w:val="0"/>
        <w:spacing w:line="360" w:lineRule="auto"/>
        <w:ind w:firstLine="420" w:firstLineChars="200"/>
        <w:rPr>
          <w:rFonts w:ascii="宋体" w:cs="宋体"/>
          <w:szCs w:val="21"/>
        </w:rPr>
      </w:pPr>
      <w:r>
        <w:rPr>
          <w:rFonts w:ascii="宋体" w:hAnsi="宋体" w:cs="宋体"/>
          <w:szCs w:val="21"/>
        </w:rPr>
        <w:t>1.3</w:t>
      </w:r>
      <w:r>
        <w:rPr>
          <w:rFonts w:hint="eastAsia" w:ascii="宋体" w:hAnsi="宋体" w:cs="宋体"/>
          <w:szCs w:val="21"/>
        </w:rPr>
        <w:t>不同投标人的投标文件异常一致或者投标报价呈规律性差异；</w:t>
      </w:r>
    </w:p>
    <w:p>
      <w:pPr>
        <w:snapToGrid w:val="0"/>
        <w:spacing w:line="360" w:lineRule="auto"/>
        <w:ind w:firstLine="420" w:firstLineChars="200"/>
        <w:rPr>
          <w:rFonts w:ascii="宋体" w:cs="宋体"/>
          <w:szCs w:val="21"/>
        </w:rPr>
      </w:pPr>
      <w:r>
        <w:rPr>
          <w:rFonts w:ascii="宋体" w:hAnsi="宋体" w:cs="宋体"/>
          <w:szCs w:val="21"/>
        </w:rPr>
        <w:t>1.4</w:t>
      </w:r>
      <w:r>
        <w:rPr>
          <w:rFonts w:hint="eastAsia" w:ascii="宋体" w:hAnsi="宋体" w:cs="宋体"/>
          <w:szCs w:val="21"/>
        </w:rPr>
        <w:t>不同投标人的投标文件相互混装。</w:t>
      </w:r>
    </w:p>
    <w:p>
      <w:pPr>
        <w:numPr>
          <w:ilvl w:val="0"/>
          <w:numId w:val="1"/>
        </w:numPr>
        <w:snapToGrid w:val="0"/>
        <w:spacing w:line="360" w:lineRule="auto"/>
        <w:ind w:left="0" w:firstLine="422" w:firstLineChars="200"/>
        <w:outlineLvl w:val="1"/>
        <w:rPr>
          <w:rFonts w:ascii="宋体" w:cs="宋体"/>
          <w:b/>
          <w:szCs w:val="21"/>
        </w:rPr>
      </w:pPr>
      <w:bookmarkStart w:id="67" w:name="_Toc26495"/>
      <w:bookmarkStart w:id="68" w:name="_Toc20496"/>
      <w:bookmarkStart w:id="69" w:name="_Toc359592368"/>
      <w:r>
        <w:rPr>
          <w:rFonts w:hint="eastAsia" w:ascii="宋体" w:hAnsi="宋体" w:cs="宋体"/>
          <w:b/>
          <w:szCs w:val="21"/>
        </w:rPr>
        <w:t>废标的情形</w:t>
      </w:r>
      <w:bookmarkEnd w:id="67"/>
      <w:bookmarkEnd w:id="68"/>
      <w:bookmarkEnd w:id="69"/>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采购中，出现下列情形之一的，应予废标，废标后，采购人将废标理由通知所有投标人：</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符合专业条件的投标人或对招标文件作实质性响应的投标人不足三家的；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出现影响采购公证的违法、违规行为的；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投标人的报价均超过了采购预算（最高限价），采购人不能支付的；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因重大变故，采购任务取消的。</w:t>
      </w:r>
    </w:p>
    <w:p>
      <w:pPr>
        <w:numPr>
          <w:ilvl w:val="0"/>
          <w:numId w:val="1"/>
        </w:numPr>
        <w:snapToGrid w:val="0"/>
        <w:spacing w:line="360" w:lineRule="auto"/>
        <w:ind w:left="0" w:firstLine="422" w:firstLineChars="200"/>
        <w:outlineLvl w:val="1"/>
        <w:rPr>
          <w:rFonts w:ascii="宋体" w:cs="宋体"/>
          <w:b/>
          <w:szCs w:val="21"/>
        </w:rPr>
      </w:pPr>
      <w:bookmarkStart w:id="70" w:name="_Toc446"/>
      <w:bookmarkStart w:id="71" w:name="_Toc1465"/>
      <w:r>
        <w:rPr>
          <w:rFonts w:hint="eastAsia" w:ascii="宋体" w:hAnsi="宋体" w:cs="宋体"/>
          <w:b/>
          <w:szCs w:val="21"/>
        </w:rPr>
        <w:t>开标</w:t>
      </w:r>
      <w:bookmarkEnd w:id="64"/>
      <w:r>
        <w:rPr>
          <w:rFonts w:hint="eastAsia" w:ascii="宋体" w:hAnsi="宋体" w:cs="宋体"/>
          <w:b/>
          <w:szCs w:val="21"/>
        </w:rPr>
        <w:t>和评标</w:t>
      </w:r>
      <w:bookmarkEnd w:id="70"/>
      <w:bookmarkEnd w:id="71"/>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开标形式</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采购组织机构将按照招标文件规定的时间通过“政府采购云平台”组织开标、开启投标文件，所有供应商均应当准时在线参加。</w:t>
      </w:r>
    </w:p>
    <w:p>
      <w:pPr>
        <w:numPr>
          <w:ilvl w:val="1"/>
          <w:numId w:val="1"/>
        </w:numPr>
        <w:snapToGrid w:val="0"/>
        <w:spacing w:line="360" w:lineRule="auto"/>
        <w:ind w:firstLine="422" w:firstLineChars="200"/>
        <w:rPr>
          <w:rFonts w:ascii="宋体" w:cs="宋体"/>
          <w:b/>
          <w:bCs/>
          <w:szCs w:val="21"/>
        </w:rPr>
      </w:pPr>
      <w:r>
        <w:rPr>
          <w:rFonts w:hint="eastAsia" w:ascii="宋体" w:hAnsi="宋体" w:cs="宋体"/>
          <w:b/>
          <w:bCs/>
          <w:szCs w:val="21"/>
        </w:rPr>
        <w:t>开标准备</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开标的准备工作由采购组织机构负责落实；</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numPr>
          <w:ilvl w:val="1"/>
          <w:numId w:val="1"/>
        </w:numPr>
        <w:snapToGrid w:val="0"/>
        <w:spacing w:line="360" w:lineRule="auto"/>
        <w:ind w:firstLine="422" w:firstLineChars="200"/>
        <w:rPr>
          <w:rFonts w:ascii="宋体" w:cs="宋体"/>
          <w:b/>
          <w:bCs/>
          <w:szCs w:val="21"/>
        </w:rPr>
      </w:pPr>
      <w:r>
        <w:rPr>
          <w:rFonts w:hint="eastAsia" w:ascii="宋体" w:hAnsi="宋体" w:cs="宋体"/>
          <w:b/>
          <w:bCs/>
          <w:szCs w:val="21"/>
        </w:rPr>
        <w:t>开标流程（两阶段）</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开标第一阶段</w:t>
      </w:r>
    </w:p>
    <w:p>
      <w:pPr>
        <w:spacing w:line="360"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1</w:t>
      </w:r>
      <w:r>
        <w:rPr>
          <w:rFonts w:hint="eastAsia" w:ascii="宋体" w:hAnsi="宋体" w:cs="Arial"/>
          <w:kern w:val="0"/>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2</w:t>
      </w:r>
      <w:r>
        <w:rPr>
          <w:rFonts w:hint="eastAsia" w:ascii="宋体" w:hAnsi="宋体" w:cs="Arial"/>
          <w:kern w:val="0"/>
          <w:szCs w:val="21"/>
        </w:rPr>
        <w:t>）投标文件解密结束，通过邮件形式发送各投标人组织签署《政府采购活动现场确认声明书》；</w:t>
      </w:r>
    </w:p>
    <w:p>
      <w:pPr>
        <w:spacing w:line="360"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3</w:t>
      </w:r>
      <w:r>
        <w:rPr>
          <w:rFonts w:hint="eastAsia" w:ascii="宋体" w:hAnsi="宋体" w:cs="Arial"/>
          <w:kern w:val="0"/>
          <w:szCs w:val="21"/>
        </w:rPr>
        <w:t>）开启投标文件，进入资格审查；</w:t>
      </w:r>
    </w:p>
    <w:p>
      <w:pPr>
        <w:spacing w:line="360"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4</w:t>
      </w:r>
      <w:r>
        <w:rPr>
          <w:rFonts w:hint="eastAsia" w:ascii="宋体" w:hAnsi="宋体" w:cs="Arial"/>
          <w:kern w:val="0"/>
          <w:szCs w:val="21"/>
        </w:rPr>
        <w:t>）开启资格审查通过的投标供应商的商务技术文件进入符合性审查、商务技术评审；</w:t>
      </w:r>
    </w:p>
    <w:p>
      <w:pPr>
        <w:spacing w:line="360"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5</w:t>
      </w:r>
      <w:r>
        <w:rPr>
          <w:rFonts w:hint="eastAsia" w:ascii="宋体" w:hAnsi="宋体" w:cs="Arial"/>
          <w:kern w:val="0"/>
          <w:szCs w:val="21"/>
        </w:rPr>
        <w:t>）第一阶段开标结束。</w:t>
      </w:r>
    </w:p>
    <w:p>
      <w:pPr>
        <w:spacing w:line="360" w:lineRule="auto"/>
        <w:ind w:firstLine="420" w:firstLineChars="200"/>
        <w:jc w:val="left"/>
        <w:rPr>
          <w:rFonts w:ascii="宋体" w:cs="Arial"/>
          <w:kern w:val="0"/>
          <w:szCs w:val="21"/>
        </w:rPr>
      </w:pPr>
      <w:r>
        <w:rPr>
          <w:rFonts w:hint="eastAsia" w:ascii="宋体" w:hAnsi="宋体" w:cs="Arial"/>
          <w:kern w:val="0"/>
          <w:szCs w:val="21"/>
        </w:rPr>
        <w:t>备注：开标大会的第一阶段结束后，采购人或采购代理机构将对依法对投标供应商的资格进行审查，资格审查结束后进入符合性审查和商务技术的评审工作，具体见本章节“投标供应商资格审查”相关规定。</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开标大会第二阶段</w:t>
      </w:r>
    </w:p>
    <w:p>
      <w:pPr>
        <w:spacing w:line="360"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1</w:t>
      </w:r>
      <w:r>
        <w:rPr>
          <w:rFonts w:hint="eastAsia" w:ascii="宋体" w:hAnsi="宋体" w:cs="Arial"/>
          <w:kern w:val="0"/>
          <w:szCs w:val="21"/>
        </w:rPr>
        <w:t>）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pPr>
        <w:spacing w:line="360"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2</w:t>
      </w:r>
      <w:r>
        <w:rPr>
          <w:rFonts w:hint="eastAsia" w:ascii="宋体" w:hAnsi="宋体" w:cs="Arial"/>
          <w:kern w:val="0"/>
          <w:szCs w:val="21"/>
        </w:rPr>
        <w:t>）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spacing w:line="360"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3</w:t>
      </w:r>
      <w:r>
        <w:rPr>
          <w:rFonts w:hint="eastAsia" w:ascii="宋体" w:hAnsi="宋体" w:cs="Arial"/>
          <w:kern w:val="0"/>
          <w:szCs w:val="21"/>
        </w:rPr>
        <w:t>）评审结束后，通过发送邮件形式公布中标（成交）候选供应商名单，及采购人最终确定中标或成交供应商名单的时间和公告方式等。</w:t>
      </w:r>
    </w:p>
    <w:p>
      <w:pPr>
        <w:spacing w:line="360" w:lineRule="auto"/>
        <w:ind w:firstLine="420" w:firstLineChars="200"/>
        <w:jc w:val="left"/>
        <w:rPr>
          <w:rFonts w:ascii="宋体" w:cs="Arial"/>
          <w:kern w:val="0"/>
          <w:szCs w:val="21"/>
        </w:rPr>
      </w:pPr>
      <w:r>
        <w:rPr>
          <w:rFonts w:hint="eastAsia" w:ascii="宋体" w:hAnsi="宋体" w:cs="Arial"/>
          <w:kern w:val="0"/>
          <w:szCs w:val="21"/>
        </w:rPr>
        <w:t>特别说明：如遇“政府采购云平台”电子化开标或评审程序调整的，按调整后程序执行。</w:t>
      </w:r>
    </w:p>
    <w:p>
      <w:pPr>
        <w:numPr>
          <w:ilvl w:val="1"/>
          <w:numId w:val="1"/>
        </w:numPr>
        <w:snapToGrid w:val="0"/>
        <w:spacing w:line="360" w:lineRule="auto"/>
        <w:ind w:firstLine="420" w:firstLineChars="200"/>
        <w:rPr>
          <w:rFonts w:ascii="宋体" w:cs="宋体"/>
          <w:szCs w:val="21"/>
        </w:rPr>
      </w:pPr>
      <w:bookmarkStart w:id="72" w:name="_Toc24550037"/>
      <w:bookmarkStart w:id="73" w:name="_Toc33194393"/>
      <w:r>
        <w:rPr>
          <w:rFonts w:hint="eastAsia" w:ascii="宋体" w:hAnsi="宋体" w:cs="宋体"/>
          <w:szCs w:val="21"/>
        </w:rPr>
        <w:t>投标供应商资格审查</w:t>
      </w:r>
      <w:bookmarkEnd w:id="72"/>
      <w:bookmarkEnd w:id="73"/>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投标供应商提交的资格证明材料无法证明其符合招标文件规定的“投标供应商资格要求”的，采购人或采购代理机构将对其作资格审查不通过处理（无效投标），并不再将其投标提交评标委员会进行后续评审。</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单位负责人为同一人或者存在直接控股、管理关系的不同供应商参加同一合同项下的政府采购活动的，相关投标供应商均作资格无效处理。</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评标委员会</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采购代理机构和采购人将根据招标采购货物的特点组建评标委员会，其成员由技术、经济等方面的专家和采购人代表组成。评标委员会对投标文件进行审查、询标、评议和推荐中标候选人。</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在评标期间，若有需要投标人应派代表参加询标。</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对投标文件的审查和响应性的确定</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评标委员会将审查投标文件是否真实、完整，总体编排是否有序，文件签署是否正确，有无计算上的错误等。</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算术错误将按以下方法更正</w:t>
      </w:r>
      <w:r>
        <w:rPr>
          <w:rFonts w:ascii="宋体" w:hAnsi="宋体" w:cs="宋体"/>
          <w:szCs w:val="21"/>
        </w:rPr>
        <w:t>:</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开标时，投标文件中开标一览表（报价表）内容与投标文件中明细表内容不一致的，以开标一览表（报价表）为准；</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投标文件的大写金额和小写金额不一致的，以大写金额为准；</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单价金额小数点或百分比有明显错位的，以开标一览表的总价为准，并修改单价；</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总价金额与按单价汇总金额不一致的，以单价金额计算结果为准；同时出现两种以上不一致的，按照前款规定的顺序修正，修正后的报价应经投标人书面确认，投标人不予确认的，其投标无效。</w:t>
      </w:r>
    </w:p>
    <w:p>
      <w:pPr>
        <w:snapToGrid w:val="0"/>
        <w:spacing w:line="360" w:lineRule="auto"/>
        <w:ind w:firstLine="420" w:firstLineChars="200"/>
        <w:rPr>
          <w:rFonts w:ascii="宋体" w:cs="宋体"/>
          <w:bCs/>
          <w:szCs w:val="21"/>
        </w:rPr>
      </w:pPr>
      <w:r>
        <w:rPr>
          <w:rFonts w:hint="eastAsia" w:ascii="宋体" w:hAnsi="宋体" w:cs="宋体"/>
          <w:bCs/>
          <w:szCs w:val="21"/>
        </w:rPr>
        <w:t>对不同文字文本投标文件的解释发生异议的，以中文文本为准。</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评标</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评定原则：根据符合采购需求、质量和服务等要求，综合评分确定中标人。</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评标报告：评标委员会完成评定后，向采购人提交经各评标委员会成员签字的评定结果报告，并按评定办法推荐中标候选人。</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保密</w:t>
      </w:r>
    </w:p>
    <w:p>
      <w:pPr>
        <w:numPr>
          <w:ilvl w:val="2"/>
          <w:numId w:val="1"/>
        </w:numPr>
        <w:snapToGrid w:val="0"/>
        <w:spacing w:line="360" w:lineRule="auto"/>
        <w:ind w:firstLine="420" w:firstLineChars="200"/>
        <w:rPr>
          <w:rFonts w:ascii="宋体" w:cs="宋体"/>
          <w:szCs w:val="21"/>
        </w:rPr>
      </w:pPr>
      <w:bookmarkStart w:id="74" w:name="_Toc356371440"/>
      <w:r>
        <w:rPr>
          <w:rFonts w:hint="eastAsia" w:ascii="宋体" w:hAnsi="宋体" w:cs="宋体"/>
          <w:szCs w:val="21"/>
        </w:rPr>
        <w:t>公开开标后直到宣布授予中标人合同为止，凡属于审查、澄清、评估和比较投标的有关资料且与授予合同有关的信息都不得向任何投标人或与上述评标过程无关的人员透露。</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投标人对评标、比较或授予合同决定的过程施加影响的企图和行为，都可能导致其投标被拒绝。</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可中止电子交易活动的情形</w:t>
      </w:r>
    </w:p>
    <w:p>
      <w:pPr>
        <w:spacing w:line="360" w:lineRule="auto"/>
        <w:ind w:firstLine="422" w:firstLineChars="200"/>
        <w:rPr>
          <w:rFonts w:ascii="宋体"/>
          <w:szCs w:val="16"/>
        </w:rPr>
      </w:pPr>
      <w:r>
        <w:rPr>
          <w:rFonts w:hint="eastAsia" w:ascii="宋体" w:hAnsi="宋体"/>
          <w:b/>
          <w:szCs w:val="16"/>
        </w:rPr>
        <w:t>采购过程中出现以下情形，导致电子交易平台无法正常运行，或者无法保证电子交易的公平、公正和安全时，采购组织机构可中止电子交易活动：</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电子交易平台发生故障而无法登录访问的；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电子交易平台应用或数据库出现错误，不能进行正常操作的；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电子交易平台发现严重安全漏洞，有潜在泄密危险的；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病毒发作导致不能进行正常操作的；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其他无法保证电子交易的公平、公正和安全的情况。</w:t>
      </w:r>
    </w:p>
    <w:p>
      <w:pPr>
        <w:spacing w:line="360" w:lineRule="auto"/>
        <w:ind w:firstLine="482" w:firstLineChars="200"/>
      </w:pPr>
      <w:r>
        <w:rPr>
          <w:rFonts w:hint="eastAsia" w:ascii="宋体" w:hAnsi="宋体"/>
          <w:b/>
          <w:sz w:val="24"/>
        </w:rPr>
        <w:t>出现前款规定情形，不影响采购公平、公正性的，采购组织机构可以待上述情形消除后继续组织电子交易活动；影响或可能影响采购公平、公正性的，应当重新采购。</w:t>
      </w:r>
    </w:p>
    <w:p>
      <w:pPr>
        <w:numPr>
          <w:ilvl w:val="0"/>
          <w:numId w:val="1"/>
        </w:numPr>
        <w:snapToGrid w:val="0"/>
        <w:spacing w:line="360" w:lineRule="auto"/>
        <w:ind w:left="0" w:firstLine="422" w:firstLineChars="200"/>
        <w:outlineLvl w:val="1"/>
        <w:rPr>
          <w:rFonts w:ascii="宋体" w:cs="宋体"/>
          <w:b/>
          <w:szCs w:val="21"/>
        </w:rPr>
      </w:pPr>
      <w:bookmarkStart w:id="75" w:name="_Toc11148"/>
      <w:r>
        <w:rPr>
          <w:rFonts w:hint="eastAsia" w:ascii="宋体" w:hAnsi="宋体" w:cs="宋体"/>
          <w:b/>
          <w:szCs w:val="21"/>
        </w:rPr>
        <w:t>定标</w:t>
      </w:r>
      <w:bookmarkEnd w:id="75"/>
    </w:p>
    <w:bookmarkEnd w:id="74"/>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中标通知和合同授予</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中标通知书：评定结果经公示</w:t>
      </w:r>
      <w:r>
        <w:rPr>
          <w:rFonts w:ascii="宋体" w:hAnsi="宋体" w:cs="宋体"/>
          <w:szCs w:val="21"/>
        </w:rPr>
        <w:t>1</w:t>
      </w:r>
      <w:r>
        <w:rPr>
          <w:rFonts w:hint="eastAsia" w:ascii="宋体" w:hAnsi="宋体" w:cs="宋体"/>
          <w:szCs w:val="21"/>
        </w:rPr>
        <w:t>个工作日后，采购代理机构将以书面形式发出《中标通知书》。《中标通知书》一经发出即发生法律效力。采购人无义务向未中标供应商解释落选原因，不退回投标文件。《中标通知书》将作为签订合同的依据。</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签订合同：中标人按《中标通知书》指定的时间、地点与甲方直接签订合同。在有合理证据证明供应商在投标过程中承诺的内容不能实质响应的，采购人有权拒签合同。</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招标文件、澄清文件、投标文件等，均为签订合同的依据。中标人接到中标通知书后在规定的时间内与采购人签定合同。</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中标人不遵守投标文件的要约、承诺，擅自修改投标文件的内容或在接到中标通知书规定的时间内，借故拖延、拒签合同者，采购人将取消该供应商的中标资格。</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中标人因自身原因放弃中标或因不可抗力不能履行合同的；经质疑，采购人审查确定因中标人在本次招标活动中存在违规行为或其他原因使质疑成立的；采购人可重新组织招标。</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签约后即为招标结束。投标文件一律不退。</w:t>
      </w:r>
    </w:p>
    <w:p>
      <w:pPr>
        <w:numPr>
          <w:ilvl w:val="0"/>
          <w:numId w:val="1"/>
        </w:numPr>
        <w:snapToGrid w:val="0"/>
        <w:spacing w:line="360" w:lineRule="auto"/>
        <w:ind w:left="0" w:firstLine="422" w:firstLineChars="200"/>
        <w:outlineLvl w:val="1"/>
        <w:rPr>
          <w:rFonts w:ascii="宋体" w:cs="宋体"/>
          <w:b/>
          <w:szCs w:val="21"/>
        </w:rPr>
      </w:pPr>
      <w:bookmarkStart w:id="76" w:name="_Toc6522"/>
      <w:bookmarkStart w:id="77" w:name="质疑与投诉"/>
      <w:bookmarkStart w:id="78" w:name="_Toc10212"/>
      <w:bookmarkStart w:id="79" w:name="_Toc356371441"/>
      <w:r>
        <w:rPr>
          <w:rFonts w:hint="eastAsia" w:ascii="宋体" w:hAnsi="宋体" w:cs="宋体"/>
          <w:b/>
          <w:szCs w:val="21"/>
        </w:rPr>
        <w:t>质疑与投诉</w:t>
      </w:r>
      <w:bookmarkEnd w:id="76"/>
      <w:bookmarkEnd w:id="77"/>
    </w:p>
    <w:p>
      <w:pPr>
        <w:numPr>
          <w:ilvl w:val="1"/>
          <w:numId w:val="1"/>
        </w:numPr>
        <w:snapToGrid w:val="0"/>
        <w:spacing w:line="360" w:lineRule="auto"/>
        <w:ind w:firstLine="420" w:firstLineChars="200"/>
        <w:rPr>
          <w:rFonts w:ascii="宋体" w:cs="宋体"/>
          <w:szCs w:val="21"/>
        </w:rPr>
      </w:pPr>
      <w:r>
        <w:rPr>
          <w:rFonts w:hint="eastAsia" w:ascii="宋体" w:hAnsi="宋体" w:cs="宋体"/>
          <w:szCs w:val="21"/>
          <w:lang w:val="zh-CN"/>
        </w:rPr>
        <w:t>根据《中华人民共和国政府采购法》、《中华人民共和国政府采购法实施条例》、</w:t>
      </w:r>
      <w:r>
        <w:rPr>
          <w:rFonts w:hint="eastAsia" w:ascii="宋体" w:hAnsi="宋体" w:cs="宋体"/>
          <w:szCs w:val="21"/>
        </w:rPr>
        <w:t>《政府采购质疑和投诉办法》</w:t>
      </w:r>
      <w:r>
        <w:rPr>
          <w:rFonts w:ascii="宋体" w:hAnsi="宋体" w:cs="宋体"/>
          <w:szCs w:val="21"/>
          <w:lang w:val="zh-CN"/>
        </w:rPr>
        <w:t>(</w:t>
      </w:r>
      <w:r>
        <w:rPr>
          <w:rFonts w:hint="eastAsia" w:ascii="宋体" w:hAnsi="宋体" w:cs="宋体"/>
          <w:szCs w:val="21"/>
        </w:rPr>
        <w:t>财政部令第</w:t>
      </w:r>
      <w:r>
        <w:rPr>
          <w:rFonts w:ascii="宋体" w:hAnsi="宋体" w:cs="宋体"/>
          <w:szCs w:val="21"/>
        </w:rPr>
        <w:t>94</w:t>
      </w:r>
      <w:r>
        <w:rPr>
          <w:rFonts w:hint="eastAsia" w:ascii="宋体" w:hAnsi="宋体" w:cs="宋体"/>
          <w:szCs w:val="21"/>
        </w:rPr>
        <w:t>号</w:t>
      </w:r>
      <w:r>
        <w:rPr>
          <w:rFonts w:ascii="宋体" w:hAnsi="宋体" w:cs="宋体"/>
          <w:szCs w:val="21"/>
          <w:lang w:val="zh-CN"/>
        </w:rPr>
        <w:t>)</w:t>
      </w:r>
      <w:r>
        <w:rPr>
          <w:rFonts w:hint="eastAsia" w:ascii="宋体" w:hAnsi="宋体" w:cs="宋体"/>
          <w:szCs w:val="21"/>
          <w:lang w:val="zh-CN"/>
        </w:rPr>
        <w:t>，政府采购供应商可以依法提起质疑和投诉。</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供应商询问</w:t>
      </w:r>
    </w:p>
    <w:p>
      <w:pPr>
        <w:snapToGrid w:val="0"/>
        <w:spacing w:line="360" w:lineRule="auto"/>
        <w:ind w:firstLine="420" w:firstLineChars="200"/>
        <w:rPr>
          <w:rFonts w:ascii="宋体" w:cs="宋体"/>
          <w:szCs w:val="21"/>
        </w:rPr>
      </w:pPr>
      <w:r>
        <w:rPr>
          <w:rFonts w:hint="eastAsia" w:ascii="宋体" w:hAnsi="宋体" w:cs="宋体"/>
          <w:szCs w:val="21"/>
          <w:lang w:val="zh-CN"/>
        </w:rPr>
        <w:t>供应商对政府采购活动事项有疑问的，可以向采购机构提出询问，采购机构在</w:t>
      </w:r>
      <w:r>
        <w:rPr>
          <w:rFonts w:ascii="宋体" w:hAnsi="宋体" w:cs="宋体"/>
          <w:szCs w:val="21"/>
          <w:lang w:val="zh-CN"/>
        </w:rPr>
        <w:t>3</w:t>
      </w:r>
      <w:r>
        <w:rPr>
          <w:rFonts w:hint="eastAsia" w:ascii="宋体" w:hAnsi="宋体" w:cs="宋体"/>
          <w:szCs w:val="21"/>
          <w:lang w:val="zh-CN"/>
        </w:rPr>
        <w:t>个工作日内作出答复，但答复的内容不得涉及商业秘密。</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供应商质疑</w:t>
      </w:r>
    </w:p>
    <w:p>
      <w:pPr>
        <w:snapToGrid w:val="0"/>
        <w:spacing w:line="360" w:lineRule="auto"/>
        <w:ind w:firstLine="420" w:firstLineChars="200"/>
        <w:rPr>
          <w:rFonts w:ascii="宋体" w:cs="宋体"/>
          <w:szCs w:val="21"/>
        </w:rPr>
      </w:pPr>
      <w:r>
        <w:rPr>
          <w:rFonts w:hint="eastAsia" w:ascii="宋体" w:hAnsi="宋体" w:cs="宋体"/>
          <w:szCs w:val="21"/>
        </w:rPr>
        <w:t>供应商认为招标文件、采购过程和中标、成交结果使自己的权益受到损害的，可以在知道或者应知其权益受到损害之日起七个工作日内，以书面形式向采购机构提出质疑。</w:t>
      </w:r>
    </w:p>
    <w:p>
      <w:pPr>
        <w:snapToGrid w:val="0"/>
        <w:spacing w:line="360" w:lineRule="auto"/>
        <w:ind w:firstLine="420" w:firstLineChars="200"/>
        <w:rPr>
          <w:rFonts w:ascii="宋体" w:cs="宋体"/>
          <w:szCs w:val="21"/>
        </w:rPr>
      </w:pPr>
      <w:r>
        <w:rPr>
          <w:rFonts w:hint="eastAsia" w:ascii="宋体" w:hAnsi="宋体" w:cs="宋体"/>
          <w:szCs w:val="21"/>
        </w:rPr>
        <w:t>政府采购法第五十二条规定的供应商应知其权益受到损害之日，是指：</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对采购文件提出质疑的，应当在获取采购文件或者采购文件公告期限届满之日起</w:t>
      </w:r>
      <w:r>
        <w:rPr>
          <w:rFonts w:ascii="宋体" w:hAnsi="宋体" w:cs="宋体"/>
          <w:szCs w:val="21"/>
        </w:rPr>
        <w:t>7</w:t>
      </w:r>
      <w:r>
        <w:rPr>
          <w:rFonts w:hint="eastAsia" w:ascii="宋体" w:hAnsi="宋体" w:cs="宋体"/>
          <w:szCs w:val="21"/>
        </w:rPr>
        <w:t>个工作日内提出。</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对采购过程提出质疑的，为各采购程序环节结束之日；</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对中标结果提出质疑的，为中标结果公告期限届满之日。</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供应商质疑应当有明确的请求和必要的证明材料。供应商提交的质疑书需一式三份，由法定代表人签字（或盖章）并加盖单位公章。质疑书格式范本详见</w:t>
      </w:r>
      <w:r>
        <w:rPr>
          <w:rFonts w:ascii="宋体" w:hAnsi="宋体" w:cs="宋体"/>
          <w:szCs w:val="21"/>
        </w:rPr>
        <w:t>http://www.qzggzy.com/zlxz/008003/008003001/20180209/e5393fa3-0afe-40b9-9b38-ba76c4c906be.html</w:t>
      </w:r>
      <w:r>
        <w:rPr>
          <w:rFonts w:hint="eastAsia" w:ascii="宋体" w:hAnsi="宋体" w:cs="宋体"/>
          <w:szCs w:val="21"/>
        </w:rPr>
        <w:t>。</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采购机构应当在收到供应商的书面质疑后七个工作日内作出答复，并以书面形式通知质疑供应商和其他与质疑处理结果有利害关系的政府采购当事人，但答复的内容不得涉及商业秘密。</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供应商投诉</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质疑供应商对采购机构的答复不满意或者采购机构未在规定的时间内作出答复的，可以在答复期满后十五个工作日内向同级政府采购监督管理部门提出投诉。</w:t>
      </w:r>
    </w:p>
    <w:p>
      <w:pPr>
        <w:numPr>
          <w:ilvl w:val="0"/>
          <w:numId w:val="1"/>
        </w:numPr>
        <w:snapToGrid w:val="0"/>
        <w:spacing w:line="360" w:lineRule="auto"/>
        <w:ind w:left="0" w:firstLine="422" w:firstLineChars="200"/>
        <w:outlineLvl w:val="1"/>
        <w:rPr>
          <w:rFonts w:ascii="宋体" w:cs="宋体"/>
          <w:b/>
          <w:szCs w:val="21"/>
        </w:rPr>
      </w:pPr>
      <w:bookmarkStart w:id="80" w:name="_Toc20144"/>
      <w:r>
        <w:rPr>
          <w:rFonts w:hint="eastAsia" w:ascii="宋体" w:hAnsi="宋体" w:cs="宋体"/>
          <w:b/>
          <w:szCs w:val="21"/>
        </w:rPr>
        <w:t>法律责任</w:t>
      </w:r>
      <w:bookmarkEnd w:id="78"/>
      <w:bookmarkEnd w:id="79"/>
      <w:bookmarkEnd w:id="80"/>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提供虚假材料谋取中标的；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采取不正当手段诋毁、排挤其他投标人的；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与采购人、采购代理机构、其他投标人恶意串通的；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向采购人、采购代理机构行贿或者提供其他不正当利益的；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在招标过程中与采购人进行协商谈判、不按照招标文件和中标人的投标文件订立合同，或者与采购人另行订立背离合同实质性内容的协议的；</w:t>
      </w:r>
    </w:p>
    <w:p>
      <w:pPr>
        <w:numPr>
          <w:ilvl w:val="2"/>
          <w:numId w:val="1"/>
        </w:numPr>
        <w:snapToGrid w:val="0"/>
        <w:spacing w:line="360" w:lineRule="auto"/>
        <w:ind w:firstLine="420" w:firstLineChars="200"/>
        <w:rPr>
          <w:rFonts w:ascii="宋体" w:cs="宋体"/>
          <w:szCs w:val="21"/>
        </w:rPr>
      </w:pPr>
      <w:r>
        <w:rPr>
          <w:rFonts w:hint="eastAsia" w:ascii="宋体" w:hAnsi="宋体" w:cs="宋体"/>
          <w:szCs w:val="21"/>
        </w:rPr>
        <w:t>拒绝有关部门监督检查或者提供虚假情况的。</w:t>
      </w:r>
    </w:p>
    <w:p>
      <w:pPr>
        <w:numPr>
          <w:ilvl w:val="0"/>
          <w:numId w:val="1"/>
        </w:numPr>
        <w:snapToGrid w:val="0"/>
        <w:spacing w:line="360" w:lineRule="auto"/>
        <w:ind w:left="0" w:firstLine="422" w:firstLineChars="200"/>
        <w:outlineLvl w:val="1"/>
        <w:rPr>
          <w:rFonts w:ascii="宋体" w:cs="宋体"/>
          <w:b/>
          <w:szCs w:val="21"/>
        </w:rPr>
      </w:pPr>
      <w:bookmarkStart w:id="81" w:name="_Toc6783"/>
      <w:r>
        <w:rPr>
          <w:rFonts w:hint="eastAsia" w:ascii="宋体" w:hAnsi="宋体" w:cs="宋体"/>
          <w:b/>
          <w:szCs w:val="21"/>
        </w:rPr>
        <w:t>代理服务费</w:t>
      </w:r>
      <w:bookmarkEnd w:id="81"/>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招标代理服务费由中标单位支付，由招标代理人在发中标通知书时按中标金额为收费基准向中标单位一次性收取。</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招标代理服务收费标准按国家发展计划委员会计价格</w:t>
      </w:r>
      <w:r>
        <w:rPr>
          <w:rFonts w:ascii="宋体" w:hAnsi="宋体" w:cs="宋体"/>
          <w:szCs w:val="21"/>
        </w:rPr>
        <w:t>[2002]1980</w:t>
      </w:r>
      <w:r>
        <w:rPr>
          <w:rFonts w:hint="eastAsia" w:ascii="宋体" w:hAnsi="宋体" w:cs="宋体"/>
          <w:szCs w:val="21"/>
        </w:rPr>
        <w:t>号文件收取，按差额定率累进法计算。</w:t>
      </w:r>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服务费以人民币元收取。</w:t>
      </w:r>
    </w:p>
    <w:p>
      <w:pPr>
        <w:numPr>
          <w:ilvl w:val="0"/>
          <w:numId w:val="1"/>
        </w:numPr>
        <w:snapToGrid w:val="0"/>
        <w:spacing w:line="360" w:lineRule="auto"/>
        <w:ind w:left="0" w:firstLine="422" w:firstLineChars="200"/>
        <w:outlineLvl w:val="1"/>
        <w:rPr>
          <w:rFonts w:ascii="宋体" w:cs="宋体"/>
          <w:b/>
          <w:szCs w:val="21"/>
        </w:rPr>
      </w:pPr>
      <w:bookmarkStart w:id="82" w:name="_Toc356371442"/>
      <w:bookmarkStart w:id="83" w:name="_Toc31597"/>
      <w:bookmarkStart w:id="84" w:name="_Toc14136"/>
      <w:r>
        <w:rPr>
          <w:rFonts w:hint="eastAsia" w:ascii="宋体" w:hAnsi="宋体" w:cs="宋体"/>
          <w:b/>
          <w:szCs w:val="21"/>
        </w:rPr>
        <w:t>其他</w:t>
      </w:r>
      <w:bookmarkEnd w:id="82"/>
      <w:bookmarkEnd w:id="83"/>
      <w:bookmarkEnd w:id="84"/>
    </w:p>
    <w:p>
      <w:pPr>
        <w:numPr>
          <w:ilvl w:val="1"/>
          <w:numId w:val="1"/>
        </w:numPr>
        <w:snapToGrid w:val="0"/>
        <w:spacing w:line="360" w:lineRule="auto"/>
        <w:ind w:firstLine="420" w:firstLineChars="200"/>
        <w:rPr>
          <w:rFonts w:ascii="宋体" w:cs="宋体"/>
          <w:szCs w:val="21"/>
        </w:rPr>
      </w:pPr>
      <w:r>
        <w:rPr>
          <w:rFonts w:hint="eastAsia" w:ascii="宋体" w:hAnsi="宋体" w:cs="宋体"/>
          <w:szCs w:val="21"/>
        </w:rPr>
        <w:t>解释权：本招标文件是依据《政府采购法》及有关规定编制的，解释权属采购人。</w:t>
      </w:r>
    </w:p>
    <w:p>
      <w:pPr>
        <w:numPr>
          <w:ilvl w:val="0"/>
          <w:numId w:val="0"/>
        </w:numPr>
        <w:snapToGrid w:val="0"/>
        <w:spacing w:line="360" w:lineRule="auto"/>
        <w:rPr>
          <w:rFonts w:ascii="宋体" w:cs="宋体"/>
          <w:szCs w:val="21"/>
        </w:rPr>
        <w:sectPr>
          <w:headerReference r:id="rId7" w:type="default"/>
          <w:footerReference r:id="rId8" w:type="default"/>
          <w:pgSz w:w="11906" w:h="16838"/>
          <w:pgMar w:top="1389" w:right="1247" w:bottom="1389" w:left="1247" w:header="851" w:footer="992" w:gutter="283"/>
          <w:cols w:space="720" w:num="1"/>
          <w:docGrid w:linePitch="312" w:charSpace="0"/>
        </w:sectPr>
      </w:pPr>
    </w:p>
    <w:p>
      <w:pPr>
        <w:spacing w:line="312" w:lineRule="auto"/>
        <w:jc w:val="center"/>
        <w:outlineLvl w:val="0"/>
        <w:rPr>
          <w:rFonts w:hint="eastAsia" w:ascii="宋体" w:eastAsia="宋体" w:cs="宋体"/>
          <w:b/>
          <w:szCs w:val="21"/>
          <w:lang w:eastAsia="zh-CN"/>
        </w:rPr>
      </w:pPr>
      <w:bookmarkStart w:id="85" w:name="_Toc26454"/>
      <w:bookmarkStart w:id="86" w:name="_Toc350256314"/>
      <w:bookmarkStart w:id="87" w:name="_Toc14210"/>
      <w:bookmarkStart w:id="88" w:name="_Toc354401531"/>
      <w:bookmarkStart w:id="89" w:name="_Toc322352983"/>
      <w:r>
        <w:rPr>
          <w:rFonts w:hint="eastAsia" w:ascii="宋体" w:hAnsi="宋体" w:cs="宋体"/>
          <w:b/>
          <w:szCs w:val="21"/>
        </w:rPr>
        <w:t>第三章</w:t>
      </w:r>
      <w:bookmarkEnd w:id="85"/>
      <w:bookmarkEnd w:id="86"/>
      <w:bookmarkEnd w:id="87"/>
      <w:bookmarkEnd w:id="88"/>
      <w:bookmarkEnd w:id="89"/>
      <w:r>
        <w:rPr>
          <w:rFonts w:hint="eastAsia" w:ascii="宋体" w:hAnsi="宋体" w:cs="宋体"/>
          <w:b/>
          <w:szCs w:val="21"/>
          <w:lang w:eastAsia="zh-CN"/>
        </w:rPr>
        <w:t>采购内容及要求</w:t>
      </w:r>
    </w:p>
    <w:p>
      <w:pPr>
        <w:spacing w:line="312" w:lineRule="auto"/>
        <w:outlineLvl w:val="0"/>
        <w:rPr>
          <w:rFonts w:cs="宋体"/>
          <w:sz w:val="22"/>
          <w:szCs w:val="22"/>
        </w:rPr>
      </w:pPr>
      <w:bookmarkStart w:id="90" w:name="_Toc350256315"/>
      <w:bookmarkStart w:id="91" w:name="_Toc373"/>
      <w:bookmarkStart w:id="92" w:name="_Toc322352984"/>
      <w:bookmarkStart w:id="93" w:name="_Toc354401534"/>
      <w:bookmarkStart w:id="94" w:name="_Toc15447"/>
    </w:p>
    <w:p>
      <w:pPr>
        <w:widowControl/>
        <w:numPr>
          <w:ilvl w:val="0"/>
          <w:numId w:val="3"/>
        </w:numPr>
        <w:spacing w:line="360" w:lineRule="auto"/>
        <w:textAlignment w:val="baseline"/>
        <w:rPr>
          <w:rStyle w:val="314"/>
          <w:rFonts w:ascii="宋体" w:hAnsi="宋体" w:eastAsia="宋体" w:cs="宋体"/>
          <w:b/>
          <w:bCs/>
          <w:szCs w:val="21"/>
        </w:rPr>
      </w:pPr>
      <w:r>
        <w:rPr>
          <w:rStyle w:val="314"/>
          <w:rFonts w:ascii="宋体" w:hAnsi="宋体" w:eastAsia="宋体" w:cs="宋体"/>
          <w:b/>
          <w:bCs/>
          <w:szCs w:val="21"/>
        </w:rPr>
        <w:t>采购内容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529"/>
        <w:gridCol w:w="702"/>
        <w:gridCol w:w="902"/>
        <w:gridCol w:w="182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78" w:type="dxa"/>
            <w:noWrap/>
          </w:tcPr>
          <w:p>
            <w:pPr>
              <w:snapToGrid w:val="0"/>
              <w:spacing w:line="360" w:lineRule="auto"/>
              <w:rPr>
                <w:rFonts w:ascii="宋体" w:cs="宋体"/>
                <w:kern w:val="0"/>
                <w:szCs w:val="21"/>
              </w:rPr>
            </w:pPr>
            <w:r>
              <w:rPr>
                <w:rFonts w:hint="eastAsia" w:ascii="宋体" w:hAnsi="宋体" w:cs="宋体"/>
                <w:kern w:val="0"/>
                <w:szCs w:val="21"/>
              </w:rPr>
              <w:t>序号</w:t>
            </w:r>
          </w:p>
        </w:tc>
        <w:tc>
          <w:tcPr>
            <w:tcW w:w="3529" w:type="dxa"/>
            <w:noWrap/>
          </w:tcPr>
          <w:p>
            <w:pPr>
              <w:snapToGrid w:val="0"/>
              <w:spacing w:line="360" w:lineRule="auto"/>
              <w:ind w:firstLine="420" w:firstLineChars="200"/>
              <w:rPr>
                <w:rFonts w:ascii="宋体" w:cs="宋体"/>
                <w:kern w:val="0"/>
                <w:szCs w:val="21"/>
              </w:rPr>
            </w:pPr>
            <w:r>
              <w:rPr>
                <w:rFonts w:hint="eastAsia" w:ascii="宋体" w:hAnsi="宋体" w:cs="宋体"/>
                <w:kern w:val="0"/>
                <w:szCs w:val="21"/>
              </w:rPr>
              <w:t>内容</w:t>
            </w:r>
          </w:p>
        </w:tc>
        <w:tc>
          <w:tcPr>
            <w:tcW w:w="702" w:type="dxa"/>
            <w:noWrap/>
          </w:tcPr>
          <w:p>
            <w:pPr>
              <w:snapToGrid w:val="0"/>
              <w:spacing w:line="360" w:lineRule="auto"/>
              <w:rPr>
                <w:rFonts w:ascii="宋体" w:cs="宋体"/>
                <w:kern w:val="0"/>
                <w:szCs w:val="21"/>
              </w:rPr>
            </w:pPr>
            <w:r>
              <w:rPr>
                <w:rFonts w:hint="eastAsia" w:ascii="宋体" w:hAnsi="宋体" w:cs="宋体"/>
                <w:kern w:val="0"/>
                <w:szCs w:val="21"/>
              </w:rPr>
              <w:t>数量</w:t>
            </w:r>
          </w:p>
        </w:tc>
        <w:tc>
          <w:tcPr>
            <w:tcW w:w="902" w:type="dxa"/>
            <w:noWrap/>
          </w:tcPr>
          <w:p>
            <w:pPr>
              <w:snapToGrid w:val="0"/>
              <w:spacing w:line="360" w:lineRule="auto"/>
              <w:jc w:val="center"/>
              <w:rPr>
                <w:rFonts w:ascii="宋体" w:cs="宋体"/>
                <w:kern w:val="0"/>
                <w:szCs w:val="21"/>
              </w:rPr>
            </w:pPr>
            <w:r>
              <w:rPr>
                <w:rFonts w:hint="eastAsia" w:ascii="宋体" w:hAnsi="宋体" w:cs="宋体"/>
                <w:kern w:val="0"/>
                <w:szCs w:val="21"/>
              </w:rPr>
              <w:t>单位</w:t>
            </w:r>
          </w:p>
        </w:tc>
        <w:tc>
          <w:tcPr>
            <w:tcW w:w="1828" w:type="dxa"/>
            <w:noWrap/>
            <w:vAlign w:val="center"/>
          </w:tcPr>
          <w:p>
            <w:pPr>
              <w:snapToGrid w:val="0"/>
              <w:spacing w:line="360" w:lineRule="auto"/>
              <w:jc w:val="center"/>
              <w:rPr>
                <w:rFonts w:ascii="宋体" w:cs="宋体"/>
                <w:color w:val="000000"/>
                <w:kern w:val="0"/>
                <w:szCs w:val="21"/>
              </w:rPr>
            </w:pPr>
            <w:r>
              <w:rPr>
                <w:rFonts w:hint="eastAsia" w:ascii="宋体" w:hAnsi="宋体" w:cs="宋体"/>
                <w:color w:val="000000"/>
                <w:kern w:val="0"/>
                <w:szCs w:val="21"/>
              </w:rPr>
              <w:t>预算金额</w:t>
            </w:r>
          </w:p>
        </w:tc>
        <w:tc>
          <w:tcPr>
            <w:tcW w:w="1828" w:type="dxa"/>
            <w:noWrap/>
            <w:vAlign w:val="center"/>
          </w:tcPr>
          <w:p>
            <w:pPr>
              <w:snapToGrid w:val="0"/>
              <w:spacing w:line="360" w:lineRule="auto"/>
              <w:jc w:val="center"/>
              <w:rPr>
                <w:rFonts w:ascii="宋体" w:cs="宋体"/>
                <w:color w:val="000000"/>
                <w:kern w:val="0"/>
                <w:szCs w:val="21"/>
              </w:rPr>
            </w:pPr>
            <w:r>
              <w:rPr>
                <w:rFonts w:hint="eastAsia" w:ascii="宋体" w:hAnsi="宋体" w:cs="宋体"/>
                <w:color w:val="000000"/>
                <w:kern w:val="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8" w:type="dxa"/>
            <w:noWrap/>
            <w:vAlign w:val="center"/>
          </w:tcPr>
          <w:p>
            <w:pPr>
              <w:snapToGrid w:val="0"/>
              <w:spacing w:line="360" w:lineRule="auto"/>
              <w:ind w:firstLine="420" w:firstLineChars="200"/>
              <w:jc w:val="center"/>
              <w:rPr>
                <w:rFonts w:ascii="宋体" w:hAnsi="宋体" w:cs="宋体"/>
                <w:kern w:val="0"/>
                <w:szCs w:val="21"/>
              </w:rPr>
            </w:pPr>
            <w:r>
              <w:rPr>
                <w:rFonts w:ascii="宋体" w:hAnsi="宋体" w:cs="宋体"/>
                <w:kern w:val="0"/>
                <w:szCs w:val="21"/>
              </w:rPr>
              <w:t>1</w:t>
            </w:r>
          </w:p>
        </w:tc>
        <w:tc>
          <w:tcPr>
            <w:tcW w:w="3529" w:type="dxa"/>
            <w:noWrap/>
            <w:vAlign w:val="center"/>
          </w:tcPr>
          <w:p>
            <w:pPr>
              <w:snapToGrid w:val="0"/>
              <w:spacing w:line="360" w:lineRule="auto"/>
              <w:rPr>
                <w:rFonts w:hint="eastAsia" w:ascii="宋体" w:eastAsia="宋体" w:cs="宋体"/>
                <w:kern w:val="0"/>
                <w:szCs w:val="21"/>
                <w:lang w:eastAsia="zh-CN"/>
              </w:rPr>
            </w:pPr>
            <w:r>
              <w:rPr>
                <w:rFonts w:hint="eastAsia" w:ascii="宋体" w:hAnsi="宋体" w:cs="宋体"/>
                <w:bCs/>
                <w:szCs w:val="21"/>
                <w:lang w:eastAsia="zh-CN"/>
              </w:rPr>
              <w:t>龙游县残疾人联合会龙游县残疾儿童康复中心设备采购项目（标段四）</w:t>
            </w:r>
          </w:p>
        </w:tc>
        <w:tc>
          <w:tcPr>
            <w:tcW w:w="702" w:type="dxa"/>
            <w:noWrap/>
            <w:vAlign w:val="center"/>
          </w:tcPr>
          <w:p>
            <w:pPr>
              <w:snapToGrid w:val="0"/>
              <w:spacing w:line="360" w:lineRule="auto"/>
              <w:jc w:val="center"/>
              <w:rPr>
                <w:rFonts w:ascii="宋体" w:hAnsi="宋体" w:cs="宋体"/>
                <w:kern w:val="0"/>
                <w:szCs w:val="21"/>
              </w:rPr>
            </w:pPr>
            <w:r>
              <w:rPr>
                <w:rFonts w:hint="eastAsia" w:ascii="宋体" w:hAnsi="宋体" w:cs="宋体"/>
                <w:kern w:val="0"/>
                <w:szCs w:val="21"/>
                <w:lang w:val="en-US" w:eastAsia="zh-CN"/>
              </w:rPr>
              <w:t>1</w:t>
            </w:r>
          </w:p>
        </w:tc>
        <w:tc>
          <w:tcPr>
            <w:tcW w:w="902" w:type="dxa"/>
            <w:noWrap/>
            <w:vAlign w:val="center"/>
          </w:tcPr>
          <w:p>
            <w:pPr>
              <w:snapToGrid w:val="0"/>
              <w:spacing w:line="360" w:lineRule="auto"/>
              <w:jc w:val="center"/>
              <w:rPr>
                <w:rFonts w:hint="eastAsia" w:ascii="宋体" w:eastAsia="宋体" w:cs="宋体"/>
                <w:kern w:val="0"/>
                <w:szCs w:val="21"/>
                <w:lang w:eastAsia="zh-CN"/>
              </w:rPr>
            </w:pPr>
            <w:r>
              <w:rPr>
                <w:rFonts w:hint="eastAsia" w:ascii="宋体" w:hAnsi="宋体" w:cs="宋体"/>
                <w:kern w:val="0"/>
                <w:szCs w:val="21"/>
                <w:lang w:eastAsia="zh-CN"/>
              </w:rPr>
              <w:t>台</w:t>
            </w:r>
          </w:p>
        </w:tc>
        <w:tc>
          <w:tcPr>
            <w:tcW w:w="1828" w:type="dxa"/>
            <w:noWrap/>
            <w:vAlign w:val="center"/>
          </w:tcPr>
          <w:p>
            <w:pPr>
              <w:snapToGrid w:val="0"/>
              <w:spacing w:line="360" w:lineRule="auto"/>
              <w:rPr>
                <w:rFonts w:ascii="宋体" w:cs="宋体"/>
                <w:kern w:val="0"/>
                <w:szCs w:val="21"/>
              </w:rPr>
            </w:pPr>
            <w:r>
              <w:rPr>
                <w:rFonts w:hint="eastAsia" w:ascii="宋体" w:hAnsi="宋体" w:cs="宋体"/>
                <w:kern w:val="0"/>
                <w:szCs w:val="21"/>
                <w:lang w:val="en-US" w:eastAsia="zh-CN"/>
              </w:rPr>
              <w:t>1822942.00</w:t>
            </w:r>
            <w:r>
              <w:rPr>
                <w:rFonts w:hint="eastAsia" w:ascii="宋体" w:hAnsi="宋体" w:cs="宋体"/>
                <w:kern w:val="0"/>
                <w:szCs w:val="21"/>
              </w:rPr>
              <w:t>元</w:t>
            </w:r>
          </w:p>
        </w:tc>
        <w:tc>
          <w:tcPr>
            <w:tcW w:w="1828" w:type="dxa"/>
            <w:noWrap/>
            <w:vAlign w:val="center"/>
          </w:tcPr>
          <w:p>
            <w:pPr>
              <w:snapToGrid w:val="0"/>
              <w:spacing w:line="360" w:lineRule="auto"/>
              <w:jc w:val="center"/>
              <w:rPr>
                <w:rFonts w:ascii="宋体" w:hAnsi="宋体" w:cs="宋体"/>
                <w:kern w:val="0"/>
                <w:szCs w:val="21"/>
              </w:rPr>
            </w:pPr>
            <w:r>
              <w:rPr>
                <w:rFonts w:hint="eastAsia" w:ascii="宋体" w:hAnsi="宋体" w:cs="宋体"/>
                <w:kern w:val="0"/>
                <w:szCs w:val="21"/>
                <w:lang w:val="en-US" w:eastAsia="zh-CN"/>
              </w:rPr>
              <w:t>1822942.00元</w:t>
            </w:r>
          </w:p>
        </w:tc>
      </w:tr>
    </w:tbl>
    <w:p>
      <w:pPr>
        <w:numPr>
          <w:ilvl w:val="0"/>
          <w:numId w:val="3"/>
        </w:numPr>
        <w:spacing w:line="360" w:lineRule="auto"/>
        <w:ind w:left="0" w:leftChars="0" w:firstLine="0" w:firstLineChars="0"/>
        <w:rPr>
          <w:rStyle w:val="314"/>
          <w:rFonts w:hint="eastAsia" w:ascii="宋体" w:hAnsi="宋体" w:eastAsia="宋体" w:cs="宋体"/>
          <w:b/>
          <w:bCs/>
          <w:sz w:val="21"/>
          <w:szCs w:val="21"/>
          <w:lang w:val="en-US" w:eastAsia="zh-CN"/>
        </w:rPr>
      </w:pPr>
      <w:r>
        <w:rPr>
          <w:rStyle w:val="314"/>
          <w:rFonts w:hint="eastAsia" w:ascii="宋体" w:hAnsi="宋体" w:cs="宋体"/>
          <w:b/>
          <w:bCs/>
          <w:sz w:val="21"/>
          <w:szCs w:val="21"/>
          <w:lang w:val="en-US" w:eastAsia="zh-CN"/>
        </w:rPr>
        <w:t>采购清单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453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w:t>
            </w:r>
          </w:p>
        </w:tc>
        <w:tc>
          <w:tcPr>
            <w:tcW w:w="453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明细内容</w:t>
            </w:r>
          </w:p>
        </w:tc>
        <w:tc>
          <w:tcPr>
            <w:tcW w:w="1695" w:type="dxa"/>
            <w:vAlign w:val="top"/>
          </w:tcPr>
          <w:p>
            <w:pP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Pr>
          <w:p>
            <w:pPr>
              <w:rPr>
                <w:rFonts w:hint="default"/>
                <w:vertAlign w:val="baseline"/>
                <w:lang w:val="en-US" w:eastAsia="zh-CN"/>
              </w:rPr>
            </w:pPr>
            <w:r>
              <w:rPr>
                <w:rFonts w:hint="default"/>
                <w:vertAlign w:val="baseline"/>
                <w:lang w:val="en-US" w:eastAsia="zh-CN"/>
              </w:rPr>
              <w:t>听统教室</w:t>
            </w:r>
          </w:p>
        </w:tc>
        <w:tc>
          <w:tcPr>
            <w:tcW w:w="4532" w:type="dxa"/>
          </w:tcPr>
          <w:p>
            <w:pPr>
              <w:rPr>
                <w:rFonts w:hint="default"/>
                <w:vertAlign w:val="baseline"/>
                <w:lang w:val="en-US" w:eastAsia="zh-CN"/>
              </w:rPr>
            </w:pPr>
            <w:r>
              <w:rPr>
                <w:rFonts w:hint="default"/>
                <w:vertAlign w:val="baseline"/>
                <w:lang w:val="en-US" w:eastAsia="zh-CN"/>
              </w:rPr>
              <w:t>视听统合训练仪</w:t>
            </w:r>
            <w:r>
              <w:rPr>
                <w:rFonts w:hint="eastAsia"/>
                <w:vertAlign w:val="baseline"/>
                <w:lang w:val="en-US" w:eastAsia="zh-CN"/>
              </w:rPr>
              <w:t>1套、六音训练仪1套、听功能训练卡片用具1套、语言能力评估卡片用具1套、言语功能训练卡片用具1套</w:t>
            </w:r>
          </w:p>
        </w:tc>
        <w:tc>
          <w:tcPr>
            <w:tcW w:w="169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Pr>
          <w:p>
            <w:pPr>
              <w:rPr>
                <w:rFonts w:hint="default"/>
                <w:vertAlign w:val="baseline"/>
                <w:lang w:val="en-US" w:eastAsia="zh-CN"/>
              </w:rPr>
            </w:pPr>
            <w:r>
              <w:rPr>
                <w:rFonts w:hint="default"/>
                <w:vertAlign w:val="baseline"/>
                <w:lang w:val="en-US" w:eastAsia="zh-CN"/>
              </w:rPr>
              <w:t>语言教室</w:t>
            </w:r>
          </w:p>
        </w:tc>
        <w:tc>
          <w:tcPr>
            <w:tcW w:w="4532" w:type="dxa"/>
          </w:tcPr>
          <w:p>
            <w:pPr>
              <w:rPr>
                <w:rFonts w:hint="default"/>
                <w:vertAlign w:val="baseline"/>
                <w:lang w:val="en-US" w:eastAsia="zh-CN"/>
              </w:rPr>
            </w:pPr>
            <w:r>
              <w:rPr>
                <w:rFonts w:hint="default"/>
                <w:vertAlign w:val="baseline"/>
                <w:lang w:val="en-US" w:eastAsia="zh-CN"/>
              </w:rPr>
              <w:t>早期语言综合评估训练仪</w:t>
            </w:r>
            <w:r>
              <w:rPr>
                <w:rFonts w:hint="eastAsia"/>
                <w:vertAlign w:val="baseline"/>
                <w:lang w:val="en-US" w:eastAsia="zh-CN"/>
              </w:rPr>
              <w:t>1套</w:t>
            </w:r>
          </w:p>
          <w:p>
            <w:pPr>
              <w:rPr>
                <w:rFonts w:hint="default"/>
                <w:vertAlign w:val="baseline"/>
                <w:lang w:val="en-US" w:eastAsia="zh-CN"/>
              </w:rPr>
            </w:pPr>
            <w:r>
              <w:rPr>
                <w:rFonts w:hint="default"/>
                <w:vertAlign w:val="baseline"/>
                <w:lang w:val="en-US" w:eastAsia="zh-CN"/>
              </w:rPr>
              <w:t>言语障碍评估与训练仪</w:t>
            </w:r>
            <w:r>
              <w:rPr>
                <w:rFonts w:hint="eastAsia"/>
                <w:vertAlign w:val="baseline"/>
                <w:lang w:val="en-US" w:eastAsia="zh-CN"/>
              </w:rPr>
              <w:t>1套</w:t>
            </w:r>
          </w:p>
          <w:p>
            <w:pPr>
              <w:rPr>
                <w:rFonts w:hint="eastAsia"/>
                <w:vertAlign w:val="baseline"/>
                <w:lang w:val="en-US" w:eastAsia="zh-CN"/>
              </w:rPr>
            </w:pPr>
            <w:r>
              <w:rPr>
                <w:rFonts w:hint="default"/>
                <w:vertAlign w:val="baseline"/>
                <w:lang w:val="en-US" w:eastAsia="zh-CN"/>
              </w:rPr>
              <w:t>言语重读训练仪</w:t>
            </w:r>
            <w:r>
              <w:rPr>
                <w:rFonts w:hint="eastAsia"/>
                <w:vertAlign w:val="baseline"/>
                <w:lang w:val="en-US" w:eastAsia="zh-CN"/>
              </w:rPr>
              <w:t>1套</w:t>
            </w:r>
          </w:p>
          <w:p>
            <w:pPr>
              <w:rPr>
                <w:rFonts w:hint="eastAsia"/>
                <w:vertAlign w:val="baseline"/>
                <w:lang w:val="en-US" w:eastAsia="zh-CN"/>
              </w:rPr>
            </w:pPr>
            <w:r>
              <w:rPr>
                <w:rFonts w:hint="eastAsia"/>
                <w:vertAlign w:val="baseline"/>
                <w:lang w:val="en-US" w:eastAsia="zh-CN"/>
              </w:rPr>
              <w:t>语言能力评估卡片用具5套</w:t>
            </w:r>
          </w:p>
          <w:p>
            <w:pPr>
              <w:rPr>
                <w:rFonts w:hint="default"/>
                <w:vertAlign w:val="baseline"/>
                <w:lang w:val="en-US" w:eastAsia="zh-CN"/>
              </w:rPr>
            </w:pPr>
            <w:r>
              <w:rPr>
                <w:rFonts w:hint="eastAsia"/>
                <w:vertAlign w:val="baseline"/>
                <w:lang w:val="en-US" w:eastAsia="zh-CN"/>
              </w:rPr>
              <w:t>口部构音训练器1套</w:t>
            </w:r>
          </w:p>
        </w:tc>
        <w:tc>
          <w:tcPr>
            <w:tcW w:w="169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Pr>
          <w:p>
            <w:pPr>
              <w:rPr>
                <w:rFonts w:hint="default"/>
                <w:vertAlign w:val="baseline"/>
                <w:lang w:val="en-US" w:eastAsia="zh-CN"/>
              </w:rPr>
            </w:pPr>
            <w:r>
              <w:rPr>
                <w:rFonts w:hint="default"/>
                <w:vertAlign w:val="baseline"/>
                <w:lang w:val="en-US" w:eastAsia="zh-CN"/>
              </w:rPr>
              <w:t>心理康复治疗室</w:t>
            </w:r>
          </w:p>
        </w:tc>
        <w:tc>
          <w:tcPr>
            <w:tcW w:w="4532" w:type="dxa"/>
          </w:tcPr>
          <w:p>
            <w:pPr>
              <w:rPr>
                <w:rFonts w:hint="default"/>
                <w:vertAlign w:val="baseline"/>
                <w:lang w:val="en-US" w:eastAsia="zh-CN"/>
              </w:rPr>
            </w:pPr>
            <w:r>
              <w:rPr>
                <w:rFonts w:hint="default"/>
                <w:vertAlign w:val="baseline"/>
                <w:lang w:val="en-US" w:eastAsia="zh-CN"/>
              </w:rPr>
              <w:t>心理测评管理设备</w:t>
            </w:r>
            <w:r>
              <w:rPr>
                <w:rFonts w:hint="eastAsia"/>
                <w:vertAlign w:val="baseline"/>
                <w:lang w:val="en-US" w:eastAsia="zh-CN"/>
              </w:rPr>
              <w:t>1套、</w:t>
            </w:r>
            <w:r>
              <w:rPr>
                <w:rFonts w:hint="default"/>
                <w:vertAlign w:val="baseline"/>
                <w:lang w:val="en-US" w:eastAsia="zh-CN"/>
              </w:rPr>
              <w:t>情绪与行为障碍干预仪</w:t>
            </w:r>
            <w:r>
              <w:rPr>
                <w:rFonts w:hint="eastAsia"/>
                <w:vertAlign w:val="baseline"/>
                <w:lang w:val="en-US" w:eastAsia="zh-CN"/>
              </w:rPr>
              <w:t>1套、沙盘游戏设备2套</w:t>
            </w:r>
          </w:p>
        </w:tc>
        <w:tc>
          <w:tcPr>
            <w:tcW w:w="169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Pr>
          <w:p>
            <w:pPr>
              <w:rPr>
                <w:rFonts w:hint="default"/>
                <w:vertAlign w:val="baseline"/>
                <w:lang w:val="en-US" w:eastAsia="zh-CN"/>
              </w:rPr>
            </w:pPr>
            <w:r>
              <w:rPr>
                <w:rFonts w:hint="default"/>
                <w:vertAlign w:val="baseline"/>
                <w:lang w:val="en-US" w:eastAsia="zh-CN"/>
              </w:rPr>
              <w:t>VR训练室</w:t>
            </w:r>
          </w:p>
        </w:tc>
        <w:tc>
          <w:tcPr>
            <w:tcW w:w="4532" w:type="dxa"/>
          </w:tcPr>
          <w:p>
            <w:pPr>
              <w:rPr>
                <w:rFonts w:hint="default"/>
                <w:vertAlign w:val="baseline"/>
                <w:lang w:val="en-US" w:eastAsia="zh-CN"/>
              </w:rPr>
            </w:pPr>
            <w:r>
              <w:rPr>
                <w:rFonts w:hint="default"/>
                <w:vertAlign w:val="baseline"/>
                <w:lang w:val="en-US" w:eastAsia="zh-CN"/>
              </w:rPr>
              <w:t>3I反馈训练平台（含12套3I情景）</w:t>
            </w:r>
          </w:p>
        </w:tc>
        <w:tc>
          <w:tcPr>
            <w:tcW w:w="1695" w:type="dxa"/>
          </w:tcPr>
          <w:p>
            <w:pPr>
              <w:rPr>
                <w:rFonts w:hint="default"/>
                <w:vertAlign w:val="baseline"/>
                <w:lang w:val="en-US" w:eastAsia="zh-CN"/>
              </w:rPr>
            </w:pPr>
            <w:r>
              <w:rPr>
                <w:rFonts w:hint="eastAsia"/>
                <w:vertAlign w:val="baseline"/>
                <w:lang w:val="en-US" w:eastAsia="zh-CN"/>
              </w:rPr>
              <w:t>明确内容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top"/>
          </w:tcPr>
          <w:p>
            <w:pPr>
              <w:rPr>
                <w:rFonts w:hint="default"/>
                <w:vertAlign w:val="baseline"/>
                <w:lang w:val="en-US" w:eastAsia="zh-CN"/>
              </w:rPr>
            </w:pPr>
            <w:r>
              <w:rPr>
                <w:rFonts w:hint="default"/>
                <w:vertAlign w:val="baseline"/>
                <w:lang w:val="en-US" w:eastAsia="zh-CN"/>
              </w:rPr>
              <w:t>海豚屋</w:t>
            </w:r>
          </w:p>
        </w:tc>
        <w:tc>
          <w:tcPr>
            <w:tcW w:w="4532" w:type="dxa"/>
            <w:vAlign w:val="top"/>
          </w:tcPr>
          <w:p>
            <w:pPr>
              <w:rPr>
                <w:rFonts w:hint="default"/>
                <w:vertAlign w:val="baseline"/>
                <w:lang w:val="en-US" w:eastAsia="zh-CN"/>
              </w:rPr>
            </w:pPr>
            <w:r>
              <w:rPr>
                <w:rFonts w:hint="default"/>
                <w:vertAlign w:val="baseline"/>
                <w:lang w:val="en-US" w:eastAsia="zh-CN"/>
              </w:rPr>
              <w:t>虚拟互动干预康复训练系统</w:t>
            </w:r>
            <w:r>
              <w:rPr>
                <w:rFonts w:hint="eastAsia"/>
                <w:vertAlign w:val="baseline"/>
                <w:lang w:val="en-US" w:eastAsia="zh-CN"/>
              </w:rPr>
              <w:t>1套</w:t>
            </w:r>
          </w:p>
        </w:tc>
        <w:tc>
          <w:tcPr>
            <w:tcW w:w="1695" w:type="dxa"/>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Pr>
          <w:p>
            <w:pPr>
              <w:rPr>
                <w:rFonts w:hint="default"/>
                <w:vertAlign w:val="baseline"/>
                <w:lang w:val="en-US" w:eastAsia="zh-CN"/>
              </w:rPr>
            </w:pPr>
            <w:r>
              <w:rPr>
                <w:rFonts w:hint="default"/>
                <w:vertAlign w:val="baseline"/>
                <w:lang w:val="en-US" w:eastAsia="zh-CN"/>
              </w:rPr>
              <w:t>矫形器制作室</w:t>
            </w:r>
          </w:p>
        </w:tc>
        <w:tc>
          <w:tcPr>
            <w:tcW w:w="4532" w:type="dxa"/>
          </w:tcPr>
          <w:p>
            <w:pPr>
              <w:rPr>
                <w:rFonts w:hint="default"/>
                <w:vertAlign w:val="baseline"/>
                <w:lang w:val="en-US" w:eastAsia="zh-CN"/>
              </w:rPr>
            </w:pPr>
            <w:r>
              <w:rPr>
                <w:rFonts w:hint="default"/>
                <w:vertAlign w:val="baseline"/>
                <w:lang w:val="en-US" w:eastAsia="zh-CN"/>
              </w:rPr>
              <w:t>操作台</w:t>
            </w:r>
            <w:r>
              <w:rPr>
                <w:rFonts w:hint="eastAsia"/>
                <w:vertAlign w:val="baseline"/>
                <w:lang w:val="en-US" w:eastAsia="zh-CN"/>
              </w:rPr>
              <w:t>1套</w:t>
            </w:r>
          </w:p>
          <w:p>
            <w:pPr>
              <w:rPr>
                <w:rFonts w:hint="default"/>
                <w:vertAlign w:val="baseline"/>
                <w:lang w:val="en-US" w:eastAsia="zh-CN"/>
              </w:rPr>
            </w:pPr>
            <w:r>
              <w:rPr>
                <w:rFonts w:hint="default"/>
                <w:vertAlign w:val="baseline"/>
                <w:lang w:val="en-US" w:eastAsia="zh-CN"/>
              </w:rPr>
              <w:t>操作椅</w:t>
            </w:r>
            <w:r>
              <w:rPr>
                <w:rFonts w:hint="eastAsia"/>
                <w:vertAlign w:val="baseline"/>
                <w:lang w:val="en-US" w:eastAsia="zh-CN"/>
              </w:rPr>
              <w:t>1套</w:t>
            </w:r>
          </w:p>
          <w:p>
            <w:pPr>
              <w:rPr>
                <w:rFonts w:hint="default"/>
                <w:vertAlign w:val="baseline"/>
                <w:lang w:val="en-US" w:eastAsia="zh-CN"/>
              </w:rPr>
            </w:pPr>
            <w:r>
              <w:rPr>
                <w:rFonts w:hint="default"/>
                <w:vertAlign w:val="baseline"/>
                <w:lang w:val="en-US" w:eastAsia="zh-CN"/>
              </w:rPr>
              <w:t>陈列柜</w:t>
            </w:r>
            <w:r>
              <w:rPr>
                <w:rFonts w:hint="eastAsia"/>
                <w:vertAlign w:val="baseline"/>
                <w:lang w:val="en-US" w:eastAsia="zh-CN"/>
              </w:rPr>
              <w:t>1套</w:t>
            </w:r>
          </w:p>
          <w:p>
            <w:pPr>
              <w:rPr>
                <w:rFonts w:hint="default"/>
                <w:vertAlign w:val="baseline"/>
                <w:lang w:val="en-US" w:eastAsia="zh-CN"/>
              </w:rPr>
            </w:pPr>
            <w:r>
              <w:rPr>
                <w:rFonts w:hint="default"/>
                <w:vertAlign w:val="baseline"/>
                <w:lang w:val="en-US" w:eastAsia="zh-CN"/>
              </w:rPr>
              <w:t>模型制作工具</w:t>
            </w:r>
            <w:r>
              <w:rPr>
                <w:rFonts w:hint="eastAsia"/>
                <w:vertAlign w:val="baseline"/>
                <w:lang w:val="en-US" w:eastAsia="zh-CN"/>
              </w:rPr>
              <w:t>1套</w:t>
            </w:r>
          </w:p>
          <w:p>
            <w:pPr>
              <w:rPr>
                <w:rFonts w:hint="default"/>
                <w:vertAlign w:val="baseline"/>
                <w:lang w:val="en-US" w:eastAsia="zh-CN"/>
              </w:rPr>
            </w:pPr>
            <w:r>
              <w:rPr>
                <w:rFonts w:hint="default"/>
                <w:vertAlign w:val="baseline"/>
                <w:lang w:val="en-US" w:eastAsia="zh-CN"/>
              </w:rPr>
              <w:t>模型制作材料</w:t>
            </w:r>
            <w:r>
              <w:rPr>
                <w:rFonts w:hint="eastAsia"/>
                <w:vertAlign w:val="baseline"/>
                <w:lang w:val="en-US" w:eastAsia="zh-CN"/>
              </w:rPr>
              <w:t>1套</w:t>
            </w:r>
          </w:p>
          <w:p>
            <w:pPr>
              <w:rPr>
                <w:rFonts w:hint="default"/>
                <w:vertAlign w:val="baseline"/>
                <w:lang w:val="en-US" w:eastAsia="zh-CN"/>
              </w:rPr>
            </w:pPr>
            <w:r>
              <w:rPr>
                <w:rFonts w:hint="default"/>
                <w:vertAlign w:val="baseline"/>
                <w:lang w:val="en-US" w:eastAsia="zh-CN"/>
              </w:rPr>
              <w:t>基础材料、工具</w:t>
            </w:r>
            <w:r>
              <w:rPr>
                <w:rFonts w:hint="eastAsia"/>
                <w:vertAlign w:val="baseline"/>
                <w:lang w:val="en-US" w:eastAsia="zh-CN"/>
              </w:rPr>
              <w:t>1套</w:t>
            </w:r>
          </w:p>
        </w:tc>
        <w:tc>
          <w:tcPr>
            <w:tcW w:w="1695" w:type="dxa"/>
          </w:tcPr>
          <w:p>
            <w:pPr>
              <w:rPr>
                <w:rFonts w:hint="eastAsia"/>
                <w:vertAlign w:val="baseline"/>
                <w:lang w:val="en-US" w:eastAsia="zh-CN"/>
              </w:rPr>
            </w:pPr>
          </w:p>
        </w:tc>
      </w:tr>
    </w:tbl>
    <w:p>
      <w:pPr>
        <w:numPr>
          <w:ilvl w:val="0"/>
          <w:numId w:val="3"/>
        </w:numPr>
        <w:spacing w:line="360" w:lineRule="auto"/>
        <w:ind w:left="0" w:leftChars="0" w:firstLine="0" w:firstLineChars="0"/>
        <w:rPr>
          <w:rStyle w:val="314"/>
          <w:rFonts w:hint="eastAsia" w:ascii="宋体" w:hAnsi="宋体" w:eastAsia="宋体" w:cs="宋体"/>
          <w:b/>
          <w:bCs/>
          <w:sz w:val="21"/>
          <w:szCs w:val="21"/>
          <w:lang w:val="en-US" w:eastAsia="zh-CN"/>
        </w:rPr>
      </w:pPr>
      <w:r>
        <w:rPr>
          <w:rStyle w:val="314"/>
          <w:rFonts w:ascii="宋体" w:hAnsi="宋体" w:eastAsia="宋体" w:cs="宋体"/>
          <w:b/>
          <w:bCs/>
          <w:szCs w:val="21"/>
        </w:rPr>
        <w:t>技术参数</w:t>
      </w:r>
    </w:p>
    <w:p>
      <w:pPr>
        <w:keepNext w:val="0"/>
        <w:keepLines w:val="0"/>
        <w:pageBreakBefore w:val="0"/>
        <w:tabs>
          <w:tab w:val="left" w:pos="0"/>
          <w:tab w:val="left" w:pos="900"/>
          <w:tab w:val="left" w:pos="7020"/>
          <w:tab w:val="left" w:pos="8460"/>
        </w:tabs>
        <w:kinsoku/>
        <w:overflowPunct/>
        <w:topLinePunct w:val="0"/>
        <w:autoSpaceDE/>
        <w:autoSpaceDN/>
        <w:bidi w:val="0"/>
        <w:snapToGrid w:val="0"/>
        <w:spacing w:line="360" w:lineRule="auto"/>
        <w:ind w:firstLine="422" w:firstLineChars="200"/>
        <w:textAlignment w:val="auto"/>
        <w:outlineLvl w:val="1"/>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（一）听统教室</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视听统合训练仪</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、主要技术指标：</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1主机：</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1.1.1</w:t>
      </w:r>
      <w:r>
        <w:rPr>
          <w:rFonts w:hint="eastAsia" w:ascii="宋体" w:hAnsi="宋体" w:eastAsia="宋体" w:cs="宋体"/>
          <w:sz w:val="21"/>
          <w:szCs w:val="21"/>
        </w:rPr>
        <w:t>机身整体采用一体化ABS热压成型技术制作，具有抗冲击性和电绝缘性。主机设备外观的图案可个性化定制。</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1.1.2</w:t>
      </w:r>
      <w:r>
        <w:rPr>
          <w:rFonts w:hint="eastAsia" w:ascii="宋体" w:hAnsi="宋体" w:eastAsia="宋体" w:cs="宋体"/>
          <w:sz w:val="21"/>
          <w:szCs w:val="21"/>
        </w:rPr>
        <w:t>前置面板部分配备一键式启动开关按钮、音量调节旋钮、USB接口、音频接口。</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1.1.3</w:t>
      </w:r>
      <w:r>
        <w:rPr>
          <w:rFonts w:hint="eastAsia" w:ascii="宋体" w:hAnsi="宋体" w:eastAsia="宋体" w:cs="宋体"/>
          <w:sz w:val="21"/>
          <w:szCs w:val="21"/>
        </w:rPr>
        <w:t>主控端（教师端）：22寸固定电容式触摸，采用1920*1080全高清分辨率，97%sRGB色域，采用航空铝材的万向人体工程学支架，上臂横向可旋转360°。</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1.1.4</w:t>
      </w:r>
      <w:r>
        <w:rPr>
          <w:rFonts w:hint="eastAsia" w:ascii="宋体" w:hAnsi="宋体" w:eastAsia="宋体" w:cs="宋体"/>
          <w:sz w:val="21"/>
          <w:szCs w:val="21"/>
        </w:rPr>
        <w:t>训练端：22寸固定电容式触摸，可横向旋转±90°可上下左右调节，固定于主机侧端，可伸展收缩。</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1.1.5</w:t>
      </w:r>
      <w:r>
        <w:rPr>
          <w:rFonts w:hint="eastAsia" w:ascii="宋体" w:hAnsi="宋体" w:eastAsia="宋体" w:cs="宋体"/>
          <w:sz w:val="21"/>
          <w:szCs w:val="21"/>
        </w:rPr>
        <w:t>内置功放及喇叭:高灵敏度；额定功率：12W； 输入电压：12V-18V DC ；输出阻抗 4 Ω ；钕磁铁频率响应：65Hz-22KHz 。</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1.1.6</w:t>
      </w:r>
      <w:r>
        <w:rPr>
          <w:rFonts w:hint="eastAsia" w:ascii="宋体" w:hAnsi="宋体" w:eastAsia="宋体" w:cs="宋体"/>
          <w:sz w:val="21"/>
          <w:szCs w:val="21"/>
        </w:rPr>
        <w:t>一体式数据输出系统：分辨率高达600*600dpi。翻盖式设计，可伸缩式滑道，方便更换耗材及配件。</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1.1.7</w:t>
      </w:r>
      <w:r>
        <w:rPr>
          <w:rFonts w:hint="eastAsia" w:ascii="宋体" w:hAnsi="宋体" w:eastAsia="宋体" w:cs="宋体"/>
          <w:sz w:val="21"/>
          <w:szCs w:val="21"/>
        </w:rPr>
        <w:t>语音输入：背极式驻极体；指向性：全指向；灵敏度：-38dB±3dB（0dB=1V/Pa at 1kHz）；频率响应：200Hz-10kHz；输出阻抗：≤2.2KΩ。</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w:t>
      </w:r>
      <w:r>
        <w:rPr>
          <w:rFonts w:hint="eastAsia" w:ascii="宋体" w:hAnsi="宋体" w:eastAsia="宋体" w:cs="宋体"/>
          <w:sz w:val="21"/>
          <w:szCs w:val="21"/>
        </w:rPr>
        <w:t>图像捕获功能：不低于500万像素，捕获幅面1280*720，视像解像度（分辨率）1280*720，最大帧数30帧/秒，USB 2.0接口，方便折叠携带，可360度旋转。</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2意念力控制系统（脑电波传输）</w:t>
      </w:r>
      <w:r>
        <w:rPr>
          <w:rFonts w:hint="eastAsia" w:ascii="宋体" w:hAnsi="宋体" w:eastAsia="宋体" w:cs="宋体"/>
          <w:b/>
          <w:bCs/>
          <w:sz w:val="21"/>
          <w:szCs w:val="21"/>
          <w:lang w:eastAsia="zh-CN"/>
        </w:rPr>
        <w:t>（提供检测报告）</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蓝牙传输功能，多点碰触心脉感应，</w:t>
      </w:r>
      <w:r>
        <w:rPr>
          <w:rFonts w:hint="eastAsia" w:ascii="宋体" w:hAnsi="宋体" w:eastAsia="宋体" w:cs="宋体"/>
          <w:kern w:val="0"/>
          <w:sz w:val="21"/>
          <w:szCs w:val="21"/>
          <w:shd w:val="clear" w:color="auto" w:fill="FFFFFF"/>
          <w:lang w:bidi="ar"/>
        </w:rPr>
        <w:t>多种脑电波信号收录，</w:t>
      </w:r>
      <w:r>
        <w:rPr>
          <w:rFonts w:hint="eastAsia" w:ascii="宋体" w:hAnsi="宋体" w:eastAsia="宋体" w:cs="宋体"/>
          <w:sz w:val="21"/>
          <w:szCs w:val="21"/>
        </w:rPr>
        <w:t>具有红蓝两色指示灯，内置电源。</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、主要功能：</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采用音高、音强、节奏三种声音维度的音乐欣赏以及音乐辨识训练，训练过程应用了多媒体动画、音乐、灯光等技术，并加入音乐游戏使训练过程更具趣味性。设备具有六大模块：音乐欣赏、音乐辨识、音乐游戏、自编题库、档案管理、个体指导计划。其中音乐欣赏具备双屏动态显示技术，进行音乐与画面视觉交叉配合训练。</w:t>
      </w:r>
    </w:p>
    <w:p>
      <w:pPr>
        <w:pStyle w:val="245"/>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音乐欣赏</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音高、音强、节奏三种声音维度的训练。</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可进行低频、中频、高频、全频的音高训练。音高采用音乐与画面视觉交叉配合的训练方法；左、右画面分别设置为实物显示与虚拟显示，通过对图像、视频等素材从虚拟到现实显示的动态迁移，实现视觉感知效果的变换。画面效果选择，包含：现实、速写、镜像、卡通、虚拟效果。音高的音乐为滤波复合音，能产生主频特性明确的滤波复合测试音, 其频段为：0.25-0.75,1-2,2-3,3-4kHz。</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可进行强、中强、弱的音强训练。可进行快、慢的节奏训练。音强和节奏的画面全部为原创动画，动画内容和音乐相结合，画面生动形象。音高、音强和节奏的所用音乐均为中外著名曲目，每段曲目总长不超过3.5分钟，曲目择选为单独剪辑编排，从视觉、听觉、反应能力方面进行实时节奏、音高、音强的视听统合训练；</w:t>
      </w:r>
    </w:p>
    <w:p>
      <w:pPr>
        <w:pStyle w:val="245"/>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2.2</w:t>
      </w:r>
      <w:r>
        <w:rPr>
          <w:rFonts w:hint="eastAsia" w:ascii="宋体" w:hAnsi="宋体" w:eastAsia="宋体" w:cs="宋体"/>
          <w:sz w:val="21"/>
          <w:szCs w:val="21"/>
        </w:rPr>
        <w:t>音乐辨识</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音高、音强、节奏的对比训练和测验。</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音高通过对比播放，训练学生对不同音高乐句的辨识。音强通过对比播放，训练学生对不同音强乐句的辨识。节奏通过对比播放，训练学生对不同节奏乐句的辨识。测一测通过对比播放，检验学生对不同音高、音强和节奏乐句的辨识。测一测时，问题和乐句采用随机播放的形式，可以避免学生凭记忆进行选择的情况。</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音乐辨识里所用音乐均为中外著名曲目的乐句，乐句单独剪辑编排，从视觉、听觉、反应能力方面进行实时的节奏、音高、音强的音乐辨识训练；</w:t>
      </w:r>
    </w:p>
    <w:p>
      <w:pPr>
        <w:pStyle w:val="245"/>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音乐游戏</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包括做一做、找一找、画一画和意念力四个类型的趣味游戏训练。</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做一做分为阶段一和阶段二，阶段一、二的难度不同。学生跟随屏幕上的动画做出相应动作，以游戏的形式，提高学生的兴趣，让他们在训练后有充分的放松。</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找一找将声音与实际生活内容的动画相匹配，增加学生对声音的记忆和辨识，促进他们对生活中事物的认识。</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画一画学生根据声音提示，选出正确的图案，并且将图案上色，上色的同时伴有相应的音乐，可以将声音与实际相结合，提高学生的学习兴趣；</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4自编题库</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教师可根据训练的情况和学生的需求，自己编题并上传，形成自编题库。</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档案管理：提供信息化管理，教师可以添加和管理个人信息，进行信息查询。教师可以添加、删除、编辑、查询学生信息，编辑个人信息。</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5意念力控制系统（脑电波传输）</w:t>
      </w:r>
      <w:r>
        <w:rPr>
          <w:rFonts w:hint="eastAsia" w:ascii="宋体" w:hAnsi="宋体" w:eastAsia="宋体" w:cs="宋体"/>
          <w:b/>
          <w:bCs/>
          <w:sz w:val="21"/>
          <w:szCs w:val="21"/>
          <w:lang w:eastAsia="zh-CN"/>
        </w:rPr>
        <w:t>（提供检测报告）</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意念力控制系统利用脑电波传输装置，进行游戏训练。</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可利用精密的生物传感技术及脑电波探测技术，在主机画面中显示多种脑波信号，与专用设备互动，采集学生多种脑力数据，让老师实时掌握学生的脑力状态，将训练过程中脑电波转化为专注度走势，从而时时掌控学生的脑力状态。测试结束后即可立刻显示专注度的数值。在本模块的运动游戏功能中内含跳水、举重、100米赛跑、射箭四种运动竞技，分别对应大脑的放松力训练，专注力训练，反应力训练和瞬间集中训练等。</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6个体指导计划：在测试和训练的基础上，依据学生的不同状况，教师制定个体指导计划。</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7</w:t>
      </w:r>
      <w:r>
        <w:rPr>
          <w:rFonts w:hint="eastAsia" w:ascii="宋体" w:hAnsi="宋体" w:eastAsia="宋体" w:cs="宋体"/>
          <w:kern w:val="0"/>
          <w:sz w:val="21"/>
          <w:szCs w:val="21"/>
          <w:shd w:val="clear" w:color="auto" w:fill="FFFFFF"/>
          <w:lang w:bidi="ar"/>
        </w:rPr>
        <w:t>★</w:t>
      </w:r>
      <w:r>
        <w:rPr>
          <w:rFonts w:hint="eastAsia" w:ascii="宋体" w:hAnsi="宋体" w:eastAsia="宋体" w:cs="宋体"/>
          <w:sz w:val="21"/>
          <w:szCs w:val="21"/>
        </w:rPr>
        <w:t>实时手语同步翻译</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本套设备具有手语翻译功能。</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本套设备具有手语同步翻译，手语视窗可根据用户操作习惯进行任意拖动、放置，可随时开关。手语翻译与训练评估内容同步，由专业级手语翻译教师全程翻译，使听力方面有缺陷的学生实时理解训练内容。</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、主要配置：</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1一体化主机               一台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2主控端                   一台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3训练端                   一台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4键盘/鼠标                一套</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5一体式数据输出系统       一套</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6语音输入系统             一个</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7图像捕获器               一个</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8意念力控制系统           一套</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六音训练仪</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1、主要技术指标：</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操作系统：Windows10 操作系统</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1920*1080全高清分辨率</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英特尔处理器，主频1.6G及以上</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支持USB3.0</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系统内存：4Gb及以上</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2、主要功能：</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系统功能：儿童六音测试系统用于测试听障儿童能够听到言语声音的水平。系统采用游戏的方式测试听障儿童能否察觉言语频率范围内的声音，以及了解听障儿童是否出现听力波动或助听设备异常的情况，确定听障儿童能够听到言语声音的水平。</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2.2系统组成：</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2.2.1六音测试游戏：★系统提供六音测试游戏不少于60套。内容包括察觉、指认、跟读等方面，以游戏的形式对学生进行六音测试,可多次测试。</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2.2.2方法训练模块：察觉训练科目中的内容不少于12套，辨认训练科目中的内容不少于18套。</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2.2.3效果全程监控功能：系统具备效果全程监控功能，全部测试结果自动保存，老师可以通过时间或名称自行检索。</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2.2.4测试结果自动数据化处理：可将多次测试结果汇总、对比。</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2.2.5休闲放松模块：内置儿歌及故事不少于20套。</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听功能训练卡片用具</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包含超音段分辨能力评估训练卡片；听觉理解能力评估卡片；语音均衡式识别能力评估卡片，内置在便携箱内，方便老师随时使用。</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语言能力评估卡片用具</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应包含动词、反义词、会话、句子、量词、名词、形容词、语法、语言理解能力评估，内置在便携箱内，方便老师随时使用。</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言语功能训练卡片用具</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应包含发声训练卡片册、共鸣训练卡片册、构音音位对比能力评估册、构音语音能力评估册、呼吸训练册、口部构音运动能力训练册，内置在便携箱内，方便老师随时使用。</w:t>
      </w:r>
    </w:p>
    <w:p>
      <w:pPr>
        <w:keepNext w:val="0"/>
        <w:keepLines w:val="0"/>
        <w:pageBreakBefore w:val="0"/>
        <w:tabs>
          <w:tab w:val="left" w:pos="0"/>
          <w:tab w:val="left" w:pos="900"/>
          <w:tab w:val="left" w:pos="7020"/>
          <w:tab w:val="left" w:pos="8460"/>
        </w:tabs>
        <w:kinsoku/>
        <w:overflowPunct/>
        <w:topLinePunct w:val="0"/>
        <w:autoSpaceDE/>
        <w:autoSpaceDN/>
        <w:bidi w:val="0"/>
        <w:snapToGrid w:val="0"/>
        <w:spacing w:line="360" w:lineRule="auto"/>
        <w:ind w:firstLine="422" w:firstLineChars="200"/>
        <w:textAlignment w:val="auto"/>
        <w:outlineLvl w:val="1"/>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eastAsia="zh-CN"/>
        </w:rPr>
        <w:t>（二）</w:t>
      </w:r>
      <w:r>
        <w:rPr>
          <w:rFonts w:hint="eastAsia" w:ascii="宋体" w:hAnsi="宋体" w:eastAsia="宋体" w:cs="宋体"/>
          <w:b/>
          <w:bCs/>
          <w:sz w:val="21"/>
          <w:szCs w:val="21"/>
          <w:vertAlign w:val="baseline"/>
          <w:lang w:val="en-US" w:eastAsia="zh-CN"/>
        </w:rPr>
        <w:t>语言教室</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早期语言综合评估训练仪</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1、主要技术指标：</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1.1主机：</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1.1.1机身整体采用一体化ABS热压成型技术制作，具有抗冲击性和电绝缘性。主机设备外观的图案可个性化定制。</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1.1.2前置面板部分配备一键式启动开关按钮、音量调节旋钮、USB接口、音频接口。</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1.1.3主控端（教师端）：22寸固定电容式触摸，采用1920*1080全高清分辨率，97%sRGB色域，采用航空铝材的万向人体工程学支架，上臂横向可旋转360°。</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1.1.4训练端：22寸固定电容式触摸，可横向旋转±90°可上下左右调节，固定于主机侧端，可伸展收缩。</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1.1.5内置功放及喇叭:高灵敏度；额定功率：12W； 输入电压：12V-18V DC ；输出阻抗 4 Ω ；钕磁铁频率响应：65Hz-22KHz 。</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1.1.6一体式数据输出系统：分辨率高达600*600dpi。翻盖式设计，可伸缩式滑道，方便更换耗材及配件。</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1.2意念力控制系统（脑电波传输）</w:t>
      </w:r>
      <w:r>
        <w:rPr>
          <w:rFonts w:hint="eastAsia" w:ascii="宋体" w:hAnsi="宋体" w:eastAsia="宋体" w:cs="宋体"/>
          <w:b/>
          <w:bCs/>
          <w:sz w:val="21"/>
          <w:szCs w:val="21"/>
          <w:lang w:eastAsia="zh-CN"/>
        </w:rPr>
        <w:t>（提供检测报告）</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蓝牙传输功能，多点碰触心脉感应，多种脑电波信号收录，具有红蓝两色指示灯，内置电源。</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2、主要功能：</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2.1该系统用于语言障碍的评估与训练，训练内容分为初级、中级和语言欣赏：</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评估：通过评估划分学生的语言能力阶段；</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2.2语言认知</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言认知包含字词训练和识字练习。识字练习可以使学生掌握基本字的读法、拼音、写法和组词；字词训练中有大量的词语，词汇的编排从日常生活出发，涉及水果、蔬菜、动物、植物、食品、交通工具、图形颜色、人物及职业、玩具及娱乐设施、学习用品、节日、服装、电器等。词汇扩展有大量的词汇应用、扩展训练。</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2.3语言理解</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语言理解包含语言问答和短文理解，里面有大量的句子和小短文素材，既有简单句也有复杂句，小短文难易程度不同；</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2.4语言表达</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语言表达中有难度不同的长短故事，训练内容既有卡通故事又有人物故事，人物故事的题材均来自日常实际生活；</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2.5语言交流</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语言交流的主要内容是情景语言，并辅以语言游戏，以寓教于乐的方式来训练学生的语言能力。情景语言以日常实际生活的情景为依托，培养、训练学生的日常生活行为能力、沟通能力、提升学生的自理能力；</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2.6语言欣赏</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语言欣赏包含儿歌、成语故事、诗歌、童话故事和游戏。使学生在紧张的训练中得到充分的放松休息，进一步提高学生的训练积极性；</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2.7档案管理</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提供信息化管理，教师可以添加和管理个人信息，进行信息查询。教师可以添加、删除、编辑、查询学生信息，编辑个人信息；</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2.8、数据分析</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可对评估结果进行数据分析；</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2.9、意念力游戏（脑电波传输）</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意念力控制系统利用脑电波传输装置，进行游戏训练。</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利用精密的生物传感技术及脑电波探测技术，在主机画面中显示多种脑波信号，与专用设备互动，采集学生多种脑力数据，让老师实时掌握学生的脑力状态，将训练过程中脑电波转化为专注度走势，从而时时掌控学生的脑力状态。测试结束后即可立刻显示专注度的数值。在本模块的运动游戏功能中内含跳水、举重、100米赛跑、射箭四种运动竞技，分别对应大脑的放松力训练，专注力训练，反应力训练和瞬间集中训练等。</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个体指导计划</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在测试和训练的基础上，依据学生的不同状况，教师制定个体指导计划；</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3、主要配置：</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3.1一体化主机               一台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3.2主控端                   一台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3.3训练端                   一台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3.4键盘/鼠标                一套</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3.5一体式数据输出系统       一套</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3.6意念力控制系统           一套 </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言语障碍评估与训练仪</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1、主要技术指标：</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1.1主机：</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1.1.1机身整体采用一体化ABS热压成型技术制作，具有抗冲击性和电绝缘性。主机设备外观的图案可个性化定制。</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1.1.2前置面板部分配备一键式启动开关按钮、音量调节旋钮、USB接口、音频接口。</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1.1.3主控端（教师端）：22寸固定电容式触摸，采用1920*1080全高清分辨率，97%sRGB色域，采用航空铝材的万向人体工程学支架，上臂横向可旋转360°。</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1.1.4训练端：22寸固定电容式触摸，可横向旋转±90°可上下左右调节，固定于主机侧端，可伸展收缩。</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1.1.5内置功放及喇叭:高灵敏度；额定功率：12W； 输入电压：12V-18V DC ；输出阻抗 4 Ω ；钕磁铁频率响应：65Hz-22KHz 。</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1.1.6一体式数据输出系统：分辨率高达600*600dpi。翻盖式设计，可伸缩式滑道，方便更换耗材及配件。</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1.1.7语音输入：背极式驻极体；指向性：全指向；灵敏度：-38dB±3dB（0dB=1V/Pa at 1kHz）；频率响应：200Hz-10kHz；输出阻抗：≤2.2KΩ。</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1.1.8图像捕获功能：不低于500万像素，捕获幅面1280*720，视像解像度（分辨率）1280*720，最大帧数30帧/秒，USB 2.0接口，方便折叠携带，可360度旋转。</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1.2意念力控制系统（脑电波传输）</w:t>
      </w:r>
      <w:r>
        <w:rPr>
          <w:rFonts w:hint="eastAsia" w:ascii="宋体" w:hAnsi="宋体" w:eastAsia="宋体" w:cs="宋体"/>
          <w:b/>
          <w:bCs/>
          <w:sz w:val="21"/>
          <w:szCs w:val="21"/>
          <w:lang w:eastAsia="zh-CN"/>
        </w:rPr>
        <w:t>（提供检测报告）</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蓝牙传输功能，多点碰触心脉感应，多种脑电波信号收录，具有红蓝两色指示灯，内置电源。</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2、主要功能：</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用于言语障碍的评估、训练及指导。</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2.1言语障碍评估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分为构音功能评估和语音清晰度评估，构音功能评估又分为口部运动评估和构音语音评估；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2.2言语障碍训练</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言语障碍训练由基础训练、构音训练和语音训练三个模块组成。基础训练：可进行呼吸、发声、共鸣的促进治疗（39种方法），为建立呼吸、发声、共鸣功能奠定基础。可进行实时声音、响度、清浊音感知，采用游戏动画随着言语参数的实时变化进行训练，包含通过言语声音、强度高低大小、清浊音类型、声时长短的实时变化控制游戏动画进行实时感知和训练。构音训练：发音教育，提供21个声母、16个鼻韵母、6个单韵母及13个复韵母的发音教育，包括发音方法与发音部位、舌位等、以及示范口型与发音器官示意图。可对韵母、声母、声韵组合进行实时交互语音识别游戏训练。可进行声母、词组的重读韵律训练。语音训练：可根据双、三、四音素模式开展单、复、鼻韵母对比识别游戏训练。可进行特定字母的词语和句子训练。可进行词组、句子的重读韵律训练；</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2.3实时交互式语音识别游戏</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训练内容包含大量的实时交互式语音识别游戏，通过游戏的形式，对学生的发音进行实时反馈训练，提高学生的兴趣，集中学生的注意力，增强学生的训练效果。</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2.4档案管理</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提供信息化管理，教师可以添加和管理个人信息，进行信息查询。教师可以添加、删除、编辑、查询学生信息，编辑个人信息。</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2.5数据分析</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对学生的评估结果进行成绩汇总，形成图表。通过图表的形式，可以直观的看出学生在一段时间内的进步效果。</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2.6意念力控制系统（脑电波传输）</w:t>
      </w:r>
      <w:r>
        <w:rPr>
          <w:rFonts w:hint="eastAsia" w:ascii="宋体" w:hAnsi="宋体" w:eastAsia="宋体" w:cs="宋体"/>
          <w:b/>
          <w:bCs/>
          <w:sz w:val="21"/>
          <w:szCs w:val="21"/>
          <w:lang w:eastAsia="zh-CN"/>
        </w:rPr>
        <w:t>（提供检测报告）</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意念力控制系统利用脑电波传输装置，进行游戏训练。</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利用精密的生物传感技术及脑电波探测技术，在主机画面中显示多种脑波信号，与专用设备互动，采集学生多种脑力数据，让老师实时掌握学生的脑力状态，将训练过程中脑电波转化为专注度走势，从而时时掌控学生的脑力状态。测试结束后即可立刻显示专注度的数值。在本模块的运动游戏功能中内含跳水、举重、100米赛跑、射箭四种运动竞技，分别对应大脑的放松力训练，专注力训练，反应力训练和瞬间集中训练等。</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2.7个体指导计划</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在测试和训练的基础上，依据学生的不同状况，教师制定个体指导计划。</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2.8★实时手语同步翻译</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本套设备具有手语翻译功能。</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本套设备具有手语同步翻译，手语视窗可根据用户操作习惯进行任意拖动、放置，可随时开关。手语翻译与训练评估内容同步，由专业级手语翻译教师全程翻译，使听力方面有缺陷的学生实时理解训练内容。</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3、主要配置：</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3.1一体化主机               一台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3.2主控端                   一台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3.3训练端                   一台</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3.4键盘/鼠标                一套</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3.5一体式数据输出系统       一套</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3.6语音输入系统             一个</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3.7图像捕获器               一个</w:t>
      </w:r>
    </w:p>
    <w:p>
      <w:pPr>
        <w:pStyle w:val="245"/>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3.8意念力控制系统           一套</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言语重读训练仪</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1、主要技术指标：</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1.1、主机：</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1.1.1机身整体采用一体化ABS热压成型技术制作，具有抗冲击性和电绝缘性。主机设备外观的图案可个性化定制。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1.1.2前置面板部分配备一键式启动开关按钮、音量调节旋钮、USB接口、音频接口。</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1.1.3主控端（教师端）：22寸固定电容式触摸，采用1920*1080全高清分辨率，97%sRGB色域，采用航空铝材的万向人体工程学支架，上臂横向可旋转360°。</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1.1.4训练端：22寸固定电容式触摸，可横向旋转±90°可上下左右调节，固定于主机侧端，可伸展收缩。</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1.1.5内置功放及喇叭:高灵敏度；额定功率：12W； 输入电压：12V-18V DC ；输出阻抗 4 Ω ；钕磁铁频率响应：65Hz-22KHz 。</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1.1.6一体式数据输出系统：分辨率高达600*600dpi。翻盖式设计，可伸缩式滑道，方便更换耗材及配件。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1.1.7语音输入：背极式驻极体；指向性：全指向；灵敏度：-38dB±3dB（0dB=1V/Pa at 1kHz）；频率响应：200Hz-10kHz；输出阻抗：≤2.2KΩ。</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1.1.8图像捕获功能：不低于500万像素，捕获幅面1280*720，视像解像度（分辨率）1280*720，最大帧数30帧/秒，USB 2.0接口，方便折叠携带，可360度旋转。</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1.2意念力控制系统（脑电波传输）</w:t>
      </w:r>
      <w:r>
        <w:rPr>
          <w:rFonts w:hint="eastAsia" w:ascii="宋体" w:hAnsi="宋体" w:eastAsia="宋体" w:cs="宋体"/>
          <w:b/>
          <w:bCs/>
          <w:sz w:val="21"/>
          <w:szCs w:val="21"/>
          <w:lang w:eastAsia="zh-CN"/>
        </w:rPr>
        <w:t>（提供检测报告）</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蓝牙传输功能，多点碰触心脉感应，多种脑电波信号收录，具有红蓝两色指示灯，内置电源。</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1.2主要功能：</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系统提供言语韵律训练、言语重读干预训练：</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1.2.1口部运动评估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包括舌运动评估、唇运动评估和下颌运动评估；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1.2.2重读训练</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重读训练由节奏训练、基础训练和提高训练三个模块组成。节奏训练：可进行慢板、行板、快板节奏的学习，可进行呼吸和放松训练，可对口部器官进行训练；基础训练：可进行声母、韵母、声韵组合的言语韵律和重读训练，可进行舌、唇、下颌的言语韵律和重读训练；提高训练：可进行句子和段落的言语韵律和重读训练；</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1.3档案管理：</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提供信息化管理，教师可以添加和管理个人信息，进行信息查询。教师可以添加、删除、编辑、查询学生信息，编辑个人信息；</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1.4数据分析</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对学生的评估结果进行成绩汇总，形成图表。通过图表的形式，可以直观的看出学生在一段时间内的进步效果；</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1.5意念力控制系统（脑电波传输）</w:t>
      </w:r>
      <w:r>
        <w:rPr>
          <w:rFonts w:hint="eastAsia" w:ascii="宋体" w:hAnsi="宋体" w:eastAsia="宋体" w:cs="宋体"/>
          <w:b/>
          <w:bCs/>
          <w:sz w:val="21"/>
          <w:szCs w:val="21"/>
          <w:lang w:eastAsia="zh-CN"/>
        </w:rPr>
        <w:t>（提供检测报告）</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意念力控制系统利用脑电波传输装置，进行游戏训练。</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可利用精密的生物传感技术及脑电波探测技术，在主机画面中显示多种脑波信号，与专用设备互动，采集学生多种脑力数据，让老师实时掌握学生的脑力状态，将训练过程中脑电波转化为专注度走势，从而时时掌控学生的脑力状态。测试结束后即可立刻显示专注度的数值。在本模块的运动游戏功能中内含跳水、举重、100米赛跑、射箭四种运动竞技，分别对应大脑的放松力训练，专注力训练，反应力训练和瞬间集中训练等。</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1.6个体指导计划</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在测试和训练的基础上，依据学生的不同状况，教师制定个体指导计划；</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1.7实时手语同步翻译</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本套设备具有手语翻译功能。</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本套设备具有手语同步翻译，手语视窗可根据用户操作习惯进行任意拖动、放置，可随时开关。手语翻译与训练评估内容同步，由专业级手语翻译教师全程翻译，使听力方面有缺陷的学生实时理解训练内容。</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3、主要配置：</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3.1一体化主机               一台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3.2主控端                   一台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3.3训练端                   一台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3.4键盘/鼠标                一套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3.5一体式数据输出系统       一套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3.6音输入系统               一个</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3.7图像捕获器               一个</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3.8意念力控制系统           一套</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语言能力评估卡片用具</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rPr>
        <w:t>应包含发声训练卡片册、共鸣训练卡片册、构音音位对比能力评估册、构音语音能力评估册、呼吸训练册、口部构音运动能力训练册，内置在便携箱内，方便老师随时使用。</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口部构音训练器</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可进行构音器官的主动、主动-辅动、被动等各种形式的训练，13种训练器。</w:t>
      </w:r>
    </w:p>
    <w:p>
      <w:pPr>
        <w:keepNext w:val="0"/>
        <w:keepLines w:val="0"/>
        <w:pageBreakBefore w:val="0"/>
        <w:tabs>
          <w:tab w:val="left" w:pos="0"/>
          <w:tab w:val="left" w:pos="900"/>
          <w:tab w:val="left" w:pos="7020"/>
          <w:tab w:val="left" w:pos="8460"/>
        </w:tabs>
        <w:kinsoku/>
        <w:overflowPunct/>
        <w:topLinePunct w:val="0"/>
        <w:autoSpaceDE/>
        <w:autoSpaceDN/>
        <w:bidi w:val="0"/>
        <w:snapToGrid w:val="0"/>
        <w:spacing w:line="360" w:lineRule="auto"/>
        <w:ind w:firstLine="422" w:firstLineChars="200"/>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（三）</w:t>
      </w:r>
      <w:r>
        <w:rPr>
          <w:rFonts w:hint="eastAsia" w:ascii="宋体" w:hAnsi="宋体" w:eastAsia="宋体" w:cs="宋体"/>
          <w:b/>
          <w:bCs/>
          <w:sz w:val="21"/>
          <w:szCs w:val="21"/>
          <w:lang w:val="en-US" w:eastAsia="zh-CN"/>
        </w:rPr>
        <w:t>心理康复治疗室</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心理测评管理设备</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1、主要技术指标：</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1.1主机：</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1.1.1机身整体采用一体化ABS热压成型技术制作，具有抗冲击性和电绝缘性。主机设备外观的图案可个性化定制。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1.1.2前置面板部分配备一键式启动开关按钮、音量调节旋钮、USB接口、音频接口。</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1.1.3主控端（教师端）：22寸固定电容式触摸，采用1920*1080全高清分辨率，97%sRGB色域，采用航空铝材的万向人体工程学支架，上臂横向可旋转360°。</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1.1.4训练端：22寸固定电容式触摸，可横向旋转±90°可上下左右调节，固定于主机侧端，可伸展收缩。</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1.1.5内置功放及喇叭:高灵敏度；额定功率：12W； 输入电压：12V-18V DC ；输出阻抗 4 Ω ；钕磁铁频率响应：65Hz-22KHz 。</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1.1.6一体式数据输出系统：分辨率高达600*600dpi。翻盖式设计，可伸缩式滑道，方便更换耗材及配件。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1.2意念力控制系统（脑电波传输）</w:t>
      </w:r>
      <w:r>
        <w:rPr>
          <w:rFonts w:hint="eastAsia" w:ascii="宋体" w:hAnsi="宋体" w:eastAsia="宋体" w:cs="宋体"/>
          <w:b/>
          <w:bCs/>
          <w:sz w:val="21"/>
          <w:szCs w:val="21"/>
          <w:lang w:eastAsia="zh-CN"/>
        </w:rPr>
        <w:t>（提供检测报告）</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蓝牙传输功能，多点碰触心脉感应，多种脑电波信号收录，具有红蓝两色指示灯，内置电源。</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2、主要功能：</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该系统选取国际通用测验量表，针对特殊学生的心理和行为问题进行评估：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2.1档案管理：提供信息化管理，教师可以添加、删除、编辑、查询学生信息；</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2.2登录方式：系统提供教师和学生两种登录方式，教师拥有最高级别的权限；</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心理量表：系统的心理量表分为学习障碍、行为、智力、孤独症、情绪、注意力缺陷多动障碍、其他等七大类。包括学习障碍儿童筛查量表、Rutter儿童行为父母问卷、Rutter儿童行为教师问卷、瑞文标准推理测验、瑞文高级推理测验、儿童孤独症家长评定量表、儿童期孤独症评定量表、儿童社交焦虑量表、Sarason考试焦虑量表、汉密顿焦虑量表、抑郁状态问卷、流调用抑郁自评量表、conners简明症状问卷、儿童注意力测试表、儿童多动症行为量表、注意力缺陷多动障碍诊断量表、儿童自我意识量表、中学生学习方法测验、家庭环境量表、中学生意志力调查表等多种量表；</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2.4意念力控制系统（脑电波传输）</w:t>
      </w:r>
      <w:r>
        <w:rPr>
          <w:rFonts w:hint="eastAsia" w:ascii="宋体" w:hAnsi="宋体" w:eastAsia="宋体" w:cs="宋体"/>
          <w:b/>
          <w:bCs/>
          <w:sz w:val="21"/>
          <w:szCs w:val="21"/>
          <w:lang w:eastAsia="zh-CN"/>
        </w:rPr>
        <w:t>（提供检测报告）</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意念力控制系统利用脑电波传输装置，进行游戏训练。</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可利用精密的生物传感技术及脑电波探测技术，在主机画面中显示多种脑波信号，与专用设备互动，采集学生多种脑力数据，让老师实时掌握学生的脑力状态，将训练过程中脑电波转化为专注度走势，从而时时掌控学生的脑力状态。测试结束后即可立刻显示专注度的数值。在本模块的运动游戏功能中内含跳水、举重、100米赛跑、射箭四种运动竞技，分别对应大脑的放松力训练，专注力训练，反应力训练和瞬间集中训练等。</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2.5报告查询：系统自动保存并实时分析处理测评结果，形成专业、科学的心理测评结果分析报告；</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2.6放松模块：心理放松模块包括视听唤醒、舒缓调节和意念力游戏。视听唤醒是音乐和动画相结合的小视频，舒缓调节是儿歌和故事；</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3、主要配置：</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3.1一体化主机               一台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3.2主控端                   一台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3.3训练端                   一台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3.4键盘/鼠标                一套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3.5一体式数据输出系统       一套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3.6意念力控制系统           一套 </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情绪与行为障碍干预仪.</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1、主要技术指标：</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1.1、主机：</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1.1.1）机身整体采用一体化ABS热压成型技术制作，具有抗冲击性和电绝缘性。主机设备外观的图案可个性化定制。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1.1.2）前置面板部分配备一键式启动开关按钮、音量调节旋钮、USB接口、音频接口。</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1.1.3）主控端（教师端）：22寸固定电容式触摸，采用1920*1080全高清分辨率，97%sRGB色域，采用航空铝材的万向人体工程学支架，上臂横向可旋转360°。</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1.1.4）训练端：22寸固定电容式触摸，可横向旋转±90°可上下左右调节，固定于主机侧端，可伸展收缩。</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1.1.5）内置功放及喇叭:高灵敏度；额定功率：12W； 输入电压：12V-18V DC ；输出阻抗 4 Ω ；钕磁铁频率响应：65Hz-22KHz 。</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1.1.6）一体式数据输出系统：分辨率高达600*600dpi。翻盖式设计，可伸缩式滑道，方便更换耗材及配件。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1.1.8）图像捕获功能：不低于500万像素，捕获幅面1280*720，视像解像度（分辨率）1280*720，最大帧数30帧/秒，USB 2.0接口，方便折叠携带，可360度旋转。</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1.2意念力控制系统（脑电波传输）</w:t>
      </w:r>
      <w:r>
        <w:rPr>
          <w:rFonts w:hint="eastAsia" w:ascii="宋体" w:hAnsi="宋体" w:eastAsia="宋体" w:cs="宋体"/>
          <w:b/>
          <w:bCs/>
          <w:sz w:val="21"/>
          <w:szCs w:val="21"/>
          <w:lang w:eastAsia="zh-CN"/>
        </w:rPr>
        <w:t>（提供检测报告）</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蓝牙传输功能，多点碰触心脉感应，多种脑电波信号收录，具有红蓝两色指示灯，内置电源。</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2、主要功能：</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该系统用于情绪与行为的评估与训练：</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2.1量表评估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通过儿童社交焦虑量表和Rutter儿童行为教师问卷从情绪与行为方面进行评估；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2.2视听诱导</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主要通过音乐和视觉画面的直接刺激来实现；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2.3情绪调节</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情绪调节由情绪释放、情绪认知组成。情绪认知包括表情认知和情绪感知；</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2.4行为支持</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由认知学习、行为干预和社交技巧组成。认知学习包括常识、归类、概念和比较。行为干预包括认识声音、日常行为、社交行为和礼仪规范。社交技巧包括初级交往技巧、生活情景体验和综合社交技能。</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2.5档案管理</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提供信息化管理，教师可以添加和管理个人信息，进行信息查询。教师可以添加、删除、编辑、查询学生信息，编辑个人信息；</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2.6数据分析</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可对评估结果进行数据分析；</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2.7意念力控制系统（脑电波传输）</w:t>
      </w:r>
      <w:r>
        <w:rPr>
          <w:rFonts w:hint="eastAsia" w:ascii="宋体" w:hAnsi="宋体" w:eastAsia="宋体" w:cs="宋体"/>
          <w:b/>
          <w:bCs/>
          <w:sz w:val="21"/>
          <w:szCs w:val="21"/>
          <w:lang w:eastAsia="zh-CN"/>
        </w:rPr>
        <w:t>（提供检测报告）</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意念力控制系统利用脑电波传输装置，进行游戏训练。</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可利用精密的生物传感技术及脑电波探测技术，在主机画面中显示多种脑波信号，与专用设备互动，采集学生多种脑力数据，让老师实时掌握学生的脑力状态，将训练过程中脑电波转化为专注度走势，从而时时掌控学生的脑力状态。测试结束后即可立刻显示专注度的数值。在本模块的运动游戏功能中内含跳水、举重、100米赛跑、射箭四种运动竞技，分别对应大脑的放松力训练，专注力训练，反应力训练和瞬间集中训练等。</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个体指导计划</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在测试和训练的基础上，依据学生的不同状况，教师制定个体指导计划；</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3、主要配置：</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3.1一体化主机               一台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3.2主控端                   一台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3.3训练端                   一台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3.4键盘/鼠标                一套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3.5一体式数据输出系统       一套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3.6图像捕获器               一个</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3.7意念力控制系统           一套 </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沙盘游戏设备</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1、个体沙箱1个：规格长度72cm*宽度57cm*高度7cm；材质为实木板材，内侧蓝色；要求具有国家级检验中心出具的沙盘甲醛含量检验合格报告；团体沙盘1个：规格长度110cm*宽度72cm*高度7cm；材质为实木板材；</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2、沙具1000件：由人物类、宗教类、死亡类、文体类、食物类、家居类、交通类、军事类、建筑类、动物类、植物类、自然物类、名胜古迹类、颜色形状类、符号及钱币类等至少15大类不少于50次类别组成；</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3、★沙具摆放架3个：高度约160cm*宽度约80cm*深度约30cm；实木板材，9层设计；要求具有国家级检验中心出具的沙具摆放架甲醛含量检验合格报告；</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4、细沙10KG：天然细沙、颗粒光滑、大小均匀、手感好；</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5、附属配件：沙刷、沙耙、胶水、喷壶、指导教材1本；</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6、要求提供至少30课时的沙盘培训微课一套，课程以双人访谈QA一对一解答的方式，分主题讲解沙盘游戏咨询的理论背景、实操技术，能让初学者迅速入门。</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（四）VR训练室</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产品重量：≤109KG</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功率：36W</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电压：220V</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占地面积：1.2m*1.4m±20cm</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适配身高：115cm-195cm±2cm</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适配腰围：78cm-147cm±2cm</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承受体重：&lt;130kg</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传感器：9轴加速度传感技术</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续航时长：8H</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感应延迟：100ms</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转向角度：1°</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无线传输制式：2.4G</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主机：（123*108*76CM）轻便易安装，整体机体可拆卸，可自由调整高度。用于承载用户脚步行走。</w:t>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ab/>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安全腰带：（57*46*32CM）（复合型布料，保护用户体验安全性）</w:t>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ab/>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专用鞋：（31.5*20*11CM ）（底部特殊摩擦块为聚四氟乙烯材质，具有低摩擦，耐磨特性）</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追踪器：（追踪用户脚步运动数据，蓝牙传输）</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激光定位器：Lighthouse有线连接</w:t>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ab/>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主要功能</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采用VR技术设定训练课程并进行身心反馈。反馈的数据数值通过智慧云平台反馈至终端。系统具有12套3I场景，课程内容包含地方标志性场景。</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（五）海豚屋</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1、海豚仿生信号发生系统模块：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 海豚仿生信号发生器：</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1.1.1 信噪比：﹥98dB；</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1.1.2 消耗功率：﹤300W ；</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1.1.3 工作时间：连续；</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 专业16路控制台：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1.2.1 功率：每路额定功率2KW,峰值3KW，总额定功率32KW，内置硅管；输入电压：220V/50Hz；</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1.2.2 功能：8路开关控制 8路调光、音频，5种走灯程序,可连接控制帕灯/各类射光/回光灯/雨灯/天排地排/三基色/舞台常规灯种/音频开关等控制；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2、数字化音频发生系统模块：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 专业音乐治疗功率放大器：</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2.1.1 功放类型：HIFI功放；</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2.1.2 声道：5.1；</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2.1.3 输出功率：900W峰值；</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2.1.4 阻抗:8-16Ω。</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 书架式高保真音箱：</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2.2.1 接口类型:XLR平衡输入；</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2.2.2 功率:50W；</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2.2.3 阻抗:4-8Ω；</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2.2.4 灵敏度:90dB/mW。</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 专业蓝光DVD播放机：</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2.3.1 接口类型: USB；</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2.3.2 播放格式: MPEG4 DivX CD MP3-CD VCD DVD SVCD；</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2.3.3 视频输出端口: 复合视频 HDMI；</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2.3.4 音频输出端口:左右声道 同轴；</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2.3.5 视频制式: PAL/NTSC；</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2.3.6 播放器类型: 蓝光播放器；</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2.3.7 光盘放入方式: 托盘式。</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 数码听觉统合基础音频文件：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3、数字化视觉系统模块：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 高清投影仪：</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3.1.1 投影尺寸：40-300英寸；</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3.1.2 屏幕比例：4:3；</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3.1.3 投影技术：3LCD；</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3.1.4 对比度：3000:1；</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3.1.5 标准分辨率：XGA（1024*768）。</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 高清投影屏幕：</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3.2.1 材质: 进口超清纳米软幕；</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3.2.2 幕类型: 画框幕；</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3.2.3 尺寸: 100英寸；</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3.2.4 比例: 16:9；</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3.2.5 增益倍数: 1.5倍。</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 台式电脑套装：</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3.3.1 型号: 四核九代i3-9100处理器；</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3.3.2 内存容量: 4GB；</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3.3.3 内存类型: DDR4四代内存；</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3.3.4 硬盘容量:1TB；</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3.3.5 硬盘接口: SATA；</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3.3.6 显卡类型: 集成显卡；</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3.3.7 显存容量: 共享内存容量；</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3.3.8 屏幕尺寸: 21.5英寸；</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3.3.9 显示器类型: LED宽屏；</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3.3.10 光驱类型: 不带光驱。</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 海洋背景视觉文件：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 专业灯光效果设计：</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3.6 “海豚屋”数字仿生训练系统患者档案文件：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4、运动系列模块：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4.1 半圆平衡球直径25cm，充气防爆；</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4.2 触觉球；</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4.3 大龙球直径90cm；</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4.4 新花生球（NEW）；</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4.5 羊角球直径55cm；</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4.6 晶莹按摩球；</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5、海豚系列感统模块：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6、配置清单：</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6.1 海豚仿生信号发生系统模块：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6.1.1 海豚仿生信号发生器   16台；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6.1.2 专业16路控制台   1台；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6.1.3 海豚仿生音源音频    1套。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6.2 数字化音频发生系统模块：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6.2.1 专业音乐治疗功率放大器    1台；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6.2.2书架式高保真音箱     2套；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6.2.3 专业蓝光DVD播放机     1台；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6.2.4 海豚音音频数据库    1套；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6.3 数字化视觉系统模块：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6.3.1 高清投影仪     1台；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6.3.2高清投影屏幕     1件；</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6.3.3 台式电脑套装     1套；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6.3.4 专业灯光效果设计     1套；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6.3.5 海洋背景视觉文件     1套；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6.4 运动系列模块：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6.4.1 半圆平衡球</w:t>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直径25cm，充气防爆    1套；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6.4.2 触觉球</w:t>
      </w:r>
      <w:r>
        <w:rPr>
          <w:rFonts w:hint="eastAsia" w:ascii="宋体" w:hAnsi="宋体" w:eastAsia="宋体" w:cs="宋体"/>
          <w:b w:val="0"/>
          <w:bCs w:val="0"/>
          <w:sz w:val="21"/>
          <w:szCs w:val="21"/>
          <w:vertAlign w:val="baseline"/>
          <w:lang w:val="en-US" w:eastAsia="zh-CN"/>
        </w:rPr>
        <w:tab/>
      </w:r>
      <w:r>
        <w:rPr>
          <w:rFonts w:hint="eastAsia" w:ascii="宋体" w:hAnsi="宋体" w:eastAsia="宋体" w:cs="宋体"/>
          <w:b w:val="0"/>
          <w:bCs w:val="0"/>
          <w:sz w:val="21"/>
          <w:szCs w:val="21"/>
          <w:vertAlign w:val="baseline"/>
          <w:lang w:val="en-US" w:eastAsia="zh-CN"/>
        </w:rPr>
        <w:t>1套；</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6.4.3 大龙球 直径 90cm     1个；</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6.4.4 新花生球（NEW）    1个；</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6.4.5 羊角球 直径 55cm     1个；</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6.4.6 晶莹按摩球     1个；</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6.5 海豚系列感统模块。</w:t>
      </w:r>
    </w:p>
    <w:p>
      <w:pPr>
        <w:pStyle w:val="23"/>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（六）矫形器制作室</w:t>
      </w:r>
    </w:p>
    <w:p>
      <w:pPr>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操作台</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配套设施，120*60*50cm±1cm</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材质：松木实木，本色</w:t>
      </w:r>
    </w:p>
    <w:p>
      <w:pPr>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操作椅</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1、面料：坐垫和靠背为优质网布面料，柔软而富于韧性，透气性好。2、海绵：采用优质高密度、高回弹海绵，达到国家阻燃标准。3、气压棒：优质气压棒，升降次数可达8-12万次。4、脚架：优质五星脚  5、功能：前置式同步倾仰、可调高度、锁定功能。</w:t>
      </w:r>
    </w:p>
    <w:p>
      <w:pPr>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陈列柜</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配套设施，1000*500*2000mm±10mm</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柜体框架：采用模具成型的专用铝合金方管制作，通过ABS专用连接件组装而成（2）柜体衬板：厚度16mm三聚氰胺贴面刨花板。（3）柜门：上部为专用木框对开玻璃门，下部为对开木门，不锈钢拉手。（4）隔板：上柜设置2块活动隔板，下柜设置1块固定隔板（5）隔板：上柜为两层三级阶梯式固定隔板，下柜为1层固定隔板。</w:t>
      </w:r>
    </w:p>
    <w:p>
      <w:pPr>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模型制作工具</w:t>
      </w:r>
    </w:p>
    <w:p>
      <w:pPr>
        <w:pStyle w:val="23"/>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锉刀5支，模型剪钳1把，翘头小剪刀1把，直头、弯头镊子1支，雕刻笔刀1支，双面打磨棒1支、模型分类器1个、钢直尺1把、零件收纳盒1个，切割垫板1块、勾线笔1支、迷你打磨机1套、迷你切割机1套、热熔胶枪1套、 泡沫塑料切割机1个、塑料工具盒包装。</w:t>
      </w:r>
    </w:p>
    <w:p>
      <w:pPr>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模型制作材料</w:t>
      </w:r>
    </w:p>
    <w:p>
      <w:pPr>
        <w:pStyle w:val="24"/>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pacing w:val="0"/>
          <w:kern w:val="2"/>
          <w:sz w:val="21"/>
          <w:szCs w:val="21"/>
          <w:vertAlign w:val="baseline"/>
          <w:lang w:val="en-US" w:eastAsia="zh-CN" w:bidi="ar-SA"/>
        </w:rPr>
      </w:pPr>
      <w:r>
        <w:rPr>
          <w:rFonts w:hint="eastAsia" w:ascii="宋体" w:hAnsi="宋体" w:eastAsia="宋体" w:cs="宋体"/>
          <w:b w:val="0"/>
          <w:bCs w:val="0"/>
          <w:spacing w:val="0"/>
          <w:kern w:val="2"/>
          <w:sz w:val="21"/>
          <w:szCs w:val="21"/>
          <w:vertAlign w:val="baseline"/>
          <w:lang w:val="en-US" w:eastAsia="zh-CN" w:bidi="ar-SA"/>
        </w:rPr>
        <w:t>100*150*15mm薄木板10块，200*200*2mm透明亚克力板10块，200*300*2mm雪弗板10块，295*100*20高密度泡沫板10块，250*250mm绿色草皮纸10张，125mm雪糕棒200支，114mm彩色雪糕棒200支，200mm*5mm圆木棒10支，200mm*10mm圆木棒10支</w:t>
      </w:r>
    </w:p>
    <w:p>
      <w:pPr>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基础材料、工具</w:t>
      </w:r>
    </w:p>
    <w:p>
      <w:pPr>
        <w:pStyle w:val="24"/>
        <w:keepNext w:val="0"/>
        <w:keepLines w:val="0"/>
        <w:pageBreakBefore w:val="0"/>
        <w:kinsoku/>
        <w:overflowPunct/>
        <w:topLinePunct w:val="0"/>
        <w:autoSpaceDE/>
        <w:autoSpaceDN/>
        <w:bidi w:val="0"/>
        <w:spacing w:line="360" w:lineRule="auto"/>
        <w:ind w:firstLine="420" w:firstLineChars="200"/>
        <w:textAlignment w:val="auto"/>
        <w:rPr>
          <w:rFonts w:hint="eastAsia" w:ascii="宋体" w:hAnsi="宋体" w:eastAsia="宋体" w:cs="宋体"/>
          <w:b w:val="0"/>
          <w:bCs w:val="0"/>
          <w:spacing w:val="0"/>
          <w:kern w:val="2"/>
          <w:sz w:val="21"/>
          <w:szCs w:val="21"/>
          <w:vertAlign w:val="baseline"/>
          <w:lang w:val="en-US" w:eastAsia="zh-CN" w:bidi="ar-SA"/>
        </w:rPr>
      </w:pPr>
      <w:r>
        <w:rPr>
          <w:rFonts w:hint="eastAsia" w:ascii="宋体" w:hAnsi="宋体" w:eastAsia="宋体" w:cs="宋体"/>
          <w:b w:val="0"/>
          <w:bCs w:val="0"/>
          <w:spacing w:val="0"/>
          <w:kern w:val="2"/>
          <w:sz w:val="21"/>
          <w:szCs w:val="21"/>
          <w:vertAlign w:val="baseline"/>
          <w:lang w:val="en-US" w:eastAsia="zh-CN" w:bidi="ar-SA"/>
        </w:rPr>
        <w:t>502胶水1瓶、乳白胶1瓶，万能胶1瓶，剪刀1把，铁皮剪1把，钉子1盒，雕刻刀五件1套，万用表1个，塑料电动焊枪1把，电烙铁一套，开孔器1个。</w:t>
      </w:r>
    </w:p>
    <w:p>
      <w:pPr>
        <w:tabs>
          <w:tab w:val="left" w:pos="0"/>
          <w:tab w:val="left" w:pos="900"/>
          <w:tab w:val="left" w:pos="7020"/>
          <w:tab w:val="left" w:pos="8460"/>
        </w:tabs>
        <w:snapToGrid w:val="0"/>
        <w:spacing w:line="360" w:lineRule="auto"/>
        <w:ind w:firstLine="422" w:firstLineChars="200"/>
        <w:outlineLvl w:val="1"/>
        <w:rPr>
          <w:rFonts w:hint="eastAsia" w:ascii="宋体" w:hAnsi="宋体"/>
          <w:b/>
          <w:bCs/>
          <w:sz w:val="21"/>
          <w:szCs w:val="21"/>
        </w:rPr>
      </w:pPr>
      <w:r>
        <w:rPr>
          <w:rFonts w:hint="eastAsia" w:ascii="宋体" w:hAnsi="宋体"/>
          <w:b/>
          <w:bCs/>
          <w:sz w:val="21"/>
          <w:szCs w:val="21"/>
          <w:lang w:eastAsia="zh-CN"/>
        </w:rPr>
        <w:t>四、</w:t>
      </w:r>
      <w:r>
        <w:rPr>
          <w:rFonts w:hint="eastAsia" w:ascii="宋体" w:hAnsi="宋体"/>
          <w:b/>
          <w:bCs/>
          <w:sz w:val="21"/>
          <w:szCs w:val="21"/>
        </w:rPr>
        <w:t>商务条款</w:t>
      </w:r>
    </w:p>
    <w:p>
      <w:pPr>
        <w:spacing w:line="360" w:lineRule="auto"/>
        <w:ind w:firstLine="420" w:firstLineChars="200"/>
        <w:rPr>
          <w:rFonts w:hint="eastAsia" w:ascii="宋体" w:hAnsi="宋体"/>
          <w:sz w:val="21"/>
          <w:szCs w:val="21"/>
        </w:rPr>
      </w:pPr>
      <w:r>
        <w:rPr>
          <w:rFonts w:hint="eastAsia" w:ascii="宋体" w:hAnsi="宋体"/>
          <w:sz w:val="21"/>
          <w:szCs w:val="21"/>
        </w:rPr>
        <w:t>1.交货期：</w:t>
      </w:r>
      <w:r>
        <w:rPr>
          <w:rFonts w:hint="eastAsia" w:hAnsi="宋体"/>
          <w:sz w:val="21"/>
          <w:szCs w:val="21"/>
        </w:rPr>
        <w:t>正式签订合同之日起</w:t>
      </w:r>
      <w:r>
        <w:rPr>
          <w:rFonts w:hint="eastAsia" w:hAnsi="宋体"/>
          <w:sz w:val="21"/>
          <w:szCs w:val="21"/>
          <w:lang w:val="en-US" w:eastAsia="zh-CN"/>
        </w:rPr>
        <w:t>1</w:t>
      </w:r>
      <w:r>
        <w:rPr>
          <w:rFonts w:hint="eastAsia" w:hAnsi="宋体"/>
          <w:sz w:val="21"/>
          <w:szCs w:val="21"/>
        </w:rPr>
        <w:t>个月内到货并安装调试完成。</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.交货地点：采购方指定地点。</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 xml:space="preserve">.安装标准：有安装经验的工程师负责安装；符合国家有关安全技术规范和技术标准。 </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.验收标准：应与产品原始样本技术数据及标书技术文件一致，符合国家有关技术规范和技术标准。</w:t>
      </w:r>
    </w:p>
    <w:p>
      <w:pPr>
        <w:tabs>
          <w:tab w:val="left" w:pos="0"/>
          <w:tab w:val="left" w:pos="900"/>
          <w:tab w:val="left" w:pos="7020"/>
          <w:tab w:val="left" w:pos="8460"/>
        </w:tabs>
        <w:snapToGrid w:val="0"/>
        <w:spacing w:line="360" w:lineRule="auto"/>
        <w:ind w:firstLine="422" w:firstLineChars="200"/>
        <w:outlineLvl w:val="1"/>
        <w:rPr>
          <w:rFonts w:hint="eastAsia" w:ascii="宋体" w:hAnsi="宋体"/>
          <w:b/>
          <w:bCs/>
          <w:sz w:val="21"/>
          <w:szCs w:val="21"/>
        </w:rPr>
      </w:pPr>
      <w:r>
        <w:rPr>
          <w:rFonts w:hint="eastAsia" w:ascii="宋体" w:hAnsi="宋体"/>
          <w:b/>
          <w:bCs/>
          <w:sz w:val="21"/>
          <w:szCs w:val="21"/>
          <w:lang w:val="en-US" w:eastAsia="zh-CN"/>
        </w:rPr>
        <w:t>五</w:t>
      </w:r>
      <w:r>
        <w:rPr>
          <w:rFonts w:hint="eastAsia" w:ascii="宋体" w:hAnsi="宋体"/>
          <w:b/>
          <w:bCs/>
          <w:sz w:val="21"/>
          <w:szCs w:val="21"/>
        </w:rPr>
        <w:t>、售后服务</w:t>
      </w:r>
    </w:p>
    <w:p>
      <w:pPr>
        <w:spacing w:line="360" w:lineRule="auto"/>
        <w:ind w:firstLine="420" w:firstLineChars="200"/>
        <w:rPr>
          <w:rFonts w:hint="eastAsia" w:ascii="宋体" w:hAnsi="宋体"/>
          <w:sz w:val="21"/>
          <w:szCs w:val="21"/>
        </w:rPr>
      </w:pPr>
      <w:r>
        <w:rPr>
          <w:rFonts w:hint="eastAsia" w:ascii="宋体" w:hAnsi="宋体"/>
          <w:sz w:val="21"/>
          <w:szCs w:val="21"/>
        </w:rPr>
        <w:t xml:space="preserve">1.设备生产厂家或国内总代在浙江省有售后服务机构，有专职工程师提供技术及售后服务：保修期外仍有厂方或代理方派专职工程师对仪器进行维护和维修。 </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 xml:space="preserve">.提供用户中文操作手册和维修手册，提供厂家相应data sheet等相关资料，提供免费软件升级，并及时提供设备新功能和临床应用的资料。 </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 xml:space="preserve">.提供至少每年2次的上门定期回访和进行相关维护。 </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.提供质保期后配件维修及设备维保服务费用清单，相关费用不得高于市场价。</w:t>
      </w:r>
    </w:p>
    <w:p>
      <w:pPr>
        <w:rPr>
          <w:rFonts w:hint="eastAsia" w:ascii="宋体" w:hAnsi="宋体" w:cs="宋体"/>
          <w:b/>
          <w:szCs w:val="21"/>
        </w:rPr>
      </w:pPr>
    </w:p>
    <w:p>
      <w:pPr>
        <w:pStyle w:val="24"/>
        <w:rPr>
          <w:rFonts w:hint="eastAsia"/>
        </w:rPr>
      </w:pPr>
    </w:p>
    <w:p>
      <w:pPr>
        <w:spacing w:line="540" w:lineRule="exact"/>
        <w:jc w:val="center"/>
        <w:outlineLvl w:val="0"/>
        <w:rPr>
          <w:rFonts w:hint="eastAsia" w:ascii="宋体" w:hAnsi="宋体" w:eastAsia="宋体" w:cs="宋体"/>
          <w:b/>
          <w:bCs/>
          <w:color w:val="auto"/>
          <w:sz w:val="24"/>
          <w:szCs w:val="24"/>
          <w:highlight w:val="none"/>
        </w:rPr>
      </w:pPr>
      <w:r>
        <w:rPr>
          <w:rFonts w:hint="eastAsia" w:ascii="宋体" w:hAnsi="宋体" w:cs="宋体"/>
          <w:b/>
          <w:szCs w:val="21"/>
        </w:rPr>
        <w:t>第四章</w:t>
      </w:r>
      <w:r>
        <w:rPr>
          <w:rFonts w:hint="eastAsia" w:ascii="宋体" w:hAnsi="宋体" w:cs="宋体"/>
          <w:b/>
          <w:color w:val="auto"/>
          <w:szCs w:val="21"/>
          <w:highlight w:val="none"/>
        </w:rPr>
        <w:t>合同的通用和专用条款</w:t>
      </w:r>
    </w:p>
    <w:p>
      <w:pPr>
        <w:keepNext w:val="0"/>
        <w:keepLines w:val="0"/>
        <w:pageBreakBefore w:val="0"/>
        <w:widowControl w:val="0"/>
        <w:kinsoku/>
        <w:overflowPunct/>
        <w:topLinePunct w:val="0"/>
        <w:autoSpaceDE w:val="0"/>
        <w:autoSpaceDN w:val="0"/>
        <w:bidi w:val="0"/>
        <w:adjustRightInd w:val="0"/>
        <w:snapToGrid w:val="0"/>
        <w:spacing w:line="312" w:lineRule="auto"/>
        <w:jc w:val="center"/>
        <w:textAlignment w:val="auto"/>
        <w:outlineLvl w:val="1"/>
        <w:rPr>
          <w:rFonts w:hint="eastAsia" w:ascii="宋体" w:hAnsi="宋体" w:eastAsia="宋体" w:cs="宋体"/>
          <w:b/>
          <w:bCs/>
          <w:color w:val="auto"/>
          <w:sz w:val="21"/>
          <w:szCs w:val="21"/>
          <w:highlight w:val="none"/>
          <w:lang w:val="zh-CN"/>
        </w:rPr>
      </w:pPr>
      <w:bookmarkStart w:id="95" w:name="_Toc24015"/>
      <w:bookmarkStart w:id="96" w:name="_Toc359922939"/>
      <w:r>
        <w:rPr>
          <w:rFonts w:hint="eastAsia" w:ascii="宋体" w:hAnsi="宋体" w:eastAsia="宋体" w:cs="宋体"/>
          <w:b/>
          <w:bCs/>
          <w:color w:val="auto"/>
          <w:sz w:val="21"/>
          <w:szCs w:val="21"/>
          <w:highlight w:val="none"/>
          <w:lang w:val="zh-CN"/>
        </w:rPr>
        <w:t>一、通用条款</w:t>
      </w:r>
      <w:bookmarkEnd w:id="95"/>
      <w:bookmarkEnd w:id="96"/>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合同编号：</w:t>
      </w:r>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甲方（货物及服务购买方）：</w:t>
      </w:r>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乙方（货物及服务提供或出让方）：</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bookmarkStart w:id="97" w:name="_Toc56917319"/>
      <w:r>
        <w:rPr>
          <w:rFonts w:hint="eastAsia" w:ascii="宋体" w:hAnsi="宋体" w:eastAsia="宋体" w:cs="宋体"/>
          <w:color w:val="auto"/>
          <w:sz w:val="21"/>
          <w:szCs w:val="21"/>
          <w:highlight w:val="none"/>
        </w:rPr>
        <w:t>货物和服务的名称、技术规范和数量</w:t>
      </w:r>
      <w:bookmarkEnd w:id="97"/>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应与招标文件及供应商提供的技术偏离表相一致。</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bookmarkStart w:id="98" w:name="_Toc56917320"/>
      <w:r>
        <w:rPr>
          <w:rFonts w:hint="eastAsia" w:ascii="宋体" w:hAnsi="宋体" w:eastAsia="宋体" w:cs="宋体"/>
          <w:color w:val="auto"/>
          <w:sz w:val="21"/>
          <w:szCs w:val="21"/>
          <w:highlight w:val="none"/>
        </w:rPr>
        <w:t>货物和服务的质量、技术标准</w:t>
      </w:r>
      <w:bookmarkEnd w:id="98"/>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合同货物和服务的质量、技术标准如在招标文件中无相应说明，则按中华人民共和国有关部门颁发的最新的国标或专业（部）标准执行及相应的国际标准。没有国家或专业(部)标准的，按企业标准执行。</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bookmarkStart w:id="99" w:name="_Toc56917321"/>
      <w:r>
        <w:rPr>
          <w:rFonts w:hint="eastAsia" w:ascii="宋体" w:hAnsi="宋体" w:eastAsia="宋体" w:cs="宋体"/>
          <w:color w:val="auto"/>
          <w:sz w:val="21"/>
          <w:szCs w:val="21"/>
          <w:highlight w:val="none"/>
        </w:rPr>
        <w:t>专利权</w:t>
      </w:r>
      <w:bookmarkEnd w:id="99"/>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乙方对—切可能的侵权指控负责。</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bookmarkStart w:id="100" w:name="_Toc56917322"/>
      <w:r>
        <w:rPr>
          <w:rFonts w:hint="eastAsia" w:ascii="宋体" w:hAnsi="宋体" w:eastAsia="宋体" w:cs="宋体"/>
          <w:color w:val="auto"/>
          <w:sz w:val="21"/>
          <w:szCs w:val="21"/>
          <w:highlight w:val="none"/>
        </w:rPr>
        <w:t>风险责任</w:t>
      </w:r>
      <w:bookmarkEnd w:id="100"/>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执行本合同的过程中，确因在现有水平和条件下难以克服的技术困难，导致部分或全部失败所造成的损失，风险责任由乙方全部承担。</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bookmarkStart w:id="101" w:name="_Toc56917323"/>
      <w:r>
        <w:rPr>
          <w:rFonts w:hint="eastAsia" w:ascii="宋体" w:hAnsi="宋体" w:eastAsia="宋体" w:cs="宋体"/>
          <w:color w:val="auto"/>
          <w:sz w:val="21"/>
          <w:szCs w:val="21"/>
          <w:highlight w:val="none"/>
        </w:rPr>
        <w:t>无瑕疵条款</w:t>
      </w:r>
      <w:bookmarkEnd w:id="101"/>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乙方在交付货物和服务后发现有瑕疵或漏项的，乙方应负担由此而产生的一切损失。</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bookmarkStart w:id="102" w:name="_Toc56917326"/>
      <w:r>
        <w:rPr>
          <w:rFonts w:hint="eastAsia" w:ascii="宋体" w:hAnsi="宋体" w:eastAsia="宋体" w:cs="宋体"/>
          <w:color w:val="auto"/>
          <w:sz w:val="21"/>
          <w:szCs w:val="21"/>
          <w:highlight w:val="none"/>
        </w:rPr>
        <w:t>合同转让和分包</w:t>
      </w:r>
      <w:bookmarkEnd w:id="102"/>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本合同不得转让。未经甲方书面同意，乙方不得将合同内容分包给第三方。</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bookmarkStart w:id="103" w:name="_Toc56917327"/>
      <w:r>
        <w:rPr>
          <w:rFonts w:hint="eastAsia" w:ascii="宋体" w:hAnsi="宋体" w:eastAsia="宋体" w:cs="宋体"/>
          <w:color w:val="auto"/>
          <w:sz w:val="21"/>
          <w:szCs w:val="21"/>
          <w:highlight w:val="none"/>
        </w:rPr>
        <w:t>合同修改</w:t>
      </w:r>
      <w:bookmarkEnd w:id="103"/>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甲方与乙方双方的任何一方对合同内容提出修改，均应以书面形式通知对方，并达成由双方签署的合同修改书。原则性条款不允许修改。</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不可抗力事件处理</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在执行合同期限内，任何一方因不可抗力事件所致不能履行合同，则合同履行期可延长，延长期与不可抗力影响期相同。</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不可抗力事件发生后，应立即通知对方，并寄送有关权威机构出具的证明。 </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不可抗力事件延续</w:t>
      </w:r>
      <w:r>
        <w:rPr>
          <w:rFonts w:hint="eastAsia" w:ascii="宋体" w:hAnsi="宋体" w:eastAsia="宋体" w:cs="宋体"/>
          <w:color w:val="auto"/>
          <w:sz w:val="21"/>
          <w:szCs w:val="21"/>
          <w:highlight w:val="none"/>
          <w:u w:val="single"/>
        </w:rPr>
        <w:t xml:space="preserve">  60  </w:t>
      </w:r>
      <w:r>
        <w:rPr>
          <w:rFonts w:hint="eastAsia" w:ascii="宋体" w:hAnsi="宋体" w:eastAsia="宋体" w:cs="宋体"/>
          <w:color w:val="auto"/>
          <w:sz w:val="21"/>
          <w:szCs w:val="21"/>
          <w:highlight w:val="none"/>
        </w:rPr>
        <w:t>天以上，双方应通过友好协商，确定是否继续履行合同。</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延期责任</w:t>
      </w:r>
    </w:p>
    <w:p>
      <w:pPr>
        <w:keepNext w:val="0"/>
        <w:keepLines w:val="0"/>
        <w:pageBreakBefore w:val="0"/>
        <w:widowControl w:val="0"/>
        <w:kinsoku/>
        <w:overflowPunct/>
        <w:topLinePunct w:val="0"/>
        <w:autoSpaceDE w:val="0"/>
        <w:autoSpaceDN w:val="0"/>
        <w:bidi w:val="0"/>
        <w:adjustRightInd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甲乙双方因各自原因造成项目延期的，应分别承担相应责任。</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乙方如遇不能按时交付或不能及时提供服务的情况，应及时以书面形式通知甲方，并说明理由。</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未按本合同规定的时间到货的，则每超一天支付未到货货款的1%的违约金给甲方。未到货款累计额度，以未到货相应合同总价款为限。若乙方未能在本合同规定的时间内完成安装并完成移交的，则每超一天支付合同总价的1%的违约金给甲方。未交付罚款累计额度，以未交付相应合同总价价款为限。如供货逾期或安装逾期超出10天，除罚款外将扣除全部履约保证金，且甲方有权终止合同（如因甲方原因造成的工期延误除外）。</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因甲方原因造成工期延误，总工期相应顺延。由甲方造成的经济损失，甲方应承担相应责任。</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甲方应按合同约定时间支付相应货款，如有延误应按银行同期贷款利率支付延误时间的利息（由乙方原因造成的延误除外）。</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bookmarkStart w:id="104" w:name="_Toc56917328"/>
      <w:r>
        <w:rPr>
          <w:rFonts w:hint="eastAsia" w:ascii="宋体" w:hAnsi="宋体" w:eastAsia="宋体" w:cs="宋体"/>
          <w:color w:val="auto"/>
          <w:sz w:val="21"/>
          <w:szCs w:val="21"/>
          <w:highlight w:val="none"/>
        </w:rPr>
        <w:t>违约责任</w:t>
      </w:r>
      <w:bookmarkEnd w:id="104"/>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bookmarkStart w:id="105" w:name="_Toc56917329"/>
      <w:r>
        <w:rPr>
          <w:rFonts w:hint="eastAsia" w:ascii="宋体" w:hAnsi="宋体" w:eastAsia="宋体" w:cs="宋体"/>
          <w:color w:val="auto"/>
          <w:sz w:val="21"/>
          <w:szCs w:val="21"/>
          <w:highlight w:val="none"/>
        </w:rPr>
        <w:t>除此合同另有约定外，乙方没有按本合同履行合同约定的义务的，视为违约，应承担由此给甲方造成的全部损失。</w:t>
      </w:r>
    </w:p>
    <w:bookmarkEnd w:id="105"/>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违约终止合同</w:t>
      </w:r>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甲方在乙方存在如下违约情况时，有权考虑并提出终止全部或部分合同。</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乙方未能在合同规定期限或甲方同意延长的期限内交付全部或部分货物。</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乙方未能履行合同规定的其他义务。</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在发生上述情况后，乙方收到甲方的违约通知后10天内未能纠正其过失。</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争议的解决</w:t>
      </w:r>
    </w:p>
    <w:p>
      <w:pPr>
        <w:keepNext w:val="0"/>
        <w:keepLines w:val="0"/>
        <w:pageBreakBefore w:val="0"/>
        <w:widowControl w:val="0"/>
        <w:kinsoku/>
        <w:overflowPunct/>
        <w:topLinePunct w:val="0"/>
        <w:autoSpaceDE w:val="0"/>
        <w:autoSpaceDN w:val="0"/>
        <w:bidi w:val="0"/>
        <w:adjustRightInd w:val="0"/>
        <w:snapToGrid w:val="0"/>
        <w:spacing w:line="312" w:lineRule="auto"/>
        <w:ind w:left="0" w:firstLine="420" w:firstLineChars="200"/>
        <w:textAlignment w:val="auto"/>
        <w:outlineLvl w:val="1"/>
        <w:rPr>
          <w:rFonts w:hint="eastAsia" w:ascii="宋体" w:hAnsi="宋体" w:eastAsia="宋体" w:cs="宋体"/>
          <w:color w:val="auto"/>
          <w:sz w:val="21"/>
          <w:szCs w:val="21"/>
          <w:highlight w:val="none"/>
        </w:rPr>
      </w:pPr>
      <w:bookmarkStart w:id="106" w:name="_Toc359922940"/>
      <w:bookmarkStart w:id="107" w:name="_Toc18400"/>
      <w:r>
        <w:rPr>
          <w:rFonts w:hint="eastAsia" w:ascii="宋体" w:hAnsi="宋体" w:eastAsia="宋体" w:cs="宋体"/>
          <w:color w:val="auto"/>
          <w:sz w:val="21"/>
          <w:szCs w:val="21"/>
          <w:highlight w:val="none"/>
        </w:rPr>
        <w:t>双方在履行合同过程中产生争议时(1)请政府采购监管部门调解;(2)</w:t>
      </w:r>
      <w:bookmarkEnd w:id="106"/>
      <w:bookmarkEnd w:id="107"/>
      <w:bookmarkStart w:id="108" w:name="_Toc23984"/>
      <w:bookmarkStart w:id="109" w:name="_Toc359922941"/>
      <w:r>
        <w:rPr>
          <w:rFonts w:hint="eastAsia" w:ascii="宋体" w:hAnsi="宋体" w:eastAsia="宋体" w:cs="宋体"/>
          <w:color w:val="auto"/>
          <w:sz w:val="21"/>
          <w:szCs w:val="21"/>
          <w:highlight w:val="none"/>
        </w:rPr>
        <w:t>采取仲裁方式解决的,约定向衢州仲裁委员会提请仲裁,或直接向合同签订地人民法院提请诉讼。</w:t>
      </w:r>
      <w:bookmarkEnd w:id="108"/>
      <w:bookmarkEnd w:id="109"/>
    </w:p>
    <w:p>
      <w:pPr>
        <w:keepNext w:val="0"/>
        <w:keepLines w:val="0"/>
        <w:pageBreakBefore w:val="0"/>
        <w:widowControl w:val="0"/>
        <w:kinsoku/>
        <w:overflowPunct/>
        <w:topLinePunct w:val="0"/>
        <w:autoSpaceDE w:val="0"/>
        <w:autoSpaceDN w:val="0"/>
        <w:bidi w:val="0"/>
        <w:adjustRightInd w:val="0"/>
        <w:snapToGrid w:val="0"/>
        <w:spacing w:line="312" w:lineRule="auto"/>
        <w:ind w:left="0" w:firstLine="422" w:firstLineChars="200"/>
        <w:jc w:val="center"/>
        <w:textAlignment w:val="auto"/>
        <w:outlineLvl w:val="1"/>
        <w:rPr>
          <w:rFonts w:hint="eastAsia" w:ascii="宋体" w:hAnsi="宋体" w:eastAsia="宋体" w:cs="宋体"/>
          <w:b/>
          <w:bCs/>
          <w:color w:val="auto"/>
          <w:sz w:val="21"/>
          <w:szCs w:val="21"/>
          <w:highlight w:val="none"/>
          <w:lang w:val="zh-CN"/>
        </w:rPr>
      </w:pPr>
      <w:bookmarkStart w:id="110" w:name="_Toc359922942"/>
      <w:bookmarkStart w:id="111" w:name="_Toc25003"/>
      <w:r>
        <w:rPr>
          <w:rFonts w:hint="eastAsia" w:ascii="宋体" w:hAnsi="宋体" w:eastAsia="宋体" w:cs="宋体"/>
          <w:b/>
          <w:bCs/>
          <w:color w:val="auto"/>
          <w:sz w:val="21"/>
          <w:szCs w:val="21"/>
          <w:highlight w:val="none"/>
          <w:lang w:val="zh-CN"/>
        </w:rPr>
        <w:t>二、专用条款</w:t>
      </w:r>
      <w:bookmarkEnd w:id="110"/>
      <w:bookmarkEnd w:id="111"/>
    </w:p>
    <w:p>
      <w:pPr>
        <w:keepNext w:val="0"/>
        <w:keepLines w:val="0"/>
        <w:pageBreakBefore w:val="0"/>
        <w:widowControl w:val="0"/>
        <w:kinsoku/>
        <w:wordWrap w:val="0"/>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甲、乙双方根据（项目编号：__________）项目招标结果和招标文件的要求，并经双方协调一致，订立本采购合同。</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本合同书</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中标/成交通知书</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中标单位投标文件</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变更补充文件</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本合同专用条款</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本合同通用条款</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标准、规范、图纸及有关技术文件</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pPr>
        <w:keepNext w:val="0"/>
        <w:keepLines w:val="0"/>
        <w:pageBreakBefore w:val="0"/>
        <w:widowControl w:val="0"/>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上述所指合同文件应认为是互相补充和解释的，但是有模棱两可或互相矛盾之处，以其所列内容顺序为准。</w:t>
      </w:r>
    </w:p>
    <w:p>
      <w:pPr>
        <w:keepNext w:val="0"/>
        <w:keepLines w:val="0"/>
        <w:pageBreakBefore w:val="0"/>
        <w:widowControl w:val="0"/>
        <w:numPr>
          <w:ilvl w:val="0"/>
          <w:numId w:val="4"/>
        </w:numPr>
        <w:tabs>
          <w:tab w:val="left" w:pos="0"/>
          <w:tab w:val="clear" w:pos="845"/>
        </w:tabs>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包括货款、标准附件、备品备件、专用工具、包装、运输、装卸、保险、税金、货到检查以及安装、调试、培训、保修等一切税金和费用。</w:t>
      </w:r>
      <w:r>
        <w:rPr>
          <w:rFonts w:hint="eastAsia" w:ascii="宋体" w:hAnsi="宋体" w:eastAsia="宋体" w:cs="宋体"/>
          <w:bCs/>
          <w:color w:val="auto"/>
          <w:sz w:val="21"/>
          <w:szCs w:val="21"/>
          <w:highlight w:val="none"/>
          <w:u w:val="single"/>
        </w:rPr>
        <w:t>另验收未通过的，验收费用由乙方支付</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12" w:lineRule="auto"/>
        <w:ind w:left="0" w:firstLine="0" w:firstLineChars="0"/>
        <w:textAlignment w:val="auto"/>
        <w:rPr>
          <w:rFonts w:hint="eastAsia" w:ascii="宋体" w:hAnsi="宋体" w:eastAsia="宋体" w:cs="宋体"/>
          <w:b/>
          <w:color w:val="auto"/>
          <w:kern w:val="0"/>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312"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 xml:space="preserve">                                       单位：元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13"/>
        <w:gridCol w:w="859"/>
        <w:gridCol w:w="851"/>
        <w:gridCol w:w="850"/>
        <w:gridCol w:w="1975"/>
        <w:gridCol w:w="115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32"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13"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85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1"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50"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1975"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156"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w:t>
            </w:r>
          </w:p>
        </w:tc>
        <w:tc>
          <w:tcPr>
            <w:tcW w:w="118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2"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613"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1"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0"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975"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156"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18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13"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1"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0"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975"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156"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18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613"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1"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0"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975"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156"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18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13"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1"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0"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975"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156"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18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1613"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1"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850"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975"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156"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c>
          <w:tcPr>
            <w:tcW w:w="1189"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1613" w:type="dxa"/>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880" w:type="dxa"/>
            <w:gridSpan w:val="6"/>
            <w:noWrap w:val="0"/>
            <w:vAlign w:val="center"/>
          </w:tcPr>
          <w:p>
            <w:pPr>
              <w:pStyle w:val="251"/>
              <w:keepNext w:val="0"/>
              <w:keepLines w:val="0"/>
              <w:pageBreakBefore w:val="0"/>
              <w:widowControl w:val="0"/>
              <w:kinsoku/>
              <w:overflowPunct/>
              <w:topLinePunct w:val="0"/>
              <w:autoSpaceDE/>
              <w:autoSpaceDN/>
              <w:bidi w:val="0"/>
              <w:adjustRightInd/>
              <w:snapToGrid/>
              <w:spacing w:line="312" w:lineRule="auto"/>
              <w:ind w:lef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overflowPunct/>
        <w:topLinePunct w:val="0"/>
        <w:bidi w:val="0"/>
        <w:spacing w:line="312" w:lineRule="auto"/>
        <w:ind w:left="0" w:firstLine="422" w:firstLineChars="200"/>
        <w:textAlignment w:val="auto"/>
        <w:rPr>
          <w:rFonts w:hint="eastAsia" w:ascii="宋体" w:hAnsi="宋体" w:eastAsia="宋体" w:cs="宋体"/>
          <w:b/>
          <w:color w:val="auto"/>
          <w:sz w:val="21"/>
          <w:szCs w:val="21"/>
          <w:highlight w:val="none"/>
        </w:rPr>
      </w:pP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质量保证</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乙方应保证货物是全新、未使用过的原装合格正品，并完全符合招标文件及本合同规定的质量、规格和性能的要求。</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产品的包装，国家或行业主管部门有规定的，按规定执行。 </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乙方提供主要设备的质量保证期为现场安装验收合格之后的___个月。如甲方原因导致不能及时安装的，产品的质保期自到货之日起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个月后开始计算。在质保期内因产品本身的质量问题发生故障，乙方应负责免费修理和更换 。</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所提供的货物及服务完全符合合同规定的运行性能和安全要求，乙方应保护甲方在使用该系统或其任何一</w:t>
      </w:r>
      <w:r>
        <w:rPr>
          <w:rFonts w:hint="eastAsia" w:ascii="宋体" w:hAnsi="宋体" w:eastAsia="宋体" w:cs="宋体"/>
          <w:color w:val="auto"/>
          <w:sz w:val="21"/>
          <w:szCs w:val="21"/>
          <w:highlight w:val="none"/>
        </w:rPr>
        <w:t>部分时不受第三方提出侵犯专利权、商标权或工业设备等知识产权的指控，如果第三方提出侵权指控，乙方须与第三方交涉并承担可能发生的一切法律责任和费用。</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项目完成后，运行结果符合产品标准和本</w:t>
      </w:r>
      <w:r>
        <w:rPr>
          <w:rFonts w:hint="eastAsia" w:ascii="宋体" w:hAnsi="宋体" w:eastAsia="宋体" w:cs="宋体"/>
          <w:color w:val="auto"/>
          <w:kern w:val="0"/>
          <w:sz w:val="21"/>
          <w:szCs w:val="21"/>
          <w:highlight w:val="none"/>
        </w:rPr>
        <w:t>招标</w:t>
      </w:r>
      <w:r>
        <w:rPr>
          <w:rFonts w:hint="eastAsia" w:ascii="宋体" w:hAnsi="宋体" w:eastAsia="宋体" w:cs="宋体"/>
          <w:color w:val="auto"/>
          <w:sz w:val="21"/>
          <w:szCs w:val="21"/>
          <w:highlight w:val="none"/>
        </w:rPr>
        <w:t>文件及相关文件的要求；在进行测试和验收运行过程中发生的故障已被消除并得到甲方的认可；所有合同中规定的货物和材料均已提交；整套产品资料及技术文件均已提交并得到接受。系统即可通过初验。</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设备从初验合格次日起7天内，出现非甲方人为因素造成的无法排除的故障，由乙方予以整机调换。</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工程终验时，乙方须提供已办妥的相应质保及售后服务手续，同时，协助甲方通过电话查询售后服务手续办理情况予以验证。</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（视项目需要可具体细化）</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到货验收及调试</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乙方将所供设备运至交货地点，并向甲方提供到货证明。招标人在收到到货证明5天内，对货物的外观、规格、数量、进行检验。如发现货物的外观、规格、数量与合同规定不符，甲方有权拒绝接受。设备到货时，须提供设备正常途径的供货证明。</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所供设备现场设备安装时，根据要求决定是否由(原厂/乙方)工程师负责实施。主要内容如下：</w:t>
      </w:r>
    </w:p>
    <w:p>
      <w:pPr>
        <w:keepNext w:val="0"/>
        <w:keepLines w:val="0"/>
        <w:pageBreakBefore w:val="0"/>
        <w:widowControl w:val="0"/>
        <w:numPr>
          <w:ilvl w:val="2"/>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乙方应完成供货、安装，并协助用户完成整套设备系统的正常、稳定运行。包括：协助用户完成设备安装环境准备并验收</w:t>
      </w:r>
      <w:r>
        <w:rPr>
          <w:rFonts w:hint="eastAsia" w:ascii="宋体" w:hAnsi="宋体" w:eastAsia="宋体" w:cs="宋体"/>
          <w:color w:val="auto"/>
          <w:sz w:val="21"/>
          <w:szCs w:val="21"/>
          <w:highlight w:val="none"/>
          <w:lang w:val="zh-CN"/>
        </w:rPr>
        <w:t>，负责设备系统的初期维护等，并完成验收前期的各项准备工作等。</w:t>
      </w:r>
    </w:p>
    <w:p>
      <w:pPr>
        <w:keepNext w:val="0"/>
        <w:keepLines w:val="0"/>
        <w:pageBreakBefore w:val="0"/>
        <w:widowControl w:val="0"/>
        <w:numPr>
          <w:ilvl w:val="2"/>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lang w:val="zh-CN"/>
        </w:rPr>
        <w:t>将投标设备与现有的设备进行集成，所有系统和设备能够连通并正常运转，所有硬件能够在相应平台上正常运行，同时达到招标/谈判需求要求的性能和投标产品技术规格中的性能。设备安装、调试所需的工具、仪器及安装材料由乙方负责。</w:t>
      </w:r>
    </w:p>
    <w:p>
      <w:pPr>
        <w:keepNext w:val="0"/>
        <w:keepLines w:val="0"/>
        <w:pageBreakBefore w:val="0"/>
        <w:widowControl w:val="0"/>
        <w:numPr>
          <w:ilvl w:val="2"/>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验收分</w:t>
      </w:r>
      <w:r>
        <w:rPr>
          <w:rFonts w:hint="eastAsia" w:ascii="宋体" w:hAnsi="宋体" w:eastAsia="宋体" w:cs="宋体"/>
          <w:b/>
          <w:color w:val="auto"/>
          <w:kern w:val="0"/>
          <w:sz w:val="21"/>
          <w:szCs w:val="21"/>
          <w:highlight w:val="none"/>
          <w:u w:val="single"/>
          <w:lang w:val="zh-CN"/>
        </w:rPr>
        <w:t>到货清点验收、系统集成初验、工程终验</w:t>
      </w:r>
      <w:r>
        <w:rPr>
          <w:rFonts w:hint="eastAsia" w:ascii="宋体" w:hAnsi="宋体" w:eastAsia="宋体" w:cs="宋体"/>
          <w:color w:val="auto"/>
          <w:kern w:val="0"/>
          <w:sz w:val="21"/>
          <w:szCs w:val="21"/>
          <w:highlight w:val="none"/>
          <w:lang w:val="zh-CN"/>
        </w:rPr>
        <w:t>三阶段。乙方将所供设备运至交货地点，在甲方人员在场时拆箱，由甲方当场清点验收。安装调试完毕后，协助甲方完成系统集成初验。</w:t>
      </w:r>
    </w:p>
    <w:p>
      <w:pPr>
        <w:keepNext w:val="0"/>
        <w:keepLines w:val="0"/>
        <w:pageBreakBefore w:val="0"/>
        <w:widowControl w:val="0"/>
        <w:numPr>
          <w:ilvl w:val="2"/>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设备从初验合格次日起7天内，出现非甲方人为因素造成的无法排除的故障，由乙方予以整机调换。</w:t>
      </w:r>
    </w:p>
    <w:p>
      <w:pPr>
        <w:keepNext w:val="0"/>
        <w:keepLines w:val="0"/>
        <w:pageBreakBefore w:val="0"/>
        <w:widowControl w:val="0"/>
        <w:numPr>
          <w:ilvl w:val="2"/>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工程终验在初验合格三个月后组织实施。工程终验时，</w:t>
      </w:r>
      <w:r>
        <w:rPr>
          <w:rFonts w:hint="eastAsia" w:ascii="宋体" w:hAnsi="宋体" w:eastAsia="宋体" w:cs="宋体"/>
          <w:color w:val="auto"/>
          <w:kern w:val="0"/>
          <w:sz w:val="21"/>
          <w:szCs w:val="21"/>
          <w:highlight w:val="none"/>
          <w:lang w:val="zh-CN"/>
        </w:rPr>
        <w:t>乙方</w:t>
      </w:r>
      <w:r>
        <w:rPr>
          <w:rFonts w:hint="eastAsia" w:ascii="宋体" w:hAnsi="宋体" w:eastAsia="宋体" w:cs="宋体"/>
          <w:color w:val="auto"/>
          <w:sz w:val="21"/>
          <w:szCs w:val="21"/>
          <w:highlight w:val="none"/>
          <w:lang w:val="zh-CN"/>
        </w:rPr>
        <w:t>须提供已办妥相应质保及售后服务手续，同时，协助</w:t>
      </w:r>
      <w:r>
        <w:rPr>
          <w:rFonts w:hint="eastAsia" w:ascii="宋体" w:hAnsi="宋体" w:eastAsia="宋体" w:cs="宋体"/>
          <w:color w:val="auto"/>
          <w:kern w:val="0"/>
          <w:sz w:val="21"/>
          <w:szCs w:val="21"/>
          <w:highlight w:val="none"/>
          <w:lang w:val="zh-CN"/>
        </w:rPr>
        <w:t>甲方</w:t>
      </w:r>
      <w:r>
        <w:rPr>
          <w:rFonts w:hint="eastAsia" w:ascii="宋体" w:hAnsi="宋体" w:eastAsia="宋体" w:cs="宋体"/>
          <w:color w:val="auto"/>
          <w:sz w:val="21"/>
          <w:szCs w:val="21"/>
          <w:highlight w:val="none"/>
          <w:lang w:val="zh-CN"/>
        </w:rPr>
        <w:t>通过电话查询售后服务手续办理情况予以验证。</w:t>
      </w:r>
    </w:p>
    <w:p>
      <w:pPr>
        <w:keepNext w:val="0"/>
        <w:keepLines w:val="0"/>
        <w:pageBreakBefore w:val="0"/>
        <w:widowControl w:val="0"/>
        <w:numPr>
          <w:ilvl w:val="2"/>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rPr>
        <w:t>（视项目需要可具体细化）</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安装试运行</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乙方负责设备购置、安装、调试、试运行等全过程的工作。</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乙方应提供安装计划给甲方认可。安装时乙方按需提供分派针对相对应设备的各个认证工程师负责安装、调试及运行工作，以检测其设计、制造、运行效果等，并提供所有测试和调试所需的工具、材料、仪器和劳务人员，直到保证正常稳定运行。安装结束前，乙方应提交测试和调试方法及记录表格给甲方。</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设备试运行应在甲方的监督下进行，此类监督不免除乙方应承担的相关责任。</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u w:val="single"/>
        </w:rPr>
        <w:t>（视项目需要可具体细化）</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需提供的资料</w:t>
      </w:r>
      <w:bookmarkStart w:id="112" w:name="OLE_LINK46"/>
    </w:p>
    <w:bookmarkEnd w:id="112"/>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乙方须在合同签订后五天内提交供甲方认可的需求分析报告、设计方案、设计说明书、项目实施计划书各一份，其中项目实施计划书的内容包括：设计、购置、交货、安装调试、质保期内规定完成的所有工作及活动。</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乙方应对合同中提供的设备主要部件建立质量保证计划。</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提供所有技术说明文档和设备安装、维护使用说明书。</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设备及其和安装有关的技术原理图、接线图。</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随机的辅助设备、专用电线电缆、随机软件、技术资料（包括操作手册、使用指南、维修指南和含维修网点在内的服务手册等）。</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设备运行所必需的随机消耗材料，相应的技术服务与质量保证。投标方应提供所供产品备件、附件和耗材的使用、消耗情况说明并推荐相应供应商及供货单价。</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在所供设备交付使用时，乙方必须向甲方提供产品说明书、质量保证书、保修卡、配置文档、使用手册、测试文档等必须具备的相关资料和必备的附件。</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乙方认为可能需要的其它文件。</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付款方式</w:t>
      </w:r>
    </w:p>
    <w:p>
      <w:pPr>
        <w:keepNext w:val="0"/>
        <w:keepLines w:val="0"/>
        <w:pageBreakBefore w:val="0"/>
        <w:widowControl w:val="0"/>
        <w:numPr>
          <w:ilvl w:val="1"/>
          <w:numId w:val="4"/>
        </w:numPr>
        <w:kinsoku/>
        <w:overflowPunct/>
        <w:topLinePunct w:val="0"/>
        <w:bidi w:val="0"/>
        <w:spacing w:line="312" w:lineRule="auto"/>
        <w:ind w:left="0" w:firstLine="422" w:firstLineChars="200"/>
        <w:textAlignment w:val="auto"/>
        <w:rPr>
          <w:rFonts w:hint="eastAsia" w:ascii="宋体" w:hAnsi="宋体" w:eastAsia="宋体" w:cs="宋体"/>
          <w:b/>
          <w:color w:val="auto"/>
          <w:sz w:val="21"/>
          <w:szCs w:val="21"/>
          <w:highlight w:val="none"/>
          <w:u w:val="single"/>
          <w:lang w:val="zh-CN"/>
        </w:rPr>
      </w:pPr>
      <w:r>
        <w:rPr>
          <w:rFonts w:hint="eastAsia" w:ascii="宋体" w:hAnsi="宋体" w:eastAsia="宋体" w:cs="宋体"/>
          <w:b/>
          <w:color w:val="auto"/>
          <w:sz w:val="21"/>
          <w:szCs w:val="21"/>
          <w:highlight w:val="none"/>
          <w:u w:val="single"/>
        </w:rPr>
        <w:t>合同签订后15个工作日支付合同款的30%作为预付款，设备安装调试完成及项目终验合格后且乙方培训结束、甲方操作人员能熟练操作后，30个工作日内付至合同款的100%并退回履约保证金（无息）</w:t>
      </w:r>
      <w:r>
        <w:rPr>
          <w:rFonts w:hint="eastAsia" w:ascii="宋体" w:hAnsi="宋体" w:eastAsia="宋体" w:cs="宋体"/>
          <w:b/>
          <w:color w:val="auto"/>
          <w:sz w:val="21"/>
          <w:szCs w:val="21"/>
          <w:highlight w:val="none"/>
          <w:u w:val="single"/>
          <w:lang w:val="en-US" w:eastAsia="zh-CN"/>
        </w:rPr>
        <w:t>。</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培训</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培训在项目实施过程中按招标人确定的时间进行。</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售后服务</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售后服务内容以乙方承诺及相关要求等为准。备品备件的替换应按同等性能、同等配置要求进行。</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乙方应明确承诺售后服务保证，提供详细的服务地点、联系人、电话等有关资料；</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质保期符合或优于国家标准（采购需求表中另有约定的例外）。在质保期内，设备的维修和保养所发生的一切费用均由乙方承担； </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设备签约的同时，双方签订质保期满后的维修保养协议或合同。</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rPr>
        <w:t>（视项目需要可具体细化）</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工期要求</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 合同签定后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内完成安装调试成功并交付使用。</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安装时间为：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单位变动情况处理</w:t>
      </w:r>
    </w:p>
    <w:p>
      <w:pPr>
        <w:keepNext w:val="0"/>
        <w:keepLines w:val="0"/>
        <w:pageBreakBefore w:val="0"/>
        <w:widowControl w:val="0"/>
        <w:kinsoku/>
        <w:overflowPunct/>
        <w:topLinePunct w:val="0"/>
        <w:bidi w:val="0"/>
        <w:snapToGrid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乙方发生收购、兼并、重组等单位变动情况，责任顺延至收购方、兼并方、重组方等新主体。</w:t>
      </w:r>
    </w:p>
    <w:p>
      <w:pPr>
        <w:keepNext w:val="0"/>
        <w:keepLines w:val="0"/>
        <w:pageBreakBefore w:val="0"/>
        <w:widowControl w:val="0"/>
        <w:numPr>
          <w:ilvl w:val="0"/>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合同的生效</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本合同经甲方、乙方法定代表人或其委托人签字并加盖双方公章后生效。</w:t>
      </w:r>
    </w:p>
    <w:p>
      <w:pPr>
        <w:keepNext w:val="0"/>
        <w:keepLines w:val="0"/>
        <w:pageBreakBefore w:val="0"/>
        <w:widowControl w:val="0"/>
        <w:numPr>
          <w:ilvl w:val="1"/>
          <w:numId w:val="4"/>
        </w:numPr>
        <w:kinsoku/>
        <w:overflowPunct/>
        <w:topLinePunct w:val="0"/>
        <w:bidi w:val="0"/>
        <w:spacing w:line="312"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本合同一式</w:t>
      </w:r>
      <w:r>
        <w:rPr>
          <w:rFonts w:hint="eastAsia" w:ascii="宋体" w:hAnsi="宋体" w:cs="宋体"/>
          <w:color w:val="auto"/>
          <w:sz w:val="21"/>
          <w:szCs w:val="21"/>
          <w:highlight w:val="none"/>
          <w:lang w:eastAsia="zh-CN"/>
        </w:rPr>
        <w:t>肆</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lang w:eastAsia="zh-CN"/>
        </w:rPr>
        <w:t>贰</w:t>
      </w:r>
      <w:r>
        <w:rPr>
          <w:rFonts w:hint="eastAsia" w:ascii="宋体" w:hAnsi="宋体" w:eastAsia="宋体" w:cs="宋体"/>
          <w:color w:val="auto"/>
          <w:sz w:val="21"/>
          <w:szCs w:val="21"/>
          <w:highlight w:val="none"/>
        </w:rPr>
        <w:t>份。</w:t>
      </w:r>
    </w:p>
    <w:p>
      <w:pPr>
        <w:keepNext w:val="0"/>
        <w:keepLines w:val="0"/>
        <w:pageBreakBefore w:val="0"/>
        <w:widowControl w:val="0"/>
        <w:kinsoku/>
        <w:overflowPunct/>
        <w:topLinePunct w:val="0"/>
        <w:bidi w:val="0"/>
        <w:snapToGrid w:val="0"/>
        <w:spacing w:line="312"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overflowPunct/>
        <w:topLinePunct w:val="0"/>
        <w:bidi w:val="0"/>
        <w:snapToGrid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pPr>
        <w:keepNext w:val="0"/>
        <w:keepLines w:val="0"/>
        <w:pageBreakBefore w:val="0"/>
        <w:widowControl w:val="0"/>
        <w:kinsoku/>
        <w:overflowPunct/>
        <w:topLinePunct w:val="0"/>
        <w:bidi w:val="0"/>
        <w:snapToGrid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                      授权代表：</w:t>
      </w:r>
    </w:p>
    <w:p>
      <w:pPr>
        <w:keepNext w:val="0"/>
        <w:keepLines w:val="0"/>
        <w:pageBreakBefore w:val="0"/>
        <w:widowControl w:val="0"/>
        <w:kinsoku/>
        <w:overflowPunct/>
        <w:topLinePunct w:val="0"/>
        <w:bidi w:val="0"/>
        <w:snapToGrid w:val="0"/>
        <w:spacing w:line="312"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pPr>
        <w:keepNext w:val="0"/>
        <w:keepLines w:val="0"/>
        <w:pageBreakBefore w:val="0"/>
        <w:widowControl w:val="0"/>
        <w:kinsoku/>
        <w:overflowPunct/>
        <w:topLinePunct w:val="0"/>
        <w:bidi w:val="0"/>
        <w:snapToGrid w:val="0"/>
        <w:spacing w:line="312"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日期：                          日期：</w:t>
      </w:r>
    </w:p>
    <w:bookmarkEnd w:id="90"/>
    <w:bookmarkEnd w:id="91"/>
    <w:bookmarkEnd w:id="92"/>
    <w:bookmarkEnd w:id="93"/>
    <w:bookmarkEnd w:id="94"/>
    <w:p>
      <w:pPr>
        <w:pStyle w:val="24"/>
      </w:pPr>
      <w:bookmarkStart w:id="113" w:name="_Toc322352985"/>
      <w:bookmarkStart w:id="114" w:name="_Toc356371458"/>
      <w:bookmarkStart w:id="115" w:name="_Toc5525"/>
      <w:bookmarkStart w:id="116" w:name="_Toc15536"/>
      <w:bookmarkStart w:id="117" w:name="_Toc354491899"/>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snapToGrid w:val="0"/>
        <w:spacing w:line="312" w:lineRule="auto"/>
        <w:jc w:val="both"/>
        <w:outlineLvl w:val="0"/>
        <w:rPr>
          <w:rFonts w:ascii="宋体" w:cs="宋体"/>
          <w:b/>
          <w:szCs w:val="21"/>
        </w:rPr>
      </w:pPr>
    </w:p>
    <w:p>
      <w:pPr>
        <w:pStyle w:val="24"/>
      </w:pPr>
    </w:p>
    <w:p>
      <w:pPr>
        <w:snapToGrid w:val="0"/>
        <w:spacing w:line="312" w:lineRule="auto"/>
        <w:jc w:val="center"/>
        <w:outlineLvl w:val="0"/>
        <w:rPr>
          <w:rFonts w:ascii="宋体" w:cs="宋体"/>
          <w:b/>
          <w:szCs w:val="21"/>
        </w:rPr>
      </w:pPr>
      <w:r>
        <w:rPr>
          <w:rFonts w:hint="eastAsia" w:ascii="宋体" w:hAnsi="宋体" w:cs="宋体"/>
          <w:b/>
          <w:szCs w:val="21"/>
        </w:rPr>
        <w:t>第五章应提交的有关格式范例</w:t>
      </w:r>
      <w:bookmarkEnd w:id="113"/>
      <w:bookmarkEnd w:id="114"/>
      <w:bookmarkEnd w:id="115"/>
      <w:bookmarkEnd w:id="116"/>
      <w:bookmarkEnd w:id="117"/>
    </w:p>
    <w:p>
      <w:pPr>
        <w:snapToGrid w:val="0"/>
        <w:spacing w:line="312" w:lineRule="auto"/>
        <w:jc w:val="center"/>
        <w:outlineLvl w:val="1"/>
        <w:rPr>
          <w:rFonts w:ascii="宋体" w:cs="宋体"/>
          <w:b/>
          <w:sz w:val="28"/>
          <w:szCs w:val="28"/>
        </w:rPr>
      </w:pPr>
      <w:bookmarkStart w:id="118" w:name="_Toc13045"/>
      <w:bookmarkStart w:id="119" w:name="_Toc16658"/>
      <w:r>
        <w:rPr>
          <w:rStyle w:val="106"/>
          <w:rFonts w:hint="eastAsia" w:eastAsia="宋体" w:cs="宋体"/>
          <w:bCs/>
          <w:sz w:val="21"/>
          <w:szCs w:val="21"/>
        </w:rPr>
        <w:t>一、投标文件封面</w:t>
      </w:r>
      <w:bookmarkEnd w:id="118"/>
      <w:bookmarkEnd w:id="119"/>
    </w:p>
    <w:p>
      <w:pPr>
        <w:spacing w:line="312" w:lineRule="auto"/>
        <w:ind w:left="1800" w:leftChars="857"/>
        <w:jc w:val="right"/>
        <w:rPr>
          <w:rFonts w:ascii="宋体" w:cs="宋体"/>
          <w:sz w:val="28"/>
          <w:szCs w:val="28"/>
        </w:rPr>
      </w:pPr>
    </w:p>
    <w:p>
      <w:pPr>
        <w:spacing w:line="312" w:lineRule="auto"/>
        <w:rPr>
          <w:rFonts w:ascii="宋体" w:cs="宋体"/>
          <w:sz w:val="28"/>
          <w:szCs w:val="28"/>
        </w:rPr>
      </w:pPr>
    </w:p>
    <w:p>
      <w:pPr>
        <w:spacing w:line="312" w:lineRule="auto"/>
        <w:rPr>
          <w:rFonts w:ascii="宋体" w:cs="宋体"/>
          <w:sz w:val="28"/>
          <w:szCs w:val="28"/>
        </w:rPr>
      </w:pPr>
    </w:p>
    <w:p>
      <w:pPr>
        <w:spacing w:line="312" w:lineRule="auto"/>
        <w:rPr>
          <w:rFonts w:ascii="宋体" w:cs="宋体"/>
          <w:sz w:val="28"/>
          <w:szCs w:val="28"/>
        </w:rPr>
      </w:pPr>
    </w:p>
    <w:p>
      <w:pPr>
        <w:spacing w:line="312" w:lineRule="auto"/>
        <w:rPr>
          <w:rFonts w:ascii="宋体" w:cs="宋体"/>
          <w:sz w:val="28"/>
          <w:szCs w:val="28"/>
        </w:rPr>
      </w:pPr>
    </w:p>
    <w:p>
      <w:pPr>
        <w:spacing w:line="312" w:lineRule="auto"/>
        <w:ind w:firstLine="280" w:firstLineChars="100"/>
        <w:rPr>
          <w:rFonts w:ascii="宋体" w:cs="宋体"/>
          <w:sz w:val="28"/>
          <w:szCs w:val="28"/>
        </w:rPr>
      </w:pPr>
    </w:p>
    <w:p>
      <w:pPr>
        <w:spacing w:line="312" w:lineRule="auto"/>
        <w:ind w:firstLine="3080" w:firstLineChars="1100"/>
        <w:rPr>
          <w:rFonts w:ascii="宋体" w:cs="宋体"/>
          <w:sz w:val="28"/>
          <w:szCs w:val="28"/>
        </w:rPr>
      </w:pPr>
      <w:r>
        <w:rPr>
          <w:rFonts w:hint="eastAsia" w:ascii="宋体" w:hAnsi="宋体" w:cs="宋体"/>
          <w:sz w:val="28"/>
          <w:szCs w:val="28"/>
        </w:rPr>
        <w:t>资格文件</w:t>
      </w:r>
    </w:p>
    <w:p>
      <w:pPr>
        <w:snapToGrid w:val="0"/>
        <w:spacing w:line="312" w:lineRule="auto"/>
        <w:ind w:firstLine="2069" w:firstLineChars="739"/>
        <w:rPr>
          <w:rFonts w:ascii="宋体" w:cs="宋体"/>
          <w:sz w:val="28"/>
          <w:szCs w:val="28"/>
        </w:rPr>
      </w:pPr>
      <w:r>
        <w:rPr>
          <w:rFonts w:hint="eastAsia" w:ascii="宋体" w:hAnsi="宋体" w:cs="宋体"/>
          <w:sz w:val="28"/>
          <w:szCs w:val="28"/>
        </w:rPr>
        <w:t>（</w:t>
      </w:r>
      <w:bookmarkStart w:id="120" w:name="_Toc357410801"/>
      <w:r>
        <w:rPr>
          <w:rFonts w:hint="eastAsia" w:ascii="宋体" w:hAnsi="宋体" w:cs="宋体"/>
          <w:sz w:val="28"/>
          <w:szCs w:val="28"/>
        </w:rPr>
        <w:t>商务技术文件、报价文件）</w:t>
      </w:r>
      <w:bookmarkEnd w:id="120"/>
    </w:p>
    <w:p>
      <w:pPr>
        <w:snapToGrid w:val="0"/>
        <w:spacing w:line="312" w:lineRule="auto"/>
        <w:ind w:firstLine="1962" w:firstLineChars="698"/>
        <w:rPr>
          <w:rFonts w:ascii="宋体" w:cs="宋体"/>
          <w:b/>
          <w:sz w:val="28"/>
          <w:szCs w:val="28"/>
        </w:rPr>
      </w:pPr>
    </w:p>
    <w:p>
      <w:pPr>
        <w:snapToGrid w:val="0"/>
        <w:spacing w:line="312" w:lineRule="auto"/>
        <w:rPr>
          <w:rFonts w:ascii="宋体" w:cs="宋体"/>
          <w:sz w:val="28"/>
          <w:szCs w:val="28"/>
          <w:u w:val="single"/>
        </w:rPr>
      </w:pPr>
      <w:bookmarkStart w:id="121" w:name="_Toc357410802"/>
      <w:r>
        <w:rPr>
          <w:rFonts w:hint="eastAsia" w:ascii="宋体" w:hAnsi="宋体" w:cs="宋体"/>
          <w:sz w:val="28"/>
          <w:szCs w:val="28"/>
        </w:rPr>
        <w:t>项目名称：</w:t>
      </w:r>
      <w:bookmarkEnd w:id="121"/>
    </w:p>
    <w:p>
      <w:pPr>
        <w:snapToGrid w:val="0"/>
        <w:spacing w:line="312" w:lineRule="auto"/>
        <w:rPr>
          <w:rFonts w:ascii="宋体" w:cs="宋体"/>
          <w:sz w:val="28"/>
          <w:szCs w:val="28"/>
          <w:u w:val="single"/>
        </w:rPr>
      </w:pPr>
      <w:bookmarkStart w:id="122" w:name="_Toc357410803"/>
      <w:r>
        <w:rPr>
          <w:rFonts w:hint="eastAsia" w:ascii="宋体" w:hAnsi="宋体" w:cs="宋体"/>
          <w:sz w:val="28"/>
          <w:szCs w:val="28"/>
        </w:rPr>
        <w:t>项目编号：</w:t>
      </w:r>
      <w:bookmarkEnd w:id="122"/>
    </w:p>
    <w:p>
      <w:pPr>
        <w:snapToGrid w:val="0"/>
        <w:spacing w:line="312" w:lineRule="auto"/>
        <w:rPr>
          <w:rFonts w:ascii="宋体" w:cs="宋体"/>
          <w:sz w:val="28"/>
          <w:szCs w:val="28"/>
        </w:rPr>
      </w:pPr>
      <w:bookmarkStart w:id="123" w:name="_Toc357410804"/>
      <w:r>
        <w:rPr>
          <w:rFonts w:hint="eastAsia" w:ascii="宋体" w:hAnsi="宋体" w:cs="宋体"/>
          <w:sz w:val="28"/>
          <w:szCs w:val="28"/>
        </w:rPr>
        <w:t>投标人：</w:t>
      </w:r>
      <w:r>
        <w:rPr>
          <w:rFonts w:hint="eastAsia" w:ascii="宋体" w:hAnsi="宋体" w:cs="宋体"/>
          <w:sz w:val="28"/>
          <w:szCs w:val="28"/>
          <w:u w:val="single"/>
        </w:rPr>
        <w:t>（盖单位公章）</w:t>
      </w:r>
      <w:bookmarkEnd w:id="123"/>
    </w:p>
    <w:p>
      <w:pPr>
        <w:snapToGrid w:val="0"/>
        <w:spacing w:line="312" w:lineRule="auto"/>
        <w:rPr>
          <w:rFonts w:ascii="宋体" w:cs="宋体"/>
          <w:sz w:val="28"/>
          <w:szCs w:val="28"/>
        </w:rPr>
      </w:pPr>
      <w:bookmarkStart w:id="124" w:name="_Toc357410805"/>
      <w:r>
        <w:rPr>
          <w:rFonts w:hint="eastAsia" w:ascii="宋体" w:hAnsi="宋体" w:cs="宋体"/>
          <w:sz w:val="28"/>
          <w:szCs w:val="28"/>
        </w:rPr>
        <w:t>日期：</w:t>
      </w:r>
      <w:r>
        <w:rPr>
          <w:rFonts w:hint="eastAsia" w:ascii="宋体" w:hAnsi="宋体" w:cs="宋体"/>
          <w:sz w:val="28"/>
          <w:szCs w:val="28"/>
          <w:lang w:val="en-US" w:eastAsia="zh-CN"/>
        </w:rPr>
        <w:t xml:space="preserve">    </w:t>
      </w: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bookmarkEnd w:id="124"/>
    </w:p>
    <w:p>
      <w:pPr>
        <w:snapToGrid w:val="0"/>
        <w:spacing w:line="312" w:lineRule="auto"/>
        <w:jc w:val="center"/>
        <w:outlineLvl w:val="1"/>
        <w:rPr>
          <w:rStyle w:val="106"/>
          <w:rFonts w:hAnsi="Times New Roman" w:eastAsia="宋体" w:cs="宋体"/>
          <w:bCs/>
          <w:sz w:val="21"/>
          <w:szCs w:val="21"/>
        </w:rPr>
      </w:pPr>
      <w:r>
        <w:rPr>
          <w:rStyle w:val="106"/>
          <w:rFonts w:hAnsi="Times New Roman" w:eastAsia="宋体" w:cs="宋体"/>
          <w:bCs/>
          <w:sz w:val="28"/>
          <w:szCs w:val="28"/>
        </w:rPr>
        <w:br w:type="page"/>
      </w:r>
      <w:bookmarkStart w:id="125" w:name="_Toc23243"/>
      <w:bookmarkStart w:id="126" w:name="_Toc23038"/>
      <w:r>
        <w:rPr>
          <w:rStyle w:val="106"/>
          <w:rFonts w:hint="eastAsia" w:eastAsia="宋体" w:cs="宋体"/>
          <w:bCs/>
          <w:sz w:val="21"/>
          <w:szCs w:val="21"/>
        </w:rPr>
        <w:t>二、</w:t>
      </w:r>
      <w:bookmarkEnd w:id="125"/>
      <w:bookmarkEnd w:id="126"/>
      <w:r>
        <w:rPr>
          <w:rStyle w:val="106"/>
          <w:rFonts w:hint="eastAsia" w:eastAsia="宋体" w:cs="宋体"/>
          <w:bCs/>
          <w:sz w:val="21"/>
          <w:szCs w:val="21"/>
        </w:rPr>
        <w:t>资格文件</w:t>
      </w:r>
    </w:p>
    <w:p>
      <w:pPr>
        <w:spacing w:line="312" w:lineRule="auto"/>
        <w:jc w:val="center"/>
        <w:rPr>
          <w:rStyle w:val="106"/>
          <w:rFonts w:hAnsi="Times New Roman" w:eastAsia="宋体" w:cs="宋体"/>
          <w:sz w:val="21"/>
          <w:szCs w:val="21"/>
        </w:rPr>
      </w:pPr>
      <w:r>
        <w:rPr>
          <w:rStyle w:val="106"/>
          <w:rFonts w:eastAsia="宋体" w:cs="宋体"/>
          <w:sz w:val="21"/>
          <w:szCs w:val="21"/>
        </w:rPr>
        <w:t xml:space="preserve">1 </w:t>
      </w:r>
      <w:r>
        <w:rPr>
          <w:rStyle w:val="106"/>
          <w:rFonts w:hint="eastAsia" w:eastAsia="宋体" w:cs="宋体"/>
          <w:sz w:val="21"/>
          <w:szCs w:val="21"/>
        </w:rPr>
        <w:t>投标函</w:t>
      </w:r>
    </w:p>
    <w:p>
      <w:pPr>
        <w:spacing w:line="312" w:lineRule="auto"/>
        <w:ind w:firstLine="3920"/>
        <w:rPr>
          <w:rFonts w:ascii="宋体" w:cs="宋体"/>
          <w:szCs w:val="21"/>
        </w:rPr>
      </w:pPr>
    </w:p>
    <w:p>
      <w:pPr>
        <w:snapToGrid w:val="0"/>
        <w:spacing w:line="312" w:lineRule="auto"/>
        <w:rPr>
          <w:rFonts w:ascii="宋体" w:cs="宋体"/>
          <w:szCs w:val="21"/>
        </w:rPr>
      </w:pPr>
      <w:r>
        <w:rPr>
          <w:rFonts w:hint="eastAsia" w:ascii="宋体" w:hAnsi="宋体" w:cs="宋体"/>
          <w:szCs w:val="21"/>
        </w:rPr>
        <w:t>致：（采购人名称）：</w:t>
      </w:r>
    </w:p>
    <w:p>
      <w:pPr>
        <w:snapToGrid w:val="0"/>
        <w:spacing w:line="312" w:lineRule="auto"/>
        <w:ind w:firstLine="480"/>
        <w:rPr>
          <w:rFonts w:ascii="宋体" w:cs="宋体"/>
          <w:szCs w:val="21"/>
        </w:rPr>
      </w:pPr>
      <w:r>
        <w:rPr>
          <w:rFonts w:hint="eastAsia" w:ascii="宋体" w:hAnsi="宋体" w:cs="宋体"/>
          <w:szCs w:val="21"/>
        </w:rPr>
        <w:t>根据贵方为项目的招标公告（项目编号：），签字代表（全名）经正式授权并代表投标人（投标人名称）提交资格文件、商务技术文件、报价文件。</w:t>
      </w:r>
    </w:p>
    <w:p>
      <w:pPr>
        <w:snapToGrid w:val="0"/>
        <w:spacing w:line="312" w:lineRule="auto"/>
        <w:ind w:firstLine="420" w:firstLineChars="200"/>
        <w:rPr>
          <w:rFonts w:ascii="宋体" w:cs="宋体"/>
          <w:szCs w:val="21"/>
        </w:rPr>
      </w:pPr>
      <w:r>
        <w:rPr>
          <w:rFonts w:hint="eastAsia" w:ascii="宋体" w:hAnsi="宋体" w:cs="宋体"/>
          <w:szCs w:val="21"/>
        </w:rPr>
        <w:t>据此函，签字代表宣布同意如下：</w:t>
      </w:r>
    </w:p>
    <w:p>
      <w:pPr>
        <w:pStyle w:val="32"/>
        <w:spacing w:line="312" w:lineRule="auto"/>
        <w:ind w:firstLine="420" w:firstLineChars="200"/>
        <w:rPr>
          <w:rFonts w:hAnsi="宋体" w:cs="宋体"/>
          <w:szCs w:val="21"/>
        </w:rPr>
      </w:pPr>
      <w:r>
        <w:rPr>
          <w:rFonts w:hAnsi="宋体" w:cs="宋体"/>
          <w:szCs w:val="21"/>
        </w:rPr>
        <w:t xml:space="preserve">1. </w:t>
      </w:r>
      <w:r>
        <w:rPr>
          <w:rFonts w:hint="eastAsia" w:hAnsi="宋体" w:cs="宋体"/>
          <w:szCs w:val="21"/>
        </w:rPr>
        <w:t>我方向贵方提交的所有投标文件、资料都是准确的和真实的。</w:t>
      </w:r>
    </w:p>
    <w:p>
      <w:pPr>
        <w:snapToGrid w:val="0"/>
        <w:spacing w:line="312" w:lineRule="auto"/>
        <w:ind w:firstLine="420" w:firstLineChars="200"/>
        <w:rPr>
          <w:rFonts w:ascii="宋体" w:cs="宋体"/>
          <w:szCs w:val="21"/>
        </w:rPr>
      </w:pPr>
      <w:r>
        <w:rPr>
          <w:rFonts w:ascii="宋体" w:hAnsi="宋体" w:cs="宋体"/>
          <w:szCs w:val="21"/>
        </w:rPr>
        <w:t>2.</w:t>
      </w:r>
      <w:r>
        <w:rPr>
          <w:rFonts w:hint="eastAsia" w:ascii="宋体" w:hAnsi="宋体" w:cs="宋体"/>
          <w:szCs w:val="21"/>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12" w:lineRule="auto"/>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我方在投标之前已经与贵方进行了充分的沟通，完全理解并接受招标文件的各项规定和要求，对招标文件的合理性、合法性不再有异议。</w:t>
      </w:r>
    </w:p>
    <w:p>
      <w:pPr>
        <w:snapToGrid w:val="0"/>
        <w:spacing w:line="312" w:lineRule="auto"/>
        <w:ind w:firstLine="420" w:firstLineChars="200"/>
        <w:rPr>
          <w:rFonts w:ascii="宋体" w:cs="宋体"/>
          <w:szCs w:val="21"/>
        </w:rPr>
      </w:pPr>
      <w:r>
        <w:rPr>
          <w:rFonts w:ascii="宋体" w:hAnsi="宋体" w:cs="宋体"/>
          <w:szCs w:val="21"/>
        </w:rPr>
        <w:t>4.</w:t>
      </w:r>
      <w:r>
        <w:rPr>
          <w:rFonts w:hint="eastAsia" w:ascii="宋体" w:hAnsi="宋体" w:cs="宋体"/>
          <w:szCs w:val="21"/>
        </w:rPr>
        <w:t>本投标有效期自开标日起日。</w:t>
      </w:r>
    </w:p>
    <w:p>
      <w:pPr>
        <w:snapToGrid w:val="0"/>
        <w:spacing w:line="312" w:lineRule="auto"/>
        <w:ind w:firstLine="420" w:firstLineChars="200"/>
        <w:rPr>
          <w:rFonts w:ascii="宋体" w:cs="宋体"/>
          <w:szCs w:val="21"/>
        </w:rPr>
      </w:pPr>
      <w:r>
        <w:rPr>
          <w:rFonts w:ascii="宋体" w:hAnsi="宋体" w:cs="宋体"/>
          <w:szCs w:val="21"/>
        </w:rPr>
        <w:t>5.</w:t>
      </w:r>
      <w:r>
        <w:rPr>
          <w:rFonts w:hint="eastAsia" w:ascii="宋体" w:hAnsi="宋体" w:cs="宋体"/>
          <w:szCs w:val="21"/>
        </w:rPr>
        <w:t>如中标，本投标文件至本项目合同履行完毕止均保持有效，本投标人将按“招标文件”及政府采购法律、法规的规定履行合同责任和义务。</w:t>
      </w:r>
    </w:p>
    <w:p>
      <w:pPr>
        <w:snapToGrid w:val="0"/>
        <w:spacing w:line="312" w:lineRule="auto"/>
        <w:ind w:firstLine="420" w:firstLineChars="200"/>
        <w:rPr>
          <w:rFonts w:ascii="宋体" w:cs="宋体"/>
          <w:szCs w:val="21"/>
        </w:rPr>
      </w:pPr>
      <w:r>
        <w:rPr>
          <w:rFonts w:ascii="宋体" w:hAnsi="宋体" w:cs="宋体"/>
          <w:szCs w:val="21"/>
        </w:rPr>
        <w:t>6.</w:t>
      </w:r>
      <w:r>
        <w:rPr>
          <w:rFonts w:hint="eastAsia" w:ascii="宋体" w:hAnsi="宋体" w:cs="宋体"/>
          <w:szCs w:val="21"/>
        </w:rPr>
        <w:t>我方同意按照贵方要求提供与投标有关的一切数据或资料。</w:t>
      </w:r>
    </w:p>
    <w:p>
      <w:pPr>
        <w:snapToGrid w:val="0"/>
        <w:spacing w:line="312" w:lineRule="auto"/>
        <w:ind w:firstLine="420" w:firstLineChars="200"/>
        <w:rPr>
          <w:rFonts w:ascii="宋体" w:cs="宋体"/>
          <w:szCs w:val="21"/>
        </w:rPr>
      </w:pPr>
      <w:r>
        <w:rPr>
          <w:rFonts w:ascii="宋体" w:hAnsi="宋体" w:cs="宋体"/>
          <w:szCs w:val="21"/>
        </w:rPr>
        <w:t>7.</w:t>
      </w:r>
      <w:r>
        <w:rPr>
          <w:rFonts w:hint="eastAsia" w:ascii="宋体" w:hAnsi="宋体" w:cs="宋体"/>
          <w:szCs w:val="21"/>
        </w:rPr>
        <w:t>与本投标有关的一切正式往来信函请寄：</w:t>
      </w:r>
    </w:p>
    <w:p>
      <w:pPr>
        <w:snapToGrid w:val="0"/>
        <w:spacing w:line="312" w:lineRule="auto"/>
        <w:rPr>
          <w:rFonts w:ascii="宋体" w:cs="宋体"/>
          <w:szCs w:val="21"/>
        </w:rPr>
      </w:pPr>
      <w:r>
        <w:rPr>
          <w:rFonts w:hint="eastAsia" w:ascii="宋体" w:hAnsi="宋体" w:cs="宋体"/>
          <w:szCs w:val="21"/>
        </w:rPr>
        <w:t>地址：</w:t>
      </w:r>
      <w:r>
        <w:rPr>
          <w:rFonts w:hint="eastAsia" w:ascii="宋体" w:hAnsi="宋体" w:cs="宋体"/>
          <w:szCs w:val="21"/>
          <w:lang w:val="en-US" w:eastAsia="zh-CN"/>
        </w:rPr>
        <w:t xml:space="preserve">    </w:t>
      </w:r>
      <w:r>
        <w:rPr>
          <w:rFonts w:hint="eastAsia" w:ascii="宋体" w:hAnsi="宋体" w:cs="宋体"/>
          <w:szCs w:val="21"/>
        </w:rPr>
        <w:t>邮编：</w:t>
      </w:r>
      <w:r>
        <w:rPr>
          <w:rFonts w:hint="eastAsia" w:ascii="宋体" w:hAnsi="宋体" w:cs="宋体"/>
          <w:szCs w:val="21"/>
          <w:lang w:val="en-US" w:eastAsia="zh-CN"/>
        </w:rPr>
        <w:t xml:space="preserve">    </w:t>
      </w:r>
      <w:r>
        <w:rPr>
          <w:rFonts w:hint="eastAsia" w:ascii="宋体" w:hAnsi="宋体" w:cs="宋体"/>
          <w:szCs w:val="21"/>
        </w:rPr>
        <w:t>电话：</w:t>
      </w:r>
    </w:p>
    <w:p>
      <w:pPr>
        <w:snapToGrid w:val="0"/>
        <w:spacing w:line="312" w:lineRule="auto"/>
        <w:rPr>
          <w:rFonts w:ascii="宋体" w:cs="宋体"/>
          <w:szCs w:val="21"/>
        </w:rPr>
      </w:pPr>
      <w:r>
        <w:rPr>
          <w:rFonts w:hint="eastAsia" w:ascii="宋体" w:hAnsi="宋体" w:cs="宋体"/>
          <w:szCs w:val="21"/>
        </w:rPr>
        <w:t>传真：</w:t>
      </w:r>
      <w:r>
        <w:rPr>
          <w:rFonts w:hint="eastAsia" w:ascii="宋体" w:hAnsi="宋体" w:cs="宋体"/>
          <w:szCs w:val="21"/>
          <w:lang w:val="en-US" w:eastAsia="zh-CN"/>
        </w:rPr>
        <w:t xml:space="preserve">    </w:t>
      </w:r>
      <w:r>
        <w:rPr>
          <w:rFonts w:hint="eastAsia" w:ascii="宋体" w:hAnsi="宋体" w:cs="宋体"/>
          <w:szCs w:val="21"/>
        </w:rPr>
        <w:t>投标人代表姓名：</w:t>
      </w:r>
      <w:r>
        <w:rPr>
          <w:rFonts w:hint="eastAsia" w:ascii="宋体" w:hAnsi="宋体" w:cs="宋体"/>
          <w:szCs w:val="21"/>
          <w:lang w:val="en-US" w:eastAsia="zh-CN"/>
        </w:rPr>
        <w:t xml:space="preserve">   </w:t>
      </w:r>
      <w:r>
        <w:rPr>
          <w:rFonts w:hint="eastAsia" w:ascii="宋体" w:hAnsi="宋体" w:cs="宋体"/>
          <w:szCs w:val="21"/>
        </w:rPr>
        <w:t>职务：</w:t>
      </w:r>
    </w:p>
    <w:p>
      <w:pPr>
        <w:snapToGrid w:val="0"/>
        <w:spacing w:line="312" w:lineRule="auto"/>
        <w:rPr>
          <w:rFonts w:ascii="宋体" w:cs="宋体"/>
          <w:szCs w:val="21"/>
        </w:rPr>
      </w:pPr>
      <w:r>
        <w:rPr>
          <w:rFonts w:hint="eastAsia" w:ascii="宋体" w:hAnsi="宋体" w:cs="宋体"/>
          <w:szCs w:val="21"/>
        </w:rPr>
        <w:t>投标人名称</w:t>
      </w:r>
      <w:r>
        <w:rPr>
          <w:rFonts w:ascii="宋体" w:hAnsi="宋体" w:cs="宋体"/>
          <w:szCs w:val="21"/>
        </w:rPr>
        <w:t>(</w:t>
      </w:r>
      <w:r>
        <w:rPr>
          <w:rFonts w:hint="eastAsia" w:ascii="宋体" w:hAnsi="宋体" w:cs="宋体"/>
          <w:szCs w:val="21"/>
        </w:rPr>
        <w:t>公章</w:t>
      </w:r>
      <w:r>
        <w:rPr>
          <w:rFonts w:ascii="宋体" w:hAnsi="宋体" w:cs="宋体"/>
          <w:szCs w:val="21"/>
        </w:rPr>
        <w:t>):</w:t>
      </w:r>
    </w:p>
    <w:p>
      <w:pPr>
        <w:snapToGrid w:val="0"/>
        <w:spacing w:line="312" w:lineRule="auto"/>
        <w:rPr>
          <w:rFonts w:ascii="宋体" w:cs="宋体"/>
          <w:szCs w:val="21"/>
        </w:rPr>
      </w:pPr>
      <w:r>
        <w:rPr>
          <w:rFonts w:hint="eastAsia" w:ascii="宋体" w:hAnsi="宋体" w:cs="宋体"/>
          <w:szCs w:val="21"/>
        </w:rPr>
        <w:t>开户银行：</w:t>
      </w:r>
      <w:r>
        <w:rPr>
          <w:rFonts w:hint="eastAsia" w:ascii="宋体" w:hAnsi="宋体" w:cs="宋体"/>
          <w:szCs w:val="21"/>
          <w:lang w:val="en-US" w:eastAsia="zh-CN"/>
        </w:rPr>
        <w:t xml:space="preserve">      </w:t>
      </w:r>
      <w:r>
        <w:rPr>
          <w:rFonts w:hint="eastAsia" w:ascii="宋体" w:hAnsi="宋体" w:cs="宋体"/>
          <w:szCs w:val="21"/>
        </w:rPr>
        <w:t>银行帐号：</w:t>
      </w:r>
    </w:p>
    <w:p>
      <w:pPr>
        <w:snapToGrid w:val="0"/>
        <w:spacing w:line="312" w:lineRule="auto"/>
        <w:rPr>
          <w:rFonts w:ascii="宋体" w:cs="宋体"/>
          <w:szCs w:val="21"/>
        </w:rPr>
      </w:pPr>
      <w:r>
        <w:rPr>
          <w:rFonts w:hint="eastAsia" w:ascii="宋体" w:hAnsi="宋体" w:cs="宋体"/>
          <w:szCs w:val="21"/>
        </w:rPr>
        <w:t>授权代表人（签字或盖章）</w:t>
      </w:r>
      <w:r>
        <w:rPr>
          <w:rFonts w:ascii="宋体" w:hAnsi="宋体" w:cs="宋体"/>
          <w:szCs w:val="21"/>
        </w:rPr>
        <w:t>:</w:t>
      </w:r>
    </w:p>
    <w:p>
      <w:pPr>
        <w:snapToGrid w:val="0"/>
        <w:spacing w:line="312" w:lineRule="auto"/>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pacing w:line="312" w:lineRule="auto"/>
        <w:ind w:firstLine="420" w:firstLineChars="200"/>
        <w:rPr>
          <w:rFonts w:ascii="宋体" w:cs="宋体"/>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389" w:right="1247" w:bottom="1389" w:left="1247" w:header="851" w:footer="992" w:gutter="284"/>
          <w:cols w:space="720" w:num="1"/>
          <w:docGrid w:linePitch="312" w:charSpace="0"/>
        </w:sectPr>
      </w:pPr>
    </w:p>
    <w:p>
      <w:pPr>
        <w:spacing w:line="312" w:lineRule="auto"/>
        <w:jc w:val="center"/>
        <w:rPr>
          <w:rFonts w:ascii="宋体" w:cs="宋体"/>
          <w:b/>
          <w:szCs w:val="21"/>
        </w:rPr>
      </w:pPr>
      <w:r>
        <w:rPr>
          <w:rFonts w:ascii="宋体" w:hAnsi="宋体" w:cs="宋体"/>
          <w:b/>
          <w:szCs w:val="21"/>
        </w:rPr>
        <w:t xml:space="preserve">2 </w:t>
      </w:r>
      <w:r>
        <w:rPr>
          <w:rFonts w:hint="eastAsia" w:ascii="宋体" w:hAnsi="宋体" w:cs="宋体"/>
          <w:b/>
          <w:szCs w:val="21"/>
        </w:rPr>
        <w:t>法定代表人授权书</w:t>
      </w:r>
    </w:p>
    <w:p>
      <w:pPr>
        <w:spacing w:line="312" w:lineRule="auto"/>
        <w:rPr>
          <w:rFonts w:ascii="宋体" w:cs="宋体"/>
          <w:szCs w:val="21"/>
        </w:rPr>
      </w:pPr>
    </w:p>
    <w:p>
      <w:pPr>
        <w:spacing w:line="312" w:lineRule="auto"/>
        <w:rPr>
          <w:rFonts w:hint="eastAsia" w:ascii="宋体" w:hAnsi="宋体" w:eastAsia="宋体" w:cs="宋体"/>
          <w:szCs w:val="21"/>
          <w:lang w:eastAsia="zh-CN"/>
        </w:rPr>
      </w:pPr>
      <w:r>
        <w:rPr>
          <w:rFonts w:hint="eastAsia" w:ascii="宋体" w:hAnsi="宋体" w:cs="宋体"/>
          <w:szCs w:val="21"/>
          <w:lang w:eastAsia="zh-CN"/>
        </w:rPr>
        <w:t>龙游县残疾人联合会</w:t>
      </w:r>
    </w:p>
    <w:p>
      <w:pPr>
        <w:spacing w:line="312" w:lineRule="auto"/>
        <w:rPr>
          <w:rFonts w:ascii="宋体" w:hAnsi="宋体" w:cs="宋体"/>
          <w:szCs w:val="21"/>
        </w:rPr>
      </w:pPr>
      <w:r>
        <w:rPr>
          <w:rFonts w:hint="eastAsia" w:ascii="宋体" w:hAnsi="宋体" w:cs="宋体"/>
          <w:szCs w:val="21"/>
        </w:rPr>
        <w:t>浙江省成套工程有限公司：</w:t>
      </w:r>
    </w:p>
    <w:p>
      <w:pPr>
        <w:spacing w:line="312" w:lineRule="auto"/>
        <w:ind w:firstLine="420" w:firstLineChars="200"/>
        <w:rPr>
          <w:rFonts w:ascii="宋体" w:hAnsi="宋体" w:cs="宋体"/>
          <w:szCs w:val="21"/>
        </w:rPr>
      </w:pPr>
      <w:r>
        <w:rPr>
          <w:rFonts w:hint="eastAsia" w:ascii="宋体" w:hAnsi="宋体" w:cs="宋体"/>
          <w:szCs w:val="21"/>
        </w:rPr>
        <w:t>（投标人全称）法定代表人授权（全权代表姓名）为全权代表，参加贵方组织的</w:t>
      </w:r>
      <w:r>
        <w:rPr>
          <w:rFonts w:hint="eastAsia" w:ascii="宋体" w:hAnsi="宋体" w:cs="宋体"/>
          <w:szCs w:val="21"/>
          <w:u w:val="single"/>
          <w:lang w:val="en-US" w:eastAsia="zh-CN"/>
        </w:rPr>
        <w:t xml:space="preserve">          </w:t>
      </w:r>
      <w:r>
        <w:rPr>
          <w:rFonts w:hint="eastAsia" w:ascii="宋体" w:hAnsi="宋体" w:cs="宋体"/>
          <w:szCs w:val="21"/>
        </w:rPr>
        <w:t>项目（项目编号：</w:t>
      </w:r>
      <w:r>
        <w:rPr>
          <w:rFonts w:hint="eastAsia" w:ascii="宋体" w:hAnsi="宋体" w:cs="宋体"/>
          <w:szCs w:val="21"/>
          <w:lang w:val="en-US" w:eastAsia="zh-CN"/>
        </w:rPr>
        <w:t xml:space="preserve">      </w:t>
      </w:r>
      <w:r>
        <w:rPr>
          <w:rFonts w:hint="eastAsia" w:ascii="宋体" w:hAnsi="宋体" w:cs="宋体"/>
          <w:szCs w:val="21"/>
        </w:rPr>
        <w:t>），并全权处理采购活动中的一切事宜。</w:t>
      </w:r>
    </w:p>
    <w:p>
      <w:pPr>
        <w:spacing w:beforeLines="50" w:afterLines="50" w:line="312" w:lineRule="auto"/>
        <w:rPr>
          <w:rFonts w:ascii="宋体" w:hAnsi="宋体" w:cs="宋体"/>
          <w:szCs w:val="21"/>
        </w:rPr>
      </w:pPr>
      <w:r>
        <w:rPr>
          <w:rFonts w:hint="eastAsia" w:ascii="宋体" w:hAnsi="宋体" w:cs="宋体"/>
          <w:szCs w:val="21"/>
        </w:rPr>
        <w:t>法定代表人签字或盖章：</w:t>
      </w:r>
    </w:p>
    <w:p>
      <w:pPr>
        <w:spacing w:beforeLines="50" w:afterLines="50" w:line="312" w:lineRule="auto"/>
        <w:rPr>
          <w:rFonts w:ascii="宋体" w:hAnsi="宋体" w:cs="宋体"/>
          <w:szCs w:val="21"/>
        </w:rPr>
      </w:pPr>
      <w:r>
        <w:rPr>
          <w:rFonts w:hint="eastAsia" w:ascii="宋体" w:hAnsi="宋体" w:cs="宋体"/>
          <w:szCs w:val="21"/>
        </w:rPr>
        <w:t>投标人全称（公章）：</w:t>
      </w:r>
    </w:p>
    <w:p>
      <w:pPr>
        <w:spacing w:beforeLines="50" w:afterLines="50" w:line="312" w:lineRule="auto"/>
        <w:rPr>
          <w:rFonts w:ascii="宋体" w:hAnsi="宋体" w:cs="宋体"/>
          <w:szCs w:val="21"/>
        </w:rPr>
      </w:pPr>
      <w:r>
        <w:rPr>
          <w:rFonts w:hint="eastAsia" w:ascii="宋体" w:hAnsi="宋体" w:cs="宋体"/>
          <w:szCs w:val="21"/>
        </w:rPr>
        <w:t>日  期：</w:t>
      </w:r>
    </w:p>
    <w:p>
      <w:pPr>
        <w:spacing w:line="312" w:lineRule="auto"/>
        <w:rPr>
          <w:rFonts w:ascii="宋体" w:hAnsi="宋体" w:cs="宋体"/>
          <w:szCs w:val="21"/>
        </w:rPr>
      </w:pPr>
      <w:r>
        <w:rPr>
          <w:rFonts w:hint="eastAsia" w:ascii="宋体" w:hAnsi="宋体" w:cs="宋体"/>
          <w:szCs w:val="21"/>
        </w:rPr>
        <w:t>附：</w:t>
      </w:r>
    </w:p>
    <w:p>
      <w:pPr>
        <w:spacing w:line="312" w:lineRule="auto"/>
        <w:rPr>
          <w:rFonts w:ascii="宋体" w:hAnsi="宋体" w:cs="宋体"/>
          <w:szCs w:val="21"/>
        </w:rPr>
      </w:pPr>
      <w:r>
        <w:rPr>
          <w:rFonts w:hint="eastAsia" w:ascii="宋体" w:hAnsi="宋体" w:cs="宋体"/>
          <w:szCs w:val="21"/>
        </w:rPr>
        <w:t>授权代表人姓名：             性别：</w:t>
      </w:r>
    </w:p>
    <w:p>
      <w:pPr>
        <w:spacing w:line="312" w:lineRule="auto"/>
        <w:rPr>
          <w:rFonts w:ascii="宋体" w:hAnsi="宋体" w:cs="宋体"/>
          <w:szCs w:val="21"/>
        </w:rPr>
      </w:pPr>
      <w:r>
        <w:rPr>
          <w:rFonts w:hint="eastAsia" w:ascii="宋体" w:hAnsi="宋体" w:cs="宋体"/>
          <w:szCs w:val="21"/>
        </w:rPr>
        <w:t>职务：                       职称：</w:t>
      </w:r>
    </w:p>
    <w:p>
      <w:pPr>
        <w:spacing w:line="312" w:lineRule="auto"/>
        <w:rPr>
          <w:rFonts w:ascii="宋体" w:hAnsi="宋体" w:cs="宋体"/>
          <w:szCs w:val="21"/>
        </w:rPr>
      </w:pPr>
      <w:r>
        <w:rPr>
          <w:rFonts w:hint="eastAsia" w:ascii="宋体" w:hAnsi="宋体" w:cs="宋体"/>
          <w:szCs w:val="21"/>
        </w:rPr>
        <w:t>详细通讯地址：</w:t>
      </w:r>
    </w:p>
    <w:p>
      <w:pPr>
        <w:spacing w:line="312" w:lineRule="auto"/>
        <w:rPr>
          <w:rFonts w:ascii="宋体" w:hAnsi="宋体" w:cs="宋体"/>
          <w:szCs w:val="21"/>
        </w:rPr>
      </w:pPr>
      <w:r>
        <w:rPr>
          <w:rFonts w:hint="eastAsia" w:ascii="宋体" w:hAnsi="宋体" w:cs="宋体"/>
          <w:szCs w:val="21"/>
        </w:rPr>
        <w:t>电话：                       传真：</w:t>
      </w:r>
    </w:p>
    <w:p>
      <w:pPr>
        <w:spacing w:line="312" w:lineRule="auto"/>
        <w:rPr>
          <w:rFonts w:ascii="宋体" w:hAnsi="宋体" w:cs="宋体"/>
          <w:szCs w:val="21"/>
        </w:rPr>
      </w:pPr>
      <w:r>
        <w:rPr>
          <w:rFonts w:hint="eastAsia" w:ascii="宋体" w:hAnsi="宋体" w:cs="宋体"/>
          <w:szCs w:val="21"/>
        </w:rPr>
        <w:t>移动电话：</w:t>
      </w:r>
    </w:p>
    <w:p>
      <w:pPr>
        <w:spacing w:line="312" w:lineRule="auto"/>
        <w:rPr>
          <w:rFonts w:ascii="宋体" w:hAnsi="宋体" w:cs="宋体"/>
          <w:szCs w:val="21"/>
        </w:rPr>
      </w:pPr>
      <w:r>
        <w:rPr>
          <w:rFonts w:hint="eastAsia" w:ascii="宋体" w:hAnsi="宋体" w:cs="宋体"/>
          <w:szCs w:val="21"/>
        </w:rPr>
        <w:t>邮政编码：</w:t>
      </w:r>
    </w:p>
    <w:p>
      <w:pPr>
        <w:spacing w:line="312" w:lineRule="auto"/>
        <w:jc w:val="center"/>
        <w:rPr>
          <w:rFonts w:ascii="宋体" w:hAnsi="宋体" w:cs="宋体"/>
          <w:b/>
          <w:szCs w:val="21"/>
        </w:rPr>
      </w:pPr>
    </w:p>
    <w:p>
      <w:pPr>
        <w:spacing w:line="312" w:lineRule="auto"/>
        <w:jc w:val="center"/>
        <w:rPr>
          <w:rFonts w:ascii="宋体" w:hAnsi="宋体" w:cs="宋体"/>
          <w:b/>
          <w:szCs w:val="21"/>
        </w:rPr>
      </w:pPr>
      <w:r>
        <w:rPr>
          <w:rFonts w:hint="eastAsia" w:ascii="宋体" w:hAnsi="宋体" w:cs="宋体"/>
          <w:b/>
          <w:szCs w:val="21"/>
        </w:rPr>
        <w:t>法定代表人身份证明</w:t>
      </w:r>
    </w:p>
    <w:p>
      <w:pPr>
        <w:spacing w:line="312" w:lineRule="auto"/>
        <w:rPr>
          <w:rFonts w:ascii="宋体" w:hAnsi="宋体" w:cs="宋体"/>
          <w:szCs w:val="21"/>
        </w:rPr>
      </w:pPr>
      <w:r>
        <w:rPr>
          <w:rFonts w:hint="eastAsia" w:ascii="宋体" w:hAnsi="宋体" w:cs="宋体"/>
          <w:szCs w:val="21"/>
        </w:rPr>
        <w:t>投 标 人：</w:t>
      </w:r>
    </w:p>
    <w:p>
      <w:pPr>
        <w:spacing w:line="312" w:lineRule="auto"/>
        <w:rPr>
          <w:rFonts w:ascii="宋体" w:hAnsi="宋体" w:cs="宋体"/>
          <w:szCs w:val="21"/>
        </w:rPr>
      </w:pPr>
      <w:r>
        <w:rPr>
          <w:rFonts w:hint="eastAsia" w:ascii="宋体" w:hAnsi="宋体" w:cs="宋体"/>
          <w:szCs w:val="21"/>
        </w:rPr>
        <w:t>地    址：</w:t>
      </w:r>
    </w:p>
    <w:p>
      <w:pPr>
        <w:spacing w:line="312" w:lineRule="auto"/>
        <w:rPr>
          <w:rFonts w:ascii="宋体" w:hAnsi="宋体" w:cs="宋体"/>
          <w:szCs w:val="21"/>
        </w:rPr>
      </w:pPr>
      <w:r>
        <w:rPr>
          <w:rFonts w:hint="eastAsia" w:ascii="宋体" w:hAnsi="宋体" w:cs="宋体"/>
          <w:szCs w:val="21"/>
        </w:rPr>
        <w:t>成立时间：</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pacing w:line="312" w:lineRule="auto"/>
        <w:rPr>
          <w:rFonts w:ascii="宋体" w:hAnsi="宋体" w:cs="宋体"/>
          <w:szCs w:val="21"/>
        </w:rPr>
      </w:pPr>
      <w:r>
        <w:rPr>
          <w:rFonts w:hint="eastAsia" w:ascii="宋体" w:hAnsi="宋体" w:cs="宋体"/>
          <w:szCs w:val="21"/>
        </w:rPr>
        <w:t>姓    名：</w:t>
      </w:r>
      <w:r>
        <w:rPr>
          <w:rFonts w:hint="eastAsia" w:ascii="宋体" w:hAnsi="宋体" w:cs="宋体"/>
          <w:szCs w:val="21"/>
          <w:lang w:val="en-US" w:eastAsia="zh-CN"/>
        </w:rPr>
        <w:t xml:space="preserve">    </w:t>
      </w:r>
      <w:r>
        <w:rPr>
          <w:rFonts w:hint="eastAsia" w:ascii="宋体" w:hAnsi="宋体" w:cs="宋体"/>
          <w:szCs w:val="21"/>
        </w:rPr>
        <w:t>性     别：</w:t>
      </w:r>
    </w:p>
    <w:p>
      <w:pPr>
        <w:spacing w:line="312" w:lineRule="auto"/>
        <w:rPr>
          <w:rFonts w:ascii="宋体" w:hAnsi="宋体" w:cs="宋体"/>
          <w:szCs w:val="21"/>
        </w:rPr>
      </w:pPr>
      <w:r>
        <w:rPr>
          <w:rFonts w:hint="eastAsia" w:ascii="宋体" w:hAnsi="宋体" w:cs="宋体"/>
          <w:szCs w:val="21"/>
        </w:rPr>
        <w:t>年    龄：</w:t>
      </w:r>
      <w:r>
        <w:rPr>
          <w:rFonts w:hint="eastAsia" w:ascii="宋体" w:hAnsi="宋体" w:cs="宋体"/>
          <w:szCs w:val="21"/>
          <w:lang w:val="en-US" w:eastAsia="zh-CN"/>
        </w:rPr>
        <w:t xml:space="preserve">    </w:t>
      </w:r>
      <w:r>
        <w:rPr>
          <w:rFonts w:hint="eastAsia" w:ascii="宋体" w:hAnsi="宋体" w:cs="宋体"/>
          <w:szCs w:val="21"/>
        </w:rPr>
        <w:t>职     务：</w:t>
      </w:r>
    </w:p>
    <w:p>
      <w:pPr>
        <w:spacing w:line="312" w:lineRule="auto"/>
        <w:rPr>
          <w:rFonts w:ascii="宋体" w:hAnsi="宋体" w:cs="宋体"/>
          <w:szCs w:val="21"/>
        </w:rPr>
      </w:pPr>
      <w:r>
        <w:rPr>
          <w:rFonts w:hint="eastAsia" w:ascii="宋体" w:hAnsi="宋体" w:cs="宋体"/>
          <w:szCs w:val="21"/>
        </w:rPr>
        <w:t>系（投标人名称）的法定代表人。</w:t>
      </w:r>
    </w:p>
    <w:p>
      <w:pPr>
        <w:spacing w:line="312" w:lineRule="auto"/>
        <w:rPr>
          <w:rFonts w:ascii="宋体" w:hAnsi="宋体" w:cs="宋体"/>
          <w:szCs w:val="21"/>
        </w:rPr>
      </w:pPr>
      <w:r>
        <w:rPr>
          <w:rFonts w:hint="eastAsia" w:ascii="宋体" w:hAnsi="宋体" w:cs="宋体"/>
          <w:szCs w:val="21"/>
        </w:rPr>
        <w:t>特此证明。</w:t>
      </w:r>
    </w:p>
    <w:p>
      <w:pPr>
        <w:spacing w:line="312" w:lineRule="auto"/>
        <w:rPr>
          <w:rFonts w:ascii="宋体" w:hAnsi="宋体" w:cs="宋体"/>
          <w:szCs w:val="21"/>
        </w:rPr>
      </w:pPr>
    </w:p>
    <w:p>
      <w:pPr>
        <w:spacing w:line="312" w:lineRule="auto"/>
        <w:rPr>
          <w:rFonts w:ascii="宋体" w:hAnsi="宋体" w:cs="宋体"/>
          <w:szCs w:val="21"/>
        </w:rPr>
      </w:pPr>
    </w:p>
    <w:p>
      <w:pPr>
        <w:spacing w:line="312" w:lineRule="auto"/>
        <w:rPr>
          <w:rFonts w:ascii="宋体" w:hAnsi="宋体" w:cs="宋体"/>
          <w:szCs w:val="21"/>
        </w:rPr>
      </w:pPr>
      <w:r>
        <w:rPr>
          <w:rFonts w:hint="eastAsia" w:ascii="宋体" w:hAnsi="宋体" w:cs="宋体"/>
          <w:szCs w:val="21"/>
        </w:rPr>
        <w:t>投标人：（加盖公章）</w:t>
      </w:r>
    </w:p>
    <w:p>
      <w:pPr>
        <w:spacing w:line="312" w:lineRule="auto"/>
        <w:jc w:val="center"/>
        <w:rPr>
          <w:rFonts w:ascii="宋体" w:cs="宋体"/>
          <w:szCs w:val="21"/>
        </w:rPr>
      </w:pPr>
      <w:r>
        <w:rPr>
          <w:rFonts w:hint="eastAsia" w:ascii="宋体" w:hAnsi="宋体" w:cs="宋体"/>
          <w:szCs w:val="21"/>
        </w:rPr>
        <w:t>日期：</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rPr>
        <w:br w:type="page"/>
      </w:r>
      <w:r>
        <w:rPr>
          <w:rFonts w:ascii="宋体" w:hAnsi="宋体" w:cs="宋体"/>
          <w:b/>
          <w:bCs/>
          <w:szCs w:val="21"/>
        </w:rPr>
        <w:t xml:space="preserve">3  </w:t>
      </w:r>
      <w:r>
        <w:rPr>
          <w:rFonts w:hint="eastAsia" w:ascii="宋体" w:hAnsi="宋体" w:cs="宋体"/>
          <w:b/>
          <w:bCs/>
          <w:szCs w:val="21"/>
        </w:rPr>
        <w:t>供应商资格声明</w:t>
      </w:r>
    </w:p>
    <w:p>
      <w:pPr>
        <w:tabs>
          <w:tab w:val="left" w:pos="1824"/>
        </w:tabs>
        <w:autoSpaceDE w:val="0"/>
        <w:autoSpaceDN w:val="0"/>
        <w:adjustRightInd w:val="0"/>
        <w:spacing w:line="312" w:lineRule="auto"/>
        <w:ind w:left="1824" w:hanging="1824"/>
        <w:rPr>
          <w:rFonts w:ascii="宋体" w:cs="宋体"/>
          <w:szCs w:val="21"/>
        </w:rPr>
      </w:pPr>
      <w:r>
        <w:rPr>
          <w:rFonts w:ascii="宋体" w:hAnsi="宋体" w:cs="宋体"/>
          <w:szCs w:val="21"/>
          <w:lang w:val="zh-CN"/>
        </w:rPr>
        <w:t>1</w:t>
      </w:r>
      <w:r>
        <w:rPr>
          <w:rFonts w:ascii="宋体" w:cs="宋体"/>
          <w:szCs w:val="21"/>
        </w:rPr>
        <w:t>.</w:t>
      </w:r>
      <w:r>
        <w:rPr>
          <w:rFonts w:hint="eastAsia" w:ascii="宋体" w:hAnsi="宋体" w:cs="宋体"/>
          <w:szCs w:val="21"/>
          <w:lang w:val="zh-CN"/>
        </w:rPr>
        <w:t>基本情况</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供应商名称：</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地址：</w:t>
      </w:r>
      <w:r>
        <w:rPr>
          <w:rFonts w:hint="eastAsia" w:ascii="宋体" w:hAnsi="宋体" w:cs="宋体"/>
          <w:szCs w:val="21"/>
          <w:lang w:val="en-US" w:eastAsia="zh-CN"/>
        </w:rPr>
        <w:t xml:space="preserve">  </w:t>
      </w:r>
      <w:r>
        <w:rPr>
          <w:rFonts w:hint="eastAsia" w:ascii="宋体" w:hAnsi="宋体" w:cs="宋体"/>
          <w:szCs w:val="21"/>
          <w:lang w:val="zh-CN"/>
        </w:rPr>
        <w:t>电话：</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成立和注册日期：</w:t>
      </w:r>
      <w:r>
        <w:rPr>
          <w:rFonts w:hint="eastAsia" w:ascii="宋体" w:hAnsi="宋体" w:cs="宋体"/>
          <w:szCs w:val="21"/>
          <w:u w:val="single"/>
          <w:lang w:val="zh-CN"/>
        </w:rPr>
        <w:t>　</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主管部门：</w:t>
      </w:r>
      <w:r>
        <w:rPr>
          <w:rFonts w:hint="eastAsia" w:ascii="宋体" w:hAnsi="宋体" w:cs="宋体"/>
          <w:szCs w:val="21"/>
          <w:u w:val="single"/>
          <w:lang w:val="zh-CN"/>
        </w:rPr>
        <w:t>　</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公司性质：</w:t>
      </w:r>
      <w:r>
        <w:rPr>
          <w:rFonts w:hint="eastAsia" w:ascii="宋体" w:hAnsi="宋体" w:cs="宋体"/>
          <w:szCs w:val="21"/>
          <w:u w:val="single"/>
          <w:lang w:val="zh-CN"/>
        </w:rPr>
        <w:t>　</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主要负责人：</w:t>
      </w:r>
      <w:r>
        <w:rPr>
          <w:rFonts w:hint="eastAsia" w:ascii="宋体" w:hAnsi="宋体" w:cs="宋体"/>
          <w:szCs w:val="21"/>
          <w:u w:val="single"/>
          <w:lang w:val="zh-CN"/>
        </w:rPr>
        <w:t>　　　</w:t>
      </w:r>
    </w:p>
    <w:p>
      <w:pPr>
        <w:tabs>
          <w:tab w:val="left" w:pos="840"/>
        </w:tabs>
        <w:autoSpaceDE w:val="0"/>
        <w:autoSpaceDN w:val="0"/>
        <w:adjustRightInd w:val="0"/>
        <w:spacing w:line="312" w:lineRule="auto"/>
        <w:ind w:left="840" w:hanging="360"/>
        <w:rPr>
          <w:rFonts w:ascii="宋体" w:cs="宋体"/>
          <w:szCs w:val="21"/>
          <w:lang w:val="zh-CN"/>
        </w:rPr>
      </w:pPr>
      <w:r>
        <w:rPr>
          <w:rFonts w:hint="eastAsia" w:ascii="宋体" w:hAnsi="宋体" w:cs="宋体"/>
          <w:szCs w:val="21"/>
          <w:lang w:val="zh-CN"/>
        </w:rPr>
        <w:t>职工人数：</w:t>
      </w:r>
      <w:r>
        <w:rPr>
          <w:rFonts w:ascii="宋体" w:hAnsi="宋体" w:cs="宋体"/>
          <w:szCs w:val="21"/>
          <w:lang w:val="zh-CN"/>
        </w:rPr>
        <w:t>(</w:t>
      </w:r>
      <w:r>
        <w:rPr>
          <w:rFonts w:hint="eastAsia" w:ascii="宋体" w:hAnsi="宋体" w:cs="宋体"/>
          <w:szCs w:val="21"/>
          <w:lang w:val="zh-CN"/>
        </w:rPr>
        <w:t>其中</w:t>
      </w:r>
      <w:r>
        <w:rPr>
          <w:rFonts w:ascii="宋体" w:hAnsi="宋体" w:cs="宋体"/>
          <w:szCs w:val="21"/>
          <w:lang w:val="zh-CN"/>
        </w:rPr>
        <w:t>:</w:t>
      </w:r>
      <w:r>
        <w:rPr>
          <w:rFonts w:hint="eastAsia" w:ascii="宋体" w:hAnsi="宋体" w:cs="宋体"/>
          <w:szCs w:val="21"/>
          <w:lang w:val="zh-CN"/>
        </w:rPr>
        <w:t>技术人员</w:t>
      </w:r>
      <w:r>
        <w:rPr>
          <w:rFonts w:ascii="宋体" w:hAnsi="宋体" w:cs="宋体"/>
          <w:szCs w:val="21"/>
          <w:lang w:val="zh-CN"/>
        </w:rPr>
        <w:t>)</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最近公司</w:t>
      </w:r>
      <w:r>
        <w:rPr>
          <w:rFonts w:ascii="宋体" w:hAnsi="宋体" w:cs="宋体"/>
          <w:szCs w:val="21"/>
          <w:lang w:val="zh-CN"/>
        </w:rPr>
        <w:t>(</w:t>
      </w:r>
      <w:r>
        <w:rPr>
          <w:rFonts w:hint="eastAsia" w:ascii="宋体" w:hAnsi="宋体" w:cs="宋体"/>
          <w:szCs w:val="21"/>
          <w:lang w:val="zh-CN"/>
        </w:rPr>
        <w:t>企业</w:t>
      </w:r>
      <w:r>
        <w:rPr>
          <w:rFonts w:ascii="宋体" w:hAnsi="宋体" w:cs="宋体"/>
          <w:szCs w:val="21"/>
          <w:lang w:val="zh-CN"/>
        </w:rPr>
        <w:t>)</w:t>
      </w:r>
      <w:r>
        <w:rPr>
          <w:rFonts w:hint="eastAsia" w:ascii="宋体" w:hAnsi="宋体" w:cs="宋体"/>
          <w:szCs w:val="21"/>
          <w:lang w:val="zh-CN"/>
        </w:rPr>
        <w:t>的主要财务情况（到</w:t>
      </w:r>
      <w:r>
        <w:rPr>
          <w:rFonts w:ascii="宋体" w:hAnsi="宋体" w:cs="宋体"/>
          <w:b/>
          <w:bCs/>
          <w:szCs w:val="21"/>
          <w:lang w:val="zh-CN"/>
        </w:rPr>
        <w:t>20</w:t>
      </w:r>
      <w:r>
        <w:rPr>
          <w:rFonts w:hint="eastAsia" w:ascii="宋体" w:hAnsi="宋体" w:cs="宋体"/>
          <w:b/>
          <w:bCs/>
          <w:szCs w:val="21"/>
          <w:lang w:val="en-US" w:eastAsia="zh-CN"/>
        </w:rPr>
        <w:t>20</w:t>
      </w:r>
      <w:r>
        <w:rPr>
          <w:rFonts w:hint="eastAsia" w:ascii="宋体" w:hAnsi="宋体" w:cs="宋体"/>
          <w:b/>
          <w:bCs/>
          <w:szCs w:val="21"/>
          <w:lang w:val="zh-CN"/>
        </w:rPr>
        <w:t>年</w:t>
      </w:r>
      <w:r>
        <w:rPr>
          <w:rFonts w:ascii="宋体" w:hAnsi="宋体" w:cs="宋体"/>
          <w:b/>
          <w:bCs/>
          <w:szCs w:val="21"/>
          <w:lang w:val="zh-CN"/>
        </w:rPr>
        <w:t>12</w:t>
      </w:r>
      <w:r>
        <w:rPr>
          <w:rFonts w:hint="eastAsia" w:ascii="宋体" w:hAnsi="宋体" w:cs="宋体"/>
          <w:b/>
          <w:bCs/>
          <w:szCs w:val="21"/>
          <w:lang w:val="zh-CN"/>
        </w:rPr>
        <w:t>月</w:t>
      </w:r>
      <w:r>
        <w:rPr>
          <w:rFonts w:ascii="宋体" w:hAnsi="宋体" w:cs="宋体"/>
          <w:b/>
          <w:bCs/>
          <w:szCs w:val="21"/>
          <w:lang w:val="zh-CN"/>
        </w:rPr>
        <w:t>31</w:t>
      </w:r>
      <w:r>
        <w:rPr>
          <w:rFonts w:hint="eastAsia" w:ascii="宋体" w:hAnsi="宋体" w:cs="宋体"/>
          <w:b/>
          <w:bCs/>
          <w:szCs w:val="21"/>
          <w:lang w:val="zh-CN"/>
        </w:rPr>
        <w:t>日</w:t>
      </w:r>
      <w:r>
        <w:rPr>
          <w:rFonts w:hint="eastAsia" w:ascii="宋体" w:hAnsi="宋体" w:cs="宋体"/>
          <w:szCs w:val="21"/>
          <w:lang w:val="zh-CN"/>
        </w:rPr>
        <w:t>止）</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注册资金：</w:t>
      </w:r>
    </w:p>
    <w:p>
      <w:pPr>
        <w:tabs>
          <w:tab w:val="left" w:pos="840"/>
        </w:tabs>
        <w:autoSpaceDE w:val="0"/>
        <w:autoSpaceDN w:val="0"/>
        <w:adjustRightInd w:val="0"/>
        <w:spacing w:line="312" w:lineRule="auto"/>
        <w:ind w:left="840" w:hanging="360"/>
        <w:rPr>
          <w:rFonts w:ascii="宋体" w:cs="宋体"/>
          <w:szCs w:val="21"/>
          <w:lang w:val="zh-CN"/>
        </w:rPr>
      </w:pPr>
      <w:r>
        <w:rPr>
          <w:rFonts w:hint="eastAsia" w:ascii="宋体" w:hAnsi="宋体" w:cs="宋体"/>
          <w:szCs w:val="21"/>
          <w:lang w:val="zh-CN"/>
        </w:rPr>
        <w:t>固定资产：</w:t>
      </w:r>
    </w:p>
    <w:p>
      <w:pPr>
        <w:autoSpaceDE w:val="0"/>
        <w:autoSpaceDN w:val="0"/>
        <w:adjustRightInd w:val="0"/>
        <w:spacing w:line="312" w:lineRule="auto"/>
        <w:ind w:left="480"/>
        <w:rPr>
          <w:rFonts w:ascii="宋体" w:cs="宋体"/>
          <w:szCs w:val="21"/>
          <w:u w:val="single"/>
          <w:lang w:val="zh-CN"/>
        </w:rPr>
      </w:pPr>
      <w:r>
        <w:rPr>
          <w:rFonts w:hint="eastAsia" w:ascii="宋体" w:hAnsi="宋体" w:cs="宋体"/>
          <w:szCs w:val="21"/>
          <w:lang w:val="zh-CN"/>
        </w:rPr>
        <w:t>原值：</w:t>
      </w:r>
    </w:p>
    <w:p>
      <w:pPr>
        <w:autoSpaceDE w:val="0"/>
        <w:autoSpaceDN w:val="0"/>
        <w:adjustRightInd w:val="0"/>
        <w:spacing w:line="312" w:lineRule="auto"/>
        <w:ind w:left="480"/>
        <w:rPr>
          <w:rFonts w:ascii="宋体" w:cs="宋体"/>
          <w:szCs w:val="21"/>
        </w:rPr>
      </w:pPr>
      <w:r>
        <w:rPr>
          <w:rFonts w:hint="eastAsia" w:ascii="宋体" w:hAnsi="宋体" w:cs="宋体"/>
          <w:szCs w:val="21"/>
          <w:lang w:val="zh-CN"/>
        </w:rPr>
        <w:t>净值：</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流动资产：</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长期负债：</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短期负债：</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营业收入</w:t>
      </w:r>
      <w:r>
        <w:rPr>
          <w:rFonts w:ascii="宋体" w:hAnsi="宋体" w:cs="宋体"/>
          <w:szCs w:val="21"/>
          <w:lang w:val="zh-CN"/>
        </w:rPr>
        <w:t>/</w:t>
      </w:r>
      <w:r>
        <w:rPr>
          <w:rFonts w:hint="eastAsia" w:ascii="宋体" w:hAnsi="宋体" w:cs="宋体"/>
          <w:szCs w:val="21"/>
          <w:lang w:val="zh-CN"/>
        </w:rPr>
        <w:t>主营业务收入：</w:t>
      </w:r>
    </w:p>
    <w:p>
      <w:pPr>
        <w:tabs>
          <w:tab w:val="left" w:pos="840"/>
        </w:tabs>
        <w:autoSpaceDE w:val="0"/>
        <w:autoSpaceDN w:val="0"/>
        <w:adjustRightInd w:val="0"/>
        <w:spacing w:line="312" w:lineRule="auto"/>
        <w:ind w:left="840" w:hanging="360"/>
        <w:rPr>
          <w:rFonts w:ascii="宋体" w:cs="宋体"/>
          <w:szCs w:val="21"/>
        </w:rPr>
      </w:pPr>
      <w:r>
        <w:rPr>
          <w:rFonts w:hint="eastAsia" w:ascii="宋体" w:hAnsi="宋体" w:cs="宋体"/>
          <w:szCs w:val="21"/>
          <w:lang w:val="zh-CN"/>
        </w:rPr>
        <w:t>利润：</w:t>
      </w:r>
    </w:p>
    <w:p>
      <w:pPr>
        <w:autoSpaceDE w:val="0"/>
        <w:autoSpaceDN w:val="0"/>
        <w:adjustRightInd w:val="0"/>
        <w:spacing w:line="312" w:lineRule="auto"/>
        <w:rPr>
          <w:rFonts w:ascii="宋体" w:cs="宋体"/>
          <w:szCs w:val="21"/>
        </w:rPr>
      </w:pPr>
      <w:r>
        <w:rPr>
          <w:rFonts w:ascii="宋体" w:hAnsi="宋体" w:cs="宋体"/>
          <w:szCs w:val="21"/>
          <w:lang w:val="zh-CN"/>
        </w:rPr>
        <w:t xml:space="preserve">  2</w:t>
      </w:r>
      <w:r>
        <w:rPr>
          <w:rFonts w:ascii="宋体" w:cs="宋体"/>
          <w:szCs w:val="21"/>
        </w:rPr>
        <w:t>.</w:t>
      </w:r>
      <w:r>
        <w:rPr>
          <w:rFonts w:hint="eastAsia" w:ascii="宋体" w:hAnsi="宋体" w:cs="宋体"/>
          <w:szCs w:val="21"/>
          <w:lang w:val="zh-CN"/>
        </w:rPr>
        <w:t>最近二年的年度总营业额：</w:t>
      </w:r>
    </w:p>
    <w:p>
      <w:pPr>
        <w:autoSpaceDE w:val="0"/>
        <w:autoSpaceDN w:val="0"/>
        <w:adjustRightInd w:val="0"/>
        <w:spacing w:line="312" w:lineRule="auto"/>
        <w:rPr>
          <w:rFonts w:ascii="宋体" w:cs="宋体"/>
          <w:szCs w:val="21"/>
          <w:u w:val="single"/>
        </w:rPr>
      </w:pPr>
      <w:r>
        <w:rPr>
          <w:rFonts w:hint="eastAsia" w:ascii="宋体" w:hAnsi="宋体" w:cs="宋体"/>
          <w:szCs w:val="21"/>
          <w:lang w:val="zh-CN"/>
        </w:rPr>
        <w:t>年份总额</w:t>
      </w:r>
    </w:p>
    <w:p>
      <w:pPr>
        <w:autoSpaceDE w:val="0"/>
        <w:autoSpaceDN w:val="0"/>
        <w:adjustRightInd w:val="0"/>
        <w:spacing w:line="312" w:lineRule="auto"/>
        <w:ind w:firstLine="480"/>
        <w:rPr>
          <w:rFonts w:ascii="宋体" w:cs="宋体"/>
          <w:szCs w:val="21"/>
          <w:u w:val="single"/>
          <w:lang w:val="zh-CN"/>
        </w:rPr>
      </w:pPr>
      <w:r>
        <w:rPr>
          <w:rFonts w:ascii="宋体" w:hAnsi="宋体" w:cs="宋体"/>
          <w:szCs w:val="21"/>
          <w:u w:val="single"/>
          <w:lang w:val="zh-CN"/>
        </w:rPr>
        <w:t>201</w:t>
      </w:r>
      <w:r>
        <w:rPr>
          <w:rFonts w:hint="eastAsia" w:ascii="宋体" w:hAnsi="宋体" w:cs="宋体"/>
          <w:szCs w:val="21"/>
          <w:u w:val="single"/>
          <w:lang w:val="en-US" w:eastAsia="zh-CN"/>
        </w:rPr>
        <w:t>9</w:t>
      </w:r>
      <w:r>
        <w:rPr>
          <w:rFonts w:hint="eastAsia" w:ascii="宋体" w:hAnsi="宋体" w:cs="宋体"/>
          <w:szCs w:val="21"/>
          <w:u w:val="single"/>
          <w:lang w:val="zh-CN"/>
        </w:rPr>
        <w:t>年</w:t>
      </w:r>
    </w:p>
    <w:p>
      <w:pPr>
        <w:autoSpaceDE w:val="0"/>
        <w:autoSpaceDN w:val="0"/>
        <w:adjustRightInd w:val="0"/>
        <w:spacing w:line="312" w:lineRule="auto"/>
        <w:ind w:firstLine="480"/>
        <w:rPr>
          <w:rFonts w:ascii="宋体" w:cs="宋体"/>
          <w:szCs w:val="21"/>
          <w:u w:val="single"/>
          <w:lang w:val="zh-CN"/>
        </w:rPr>
      </w:pPr>
      <w:r>
        <w:rPr>
          <w:rFonts w:ascii="宋体" w:hAnsi="宋体" w:cs="宋体"/>
          <w:szCs w:val="21"/>
          <w:u w:val="single"/>
          <w:lang w:val="zh-CN"/>
        </w:rPr>
        <w:t>20</w:t>
      </w:r>
      <w:r>
        <w:rPr>
          <w:rFonts w:hint="eastAsia" w:ascii="宋体" w:hAnsi="宋体" w:cs="宋体"/>
          <w:szCs w:val="21"/>
          <w:u w:val="single"/>
          <w:lang w:val="en-US" w:eastAsia="zh-CN"/>
        </w:rPr>
        <w:t>20</w:t>
      </w:r>
      <w:r>
        <w:rPr>
          <w:rFonts w:hint="eastAsia" w:ascii="宋体" w:hAnsi="宋体" w:cs="宋体"/>
          <w:szCs w:val="21"/>
          <w:u w:val="single"/>
          <w:lang w:val="zh-CN"/>
        </w:rPr>
        <w:t>年</w:t>
      </w:r>
    </w:p>
    <w:p>
      <w:pPr>
        <w:autoSpaceDE w:val="0"/>
        <w:autoSpaceDN w:val="0"/>
        <w:adjustRightInd w:val="0"/>
        <w:spacing w:line="312" w:lineRule="auto"/>
        <w:ind w:firstLine="240"/>
        <w:rPr>
          <w:rFonts w:ascii="宋体" w:cs="宋体"/>
          <w:szCs w:val="21"/>
        </w:rPr>
      </w:pPr>
      <w:r>
        <w:rPr>
          <w:rFonts w:ascii="宋体" w:hAnsi="宋体" w:cs="宋体"/>
          <w:szCs w:val="21"/>
          <w:lang w:val="zh-CN"/>
        </w:rPr>
        <w:t>3</w:t>
      </w:r>
      <w:r>
        <w:rPr>
          <w:rFonts w:ascii="宋体" w:cs="宋体"/>
          <w:szCs w:val="21"/>
        </w:rPr>
        <w:t>.</w:t>
      </w:r>
      <w:r>
        <w:rPr>
          <w:rFonts w:hint="eastAsia" w:ascii="宋体" w:hAnsi="宋体" w:cs="宋体"/>
          <w:szCs w:val="21"/>
          <w:lang w:val="zh-CN"/>
        </w:rPr>
        <w:t>最近二年与其他客户签订的较大项目合同：</w:t>
      </w:r>
    </w:p>
    <w:p>
      <w:pPr>
        <w:autoSpaceDE w:val="0"/>
        <w:autoSpaceDN w:val="0"/>
        <w:adjustRightInd w:val="0"/>
        <w:spacing w:line="312" w:lineRule="auto"/>
        <w:rPr>
          <w:rFonts w:ascii="宋体" w:cs="宋体"/>
          <w:szCs w:val="21"/>
          <w:u w:val="single"/>
        </w:rPr>
      </w:pPr>
      <w:r>
        <w:rPr>
          <w:rFonts w:hint="eastAsia" w:ascii="宋体" w:hAnsi="宋体" w:cs="宋体"/>
          <w:szCs w:val="21"/>
          <w:lang w:val="zh-CN"/>
        </w:rPr>
        <w:t>项目名称地址　时间　金额</w:t>
      </w:r>
      <w:r>
        <w:rPr>
          <w:rFonts w:ascii="宋体" w:hAnsi="宋体" w:cs="宋体"/>
          <w:szCs w:val="21"/>
          <w:lang w:val="zh-CN"/>
        </w:rPr>
        <w:t>(</w:t>
      </w:r>
      <w:r>
        <w:rPr>
          <w:rFonts w:hint="eastAsia" w:ascii="宋体" w:hAnsi="宋体" w:cs="宋体"/>
          <w:szCs w:val="21"/>
          <w:lang w:val="zh-CN"/>
        </w:rPr>
        <w:t>人民币元</w:t>
      </w:r>
      <w:r>
        <w:rPr>
          <w:rFonts w:ascii="宋体" w:hAnsi="宋体" w:cs="宋体"/>
          <w:szCs w:val="21"/>
          <w:lang w:val="zh-CN"/>
        </w:rPr>
        <w:t>)</w:t>
      </w:r>
      <w:r>
        <w:rPr>
          <w:rFonts w:ascii="宋体" w:cs="宋体"/>
          <w:szCs w:val="21"/>
        </w:rPr>
        <w:br w:type="textWrapping"/>
      </w:r>
      <w:r>
        <w:rPr>
          <w:rFonts w:hint="eastAsia" w:ascii="宋体" w:hAnsi="宋体" w:cs="宋体"/>
          <w:szCs w:val="21"/>
          <w:lang w:val="zh-CN"/>
        </w:rPr>
        <w:t>　　</w:t>
      </w:r>
      <w:r>
        <w:rPr>
          <w:rFonts w:hint="eastAsia" w:ascii="宋体" w:hAnsi="宋体" w:cs="宋体"/>
          <w:szCs w:val="21"/>
          <w:u w:val="single"/>
          <w:lang w:val="zh-CN"/>
        </w:rPr>
        <w:t>　</w:t>
      </w:r>
    </w:p>
    <w:p>
      <w:pPr>
        <w:autoSpaceDE w:val="0"/>
        <w:autoSpaceDN w:val="0"/>
        <w:adjustRightInd w:val="0"/>
        <w:spacing w:line="312" w:lineRule="auto"/>
        <w:ind w:firstLine="240"/>
        <w:rPr>
          <w:rFonts w:ascii="宋体" w:cs="宋体"/>
          <w:szCs w:val="21"/>
          <w:u w:val="single"/>
          <w:lang w:val="zh-CN"/>
        </w:rPr>
      </w:pPr>
      <w:r>
        <w:rPr>
          <w:rFonts w:ascii="宋体" w:hAnsi="宋体" w:cs="宋体"/>
          <w:szCs w:val="21"/>
          <w:lang w:val="zh-CN"/>
        </w:rPr>
        <w:t>4</w:t>
      </w:r>
      <w:r>
        <w:rPr>
          <w:rFonts w:ascii="宋体" w:cs="宋体"/>
          <w:szCs w:val="21"/>
        </w:rPr>
        <w:t>.</w:t>
      </w:r>
      <w:r>
        <w:rPr>
          <w:rFonts w:hint="eastAsia" w:ascii="宋体" w:hAnsi="宋体" w:cs="宋体"/>
          <w:szCs w:val="21"/>
          <w:lang w:val="zh-CN"/>
        </w:rPr>
        <w:t>供应商最近二年法律纠纷情况</w:t>
      </w:r>
      <w:r>
        <w:rPr>
          <w:rFonts w:ascii="宋体" w:cs="宋体"/>
          <w:szCs w:val="21"/>
        </w:rPr>
        <w:br w:type="textWrapping"/>
      </w:r>
      <w:r>
        <w:rPr>
          <w:rFonts w:hint="eastAsia" w:ascii="宋体" w:hAnsi="宋体" w:cs="宋体"/>
          <w:szCs w:val="21"/>
          <w:lang w:val="zh-CN"/>
        </w:rPr>
        <w:t>时间案由涉及金额目前办理情况</w:t>
      </w:r>
      <w:r>
        <w:rPr>
          <w:rFonts w:ascii="宋体" w:cs="宋体"/>
          <w:szCs w:val="21"/>
        </w:rPr>
        <w:br w:type="textWrapping"/>
      </w:r>
    </w:p>
    <w:p>
      <w:pPr>
        <w:autoSpaceDE w:val="0"/>
        <w:autoSpaceDN w:val="0"/>
        <w:adjustRightInd w:val="0"/>
        <w:spacing w:line="312" w:lineRule="auto"/>
        <w:ind w:firstLine="240"/>
        <w:rPr>
          <w:rFonts w:ascii="宋体" w:cs="宋体"/>
          <w:szCs w:val="21"/>
        </w:rPr>
      </w:pPr>
      <w:r>
        <w:rPr>
          <w:rFonts w:ascii="宋体" w:hAnsi="宋体" w:cs="宋体"/>
          <w:szCs w:val="21"/>
          <w:lang w:val="zh-CN"/>
        </w:rPr>
        <w:t>5</w:t>
      </w:r>
      <w:r>
        <w:rPr>
          <w:rFonts w:ascii="宋体" w:cs="宋体"/>
          <w:szCs w:val="21"/>
        </w:rPr>
        <w:t>.</w:t>
      </w:r>
      <w:r>
        <w:rPr>
          <w:rFonts w:hint="eastAsia" w:ascii="宋体" w:hAnsi="宋体" w:cs="宋体"/>
          <w:szCs w:val="21"/>
          <w:lang w:val="zh-CN"/>
        </w:rPr>
        <w:t>有关银行的名称和地址：</w:t>
      </w:r>
    </w:p>
    <w:p>
      <w:pPr>
        <w:autoSpaceDE w:val="0"/>
        <w:autoSpaceDN w:val="0"/>
        <w:adjustRightInd w:val="0"/>
        <w:spacing w:line="312" w:lineRule="auto"/>
        <w:ind w:firstLine="240"/>
        <w:rPr>
          <w:rFonts w:ascii="宋体" w:cs="宋体"/>
          <w:szCs w:val="21"/>
        </w:rPr>
      </w:pPr>
      <w:r>
        <w:rPr>
          <w:rFonts w:ascii="宋体" w:hAnsi="宋体" w:cs="宋体"/>
          <w:szCs w:val="21"/>
          <w:lang w:val="zh-CN"/>
        </w:rPr>
        <w:t>6</w:t>
      </w:r>
      <w:r>
        <w:rPr>
          <w:rFonts w:ascii="宋体" w:cs="宋体"/>
          <w:szCs w:val="21"/>
        </w:rPr>
        <w:t>.</w:t>
      </w:r>
      <w:r>
        <w:rPr>
          <w:rFonts w:hint="eastAsia" w:ascii="宋体" w:hAnsi="宋体" w:cs="宋体"/>
          <w:szCs w:val="21"/>
          <w:lang w:val="zh-CN"/>
        </w:rPr>
        <w:t>其他情况：</w:t>
      </w:r>
    </w:p>
    <w:p>
      <w:pPr>
        <w:autoSpaceDE w:val="0"/>
        <w:autoSpaceDN w:val="0"/>
        <w:adjustRightInd w:val="0"/>
        <w:spacing w:line="312" w:lineRule="auto"/>
        <w:ind w:firstLine="480"/>
        <w:rPr>
          <w:rFonts w:ascii="宋体" w:cs="宋体"/>
          <w:szCs w:val="21"/>
        </w:rPr>
      </w:pPr>
      <w:r>
        <w:rPr>
          <w:rFonts w:hint="eastAsia" w:ascii="宋体" w:hAnsi="宋体" w:cs="宋体"/>
          <w:szCs w:val="21"/>
          <w:lang w:val="zh-CN"/>
        </w:rPr>
        <w:t>就我们所知，兹证明上述声明是真实的、正确的，并提供了全部能提供资料和数据，我们同意遵照贵方要求出示此证明文件。</w:t>
      </w:r>
    </w:p>
    <w:p>
      <w:pPr>
        <w:autoSpaceDE w:val="0"/>
        <w:autoSpaceDN w:val="0"/>
        <w:adjustRightInd w:val="0"/>
        <w:spacing w:line="312" w:lineRule="auto"/>
        <w:ind w:firstLine="480"/>
        <w:rPr>
          <w:rFonts w:ascii="宋体" w:cs="宋体"/>
          <w:szCs w:val="21"/>
        </w:rPr>
      </w:pPr>
      <w:r>
        <w:rPr>
          <w:rFonts w:hint="eastAsia" w:ascii="宋体" w:hAnsi="宋体" w:cs="宋体"/>
          <w:szCs w:val="21"/>
          <w:lang w:val="zh-CN"/>
        </w:rPr>
        <w:t>日期</w:t>
      </w:r>
      <w:r>
        <w:rPr>
          <w:rFonts w:hint="eastAsia" w:ascii="宋体" w:hAnsi="宋体" w:cs="宋体"/>
          <w:szCs w:val="21"/>
        </w:rPr>
        <w:t>：</w:t>
      </w:r>
    </w:p>
    <w:p>
      <w:pPr>
        <w:autoSpaceDE w:val="0"/>
        <w:autoSpaceDN w:val="0"/>
        <w:adjustRightInd w:val="0"/>
        <w:spacing w:line="312" w:lineRule="auto"/>
        <w:ind w:firstLine="480"/>
        <w:rPr>
          <w:rFonts w:ascii="宋体" w:cs="宋体"/>
          <w:szCs w:val="21"/>
        </w:rPr>
      </w:pPr>
      <w:r>
        <w:rPr>
          <w:rFonts w:hint="eastAsia" w:ascii="宋体" w:hAnsi="宋体" w:cs="宋体"/>
          <w:szCs w:val="21"/>
          <w:lang w:val="zh-CN"/>
        </w:rPr>
        <w:t>授权代表人签字：</w:t>
      </w:r>
    </w:p>
    <w:p>
      <w:pPr>
        <w:autoSpaceDE w:val="0"/>
        <w:autoSpaceDN w:val="0"/>
        <w:adjustRightInd w:val="0"/>
        <w:spacing w:line="312" w:lineRule="auto"/>
        <w:ind w:firstLine="480"/>
        <w:rPr>
          <w:rFonts w:ascii="宋体" w:cs="宋体"/>
          <w:szCs w:val="21"/>
        </w:rPr>
      </w:pPr>
      <w:r>
        <w:rPr>
          <w:rFonts w:hint="eastAsia" w:ascii="宋体" w:hAnsi="宋体" w:cs="宋体"/>
          <w:szCs w:val="21"/>
          <w:lang w:val="zh-CN"/>
        </w:rPr>
        <w:t>授权代表人的印刷字体姓名：</w:t>
      </w:r>
    </w:p>
    <w:p>
      <w:pPr>
        <w:autoSpaceDE w:val="0"/>
        <w:autoSpaceDN w:val="0"/>
        <w:adjustRightInd w:val="0"/>
        <w:spacing w:line="312" w:lineRule="auto"/>
        <w:ind w:firstLine="480"/>
        <w:rPr>
          <w:rFonts w:ascii="宋体" w:cs="宋体"/>
          <w:szCs w:val="21"/>
        </w:rPr>
      </w:pPr>
      <w:r>
        <w:rPr>
          <w:rFonts w:hint="eastAsia" w:ascii="宋体" w:hAnsi="宋体" w:cs="宋体"/>
          <w:szCs w:val="21"/>
          <w:lang w:val="zh-CN"/>
        </w:rPr>
        <w:t>授权代表人的职务：</w:t>
      </w:r>
    </w:p>
    <w:p>
      <w:pPr>
        <w:autoSpaceDE w:val="0"/>
        <w:autoSpaceDN w:val="0"/>
        <w:adjustRightInd w:val="0"/>
        <w:spacing w:line="312" w:lineRule="auto"/>
        <w:ind w:firstLine="480"/>
        <w:rPr>
          <w:rFonts w:ascii="宋体" w:cs="宋体"/>
          <w:szCs w:val="21"/>
        </w:rPr>
      </w:pPr>
      <w:r>
        <w:rPr>
          <w:rFonts w:hint="eastAsia" w:ascii="宋体" w:hAnsi="宋体" w:cs="宋体"/>
          <w:szCs w:val="21"/>
          <w:lang w:val="zh-CN"/>
        </w:rPr>
        <w:t>电话号和传真号：</w:t>
      </w:r>
    </w:p>
    <w:p>
      <w:pPr>
        <w:autoSpaceDE w:val="0"/>
        <w:autoSpaceDN w:val="0"/>
        <w:adjustRightInd w:val="0"/>
        <w:spacing w:line="312" w:lineRule="auto"/>
        <w:ind w:firstLine="480"/>
        <w:rPr>
          <w:rFonts w:ascii="宋体" w:cs="宋体"/>
          <w:szCs w:val="21"/>
        </w:rPr>
      </w:pPr>
      <w:r>
        <w:rPr>
          <w:rFonts w:hint="eastAsia" w:ascii="宋体" w:hAnsi="宋体" w:cs="宋体"/>
          <w:szCs w:val="21"/>
          <w:lang w:val="zh-CN"/>
        </w:rPr>
        <w:t>公章</w:t>
      </w:r>
      <w:r>
        <w:rPr>
          <w:rFonts w:hint="eastAsia" w:ascii="宋体" w:hAnsi="宋体" w:cs="宋体"/>
          <w:szCs w:val="21"/>
        </w:rPr>
        <w:t>：</w:t>
      </w:r>
    </w:p>
    <w:p>
      <w:pPr>
        <w:pStyle w:val="251"/>
        <w:spacing w:line="312" w:lineRule="auto"/>
        <w:ind w:firstLine="0" w:firstLineChars="0"/>
        <w:jc w:val="center"/>
        <w:outlineLvl w:val="1"/>
        <w:rPr>
          <w:rStyle w:val="106"/>
          <w:rFonts w:eastAsia="宋体" w:cs="宋体"/>
          <w:bCs/>
          <w:sz w:val="21"/>
          <w:szCs w:val="21"/>
        </w:rPr>
      </w:pPr>
      <w:bookmarkStart w:id="127" w:name="_Toc6338"/>
      <w:r>
        <w:rPr>
          <w:rStyle w:val="106"/>
          <w:rFonts w:hint="eastAsia" w:eastAsia="宋体" w:cs="宋体"/>
          <w:bCs/>
          <w:sz w:val="21"/>
          <w:szCs w:val="21"/>
        </w:rPr>
        <w:t>三、</w:t>
      </w:r>
      <w:bookmarkEnd w:id="127"/>
      <w:r>
        <w:rPr>
          <w:rStyle w:val="106"/>
          <w:rFonts w:hint="eastAsia" w:eastAsia="宋体" w:cs="宋体"/>
          <w:bCs/>
          <w:sz w:val="21"/>
          <w:szCs w:val="21"/>
        </w:rPr>
        <w:t>商务技术文件</w:t>
      </w:r>
    </w:p>
    <w:p>
      <w:pPr>
        <w:pStyle w:val="251"/>
        <w:spacing w:line="540" w:lineRule="exact"/>
        <w:ind w:firstLine="0" w:firstLineChars="0"/>
        <w:jc w:val="center"/>
        <w:rPr>
          <w:rFonts w:hint="eastAsia" w:ascii="宋体" w:eastAsia="宋体" w:cs="宋体"/>
          <w:sz w:val="21"/>
          <w:szCs w:val="21"/>
        </w:rPr>
      </w:pPr>
      <w:r>
        <w:rPr>
          <w:rFonts w:hint="eastAsia" w:ascii="宋体" w:eastAsia="宋体" w:cs="宋体"/>
          <w:sz w:val="21"/>
          <w:szCs w:val="21"/>
        </w:rPr>
        <w:t>1 技术支持及服务承诺书</w:t>
      </w:r>
    </w:p>
    <w:p>
      <w:pPr>
        <w:pStyle w:val="206"/>
        <w:keepNext w:val="0"/>
        <w:keepLines w:val="0"/>
        <w:spacing w:before="120" w:beforeLines="50" w:after="120" w:afterLines="50" w:line="500" w:lineRule="exact"/>
        <w:jc w:val="both"/>
        <w:outlineLvl w:val="9"/>
        <w:rPr>
          <w:rFonts w:hint="eastAsia" w:eastAsia="宋体" w:cs="宋体"/>
          <w:b w:val="0"/>
          <w:bCs w:val="0"/>
          <w:sz w:val="21"/>
          <w:szCs w:val="21"/>
        </w:rPr>
      </w:pPr>
      <w:bookmarkStart w:id="128" w:name="_Toc19566"/>
      <w:bookmarkStart w:id="129" w:name="_Toc17634"/>
      <w:r>
        <w:rPr>
          <w:rFonts w:hint="eastAsia" w:eastAsia="宋体" w:cs="宋体"/>
          <w:b w:val="0"/>
          <w:bCs w:val="0"/>
          <w:sz w:val="21"/>
          <w:szCs w:val="21"/>
        </w:rPr>
        <w:t>项目名称：</w:t>
      </w:r>
      <w:bookmarkEnd w:id="128"/>
      <w:bookmarkEnd w:id="129"/>
      <w:r>
        <w:rPr>
          <w:rFonts w:hint="eastAsia" w:eastAsia="宋体" w:cs="宋体"/>
          <w:b w:val="0"/>
          <w:bCs w:val="0"/>
          <w:szCs w:val="21"/>
        </w:rPr>
        <w:t xml:space="preserve">                            </w:t>
      </w:r>
    </w:p>
    <w:p>
      <w:pPr>
        <w:pStyle w:val="206"/>
        <w:keepNext w:val="0"/>
        <w:keepLines w:val="0"/>
        <w:spacing w:before="120" w:beforeLines="50" w:after="120" w:afterLines="50" w:line="500" w:lineRule="exact"/>
        <w:jc w:val="both"/>
        <w:outlineLvl w:val="9"/>
        <w:rPr>
          <w:rFonts w:hint="eastAsia" w:eastAsia="宋体" w:cs="宋体"/>
          <w:b w:val="0"/>
          <w:bCs w:val="0"/>
          <w:sz w:val="21"/>
          <w:szCs w:val="21"/>
        </w:rPr>
      </w:pPr>
      <w:bookmarkStart w:id="130" w:name="_Toc16476"/>
      <w:bookmarkStart w:id="131" w:name="_Toc5666"/>
      <w:r>
        <w:rPr>
          <w:rFonts w:hint="eastAsia" w:eastAsia="宋体" w:cs="宋体"/>
          <w:b w:val="0"/>
          <w:bCs w:val="0"/>
          <w:sz w:val="21"/>
          <w:szCs w:val="21"/>
        </w:rPr>
        <w:t>项目编号：</w:t>
      </w:r>
      <w:bookmarkEnd w:id="130"/>
      <w:bookmarkEnd w:id="131"/>
    </w:p>
    <w:tbl>
      <w:tblPr>
        <w:tblStyle w:val="62"/>
        <w:tblW w:w="0" w:type="auto"/>
        <w:jc w:val="center"/>
        <w:tblLayout w:type="fixed"/>
        <w:tblCellMar>
          <w:top w:w="0" w:type="dxa"/>
          <w:left w:w="0" w:type="dxa"/>
          <w:bottom w:w="0" w:type="dxa"/>
          <w:right w:w="0" w:type="dxa"/>
        </w:tblCellMar>
      </w:tblPr>
      <w:tblGrid>
        <w:gridCol w:w="740"/>
        <w:gridCol w:w="4106"/>
        <w:gridCol w:w="2547"/>
        <w:gridCol w:w="1800"/>
      </w:tblGrid>
      <w:tr>
        <w:tblPrEx>
          <w:tblCellMar>
            <w:top w:w="0" w:type="dxa"/>
            <w:left w:w="0" w:type="dxa"/>
            <w:bottom w:w="0" w:type="dxa"/>
            <w:right w:w="0" w:type="dxa"/>
          </w:tblCellMar>
        </w:tblPrEx>
        <w:trPr>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序号</w:t>
            </w:r>
          </w:p>
        </w:tc>
        <w:tc>
          <w:tcPr>
            <w:tcW w:w="4106" w:type="dxa"/>
            <w:tcBorders>
              <w:top w:val="single" w:color="auto" w:sz="8" w:space="0"/>
              <w:left w:val="nil"/>
              <w:bottom w:val="single" w:color="auto" w:sz="8" w:space="0"/>
              <w:right w:val="single" w:color="auto" w:sz="4"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质量保障措施及服务内容</w:t>
            </w:r>
          </w:p>
        </w:tc>
        <w:tc>
          <w:tcPr>
            <w:tcW w:w="2547" w:type="dxa"/>
            <w:tcBorders>
              <w:top w:val="single" w:color="auto" w:sz="8" w:space="0"/>
              <w:left w:val="single" w:color="auto" w:sz="4"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承  诺</w:t>
            </w:r>
          </w:p>
        </w:tc>
        <w:tc>
          <w:tcPr>
            <w:tcW w:w="18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备注</w:t>
            </w: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1</w:t>
            </w:r>
          </w:p>
        </w:tc>
        <w:tc>
          <w:tcPr>
            <w:tcW w:w="4106" w:type="dxa"/>
            <w:tcBorders>
              <w:top w:val="nil"/>
              <w:left w:val="nil"/>
              <w:bottom w:val="single" w:color="auto" w:sz="8" w:space="0"/>
              <w:right w:val="single" w:color="auto" w:sz="4" w:space="0"/>
            </w:tcBorders>
            <w:noWrap w:val="0"/>
            <w:vAlign w:val="center"/>
          </w:tcPr>
          <w:p>
            <w:pPr>
              <w:widowControl/>
              <w:spacing w:line="540" w:lineRule="exact"/>
              <w:ind w:left="105" w:leftChars="50" w:right="105" w:rightChars="50"/>
              <w:textAlignment w:val="baseline"/>
              <w:rPr>
                <w:rFonts w:hint="eastAsia" w:ascii="宋体" w:hAnsi="宋体" w:eastAsia="宋体" w:cs="宋体"/>
                <w:szCs w:val="21"/>
              </w:rPr>
            </w:pPr>
            <w:r>
              <w:rPr>
                <w:rFonts w:hint="eastAsia" w:ascii="宋体" w:hAnsi="宋体" w:eastAsia="宋体" w:cs="宋体"/>
                <w:szCs w:val="21"/>
              </w:rPr>
              <w:t>保修时间及保修范围</w:t>
            </w:r>
          </w:p>
        </w:tc>
        <w:tc>
          <w:tcPr>
            <w:tcW w:w="2547" w:type="dxa"/>
            <w:tcBorders>
              <w:top w:val="nil"/>
              <w:left w:val="single" w:color="auto" w:sz="4"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2</w:t>
            </w:r>
          </w:p>
        </w:tc>
        <w:tc>
          <w:tcPr>
            <w:tcW w:w="4106" w:type="dxa"/>
            <w:tcBorders>
              <w:top w:val="nil"/>
              <w:left w:val="nil"/>
              <w:bottom w:val="single" w:color="auto" w:sz="8" w:space="0"/>
              <w:right w:val="single" w:color="auto" w:sz="4" w:space="0"/>
            </w:tcBorders>
            <w:noWrap w:val="0"/>
            <w:vAlign w:val="center"/>
          </w:tcPr>
          <w:p>
            <w:pPr>
              <w:widowControl/>
              <w:spacing w:line="540" w:lineRule="exact"/>
              <w:ind w:left="105" w:leftChars="50" w:right="105" w:rightChars="50"/>
              <w:rPr>
                <w:rFonts w:hint="eastAsia" w:ascii="宋体" w:hAnsi="宋体" w:eastAsia="宋体" w:cs="宋体"/>
                <w:szCs w:val="21"/>
              </w:rPr>
            </w:pPr>
            <w:r>
              <w:rPr>
                <w:rFonts w:hint="eastAsia" w:ascii="宋体" w:hAnsi="宋体" w:eastAsia="宋体" w:cs="宋体"/>
                <w:szCs w:val="21"/>
              </w:rPr>
              <w:t>有关技术人员现场免费提供安装、调试服务</w:t>
            </w:r>
          </w:p>
        </w:tc>
        <w:tc>
          <w:tcPr>
            <w:tcW w:w="2547" w:type="dxa"/>
            <w:tcBorders>
              <w:top w:val="nil"/>
              <w:left w:val="single" w:color="auto" w:sz="4" w:space="0"/>
              <w:bottom w:val="single" w:color="auto" w:sz="8" w:space="0"/>
              <w:right w:val="single" w:color="auto" w:sz="8" w:space="0"/>
            </w:tcBorders>
            <w:noWrap w:val="0"/>
            <w:vAlign w:val="center"/>
          </w:tcPr>
          <w:p>
            <w:pPr>
              <w:widowControl/>
              <w:spacing w:line="540" w:lineRule="exact"/>
              <w:jc w:val="left"/>
              <w:rPr>
                <w:rFonts w:hint="eastAsia" w:ascii="宋体" w:hAnsi="宋体" w:eastAsia="宋体" w:cs="宋体"/>
                <w:szCs w:val="21"/>
              </w:rPr>
            </w:pPr>
          </w:p>
          <w:p>
            <w:pPr>
              <w:widowControl/>
              <w:spacing w:line="540" w:lineRule="exact"/>
              <w:jc w:val="center"/>
              <w:rPr>
                <w:rFonts w:hint="eastAsia" w:ascii="宋体" w:hAnsi="宋体" w:eastAsia="宋体" w:cs="宋体"/>
                <w:szCs w:val="21"/>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3</w:t>
            </w:r>
          </w:p>
        </w:tc>
        <w:tc>
          <w:tcPr>
            <w:tcW w:w="4106" w:type="dxa"/>
            <w:tcBorders>
              <w:top w:val="nil"/>
              <w:left w:val="nil"/>
              <w:bottom w:val="single" w:color="auto" w:sz="8" w:space="0"/>
              <w:right w:val="single" w:color="auto" w:sz="4" w:space="0"/>
            </w:tcBorders>
            <w:noWrap w:val="0"/>
            <w:vAlign w:val="center"/>
          </w:tcPr>
          <w:p>
            <w:pPr>
              <w:widowControl/>
              <w:spacing w:line="540" w:lineRule="exact"/>
              <w:ind w:left="105" w:leftChars="50" w:right="105" w:rightChars="50"/>
              <w:rPr>
                <w:rFonts w:hint="eastAsia" w:ascii="宋体" w:hAnsi="宋体" w:eastAsia="宋体" w:cs="宋体"/>
                <w:szCs w:val="21"/>
              </w:rPr>
            </w:pPr>
            <w:r>
              <w:rPr>
                <w:rFonts w:hint="eastAsia" w:ascii="宋体" w:hAnsi="宋体" w:eastAsia="宋体" w:cs="宋体"/>
                <w:szCs w:val="21"/>
              </w:rPr>
              <w:t>免费换货期限</w:t>
            </w:r>
          </w:p>
        </w:tc>
        <w:tc>
          <w:tcPr>
            <w:tcW w:w="2547" w:type="dxa"/>
            <w:tcBorders>
              <w:top w:val="nil"/>
              <w:left w:val="single" w:color="auto" w:sz="4"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4</w:t>
            </w:r>
          </w:p>
        </w:tc>
        <w:tc>
          <w:tcPr>
            <w:tcW w:w="4106" w:type="dxa"/>
            <w:tcBorders>
              <w:top w:val="nil"/>
              <w:left w:val="nil"/>
              <w:bottom w:val="single" w:color="auto" w:sz="8" w:space="0"/>
              <w:right w:val="single" w:color="auto" w:sz="4" w:space="0"/>
            </w:tcBorders>
            <w:noWrap w:val="0"/>
            <w:vAlign w:val="center"/>
          </w:tcPr>
          <w:p>
            <w:pPr>
              <w:widowControl/>
              <w:spacing w:line="540" w:lineRule="exact"/>
              <w:ind w:left="105" w:leftChars="50" w:right="105" w:rightChars="50"/>
              <w:rPr>
                <w:rFonts w:hint="eastAsia" w:ascii="宋体" w:hAnsi="宋体" w:eastAsia="宋体" w:cs="宋体"/>
                <w:szCs w:val="21"/>
              </w:rPr>
            </w:pPr>
            <w:r>
              <w:rPr>
                <w:rFonts w:hint="eastAsia" w:ascii="宋体" w:hAnsi="宋体" w:eastAsia="宋体" w:cs="宋体"/>
                <w:szCs w:val="21"/>
              </w:rPr>
              <w:t>免费上门服务期限</w:t>
            </w:r>
          </w:p>
        </w:tc>
        <w:tc>
          <w:tcPr>
            <w:tcW w:w="2547" w:type="dxa"/>
            <w:tcBorders>
              <w:top w:val="nil"/>
              <w:left w:val="single" w:color="auto" w:sz="4"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5</w:t>
            </w:r>
          </w:p>
        </w:tc>
        <w:tc>
          <w:tcPr>
            <w:tcW w:w="4106" w:type="dxa"/>
            <w:tcBorders>
              <w:top w:val="nil"/>
              <w:left w:val="nil"/>
              <w:bottom w:val="single" w:color="auto" w:sz="8" w:space="0"/>
              <w:right w:val="single" w:color="auto" w:sz="4" w:space="0"/>
            </w:tcBorders>
            <w:noWrap w:val="0"/>
            <w:vAlign w:val="center"/>
          </w:tcPr>
          <w:p>
            <w:pPr>
              <w:widowControl/>
              <w:spacing w:line="540" w:lineRule="exact"/>
              <w:ind w:left="105" w:leftChars="50" w:right="105" w:rightChars="50"/>
              <w:rPr>
                <w:rFonts w:hint="eastAsia" w:ascii="宋体" w:hAnsi="宋体" w:eastAsia="宋体" w:cs="宋体"/>
                <w:szCs w:val="21"/>
              </w:rPr>
            </w:pPr>
            <w:r>
              <w:rPr>
                <w:rFonts w:hint="eastAsia" w:ascii="宋体" w:hAnsi="宋体" w:eastAsia="宋体" w:cs="宋体"/>
                <w:szCs w:val="21"/>
              </w:rPr>
              <w:t>质保期内产品故障服务响应时限</w:t>
            </w:r>
          </w:p>
        </w:tc>
        <w:tc>
          <w:tcPr>
            <w:tcW w:w="2547" w:type="dxa"/>
            <w:tcBorders>
              <w:top w:val="nil"/>
              <w:left w:val="single" w:color="auto" w:sz="4" w:space="0"/>
              <w:bottom w:val="single" w:color="auto" w:sz="8" w:space="0"/>
              <w:right w:val="single" w:color="auto" w:sz="8" w:space="0"/>
            </w:tcBorders>
            <w:noWrap w:val="0"/>
            <w:vAlign w:val="center"/>
          </w:tcPr>
          <w:p>
            <w:pPr>
              <w:widowControl/>
              <w:spacing w:line="540" w:lineRule="exact"/>
              <w:jc w:val="center"/>
              <w:rPr>
                <w:rFonts w:hint="eastAsia" w:ascii="宋体" w:hAnsi="宋体" w:eastAsia="宋体" w:cs="宋体"/>
                <w:szCs w:val="21"/>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7</w:t>
            </w:r>
          </w:p>
        </w:tc>
        <w:tc>
          <w:tcPr>
            <w:tcW w:w="4106" w:type="dxa"/>
            <w:tcBorders>
              <w:top w:val="nil"/>
              <w:left w:val="nil"/>
              <w:bottom w:val="single" w:color="auto" w:sz="4" w:space="0"/>
              <w:right w:val="single" w:color="auto" w:sz="4" w:space="0"/>
            </w:tcBorders>
            <w:noWrap w:val="0"/>
            <w:vAlign w:val="center"/>
          </w:tcPr>
          <w:p>
            <w:pPr>
              <w:widowControl/>
              <w:spacing w:line="540" w:lineRule="exact"/>
              <w:ind w:left="105" w:leftChars="50" w:right="105" w:rightChars="50"/>
              <w:rPr>
                <w:rFonts w:hint="eastAsia" w:ascii="宋体" w:hAnsi="宋体" w:eastAsia="宋体" w:cs="宋体"/>
                <w:szCs w:val="21"/>
              </w:rPr>
            </w:pPr>
            <w:r>
              <w:rPr>
                <w:rFonts w:hint="eastAsia" w:ascii="宋体" w:hAnsi="宋体" w:eastAsia="宋体" w:cs="宋体"/>
                <w:szCs w:val="21"/>
              </w:rPr>
              <w:t>质保期满后的保修服务费用</w:t>
            </w:r>
          </w:p>
        </w:tc>
        <w:tc>
          <w:tcPr>
            <w:tcW w:w="2547" w:type="dxa"/>
            <w:tcBorders>
              <w:top w:val="nil"/>
              <w:left w:val="single" w:color="auto" w:sz="4"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p>
        </w:tc>
        <w:tc>
          <w:tcPr>
            <w:tcW w:w="180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r>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8</w:t>
            </w:r>
          </w:p>
        </w:tc>
        <w:tc>
          <w:tcPr>
            <w:tcW w:w="4106" w:type="dxa"/>
            <w:tcBorders>
              <w:top w:val="single" w:color="auto" w:sz="4" w:space="0"/>
              <w:left w:val="nil"/>
              <w:bottom w:val="single" w:color="auto" w:sz="4" w:space="0"/>
              <w:right w:val="single" w:color="auto" w:sz="4" w:space="0"/>
            </w:tcBorders>
            <w:noWrap w:val="0"/>
            <w:vAlign w:val="center"/>
          </w:tcPr>
          <w:p>
            <w:pPr>
              <w:widowControl/>
              <w:spacing w:line="540" w:lineRule="exact"/>
              <w:ind w:left="105" w:leftChars="50" w:right="105" w:rightChars="50"/>
              <w:rPr>
                <w:rFonts w:hint="eastAsia" w:ascii="宋体" w:hAnsi="宋体" w:eastAsia="宋体" w:cs="宋体"/>
                <w:szCs w:val="21"/>
              </w:rPr>
            </w:pPr>
            <w:r>
              <w:rPr>
                <w:rFonts w:hint="eastAsia" w:ascii="宋体" w:hAnsi="宋体" w:eastAsia="宋体" w:cs="宋体"/>
                <w:szCs w:val="21"/>
              </w:rPr>
              <w:t>交货时间</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r>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9</w:t>
            </w:r>
          </w:p>
        </w:tc>
        <w:tc>
          <w:tcPr>
            <w:tcW w:w="4106" w:type="dxa"/>
            <w:tcBorders>
              <w:top w:val="single" w:color="auto" w:sz="4" w:space="0"/>
              <w:left w:val="nil"/>
              <w:bottom w:val="single" w:color="auto" w:sz="4" w:space="0"/>
              <w:right w:val="single" w:color="auto" w:sz="4" w:space="0"/>
            </w:tcBorders>
            <w:noWrap w:val="0"/>
            <w:vAlign w:val="center"/>
          </w:tcPr>
          <w:p>
            <w:pPr>
              <w:widowControl/>
              <w:spacing w:line="540" w:lineRule="exact"/>
              <w:ind w:left="105" w:leftChars="50" w:right="105" w:rightChars="50"/>
              <w:rPr>
                <w:rFonts w:hint="eastAsia" w:ascii="宋体" w:hAnsi="宋体" w:eastAsia="宋体" w:cs="宋体"/>
                <w:szCs w:val="21"/>
              </w:rPr>
            </w:pPr>
            <w:r>
              <w:rPr>
                <w:rFonts w:hint="eastAsia" w:ascii="宋体" w:hAnsi="宋体" w:eastAsia="宋体" w:cs="宋体"/>
                <w:szCs w:val="21"/>
              </w:rPr>
              <w:t>是否有提供备品备件</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r>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10</w:t>
            </w:r>
          </w:p>
        </w:tc>
        <w:tc>
          <w:tcPr>
            <w:tcW w:w="4106" w:type="dxa"/>
            <w:tcBorders>
              <w:top w:val="single" w:color="auto" w:sz="4" w:space="0"/>
              <w:left w:val="nil"/>
              <w:bottom w:val="single" w:color="auto" w:sz="4" w:space="0"/>
              <w:right w:val="single" w:color="auto" w:sz="4" w:space="0"/>
            </w:tcBorders>
            <w:noWrap w:val="0"/>
            <w:vAlign w:val="center"/>
          </w:tcPr>
          <w:p>
            <w:pPr>
              <w:widowControl/>
              <w:spacing w:line="540" w:lineRule="exact"/>
              <w:ind w:left="105" w:leftChars="50" w:right="105" w:rightChars="50"/>
              <w:rPr>
                <w:rFonts w:hint="eastAsia" w:ascii="宋体" w:hAnsi="宋体" w:eastAsia="宋体" w:cs="宋体"/>
                <w:szCs w:val="21"/>
              </w:rPr>
            </w:pPr>
            <w:r>
              <w:rPr>
                <w:rFonts w:hint="eastAsia" w:ascii="宋体" w:hAnsi="宋体" w:eastAsia="宋体" w:cs="宋体"/>
                <w:szCs w:val="21"/>
              </w:rPr>
              <w:t>是否有质保期外的服务承诺</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r>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11</w:t>
            </w:r>
          </w:p>
        </w:tc>
        <w:tc>
          <w:tcPr>
            <w:tcW w:w="4106" w:type="dxa"/>
            <w:tcBorders>
              <w:top w:val="single" w:color="auto" w:sz="4" w:space="0"/>
              <w:left w:val="nil"/>
              <w:bottom w:val="single" w:color="auto" w:sz="4" w:space="0"/>
              <w:right w:val="single" w:color="auto" w:sz="4" w:space="0"/>
            </w:tcBorders>
            <w:noWrap w:val="0"/>
            <w:vAlign w:val="center"/>
          </w:tcPr>
          <w:p>
            <w:pPr>
              <w:widowControl/>
              <w:spacing w:line="540" w:lineRule="exact"/>
              <w:ind w:left="105" w:leftChars="50" w:right="105" w:rightChars="50"/>
              <w:rPr>
                <w:rFonts w:hint="eastAsia" w:ascii="宋体" w:hAnsi="宋体" w:eastAsia="宋体" w:cs="宋体"/>
                <w:szCs w:val="21"/>
              </w:rPr>
            </w:pPr>
            <w:r>
              <w:rPr>
                <w:rFonts w:hint="eastAsia" w:ascii="宋体" w:hAnsi="宋体" w:eastAsia="宋体" w:cs="宋体"/>
                <w:szCs w:val="21"/>
              </w:rPr>
              <w:t>货物品牌是否原装正品</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r>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r>
              <w:rPr>
                <w:rFonts w:hint="eastAsia" w:ascii="宋体" w:hAnsi="宋体" w:eastAsia="宋体" w:cs="宋体"/>
                <w:szCs w:val="21"/>
              </w:rPr>
              <w:t>12</w:t>
            </w:r>
          </w:p>
        </w:tc>
        <w:tc>
          <w:tcPr>
            <w:tcW w:w="4106" w:type="dxa"/>
            <w:tcBorders>
              <w:top w:val="single" w:color="auto" w:sz="4" w:space="0"/>
              <w:left w:val="nil"/>
              <w:bottom w:val="single" w:color="auto" w:sz="4" w:space="0"/>
              <w:right w:val="single" w:color="auto" w:sz="4" w:space="0"/>
            </w:tcBorders>
            <w:noWrap w:val="0"/>
            <w:vAlign w:val="center"/>
          </w:tcPr>
          <w:p>
            <w:pPr>
              <w:widowControl/>
              <w:spacing w:line="540" w:lineRule="exact"/>
              <w:ind w:left="105" w:leftChars="50" w:right="105" w:rightChars="50"/>
              <w:rPr>
                <w:rFonts w:hint="eastAsia" w:ascii="宋体" w:hAnsi="宋体" w:eastAsia="宋体" w:cs="宋体"/>
                <w:szCs w:val="21"/>
              </w:rPr>
            </w:pPr>
            <w:r>
              <w:rPr>
                <w:rFonts w:hint="eastAsia" w:ascii="宋体" w:hAnsi="宋体" w:eastAsia="宋体" w:cs="宋体"/>
                <w:szCs w:val="21"/>
              </w:rPr>
              <w:t>其他</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widowControl/>
              <w:spacing w:line="540" w:lineRule="exact"/>
              <w:jc w:val="center"/>
              <w:rPr>
                <w:rFonts w:hint="eastAsia" w:ascii="宋体" w:hAnsi="宋体" w:eastAsia="宋体" w:cs="宋体"/>
                <w:szCs w:val="21"/>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540" w:lineRule="exact"/>
              <w:jc w:val="center"/>
              <w:rPr>
                <w:rFonts w:hint="eastAsia" w:ascii="宋体" w:hAnsi="宋体" w:eastAsia="宋体" w:cs="宋体"/>
                <w:szCs w:val="21"/>
              </w:rPr>
            </w:pPr>
          </w:p>
        </w:tc>
      </w:tr>
    </w:tbl>
    <w:p>
      <w:pPr>
        <w:autoSpaceDE w:val="0"/>
        <w:autoSpaceDN w:val="0"/>
        <w:adjustRightInd w:val="0"/>
        <w:spacing w:line="540" w:lineRule="exact"/>
        <w:rPr>
          <w:rFonts w:hint="eastAsia" w:ascii="宋体" w:hAnsi="宋体" w:eastAsia="宋体" w:cs="宋体"/>
          <w:szCs w:val="21"/>
        </w:rPr>
      </w:pPr>
    </w:p>
    <w:p>
      <w:pPr>
        <w:snapToGrid w:val="0"/>
        <w:spacing w:line="540" w:lineRule="exact"/>
        <w:rPr>
          <w:rFonts w:hint="eastAsia" w:ascii="宋体" w:hAnsi="宋体" w:eastAsia="宋体" w:cs="宋体"/>
          <w:szCs w:val="21"/>
        </w:rPr>
      </w:pPr>
      <w:r>
        <w:rPr>
          <w:rFonts w:hint="eastAsia" w:ascii="宋体" w:hAnsi="宋体" w:eastAsia="宋体" w:cs="宋体"/>
          <w:szCs w:val="21"/>
        </w:rPr>
        <w:t>供应商（盖章）：</w:t>
      </w:r>
    </w:p>
    <w:p>
      <w:pPr>
        <w:snapToGrid w:val="0"/>
        <w:spacing w:line="540" w:lineRule="exact"/>
        <w:rPr>
          <w:rFonts w:hint="eastAsia" w:ascii="宋体" w:hAnsi="宋体" w:eastAsia="宋体" w:cs="宋体"/>
          <w:szCs w:val="21"/>
        </w:rPr>
      </w:pPr>
      <w:r>
        <w:rPr>
          <w:rFonts w:hint="eastAsia" w:ascii="宋体" w:hAnsi="宋体" w:eastAsia="宋体" w:cs="宋体"/>
          <w:szCs w:val="21"/>
        </w:rPr>
        <w:t xml:space="preserve">法定代表人或其授权代表人（签字）：                                   </w:t>
      </w:r>
    </w:p>
    <w:p>
      <w:pPr>
        <w:autoSpaceDE w:val="0"/>
        <w:autoSpaceDN w:val="0"/>
        <w:adjustRightInd w:val="0"/>
        <w:snapToGrid w:val="0"/>
        <w:spacing w:line="540" w:lineRule="exact"/>
        <w:rPr>
          <w:rFonts w:hint="eastAsia" w:ascii="宋体" w:hAnsi="宋体" w:eastAsia="宋体" w:cs="宋体"/>
          <w:szCs w:val="21"/>
        </w:rPr>
      </w:pPr>
      <w:r>
        <w:rPr>
          <w:rFonts w:hint="eastAsia" w:ascii="宋体" w:hAnsi="宋体" w:eastAsia="宋体" w:cs="宋体"/>
          <w:szCs w:val="21"/>
        </w:rPr>
        <w:t>日期：</w:t>
      </w:r>
    </w:p>
    <w:p>
      <w:pPr>
        <w:pStyle w:val="251"/>
        <w:spacing w:line="540" w:lineRule="exact"/>
        <w:ind w:firstLine="0" w:firstLineChars="0"/>
        <w:jc w:val="center"/>
        <w:rPr>
          <w:rFonts w:hint="eastAsia" w:ascii="宋体" w:eastAsia="宋体" w:cs="宋体"/>
          <w:sz w:val="24"/>
          <w:szCs w:val="24"/>
        </w:rPr>
      </w:pPr>
    </w:p>
    <w:p>
      <w:pPr>
        <w:pStyle w:val="251"/>
        <w:spacing w:line="540" w:lineRule="exact"/>
        <w:ind w:firstLine="0" w:firstLineChars="0"/>
        <w:rPr>
          <w:rFonts w:hint="eastAsia" w:ascii="宋体" w:eastAsia="宋体" w:cs="宋体"/>
          <w:sz w:val="24"/>
          <w:szCs w:val="24"/>
        </w:rPr>
      </w:pPr>
    </w:p>
    <w:p>
      <w:pPr>
        <w:pStyle w:val="251"/>
        <w:spacing w:line="540" w:lineRule="exact"/>
        <w:ind w:firstLine="0" w:firstLineChars="0"/>
        <w:jc w:val="center"/>
        <w:rPr>
          <w:rFonts w:ascii="宋体" w:eastAsia="宋体" w:cs="宋体"/>
          <w:b/>
          <w:bCs/>
          <w:sz w:val="21"/>
          <w:szCs w:val="21"/>
        </w:rPr>
      </w:pPr>
    </w:p>
    <w:p>
      <w:pPr>
        <w:pStyle w:val="251"/>
        <w:spacing w:line="540" w:lineRule="exact"/>
        <w:ind w:firstLine="0" w:firstLineChars="0"/>
        <w:jc w:val="center"/>
        <w:rPr>
          <w:rFonts w:ascii="宋体" w:eastAsia="宋体" w:cs="宋体"/>
          <w:b/>
          <w:bCs/>
          <w:sz w:val="21"/>
          <w:szCs w:val="21"/>
        </w:rPr>
      </w:pPr>
      <w:r>
        <w:rPr>
          <w:rFonts w:ascii="宋体" w:eastAsia="宋体" w:cs="宋体"/>
          <w:b/>
          <w:bCs/>
          <w:sz w:val="21"/>
          <w:szCs w:val="21"/>
        </w:rPr>
        <w:t xml:space="preserve">2 </w:t>
      </w:r>
      <w:r>
        <w:rPr>
          <w:rFonts w:hint="eastAsia" w:ascii="宋体" w:eastAsia="宋体" w:cs="宋体"/>
          <w:b/>
          <w:bCs/>
          <w:sz w:val="21"/>
          <w:szCs w:val="21"/>
        </w:rPr>
        <w:t>技术偏离表</w:t>
      </w:r>
    </w:p>
    <w:p>
      <w:pPr>
        <w:pStyle w:val="206"/>
        <w:keepNext w:val="0"/>
        <w:keepLines w:val="0"/>
        <w:spacing w:before="0" w:after="0" w:line="500" w:lineRule="exact"/>
        <w:jc w:val="both"/>
        <w:outlineLvl w:val="9"/>
        <w:rPr>
          <w:rFonts w:eastAsia="宋体" w:cs="宋体"/>
          <w:b w:val="0"/>
          <w:bCs w:val="0"/>
          <w:sz w:val="21"/>
          <w:szCs w:val="21"/>
        </w:rPr>
      </w:pPr>
      <w:bookmarkStart w:id="132" w:name="_Toc21863"/>
      <w:bookmarkStart w:id="133" w:name="_Toc14039"/>
      <w:r>
        <w:rPr>
          <w:rFonts w:hint="eastAsia" w:eastAsia="宋体" w:cs="宋体"/>
          <w:b w:val="0"/>
          <w:bCs w:val="0"/>
          <w:sz w:val="21"/>
          <w:szCs w:val="21"/>
        </w:rPr>
        <w:t>项目名称：</w:t>
      </w:r>
      <w:bookmarkEnd w:id="132"/>
      <w:bookmarkEnd w:id="133"/>
    </w:p>
    <w:p>
      <w:pPr>
        <w:pStyle w:val="206"/>
        <w:keepNext w:val="0"/>
        <w:keepLines w:val="0"/>
        <w:spacing w:before="0" w:after="0" w:line="500" w:lineRule="exact"/>
        <w:jc w:val="both"/>
        <w:outlineLvl w:val="9"/>
        <w:rPr>
          <w:rFonts w:eastAsia="宋体" w:cs="宋体"/>
          <w:b w:val="0"/>
          <w:bCs w:val="0"/>
          <w:sz w:val="21"/>
          <w:szCs w:val="21"/>
        </w:rPr>
      </w:pPr>
      <w:bookmarkStart w:id="134" w:name="_Toc4983"/>
      <w:bookmarkStart w:id="135" w:name="_Toc22543"/>
      <w:r>
        <w:rPr>
          <w:rFonts w:hint="eastAsia" w:eastAsia="宋体" w:cs="宋体"/>
          <w:b w:val="0"/>
          <w:bCs w:val="0"/>
          <w:sz w:val="21"/>
          <w:szCs w:val="21"/>
        </w:rPr>
        <w:t>项目编号：</w:t>
      </w:r>
      <w:bookmarkEnd w:id="134"/>
      <w:bookmarkEnd w:id="135"/>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578"/>
        <w:gridCol w:w="144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vAlign w:val="center"/>
          </w:tcPr>
          <w:p>
            <w:pPr>
              <w:spacing w:line="500" w:lineRule="exact"/>
              <w:jc w:val="center"/>
              <w:rPr>
                <w:rFonts w:ascii="宋体" w:cs="宋体"/>
                <w:szCs w:val="21"/>
              </w:rPr>
            </w:pPr>
            <w:r>
              <w:rPr>
                <w:rFonts w:hint="eastAsia" w:ascii="宋体" w:hAnsi="宋体" w:cs="宋体"/>
                <w:szCs w:val="21"/>
              </w:rPr>
              <w:t>序号</w:t>
            </w:r>
          </w:p>
        </w:tc>
        <w:tc>
          <w:tcPr>
            <w:tcW w:w="2096" w:type="dxa"/>
            <w:tcBorders>
              <w:top w:val="thinThickSmallGap" w:color="auto" w:sz="12" w:space="0"/>
            </w:tcBorders>
            <w:vAlign w:val="center"/>
          </w:tcPr>
          <w:p>
            <w:pPr>
              <w:spacing w:line="500" w:lineRule="exact"/>
              <w:jc w:val="center"/>
              <w:rPr>
                <w:rFonts w:ascii="宋体" w:cs="宋体"/>
                <w:szCs w:val="21"/>
              </w:rPr>
            </w:pPr>
            <w:r>
              <w:rPr>
                <w:rFonts w:hint="eastAsia" w:ascii="宋体" w:hAnsi="宋体" w:cs="宋体"/>
                <w:szCs w:val="21"/>
              </w:rPr>
              <w:t>招标文件技术规范要求</w:t>
            </w:r>
          </w:p>
        </w:tc>
        <w:tc>
          <w:tcPr>
            <w:tcW w:w="1985" w:type="dxa"/>
            <w:tcBorders>
              <w:top w:val="thinThickSmallGap" w:color="auto" w:sz="12" w:space="0"/>
            </w:tcBorders>
            <w:vAlign w:val="center"/>
          </w:tcPr>
          <w:p>
            <w:pPr>
              <w:spacing w:line="500" w:lineRule="exact"/>
              <w:jc w:val="center"/>
              <w:rPr>
                <w:rFonts w:ascii="宋体" w:cs="宋体"/>
                <w:szCs w:val="21"/>
              </w:rPr>
            </w:pPr>
            <w:r>
              <w:rPr>
                <w:rFonts w:hint="eastAsia" w:ascii="宋体" w:hAnsi="宋体" w:cs="宋体"/>
                <w:szCs w:val="21"/>
              </w:rPr>
              <w:t>供应商响应详细内容</w:t>
            </w:r>
          </w:p>
        </w:tc>
        <w:tc>
          <w:tcPr>
            <w:tcW w:w="1578" w:type="dxa"/>
            <w:tcBorders>
              <w:top w:val="thinThickSmallGap" w:color="auto" w:sz="12" w:space="0"/>
            </w:tcBorders>
            <w:vAlign w:val="center"/>
          </w:tcPr>
          <w:p>
            <w:pPr>
              <w:spacing w:line="500" w:lineRule="exact"/>
              <w:jc w:val="center"/>
              <w:rPr>
                <w:rFonts w:ascii="宋体" w:cs="宋体"/>
                <w:szCs w:val="21"/>
              </w:rPr>
            </w:pPr>
            <w:r>
              <w:rPr>
                <w:rFonts w:hint="eastAsia" w:ascii="宋体" w:hAnsi="宋体" w:cs="宋体"/>
                <w:szCs w:val="21"/>
              </w:rPr>
              <w:t>正</w:t>
            </w:r>
            <w:r>
              <w:rPr>
                <w:rFonts w:ascii="宋体" w:hAnsi="宋体" w:cs="宋体"/>
                <w:szCs w:val="21"/>
              </w:rPr>
              <w:t>/</w:t>
            </w:r>
            <w:r>
              <w:rPr>
                <w:rFonts w:hint="eastAsia" w:ascii="宋体" w:hAnsi="宋体" w:cs="宋体"/>
                <w:szCs w:val="21"/>
              </w:rPr>
              <w:t>负偏离</w:t>
            </w:r>
          </w:p>
        </w:tc>
        <w:tc>
          <w:tcPr>
            <w:tcW w:w="1449" w:type="dxa"/>
            <w:tcBorders>
              <w:top w:val="thinThickSmallGap" w:color="auto" w:sz="12" w:space="0"/>
            </w:tcBorders>
            <w:vAlign w:val="center"/>
          </w:tcPr>
          <w:p>
            <w:pPr>
              <w:spacing w:line="500" w:lineRule="exact"/>
              <w:jc w:val="center"/>
              <w:rPr>
                <w:rFonts w:ascii="宋体" w:cs="宋体"/>
                <w:szCs w:val="21"/>
              </w:rPr>
            </w:pPr>
            <w:r>
              <w:rPr>
                <w:rFonts w:hint="eastAsia" w:ascii="宋体" w:hAnsi="宋体" w:cs="宋体"/>
                <w:szCs w:val="21"/>
              </w:rPr>
              <w:t>偏离说明</w:t>
            </w:r>
          </w:p>
        </w:tc>
        <w:tc>
          <w:tcPr>
            <w:tcW w:w="1418" w:type="dxa"/>
            <w:tcBorders>
              <w:top w:val="thinThickSmallGap" w:color="auto" w:sz="12" w:space="0"/>
              <w:right w:val="thickThinSmallGap" w:color="auto" w:sz="12" w:space="0"/>
            </w:tcBorders>
          </w:tcPr>
          <w:p>
            <w:pPr>
              <w:spacing w:line="500" w:lineRule="exact"/>
              <w:jc w:val="center"/>
              <w:rPr>
                <w:rFonts w:ascii="宋体" w:cs="宋体"/>
                <w:szCs w:val="21"/>
              </w:rPr>
            </w:pPr>
            <w:r>
              <w:rPr>
                <w:rFonts w:hint="eastAsia" w:ascii="宋体" w:hAnsi="宋体" w:cs="宋体"/>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宋体" w:cs="宋体"/>
                <w:szCs w:val="21"/>
              </w:rPr>
            </w:pPr>
            <w:r>
              <w:rPr>
                <w:rFonts w:ascii="宋体" w:hAnsi="宋体" w:cs="宋体"/>
                <w:szCs w:val="21"/>
              </w:rPr>
              <w:t>1</w:t>
            </w:r>
          </w:p>
        </w:tc>
        <w:tc>
          <w:tcPr>
            <w:tcW w:w="2096" w:type="dxa"/>
          </w:tcPr>
          <w:p>
            <w:pPr>
              <w:spacing w:line="500" w:lineRule="exact"/>
              <w:jc w:val="left"/>
              <w:rPr>
                <w:rFonts w:ascii="宋体" w:cs="宋体"/>
                <w:szCs w:val="21"/>
              </w:rPr>
            </w:pPr>
          </w:p>
        </w:tc>
        <w:tc>
          <w:tcPr>
            <w:tcW w:w="1985" w:type="dxa"/>
          </w:tcPr>
          <w:p>
            <w:pPr>
              <w:spacing w:line="500" w:lineRule="exact"/>
              <w:jc w:val="left"/>
              <w:rPr>
                <w:rFonts w:ascii="宋体" w:cs="宋体"/>
                <w:szCs w:val="21"/>
              </w:rPr>
            </w:pPr>
          </w:p>
        </w:tc>
        <w:tc>
          <w:tcPr>
            <w:tcW w:w="1578" w:type="dxa"/>
          </w:tcPr>
          <w:p>
            <w:pPr>
              <w:spacing w:line="500" w:lineRule="exact"/>
              <w:jc w:val="left"/>
              <w:rPr>
                <w:rFonts w:ascii="宋体" w:cs="宋体"/>
                <w:szCs w:val="21"/>
              </w:rPr>
            </w:pPr>
          </w:p>
        </w:tc>
        <w:tc>
          <w:tcPr>
            <w:tcW w:w="1449" w:type="dxa"/>
          </w:tcPr>
          <w:p>
            <w:pPr>
              <w:spacing w:line="500" w:lineRule="exact"/>
              <w:jc w:val="left"/>
              <w:rPr>
                <w:rFonts w:ascii="宋体" w:cs="宋体"/>
                <w:szCs w:val="21"/>
              </w:rPr>
            </w:pPr>
          </w:p>
        </w:tc>
        <w:tc>
          <w:tcPr>
            <w:tcW w:w="1418" w:type="dxa"/>
            <w:tcBorders>
              <w:right w:val="thickThinSmallGap" w:color="auto" w:sz="12" w:space="0"/>
            </w:tcBorders>
          </w:tcPr>
          <w:p>
            <w:pPr>
              <w:spacing w:line="5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宋体" w:cs="宋体"/>
                <w:szCs w:val="21"/>
              </w:rPr>
            </w:pPr>
            <w:r>
              <w:rPr>
                <w:rFonts w:ascii="宋体" w:hAnsi="宋体" w:cs="宋体"/>
                <w:szCs w:val="21"/>
              </w:rPr>
              <w:t>2</w:t>
            </w:r>
          </w:p>
        </w:tc>
        <w:tc>
          <w:tcPr>
            <w:tcW w:w="2096" w:type="dxa"/>
          </w:tcPr>
          <w:p>
            <w:pPr>
              <w:spacing w:line="500" w:lineRule="exact"/>
              <w:jc w:val="left"/>
              <w:rPr>
                <w:rFonts w:ascii="宋体" w:cs="宋体"/>
                <w:szCs w:val="21"/>
              </w:rPr>
            </w:pPr>
          </w:p>
        </w:tc>
        <w:tc>
          <w:tcPr>
            <w:tcW w:w="1985" w:type="dxa"/>
          </w:tcPr>
          <w:p>
            <w:pPr>
              <w:spacing w:line="500" w:lineRule="exact"/>
              <w:jc w:val="left"/>
              <w:rPr>
                <w:rFonts w:ascii="宋体" w:cs="宋体"/>
                <w:szCs w:val="21"/>
              </w:rPr>
            </w:pPr>
          </w:p>
        </w:tc>
        <w:tc>
          <w:tcPr>
            <w:tcW w:w="1578" w:type="dxa"/>
          </w:tcPr>
          <w:p>
            <w:pPr>
              <w:spacing w:line="500" w:lineRule="exact"/>
              <w:jc w:val="left"/>
              <w:rPr>
                <w:rFonts w:ascii="宋体" w:cs="宋体"/>
                <w:szCs w:val="21"/>
              </w:rPr>
            </w:pPr>
          </w:p>
        </w:tc>
        <w:tc>
          <w:tcPr>
            <w:tcW w:w="1449" w:type="dxa"/>
          </w:tcPr>
          <w:p>
            <w:pPr>
              <w:spacing w:line="500" w:lineRule="exact"/>
              <w:jc w:val="left"/>
              <w:rPr>
                <w:rFonts w:ascii="宋体" w:cs="宋体"/>
                <w:szCs w:val="21"/>
              </w:rPr>
            </w:pPr>
          </w:p>
        </w:tc>
        <w:tc>
          <w:tcPr>
            <w:tcW w:w="1418" w:type="dxa"/>
            <w:tcBorders>
              <w:right w:val="thickThinSmallGap" w:color="auto" w:sz="12" w:space="0"/>
            </w:tcBorders>
          </w:tcPr>
          <w:p>
            <w:pPr>
              <w:spacing w:line="5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宋体" w:cs="宋体"/>
                <w:szCs w:val="21"/>
              </w:rPr>
            </w:pPr>
            <w:r>
              <w:rPr>
                <w:rFonts w:ascii="宋体" w:hAnsi="宋体" w:cs="宋体"/>
                <w:szCs w:val="21"/>
              </w:rPr>
              <w:t>3</w:t>
            </w:r>
          </w:p>
        </w:tc>
        <w:tc>
          <w:tcPr>
            <w:tcW w:w="2096" w:type="dxa"/>
          </w:tcPr>
          <w:p>
            <w:pPr>
              <w:spacing w:line="500" w:lineRule="exact"/>
              <w:jc w:val="left"/>
              <w:rPr>
                <w:rFonts w:ascii="宋体" w:cs="宋体"/>
                <w:szCs w:val="21"/>
              </w:rPr>
            </w:pPr>
          </w:p>
        </w:tc>
        <w:tc>
          <w:tcPr>
            <w:tcW w:w="1985" w:type="dxa"/>
          </w:tcPr>
          <w:p>
            <w:pPr>
              <w:spacing w:line="500" w:lineRule="exact"/>
              <w:jc w:val="left"/>
              <w:rPr>
                <w:rFonts w:ascii="宋体" w:cs="宋体"/>
                <w:szCs w:val="21"/>
              </w:rPr>
            </w:pPr>
          </w:p>
        </w:tc>
        <w:tc>
          <w:tcPr>
            <w:tcW w:w="1578" w:type="dxa"/>
          </w:tcPr>
          <w:p>
            <w:pPr>
              <w:spacing w:line="500" w:lineRule="exact"/>
              <w:jc w:val="left"/>
              <w:rPr>
                <w:rFonts w:ascii="宋体" w:cs="宋体"/>
                <w:szCs w:val="21"/>
              </w:rPr>
            </w:pPr>
          </w:p>
        </w:tc>
        <w:tc>
          <w:tcPr>
            <w:tcW w:w="1449" w:type="dxa"/>
          </w:tcPr>
          <w:p>
            <w:pPr>
              <w:spacing w:line="500" w:lineRule="exact"/>
              <w:jc w:val="left"/>
              <w:rPr>
                <w:rFonts w:ascii="宋体" w:cs="宋体"/>
                <w:szCs w:val="21"/>
              </w:rPr>
            </w:pPr>
          </w:p>
        </w:tc>
        <w:tc>
          <w:tcPr>
            <w:tcW w:w="1418" w:type="dxa"/>
            <w:tcBorders>
              <w:right w:val="thickThinSmallGap" w:color="auto" w:sz="12" w:space="0"/>
            </w:tcBorders>
          </w:tcPr>
          <w:p>
            <w:pPr>
              <w:spacing w:line="5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宋体" w:cs="宋体"/>
                <w:szCs w:val="21"/>
              </w:rPr>
            </w:pPr>
            <w:r>
              <w:rPr>
                <w:rFonts w:hint="eastAsia" w:ascii="宋体" w:hAnsi="宋体" w:cs="宋体"/>
                <w:szCs w:val="21"/>
              </w:rPr>
              <w:t>…</w:t>
            </w:r>
          </w:p>
        </w:tc>
        <w:tc>
          <w:tcPr>
            <w:tcW w:w="2096" w:type="dxa"/>
          </w:tcPr>
          <w:p>
            <w:pPr>
              <w:spacing w:line="500" w:lineRule="exact"/>
              <w:jc w:val="left"/>
              <w:rPr>
                <w:rFonts w:ascii="宋体" w:cs="宋体"/>
                <w:szCs w:val="21"/>
              </w:rPr>
            </w:pPr>
          </w:p>
        </w:tc>
        <w:tc>
          <w:tcPr>
            <w:tcW w:w="1985" w:type="dxa"/>
          </w:tcPr>
          <w:p>
            <w:pPr>
              <w:spacing w:line="500" w:lineRule="exact"/>
              <w:jc w:val="left"/>
              <w:rPr>
                <w:rFonts w:ascii="宋体" w:cs="宋体"/>
                <w:szCs w:val="21"/>
              </w:rPr>
            </w:pPr>
          </w:p>
        </w:tc>
        <w:tc>
          <w:tcPr>
            <w:tcW w:w="1578" w:type="dxa"/>
          </w:tcPr>
          <w:p>
            <w:pPr>
              <w:spacing w:line="500" w:lineRule="exact"/>
              <w:jc w:val="left"/>
              <w:rPr>
                <w:rFonts w:ascii="宋体" w:cs="宋体"/>
                <w:szCs w:val="21"/>
              </w:rPr>
            </w:pPr>
          </w:p>
        </w:tc>
        <w:tc>
          <w:tcPr>
            <w:tcW w:w="1449" w:type="dxa"/>
          </w:tcPr>
          <w:p>
            <w:pPr>
              <w:spacing w:line="500" w:lineRule="exact"/>
              <w:jc w:val="left"/>
              <w:rPr>
                <w:rFonts w:ascii="宋体" w:cs="宋体"/>
                <w:szCs w:val="21"/>
              </w:rPr>
            </w:pPr>
          </w:p>
        </w:tc>
        <w:tc>
          <w:tcPr>
            <w:tcW w:w="1418" w:type="dxa"/>
            <w:tcBorders>
              <w:right w:val="thickThinSmallGap" w:color="auto" w:sz="12" w:space="0"/>
            </w:tcBorders>
          </w:tcPr>
          <w:p>
            <w:pPr>
              <w:spacing w:line="5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宋体" w:cs="宋体"/>
                <w:szCs w:val="21"/>
              </w:rPr>
            </w:pPr>
          </w:p>
        </w:tc>
        <w:tc>
          <w:tcPr>
            <w:tcW w:w="2096" w:type="dxa"/>
          </w:tcPr>
          <w:p>
            <w:pPr>
              <w:spacing w:line="500" w:lineRule="exact"/>
              <w:jc w:val="left"/>
              <w:rPr>
                <w:rFonts w:ascii="宋体" w:cs="宋体"/>
                <w:szCs w:val="21"/>
              </w:rPr>
            </w:pPr>
          </w:p>
        </w:tc>
        <w:tc>
          <w:tcPr>
            <w:tcW w:w="1985" w:type="dxa"/>
          </w:tcPr>
          <w:p>
            <w:pPr>
              <w:spacing w:line="500" w:lineRule="exact"/>
              <w:jc w:val="left"/>
              <w:rPr>
                <w:rFonts w:ascii="宋体" w:cs="宋体"/>
                <w:szCs w:val="21"/>
              </w:rPr>
            </w:pPr>
          </w:p>
        </w:tc>
        <w:tc>
          <w:tcPr>
            <w:tcW w:w="1578" w:type="dxa"/>
          </w:tcPr>
          <w:p>
            <w:pPr>
              <w:spacing w:line="500" w:lineRule="exact"/>
              <w:jc w:val="left"/>
              <w:rPr>
                <w:rFonts w:ascii="宋体" w:cs="宋体"/>
                <w:szCs w:val="21"/>
              </w:rPr>
            </w:pPr>
          </w:p>
        </w:tc>
        <w:tc>
          <w:tcPr>
            <w:tcW w:w="1449" w:type="dxa"/>
          </w:tcPr>
          <w:p>
            <w:pPr>
              <w:spacing w:line="500" w:lineRule="exact"/>
              <w:jc w:val="left"/>
              <w:rPr>
                <w:rFonts w:ascii="宋体" w:cs="宋体"/>
                <w:szCs w:val="21"/>
              </w:rPr>
            </w:pPr>
          </w:p>
        </w:tc>
        <w:tc>
          <w:tcPr>
            <w:tcW w:w="1418" w:type="dxa"/>
            <w:tcBorders>
              <w:right w:val="thickThinSmallGap" w:color="auto" w:sz="12" w:space="0"/>
            </w:tcBorders>
          </w:tcPr>
          <w:p>
            <w:pPr>
              <w:spacing w:line="5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宋体" w:cs="宋体"/>
                <w:szCs w:val="21"/>
              </w:rPr>
            </w:pPr>
          </w:p>
        </w:tc>
        <w:tc>
          <w:tcPr>
            <w:tcW w:w="2096" w:type="dxa"/>
          </w:tcPr>
          <w:p>
            <w:pPr>
              <w:spacing w:line="500" w:lineRule="exact"/>
              <w:jc w:val="left"/>
              <w:rPr>
                <w:rFonts w:ascii="宋体" w:cs="宋体"/>
                <w:szCs w:val="21"/>
              </w:rPr>
            </w:pPr>
          </w:p>
        </w:tc>
        <w:tc>
          <w:tcPr>
            <w:tcW w:w="1985" w:type="dxa"/>
          </w:tcPr>
          <w:p>
            <w:pPr>
              <w:spacing w:line="500" w:lineRule="exact"/>
              <w:jc w:val="left"/>
              <w:rPr>
                <w:rFonts w:ascii="宋体" w:cs="宋体"/>
                <w:szCs w:val="21"/>
              </w:rPr>
            </w:pPr>
          </w:p>
        </w:tc>
        <w:tc>
          <w:tcPr>
            <w:tcW w:w="1578" w:type="dxa"/>
          </w:tcPr>
          <w:p>
            <w:pPr>
              <w:spacing w:line="500" w:lineRule="exact"/>
              <w:jc w:val="left"/>
              <w:rPr>
                <w:rFonts w:ascii="宋体" w:cs="宋体"/>
                <w:szCs w:val="21"/>
              </w:rPr>
            </w:pPr>
          </w:p>
        </w:tc>
        <w:tc>
          <w:tcPr>
            <w:tcW w:w="1449" w:type="dxa"/>
          </w:tcPr>
          <w:p>
            <w:pPr>
              <w:spacing w:line="500" w:lineRule="exact"/>
              <w:jc w:val="left"/>
              <w:rPr>
                <w:rFonts w:ascii="宋体" w:cs="宋体"/>
                <w:szCs w:val="21"/>
              </w:rPr>
            </w:pPr>
          </w:p>
        </w:tc>
        <w:tc>
          <w:tcPr>
            <w:tcW w:w="1418" w:type="dxa"/>
            <w:tcBorders>
              <w:right w:val="thickThinSmallGap" w:color="auto" w:sz="12" w:space="0"/>
            </w:tcBorders>
          </w:tcPr>
          <w:p>
            <w:pPr>
              <w:spacing w:line="5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宋体" w:cs="宋体"/>
                <w:szCs w:val="21"/>
              </w:rPr>
            </w:pPr>
          </w:p>
        </w:tc>
        <w:tc>
          <w:tcPr>
            <w:tcW w:w="2096" w:type="dxa"/>
          </w:tcPr>
          <w:p>
            <w:pPr>
              <w:spacing w:line="500" w:lineRule="exact"/>
              <w:jc w:val="left"/>
              <w:rPr>
                <w:rFonts w:ascii="宋体" w:cs="宋体"/>
                <w:szCs w:val="21"/>
              </w:rPr>
            </w:pPr>
          </w:p>
        </w:tc>
        <w:tc>
          <w:tcPr>
            <w:tcW w:w="1985" w:type="dxa"/>
          </w:tcPr>
          <w:p>
            <w:pPr>
              <w:spacing w:line="500" w:lineRule="exact"/>
              <w:jc w:val="left"/>
              <w:rPr>
                <w:rFonts w:ascii="宋体" w:cs="宋体"/>
                <w:szCs w:val="21"/>
              </w:rPr>
            </w:pPr>
          </w:p>
        </w:tc>
        <w:tc>
          <w:tcPr>
            <w:tcW w:w="1578" w:type="dxa"/>
          </w:tcPr>
          <w:p>
            <w:pPr>
              <w:spacing w:line="500" w:lineRule="exact"/>
              <w:jc w:val="left"/>
              <w:rPr>
                <w:rFonts w:ascii="宋体" w:cs="宋体"/>
                <w:szCs w:val="21"/>
              </w:rPr>
            </w:pPr>
          </w:p>
        </w:tc>
        <w:tc>
          <w:tcPr>
            <w:tcW w:w="1449" w:type="dxa"/>
          </w:tcPr>
          <w:p>
            <w:pPr>
              <w:spacing w:line="500" w:lineRule="exact"/>
              <w:jc w:val="left"/>
              <w:rPr>
                <w:rFonts w:ascii="宋体" w:cs="宋体"/>
                <w:szCs w:val="21"/>
              </w:rPr>
            </w:pPr>
          </w:p>
        </w:tc>
        <w:tc>
          <w:tcPr>
            <w:tcW w:w="1418" w:type="dxa"/>
            <w:tcBorders>
              <w:right w:val="thickThinSmallGap" w:color="auto" w:sz="12" w:space="0"/>
            </w:tcBorders>
          </w:tcPr>
          <w:p>
            <w:pPr>
              <w:spacing w:line="5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宋体" w:cs="宋体"/>
                <w:szCs w:val="21"/>
              </w:rPr>
            </w:pPr>
          </w:p>
        </w:tc>
        <w:tc>
          <w:tcPr>
            <w:tcW w:w="2096" w:type="dxa"/>
          </w:tcPr>
          <w:p>
            <w:pPr>
              <w:spacing w:line="500" w:lineRule="exact"/>
              <w:jc w:val="left"/>
              <w:rPr>
                <w:rFonts w:ascii="宋体" w:cs="宋体"/>
                <w:szCs w:val="21"/>
              </w:rPr>
            </w:pPr>
          </w:p>
        </w:tc>
        <w:tc>
          <w:tcPr>
            <w:tcW w:w="1985" w:type="dxa"/>
          </w:tcPr>
          <w:p>
            <w:pPr>
              <w:spacing w:line="500" w:lineRule="exact"/>
              <w:jc w:val="left"/>
              <w:rPr>
                <w:rFonts w:ascii="宋体" w:cs="宋体"/>
                <w:szCs w:val="21"/>
              </w:rPr>
            </w:pPr>
          </w:p>
        </w:tc>
        <w:tc>
          <w:tcPr>
            <w:tcW w:w="1578" w:type="dxa"/>
          </w:tcPr>
          <w:p>
            <w:pPr>
              <w:spacing w:line="500" w:lineRule="exact"/>
              <w:jc w:val="left"/>
              <w:rPr>
                <w:rFonts w:ascii="宋体" w:cs="宋体"/>
                <w:szCs w:val="21"/>
              </w:rPr>
            </w:pPr>
          </w:p>
        </w:tc>
        <w:tc>
          <w:tcPr>
            <w:tcW w:w="1449" w:type="dxa"/>
          </w:tcPr>
          <w:p>
            <w:pPr>
              <w:spacing w:line="500" w:lineRule="exact"/>
              <w:jc w:val="left"/>
              <w:rPr>
                <w:rFonts w:ascii="宋体" w:cs="宋体"/>
                <w:szCs w:val="21"/>
              </w:rPr>
            </w:pPr>
          </w:p>
        </w:tc>
        <w:tc>
          <w:tcPr>
            <w:tcW w:w="1418" w:type="dxa"/>
            <w:tcBorders>
              <w:right w:val="thickThinSmallGap" w:color="auto" w:sz="12" w:space="0"/>
            </w:tcBorders>
          </w:tcPr>
          <w:p>
            <w:pPr>
              <w:spacing w:line="5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宋体" w:cs="宋体"/>
                <w:szCs w:val="21"/>
              </w:rPr>
            </w:pPr>
          </w:p>
        </w:tc>
        <w:tc>
          <w:tcPr>
            <w:tcW w:w="2096" w:type="dxa"/>
          </w:tcPr>
          <w:p>
            <w:pPr>
              <w:spacing w:line="500" w:lineRule="exact"/>
              <w:jc w:val="left"/>
              <w:rPr>
                <w:rFonts w:ascii="宋体" w:cs="宋体"/>
                <w:szCs w:val="21"/>
              </w:rPr>
            </w:pPr>
          </w:p>
        </w:tc>
        <w:tc>
          <w:tcPr>
            <w:tcW w:w="1985" w:type="dxa"/>
          </w:tcPr>
          <w:p>
            <w:pPr>
              <w:spacing w:line="500" w:lineRule="exact"/>
              <w:jc w:val="left"/>
              <w:rPr>
                <w:rFonts w:ascii="宋体" w:cs="宋体"/>
                <w:szCs w:val="21"/>
              </w:rPr>
            </w:pPr>
          </w:p>
        </w:tc>
        <w:tc>
          <w:tcPr>
            <w:tcW w:w="1578" w:type="dxa"/>
          </w:tcPr>
          <w:p>
            <w:pPr>
              <w:spacing w:line="500" w:lineRule="exact"/>
              <w:jc w:val="left"/>
              <w:rPr>
                <w:rFonts w:ascii="宋体" w:cs="宋体"/>
                <w:szCs w:val="21"/>
              </w:rPr>
            </w:pPr>
          </w:p>
        </w:tc>
        <w:tc>
          <w:tcPr>
            <w:tcW w:w="1449" w:type="dxa"/>
          </w:tcPr>
          <w:p>
            <w:pPr>
              <w:spacing w:line="500" w:lineRule="exact"/>
              <w:jc w:val="left"/>
              <w:rPr>
                <w:rFonts w:ascii="宋体" w:cs="宋体"/>
                <w:szCs w:val="21"/>
              </w:rPr>
            </w:pPr>
          </w:p>
        </w:tc>
        <w:tc>
          <w:tcPr>
            <w:tcW w:w="1418" w:type="dxa"/>
            <w:tcBorders>
              <w:right w:val="thickThinSmallGap" w:color="auto" w:sz="12" w:space="0"/>
            </w:tcBorders>
          </w:tcPr>
          <w:p>
            <w:pPr>
              <w:spacing w:line="5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宋体" w:cs="宋体"/>
                <w:szCs w:val="21"/>
              </w:rPr>
            </w:pPr>
          </w:p>
        </w:tc>
        <w:tc>
          <w:tcPr>
            <w:tcW w:w="2096" w:type="dxa"/>
          </w:tcPr>
          <w:p>
            <w:pPr>
              <w:spacing w:line="500" w:lineRule="exact"/>
              <w:jc w:val="left"/>
              <w:rPr>
                <w:rFonts w:ascii="宋体" w:cs="宋体"/>
                <w:szCs w:val="21"/>
              </w:rPr>
            </w:pPr>
          </w:p>
        </w:tc>
        <w:tc>
          <w:tcPr>
            <w:tcW w:w="1985" w:type="dxa"/>
          </w:tcPr>
          <w:p>
            <w:pPr>
              <w:spacing w:line="500" w:lineRule="exact"/>
              <w:jc w:val="left"/>
              <w:rPr>
                <w:rFonts w:ascii="宋体" w:cs="宋体"/>
                <w:szCs w:val="21"/>
              </w:rPr>
            </w:pPr>
          </w:p>
        </w:tc>
        <w:tc>
          <w:tcPr>
            <w:tcW w:w="1578" w:type="dxa"/>
          </w:tcPr>
          <w:p>
            <w:pPr>
              <w:spacing w:line="500" w:lineRule="exact"/>
              <w:jc w:val="left"/>
              <w:rPr>
                <w:rFonts w:ascii="宋体" w:cs="宋体"/>
                <w:szCs w:val="21"/>
              </w:rPr>
            </w:pPr>
          </w:p>
        </w:tc>
        <w:tc>
          <w:tcPr>
            <w:tcW w:w="1449" w:type="dxa"/>
          </w:tcPr>
          <w:p>
            <w:pPr>
              <w:spacing w:line="500" w:lineRule="exact"/>
              <w:jc w:val="left"/>
              <w:rPr>
                <w:rFonts w:ascii="宋体" w:cs="宋体"/>
                <w:szCs w:val="21"/>
              </w:rPr>
            </w:pPr>
          </w:p>
        </w:tc>
        <w:tc>
          <w:tcPr>
            <w:tcW w:w="1418" w:type="dxa"/>
            <w:tcBorders>
              <w:right w:val="thickThinSmallGap" w:color="auto" w:sz="12" w:space="0"/>
            </w:tcBorders>
          </w:tcPr>
          <w:p>
            <w:pPr>
              <w:spacing w:line="50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ckThinSmallGap" w:color="auto" w:sz="12" w:space="0"/>
            </w:tcBorders>
          </w:tcPr>
          <w:p>
            <w:pPr>
              <w:spacing w:line="500" w:lineRule="exact"/>
              <w:jc w:val="center"/>
              <w:rPr>
                <w:rFonts w:ascii="宋体" w:cs="宋体"/>
                <w:szCs w:val="21"/>
              </w:rPr>
            </w:pPr>
          </w:p>
        </w:tc>
        <w:tc>
          <w:tcPr>
            <w:tcW w:w="2096" w:type="dxa"/>
            <w:tcBorders>
              <w:bottom w:val="thickThinSmallGap" w:color="auto" w:sz="12" w:space="0"/>
            </w:tcBorders>
          </w:tcPr>
          <w:p>
            <w:pPr>
              <w:spacing w:line="500" w:lineRule="exact"/>
              <w:jc w:val="left"/>
              <w:rPr>
                <w:rFonts w:ascii="宋体" w:cs="宋体"/>
                <w:szCs w:val="21"/>
              </w:rPr>
            </w:pPr>
          </w:p>
        </w:tc>
        <w:tc>
          <w:tcPr>
            <w:tcW w:w="1985" w:type="dxa"/>
            <w:tcBorders>
              <w:bottom w:val="thickThinSmallGap" w:color="auto" w:sz="12" w:space="0"/>
            </w:tcBorders>
          </w:tcPr>
          <w:p>
            <w:pPr>
              <w:spacing w:line="500" w:lineRule="exact"/>
              <w:jc w:val="left"/>
              <w:rPr>
                <w:rFonts w:ascii="宋体" w:cs="宋体"/>
                <w:szCs w:val="21"/>
              </w:rPr>
            </w:pPr>
          </w:p>
        </w:tc>
        <w:tc>
          <w:tcPr>
            <w:tcW w:w="1578" w:type="dxa"/>
            <w:tcBorders>
              <w:bottom w:val="thickThinSmallGap" w:color="auto" w:sz="12" w:space="0"/>
            </w:tcBorders>
          </w:tcPr>
          <w:p>
            <w:pPr>
              <w:spacing w:line="500" w:lineRule="exact"/>
              <w:jc w:val="left"/>
              <w:rPr>
                <w:rFonts w:ascii="宋体" w:cs="宋体"/>
                <w:szCs w:val="21"/>
              </w:rPr>
            </w:pPr>
          </w:p>
        </w:tc>
        <w:tc>
          <w:tcPr>
            <w:tcW w:w="1449" w:type="dxa"/>
            <w:tcBorders>
              <w:bottom w:val="thickThinSmallGap" w:color="auto" w:sz="12" w:space="0"/>
            </w:tcBorders>
          </w:tcPr>
          <w:p>
            <w:pPr>
              <w:spacing w:line="500" w:lineRule="exact"/>
              <w:jc w:val="left"/>
              <w:rPr>
                <w:rFonts w:ascii="宋体" w:cs="宋体"/>
                <w:szCs w:val="21"/>
              </w:rPr>
            </w:pPr>
          </w:p>
        </w:tc>
        <w:tc>
          <w:tcPr>
            <w:tcW w:w="1418" w:type="dxa"/>
            <w:tcBorders>
              <w:bottom w:val="thickThinSmallGap" w:color="auto" w:sz="12" w:space="0"/>
              <w:right w:val="thickThinSmallGap" w:color="auto" w:sz="12" w:space="0"/>
            </w:tcBorders>
          </w:tcPr>
          <w:p>
            <w:pPr>
              <w:spacing w:line="500" w:lineRule="exact"/>
              <w:jc w:val="left"/>
              <w:rPr>
                <w:rFonts w:ascii="宋体" w:cs="宋体"/>
                <w:szCs w:val="21"/>
              </w:rPr>
            </w:pPr>
          </w:p>
        </w:tc>
      </w:tr>
    </w:tbl>
    <w:p>
      <w:pPr>
        <w:spacing w:line="500" w:lineRule="exact"/>
        <w:ind w:firstLine="420" w:firstLineChars="200"/>
        <w:rPr>
          <w:rFonts w:ascii="宋体" w:cs="宋体"/>
          <w:szCs w:val="21"/>
        </w:rPr>
      </w:pPr>
      <w:r>
        <w:rPr>
          <w:rFonts w:hint="eastAsia" w:ascii="宋体" w:hAnsi="宋体" w:cs="宋体"/>
          <w:szCs w:val="21"/>
        </w:rPr>
        <w:t>注：供应商递交的技术规格书中与招标文件的技术规格书中的要求有不同时，应逐条列在技术偏离表中并作出“正偏离</w:t>
      </w:r>
      <w:r>
        <w:rPr>
          <w:rFonts w:ascii="宋体" w:hAnsi="宋体" w:cs="宋体"/>
          <w:szCs w:val="21"/>
        </w:rPr>
        <w:t>/</w:t>
      </w:r>
      <w:r>
        <w:rPr>
          <w:rFonts w:hint="eastAsia" w:ascii="宋体" w:hAnsi="宋体" w:cs="宋体"/>
          <w:szCs w:val="21"/>
        </w:rPr>
        <w:t>负偏离”，同时在说明栏目中具体说明及填写页码，否则将认为供应商接受招标文件的要求。</w:t>
      </w:r>
    </w:p>
    <w:p>
      <w:pPr>
        <w:adjustRightInd w:val="0"/>
        <w:snapToGrid w:val="0"/>
        <w:spacing w:line="500" w:lineRule="exact"/>
        <w:jc w:val="left"/>
        <w:rPr>
          <w:rFonts w:ascii="宋体" w:cs="宋体"/>
          <w:szCs w:val="21"/>
        </w:rPr>
      </w:pPr>
    </w:p>
    <w:p>
      <w:pPr>
        <w:adjustRightInd w:val="0"/>
        <w:snapToGrid w:val="0"/>
        <w:spacing w:line="500" w:lineRule="exact"/>
        <w:ind w:left="482" w:hanging="482"/>
        <w:jc w:val="left"/>
        <w:rPr>
          <w:rFonts w:ascii="宋体" w:cs="宋体"/>
          <w:szCs w:val="21"/>
        </w:rPr>
      </w:pPr>
      <w:r>
        <w:rPr>
          <w:rFonts w:hint="eastAsia" w:ascii="宋体" w:hAnsi="宋体" w:cs="宋体"/>
          <w:szCs w:val="21"/>
        </w:rPr>
        <w:t>供应商（盖章）：</w:t>
      </w:r>
    </w:p>
    <w:p>
      <w:pPr>
        <w:adjustRightInd w:val="0"/>
        <w:snapToGrid w:val="0"/>
        <w:spacing w:line="500" w:lineRule="exact"/>
        <w:ind w:left="482" w:hanging="482"/>
        <w:jc w:val="left"/>
        <w:rPr>
          <w:rFonts w:ascii="宋体" w:cs="宋体"/>
          <w:szCs w:val="21"/>
        </w:rPr>
      </w:pPr>
      <w:r>
        <w:rPr>
          <w:rFonts w:hint="eastAsia" w:ascii="宋体" w:hAnsi="宋体" w:cs="宋体"/>
          <w:szCs w:val="21"/>
        </w:rPr>
        <w:t>法定代表人或其授权代表人（签字或盖章）：</w:t>
      </w:r>
    </w:p>
    <w:p>
      <w:pPr>
        <w:spacing w:line="600" w:lineRule="exact"/>
        <w:rPr>
          <w:rFonts w:ascii="宋体" w:cs="宋体"/>
          <w:szCs w:val="21"/>
        </w:rPr>
      </w:pPr>
      <w:r>
        <w:rPr>
          <w:rFonts w:hint="eastAsia" w:ascii="宋体" w:hAnsi="宋体" w:cs="宋体"/>
          <w:szCs w:val="21"/>
        </w:rPr>
        <w:t>日期：</w:t>
      </w:r>
    </w:p>
    <w:p>
      <w:pPr>
        <w:pStyle w:val="251"/>
        <w:spacing w:line="312" w:lineRule="auto"/>
        <w:ind w:firstLine="0" w:firstLineChars="0"/>
        <w:jc w:val="center"/>
        <w:rPr>
          <w:rFonts w:ascii="宋体" w:eastAsia="宋体" w:cs="宋体"/>
          <w:sz w:val="21"/>
          <w:szCs w:val="21"/>
        </w:rPr>
      </w:pPr>
    </w:p>
    <w:p>
      <w:pPr>
        <w:pStyle w:val="251"/>
        <w:spacing w:line="312" w:lineRule="auto"/>
        <w:ind w:firstLine="0" w:firstLineChars="0"/>
        <w:jc w:val="center"/>
        <w:rPr>
          <w:rFonts w:ascii="宋体" w:eastAsia="宋体" w:cs="宋体"/>
          <w:sz w:val="21"/>
          <w:szCs w:val="21"/>
        </w:rPr>
      </w:pPr>
    </w:p>
    <w:p>
      <w:pPr>
        <w:pStyle w:val="251"/>
        <w:spacing w:line="312" w:lineRule="auto"/>
        <w:ind w:firstLine="0" w:firstLineChars="0"/>
        <w:jc w:val="center"/>
        <w:rPr>
          <w:rFonts w:ascii="宋体" w:eastAsia="宋体" w:cs="宋体"/>
          <w:sz w:val="21"/>
          <w:szCs w:val="21"/>
        </w:rPr>
      </w:pPr>
    </w:p>
    <w:p>
      <w:pPr>
        <w:pStyle w:val="251"/>
        <w:spacing w:line="312" w:lineRule="auto"/>
        <w:ind w:firstLine="0" w:firstLineChars="0"/>
        <w:jc w:val="center"/>
        <w:rPr>
          <w:rFonts w:ascii="宋体" w:eastAsia="宋体" w:cs="宋体"/>
          <w:sz w:val="21"/>
          <w:szCs w:val="21"/>
        </w:rPr>
      </w:pPr>
    </w:p>
    <w:p>
      <w:pPr>
        <w:pStyle w:val="251"/>
        <w:spacing w:line="312" w:lineRule="auto"/>
        <w:ind w:firstLine="0" w:firstLineChars="0"/>
        <w:jc w:val="center"/>
        <w:rPr>
          <w:rFonts w:ascii="宋体" w:eastAsia="宋体" w:cs="宋体"/>
          <w:b/>
          <w:bCs/>
          <w:sz w:val="21"/>
          <w:szCs w:val="21"/>
        </w:rPr>
      </w:pPr>
    </w:p>
    <w:p>
      <w:pPr>
        <w:pStyle w:val="251"/>
        <w:spacing w:line="312" w:lineRule="auto"/>
        <w:ind w:firstLine="0" w:firstLineChars="0"/>
        <w:jc w:val="center"/>
        <w:rPr>
          <w:rFonts w:ascii="宋体" w:eastAsia="宋体" w:cs="宋体"/>
          <w:b/>
          <w:bCs/>
          <w:sz w:val="21"/>
          <w:szCs w:val="21"/>
        </w:rPr>
      </w:pPr>
    </w:p>
    <w:p>
      <w:pPr>
        <w:pStyle w:val="251"/>
        <w:spacing w:line="312" w:lineRule="auto"/>
        <w:ind w:firstLine="0" w:firstLineChars="0"/>
        <w:rPr>
          <w:rFonts w:ascii="宋体" w:eastAsia="宋体" w:cs="宋体"/>
          <w:sz w:val="21"/>
          <w:szCs w:val="21"/>
        </w:rPr>
      </w:pPr>
      <w:bookmarkStart w:id="136" w:name="_Toc15630533"/>
    </w:p>
    <w:p>
      <w:pPr>
        <w:pStyle w:val="251"/>
        <w:spacing w:line="312" w:lineRule="auto"/>
        <w:ind w:firstLine="0" w:firstLineChars="0"/>
        <w:jc w:val="center"/>
        <w:rPr>
          <w:rFonts w:ascii="宋体" w:eastAsia="宋体" w:cs="宋体"/>
          <w:b/>
          <w:bCs/>
          <w:sz w:val="21"/>
          <w:szCs w:val="21"/>
        </w:rPr>
      </w:pPr>
      <w:r>
        <w:rPr>
          <w:rFonts w:ascii="宋体" w:eastAsia="宋体" w:cs="宋体"/>
          <w:b/>
          <w:bCs/>
          <w:sz w:val="21"/>
          <w:szCs w:val="21"/>
        </w:rPr>
        <w:t xml:space="preserve">3 </w:t>
      </w:r>
      <w:r>
        <w:rPr>
          <w:rFonts w:hint="eastAsia" w:ascii="宋体" w:eastAsia="宋体" w:cs="宋体"/>
          <w:b/>
          <w:bCs/>
          <w:sz w:val="21"/>
          <w:szCs w:val="21"/>
        </w:rPr>
        <w:t>投标廉洁承诺书</w:t>
      </w:r>
      <w:bookmarkEnd w:id="136"/>
    </w:p>
    <w:p>
      <w:pPr>
        <w:adjustRightInd w:val="0"/>
        <w:snapToGrid w:val="0"/>
        <w:spacing w:line="312" w:lineRule="auto"/>
        <w:ind w:firstLine="420" w:firstLineChars="200"/>
        <w:rPr>
          <w:rFonts w:ascii="宋体" w:cs="宋体"/>
          <w:szCs w:val="21"/>
        </w:rPr>
      </w:pPr>
      <w:r>
        <w:rPr>
          <w:rFonts w:hint="eastAsia" w:ascii="宋体" w:hAnsi="宋体" w:cs="宋体"/>
          <w:szCs w:val="21"/>
        </w:rPr>
        <w:t>为维护市场公平竞争，营造诚实守信的招投标交易环境，防止发生违法违纪行为，根据国家有关法律法规和廉政建设责任制有关规定，本投标人特作如下承诺：</w:t>
      </w:r>
    </w:p>
    <w:p>
      <w:pPr>
        <w:adjustRightInd w:val="0"/>
        <w:snapToGrid w:val="0"/>
        <w:spacing w:line="312" w:lineRule="auto"/>
        <w:ind w:firstLine="420" w:firstLineChars="200"/>
        <w:rPr>
          <w:rFonts w:ascii="宋体" w:cs="宋体"/>
          <w:szCs w:val="21"/>
        </w:rPr>
      </w:pPr>
      <w:r>
        <w:rPr>
          <w:rFonts w:ascii="宋体" w:hAnsi="宋体" w:cs="宋体"/>
          <w:szCs w:val="21"/>
        </w:rPr>
        <w:t>1</w:t>
      </w:r>
      <w:r>
        <w:rPr>
          <w:rFonts w:hint="eastAsia" w:ascii="宋体" w:hAnsi="宋体" w:cs="宋体"/>
          <w:szCs w:val="21"/>
        </w:rPr>
        <w:t>．不向采购人、采购代理机构及其他投标人行贿，串通一气搞假投标、陪标、围标、串标。</w:t>
      </w:r>
    </w:p>
    <w:p>
      <w:pPr>
        <w:adjustRightInd w:val="0"/>
        <w:snapToGrid w:val="0"/>
        <w:spacing w:line="312"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．不向评标专家行贿，以不正当手段谋取中标。</w:t>
      </w:r>
    </w:p>
    <w:p>
      <w:pPr>
        <w:adjustRightInd w:val="0"/>
        <w:snapToGrid w:val="0"/>
        <w:spacing w:line="312" w:lineRule="auto"/>
        <w:ind w:firstLine="420" w:firstLineChars="200"/>
        <w:rPr>
          <w:rFonts w:ascii="宋体" w:cs="宋体"/>
          <w:szCs w:val="21"/>
        </w:rPr>
      </w:pPr>
      <w:r>
        <w:rPr>
          <w:rFonts w:ascii="宋体" w:hAnsi="宋体" w:cs="宋体"/>
          <w:szCs w:val="21"/>
        </w:rPr>
        <w:t>3</w:t>
      </w:r>
      <w:r>
        <w:rPr>
          <w:rFonts w:hint="eastAsia" w:ascii="宋体" w:hAnsi="宋体" w:cs="宋体"/>
          <w:szCs w:val="21"/>
        </w:rPr>
        <w:t>．不向招标投标监管人员请客、送礼及组织其它有可能影响客观公正监管的活动。</w:t>
      </w:r>
    </w:p>
    <w:p>
      <w:pPr>
        <w:adjustRightInd w:val="0"/>
        <w:snapToGrid w:val="0"/>
        <w:spacing w:line="312" w:lineRule="auto"/>
        <w:ind w:firstLine="420" w:firstLineChars="200"/>
        <w:rPr>
          <w:rFonts w:ascii="宋体" w:cs="宋体"/>
          <w:szCs w:val="21"/>
        </w:rPr>
      </w:pPr>
      <w:r>
        <w:rPr>
          <w:rFonts w:ascii="宋体" w:hAnsi="宋体" w:cs="宋体"/>
          <w:szCs w:val="21"/>
        </w:rPr>
        <w:t>4</w:t>
      </w:r>
      <w:r>
        <w:rPr>
          <w:rFonts w:hint="eastAsia" w:ascii="宋体" w:hAnsi="宋体" w:cs="宋体"/>
          <w:szCs w:val="21"/>
        </w:rPr>
        <w:t>．不提供虚假材料谋取中标。在资格预审材料中，主动提供近两年信用档案情况，包括有无不良行为记录和公示期限证明。</w:t>
      </w:r>
    </w:p>
    <w:p>
      <w:pPr>
        <w:adjustRightInd w:val="0"/>
        <w:snapToGrid w:val="0"/>
        <w:spacing w:line="312" w:lineRule="auto"/>
        <w:ind w:firstLine="420" w:firstLineChars="200"/>
        <w:rPr>
          <w:rFonts w:ascii="宋体" w:cs="宋体"/>
          <w:szCs w:val="21"/>
        </w:rPr>
      </w:pPr>
      <w:r>
        <w:rPr>
          <w:rFonts w:hint="eastAsia" w:ascii="宋体" w:hAnsi="宋体" w:cs="宋体"/>
          <w:szCs w:val="21"/>
        </w:rPr>
        <w:t>在本次投标过程中，本投标人将严格遵守各项廉政制度，如出现违反行为，本投标人自愿承担相关责任，接受招标投标监督管理部门、纪检监察机关或司法机关的调查处理。</w:t>
      </w:r>
    </w:p>
    <w:p>
      <w:pPr>
        <w:adjustRightInd w:val="0"/>
        <w:snapToGrid w:val="0"/>
        <w:spacing w:line="312" w:lineRule="auto"/>
        <w:ind w:firstLine="420" w:firstLineChars="200"/>
        <w:rPr>
          <w:rFonts w:ascii="宋体" w:cs="宋体"/>
          <w:szCs w:val="21"/>
        </w:rPr>
      </w:pPr>
      <w:r>
        <w:rPr>
          <w:rFonts w:ascii="宋体" w:cs="宋体"/>
          <w:szCs w:val="21"/>
        </w:rPr>
        <w:t> </w:t>
      </w:r>
    </w:p>
    <w:p>
      <w:pPr>
        <w:adjustRightInd w:val="0"/>
        <w:snapToGrid w:val="0"/>
        <w:spacing w:line="312" w:lineRule="auto"/>
        <w:ind w:left="482" w:hanging="482"/>
        <w:jc w:val="left"/>
        <w:rPr>
          <w:rFonts w:ascii="宋体" w:cs="宋体"/>
          <w:szCs w:val="21"/>
        </w:rPr>
      </w:pPr>
      <w:r>
        <w:rPr>
          <w:rFonts w:hint="eastAsia" w:ascii="宋体" w:hAnsi="宋体" w:cs="宋体"/>
          <w:szCs w:val="21"/>
        </w:rPr>
        <w:t>投标人（盖章）：</w:t>
      </w:r>
    </w:p>
    <w:p>
      <w:pPr>
        <w:adjustRightInd w:val="0"/>
        <w:snapToGrid w:val="0"/>
        <w:spacing w:line="312" w:lineRule="auto"/>
        <w:ind w:left="482" w:hanging="482"/>
        <w:jc w:val="left"/>
        <w:rPr>
          <w:rFonts w:ascii="宋体" w:cs="宋体"/>
          <w:szCs w:val="21"/>
        </w:rPr>
      </w:pPr>
      <w:r>
        <w:rPr>
          <w:rFonts w:hint="eastAsia" w:ascii="宋体" w:hAnsi="宋体" w:cs="宋体"/>
          <w:szCs w:val="21"/>
        </w:rPr>
        <w:t>法定代表人或授权代表人（签字或盖章）：</w:t>
      </w:r>
    </w:p>
    <w:p>
      <w:pPr>
        <w:adjustRightInd w:val="0"/>
        <w:snapToGrid w:val="0"/>
        <w:spacing w:line="312" w:lineRule="auto"/>
        <w:rPr>
          <w:rFonts w:ascii="宋体" w:cs="宋体"/>
          <w:szCs w:val="21"/>
        </w:rPr>
      </w:pPr>
      <w:r>
        <w:rPr>
          <w:rFonts w:hint="eastAsia" w:ascii="宋体" w:hAnsi="宋体" w:cs="宋体"/>
          <w:szCs w:val="21"/>
        </w:rPr>
        <w:t>本次投标项目：</w:t>
      </w:r>
    </w:p>
    <w:p>
      <w:pPr>
        <w:adjustRightInd w:val="0"/>
        <w:snapToGrid w:val="0"/>
        <w:spacing w:line="312" w:lineRule="auto"/>
        <w:rPr>
          <w:rFonts w:ascii="宋体" w:cs="宋体"/>
          <w:szCs w:val="21"/>
        </w:rPr>
      </w:pPr>
      <w:r>
        <w:rPr>
          <w:rFonts w:hint="eastAsia" w:ascii="宋体" w:hAnsi="宋体" w:cs="宋体"/>
          <w:szCs w:val="21"/>
        </w:rPr>
        <w:t>日期：</w:t>
      </w:r>
    </w:p>
    <w:p>
      <w:pPr>
        <w:snapToGrid w:val="0"/>
        <w:spacing w:line="312" w:lineRule="auto"/>
        <w:ind w:firstLine="2087" w:firstLineChars="990"/>
        <w:rPr>
          <w:rStyle w:val="106"/>
          <w:rFonts w:hAnsi="Times New Roman" w:eastAsia="宋体" w:cs="宋体"/>
          <w:bCs/>
          <w:sz w:val="21"/>
          <w:szCs w:val="21"/>
        </w:rPr>
        <w:sectPr>
          <w:headerReference r:id="rId15" w:type="default"/>
          <w:footerReference r:id="rId16" w:type="default"/>
          <w:pgSz w:w="11906" w:h="16838"/>
          <w:pgMar w:top="1389" w:right="1247" w:bottom="1389" w:left="1247" w:header="851" w:footer="992" w:gutter="284"/>
          <w:cols w:space="720" w:num="1"/>
          <w:docGrid w:linePitch="312" w:charSpace="0"/>
        </w:sectPr>
      </w:pPr>
    </w:p>
    <w:p>
      <w:pPr>
        <w:snapToGrid w:val="0"/>
        <w:spacing w:line="312" w:lineRule="auto"/>
        <w:jc w:val="center"/>
        <w:outlineLvl w:val="1"/>
        <w:rPr>
          <w:rStyle w:val="106"/>
          <w:rFonts w:hAnsi="Times New Roman" w:eastAsia="宋体" w:cs="宋体"/>
          <w:bCs/>
          <w:sz w:val="21"/>
          <w:szCs w:val="21"/>
        </w:rPr>
      </w:pPr>
      <w:bookmarkStart w:id="137" w:name="_Toc16387"/>
      <w:bookmarkStart w:id="138" w:name="_Toc439660041"/>
      <w:bookmarkStart w:id="139" w:name="_Toc21412"/>
      <w:r>
        <w:rPr>
          <w:rStyle w:val="106"/>
          <w:rFonts w:hint="eastAsia" w:eastAsia="宋体" w:cs="宋体"/>
          <w:bCs/>
          <w:sz w:val="21"/>
          <w:szCs w:val="21"/>
        </w:rPr>
        <w:t>四、</w:t>
      </w:r>
      <w:bookmarkEnd w:id="137"/>
      <w:bookmarkEnd w:id="138"/>
      <w:r>
        <w:rPr>
          <w:rStyle w:val="106"/>
          <w:rFonts w:hint="eastAsia" w:eastAsia="宋体" w:cs="宋体"/>
          <w:bCs/>
          <w:sz w:val="21"/>
          <w:szCs w:val="21"/>
        </w:rPr>
        <w:t>报价文件</w:t>
      </w:r>
      <w:bookmarkEnd w:id="139"/>
    </w:p>
    <w:p>
      <w:pPr>
        <w:spacing w:line="500" w:lineRule="exact"/>
        <w:jc w:val="center"/>
        <w:rPr>
          <w:rFonts w:hint="eastAsia" w:ascii="宋体" w:hAnsi="宋体" w:eastAsia="宋体" w:cs="宋体"/>
          <w:b/>
          <w:bCs/>
          <w:szCs w:val="21"/>
        </w:rPr>
      </w:pPr>
      <w:r>
        <w:rPr>
          <w:rFonts w:hint="eastAsia" w:ascii="宋体" w:hAnsi="宋体" w:cs="宋体"/>
          <w:b/>
          <w:bCs/>
          <w:szCs w:val="21"/>
          <w:lang w:val="en-US" w:eastAsia="zh-CN"/>
        </w:rPr>
        <w:t>1</w:t>
      </w:r>
      <w:r>
        <w:rPr>
          <w:rFonts w:hint="eastAsia" w:ascii="宋体" w:hAnsi="宋体" w:eastAsia="宋体" w:cs="宋体"/>
          <w:b/>
          <w:bCs/>
          <w:szCs w:val="21"/>
        </w:rPr>
        <w:t>开标一览表</w:t>
      </w:r>
    </w:p>
    <w:p>
      <w:pPr>
        <w:pStyle w:val="32"/>
        <w:spacing w:line="400" w:lineRule="atLeast"/>
        <w:rPr>
          <w:rFonts w:hint="eastAsia" w:hAnsi="宋体" w:cs="宋体"/>
          <w:szCs w:val="21"/>
        </w:rPr>
      </w:pPr>
      <w:r>
        <w:rPr>
          <w:rFonts w:hint="eastAsia" w:hAnsi="宋体" w:cs="宋体"/>
          <w:szCs w:val="21"/>
        </w:rPr>
        <w:t>项目名称：</w:t>
      </w:r>
    </w:p>
    <w:p>
      <w:pPr>
        <w:pStyle w:val="32"/>
        <w:spacing w:line="400" w:lineRule="atLeast"/>
        <w:rPr>
          <w:rFonts w:hint="eastAsia" w:hAnsi="宋体" w:cs="宋体"/>
          <w:szCs w:val="21"/>
        </w:rPr>
      </w:pPr>
      <w:r>
        <w:rPr>
          <w:rFonts w:hint="eastAsia" w:hAnsi="宋体" w:cs="宋体"/>
          <w:szCs w:val="21"/>
        </w:rPr>
        <w:t xml:space="preserve">招标编号：    </w:t>
      </w:r>
    </w:p>
    <w:p>
      <w:pPr>
        <w:pStyle w:val="32"/>
        <w:spacing w:line="400" w:lineRule="atLeast"/>
        <w:rPr>
          <w:rFonts w:hint="eastAsia" w:hAnsi="宋体" w:cs="宋体"/>
          <w:szCs w:val="21"/>
        </w:rPr>
      </w:pPr>
      <w:r>
        <w:rPr>
          <w:rFonts w:hint="eastAsia" w:hAnsi="宋体" w:cs="宋体"/>
          <w:szCs w:val="21"/>
        </w:rPr>
        <w:t xml:space="preserve">                    </w:t>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 xml:space="preserve">          </w:t>
      </w:r>
      <w:r>
        <w:rPr>
          <w:rFonts w:hint="eastAsia" w:hAnsi="宋体" w:cs="宋体"/>
          <w:szCs w:val="21"/>
        </w:rPr>
        <w:tab/>
      </w:r>
      <w:r>
        <w:rPr>
          <w:rFonts w:hint="eastAsia" w:hAnsi="宋体" w:cs="宋体"/>
          <w:szCs w:val="21"/>
        </w:rPr>
        <w:t>单位：人民币</w:t>
      </w:r>
    </w:p>
    <w:p>
      <w:pPr>
        <w:pStyle w:val="32"/>
        <w:spacing w:line="400" w:lineRule="atLeast"/>
        <w:rPr>
          <w:rFonts w:hint="eastAsia" w:hAnsi="宋体" w:cs="宋体"/>
          <w:szCs w:val="21"/>
        </w:rPr>
      </w:pP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520"/>
        <w:gridCol w:w="36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8" w:hRule="atLeast"/>
        </w:trPr>
        <w:tc>
          <w:tcPr>
            <w:tcW w:w="864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left="-2" w:leftChars="-1"/>
              <w:rPr>
                <w:rFonts w:hint="eastAsia" w:ascii="宋体" w:hAnsi="宋体" w:eastAsia="宋体" w:cs="宋体"/>
                <w:szCs w:val="21"/>
              </w:rPr>
            </w:pPr>
            <w:r>
              <w:rPr>
                <w:rFonts w:hint="eastAsia" w:ascii="宋体" w:hAnsi="宋体" w:eastAsia="宋体" w:cs="宋体"/>
                <w:szCs w:val="21"/>
              </w:rPr>
              <w:t>说明：</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有关本项目实施所需的货物及零配件的购置安装、运输保险、装卸、培训辅导、质保期内售后服务、全额含税发票、雇员费用、合同实施过程中的应预见和不可预见费用等所涉及的一切费用均计入报价。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名称</w:t>
            </w:r>
          </w:p>
        </w:tc>
        <w:tc>
          <w:tcPr>
            <w:tcW w:w="3600"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内容</w:t>
            </w:r>
          </w:p>
        </w:tc>
        <w:tc>
          <w:tcPr>
            <w:tcW w:w="144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080"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一</w:t>
            </w:r>
          </w:p>
        </w:tc>
        <w:tc>
          <w:tcPr>
            <w:tcW w:w="2520"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投标总价（元）</w:t>
            </w:r>
          </w:p>
        </w:tc>
        <w:tc>
          <w:tcPr>
            <w:tcW w:w="3600" w:type="dxa"/>
            <w:tcBorders>
              <w:top w:val="single" w:color="auto" w:sz="4" w:space="0"/>
              <w:left w:val="single" w:color="auto" w:sz="4" w:space="0"/>
              <w:bottom w:val="single" w:color="auto" w:sz="4" w:space="0"/>
              <w:right w:val="single" w:color="auto" w:sz="8" w:space="0"/>
            </w:tcBorders>
            <w:noWrap w:val="0"/>
            <w:vAlign w:val="center"/>
          </w:tcPr>
          <w:p>
            <w:pPr>
              <w:rPr>
                <w:rFonts w:hint="eastAsia" w:ascii="宋体" w:hAnsi="宋体" w:eastAsia="宋体" w:cs="宋体"/>
                <w:szCs w:val="21"/>
              </w:rPr>
            </w:pPr>
            <w:r>
              <w:rPr>
                <w:rFonts w:hint="eastAsia" w:ascii="宋体" w:hAnsi="宋体" w:eastAsia="宋体" w:cs="宋体"/>
                <w:szCs w:val="21"/>
              </w:rPr>
              <w:t>大写：</w:t>
            </w:r>
          </w:p>
        </w:tc>
        <w:tc>
          <w:tcPr>
            <w:tcW w:w="1440" w:type="dxa"/>
            <w:vMerge w:val="restart"/>
            <w:tcBorders>
              <w:top w:val="single" w:color="auto" w:sz="4" w:space="0"/>
              <w:left w:val="single" w:color="auto" w:sz="8" w:space="0"/>
              <w:right w:val="single" w:color="auto" w:sz="4" w:space="0"/>
            </w:tcBorders>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108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tc>
        <w:tc>
          <w:tcPr>
            <w:tcW w:w="252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tc>
        <w:tc>
          <w:tcPr>
            <w:tcW w:w="3600" w:type="dxa"/>
            <w:tcBorders>
              <w:top w:val="single" w:color="auto" w:sz="4" w:space="0"/>
              <w:left w:val="single" w:color="auto" w:sz="4" w:space="0"/>
              <w:bottom w:val="single" w:color="auto" w:sz="4" w:space="0"/>
              <w:right w:val="single" w:color="auto" w:sz="8" w:space="0"/>
            </w:tcBorders>
            <w:noWrap w:val="0"/>
            <w:vAlign w:val="center"/>
          </w:tcPr>
          <w:p>
            <w:pPr>
              <w:rPr>
                <w:rFonts w:hint="eastAsia" w:ascii="宋体" w:hAnsi="宋体" w:eastAsia="宋体" w:cs="宋体"/>
                <w:szCs w:val="21"/>
              </w:rPr>
            </w:pPr>
            <w:r>
              <w:rPr>
                <w:rFonts w:hint="eastAsia" w:ascii="宋体" w:hAnsi="宋体" w:eastAsia="宋体" w:cs="宋体"/>
                <w:szCs w:val="21"/>
              </w:rPr>
              <w:t>小写：</w:t>
            </w:r>
          </w:p>
        </w:tc>
        <w:tc>
          <w:tcPr>
            <w:tcW w:w="1440" w:type="dxa"/>
            <w:vMerge w:val="continue"/>
            <w:tcBorders>
              <w:left w:val="single" w:color="auto" w:sz="8" w:space="0"/>
              <w:bottom w:val="single" w:color="auto" w:sz="4" w:space="0"/>
              <w:right w:val="single" w:color="auto" w:sz="4" w:space="0"/>
            </w:tcBorders>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二</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交货期（天）</w:t>
            </w:r>
          </w:p>
        </w:tc>
        <w:tc>
          <w:tcPr>
            <w:tcW w:w="3600" w:type="dxa"/>
            <w:tcBorders>
              <w:top w:val="single" w:color="auto" w:sz="4" w:space="0"/>
              <w:left w:val="single" w:color="auto" w:sz="4" w:space="0"/>
              <w:bottom w:val="single" w:color="auto" w:sz="4" w:space="0"/>
              <w:right w:val="single" w:color="auto" w:sz="8" w:space="0"/>
            </w:tcBorders>
            <w:noWrap w:val="0"/>
            <w:vAlign w:val="center"/>
          </w:tcPr>
          <w:p>
            <w:pPr>
              <w:rPr>
                <w:rFonts w:hint="eastAsia" w:ascii="宋体" w:hAnsi="宋体" w:eastAsia="宋体" w:cs="宋体"/>
                <w:szCs w:val="21"/>
              </w:rPr>
            </w:pPr>
          </w:p>
        </w:tc>
        <w:tc>
          <w:tcPr>
            <w:tcW w:w="1440" w:type="dxa"/>
            <w:tcBorders>
              <w:top w:val="single" w:color="auto" w:sz="4" w:space="0"/>
              <w:left w:val="single" w:color="auto" w:sz="8" w:space="0"/>
              <w:bottom w:val="single" w:color="auto" w:sz="4" w:space="0"/>
              <w:right w:val="single" w:color="auto" w:sz="4" w:space="0"/>
            </w:tcBorders>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三</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质保期（月）</w:t>
            </w:r>
          </w:p>
        </w:tc>
        <w:tc>
          <w:tcPr>
            <w:tcW w:w="3600" w:type="dxa"/>
            <w:tcBorders>
              <w:top w:val="single" w:color="auto" w:sz="4" w:space="0"/>
              <w:left w:val="single" w:color="auto" w:sz="4" w:space="0"/>
              <w:bottom w:val="single" w:color="auto" w:sz="4" w:space="0"/>
              <w:right w:val="single" w:color="auto" w:sz="8" w:space="0"/>
            </w:tcBorders>
            <w:noWrap w:val="0"/>
            <w:vAlign w:val="center"/>
          </w:tcPr>
          <w:p>
            <w:pPr>
              <w:rPr>
                <w:rFonts w:hint="eastAsia" w:ascii="宋体" w:hAnsi="宋体" w:eastAsia="宋体" w:cs="宋体"/>
                <w:szCs w:val="21"/>
              </w:rPr>
            </w:pPr>
          </w:p>
        </w:tc>
        <w:tc>
          <w:tcPr>
            <w:tcW w:w="1440" w:type="dxa"/>
            <w:tcBorders>
              <w:top w:val="single" w:color="auto" w:sz="4" w:space="0"/>
              <w:left w:val="single" w:color="auto" w:sz="8" w:space="0"/>
              <w:bottom w:val="single" w:color="auto" w:sz="4" w:space="0"/>
              <w:right w:val="single" w:color="auto" w:sz="4" w:space="0"/>
            </w:tcBorders>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600" w:type="dxa"/>
            <w:gridSpan w:val="2"/>
            <w:tcBorders>
              <w:top w:val="single" w:color="auto" w:sz="4" w:space="0"/>
              <w:left w:val="single" w:color="auto" w:sz="4" w:space="0"/>
              <w:right w:val="single" w:color="auto" w:sz="4" w:space="0"/>
            </w:tcBorders>
            <w:noWrap w:val="0"/>
            <w:vAlign w:val="center"/>
          </w:tcPr>
          <w:p>
            <w:pPr>
              <w:ind w:firstLine="525" w:firstLineChars="250"/>
              <w:rPr>
                <w:rFonts w:hint="eastAsia" w:ascii="宋体" w:hAnsi="宋体" w:eastAsia="宋体" w:cs="宋体"/>
                <w:szCs w:val="21"/>
              </w:rPr>
            </w:pPr>
            <w:r>
              <w:rPr>
                <w:rFonts w:hint="eastAsia" w:ascii="宋体" w:hAnsi="宋体" w:eastAsia="宋体" w:cs="宋体"/>
                <w:szCs w:val="21"/>
              </w:rPr>
              <w:t>备注</w:t>
            </w:r>
          </w:p>
        </w:tc>
        <w:tc>
          <w:tcPr>
            <w:tcW w:w="3600" w:type="dxa"/>
            <w:tcBorders>
              <w:top w:val="single" w:color="auto" w:sz="4" w:space="0"/>
              <w:left w:val="single" w:color="auto" w:sz="4" w:space="0"/>
              <w:right w:val="single" w:color="auto" w:sz="8" w:space="0"/>
            </w:tcBorders>
            <w:noWrap w:val="0"/>
            <w:vAlign w:val="center"/>
          </w:tcPr>
          <w:p>
            <w:pPr>
              <w:rPr>
                <w:rFonts w:hint="eastAsia" w:ascii="宋体" w:hAnsi="宋体" w:eastAsia="宋体" w:cs="宋体"/>
                <w:szCs w:val="21"/>
              </w:rPr>
            </w:pPr>
          </w:p>
        </w:tc>
        <w:tc>
          <w:tcPr>
            <w:tcW w:w="1440" w:type="dxa"/>
            <w:tcBorders>
              <w:top w:val="single" w:color="auto" w:sz="4" w:space="0"/>
              <w:left w:val="single" w:color="auto" w:sz="8" w:space="0"/>
              <w:right w:val="single" w:color="auto" w:sz="4" w:space="0"/>
            </w:tcBorders>
            <w:noWrap w:val="0"/>
            <w:vAlign w:val="center"/>
          </w:tcPr>
          <w:p>
            <w:pPr>
              <w:rPr>
                <w:rFonts w:hint="eastAsia" w:ascii="宋体" w:hAnsi="宋体" w:eastAsia="宋体" w:cs="宋体"/>
                <w:szCs w:val="21"/>
              </w:rPr>
            </w:pPr>
          </w:p>
        </w:tc>
      </w:tr>
    </w:tbl>
    <w:p>
      <w:pPr>
        <w:spacing w:line="360" w:lineRule="auto"/>
        <w:ind w:right="-21" w:rightChars="-10" w:firstLine="210" w:firstLineChars="100"/>
        <w:rPr>
          <w:rFonts w:hint="eastAsia" w:ascii="宋体" w:hAnsi="宋体" w:eastAsia="宋体" w:cs="宋体"/>
          <w:szCs w:val="21"/>
        </w:rPr>
      </w:pPr>
    </w:p>
    <w:p>
      <w:pPr>
        <w:spacing w:line="360" w:lineRule="auto"/>
        <w:ind w:right="-21" w:rightChars="-10" w:firstLine="210" w:firstLineChars="100"/>
        <w:rPr>
          <w:rFonts w:hint="eastAsia" w:ascii="宋体" w:hAnsi="宋体" w:eastAsia="宋体" w:cs="宋体"/>
          <w:szCs w:val="21"/>
        </w:rPr>
      </w:pPr>
      <w:r>
        <w:rPr>
          <w:rFonts w:hint="eastAsia" w:ascii="宋体" w:hAnsi="宋体" w:eastAsia="宋体" w:cs="宋体"/>
          <w:szCs w:val="21"/>
        </w:rPr>
        <w:t xml:space="preserve"> 注：1、以上投标总价必须含所有费用。此表作为唱标用，供应商不得更改格式。</w:t>
      </w:r>
    </w:p>
    <w:p>
      <w:pPr>
        <w:pStyle w:val="32"/>
        <w:spacing w:line="500" w:lineRule="exact"/>
        <w:rPr>
          <w:rFonts w:hint="eastAsia" w:hAnsi="宋体" w:cs="宋体"/>
          <w:szCs w:val="21"/>
        </w:rPr>
      </w:pPr>
      <w:r>
        <w:rPr>
          <w:rFonts w:hint="eastAsia" w:hAnsi="宋体" w:cs="宋体"/>
          <w:szCs w:val="21"/>
        </w:rPr>
        <w:t xml:space="preserve">    </w:t>
      </w:r>
    </w:p>
    <w:p>
      <w:pPr>
        <w:pStyle w:val="32"/>
        <w:spacing w:line="500" w:lineRule="exact"/>
        <w:ind w:left="3293" w:leftChars="268" w:hanging="2730" w:hangingChars="1300"/>
        <w:rPr>
          <w:rFonts w:hint="eastAsia" w:hAnsi="宋体" w:cs="宋体"/>
          <w:szCs w:val="21"/>
        </w:rPr>
      </w:pPr>
      <w:r>
        <w:rPr>
          <w:rFonts w:hint="eastAsia" w:hAnsi="宋体" w:cs="宋体"/>
          <w:szCs w:val="21"/>
        </w:rPr>
        <w:t>供应商（公章）：</w:t>
      </w:r>
    </w:p>
    <w:p>
      <w:pPr>
        <w:pStyle w:val="32"/>
        <w:spacing w:line="500" w:lineRule="exact"/>
        <w:ind w:left="3293" w:leftChars="268" w:hanging="2730" w:hangingChars="1300"/>
        <w:rPr>
          <w:rFonts w:hint="eastAsia" w:hAnsi="宋体" w:cs="宋体"/>
          <w:szCs w:val="21"/>
        </w:rPr>
      </w:pPr>
    </w:p>
    <w:p>
      <w:pPr>
        <w:pStyle w:val="32"/>
        <w:spacing w:line="500" w:lineRule="exact"/>
        <w:ind w:left="3293" w:leftChars="268" w:hanging="2730" w:hangingChars="1300"/>
        <w:rPr>
          <w:rFonts w:hint="eastAsia" w:hAnsi="宋体" w:cs="宋体"/>
          <w:szCs w:val="21"/>
        </w:rPr>
      </w:pPr>
      <w:r>
        <w:rPr>
          <w:rFonts w:hint="eastAsia" w:hAnsi="宋体" w:cs="宋体"/>
          <w:szCs w:val="21"/>
        </w:rPr>
        <w:t xml:space="preserve">法定代表人（或授权代表人）：（签字）     </w:t>
      </w:r>
    </w:p>
    <w:p>
      <w:pPr>
        <w:pStyle w:val="32"/>
        <w:spacing w:line="500" w:lineRule="exact"/>
        <w:ind w:left="3293" w:leftChars="268" w:hanging="2730" w:hangingChars="1300"/>
        <w:rPr>
          <w:rFonts w:hint="eastAsia" w:hAnsi="宋体" w:cs="宋体"/>
          <w:szCs w:val="21"/>
        </w:rPr>
      </w:pPr>
    </w:p>
    <w:p>
      <w:pPr>
        <w:snapToGrid w:val="0"/>
        <w:spacing w:line="540" w:lineRule="exact"/>
        <w:ind w:firstLine="1680" w:firstLineChars="800"/>
        <w:rPr>
          <w:rFonts w:hint="eastAsia" w:ascii="宋体" w:hAnsi="宋体" w:eastAsia="宋体" w:cs="宋体"/>
          <w:szCs w:val="21"/>
        </w:rPr>
      </w:pPr>
      <w:r>
        <w:rPr>
          <w:rFonts w:hint="eastAsia" w:ascii="宋体" w:hAnsi="宋体" w:eastAsia="宋体" w:cs="宋体"/>
          <w:szCs w:val="21"/>
        </w:rPr>
        <w:t xml:space="preserve">  年   月   日</w:t>
      </w:r>
    </w:p>
    <w:p>
      <w:pPr>
        <w:snapToGrid w:val="0"/>
        <w:spacing w:line="312" w:lineRule="auto"/>
        <w:ind w:left="769" w:leftChars="266" w:hanging="210" w:hangingChars="100"/>
      </w:pPr>
    </w:p>
    <w:p>
      <w:pPr>
        <w:pStyle w:val="32"/>
        <w:spacing w:line="312" w:lineRule="auto"/>
        <w:rPr>
          <w:rFonts w:hAnsi="宋体" w:cs="宋体"/>
          <w:szCs w:val="21"/>
        </w:rPr>
      </w:pPr>
    </w:p>
    <w:p>
      <w:pPr>
        <w:snapToGrid w:val="0"/>
        <w:spacing w:line="312" w:lineRule="auto"/>
        <w:rPr>
          <w:rFonts w:hint="eastAsia" w:ascii="宋体" w:hAnsi="宋体" w:cs="宋体"/>
          <w:szCs w:val="21"/>
        </w:rPr>
      </w:pPr>
    </w:p>
    <w:p>
      <w:pPr>
        <w:snapToGrid w:val="0"/>
        <w:spacing w:line="312" w:lineRule="auto"/>
        <w:rPr>
          <w:rFonts w:hint="eastAsia" w:ascii="宋体" w:hAnsi="宋体" w:cs="宋体"/>
          <w:szCs w:val="21"/>
        </w:rPr>
        <w:sectPr>
          <w:pgSz w:w="11906" w:h="16838"/>
          <w:pgMar w:top="1389" w:right="1247" w:bottom="1389" w:left="1247" w:header="851" w:footer="992" w:gutter="284"/>
          <w:cols w:space="720" w:num="1"/>
          <w:docGrid w:linePitch="312" w:charSpace="0"/>
        </w:sectPr>
      </w:pPr>
    </w:p>
    <w:p>
      <w:pPr>
        <w:spacing w:line="500" w:lineRule="exact"/>
        <w:jc w:val="center"/>
        <w:rPr>
          <w:rFonts w:hint="eastAsia" w:ascii="宋体" w:hAnsi="宋体" w:eastAsia="宋体" w:cs="宋体"/>
          <w:b/>
          <w:bCs/>
          <w:szCs w:val="21"/>
        </w:rPr>
      </w:pPr>
      <w:r>
        <w:rPr>
          <w:rFonts w:hint="eastAsia" w:ascii="宋体" w:hAnsi="宋体" w:cs="宋体"/>
          <w:b/>
          <w:bCs/>
          <w:szCs w:val="21"/>
          <w:lang w:val="en-US" w:eastAsia="zh-CN"/>
        </w:rPr>
        <w:t>2</w:t>
      </w:r>
      <w:r>
        <w:rPr>
          <w:rFonts w:hint="eastAsia" w:ascii="宋体" w:hAnsi="宋体" w:eastAsia="宋体" w:cs="宋体"/>
          <w:b/>
          <w:bCs/>
          <w:szCs w:val="21"/>
        </w:rPr>
        <w:t>投标设备报价明细表</w:t>
      </w:r>
    </w:p>
    <w:p>
      <w:pPr>
        <w:wordWrap w:val="0"/>
        <w:rPr>
          <w:rFonts w:hint="eastAsia" w:ascii="宋体" w:hAnsi="宋体" w:eastAsia="宋体" w:cs="宋体"/>
          <w:szCs w:val="21"/>
        </w:rPr>
      </w:pPr>
      <w:r>
        <w:rPr>
          <w:rFonts w:hint="eastAsia" w:ascii="宋体" w:hAnsi="宋体" w:eastAsia="宋体" w:cs="宋体"/>
          <w:szCs w:val="21"/>
        </w:rPr>
        <w:t>项目名称：</w:t>
      </w:r>
    </w:p>
    <w:p>
      <w:pPr>
        <w:wordWrap w:val="0"/>
        <w:rPr>
          <w:rFonts w:hint="eastAsia" w:ascii="宋体" w:hAnsi="宋体" w:eastAsia="宋体" w:cs="宋体"/>
          <w:szCs w:val="21"/>
        </w:rPr>
      </w:pPr>
      <w:r>
        <w:rPr>
          <w:rFonts w:hint="eastAsia" w:ascii="宋体" w:hAnsi="宋体" w:eastAsia="宋体" w:cs="宋体"/>
          <w:szCs w:val="21"/>
        </w:rPr>
        <w:t>项目编号：                                                                                单位：元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69"/>
        <w:gridCol w:w="1747"/>
        <w:gridCol w:w="1440"/>
        <w:gridCol w:w="3413"/>
        <w:gridCol w:w="999"/>
        <w:gridCol w:w="830"/>
        <w:gridCol w:w="1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4" w:type="dxa"/>
            <w:noWrap w:val="0"/>
            <w:vAlign w:val="top"/>
          </w:tcPr>
          <w:p>
            <w:pPr>
              <w:pStyle w:val="251"/>
              <w:adjustRightInd w:val="0"/>
              <w:snapToGrid w:val="0"/>
              <w:spacing w:line="440" w:lineRule="exact"/>
              <w:ind w:firstLine="0" w:firstLineChars="0"/>
              <w:rPr>
                <w:rFonts w:hint="eastAsia" w:ascii="宋体" w:eastAsia="宋体" w:cs="宋体"/>
                <w:spacing w:val="-20"/>
                <w:sz w:val="21"/>
                <w:szCs w:val="21"/>
              </w:rPr>
            </w:pPr>
            <w:r>
              <w:rPr>
                <w:rFonts w:hint="eastAsia" w:ascii="宋体" w:eastAsia="宋体" w:cs="宋体"/>
                <w:spacing w:val="-20"/>
                <w:sz w:val="21"/>
                <w:szCs w:val="21"/>
              </w:rPr>
              <w:t>序号</w:t>
            </w:r>
          </w:p>
        </w:tc>
        <w:tc>
          <w:tcPr>
            <w:tcW w:w="2569" w:type="dxa"/>
            <w:noWrap w:val="0"/>
            <w:vAlign w:val="top"/>
          </w:tcPr>
          <w:p>
            <w:pPr>
              <w:pStyle w:val="251"/>
              <w:adjustRightInd w:val="0"/>
              <w:snapToGrid w:val="0"/>
              <w:spacing w:line="440" w:lineRule="exact"/>
              <w:ind w:firstLine="0" w:firstLineChars="0"/>
              <w:rPr>
                <w:rFonts w:hint="eastAsia" w:ascii="宋体" w:eastAsia="宋体" w:cs="宋体"/>
                <w:sz w:val="21"/>
                <w:szCs w:val="21"/>
              </w:rPr>
            </w:pPr>
            <w:r>
              <w:rPr>
                <w:rFonts w:hint="eastAsia" w:ascii="宋体" w:eastAsia="宋体" w:cs="宋体"/>
                <w:sz w:val="21"/>
                <w:szCs w:val="21"/>
              </w:rPr>
              <w:t>名称</w:t>
            </w:r>
          </w:p>
        </w:tc>
        <w:tc>
          <w:tcPr>
            <w:tcW w:w="1747" w:type="dxa"/>
            <w:noWrap w:val="0"/>
            <w:vAlign w:val="top"/>
          </w:tcPr>
          <w:p>
            <w:pPr>
              <w:pStyle w:val="251"/>
              <w:adjustRightInd w:val="0"/>
              <w:snapToGrid w:val="0"/>
              <w:spacing w:line="440" w:lineRule="exact"/>
              <w:ind w:firstLine="0" w:firstLineChars="0"/>
              <w:rPr>
                <w:rFonts w:hint="eastAsia" w:ascii="宋体" w:eastAsia="宋体" w:cs="宋体"/>
                <w:sz w:val="21"/>
                <w:szCs w:val="21"/>
              </w:rPr>
            </w:pPr>
            <w:r>
              <w:rPr>
                <w:rFonts w:hint="eastAsia" w:ascii="宋体" w:eastAsia="宋体" w:cs="宋体"/>
                <w:sz w:val="21"/>
                <w:szCs w:val="21"/>
              </w:rPr>
              <w:t>品牌型号</w:t>
            </w:r>
          </w:p>
        </w:tc>
        <w:tc>
          <w:tcPr>
            <w:tcW w:w="1440" w:type="dxa"/>
            <w:noWrap w:val="0"/>
            <w:vAlign w:val="top"/>
          </w:tcPr>
          <w:p>
            <w:pPr>
              <w:pStyle w:val="251"/>
              <w:adjustRightInd w:val="0"/>
              <w:snapToGrid w:val="0"/>
              <w:spacing w:line="440" w:lineRule="exact"/>
              <w:ind w:firstLine="0" w:firstLineChars="0"/>
              <w:rPr>
                <w:rFonts w:hint="eastAsia" w:ascii="宋体" w:eastAsia="宋体" w:cs="宋体"/>
                <w:sz w:val="21"/>
                <w:szCs w:val="21"/>
              </w:rPr>
            </w:pPr>
            <w:r>
              <w:rPr>
                <w:rFonts w:hint="eastAsia" w:ascii="宋体" w:eastAsia="宋体" w:cs="宋体"/>
                <w:sz w:val="21"/>
                <w:szCs w:val="21"/>
              </w:rPr>
              <w:t>制造商</w:t>
            </w:r>
          </w:p>
        </w:tc>
        <w:tc>
          <w:tcPr>
            <w:tcW w:w="3413" w:type="dxa"/>
            <w:noWrap w:val="0"/>
            <w:vAlign w:val="top"/>
          </w:tcPr>
          <w:p>
            <w:pPr>
              <w:pStyle w:val="251"/>
              <w:adjustRightInd w:val="0"/>
              <w:snapToGrid w:val="0"/>
              <w:spacing w:line="440" w:lineRule="exact"/>
              <w:ind w:firstLine="0" w:firstLineChars="0"/>
              <w:rPr>
                <w:rFonts w:hint="eastAsia" w:ascii="宋体" w:eastAsia="宋体" w:cs="宋体"/>
                <w:sz w:val="21"/>
                <w:szCs w:val="21"/>
              </w:rPr>
            </w:pPr>
            <w:r>
              <w:rPr>
                <w:rFonts w:hint="eastAsia" w:ascii="宋体" w:eastAsia="宋体" w:cs="宋体"/>
                <w:sz w:val="21"/>
                <w:szCs w:val="21"/>
              </w:rPr>
              <w:t>主要技术参数</w:t>
            </w:r>
          </w:p>
        </w:tc>
        <w:tc>
          <w:tcPr>
            <w:tcW w:w="999" w:type="dxa"/>
            <w:noWrap w:val="0"/>
            <w:vAlign w:val="top"/>
          </w:tcPr>
          <w:p>
            <w:pPr>
              <w:pStyle w:val="251"/>
              <w:adjustRightInd w:val="0"/>
              <w:snapToGrid w:val="0"/>
              <w:spacing w:line="440" w:lineRule="exact"/>
              <w:ind w:firstLine="0" w:firstLineChars="0"/>
              <w:rPr>
                <w:rFonts w:hint="eastAsia" w:ascii="宋体" w:eastAsia="宋体" w:cs="宋体"/>
                <w:spacing w:val="-20"/>
                <w:sz w:val="21"/>
                <w:szCs w:val="21"/>
              </w:rPr>
            </w:pPr>
            <w:r>
              <w:rPr>
                <w:rFonts w:hint="eastAsia" w:ascii="宋体" w:eastAsia="宋体" w:cs="宋体"/>
                <w:spacing w:val="-20"/>
                <w:sz w:val="21"/>
                <w:szCs w:val="21"/>
              </w:rPr>
              <w:t>原产地</w:t>
            </w:r>
          </w:p>
        </w:tc>
        <w:tc>
          <w:tcPr>
            <w:tcW w:w="830" w:type="dxa"/>
            <w:noWrap w:val="0"/>
            <w:vAlign w:val="top"/>
          </w:tcPr>
          <w:p>
            <w:pPr>
              <w:pStyle w:val="251"/>
              <w:adjustRightInd w:val="0"/>
              <w:snapToGrid w:val="0"/>
              <w:spacing w:line="440" w:lineRule="exact"/>
              <w:ind w:firstLine="0" w:firstLineChars="0"/>
              <w:rPr>
                <w:rFonts w:hint="eastAsia" w:ascii="宋体" w:eastAsia="宋体" w:cs="宋体"/>
                <w:sz w:val="21"/>
                <w:szCs w:val="21"/>
              </w:rPr>
            </w:pPr>
            <w:r>
              <w:rPr>
                <w:rFonts w:hint="eastAsia" w:ascii="宋体" w:eastAsia="宋体" w:cs="宋体"/>
                <w:sz w:val="21"/>
                <w:szCs w:val="21"/>
              </w:rPr>
              <w:t>数量</w:t>
            </w:r>
          </w:p>
        </w:tc>
        <w:tc>
          <w:tcPr>
            <w:tcW w:w="1135" w:type="dxa"/>
            <w:noWrap w:val="0"/>
            <w:vAlign w:val="top"/>
          </w:tcPr>
          <w:p>
            <w:pPr>
              <w:pStyle w:val="251"/>
              <w:adjustRightInd w:val="0"/>
              <w:snapToGrid w:val="0"/>
              <w:spacing w:line="440" w:lineRule="exact"/>
              <w:ind w:firstLine="0" w:firstLineChars="0"/>
              <w:rPr>
                <w:rFonts w:hint="eastAsia" w:ascii="宋体" w:eastAsia="宋体" w:cs="宋体"/>
                <w:sz w:val="21"/>
                <w:szCs w:val="21"/>
              </w:rPr>
            </w:pPr>
            <w:r>
              <w:rPr>
                <w:rFonts w:hint="eastAsia" w:ascii="宋体" w:eastAsia="宋体" w:cs="宋体"/>
                <w:sz w:val="21"/>
                <w:szCs w:val="21"/>
              </w:rPr>
              <w:t>单价</w:t>
            </w:r>
          </w:p>
        </w:tc>
        <w:tc>
          <w:tcPr>
            <w:tcW w:w="1260" w:type="dxa"/>
            <w:noWrap w:val="0"/>
            <w:vAlign w:val="top"/>
          </w:tcPr>
          <w:p>
            <w:pPr>
              <w:pStyle w:val="251"/>
              <w:adjustRightInd w:val="0"/>
              <w:snapToGrid w:val="0"/>
              <w:spacing w:line="440" w:lineRule="exact"/>
              <w:ind w:firstLine="0" w:firstLineChars="0"/>
              <w:rPr>
                <w:rFonts w:hint="eastAsia" w:ascii="宋体" w:eastAsia="宋体" w:cs="宋体"/>
                <w:sz w:val="21"/>
                <w:szCs w:val="21"/>
              </w:rPr>
            </w:pPr>
            <w:r>
              <w:rPr>
                <w:rFonts w:hint="eastAsia" w:ascii="宋体" w:eastAsia="宋体" w:cs="宋体"/>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pPr>
              <w:pStyle w:val="251"/>
              <w:adjustRightInd w:val="0"/>
              <w:snapToGrid w:val="0"/>
              <w:spacing w:line="420" w:lineRule="exact"/>
              <w:ind w:firstLine="0" w:firstLineChars="0"/>
              <w:rPr>
                <w:rFonts w:hint="eastAsia" w:ascii="宋体" w:eastAsia="宋体" w:cs="宋体"/>
                <w:sz w:val="21"/>
                <w:szCs w:val="21"/>
              </w:rPr>
            </w:pPr>
            <w:r>
              <w:rPr>
                <w:rFonts w:hint="eastAsia" w:ascii="宋体" w:eastAsia="宋体" w:cs="宋体"/>
                <w:sz w:val="21"/>
                <w:szCs w:val="21"/>
              </w:rPr>
              <w:t>一</w:t>
            </w:r>
          </w:p>
        </w:tc>
        <w:tc>
          <w:tcPr>
            <w:tcW w:w="2569" w:type="dxa"/>
            <w:noWrap w:val="0"/>
            <w:vAlign w:val="top"/>
          </w:tcPr>
          <w:p>
            <w:pPr>
              <w:pStyle w:val="251"/>
              <w:adjustRightInd w:val="0"/>
              <w:snapToGrid w:val="0"/>
              <w:spacing w:line="420" w:lineRule="exact"/>
              <w:ind w:firstLine="0" w:firstLineChars="0"/>
              <w:rPr>
                <w:rFonts w:hint="eastAsia" w:ascii="宋体" w:eastAsia="宋体" w:cs="宋体"/>
                <w:sz w:val="21"/>
                <w:szCs w:val="21"/>
              </w:rPr>
            </w:pPr>
            <w:r>
              <w:rPr>
                <w:rFonts w:hint="eastAsia" w:ascii="宋体" w:eastAsia="宋体" w:cs="宋体"/>
                <w:sz w:val="21"/>
                <w:szCs w:val="21"/>
              </w:rPr>
              <w:t>产品配置清单</w:t>
            </w:r>
          </w:p>
        </w:tc>
        <w:tc>
          <w:tcPr>
            <w:tcW w:w="1747"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44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3413"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999"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83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135"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26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pPr>
              <w:pStyle w:val="251"/>
              <w:adjustRightInd w:val="0"/>
              <w:snapToGrid w:val="0"/>
              <w:spacing w:line="420" w:lineRule="exact"/>
              <w:ind w:firstLine="0" w:firstLineChars="0"/>
              <w:rPr>
                <w:rFonts w:hint="eastAsia" w:ascii="宋体" w:eastAsia="宋体" w:cs="宋体"/>
                <w:sz w:val="21"/>
                <w:szCs w:val="21"/>
              </w:rPr>
            </w:pPr>
            <w:r>
              <w:rPr>
                <w:rFonts w:hint="eastAsia" w:ascii="宋体" w:eastAsia="宋体" w:cs="宋体"/>
                <w:sz w:val="21"/>
                <w:szCs w:val="21"/>
              </w:rPr>
              <w:t>…</w:t>
            </w:r>
          </w:p>
        </w:tc>
        <w:tc>
          <w:tcPr>
            <w:tcW w:w="2569"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747"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44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3413"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999"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83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135"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26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pPr>
              <w:pStyle w:val="251"/>
              <w:adjustRightInd w:val="0"/>
              <w:snapToGrid w:val="0"/>
              <w:spacing w:line="420" w:lineRule="exact"/>
              <w:ind w:firstLine="0" w:firstLineChars="0"/>
              <w:rPr>
                <w:rFonts w:hint="eastAsia" w:ascii="宋体" w:eastAsia="宋体" w:cs="宋体"/>
                <w:sz w:val="21"/>
                <w:szCs w:val="21"/>
              </w:rPr>
            </w:pPr>
            <w:r>
              <w:rPr>
                <w:rFonts w:hint="eastAsia" w:ascii="宋体" w:eastAsia="宋体" w:cs="宋体"/>
                <w:sz w:val="21"/>
                <w:szCs w:val="21"/>
              </w:rPr>
              <w:t>二</w:t>
            </w:r>
          </w:p>
        </w:tc>
        <w:tc>
          <w:tcPr>
            <w:tcW w:w="2569"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747"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44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3413"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999"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83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135"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26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pPr>
              <w:pStyle w:val="251"/>
              <w:adjustRightInd w:val="0"/>
              <w:snapToGrid w:val="0"/>
              <w:spacing w:line="420" w:lineRule="exact"/>
              <w:ind w:firstLine="0" w:firstLineChars="0"/>
              <w:rPr>
                <w:rFonts w:hint="eastAsia" w:ascii="宋体" w:eastAsia="宋体" w:cs="宋体"/>
                <w:sz w:val="21"/>
                <w:szCs w:val="21"/>
              </w:rPr>
            </w:pPr>
            <w:r>
              <w:rPr>
                <w:rFonts w:hint="eastAsia" w:ascii="宋体" w:eastAsia="宋体" w:cs="宋体"/>
                <w:sz w:val="21"/>
                <w:szCs w:val="21"/>
              </w:rPr>
              <w:t>…</w:t>
            </w:r>
          </w:p>
        </w:tc>
        <w:tc>
          <w:tcPr>
            <w:tcW w:w="2569"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747"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44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3413"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999"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83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135"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26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pPr>
              <w:pStyle w:val="251"/>
              <w:adjustRightInd w:val="0"/>
              <w:snapToGrid w:val="0"/>
              <w:spacing w:line="420" w:lineRule="exact"/>
              <w:ind w:firstLine="0" w:firstLineChars="0"/>
              <w:rPr>
                <w:rFonts w:hint="eastAsia" w:ascii="宋体" w:eastAsia="宋体" w:cs="宋体"/>
                <w:sz w:val="21"/>
                <w:szCs w:val="21"/>
              </w:rPr>
            </w:pPr>
            <w:r>
              <w:rPr>
                <w:rFonts w:hint="eastAsia" w:ascii="宋体" w:eastAsia="宋体" w:cs="宋体"/>
                <w:sz w:val="21"/>
                <w:szCs w:val="21"/>
              </w:rPr>
              <w:t>三</w:t>
            </w:r>
          </w:p>
        </w:tc>
        <w:tc>
          <w:tcPr>
            <w:tcW w:w="2569" w:type="dxa"/>
            <w:noWrap w:val="0"/>
            <w:vAlign w:val="top"/>
          </w:tcPr>
          <w:p>
            <w:pPr>
              <w:pStyle w:val="251"/>
              <w:adjustRightInd w:val="0"/>
              <w:snapToGrid w:val="0"/>
              <w:spacing w:line="420" w:lineRule="exact"/>
              <w:ind w:firstLine="0" w:firstLineChars="0"/>
              <w:rPr>
                <w:rFonts w:hint="eastAsia" w:ascii="宋体" w:eastAsia="宋体" w:cs="宋体"/>
                <w:sz w:val="21"/>
                <w:szCs w:val="21"/>
              </w:rPr>
            </w:pPr>
            <w:r>
              <w:rPr>
                <w:rFonts w:hint="eastAsia" w:ascii="宋体" w:eastAsia="宋体" w:cs="宋体"/>
                <w:sz w:val="21"/>
                <w:szCs w:val="21"/>
              </w:rPr>
              <w:t>附件</w:t>
            </w:r>
          </w:p>
        </w:tc>
        <w:tc>
          <w:tcPr>
            <w:tcW w:w="1747"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44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3413"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999"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83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135"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c>
          <w:tcPr>
            <w:tcW w:w="1260" w:type="dxa"/>
            <w:noWrap w:val="0"/>
            <w:vAlign w:val="top"/>
          </w:tcPr>
          <w:p>
            <w:pPr>
              <w:pStyle w:val="251"/>
              <w:adjustRightInd w:val="0"/>
              <w:snapToGrid w:val="0"/>
              <w:spacing w:line="420" w:lineRule="exact"/>
              <w:ind w:firstLine="0" w:firstLineChars="0"/>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pPr>
              <w:pStyle w:val="251"/>
              <w:adjustRightInd w:val="0"/>
              <w:snapToGrid w:val="0"/>
              <w:spacing w:line="420" w:lineRule="exact"/>
              <w:ind w:firstLine="0" w:firstLineChars="0"/>
              <w:rPr>
                <w:rFonts w:hint="eastAsia" w:ascii="宋体" w:eastAsia="宋体" w:cs="宋体"/>
                <w:sz w:val="21"/>
                <w:szCs w:val="21"/>
              </w:rPr>
            </w:pPr>
            <w:r>
              <w:rPr>
                <w:rFonts w:hint="eastAsia" w:ascii="宋体" w:eastAsia="宋体" w:cs="宋体"/>
                <w:sz w:val="21"/>
                <w:szCs w:val="21"/>
              </w:rPr>
              <w:t>四</w:t>
            </w:r>
          </w:p>
        </w:tc>
        <w:tc>
          <w:tcPr>
            <w:tcW w:w="2569" w:type="dxa"/>
            <w:noWrap w:val="0"/>
            <w:vAlign w:val="top"/>
          </w:tcPr>
          <w:p>
            <w:pPr>
              <w:pStyle w:val="251"/>
              <w:adjustRightInd w:val="0"/>
              <w:snapToGrid w:val="0"/>
              <w:spacing w:line="420" w:lineRule="exact"/>
              <w:ind w:firstLine="0" w:firstLineChars="0"/>
              <w:rPr>
                <w:rFonts w:hint="eastAsia" w:ascii="宋体" w:eastAsia="宋体" w:cs="宋体"/>
                <w:sz w:val="21"/>
                <w:szCs w:val="21"/>
              </w:rPr>
            </w:pPr>
            <w:r>
              <w:rPr>
                <w:rFonts w:hint="eastAsia" w:ascii="宋体" w:eastAsia="宋体" w:cs="宋体"/>
                <w:sz w:val="21"/>
                <w:szCs w:val="21"/>
              </w:rPr>
              <w:t>安装调试</w:t>
            </w:r>
          </w:p>
        </w:tc>
        <w:tc>
          <w:tcPr>
            <w:tcW w:w="10824" w:type="dxa"/>
            <w:gridSpan w:val="7"/>
            <w:noWrap w:val="0"/>
            <w:vAlign w:val="top"/>
          </w:tcPr>
          <w:p>
            <w:pPr>
              <w:pStyle w:val="251"/>
              <w:adjustRightInd w:val="0"/>
              <w:snapToGrid w:val="0"/>
              <w:spacing w:line="420" w:lineRule="exact"/>
              <w:ind w:firstLine="0" w:firstLineChars="0"/>
              <w:rPr>
                <w:rFonts w:hint="eastAsia" w:ascii="宋体" w:eastAsia="宋体" w:cs="宋体"/>
                <w:sz w:val="21"/>
                <w:szCs w:val="21"/>
              </w:rPr>
            </w:pPr>
            <w:r>
              <w:rPr>
                <w:rFonts w:hint="eastAsia" w:ascii="宋体" w:eastAsia="宋体" w:cs="宋体"/>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4" w:type="dxa"/>
            <w:noWrap w:val="0"/>
            <w:vAlign w:val="top"/>
          </w:tcPr>
          <w:p>
            <w:pPr>
              <w:pStyle w:val="251"/>
              <w:adjustRightInd w:val="0"/>
              <w:snapToGrid w:val="0"/>
              <w:spacing w:line="440" w:lineRule="exact"/>
              <w:ind w:firstLine="0" w:firstLineChars="0"/>
              <w:rPr>
                <w:rFonts w:hint="eastAsia" w:ascii="宋体" w:eastAsia="宋体" w:cs="宋体"/>
                <w:sz w:val="21"/>
                <w:szCs w:val="21"/>
              </w:rPr>
            </w:pPr>
            <w:r>
              <w:rPr>
                <w:rFonts w:hint="eastAsia" w:ascii="宋体" w:eastAsia="宋体" w:cs="宋体"/>
                <w:sz w:val="21"/>
                <w:szCs w:val="21"/>
              </w:rPr>
              <w:t>五</w:t>
            </w:r>
          </w:p>
        </w:tc>
        <w:tc>
          <w:tcPr>
            <w:tcW w:w="2569" w:type="dxa"/>
            <w:noWrap w:val="0"/>
            <w:vAlign w:val="top"/>
          </w:tcPr>
          <w:p>
            <w:pPr>
              <w:pStyle w:val="251"/>
              <w:adjustRightInd w:val="0"/>
              <w:snapToGrid w:val="0"/>
              <w:spacing w:line="440" w:lineRule="exact"/>
              <w:ind w:firstLine="0" w:firstLineChars="0"/>
              <w:rPr>
                <w:rFonts w:hint="eastAsia" w:ascii="宋体" w:eastAsia="宋体" w:cs="宋体"/>
                <w:sz w:val="21"/>
                <w:szCs w:val="21"/>
              </w:rPr>
            </w:pPr>
            <w:r>
              <w:rPr>
                <w:rFonts w:hint="eastAsia" w:ascii="宋体" w:eastAsia="宋体" w:cs="宋体"/>
                <w:sz w:val="21"/>
                <w:szCs w:val="21"/>
              </w:rPr>
              <w:t>总计</w:t>
            </w:r>
          </w:p>
        </w:tc>
        <w:tc>
          <w:tcPr>
            <w:tcW w:w="10824" w:type="dxa"/>
            <w:gridSpan w:val="7"/>
            <w:noWrap w:val="0"/>
            <w:vAlign w:val="top"/>
          </w:tcPr>
          <w:p>
            <w:pPr>
              <w:adjustRightInd w:val="0"/>
              <w:snapToGrid w:val="0"/>
              <w:spacing w:line="44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pPr>
              <w:pStyle w:val="251"/>
              <w:adjustRightInd w:val="0"/>
              <w:snapToGrid w:val="0"/>
              <w:spacing w:line="440" w:lineRule="exact"/>
              <w:ind w:firstLine="0" w:firstLineChars="0"/>
              <w:rPr>
                <w:rFonts w:hint="eastAsia" w:ascii="宋体" w:eastAsia="宋体" w:cs="宋体"/>
                <w:sz w:val="21"/>
                <w:szCs w:val="21"/>
              </w:rPr>
            </w:pPr>
            <w:r>
              <w:rPr>
                <w:rFonts w:hint="eastAsia" w:ascii="宋体" w:eastAsia="宋体" w:cs="宋体"/>
                <w:sz w:val="21"/>
                <w:szCs w:val="21"/>
              </w:rPr>
              <w:t>大写：</w:t>
            </w:r>
            <w:r>
              <w:rPr>
                <w:rFonts w:hint="eastAsia" w:ascii="宋体" w:eastAsia="宋体" w:cs="宋体"/>
                <w:sz w:val="21"/>
                <w:szCs w:val="21"/>
                <w:u w:val="single"/>
              </w:rPr>
              <w:t xml:space="preserve">                               </w:t>
            </w:r>
            <w:r>
              <w:rPr>
                <w:rFonts w:hint="eastAsia" w:ascii="宋体" w:eastAsia="宋体" w:cs="宋体"/>
                <w:sz w:val="21"/>
                <w:szCs w:val="21"/>
              </w:rPr>
              <w:t>元</w:t>
            </w:r>
          </w:p>
        </w:tc>
      </w:tr>
    </w:tbl>
    <w:p>
      <w:pPr>
        <w:snapToGrid w:val="0"/>
        <w:spacing w:line="480" w:lineRule="exact"/>
        <w:rPr>
          <w:rFonts w:hint="eastAsia" w:ascii="宋体" w:hAnsi="宋体" w:eastAsia="宋体" w:cs="宋体"/>
          <w:szCs w:val="21"/>
        </w:rPr>
      </w:pPr>
      <w:r>
        <w:rPr>
          <w:rFonts w:hint="eastAsia" w:ascii="宋体" w:hAnsi="宋体" w:eastAsia="宋体" w:cs="宋体"/>
          <w:szCs w:val="21"/>
        </w:rPr>
        <w:t>注：1、报价应包括运输、培训、安装、调试和售后服务等所有费用。</w:t>
      </w:r>
    </w:p>
    <w:p>
      <w:pPr>
        <w:snapToGrid w:val="0"/>
        <w:spacing w:line="480" w:lineRule="exact"/>
        <w:ind w:firstLine="420" w:firstLineChars="200"/>
        <w:rPr>
          <w:rFonts w:hint="eastAsia" w:ascii="宋体" w:hAnsi="宋体" w:eastAsia="宋体" w:cs="宋体"/>
          <w:szCs w:val="21"/>
        </w:rPr>
      </w:pPr>
      <w:r>
        <w:rPr>
          <w:rFonts w:hint="eastAsia" w:ascii="宋体" w:hAnsi="宋体" w:eastAsia="宋体" w:cs="宋体"/>
          <w:szCs w:val="21"/>
        </w:rPr>
        <w:t>2、按采购需求逐项列出所需的各种费用。</w:t>
      </w:r>
    </w:p>
    <w:p>
      <w:pPr>
        <w:snapToGrid w:val="0"/>
        <w:spacing w:line="480" w:lineRule="exact"/>
        <w:ind w:firstLine="420" w:firstLineChars="200"/>
        <w:rPr>
          <w:rFonts w:hint="eastAsia" w:ascii="宋体" w:hAnsi="宋体" w:eastAsia="宋体" w:cs="宋体"/>
          <w:szCs w:val="21"/>
        </w:rPr>
      </w:pPr>
      <w:r>
        <w:rPr>
          <w:rFonts w:hint="eastAsia" w:ascii="宋体" w:hAnsi="宋体" w:eastAsia="宋体" w:cs="宋体"/>
          <w:szCs w:val="21"/>
        </w:rPr>
        <w:t>3、以上表格中各项可进一步细分，栏数不够可自加。</w:t>
      </w:r>
    </w:p>
    <w:p>
      <w:pPr>
        <w:snapToGrid w:val="0"/>
        <w:spacing w:line="480" w:lineRule="exact"/>
        <w:rPr>
          <w:rFonts w:hint="eastAsia" w:ascii="宋体" w:hAnsi="宋体" w:eastAsia="宋体" w:cs="宋体"/>
          <w:szCs w:val="21"/>
        </w:rPr>
      </w:pPr>
      <w:r>
        <w:rPr>
          <w:rFonts w:hint="eastAsia" w:ascii="宋体" w:hAnsi="宋体" w:eastAsia="宋体" w:cs="宋体"/>
          <w:szCs w:val="21"/>
        </w:rPr>
        <w:t>供应商（公章）：</w:t>
      </w:r>
    </w:p>
    <w:p>
      <w:pPr>
        <w:snapToGrid w:val="0"/>
        <w:spacing w:line="480" w:lineRule="exact"/>
        <w:rPr>
          <w:rFonts w:hint="eastAsia" w:ascii="宋体" w:hAnsi="宋体" w:eastAsia="宋体" w:cs="宋体"/>
          <w:szCs w:val="21"/>
        </w:rPr>
      </w:pPr>
      <w:r>
        <w:rPr>
          <w:rFonts w:hint="eastAsia" w:ascii="宋体" w:hAnsi="宋体" w:eastAsia="宋体" w:cs="宋体"/>
          <w:szCs w:val="21"/>
        </w:rPr>
        <w:t xml:space="preserve">法定代表人或其授权代表人（签字）：                                   </w:t>
      </w:r>
    </w:p>
    <w:p>
      <w:pPr>
        <w:snapToGrid w:val="0"/>
        <w:spacing w:line="480" w:lineRule="exact"/>
        <w:rPr>
          <w:rFonts w:hint="eastAsia" w:ascii="宋体" w:hAnsi="宋体" w:eastAsia="宋体" w:cs="宋体"/>
          <w:sz w:val="24"/>
          <w:szCs w:val="24"/>
        </w:rPr>
        <w:sectPr>
          <w:pgSz w:w="16838" w:h="11906" w:orient="landscape"/>
          <w:pgMar w:top="1247" w:right="1389" w:bottom="1247" w:left="1389" w:header="851" w:footer="992" w:gutter="284"/>
          <w:cols w:space="720" w:num="1"/>
          <w:docGrid w:linePitch="312" w:charSpace="0"/>
        </w:sectPr>
      </w:pPr>
      <w:r>
        <w:rPr>
          <w:rFonts w:hint="eastAsia" w:ascii="宋体" w:hAnsi="宋体" w:eastAsia="宋体" w:cs="宋体"/>
          <w:szCs w:val="21"/>
        </w:rPr>
        <w:t xml:space="preserve">日期： </w:t>
      </w:r>
    </w:p>
    <w:p>
      <w:pPr>
        <w:autoSpaceDE w:val="0"/>
        <w:autoSpaceDN w:val="0"/>
        <w:adjustRightInd w:val="0"/>
        <w:spacing w:line="312" w:lineRule="auto"/>
        <w:outlineLvl w:val="0"/>
        <w:rPr>
          <w:rFonts w:ascii="宋体" w:cs="宋体"/>
          <w:b/>
          <w:bCs/>
          <w:szCs w:val="21"/>
          <w:lang w:val="zh-CN"/>
        </w:rPr>
      </w:pPr>
      <w:bookmarkStart w:id="140" w:name="_Toc354401539"/>
      <w:bookmarkStart w:id="141" w:name="_Toc316887628"/>
      <w:bookmarkStart w:id="142" w:name="_Toc322352986"/>
      <w:bookmarkStart w:id="143" w:name="_Toc350256317"/>
      <w:bookmarkStart w:id="144" w:name="_Toc27195"/>
      <w:bookmarkStart w:id="145" w:name="_Toc8789"/>
    </w:p>
    <w:p>
      <w:pPr>
        <w:autoSpaceDE w:val="0"/>
        <w:autoSpaceDN w:val="0"/>
        <w:adjustRightInd w:val="0"/>
        <w:spacing w:line="312" w:lineRule="auto"/>
        <w:jc w:val="center"/>
        <w:outlineLvl w:val="0"/>
        <w:rPr>
          <w:rFonts w:ascii="宋体" w:cs="宋体"/>
          <w:b/>
          <w:bCs/>
          <w:szCs w:val="21"/>
        </w:rPr>
      </w:pPr>
      <w:r>
        <w:rPr>
          <w:rFonts w:hint="eastAsia" w:ascii="宋体" w:hAnsi="宋体" w:cs="宋体"/>
          <w:b/>
          <w:bCs/>
          <w:szCs w:val="21"/>
          <w:lang w:val="zh-CN"/>
        </w:rPr>
        <w:t>第六章评标办法及开标程序</w:t>
      </w:r>
      <w:bookmarkEnd w:id="140"/>
      <w:bookmarkEnd w:id="141"/>
      <w:bookmarkEnd w:id="142"/>
      <w:bookmarkEnd w:id="143"/>
      <w:bookmarkEnd w:id="144"/>
      <w:bookmarkEnd w:id="145"/>
    </w:p>
    <w:p>
      <w:pPr>
        <w:autoSpaceDE w:val="0"/>
        <w:autoSpaceDN w:val="0"/>
        <w:adjustRightInd w:val="0"/>
        <w:snapToGrid w:val="0"/>
        <w:spacing w:line="312" w:lineRule="auto"/>
        <w:ind w:left="425"/>
        <w:outlineLvl w:val="1"/>
        <w:rPr>
          <w:rFonts w:ascii="宋体" w:cs="宋体"/>
          <w:b/>
          <w:bCs/>
          <w:szCs w:val="21"/>
          <w:lang w:val="zh-CN"/>
        </w:rPr>
      </w:pPr>
      <w:bookmarkStart w:id="146" w:name="_Toc27354"/>
      <w:bookmarkStart w:id="147" w:name="_Toc28916"/>
      <w:r>
        <w:rPr>
          <w:rFonts w:hint="eastAsia" w:ascii="宋体" w:hAnsi="宋体" w:cs="宋体"/>
          <w:b/>
          <w:bCs/>
          <w:szCs w:val="21"/>
          <w:lang w:val="zh-CN"/>
        </w:rPr>
        <w:t>一、评标委员会的组成</w:t>
      </w:r>
      <w:bookmarkEnd w:id="146"/>
      <w:bookmarkEnd w:id="147"/>
    </w:p>
    <w:p>
      <w:pPr>
        <w:autoSpaceDE w:val="0"/>
        <w:autoSpaceDN w:val="0"/>
        <w:adjustRightInd w:val="0"/>
        <w:snapToGrid w:val="0"/>
        <w:spacing w:line="312" w:lineRule="auto"/>
        <w:ind w:firstLine="420" w:firstLineChars="200"/>
        <w:rPr>
          <w:rFonts w:ascii="宋体" w:cs="宋体"/>
          <w:szCs w:val="21"/>
        </w:rPr>
      </w:pPr>
      <w:r>
        <w:rPr>
          <w:rFonts w:ascii="宋体" w:hAnsi="宋体" w:cs="宋体"/>
          <w:szCs w:val="21"/>
        </w:rPr>
        <w:t>1.</w:t>
      </w:r>
      <w:r>
        <w:rPr>
          <w:rFonts w:hint="eastAsia" w:ascii="宋体" w:hAnsi="宋体" w:cs="宋体"/>
          <w:szCs w:val="21"/>
        </w:rPr>
        <w:t>评标委员会由</w:t>
      </w:r>
      <w:r>
        <w:rPr>
          <w:rFonts w:ascii="宋体" w:hAnsi="宋体" w:cs="宋体"/>
          <w:szCs w:val="21"/>
        </w:rPr>
        <w:t>5</w:t>
      </w:r>
      <w:r>
        <w:rPr>
          <w:rFonts w:hint="eastAsia" w:ascii="宋体" w:hAnsi="宋体" w:cs="宋体"/>
          <w:szCs w:val="21"/>
        </w:rPr>
        <w:t>人组成，由采购人依法组建。</w:t>
      </w:r>
    </w:p>
    <w:p>
      <w:pPr>
        <w:autoSpaceDE w:val="0"/>
        <w:autoSpaceDN w:val="0"/>
        <w:adjustRightInd w:val="0"/>
        <w:snapToGrid w:val="0"/>
        <w:spacing w:line="312" w:lineRule="auto"/>
        <w:ind w:firstLine="420" w:firstLineChars="200"/>
        <w:rPr>
          <w:rFonts w:ascii="宋体" w:cs="宋体"/>
          <w:szCs w:val="21"/>
        </w:rPr>
      </w:pPr>
      <w:r>
        <w:rPr>
          <w:rFonts w:ascii="宋体" w:hAnsi="宋体" w:cs="宋体"/>
          <w:szCs w:val="21"/>
        </w:rPr>
        <w:t>2.</w:t>
      </w:r>
      <w:r>
        <w:rPr>
          <w:rFonts w:hint="eastAsia" w:ascii="宋体" w:hAnsi="宋体" w:cs="宋体"/>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w:t>
      </w:r>
      <w:r>
        <w:rPr>
          <w:rFonts w:ascii="宋体" w:hAnsi="宋体" w:cs="宋体"/>
          <w:szCs w:val="21"/>
        </w:rPr>
        <w:t>30</w:t>
      </w:r>
      <w:r>
        <w:rPr>
          <w:rFonts w:hint="eastAsia" w:ascii="宋体" w:hAnsi="宋体" w:cs="宋体"/>
          <w:szCs w:val="21"/>
        </w:rPr>
        <w:t>分钟。</w:t>
      </w:r>
    </w:p>
    <w:p>
      <w:pPr>
        <w:autoSpaceDE w:val="0"/>
        <w:autoSpaceDN w:val="0"/>
        <w:adjustRightInd w:val="0"/>
        <w:snapToGrid w:val="0"/>
        <w:spacing w:line="312" w:lineRule="auto"/>
        <w:ind w:left="425"/>
        <w:outlineLvl w:val="1"/>
        <w:rPr>
          <w:rFonts w:ascii="宋体" w:cs="宋体"/>
          <w:b/>
          <w:bCs/>
          <w:szCs w:val="21"/>
          <w:lang w:val="zh-CN"/>
        </w:rPr>
      </w:pPr>
      <w:bookmarkStart w:id="148" w:name="_Toc3720"/>
      <w:bookmarkStart w:id="149" w:name="_Toc1085"/>
      <w:r>
        <w:rPr>
          <w:rFonts w:hint="eastAsia" w:ascii="宋体" w:hAnsi="宋体" w:cs="宋体"/>
          <w:b/>
          <w:bCs/>
          <w:szCs w:val="21"/>
          <w:lang w:val="zh-CN"/>
        </w:rPr>
        <w:t>二、评标原则</w:t>
      </w:r>
      <w:bookmarkEnd w:id="148"/>
      <w:bookmarkEnd w:id="149"/>
    </w:p>
    <w:p>
      <w:pPr>
        <w:snapToGrid w:val="0"/>
        <w:spacing w:line="312" w:lineRule="auto"/>
        <w:ind w:firstLine="420" w:firstLineChars="200"/>
        <w:rPr>
          <w:rFonts w:ascii="宋体" w:cs="宋体"/>
          <w:szCs w:val="21"/>
        </w:rPr>
      </w:pPr>
      <w:r>
        <w:rPr>
          <w:rFonts w:ascii="宋体" w:hAnsi="宋体" w:cs="宋体"/>
          <w:szCs w:val="21"/>
        </w:rPr>
        <w:t>3.</w:t>
      </w:r>
      <w:r>
        <w:rPr>
          <w:rFonts w:hint="eastAsia" w:ascii="宋体" w:hAnsi="宋体" w:cs="宋体"/>
          <w:szCs w:val="21"/>
        </w:rPr>
        <w:t>投标人得分由技术商务分和报价分合计组成，满分为</w:t>
      </w:r>
      <w:r>
        <w:rPr>
          <w:rFonts w:ascii="宋体" w:hAnsi="宋体" w:cs="宋体"/>
          <w:szCs w:val="21"/>
        </w:rPr>
        <w:t>100</w:t>
      </w:r>
      <w:r>
        <w:rPr>
          <w:rFonts w:hint="eastAsia" w:ascii="宋体" w:hAnsi="宋体" w:cs="宋体"/>
          <w:szCs w:val="21"/>
        </w:rPr>
        <w:t>分。</w:t>
      </w:r>
    </w:p>
    <w:p>
      <w:pPr>
        <w:snapToGrid w:val="0"/>
        <w:spacing w:line="312" w:lineRule="auto"/>
        <w:ind w:firstLine="420" w:firstLineChars="200"/>
        <w:rPr>
          <w:rFonts w:ascii="宋体" w:cs="宋体"/>
          <w:szCs w:val="21"/>
        </w:rPr>
      </w:pPr>
      <w:r>
        <w:rPr>
          <w:rFonts w:ascii="宋体" w:hAnsi="宋体" w:cs="宋体"/>
          <w:szCs w:val="21"/>
        </w:rPr>
        <w:t>4.</w:t>
      </w:r>
      <w:r>
        <w:rPr>
          <w:rFonts w:hint="eastAsia" w:ascii="宋体" w:hAnsi="宋体" w:cs="宋体"/>
          <w:szCs w:val="21"/>
        </w:rPr>
        <w:t>技术商务分与报价分合计得分最高者为第一中标候选人，总分相同时，价格低者优先，</w:t>
      </w:r>
      <w:r>
        <w:rPr>
          <w:rFonts w:hint="eastAsia" w:ascii="宋体" w:hAnsi="宋体" w:cs="宋体"/>
          <w:szCs w:val="21"/>
          <w:lang w:val="zh-CN"/>
        </w:rPr>
        <w:t>若最高总得分与报价均相同时，由采购人当场随机抽签选定第一中标候选人</w:t>
      </w:r>
      <w:r>
        <w:rPr>
          <w:rFonts w:hint="eastAsia" w:ascii="宋体" w:hAnsi="宋体" w:cs="宋体"/>
          <w:szCs w:val="21"/>
        </w:rPr>
        <w:t>。</w:t>
      </w:r>
    </w:p>
    <w:p>
      <w:pPr>
        <w:snapToGrid w:val="0"/>
        <w:spacing w:line="312" w:lineRule="auto"/>
        <w:ind w:firstLine="420" w:firstLineChars="200"/>
        <w:rPr>
          <w:rFonts w:ascii="宋体" w:cs="宋体"/>
          <w:szCs w:val="21"/>
        </w:rPr>
      </w:pPr>
      <w:r>
        <w:rPr>
          <w:rFonts w:ascii="宋体" w:hAnsi="宋体" w:cs="宋体"/>
          <w:szCs w:val="21"/>
        </w:rPr>
        <w:t>5.</w:t>
      </w:r>
      <w:r>
        <w:rPr>
          <w:rFonts w:hint="eastAsia" w:ascii="宋体" w:hAnsi="宋体" w:cs="宋体"/>
          <w:szCs w:val="21"/>
        </w:rPr>
        <w:t>评标委员会根据招标文件和投标文件，结合技术商务评分细则对各投标人的商务技术文件进行评审。评标委员会各成员所评分值的算术平均值即为各投标人的技术商务分值（计算时四舍五入保留二位小数）。</w:t>
      </w:r>
    </w:p>
    <w:p>
      <w:pPr>
        <w:autoSpaceDE w:val="0"/>
        <w:autoSpaceDN w:val="0"/>
        <w:adjustRightInd w:val="0"/>
        <w:snapToGrid w:val="0"/>
        <w:spacing w:line="312" w:lineRule="auto"/>
        <w:ind w:firstLine="420" w:firstLineChars="200"/>
        <w:rPr>
          <w:rFonts w:ascii="宋体" w:cs="宋体"/>
          <w:szCs w:val="21"/>
        </w:rPr>
      </w:pPr>
      <w:r>
        <w:rPr>
          <w:rFonts w:ascii="宋体" w:hAnsi="宋体" w:cs="宋体"/>
          <w:szCs w:val="21"/>
        </w:rPr>
        <w:t xml:space="preserve">6. </w:t>
      </w:r>
      <w:r>
        <w:rPr>
          <w:rFonts w:hint="eastAsia" w:ascii="宋体" w:hAnsi="宋体" w:cs="宋体"/>
          <w:szCs w:val="21"/>
        </w:rPr>
        <w:t>中标结果经采购人确认并经公示</w:t>
      </w:r>
      <w:r>
        <w:rPr>
          <w:rFonts w:ascii="宋体" w:hAnsi="宋体" w:cs="宋体"/>
          <w:szCs w:val="21"/>
        </w:rPr>
        <w:t>1</w:t>
      </w:r>
      <w:r>
        <w:rPr>
          <w:rFonts w:hint="eastAsia" w:ascii="宋体" w:hAnsi="宋体" w:cs="宋体"/>
          <w:szCs w:val="21"/>
        </w:rPr>
        <w:t>个工作日无异议，采购代理机构发出《中标通知书》。</w:t>
      </w:r>
    </w:p>
    <w:p>
      <w:pPr>
        <w:autoSpaceDE w:val="0"/>
        <w:autoSpaceDN w:val="0"/>
        <w:adjustRightInd w:val="0"/>
        <w:snapToGrid w:val="0"/>
        <w:spacing w:line="312" w:lineRule="auto"/>
        <w:ind w:left="425"/>
        <w:outlineLvl w:val="1"/>
        <w:rPr>
          <w:rFonts w:ascii="宋体" w:cs="宋体"/>
          <w:b/>
          <w:bCs/>
          <w:szCs w:val="21"/>
          <w:lang w:val="zh-CN"/>
        </w:rPr>
      </w:pPr>
      <w:bookmarkStart w:id="150" w:name="_Toc18178"/>
      <w:bookmarkStart w:id="151" w:name="_Toc6886"/>
      <w:r>
        <w:rPr>
          <w:rFonts w:hint="eastAsia" w:ascii="宋体" w:hAnsi="宋体" w:cs="宋体"/>
          <w:b/>
          <w:bCs/>
          <w:szCs w:val="21"/>
          <w:lang w:val="zh-CN"/>
        </w:rPr>
        <w:t>三、注意事项</w:t>
      </w:r>
      <w:bookmarkEnd w:id="150"/>
      <w:bookmarkEnd w:id="151"/>
    </w:p>
    <w:p>
      <w:pPr>
        <w:snapToGrid w:val="0"/>
        <w:spacing w:line="312" w:lineRule="auto"/>
        <w:ind w:firstLine="420" w:firstLineChars="200"/>
        <w:rPr>
          <w:rFonts w:ascii="宋体" w:cs="宋体"/>
          <w:szCs w:val="21"/>
        </w:rPr>
      </w:pPr>
      <w:r>
        <w:rPr>
          <w:rFonts w:ascii="宋体" w:hAnsi="宋体" w:cs="宋体"/>
          <w:szCs w:val="21"/>
        </w:rPr>
        <w:t>7.</w:t>
      </w: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代理机构应将该情况报同级财政部门，并视情将其列入不良供应商名单。</w:t>
      </w:r>
    </w:p>
    <w:p>
      <w:pPr>
        <w:autoSpaceDE w:val="0"/>
        <w:autoSpaceDN w:val="0"/>
        <w:adjustRightInd w:val="0"/>
        <w:snapToGrid w:val="0"/>
        <w:spacing w:line="312" w:lineRule="auto"/>
        <w:ind w:left="425"/>
        <w:outlineLvl w:val="1"/>
        <w:rPr>
          <w:rFonts w:ascii="宋体" w:cs="宋体"/>
          <w:b/>
          <w:bCs/>
          <w:szCs w:val="21"/>
          <w:lang w:val="zh-CN"/>
        </w:rPr>
      </w:pPr>
      <w:bookmarkStart w:id="152" w:name="_Toc554"/>
      <w:bookmarkStart w:id="153" w:name="_Toc28630"/>
      <w:r>
        <w:rPr>
          <w:rFonts w:hint="eastAsia" w:ascii="宋体" w:hAnsi="宋体" w:cs="宋体"/>
          <w:b/>
          <w:bCs/>
          <w:szCs w:val="21"/>
          <w:lang w:val="zh-CN"/>
        </w:rPr>
        <w:t>四、评分标准</w:t>
      </w:r>
      <w:bookmarkEnd w:id="152"/>
      <w:bookmarkEnd w:id="153"/>
    </w:p>
    <w:tbl>
      <w:tblPr>
        <w:tblStyle w:val="62"/>
        <w:tblW w:w="10316"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353"/>
        <w:gridCol w:w="1245"/>
        <w:gridCol w:w="6878"/>
        <w:gridCol w:w="840"/>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b/>
                <w:bCs/>
                <w:szCs w:val="21"/>
              </w:rPr>
            </w:pPr>
            <w:bookmarkStart w:id="154" w:name="_Toc13363"/>
            <w:bookmarkStart w:id="155" w:name="_Toc2080"/>
            <w:bookmarkStart w:id="156" w:name="_Toc356371476"/>
            <w:r>
              <w:rPr>
                <w:rFonts w:hint="eastAsia" w:ascii="宋体" w:hAnsi="宋体" w:cs="宋体"/>
                <w:sz w:val="24"/>
                <w:szCs w:val="24"/>
              </w:rPr>
              <w:t>评分内容</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b/>
                <w:bCs/>
                <w:szCs w:val="21"/>
              </w:rPr>
            </w:pPr>
            <w:r>
              <w:rPr>
                <w:rFonts w:hint="eastAsia" w:ascii="宋体" w:hAnsi="宋体" w:cs="宋体"/>
                <w:sz w:val="24"/>
                <w:szCs w:val="24"/>
              </w:rPr>
              <w:t>细则</w:t>
            </w:r>
          </w:p>
        </w:tc>
        <w:tc>
          <w:tcPr>
            <w:tcW w:w="68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eastAsia="宋体" w:cs="宋体"/>
                <w:b/>
                <w:bCs/>
                <w:szCs w:val="21"/>
              </w:rPr>
            </w:pPr>
            <w:r>
              <w:rPr>
                <w:rFonts w:hint="eastAsia" w:ascii="宋体" w:hAnsi="宋体" w:eastAsia="宋体" w:cs="宋体"/>
                <w:b/>
                <w:bCs/>
                <w:szCs w:val="21"/>
              </w:rPr>
              <w:t>细则内容</w:t>
            </w:r>
          </w:p>
        </w:tc>
        <w:tc>
          <w:tcPr>
            <w:tcW w:w="8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eastAsia="宋体" w:cs="宋体"/>
                <w:b/>
                <w:bCs/>
                <w:szCs w:val="21"/>
              </w:rPr>
            </w:pPr>
            <w:r>
              <w:rPr>
                <w:rFonts w:hint="eastAsia" w:ascii="宋体" w:hAnsi="宋体" w:eastAsia="宋体" w:cs="宋体"/>
                <w:b/>
                <w:bCs/>
                <w:szCs w:val="21"/>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353"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12" w:lineRule="auto"/>
              <w:rPr>
                <w:rFonts w:hint="eastAsia" w:ascii="宋体" w:hAnsi="宋体" w:eastAsia="宋体" w:cs="宋体"/>
                <w:b/>
                <w:bCs/>
                <w:szCs w:val="21"/>
                <w:lang w:eastAsia="zh-CN"/>
              </w:rPr>
            </w:pPr>
            <w:r>
              <w:rPr>
                <w:rFonts w:hint="eastAsia" w:ascii="宋体" w:hAnsi="宋体" w:eastAsia="宋体" w:cs="宋体"/>
                <w:b/>
                <w:bCs/>
                <w:szCs w:val="21"/>
              </w:rPr>
              <w:t>投标报价</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0-30分</w:t>
            </w:r>
            <w:r>
              <w:rPr>
                <w:rFonts w:hint="eastAsia" w:ascii="宋体" w:hAnsi="宋体" w:eastAsia="宋体" w:cs="宋体"/>
                <w:b/>
                <w:bCs/>
                <w:szCs w:val="21"/>
                <w:lang w:eastAsia="zh-CN"/>
              </w:rPr>
              <w:t>）</w:t>
            </w:r>
          </w:p>
        </w:tc>
        <w:tc>
          <w:tcPr>
            <w:tcW w:w="1245"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12" w:lineRule="auto"/>
              <w:rPr>
                <w:rFonts w:hint="eastAsia" w:ascii="宋体" w:hAnsi="宋体" w:eastAsia="宋体" w:cs="宋体"/>
                <w:b w:val="0"/>
                <w:bCs w:val="0"/>
                <w:szCs w:val="21"/>
              </w:rPr>
            </w:pPr>
            <w:r>
              <w:rPr>
                <w:rFonts w:hint="eastAsia" w:ascii="宋体" w:hAnsi="宋体" w:eastAsia="宋体" w:cs="宋体"/>
                <w:b w:val="0"/>
                <w:bCs w:val="0"/>
                <w:szCs w:val="21"/>
              </w:rPr>
              <w:t>报价</w:t>
            </w:r>
          </w:p>
        </w:tc>
        <w:tc>
          <w:tcPr>
            <w:tcW w:w="6878" w:type="dxa"/>
            <w:tcBorders>
              <w:top w:val="single" w:color="auto" w:sz="4" w:space="0"/>
              <w:left w:val="single" w:color="auto" w:sz="4" w:space="0"/>
              <w:right w:val="single" w:color="auto" w:sz="4" w:space="0"/>
            </w:tcBorders>
            <w:noWrap w:val="0"/>
            <w:vAlign w:val="center"/>
          </w:tcPr>
          <w:p>
            <w:pPr>
              <w:pStyle w:val="32"/>
              <w:snapToGrid w:val="0"/>
              <w:spacing w:line="312" w:lineRule="auto"/>
              <w:rPr>
                <w:rFonts w:hint="eastAsia" w:ascii="宋体" w:hAnsi="宋体" w:eastAsia="宋体" w:cs="宋体"/>
                <w:szCs w:val="21"/>
              </w:rPr>
            </w:pPr>
            <w:r>
              <w:rPr>
                <w:rFonts w:hint="eastAsia" w:ascii="宋体" w:hAnsi="宋体" w:eastAsia="宋体" w:cs="宋体"/>
                <w:szCs w:val="21"/>
              </w:rPr>
              <w:t>最高限价：人民币</w:t>
            </w:r>
            <w:r>
              <w:rPr>
                <w:rFonts w:hint="eastAsia" w:hAnsi="宋体" w:cs="宋体"/>
                <w:kern w:val="0"/>
                <w:szCs w:val="21"/>
                <w:lang w:val="en-US" w:eastAsia="zh-CN"/>
              </w:rPr>
              <w:t>1822942.00</w:t>
            </w:r>
            <w:r>
              <w:rPr>
                <w:rFonts w:hint="eastAsia" w:ascii="宋体" w:hAnsi="宋体" w:eastAsia="宋体" w:cs="宋体"/>
                <w:szCs w:val="21"/>
              </w:rPr>
              <w:t>元</w:t>
            </w:r>
          </w:p>
          <w:p>
            <w:pPr>
              <w:spacing w:line="312" w:lineRule="auto"/>
              <w:rPr>
                <w:rFonts w:hint="eastAsia" w:ascii="宋体" w:hAnsi="宋体" w:eastAsia="宋体" w:cs="宋体"/>
                <w:sz w:val="20"/>
                <w:szCs w:val="20"/>
              </w:rPr>
            </w:pPr>
            <w:r>
              <w:rPr>
                <w:rFonts w:hint="eastAsia" w:ascii="宋体" w:hAnsi="宋体" w:eastAsia="宋体" w:cs="宋体"/>
                <w:szCs w:val="21"/>
              </w:rPr>
              <w:t>基准价为满足评标要求且投标价格最低的投标报价，投标报价得分=(基准价／投标报价)×30%×100，四舍五入，保留两位小数。报价高于最高限价的，为无效投标文件。</w:t>
            </w:r>
          </w:p>
        </w:tc>
        <w:tc>
          <w:tcPr>
            <w:tcW w:w="840"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eastAsia="宋体" w:cs="宋体"/>
                <w:szCs w:val="21"/>
              </w:rPr>
            </w:pPr>
            <w:r>
              <w:rPr>
                <w:rFonts w:hint="eastAsia" w:ascii="宋体" w:hAnsi="宋体" w:eastAsia="宋体" w:cs="宋体"/>
                <w:szCs w:val="21"/>
              </w:rPr>
              <w:t>0-30分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rPr>
                <w:rFonts w:hint="eastAsia" w:ascii="宋体" w:hAnsi="宋体" w:eastAsia="宋体" w:cs="宋体"/>
                <w:b/>
                <w:bCs/>
                <w:szCs w:val="21"/>
                <w:lang w:eastAsia="zh-CN"/>
              </w:rPr>
            </w:pPr>
            <w:r>
              <w:rPr>
                <w:rFonts w:hint="eastAsia" w:ascii="宋体" w:hAnsi="宋体" w:eastAsia="宋体" w:cs="宋体"/>
                <w:b/>
                <w:bCs/>
                <w:szCs w:val="21"/>
              </w:rPr>
              <w:t>品牌情况</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1-6分</w:t>
            </w:r>
            <w:r>
              <w:rPr>
                <w:rFonts w:hint="eastAsia" w:ascii="宋体" w:hAnsi="宋体" w:eastAsia="宋体" w:cs="宋体"/>
                <w:b/>
                <w:bCs/>
                <w:szCs w:val="21"/>
                <w:lang w:eastAsia="zh-CN"/>
              </w:rPr>
              <w:t>）</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rPr>
                <w:rFonts w:hint="eastAsia" w:ascii="宋体" w:hAnsi="宋体" w:eastAsia="宋体" w:cs="宋体"/>
                <w:b w:val="0"/>
                <w:bCs w:val="0"/>
                <w:szCs w:val="21"/>
              </w:rPr>
            </w:pPr>
            <w:r>
              <w:rPr>
                <w:rFonts w:hint="eastAsia" w:ascii="宋体" w:hAnsi="宋体" w:eastAsia="宋体" w:cs="宋体"/>
                <w:b w:val="0"/>
                <w:bCs w:val="0"/>
                <w:szCs w:val="21"/>
              </w:rPr>
              <w:t>品牌情况</w:t>
            </w:r>
          </w:p>
        </w:tc>
        <w:tc>
          <w:tcPr>
            <w:tcW w:w="68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szCs w:val="21"/>
              </w:rPr>
            </w:pPr>
            <w:r>
              <w:rPr>
                <w:rFonts w:hint="eastAsia" w:ascii="宋体" w:hAnsi="宋体" w:eastAsia="宋体" w:cs="宋体"/>
                <w:szCs w:val="21"/>
              </w:rPr>
              <w:t>结合投标人所投</w:t>
            </w:r>
            <w:r>
              <w:rPr>
                <w:rFonts w:hint="eastAsia" w:ascii="宋体" w:hAnsi="宋体" w:eastAsia="宋体" w:cs="宋体"/>
                <w:szCs w:val="21"/>
                <w:lang w:val="en-US" w:eastAsia="zh-CN"/>
              </w:rPr>
              <w:t>所有设备</w:t>
            </w:r>
            <w:r>
              <w:rPr>
                <w:rFonts w:hint="eastAsia" w:ascii="宋体" w:hAnsi="宋体" w:eastAsia="宋体" w:cs="宋体"/>
                <w:szCs w:val="21"/>
              </w:rPr>
              <w:t>品牌、市场占有率及用户使用情况反馈等情况酌情打分。（需提供近三年来同类产品的生产、销售情况及主要用户清单等相关材料）由评委进行横向比较，品牌信誉度好、市场占有率高</w:t>
            </w:r>
            <w:r>
              <w:rPr>
                <w:rFonts w:hint="eastAsia" w:ascii="宋体" w:hAnsi="宋体" w:eastAsia="宋体" w:cs="宋体"/>
                <w:szCs w:val="21"/>
                <w:lang w:eastAsia="zh-CN"/>
              </w:rPr>
              <w:t>、</w:t>
            </w:r>
            <w:r>
              <w:rPr>
                <w:rFonts w:hint="eastAsia" w:ascii="宋体" w:hAnsi="宋体" w:eastAsia="宋体" w:cs="宋体"/>
                <w:szCs w:val="21"/>
                <w:lang w:val="en-US" w:eastAsia="zh-CN"/>
              </w:rPr>
              <w:t>用户使用情况反馈好</w:t>
            </w:r>
            <w:r>
              <w:rPr>
                <w:rFonts w:hint="eastAsia" w:ascii="宋体" w:hAnsi="宋体" w:eastAsia="宋体" w:cs="宋体"/>
                <w:szCs w:val="21"/>
              </w:rPr>
              <w:t>的得</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分，品牌信誉度较好、市场占有率较高</w:t>
            </w:r>
            <w:r>
              <w:rPr>
                <w:rFonts w:hint="eastAsia" w:ascii="宋体" w:hAnsi="宋体" w:eastAsia="宋体" w:cs="宋体"/>
                <w:szCs w:val="21"/>
                <w:lang w:eastAsia="zh-CN"/>
              </w:rPr>
              <w:t>、</w:t>
            </w:r>
            <w:r>
              <w:rPr>
                <w:rFonts w:hint="eastAsia" w:ascii="宋体" w:hAnsi="宋体" w:eastAsia="宋体" w:cs="宋体"/>
                <w:szCs w:val="21"/>
                <w:lang w:val="en-US" w:eastAsia="zh-CN"/>
              </w:rPr>
              <w:t>用户使用情况反馈较好</w:t>
            </w:r>
            <w:r>
              <w:rPr>
                <w:rFonts w:hint="eastAsia" w:ascii="宋体" w:hAnsi="宋体" w:eastAsia="宋体" w:cs="宋体"/>
                <w:szCs w:val="21"/>
              </w:rPr>
              <w:t>的</w:t>
            </w:r>
            <w:r>
              <w:rPr>
                <w:rFonts w:hint="eastAsia" w:ascii="宋体" w:hAnsi="宋体" w:eastAsia="宋体" w:cs="宋体"/>
                <w:szCs w:val="21"/>
                <w:lang w:val="en-US" w:eastAsia="zh-CN"/>
              </w:rPr>
              <w:t>2</w:t>
            </w: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分，品牌信誉度一般、市场占有率一般</w:t>
            </w:r>
            <w:r>
              <w:rPr>
                <w:rFonts w:hint="eastAsia" w:ascii="宋体" w:hAnsi="宋体" w:eastAsia="宋体" w:cs="宋体"/>
                <w:szCs w:val="21"/>
                <w:lang w:eastAsia="zh-CN"/>
              </w:rPr>
              <w:t>、</w:t>
            </w:r>
            <w:r>
              <w:rPr>
                <w:rFonts w:hint="eastAsia" w:ascii="宋体" w:hAnsi="宋体" w:eastAsia="宋体" w:cs="宋体"/>
                <w:szCs w:val="21"/>
                <w:lang w:val="en-US" w:eastAsia="zh-CN"/>
              </w:rPr>
              <w:t>用户使用情况反馈一般</w:t>
            </w:r>
            <w:r>
              <w:rPr>
                <w:rFonts w:hint="eastAsia" w:ascii="宋体" w:hAnsi="宋体" w:eastAsia="宋体" w:cs="宋体"/>
                <w:szCs w:val="21"/>
              </w:rPr>
              <w:t>的得</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353"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12"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设备（10-36分）</w:t>
            </w:r>
          </w:p>
        </w:tc>
        <w:tc>
          <w:tcPr>
            <w:tcW w:w="1245"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12" w:lineRule="auto"/>
              <w:rPr>
                <w:rFonts w:hint="eastAsia" w:ascii="宋体" w:hAnsi="宋体" w:eastAsia="宋体" w:cs="宋体"/>
                <w:b w:val="0"/>
                <w:bCs w:val="0"/>
                <w:szCs w:val="21"/>
              </w:rPr>
            </w:pPr>
            <w:r>
              <w:rPr>
                <w:rFonts w:hint="eastAsia" w:ascii="宋体" w:hAnsi="宋体" w:eastAsia="宋体" w:cs="宋体"/>
                <w:b w:val="0"/>
                <w:bCs w:val="0"/>
                <w:szCs w:val="21"/>
              </w:rPr>
              <w:t>性能指标及技术偏离</w:t>
            </w:r>
          </w:p>
        </w:tc>
        <w:tc>
          <w:tcPr>
            <w:tcW w:w="6878" w:type="dxa"/>
            <w:tcBorders>
              <w:top w:val="single" w:color="auto" w:sz="4" w:space="0"/>
              <w:left w:val="single" w:color="auto" w:sz="4" w:space="0"/>
              <w:right w:val="single" w:color="auto" w:sz="4" w:space="0"/>
            </w:tcBorders>
            <w:noWrap w:val="0"/>
            <w:vAlign w:val="center"/>
          </w:tcPr>
          <w:p>
            <w:pPr>
              <w:snapToGrid w:val="0"/>
              <w:spacing w:line="312" w:lineRule="auto"/>
              <w:jc w:val="left"/>
              <w:rPr>
                <w:rFonts w:hint="eastAsia" w:ascii="宋体" w:hAnsi="宋体" w:eastAsia="宋体" w:cs="宋体"/>
                <w:szCs w:val="21"/>
              </w:rPr>
            </w:pPr>
            <w:r>
              <w:rPr>
                <w:rFonts w:hint="eastAsia" w:ascii="宋体" w:hAnsi="宋体" w:eastAsia="宋体" w:cs="宋体"/>
                <w:szCs w:val="21"/>
              </w:rPr>
              <w:t>按采购性能指标要求，</w:t>
            </w:r>
            <w:r>
              <w:rPr>
                <w:rFonts w:hint="eastAsia" w:ascii="宋体" w:hAnsi="宋体" w:eastAsia="宋体" w:cs="宋体"/>
                <w:szCs w:val="21"/>
                <w:lang w:eastAsia="zh-CN"/>
              </w:rPr>
              <w:t>带</w:t>
            </w:r>
            <w:r>
              <w:rPr>
                <w:rFonts w:hint="eastAsia" w:ascii="宋体" w:hAnsi="宋体" w:eastAsia="宋体" w:cs="宋体"/>
                <w:szCs w:val="21"/>
              </w:rPr>
              <w:t>“▲”</w:t>
            </w:r>
            <w:r>
              <w:rPr>
                <w:rFonts w:hint="eastAsia" w:ascii="宋体" w:hAnsi="宋体" w:eastAsia="宋体" w:cs="宋体"/>
                <w:szCs w:val="21"/>
                <w:lang w:eastAsia="zh-CN"/>
              </w:rPr>
              <w:t>的技术参数为实质性响应条款</w:t>
            </w:r>
            <w:r>
              <w:rPr>
                <w:rFonts w:hint="eastAsia" w:ascii="宋体" w:hAnsi="宋体" w:eastAsia="宋体" w:cs="宋体"/>
                <w:szCs w:val="21"/>
              </w:rPr>
              <w:t>；对不带“★”的技术参数属负偏离或缺漏项的每项扣1分，对带</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的指标有负偏离或缺漏项的每项扣</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val="en-US" w:eastAsia="zh-CN"/>
              </w:rPr>
              <w:t>最多扣20分</w:t>
            </w:r>
            <w:r>
              <w:rPr>
                <w:rFonts w:hint="eastAsia" w:ascii="宋体" w:hAnsi="宋体" w:eastAsia="宋体" w:cs="宋体"/>
                <w:szCs w:val="21"/>
              </w:rPr>
              <w:t>；</w:t>
            </w:r>
            <w:r>
              <w:rPr>
                <w:rFonts w:hint="eastAsia" w:ascii="宋体" w:hAnsi="宋体" w:eastAsia="宋体" w:cs="宋体"/>
                <w:szCs w:val="21"/>
                <w:lang w:eastAsia="zh-CN"/>
              </w:rPr>
              <w:t>需提供原厂产品技术参数</w:t>
            </w:r>
            <w:r>
              <w:rPr>
                <w:rFonts w:hint="eastAsia" w:ascii="宋体" w:hAnsi="宋体" w:eastAsia="宋体" w:cs="宋体"/>
                <w:szCs w:val="21"/>
                <w:lang w:val="en-US" w:eastAsia="zh-CN"/>
              </w:rPr>
              <w:t>DATASHEET并加盖原厂公章，</w:t>
            </w:r>
            <w:r>
              <w:rPr>
                <w:rFonts w:hint="eastAsia" w:ascii="宋体" w:hAnsi="宋体" w:eastAsia="宋体" w:cs="宋体"/>
                <w:szCs w:val="21"/>
              </w:rPr>
              <w:t>未提供原厂产品技术参数DATASHEET</w:t>
            </w:r>
            <w:r>
              <w:rPr>
                <w:rFonts w:hint="eastAsia" w:ascii="宋体" w:hAnsi="宋体" w:eastAsia="宋体" w:cs="宋体"/>
                <w:szCs w:val="21"/>
                <w:lang w:eastAsia="zh-CN"/>
              </w:rPr>
              <w:t>或未加盖厂家公章的</w:t>
            </w:r>
            <w:r>
              <w:rPr>
                <w:rFonts w:hint="eastAsia" w:ascii="宋体" w:hAnsi="宋体" w:eastAsia="宋体" w:cs="宋体"/>
                <w:szCs w:val="21"/>
              </w:rPr>
              <w:t>该项不得分。</w:t>
            </w:r>
          </w:p>
        </w:tc>
        <w:tc>
          <w:tcPr>
            <w:tcW w:w="840"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-3</w:t>
            </w:r>
            <w:r>
              <w:rPr>
                <w:rFonts w:hint="eastAsia" w:ascii="宋体" w:hAnsi="宋体" w:eastAsia="宋体" w:cs="宋体"/>
                <w:szCs w:val="21"/>
                <w:lang w:val="en-US" w:eastAsia="zh-CN"/>
              </w:rPr>
              <w:t>0</w:t>
            </w:r>
            <w:r>
              <w:rPr>
                <w:rFonts w:hint="eastAsia" w:ascii="宋体" w:hAnsi="宋体" w:eastAsia="宋体" w:cs="宋体"/>
                <w:szCs w:val="21"/>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353" w:type="dxa"/>
            <w:vMerge w:val="continue"/>
            <w:tcBorders>
              <w:left w:val="single" w:color="auto" w:sz="4" w:space="0"/>
              <w:right w:val="single" w:color="auto" w:sz="4" w:space="0"/>
            </w:tcBorders>
            <w:noWrap w:val="0"/>
            <w:vAlign w:val="center"/>
          </w:tcPr>
          <w:p>
            <w:pPr>
              <w:snapToGrid w:val="0"/>
              <w:jc w:val="left"/>
              <w:rPr>
                <w:rFonts w:hint="eastAsia" w:ascii="宋体" w:hAnsi="宋体" w:eastAsia="宋体" w:cs="宋体"/>
                <w:b/>
                <w:bCs/>
                <w:szCs w:val="21"/>
              </w:rPr>
            </w:pPr>
          </w:p>
        </w:tc>
        <w:tc>
          <w:tcPr>
            <w:tcW w:w="1245" w:type="dxa"/>
            <w:tcBorders>
              <w:top w:val="single" w:color="auto" w:sz="4" w:space="0"/>
              <w:left w:val="single" w:color="auto" w:sz="4" w:space="0"/>
              <w:right w:val="single" w:color="auto" w:sz="4" w:space="0"/>
            </w:tcBorders>
            <w:noWrap w:val="0"/>
            <w:vAlign w:val="center"/>
          </w:tcPr>
          <w:p>
            <w:pPr>
              <w:snapToGrid w:val="0"/>
              <w:jc w:val="left"/>
              <w:rPr>
                <w:rFonts w:hint="eastAsia" w:ascii="宋体" w:hAnsi="宋体" w:eastAsia="宋体" w:cs="宋体"/>
                <w:b w:val="0"/>
                <w:bCs w:val="0"/>
                <w:szCs w:val="21"/>
              </w:rPr>
            </w:pPr>
            <w:r>
              <w:rPr>
                <w:rFonts w:hint="eastAsia" w:ascii="宋体" w:hAnsi="宋体" w:eastAsia="宋体" w:cs="宋体"/>
                <w:b w:val="0"/>
                <w:bCs w:val="0"/>
                <w:szCs w:val="21"/>
              </w:rPr>
              <w:t>总体功能及性能</w:t>
            </w:r>
          </w:p>
        </w:tc>
        <w:tc>
          <w:tcPr>
            <w:tcW w:w="6878" w:type="dxa"/>
            <w:tcBorders>
              <w:top w:val="single" w:color="auto" w:sz="4" w:space="0"/>
              <w:left w:val="single" w:color="auto" w:sz="4" w:space="0"/>
              <w:right w:val="single" w:color="auto" w:sz="4" w:space="0"/>
            </w:tcBorders>
            <w:noWrap w:val="0"/>
            <w:vAlign w:val="center"/>
          </w:tcPr>
          <w:p>
            <w:pPr>
              <w:snapToGrid w:val="0"/>
              <w:spacing w:line="312" w:lineRule="auto"/>
              <w:jc w:val="left"/>
              <w:rPr>
                <w:rFonts w:hint="eastAsia" w:ascii="宋体" w:hAnsi="宋体" w:eastAsia="宋体" w:cs="宋体"/>
                <w:szCs w:val="21"/>
              </w:rPr>
            </w:pPr>
            <w:r>
              <w:rPr>
                <w:rFonts w:hint="eastAsia" w:ascii="宋体" w:hAnsi="宋体" w:eastAsia="宋体" w:cs="宋体"/>
                <w:szCs w:val="21"/>
              </w:rPr>
              <w:t>根据所投</w:t>
            </w:r>
            <w:r>
              <w:rPr>
                <w:rFonts w:hint="eastAsia" w:ascii="宋体" w:hAnsi="宋体" w:eastAsia="宋体" w:cs="宋体"/>
                <w:szCs w:val="21"/>
                <w:lang w:val="en-US" w:eastAsia="zh-CN"/>
              </w:rPr>
              <w:t>所有</w:t>
            </w:r>
            <w:r>
              <w:rPr>
                <w:rFonts w:hint="eastAsia" w:ascii="宋体" w:hAnsi="宋体" w:eastAsia="宋体" w:cs="宋体"/>
                <w:szCs w:val="21"/>
              </w:rPr>
              <w:t>产品的主要功能及适用范围与招标文件要求的符合程度，设备先进、稳定可靠的得</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分，较先进、较稳定可靠的得</w:t>
            </w:r>
            <w:r>
              <w:rPr>
                <w:rFonts w:hint="eastAsia" w:ascii="宋体" w:hAnsi="宋体" w:eastAsia="宋体" w:cs="宋体"/>
                <w:szCs w:val="21"/>
                <w:lang w:val="en-US" w:eastAsia="zh-CN"/>
              </w:rPr>
              <w:t>2</w:t>
            </w: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分，不先进、不稳定可靠的得</w:t>
            </w:r>
            <w:r>
              <w:rPr>
                <w:rFonts w:hint="eastAsia" w:ascii="宋体" w:hAnsi="宋体" w:eastAsia="宋体" w:cs="宋体"/>
                <w:szCs w:val="21"/>
                <w:lang w:val="en-US" w:eastAsia="zh-CN"/>
              </w:rPr>
              <w:t>0</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分。</w:t>
            </w:r>
          </w:p>
        </w:tc>
        <w:tc>
          <w:tcPr>
            <w:tcW w:w="840" w:type="dxa"/>
            <w:tcBorders>
              <w:top w:val="single" w:color="auto" w:sz="4" w:space="0"/>
              <w:left w:val="single" w:color="auto" w:sz="4" w:space="0"/>
              <w:right w:val="single" w:color="auto" w:sz="4" w:space="0"/>
            </w:tcBorders>
            <w:noWrap w:val="0"/>
            <w:vAlign w:val="center"/>
          </w:tcPr>
          <w:p>
            <w:pPr>
              <w:snapToGrid w:val="0"/>
              <w:spacing w:line="312" w:lineRule="auto"/>
              <w:jc w:val="left"/>
              <w:rPr>
                <w:rFonts w:hint="eastAsia" w:ascii="宋体" w:hAnsi="宋体" w:eastAsia="宋体" w:cs="宋体"/>
                <w:szCs w:val="21"/>
              </w:rPr>
            </w:pPr>
            <w:r>
              <w:rPr>
                <w:rFonts w:hint="eastAsia" w:ascii="宋体" w:hAnsi="宋体" w:eastAsia="宋体" w:cs="宋体"/>
                <w:szCs w:val="21"/>
                <w:lang w:val="en-US" w:eastAsia="zh-CN"/>
              </w:rPr>
              <w:t>0</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供货、安装、调试、验收的方案和措施（1-6分）</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r>
              <w:rPr>
                <w:rFonts w:hint="eastAsia" w:ascii="宋体" w:hAnsi="宋体" w:eastAsia="宋体" w:cs="宋体"/>
                <w:b w:val="0"/>
                <w:bCs w:val="0"/>
                <w:szCs w:val="21"/>
              </w:rPr>
              <w:t>供货、安装、调试、验收的方案和措施</w:t>
            </w:r>
          </w:p>
        </w:tc>
        <w:tc>
          <w:tcPr>
            <w:tcW w:w="68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szCs w:val="21"/>
              </w:rPr>
            </w:pPr>
            <w:r>
              <w:rPr>
                <w:rFonts w:hint="eastAsia" w:ascii="宋体" w:hAnsi="宋体" w:eastAsia="宋体" w:cs="宋体"/>
                <w:szCs w:val="21"/>
              </w:rPr>
              <w:t>根据方案和措施科学有效、优劣程度有无缺陷等情况综合打分，由评委进行横向比较，科学有效、详细完整的得</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分，较科学有效、较详细完整的得</w:t>
            </w:r>
            <w:r>
              <w:rPr>
                <w:rFonts w:hint="eastAsia" w:ascii="宋体" w:hAnsi="宋体" w:eastAsia="宋体" w:cs="宋体"/>
                <w:szCs w:val="21"/>
                <w:lang w:val="en-US" w:eastAsia="zh-CN"/>
              </w:rPr>
              <w:t>2</w:t>
            </w: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分，不科学有效、不详细完整的得</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分。</w:t>
            </w:r>
          </w:p>
        </w:tc>
        <w:tc>
          <w:tcPr>
            <w:tcW w:w="840" w:type="dxa"/>
            <w:tcBorders>
              <w:top w:val="single" w:color="auto" w:sz="4" w:space="0"/>
              <w:left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优惠承诺（0-5分）</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优惠承诺</w:t>
            </w:r>
          </w:p>
        </w:tc>
        <w:tc>
          <w:tcPr>
            <w:tcW w:w="687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12"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根据投标人承诺给予招标人的各种优惠条件，包括易损备品备件等方面的优惠等进行横向对比，酌情打分。各项优惠条件好、优惠力度高的得4.1-5分，各项优惠条件较好、优惠力度较高的得2.1-4分，各项优惠条件一般、优惠力度一般的得0-2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121" w:hRule="atLeast"/>
          <w:jc w:val="center"/>
        </w:trPr>
        <w:tc>
          <w:tcPr>
            <w:tcW w:w="1353"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b/>
                <w:bCs/>
                <w:szCs w:val="21"/>
                <w:lang w:eastAsia="zh-CN"/>
              </w:rPr>
            </w:pPr>
            <w:r>
              <w:rPr>
                <w:rFonts w:hint="eastAsia" w:ascii="宋体" w:hAnsi="宋体" w:eastAsia="宋体" w:cs="宋体"/>
                <w:b/>
                <w:bCs/>
                <w:szCs w:val="21"/>
              </w:rPr>
              <w:t>售后服务、培训及服务承诺</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2-17分</w:t>
            </w:r>
            <w:r>
              <w:rPr>
                <w:rFonts w:hint="eastAsia" w:ascii="宋体" w:hAnsi="宋体" w:eastAsia="宋体" w:cs="宋体"/>
                <w:b/>
                <w:bCs/>
                <w:szCs w:val="21"/>
                <w:lang w:eastAsia="zh-CN"/>
              </w:rPr>
              <w:t>）</w:t>
            </w:r>
          </w:p>
        </w:tc>
        <w:tc>
          <w:tcPr>
            <w:tcW w:w="1245" w:type="dxa"/>
            <w:vMerge w:val="restart"/>
            <w:tcBorders>
              <w:top w:val="single" w:color="auto" w:sz="4" w:space="0"/>
              <w:left w:val="single" w:color="auto" w:sz="4" w:space="0"/>
              <w:right w:val="single" w:color="auto" w:sz="4" w:space="0"/>
            </w:tcBorders>
            <w:noWrap w:val="0"/>
            <w:vAlign w:val="center"/>
          </w:tcPr>
          <w:p>
            <w:pPr>
              <w:widowControl/>
              <w:snapToGrid w:val="0"/>
              <w:spacing w:line="312" w:lineRule="auto"/>
              <w:jc w:val="left"/>
              <w:rPr>
                <w:rFonts w:hint="default" w:ascii="宋体" w:hAnsi="宋体" w:eastAsia="宋体" w:cs="宋体"/>
                <w:b w:val="0"/>
                <w:bCs w:val="0"/>
                <w:szCs w:val="21"/>
                <w:lang w:val="en-US" w:eastAsia="zh-CN"/>
              </w:rPr>
            </w:pPr>
            <w:r>
              <w:rPr>
                <w:rFonts w:hint="eastAsia" w:ascii="宋体" w:hAnsi="宋体" w:eastAsia="宋体" w:cs="宋体"/>
                <w:b w:val="0"/>
                <w:bCs w:val="0"/>
                <w:szCs w:val="21"/>
              </w:rPr>
              <w:t>售后服务</w:t>
            </w:r>
            <w:r>
              <w:rPr>
                <w:rFonts w:hint="eastAsia" w:ascii="宋体" w:hAnsi="宋体" w:eastAsia="宋体" w:cs="宋体"/>
                <w:b w:val="0"/>
                <w:bCs w:val="0"/>
                <w:szCs w:val="21"/>
                <w:lang w:val="en-US" w:eastAsia="zh-CN"/>
              </w:rPr>
              <w:t>及服务机构</w:t>
            </w:r>
          </w:p>
        </w:tc>
        <w:tc>
          <w:tcPr>
            <w:tcW w:w="68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szCs w:val="21"/>
              </w:rPr>
            </w:pPr>
            <w:r>
              <w:rPr>
                <w:rFonts w:hint="eastAsia" w:ascii="宋体" w:hAnsi="宋体" w:eastAsia="宋体" w:cs="宋体"/>
                <w:szCs w:val="21"/>
              </w:rPr>
              <w:t>根据售后服务承诺的范围和供应商提供的服务情况（a、维护保障人员组织；b、服务内容、服务范围情况；c、响应时间、故障修复时间及保障制度情况；d、维护制度情况）综合打分。（0-3分）维护保障人员组织技术力量强大、服务内容详细、服务范围广、响应时间及故障修复时间短、制度合理的得2.1-3分，维护保障人员组织技术力量较强大、服务内容较详细、服务范围较广、响应时间及故障修复时间较短、制度较合理的得1.1-2分，维护保障人员组织技术力量不强大、服务内容不详细、服务范围较小、响应时间及故障修复时间较长、制度不合理的的得0-1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szCs w:val="21"/>
              </w:rPr>
            </w:pPr>
            <w:r>
              <w:rPr>
                <w:rFonts w:hint="eastAsia" w:ascii="宋体" w:hAnsi="宋体" w:eastAsia="宋体" w:cs="宋体"/>
                <w:szCs w:val="21"/>
              </w:rPr>
              <w:t>0-3分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353" w:type="dxa"/>
            <w:vMerge w:val="continue"/>
            <w:tcBorders>
              <w:left w:val="single" w:color="auto" w:sz="4" w:space="0"/>
              <w:right w:val="single" w:color="auto" w:sz="4" w:space="0"/>
            </w:tcBorders>
            <w:noWrap w:val="0"/>
            <w:vAlign w:val="center"/>
          </w:tcPr>
          <w:p>
            <w:pPr>
              <w:widowControl/>
              <w:snapToGrid w:val="0"/>
              <w:spacing w:line="312" w:lineRule="auto"/>
              <w:jc w:val="left"/>
            </w:pPr>
          </w:p>
        </w:tc>
        <w:tc>
          <w:tcPr>
            <w:tcW w:w="1245" w:type="dxa"/>
            <w:vMerge w:val="continue"/>
            <w:tcBorders>
              <w:left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p>
        </w:tc>
        <w:tc>
          <w:tcPr>
            <w:tcW w:w="68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r>
              <w:rPr>
                <w:rFonts w:hint="eastAsia" w:ascii="宋体" w:hAnsi="宋体" w:eastAsia="宋体" w:cs="宋体"/>
                <w:szCs w:val="21"/>
              </w:rPr>
              <w:t>承诺软件终生免费升级</w:t>
            </w:r>
            <w:r>
              <w:rPr>
                <w:rFonts w:hint="eastAsia" w:ascii="宋体" w:hAnsi="宋体" w:eastAsia="宋体" w:cs="宋体"/>
                <w:szCs w:val="21"/>
                <w:lang w:eastAsia="zh-CN"/>
              </w:rPr>
              <w:t>，</w:t>
            </w:r>
            <w:r>
              <w:rPr>
                <w:rFonts w:hint="eastAsia" w:ascii="宋体" w:hAnsi="宋体" w:eastAsia="宋体" w:cs="宋体"/>
                <w:szCs w:val="21"/>
              </w:rPr>
              <w:t>每12个月提供一次免费的设备保养</w:t>
            </w:r>
            <w:r>
              <w:rPr>
                <w:rFonts w:hint="eastAsia" w:ascii="宋体" w:hAnsi="宋体" w:eastAsia="宋体" w:cs="宋体"/>
                <w:szCs w:val="21"/>
                <w:lang w:val="en-US" w:eastAsia="zh-CN"/>
              </w:rPr>
              <w:t>的得2分。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0-2分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353" w:type="dxa"/>
            <w:vMerge w:val="continue"/>
            <w:tcBorders>
              <w:left w:val="single" w:color="auto" w:sz="4" w:space="0"/>
              <w:right w:val="single" w:color="auto" w:sz="4" w:space="0"/>
            </w:tcBorders>
            <w:noWrap w:val="0"/>
            <w:vAlign w:val="center"/>
          </w:tcPr>
          <w:p>
            <w:pPr>
              <w:widowControl/>
              <w:snapToGrid w:val="0"/>
              <w:spacing w:line="312" w:lineRule="auto"/>
              <w:jc w:val="left"/>
            </w:pPr>
          </w:p>
        </w:tc>
        <w:tc>
          <w:tcPr>
            <w:tcW w:w="1245" w:type="dxa"/>
            <w:vMerge w:val="continue"/>
            <w:tcBorders>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p>
        </w:tc>
        <w:tc>
          <w:tcPr>
            <w:tcW w:w="68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default" w:ascii="宋体" w:hAnsi="宋体" w:eastAsia="宋体" w:cs="宋体"/>
                <w:szCs w:val="21"/>
                <w:lang w:val="en-US" w:eastAsia="zh-CN"/>
              </w:rPr>
            </w:pPr>
            <w:r>
              <w:rPr>
                <w:rFonts w:hint="eastAsia" w:ascii="宋体" w:hAnsi="宋体" w:eastAsia="宋体" w:cs="宋体"/>
                <w:szCs w:val="21"/>
              </w:rPr>
              <w:t>供应商或设备原厂商在衢州市</w:t>
            </w:r>
            <w:r>
              <w:rPr>
                <w:rFonts w:hint="eastAsia" w:ascii="宋体" w:hAnsi="宋体" w:eastAsia="宋体" w:cs="宋体"/>
                <w:szCs w:val="21"/>
                <w:lang w:eastAsia="zh-CN"/>
              </w:rPr>
              <w:t>范围内</w:t>
            </w:r>
            <w:r>
              <w:rPr>
                <w:rFonts w:hint="eastAsia" w:ascii="宋体" w:hAnsi="宋体" w:eastAsia="宋体" w:cs="宋体"/>
                <w:szCs w:val="21"/>
              </w:rPr>
              <w:t>设有或承诺中标以后设立售后服务机构的得2分；在衢州市外浙江省内设有售后服务机构的得1分；其他不得分。（须提供售后服务机构的工商注册证明及服务授权书复印件或中标以后设立售后服务机构的承诺书原件）。（0-2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r>
              <w:rPr>
                <w:rFonts w:hint="eastAsia" w:ascii="宋体" w:hAnsi="宋体" w:eastAsia="宋体" w:cs="宋体"/>
                <w:szCs w:val="21"/>
              </w:rPr>
              <w:t>0-2分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522" w:hRule="atLeast"/>
          <w:jc w:val="center"/>
        </w:trPr>
        <w:tc>
          <w:tcPr>
            <w:tcW w:w="1353" w:type="dxa"/>
            <w:vMerge w:val="continue"/>
            <w:tcBorders>
              <w:left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质保期后</w:t>
            </w:r>
            <w:r>
              <w:rPr>
                <w:rFonts w:hint="eastAsia" w:ascii="宋体" w:hAnsi="宋体" w:eastAsia="宋体" w:cs="宋体"/>
                <w:b w:val="0"/>
                <w:bCs w:val="0"/>
                <w:szCs w:val="21"/>
              </w:rPr>
              <w:t>服务承诺</w:t>
            </w:r>
          </w:p>
        </w:tc>
        <w:tc>
          <w:tcPr>
            <w:tcW w:w="68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r>
              <w:rPr>
                <w:rFonts w:hint="eastAsia" w:ascii="宋体" w:hAnsi="宋体" w:eastAsia="宋体" w:cs="宋体"/>
                <w:szCs w:val="21"/>
              </w:rPr>
              <w:t>根据供应商承诺质保期后的服务标准、费用</w:t>
            </w:r>
            <w:r>
              <w:rPr>
                <w:rFonts w:hint="eastAsia" w:ascii="宋体" w:hAnsi="宋体" w:eastAsia="宋体" w:cs="宋体"/>
                <w:szCs w:val="21"/>
                <w:lang w:eastAsia="zh-CN"/>
              </w:rPr>
              <w:t>（提供案例中售后维修材料销售清单或承诺清单）</w:t>
            </w:r>
            <w:r>
              <w:rPr>
                <w:rFonts w:hint="eastAsia" w:ascii="宋体" w:hAnsi="宋体" w:eastAsia="宋体" w:cs="宋体"/>
                <w:szCs w:val="21"/>
              </w:rPr>
              <w:t>等酌情打分。服务标准高、费用合理的得</w:t>
            </w:r>
            <w:r>
              <w:rPr>
                <w:rFonts w:hint="eastAsia" w:ascii="宋体" w:hAnsi="宋体" w:eastAsia="宋体" w:cs="宋体"/>
                <w:szCs w:val="21"/>
                <w:lang w:val="en-US" w:eastAsia="zh-CN"/>
              </w:rPr>
              <w:t>4.1</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分，服务标准较高、费用较合理的得</w:t>
            </w:r>
            <w:r>
              <w:rPr>
                <w:rFonts w:hint="eastAsia" w:ascii="宋体" w:hAnsi="宋体" w:eastAsia="宋体" w:cs="宋体"/>
                <w:szCs w:val="21"/>
                <w:lang w:val="en-US" w:eastAsia="zh-CN"/>
              </w:rPr>
              <w:t>2.6</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分，服务标准不高、费用不合理的得</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2.5</w:t>
            </w:r>
            <w:r>
              <w:rPr>
                <w:rFonts w:hint="eastAsia" w:ascii="宋体" w:hAnsi="宋体" w:eastAsia="宋体" w:cs="宋体"/>
                <w:szCs w:val="21"/>
              </w:rPr>
              <w:t>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121" w:hRule="atLeast"/>
          <w:jc w:val="center"/>
        </w:trPr>
        <w:tc>
          <w:tcPr>
            <w:tcW w:w="1353" w:type="dxa"/>
            <w:vMerge w:val="continue"/>
            <w:tcBorders>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r>
              <w:rPr>
                <w:rFonts w:hint="eastAsia" w:ascii="宋体" w:hAnsi="宋体" w:eastAsia="宋体" w:cs="宋体"/>
                <w:b w:val="0"/>
                <w:bCs w:val="0"/>
                <w:szCs w:val="21"/>
              </w:rPr>
              <w:t>培训</w:t>
            </w:r>
          </w:p>
        </w:tc>
        <w:tc>
          <w:tcPr>
            <w:tcW w:w="68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r>
              <w:rPr>
                <w:rFonts w:hint="eastAsia" w:ascii="宋体" w:hAnsi="宋体" w:eastAsia="宋体" w:cs="宋体"/>
                <w:szCs w:val="21"/>
                <w:lang w:val="en-US" w:eastAsia="zh-CN"/>
              </w:rPr>
              <w:t>根据供应商提供的培训方案，如设备需持证上岗的供应商需负责（a、人员培训计划的合理性；b、承诺免费培训课程情况；c、培训时间、师资及方式。）综合打分。培训方案详细完整、培训计划合理、免费培训课程丰富、师资配备合理的得4.1</w:t>
            </w:r>
            <w:r>
              <w:rPr>
                <w:rFonts w:hint="eastAsia" w:ascii="宋体" w:hAnsi="宋体" w:eastAsia="宋体" w:cs="宋体"/>
                <w:szCs w:val="21"/>
              </w:rPr>
              <w:t>-</w:t>
            </w:r>
            <w:r>
              <w:rPr>
                <w:rFonts w:hint="eastAsia" w:ascii="宋体" w:hAnsi="宋体" w:eastAsia="宋体" w:cs="宋体"/>
                <w:szCs w:val="21"/>
                <w:lang w:val="en-US" w:eastAsia="zh-CN"/>
              </w:rPr>
              <w:t>5分，培训方案详细较完整、培训计划较合理、免费培训课程较丰富、师资配备较合理的得2.6</w:t>
            </w:r>
            <w:r>
              <w:rPr>
                <w:rFonts w:hint="eastAsia" w:ascii="宋体" w:hAnsi="宋体" w:eastAsia="宋体" w:cs="宋体"/>
                <w:szCs w:val="21"/>
              </w:rPr>
              <w:t>-</w:t>
            </w:r>
            <w:r>
              <w:rPr>
                <w:rFonts w:hint="eastAsia" w:ascii="宋体" w:hAnsi="宋体" w:eastAsia="宋体" w:cs="宋体"/>
                <w:szCs w:val="21"/>
                <w:lang w:val="en-US" w:eastAsia="zh-CN"/>
              </w:rPr>
              <w:t>4分，培训方案详细不完整、培训计划不合理、免费培训课程缺乏、师资配备不合理的得1</w:t>
            </w:r>
            <w:r>
              <w:rPr>
                <w:rFonts w:hint="eastAsia" w:ascii="宋体" w:hAnsi="宋体" w:eastAsia="宋体" w:cs="宋体"/>
                <w:szCs w:val="21"/>
              </w:rPr>
              <w:t>-</w:t>
            </w:r>
            <w:r>
              <w:rPr>
                <w:rFonts w:hint="eastAsia" w:ascii="宋体" w:hAnsi="宋体" w:eastAsia="宋体" w:cs="宋体"/>
                <w:szCs w:val="21"/>
                <w:lang w:val="en-US" w:eastAsia="zh-CN"/>
              </w:rPr>
              <w:t>2.5分。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jc w:val="left"/>
              <w:rPr>
                <w:rFonts w:hint="eastAsia" w:ascii="宋体" w:hAnsi="宋体" w:eastAsia="宋体" w:cs="宋体"/>
                <w:b w:val="0"/>
                <w:bCs w:val="0"/>
                <w:szCs w:val="21"/>
              </w:rPr>
            </w:pP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tc>
      </w:tr>
    </w:tbl>
    <w:p>
      <w:pPr>
        <w:autoSpaceDE w:val="0"/>
        <w:autoSpaceDN w:val="0"/>
        <w:adjustRightInd w:val="0"/>
        <w:snapToGrid w:val="0"/>
        <w:spacing w:line="312" w:lineRule="auto"/>
        <w:ind w:left="425"/>
        <w:outlineLvl w:val="1"/>
        <w:rPr>
          <w:rFonts w:ascii="宋体" w:cs="宋体"/>
          <w:b/>
          <w:bCs/>
          <w:szCs w:val="21"/>
          <w:lang w:val="zh-CN"/>
        </w:rPr>
      </w:pPr>
      <w:r>
        <w:rPr>
          <w:rFonts w:hint="eastAsia" w:ascii="宋体" w:hAnsi="宋体" w:cs="宋体"/>
          <w:b/>
          <w:bCs/>
          <w:szCs w:val="21"/>
          <w:lang w:val="zh-CN"/>
        </w:rPr>
        <w:t>五、开评标程序</w:t>
      </w:r>
      <w:bookmarkEnd w:id="154"/>
      <w:bookmarkEnd w:id="155"/>
      <w:bookmarkEnd w:id="156"/>
    </w:p>
    <w:p>
      <w:pPr>
        <w:snapToGrid w:val="0"/>
        <w:spacing w:line="312" w:lineRule="auto"/>
        <w:ind w:left="420" w:leftChars="200"/>
        <w:rPr>
          <w:rFonts w:ascii="宋体" w:cs="宋体"/>
          <w:szCs w:val="21"/>
        </w:rPr>
      </w:pPr>
      <w:bookmarkStart w:id="157" w:name="_Toc31486"/>
      <w:r>
        <w:rPr>
          <w:rFonts w:ascii="宋体" w:hAnsi="宋体" w:cs="宋体"/>
          <w:szCs w:val="21"/>
        </w:rPr>
        <w:t>8.</w:t>
      </w:r>
      <w:r>
        <w:rPr>
          <w:rFonts w:hint="eastAsia" w:ascii="宋体" w:hAnsi="宋体" w:cs="宋体"/>
          <w:szCs w:val="21"/>
        </w:rPr>
        <w:t>开标第一阶段</w:t>
      </w:r>
    </w:p>
    <w:p>
      <w:pPr>
        <w:spacing w:line="312"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1</w:t>
      </w:r>
      <w:r>
        <w:rPr>
          <w:rFonts w:hint="eastAsia" w:ascii="宋体" w:hAnsi="宋体" w:cs="Arial"/>
          <w:kern w:val="0"/>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12"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2</w:t>
      </w:r>
      <w:r>
        <w:rPr>
          <w:rFonts w:hint="eastAsia" w:ascii="宋体" w:hAnsi="宋体" w:cs="Arial"/>
          <w:kern w:val="0"/>
          <w:szCs w:val="21"/>
        </w:rPr>
        <w:t>）投标文件解密结束，通过邮件形式发送各投标人组织签署《政府采购活动现场确认声明书》；</w:t>
      </w:r>
    </w:p>
    <w:p>
      <w:pPr>
        <w:spacing w:line="312"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3</w:t>
      </w:r>
      <w:r>
        <w:rPr>
          <w:rFonts w:hint="eastAsia" w:ascii="宋体" w:hAnsi="宋体" w:cs="Arial"/>
          <w:kern w:val="0"/>
          <w:szCs w:val="21"/>
        </w:rPr>
        <w:t>）开启投标文件，进入资格审查；</w:t>
      </w:r>
    </w:p>
    <w:p>
      <w:pPr>
        <w:spacing w:line="312"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4</w:t>
      </w:r>
      <w:r>
        <w:rPr>
          <w:rFonts w:hint="eastAsia" w:ascii="宋体" w:hAnsi="宋体" w:cs="Arial"/>
          <w:kern w:val="0"/>
          <w:szCs w:val="21"/>
        </w:rPr>
        <w:t>）开启资格审查通过的投标供应商的商务技术文件进入符合性审查、商务技术评审；</w:t>
      </w:r>
    </w:p>
    <w:p>
      <w:pPr>
        <w:spacing w:line="312"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5</w:t>
      </w:r>
      <w:r>
        <w:rPr>
          <w:rFonts w:hint="eastAsia" w:ascii="宋体" w:hAnsi="宋体" w:cs="Arial"/>
          <w:kern w:val="0"/>
          <w:szCs w:val="21"/>
        </w:rPr>
        <w:t>）第一阶段开标结束。</w:t>
      </w:r>
    </w:p>
    <w:p>
      <w:pPr>
        <w:spacing w:line="312" w:lineRule="auto"/>
        <w:ind w:firstLine="420" w:firstLineChars="200"/>
        <w:jc w:val="left"/>
        <w:rPr>
          <w:rFonts w:ascii="宋体" w:cs="Arial"/>
          <w:kern w:val="0"/>
          <w:szCs w:val="21"/>
        </w:rPr>
      </w:pPr>
      <w:r>
        <w:rPr>
          <w:rFonts w:hint="eastAsia" w:ascii="宋体" w:hAnsi="宋体" w:cs="Arial"/>
          <w:kern w:val="0"/>
          <w:szCs w:val="21"/>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312" w:lineRule="auto"/>
        <w:ind w:left="420" w:leftChars="200"/>
        <w:rPr>
          <w:rFonts w:ascii="宋体" w:cs="宋体"/>
          <w:szCs w:val="21"/>
        </w:rPr>
      </w:pPr>
      <w:r>
        <w:rPr>
          <w:rFonts w:ascii="宋体" w:hAnsi="宋体" w:cs="宋体"/>
          <w:szCs w:val="21"/>
        </w:rPr>
        <w:t>9.</w:t>
      </w:r>
      <w:r>
        <w:rPr>
          <w:rFonts w:hint="eastAsia" w:ascii="宋体" w:hAnsi="宋体" w:cs="宋体"/>
          <w:szCs w:val="21"/>
        </w:rPr>
        <w:t>开标大会第二阶段</w:t>
      </w:r>
    </w:p>
    <w:p>
      <w:pPr>
        <w:spacing w:line="312"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1</w:t>
      </w:r>
      <w:r>
        <w:rPr>
          <w:rFonts w:hint="eastAsia" w:ascii="宋体" w:hAnsi="宋体" w:cs="Arial"/>
          <w:kern w:val="0"/>
          <w:szCs w:val="21"/>
        </w:rPr>
        <w:t>）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pPr>
        <w:spacing w:line="312"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2</w:t>
      </w:r>
      <w:r>
        <w:rPr>
          <w:rFonts w:hint="eastAsia" w:ascii="宋体" w:hAnsi="宋体" w:cs="Arial"/>
          <w:kern w:val="0"/>
          <w:szCs w:val="21"/>
        </w:rPr>
        <w:t>）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spacing w:line="312" w:lineRule="auto"/>
        <w:ind w:firstLine="420" w:firstLineChars="200"/>
        <w:jc w:val="left"/>
        <w:rPr>
          <w:rFonts w:ascii="宋体" w:cs="Arial"/>
          <w:kern w:val="0"/>
          <w:szCs w:val="21"/>
        </w:rPr>
      </w:pPr>
      <w:r>
        <w:rPr>
          <w:rFonts w:hint="eastAsia" w:ascii="宋体" w:hAnsi="宋体" w:cs="Arial"/>
          <w:kern w:val="0"/>
          <w:szCs w:val="21"/>
        </w:rPr>
        <w:t>（</w:t>
      </w:r>
      <w:r>
        <w:rPr>
          <w:rFonts w:ascii="宋体" w:hAnsi="宋体" w:cs="Arial"/>
          <w:kern w:val="0"/>
          <w:szCs w:val="21"/>
        </w:rPr>
        <w:t>3</w:t>
      </w:r>
      <w:r>
        <w:rPr>
          <w:rFonts w:hint="eastAsia" w:ascii="宋体" w:hAnsi="宋体" w:cs="Arial"/>
          <w:kern w:val="0"/>
          <w:szCs w:val="21"/>
        </w:rPr>
        <w:t>）评审结束后，通过发送邮件形式公布中标（成交）候选供应商名单，及采购人最终确定中标或成交供应商名单的时间和公告方式等。</w:t>
      </w:r>
    </w:p>
    <w:p>
      <w:pPr>
        <w:spacing w:line="312" w:lineRule="auto"/>
        <w:ind w:firstLine="420" w:firstLineChars="200"/>
        <w:jc w:val="left"/>
        <w:rPr>
          <w:rFonts w:cs="宋体"/>
          <w:b/>
          <w:bCs/>
          <w:szCs w:val="21"/>
        </w:rPr>
      </w:pPr>
      <w:r>
        <w:rPr>
          <w:rFonts w:hint="eastAsia" w:ascii="宋体" w:hAnsi="宋体" w:cs="Arial"/>
          <w:kern w:val="0"/>
          <w:szCs w:val="21"/>
        </w:rPr>
        <w:t>特别说明：如遇“政府采购云平台”电子化开标或评审程序调整的，按调整后程序执行。</w:t>
      </w:r>
    </w:p>
    <w:p>
      <w:pPr>
        <w:autoSpaceDE w:val="0"/>
        <w:autoSpaceDN w:val="0"/>
        <w:adjustRightInd w:val="0"/>
        <w:snapToGrid w:val="0"/>
        <w:spacing w:line="312" w:lineRule="auto"/>
        <w:jc w:val="center"/>
        <w:outlineLvl w:val="0"/>
        <w:rPr>
          <w:rFonts w:hint="eastAsia" w:ascii="宋体" w:hAnsi="宋体" w:cs="宋体"/>
          <w:b/>
          <w:bCs/>
          <w:szCs w:val="21"/>
          <w:lang w:val="zh-CN"/>
        </w:rPr>
      </w:pPr>
    </w:p>
    <w:p>
      <w:pPr>
        <w:autoSpaceDE w:val="0"/>
        <w:autoSpaceDN w:val="0"/>
        <w:adjustRightInd w:val="0"/>
        <w:snapToGrid w:val="0"/>
        <w:spacing w:line="312" w:lineRule="auto"/>
        <w:jc w:val="center"/>
        <w:outlineLvl w:val="0"/>
        <w:rPr>
          <w:rFonts w:hint="eastAsia" w:ascii="宋体" w:hAnsi="宋体" w:cs="宋体"/>
          <w:b/>
          <w:bCs/>
          <w:szCs w:val="21"/>
          <w:lang w:val="zh-CN"/>
        </w:rPr>
      </w:pPr>
    </w:p>
    <w:p>
      <w:pPr>
        <w:autoSpaceDE w:val="0"/>
        <w:autoSpaceDN w:val="0"/>
        <w:adjustRightInd w:val="0"/>
        <w:snapToGrid w:val="0"/>
        <w:spacing w:line="312" w:lineRule="auto"/>
        <w:jc w:val="center"/>
        <w:outlineLvl w:val="0"/>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pStyle w:val="2"/>
        <w:rPr>
          <w:rFonts w:hint="eastAsia" w:ascii="宋体" w:hAnsi="宋体" w:cs="宋体"/>
          <w:b/>
          <w:bCs/>
          <w:szCs w:val="21"/>
          <w:lang w:val="zh-CN"/>
        </w:rPr>
      </w:pPr>
    </w:p>
    <w:p>
      <w:pPr>
        <w:autoSpaceDE w:val="0"/>
        <w:autoSpaceDN w:val="0"/>
        <w:adjustRightInd w:val="0"/>
        <w:snapToGrid w:val="0"/>
        <w:spacing w:line="312" w:lineRule="auto"/>
        <w:jc w:val="center"/>
        <w:outlineLvl w:val="0"/>
        <w:rPr>
          <w:rFonts w:ascii="宋体" w:cs="宋体"/>
          <w:b/>
          <w:bCs/>
          <w:szCs w:val="21"/>
          <w:lang w:val="zh-CN"/>
        </w:rPr>
      </w:pPr>
      <w:r>
        <w:rPr>
          <w:rFonts w:hint="eastAsia" w:ascii="宋体" w:hAnsi="宋体" w:cs="宋体"/>
          <w:b/>
          <w:bCs/>
          <w:szCs w:val="21"/>
          <w:lang w:val="zh-CN"/>
        </w:rPr>
        <w:t>第七章政府采购政策功能相关说明</w:t>
      </w:r>
      <w:bookmarkEnd w:id="157"/>
    </w:p>
    <w:p>
      <w:pPr>
        <w:spacing w:line="312" w:lineRule="auto"/>
        <w:jc w:val="left"/>
        <w:outlineLvl w:val="1"/>
        <w:rPr>
          <w:rFonts w:ascii="宋体" w:cs="宋体"/>
          <w:szCs w:val="21"/>
        </w:rPr>
      </w:pPr>
      <w:bookmarkStart w:id="158" w:name="_Toc6437"/>
      <w:r>
        <w:rPr>
          <w:rFonts w:hint="eastAsia" w:ascii="宋体" w:hAnsi="宋体" w:cs="宋体"/>
          <w:szCs w:val="21"/>
        </w:rPr>
        <w:t>一、小、微企业（含监狱企业、残疾人福利性单位）扶持政策说明</w:t>
      </w:r>
      <w:bookmarkEnd w:id="158"/>
    </w:p>
    <w:p>
      <w:pPr>
        <w:spacing w:line="312"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文件依据</w:t>
      </w:r>
    </w:p>
    <w:p>
      <w:pPr>
        <w:spacing w:line="312" w:lineRule="auto"/>
        <w:ind w:firstLine="420" w:firstLineChars="200"/>
        <w:jc w:val="left"/>
        <w:rPr>
          <w:rFonts w:ascii="宋体" w:cs="宋体"/>
          <w:szCs w:val="21"/>
        </w:rPr>
      </w:pPr>
      <w:r>
        <w:rPr>
          <w:rFonts w:ascii="宋体" w:hAnsi="宋体" w:cs="宋体"/>
          <w:szCs w:val="21"/>
        </w:rPr>
        <w:t>1.1</w:t>
      </w:r>
      <w:r>
        <w:rPr>
          <w:rFonts w:hint="eastAsia" w:ascii="宋体" w:hAnsi="宋体" w:cs="宋体"/>
          <w:szCs w:val="21"/>
        </w:rPr>
        <w:t>关于印发《政府采购促进中小企业发展管理办法》（财库﹝2020﹞46 号）</w:t>
      </w:r>
    </w:p>
    <w:p>
      <w:pPr>
        <w:spacing w:line="312" w:lineRule="auto"/>
        <w:ind w:firstLine="420" w:firstLineChars="200"/>
        <w:jc w:val="left"/>
        <w:rPr>
          <w:rFonts w:ascii="宋体" w:cs="宋体"/>
          <w:szCs w:val="21"/>
        </w:rPr>
      </w:pPr>
      <w:r>
        <w:rPr>
          <w:rFonts w:ascii="宋体" w:hAnsi="宋体" w:cs="宋体"/>
          <w:szCs w:val="21"/>
        </w:rPr>
        <w:t>1.2</w:t>
      </w:r>
      <w:r>
        <w:rPr>
          <w:rFonts w:hint="eastAsia" w:ascii="宋体" w:hAnsi="宋体" w:cs="宋体"/>
          <w:szCs w:val="21"/>
        </w:rPr>
        <w:t>浙江省财政厅转发财政部工业和信息化部关于印发《政府采购促进中小企业发展暂行办法》的通知（浙财采监</w:t>
      </w:r>
      <w:r>
        <w:rPr>
          <w:rFonts w:ascii="宋体" w:hAnsi="宋体" w:cs="宋体"/>
          <w:szCs w:val="21"/>
        </w:rPr>
        <w:t>[2012]11</w:t>
      </w:r>
      <w:r>
        <w:rPr>
          <w:rFonts w:hint="eastAsia" w:ascii="宋体" w:hAnsi="宋体" w:cs="宋体"/>
          <w:szCs w:val="21"/>
        </w:rPr>
        <w:t>号）</w:t>
      </w:r>
    </w:p>
    <w:p>
      <w:pPr>
        <w:spacing w:line="312" w:lineRule="auto"/>
        <w:ind w:firstLine="420" w:firstLineChars="200"/>
        <w:jc w:val="left"/>
        <w:rPr>
          <w:rFonts w:ascii="宋体" w:cs="宋体"/>
          <w:szCs w:val="21"/>
        </w:rPr>
      </w:pPr>
      <w:r>
        <w:rPr>
          <w:rFonts w:ascii="宋体" w:hAnsi="宋体" w:cs="宋体"/>
          <w:szCs w:val="21"/>
        </w:rPr>
        <w:t>1.3</w:t>
      </w:r>
      <w:r>
        <w:rPr>
          <w:rFonts w:hint="eastAsia" w:ascii="宋体" w:hAnsi="宋体" w:cs="宋体"/>
          <w:szCs w:val="21"/>
        </w:rPr>
        <w:t>浙江省省财政厅《关于开展政府采购供应商网上注册登记和诚信管理工作的通知》（浙财采监〔</w:t>
      </w:r>
      <w:r>
        <w:rPr>
          <w:rFonts w:ascii="宋体" w:hAnsi="宋体" w:cs="宋体"/>
          <w:szCs w:val="21"/>
        </w:rPr>
        <w:t>2010</w:t>
      </w:r>
      <w:r>
        <w:rPr>
          <w:rFonts w:hint="eastAsia" w:ascii="宋体" w:hAnsi="宋体" w:cs="宋体"/>
          <w:szCs w:val="21"/>
        </w:rPr>
        <w:t>〕</w:t>
      </w:r>
      <w:r>
        <w:rPr>
          <w:rFonts w:ascii="宋体" w:hAnsi="宋体" w:cs="宋体"/>
          <w:szCs w:val="21"/>
        </w:rPr>
        <w:t>8</w:t>
      </w:r>
      <w:r>
        <w:rPr>
          <w:rFonts w:hint="eastAsia" w:ascii="宋体" w:hAnsi="宋体" w:cs="宋体"/>
          <w:szCs w:val="21"/>
        </w:rPr>
        <w:t>号</w:t>
      </w:r>
      <w:r>
        <w:rPr>
          <w:rFonts w:ascii="宋体" w:hAnsi="宋体" w:cs="宋体"/>
          <w:szCs w:val="21"/>
        </w:rPr>
        <w:t>)</w:t>
      </w:r>
    </w:p>
    <w:p>
      <w:pPr>
        <w:spacing w:line="312" w:lineRule="auto"/>
        <w:ind w:firstLine="420" w:firstLineChars="200"/>
        <w:jc w:val="left"/>
        <w:rPr>
          <w:rFonts w:ascii="宋体" w:cs="宋体"/>
          <w:szCs w:val="21"/>
        </w:rPr>
      </w:pPr>
      <w:r>
        <w:rPr>
          <w:rFonts w:ascii="宋体" w:hAnsi="宋体" w:cs="宋体"/>
          <w:szCs w:val="21"/>
        </w:rPr>
        <w:t>1.4</w:t>
      </w:r>
      <w:r>
        <w:rPr>
          <w:rFonts w:hint="eastAsia" w:ascii="宋体" w:hAnsi="宋体" w:cs="宋体"/>
          <w:szCs w:val="21"/>
        </w:rPr>
        <w:t>《工业和信息化部、国家统计局、国家发展和改革委员会、财政部关于印发中小企业划型标准规定的通知》（工信部联企业</w:t>
      </w:r>
      <w:r>
        <w:rPr>
          <w:rFonts w:ascii="宋体" w:hAnsi="宋体" w:cs="宋体"/>
          <w:szCs w:val="21"/>
        </w:rPr>
        <w:t>[2011]300</w:t>
      </w:r>
      <w:r>
        <w:rPr>
          <w:rFonts w:hint="eastAsia" w:ascii="宋体" w:hAnsi="宋体" w:cs="宋体"/>
          <w:szCs w:val="21"/>
        </w:rPr>
        <w:t>号）</w:t>
      </w:r>
    </w:p>
    <w:p>
      <w:pPr>
        <w:spacing w:line="312" w:lineRule="auto"/>
        <w:ind w:firstLine="420" w:firstLineChars="200"/>
        <w:jc w:val="left"/>
        <w:rPr>
          <w:rFonts w:ascii="宋体" w:cs="宋体"/>
          <w:szCs w:val="21"/>
        </w:rPr>
      </w:pPr>
      <w:r>
        <w:rPr>
          <w:rFonts w:ascii="宋体" w:hAnsi="宋体" w:cs="宋体"/>
          <w:szCs w:val="21"/>
        </w:rPr>
        <w:t>1.5</w:t>
      </w:r>
      <w:r>
        <w:rPr>
          <w:rFonts w:hint="eastAsia" w:ascii="宋体" w:hAnsi="宋体" w:cs="宋体"/>
          <w:szCs w:val="21"/>
        </w:rPr>
        <w:t>财政部、司法部《关于政府采购支持监狱企业发展有关问题的通知》（财库〔</w:t>
      </w:r>
      <w:r>
        <w:rPr>
          <w:rFonts w:ascii="宋体" w:hAnsi="宋体" w:cs="宋体"/>
          <w:szCs w:val="21"/>
        </w:rPr>
        <w:t>2014</w:t>
      </w:r>
      <w:r>
        <w:rPr>
          <w:rFonts w:hint="eastAsia" w:ascii="宋体" w:hAnsi="宋体" w:cs="宋体"/>
          <w:szCs w:val="21"/>
        </w:rPr>
        <w:t>〕</w:t>
      </w:r>
      <w:r>
        <w:rPr>
          <w:rFonts w:ascii="宋体" w:hAnsi="宋体" w:cs="宋体"/>
          <w:szCs w:val="21"/>
        </w:rPr>
        <w:t>68</w:t>
      </w:r>
      <w:r>
        <w:rPr>
          <w:rFonts w:hint="eastAsia" w:ascii="宋体" w:hAnsi="宋体" w:cs="宋体"/>
          <w:szCs w:val="21"/>
        </w:rPr>
        <w:t>号）</w:t>
      </w:r>
    </w:p>
    <w:p>
      <w:pPr>
        <w:spacing w:line="312" w:lineRule="auto"/>
        <w:ind w:firstLine="420" w:firstLineChars="200"/>
        <w:jc w:val="left"/>
        <w:rPr>
          <w:rFonts w:ascii="宋体" w:cs="宋体"/>
          <w:szCs w:val="21"/>
        </w:rPr>
      </w:pPr>
      <w:r>
        <w:rPr>
          <w:rFonts w:ascii="宋体" w:hAnsi="宋体" w:cs="宋体"/>
          <w:szCs w:val="21"/>
        </w:rPr>
        <w:t>1.6</w:t>
      </w:r>
      <w:r>
        <w:rPr>
          <w:rFonts w:hint="eastAsia" w:ascii="宋体" w:hAnsi="宋体" w:cs="宋体"/>
          <w:szCs w:val="21"/>
        </w:rPr>
        <w:t>《财政部民政部中国残疾人联合会关于促进残疾人就业政府采购政策的通知》（财库〔</w:t>
      </w:r>
      <w:r>
        <w:rPr>
          <w:rFonts w:ascii="宋体" w:hAnsi="宋体" w:cs="宋体"/>
          <w:szCs w:val="21"/>
        </w:rPr>
        <w:t>2018</w:t>
      </w:r>
      <w:r>
        <w:rPr>
          <w:rFonts w:hint="eastAsia" w:ascii="宋体" w:hAnsi="宋体" w:cs="宋体"/>
          <w:szCs w:val="21"/>
        </w:rPr>
        <w:t>〕</w:t>
      </w:r>
      <w:r>
        <w:rPr>
          <w:rFonts w:ascii="宋体" w:hAnsi="宋体" w:cs="宋体"/>
          <w:szCs w:val="21"/>
        </w:rPr>
        <w:t xml:space="preserve"> 141</w:t>
      </w:r>
      <w:r>
        <w:rPr>
          <w:rFonts w:hint="eastAsia" w:ascii="宋体" w:hAnsi="宋体" w:cs="宋体"/>
          <w:szCs w:val="21"/>
        </w:rPr>
        <w:t>号）</w:t>
      </w:r>
    </w:p>
    <w:p>
      <w:pPr>
        <w:spacing w:line="312"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享受小微企业价格折扣应具备的条件与价格折扣比例</w:t>
      </w:r>
    </w:p>
    <w:p>
      <w:pPr>
        <w:spacing w:line="312" w:lineRule="auto"/>
        <w:ind w:firstLine="420" w:firstLineChars="200"/>
        <w:jc w:val="left"/>
        <w:rPr>
          <w:rFonts w:ascii="宋体" w:cs="宋体"/>
          <w:szCs w:val="21"/>
        </w:rPr>
      </w:pPr>
      <w:r>
        <w:rPr>
          <w:rFonts w:ascii="宋体" w:hAnsi="宋体" w:cs="宋体"/>
          <w:szCs w:val="21"/>
        </w:rPr>
        <w:t>2.1</w:t>
      </w:r>
      <w:r>
        <w:rPr>
          <w:rFonts w:hint="eastAsia" w:ascii="宋体" w:hAnsi="宋体" w:cs="宋体"/>
          <w:szCs w:val="21"/>
        </w:rPr>
        <w:t>符合中小企业划分标准。</w:t>
      </w:r>
    </w:p>
    <w:p>
      <w:pPr>
        <w:spacing w:line="312" w:lineRule="auto"/>
        <w:ind w:firstLine="420" w:firstLineChars="200"/>
        <w:jc w:val="left"/>
        <w:rPr>
          <w:rFonts w:ascii="宋体" w:cs="宋体"/>
          <w:szCs w:val="21"/>
        </w:rPr>
      </w:pPr>
      <w:r>
        <w:rPr>
          <w:rFonts w:ascii="宋体" w:hAnsi="宋体" w:cs="宋体"/>
          <w:szCs w:val="21"/>
        </w:rPr>
        <w:t>2.2</w:t>
      </w:r>
      <w:r>
        <w:rPr>
          <w:rFonts w:hint="eastAsia" w:ascii="宋体" w:hAnsi="宋体" w:cs="宋体"/>
          <w:szCs w:val="21"/>
        </w:rPr>
        <w:t>提供本企业制造的货物、承担的工程或者服务，或者提供其他中小企业制造的货物。本项所称货物不包括使用大型企业注册商标的货物。</w:t>
      </w:r>
      <w:r>
        <w:rPr>
          <w:rFonts w:ascii="宋体" w:cs="宋体"/>
          <w:szCs w:val="21"/>
        </w:rPr>
        <w:br w:type="textWrapping"/>
      </w:r>
      <w:r>
        <w:rPr>
          <w:rFonts w:ascii="宋体" w:cs="宋体"/>
          <w:szCs w:val="21"/>
        </w:rPr>
        <w:t> </w:t>
      </w:r>
      <w:r>
        <w:rPr>
          <w:rFonts w:hint="eastAsia" w:ascii="宋体" w:hAnsi="宋体" w:cs="宋体"/>
          <w:szCs w:val="21"/>
        </w:rPr>
        <w:t>中小企业划分标准，是指国务院有关部门根据企业从业人员、营业收入、资产总额等指标制定的中小企业划型标准。</w:t>
      </w:r>
      <w:r>
        <w:rPr>
          <w:rFonts w:ascii="宋体" w:cs="宋体"/>
          <w:szCs w:val="21"/>
        </w:rPr>
        <w:br w:type="textWrapping"/>
      </w:r>
      <w:r>
        <w:rPr>
          <w:rFonts w:ascii="宋体" w:cs="宋体"/>
          <w:szCs w:val="21"/>
        </w:rPr>
        <w:t>  </w:t>
      </w:r>
      <w:r>
        <w:rPr>
          <w:rFonts w:hint="eastAsia" w:ascii="宋体" w:hAnsi="宋体" w:cs="宋体"/>
          <w:szCs w:val="21"/>
        </w:rPr>
        <w:t>小型、微型企业提供中型企业制造的货物的，视同为中型企业。</w:t>
      </w:r>
    </w:p>
    <w:p>
      <w:pPr>
        <w:spacing w:line="312" w:lineRule="auto"/>
        <w:ind w:firstLine="420" w:firstLineChars="200"/>
        <w:jc w:val="left"/>
        <w:rPr>
          <w:rFonts w:ascii="宋体" w:cs="宋体"/>
          <w:szCs w:val="21"/>
        </w:rPr>
      </w:pPr>
      <w:r>
        <w:rPr>
          <w:rFonts w:ascii="宋体" w:hAnsi="宋体" w:cs="宋体"/>
          <w:szCs w:val="21"/>
        </w:rPr>
        <w:t>2.3</w:t>
      </w:r>
      <w:r>
        <w:rPr>
          <w:rFonts w:hint="eastAsia" w:ascii="宋体" w:hAnsi="宋体" w:cs="宋体"/>
          <w:szCs w:val="21"/>
        </w:rPr>
        <w:t>本项目对小型和微型企业产品的价格给予</w:t>
      </w:r>
      <w:r>
        <w:rPr>
          <w:rFonts w:ascii="宋体" w:hAnsi="宋体" w:cs="宋体"/>
          <w:szCs w:val="21"/>
        </w:rPr>
        <w:t>6%</w:t>
      </w:r>
      <w:r>
        <w:rPr>
          <w:rFonts w:hint="eastAsia" w:ascii="宋体" w:hAnsi="宋体" w:cs="宋体"/>
          <w:szCs w:val="21"/>
        </w:rPr>
        <w:t>的扣除，用扣除后的价格参与评审。</w:t>
      </w:r>
    </w:p>
    <w:p>
      <w:pPr>
        <w:spacing w:line="312" w:lineRule="auto"/>
        <w:ind w:firstLine="420" w:firstLineChars="200"/>
        <w:jc w:val="left"/>
        <w:rPr>
          <w:rFonts w:ascii="宋体" w:cs="宋体"/>
          <w:szCs w:val="21"/>
        </w:rPr>
      </w:pPr>
      <w:r>
        <w:rPr>
          <w:rFonts w:ascii="宋体" w:hAnsi="宋体" w:cs="宋体"/>
          <w:szCs w:val="21"/>
        </w:rPr>
        <w:t>3.</w:t>
      </w:r>
      <w:r>
        <w:rPr>
          <w:rFonts w:hint="eastAsia" w:ascii="宋体" w:hAnsi="宋体" w:cs="宋体"/>
          <w:szCs w:val="21"/>
        </w:rPr>
        <w:t>享受小微企业价格折扣应提供以下证明材料（投标文件报价文件中，缺一不可）：</w:t>
      </w:r>
    </w:p>
    <w:p>
      <w:pPr>
        <w:snapToGrid w:val="0"/>
        <w:spacing w:line="312" w:lineRule="auto"/>
        <w:ind w:firstLine="420" w:firstLineChars="200"/>
        <w:rPr>
          <w:rFonts w:ascii="宋体" w:cs="宋体"/>
          <w:szCs w:val="21"/>
        </w:rPr>
      </w:pPr>
      <w:r>
        <w:rPr>
          <w:rFonts w:ascii="宋体" w:hAnsi="宋体" w:cs="宋体"/>
          <w:szCs w:val="21"/>
        </w:rPr>
        <w:t>3.1</w:t>
      </w:r>
      <w:r>
        <w:rPr>
          <w:rFonts w:hint="eastAsia" w:ascii="宋体" w:hAnsi="宋体" w:cs="宋体"/>
          <w:szCs w:val="21"/>
        </w:rPr>
        <w:t>《中小企业声明函》</w:t>
      </w:r>
      <w:r>
        <w:rPr>
          <w:rFonts w:hint="eastAsia" w:ascii="宋体" w:hAnsi="宋体" w:cs="宋体"/>
          <w:szCs w:val="21"/>
          <w:lang w:eastAsia="zh-CN"/>
        </w:rPr>
        <w:t>；</w:t>
      </w:r>
    </w:p>
    <w:p>
      <w:pPr>
        <w:spacing w:line="312"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享受监狱企业价格折扣应提供以下证明材料（投标文件报价文件中，不提供的不享受价格折扣）：</w:t>
      </w:r>
    </w:p>
    <w:p>
      <w:pPr>
        <w:spacing w:line="312" w:lineRule="auto"/>
        <w:ind w:firstLine="420" w:firstLineChars="200"/>
        <w:jc w:val="left"/>
        <w:rPr>
          <w:rFonts w:ascii="宋体" w:cs="宋体"/>
          <w:szCs w:val="21"/>
        </w:rPr>
      </w:pPr>
      <w:r>
        <w:rPr>
          <w:rFonts w:ascii="宋体" w:hAnsi="宋体" w:cs="宋体"/>
          <w:szCs w:val="21"/>
        </w:rPr>
        <w:t>4.1</w:t>
      </w:r>
      <w:r>
        <w:rPr>
          <w:rFonts w:hint="eastAsia" w:ascii="宋体" w:hAnsi="宋体" w:cs="宋体"/>
          <w:szCs w:val="21"/>
        </w:rPr>
        <w:t>监狱企业参加政府采购活动时，应当提供由省级以上监狱管理局、戒毒管理局</w:t>
      </w:r>
      <w:r>
        <w:rPr>
          <w:rFonts w:ascii="宋体" w:hAnsi="宋体" w:cs="宋体"/>
          <w:szCs w:val="21"/>
        </w:rPr>
        <w:t>(</w:t>
      </w:r>
      <w:r>
        <w:rPr>
          <w:rFonts w:hint="eastAsia" w:ascii="宋体" w:hAnsi="宋体" w:cs="宋体"/>
          <w:szCs w:val="21"/>
        </w:rPr>
        <w:t>含新疆生产建设兵团</w:t>
      </w:r>
      <w:r>
        <w:rPr>
          <w:rFonts w:ascii="宋体" w:hAnsi="宋体" w:cs="宋体"/>
          <w:szCs w:val="21"/>
        </w:rPr>
        <w:t>)</w:t>
      </w:r>
      <w:r>
        <w:rPr>
          <w:rFonts w:hint="eastAsia" w:ascii="宋体" w:hAnsi="宋体" w:cs="宋体"/>
          <w:szCs w:val="21"/>
        </w:rPr>
        <w:t>出具的属于监狱企业的证明文件（原件或复印件加盖公章）。在政府采购活动中，监狱企业视同小型、微型企业，享受评审中价格扣除政策。</w:t>
      </w:r>
    </w:p>
    <w:p>
      <w:pPr>
        <w:spacing w:line="312" w:lineRule="auto"/>
        <w:ind w:firstLine="420" w:firstLineChars="200"/>
        <w:jc w:val="left"/>
        <w:rPr>
          <w:rFonts w:ascii="宋体" w:cs="宋体"/>
          <w:szCs w:val="21"/>
        </w:rPr>
      </w:pPr>
      <w:r>
        <w:rPr>
          <w:rFonts w:ascii="宋体" w:hAnsi="宋体" w:cs="宋体"/>
          <w:szCs w:val="21"/>
        </w:rPr>
        <w:t>5.</w:t>
      </w:r>
      <w:r>
        <w:rPr>
          <w:rFonts w:hint="eastAsia" w:ascii="宋体" w:hAnsi="宋体" w:cs="宋体"/>
          <w:szCs w:val="21"/>
        </w:rPr>
        <w:t>在政府采购活动中，残疾人福利性单位视同小型、微型企业，享受评审中价格扣除政策。享受残疾人福利性单位价格折扣应提供以下证明材料（投标文件报价文件中，不提供的不享受价格折扣）：</w:t>
      </w:r>
    </w:p>
    <w:p>
      <w:pPr>
        <w:spacing w:line="312" w:lineRule="auto"/>
        <w:ind w:firstLine="420" w:firstLineChars="200"/>
        <w:jc w:val="left"/>
        <w:rPr>
          <w:rFonts w:ascii="宋体" w:cs="宋体"/>
          <w:szCs w:val="21"/>
        </w:rPr>
      </w:pPr>
      <w:r>
        <w:rPr>
          <w:rFonts w:ascii="宋体" w:hAnsi="宋体" w:cs="宋体"/>
          <w:szCs w:val="21"/>
        </w:rPr>
        <w:t>5.1</w:t>
      </w:r>
      <w:r>
        <w:rPr>
          <w:rFonts w:hint="eastAsia" w:ascii="宋体" w:hAnsi="宋体" w:cs="宋体"/>
          <w:szCs w:val="21"/>
        </w:rPr>
        <w:t>残疾人福利性单位声明函。</w:t>
      </w:r>
    </w:p>
    <w:p>
      <w:pPr>
        <w:spacing w:line="312" w:lineRule="auto"/>
        <w:ind w:firstLine="420" w:firstLineChars="200"/>
        <w:jc w:val="left"/>
        <w:rPr>
          <w:rFonts w:ascii="宋体" w:cs="宋体"/>
          <w:szCs w:val="21"/>
        </w:rPr>
      </w:pPr>
      <w:r>
        <w:rPr>
          <w:rFonts w:ascii="宋体" w:hAnsi="宋体" w:cs="宋体"/>
          <w:szCs w:val="21"/>
        </w:rPr>
        <w:t>6.</w:t>
      </w:r>
      <w:r>
        <w:rPr>
          <w:rFonts w:hint="eastAsia" w:ascii="宋体" w:hAnsi="宋体" w:cs="宋体"/>
          <w:szCs w:val="21"/>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312" w:lineRule="auto"/>
        <w:rPr>
          <w:rFonts w:ascii="宋体" w:cs="宋体"/>
          <w:szCs w:val="21"/>
        </w:rPr>
      </w:pPr>
    </w:p>
    <w:p>
      <w:pPr>
        <w:pStyle w:val="60"/>
      </w:pPr>
    </w:p>
    <w:p/>
    <w:p>
      <w:pPr>
        <w:jc w:val="center"/>
        <w:rPr>
          <w:rFonts w:hint="eastAsia" w:ascii="宋体" w:hAnsi="宋体" w:cs="宋体"/>
          <w:b/>
          <w:bCs/>
          <w:color w:val="auto"/>
          <w:sz w:val="24"/>
          <w:szCs w:val="24"/>
          <w:highlight w:val="none"/>
        </w:rPr>
      </w:pPr>
      <w:r>
        <w:rPr>
          <w:rFonts w:hint="eastAsia" w:ascii="宋体" w:hAnsi="宋体" w:cs="宋体"/>
          <w:b/>
          <w:bCs/>
          <w:szCs w:val="21"/>
        </w:rPr>
        <w:t>附件</w:t>
      </w:r>
      <w:r>
        <w:rPr>
          <w:rFonts w:ascii="宋体" w:hAnsi="宋体" w:cs="宋体"/>
          <w:b/>
          <w:bCs/>
          <w:szCs w:val="21"/>
        </w:rPr>
        <w:t>1</w:t>
      </w:r>
      <w:r>
        <w:rPr>
          <w:rFonts w:hint="eastAsia" w:ascii="宋体" w:hAnsi="宋体" w:cs="宋体"/>
          <w:b/>
          <w:bCs/>
          <w:szCs w:val="21"/>
          <w:lang w:eastAsia="zh-CN"/>
        </w:rPr>
        <w:t>、</w:t>
      </w:r>
      <w:r>
        <w:rPr>
          <w:rFonts w:hint="eastAsia" w:ascii="宋体" w:hAnsi="宋体" w:cs="宋体"/>
          <w:b/>
          <w:bCs/>
          <w:szCs w:val="21"/>
        </w:rPr>
        <w:t>中小企业声明函（货物）</w:t>
      </w:r>
    </w:p>
    <w:p>
      <w:pPr>
        <w:jc w:val="center"/>
        <w:rPr>
          <w:rFonts w:hint="eastAsia" w:ascii="宋体" w:hAnsi="宋体" w:cs="宋体"/>
          <w:color w:val="auto"/>
          <w:sz w:val="24"/>
          <w:szCs w:val="24"/>
          <w:highlight w:val="none"/>
        </w:rPr>
      </w:pP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采购活动，提供的货物全部由符合政策要求的中小企业制造。相关企业（含联合体中的中小企业、签订分包意向协议的中小企业）的具体情况如下：</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万元，属于（□中型企业、□小型企业、□微型企业）；</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万元，属于（□中型企业、□小型企业、□微型企业）；</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500" w:lineRule="exact"/>
        <w:rPr>
          <w:rFonts w:hint="eastAsia" w:ascii="宋体" w:hAnsi="宋体" w:cs="宋体"/>
          <w:color w:val="auto"/>
          <w:szCs w:val="21"/>
          <w:highlight w:val="none"/>
        </w:rPr>
      </w:pPr>
    </w:p>
    <w:p>
      <w:pPr>
        <w:spacing w:line="500" w:lineRule="exact"/>
        <w:ind w:firstLine="3255" w:firstLineChars="1550"/>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pPr>
        <w:spacing w:line="500" w:lineRule="exact"/>
        <w:ind w:firstLine="3255" w:firstLineChars="1550"/>
        <w:rPr>
          <w:rFonts w:hint="eastAsia" w:ascii="宋体" w:hAnsi="宋体" w:cs="宋体"/>
          <w:color w:val="auto"/>
          <w:szCs w:val="21"/>
          <w:highlight w:val="none"/>
        </w:rPr>
      </w:pPr>
      <w:r>
        <w:rPr>
          <w:rFonts w:hint="eastAsia" w:ascii="宋体" w:hAnsi="宋体" w:cs="宋体"/>
          <w:color w:val="auto"/>
          <w:szCs w:val="21"/>
          <w:highlight w:val="none"/>
        </w:rPr>
        <w:t>日 期：</w:t>
      </w:r>
    </w:p>
    <w:p>
      <w:pPr>
        <w:spacing w:line="588" w:lineRule="exact"/>
        <w:rPr>
          <w:rFonts w:hint="eastAsia" w:ascii="宋体" w:hAnsi="宋体" w:cs="宋体"/>
          <w:b/>
          <w:color w:val="auto"/>
          <w:spacing w:val="6"/>
          <w:szCs w:val="21"/>
          <w:highlight w:val="none"/>
        </w:rPr>
      </w:pPr>
    </w:p>
    <w:p>
      <w:pPr>
        <w:spacing w:line="540" w:lineRule="exact"/>
        <w:jc w:val="left"/>
        <w:rPr>
          <w:rFonts w:hint="eastAsia" w:ascii="宋体" w:hAnsi="宋体" w:cs="宋体"/>
          <w:b/>
          <w:bCs/>
          <w:color w:val="000000"/>
          <w:sz w:val="21"/>
          <w:szCs w:val="21"/>
        </w:rPr>
      </w:pPr>
      <w:r>
        <w:rPr>
          <w:rFonts w:hint="eastAsia" w:ascii="宋体" w:eastAsia="宋体" w:cs="宋体"/>
          <w:b/>
          <w:bCs/>
          <w:color w:val="auto"/>
          <w:sz w:val="21"/>
          <w:szCs w:val="21"/>
          <w:highlight w:val="none"/>
        </w:rPr>
        <w:t>注：1.</w:t>
      </w:r>
      <w:r>
        <w:rPr>
          <w:rFonts w:hint="eastAsia" w:ascii="宋体" w:eastAsia="宋体" w:cs="宋体"/>
          <w:color w:val="auto"/>
          <w:sz w:val="21"/>
          <w:szCs w:val="21"/>
          <w:highlight w:val="none"/>
        </w:rPr>
        <w:t xml:space="preserve"> </w:t>
      </w:r>
      <w:r>
        <w:rPr>
          <w:rFonts w:hint="eastAsia" w:ascii="宋体" w:eastAsia="宋体" w:cs="宋体"/>
          <w:b/>
          <w:bCs/>
          <w:color w:val="auto"/>
          <w:sz w:val="21"/>
          <w:szCs w:val="21"/>
          <w:highlight w:val="none"/>
        </w:rPr>
        <w:t>从业人员、营业收入、资产总额填报上一年度数据，无上一年度数据的新成立企业可不填报。</w:t>
      </w:r>
    </w:p>
    <w:p>
      <w:pPr>
        <w:spacing w:line="312" w:lineRule="auto"/>
        <w:rPr>
          <w:rFonts w:ascii="宋体" w:cs="宋体"/>
          <w:szCs w:val="21"/>
        </w:rPr>
      </w:pPr>
    </w:p>
    <w:p>
      <w:pPr>
        <w:spacing w:line="312" w:lineRule="auto"/>
        <w:rPr>
          <w:rFonts w:ascii="宋体" w:cs="宋体"/>
          <w:szCs w:val="21"/>
        </w:rPr>
      </w:pPr>
    </w:p>
    <w:p>
      <w:pPr>
        <w:pStyle w:val="259"/>
        <w:spacing w:line="312" w:lineRule="auto"/>
        <w:jc w:val="center"/>
        <w:rPr>
          <w:rFonts w:ascii="宋体" w:cs="宋体"/>
          <w:b/>
          <w:spacing w:val="6"/>
          <w:sz w:val="24"/>
        </w:rPr>
      </w:pPr>
    </w:p>
    <w:p>
      <w:pPr>
        <w:pStyle w:val="259"/>
        <w:spacing w:line="312" w:lineRule="auto"/>
        <w:jc w:val="center"/>
        <w:rPr>
          <w:rFonts w:ascii="宋体" w:cs="宋体"/>
          <w:b/>
          <w:spacing w:val="6"/>
          <w:sz w:val="24"/>
        </w:rPr>
      </w:pPr>
    </w:p>
    <w:p>
      <w:pPr>
        <w:tabs>
          <w:tab w:val="left" w:pos="4860"/>
        </w:tabs>
        <w:spacing w:line="312" w:lineRule="auto"/>
        <w:ind w:right="1560"/>
        <w:jc w:val="left"/>
        <w:rPr>
          <w:rFonts w:ascii="宋体" w:cs="宋体"/>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r>
        <w:rPr>
          <w:rFonts w:hint="eastAsia" w:ascii="宋体" w:hAnsi="宋体" w:cs="宋体"/>
          <w:b/>
          <w:spacing w:val="6"/>
          <w:szCs w:val="21"/>
          <w:lang w:eastAsia="zh-CN"/>
        </w:rPr>
        <w:t>附件</w:t>
      </w:r>
      <w:r>
        <w:rPr>
          <w:rFonts w:hint="eastAsia" w:ascii="宋体" w:hAnsi="宋体" w:cs="宋体"/>
          <w:b/>
          <w:spacing w:val="6"/>
          <w:szCs w:val="21"/>
          <w:lang w:val="en-US" w:eastAsia="zh-CN"/>
        </w:rPr>
        <w:t>2、</w:t>
      </w:r>
      <w:r>
        <w:rPr>
          <w:rFonts w:hint="eastAsia" w:ascii="宋体" w:hAnsi="宋体" w:cs="宋体"/>
          <w:b/>
          <w:spacing w:val="6"/>
          <w:szCs w:val="21"/>
        </w:rPr>
        <w:t>监狱和戒毒企业证明材料</w:t>
      </w:r>
    </w:p>
    <w:p>
      <w:pPr>
        <w:pStyle w:val="259"/>
        <w:spacing w:line="312" w:lineRule="auto"/>
        <w:jc w:val="center"/>
        <w:rPr>
          <w:rFonts w:ascii="宋体" w:cs="宋体"/>
          <w:b/>
          <w:szCs w:val="21"/>
          <w:lang w:val="en-GB"/>
        </w:rPr>
      </w:pPr>
    </w:p>
    <w:p>
      <w:pPr>
        <w:snapToGrid w:val="0"/>
        <w:spacing w:line="312" w:lineRule="auto"/>
        <w:ind w:firstLine="420" w:firstLineChars="200"/>
        <w:rPr>
          <w:rFonts w:ascii="宋体" w:cs="宋体"/>
          <w:szCs w:val="21"/>
        </w:rPr>
        <w:sectPr>
          <w:pgSz w:w="11906" w:h="16838"/>
          <w:pgMar w:top="1389" w:right="1247" w:bottom="1389" w:left="1247" w:header="851" w:footer="992" w:gutter="284"/>
          <w:cols w:space="720" w:num="1"/>
          <w:docGrid w:linePitch="312" w:charSpace="0"/>
        </w:sectPr>
      </w:pPr>
      <w:r>
        <w:rPr>
          <w:rFonts w:hint="eastAsia" w:ascii="宋体" w:hAnsi="宋体" w:cs="宋体"/>
          <w:szCs w:val="21"/>
        </w:rPr>
        <w:t>监狱和戒毒企业参加投标时应提供由省级以上监狱管理局、戒毒管理局（含新疆生产建设兵团）出具的属于监狱企业的证明文件。</w:t>
      </w:r>
    </w:p>
    <w:p>
      <w:pPr>
        <w:pStyle w:val="259"/>
        <w:spacing w:line="312" w:lineRule="auto"/>
        <w:jc w:val="center"/>
        <w:rPr>
          <w:rFonts w:ascii="宋体" w:cs="宋体"/>
          <w:b/>
          <w:szCs w:val="21"/>
          <w:lang w:val="en-GB"/>
        </w:rPr>
      </w:pPr>
      <w:r>
        <w:rPr>
          <w:rFonts w:hint="eastAsia" w:ascii="宋体" w:hAnsi="宋体" w:cs="宋体"/>
          <w:b/>
          <w:spacing w:val="6"/>
          <w:szCs w:val="21"/>
          <w:lang w:eastAsia="zh-CN"/>
        </w:rPr>
        <w:t>附件</w:t>
      </w:r>
      <w:r>
        <w:rPr>
          <w:rFonts w:hint="eastAsia" w:ascii="宋体" w:hAnsi="宋体" w:cs="宋体"/>
          <w:b/>
          <w:spacing w:val="6"/>
          <w:szCs w:val="21"/>
          <w:lang w:val="en-US" w:eastAsia="zh-CN"/>
        </w:rPr>
        <w:t>3</w:t>
      </w:r>
      <w:r>
        <w:rPr>
          <w:rFonts w:hint="eastAsia" w:ascii="宋体" w:hAnsi="宋体" w:cs="宋体"/>
          <w:b/>
          <w:spacing w:val="6"/>
          <w:szCs w:val="21"/>
        </w:rPr>
        <w:t>、</w:t>
      </w:r>
      <w:r>
        <w:rPr>
          <w:rFonts w:hint="eastAsia" w:ascii="宋体" w:hAnsi="宋体" w:cs="宋体"/>
          <w:b/>
          <w:szCs w:val="21"/>
          <w:lang w:val="en-GB"/>
        </w:rPr>
        <w:t>产品适用</w:t>
      </w:r>
      <w:r>
        <w:rPr>
          <w:rFonts w:hint="eastAsia" w:ascii="宋体" w:hAnsi="宋体" w:cs="宋体"/>
          <w:b/>
          <w:szCs w:val="21"/>
        </w:rPr>
        <w:t>监狱和戒毒企业</w:t>
      </w:r>
      <w:r>
        <w:rPr>
          <w:rFonts w:hint="eastAsia" w:ascii="宋体" w:hAnsi="宋体" w:cs="宋体"/>
          <w:b/>
          <w:szCs w:val="21"/>
          <w:lang w:val="en-GB"/>
        </w:rPr>
        <w:t>政策情况表</w:t>
      </w:r>
    </w:p>
    <w:p>
      <w:pPr>
        <w:pStyle w:val="259"/>
        <w:spacing w:line="312" w:lineRule="auto"/>
        <w:jc w:val="center"/>
        <w:rPr>
          <w:rFonts w:ascii="宋体" w:cs="宋体"/>
          <w:b/>
          <w:szCs w:val="21"/>
          <w:lang w:val="en-GB"/>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restart"/>
            <w:vAlign w:val="center"/>
          </w:tcPr>
          <w:p>
            <w:pPr>
              <w:pStyle w:val="259"/>
              <w:tabs>
                <w:tab w:val="left" w:pos="1260"/>
              </w:tabs>
              <w:spacing w:line="312" w:lineRule="auto"/>
              <w:jc w:val="center"/>
              <w:rPr>
                <w:rFonts w:ascii="宋体" w:cs="宋体"/>
                <w:szCs w:val="21"/>
                <w:lang w:val="en-GB"/>
              </w:rPr>
            </w:pPr>
            <w:r>
              <w:rPr>
                <w:rFonts w:hint="eastAsia" w:ascii="宋体" w:hAnsi="宋体" w:cs="宋体"/>
                <w:szCs w:val="21"/>
              </w:rPr>
              <w:t>监狱和戒毒企业</w:t>
            </w:r>
            <w:r>
              <w:rPr>
                <w:rFonts w:hint="eastAsia" w:ascii="宋体" w:hAnsi="宋体" w:cs="宋体"/>
                <w:szCs w:val="21"/>
                <w:lang w:val="en-GB"/>
              </w:rPr>
              <w:t>扶持政策</w:t>
            </w:r>
          </w:p>
        </w:tc>
        <w:tc>
          <w:tcPr>
            <w:tcW w:w="5576" w:type="dxa"/>
            <w:vAlign w:val="center"/>
          </w:tcPr>
          <w:p>
            <w:pPr>
              <w:pStyle w:val="259"/>
              <w:tabs>
                <w:tab w:val="left" w:pos="1260"/>
              </w:tabs>
              <w:spacing w:line="312" w:lineRule="auto"/>
              <w:jc w:val="center"/>
              <w:rPr>
                <w:rFonts w:ascii="宋体" w:cs="宋体"/>
                <w:szCs w:val="21"/>
                <w:lang w:val="en-GB"/>
              </w:rPr>
            </w:pPr>
            <w:r>
              <w:rPr>
                <w:rFonts w:hint="eastAsia" w:ascii="宋体" w:hAnsi="宋体" w:cs="宋体"/>
                <w:szCs w:val="21"/>
                <w:lang w:val="en-GB"/>
              </w:rPr>
              <w:t>产品名称（品牌、型号）</w:t>
            </w:r>
          </w:p>
        </w:tc>
        <w:tc>
          <w:tcPr>
            <w:tcW w:w="1392" w:type="dxa"/>
            <w:vAlign w:val="center"/>
          </w:tcPr>
          <w:p>
            <w:pPr>
              <w:pStyle w:val="259"/>
              <w:tabs>
                <w:tab w:val="left" w:pos="1260"/>
              </w:tabs>
              <w:spacing w:line="312" w:lineRule="auto"/>
              <w:jc w:val="center"/>
              <w:rPr>
                <w:rFonts w:ascii="宋体" w:cs="宋体"/>
                <w:szCs w:val="21"/>
                <w:lang w:val="en-GB"/>
              </w:rPr>
            </w:pPr>
            <w:r>
              <w:rPr>
                <w:rFonts w:hint="eastAsia" w:ascii="宋体" w:hAnsi="宋体" w:cs="宋体"/>
                <w:szCs w:val="21"/>
                <w:lang w:val="en-GB"/>
              </w:rPr>
              <w:t>数量</w:t>
            </w:r>
          </w:p>
        </w:tc>
        <w:tc>
          <w:tcPr>
            <w:tcW w:w="1392" w:type="dxa"/>
            <w:vAlign w:val="center"/>
          </w:tcPr>
          <w:p>
            <w:pPr>
              <w:pStyle w:val="259"/>
              <w:tabs>
                <w:tab w:val="left" w:pos="1260"/>
              </w:tabs>
              <w:spacing w:line="312" w:lineRule="auto"/>
              <w:jc w:val="center"/>
              <w:rPr>
                <w:rFonts w:ascii="宋体" w:cs="宋体"/>
                <w:szCs w:val="21"/>
                <w:lang w:val="en-GB"/>
              </w:rPr>
            </w:pPr>
            <w:r>
              <w:rPr>
                <w:rFonts w:hint="eastAsia" w:ascii="宋体" w:hAnsi="宋体" w:cs="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259"/>
              <w:tabs>
                <w:tab w:val="left" w:pos="1260"/>
              </w:tabs>
              <w:spacing w:line="312" w:lineRule="auto"/>
              <w:jc w:val="center"/>
              <w:rPr>
                <w:rFonts w:ascii="宋体" w:cs="宋体"/>
                <w:szCs w:val="21"/>
                <w:lang w:val="en-GB"/>
              </w:rPr>
            </w:pPr>
          </w:p>
        </w:tc>
        <w:tc>
          <w:tcPr>
            <w:tcW w:w="5576" w:type="dxa"/>
            <w:vAlign w:val="center"/>
          </w:tcPr>
          <w:p>
            <w:pPr>
              <w:pStyle w:val="259"/>
              <w:tabs>
                <w:tab w:val="left" w:pos="1260"/>
              </w:tabs>
              <w:spacing w:line="312" w:lineRule="auto"/>
              <w:jc w:val="center"/>
              <w:rPr>
                <w:rFonts w:ascii="宋体" w:cs="宋体"/>
                <w:szCs w:val="21"/>
                <w:lang w:val="en-GB"/>
              </w:rPr>
            </w:pPr>
          </w:p>
        </w:tc>
        <w:tc>
          <w:tcPr>
            <w:tcW w:w="1392" w:type="dxa"/>
          </w:tcPr>
          <w:p>
            <w:pPr>
              <w:pStyle w:val="259"/>
              <w:tabs>
                <w:tab w:val="left" w:pos="1260"/>
              </w:tabs>
              <w:spacing w:line="312" w:lineRule="auto"/>
              <w:jc w:val="center"/>
              <w:rPr>
                <w:rFonts w:ascii="宋体" w:cs="宋体"/>
                <w:szCs w:val="21"/>
                <w:lang w:val="en-GB"/>
              </w:rPr>
            </w:pPr>
          </w:p>
        </w:tc>
        <w:tc>
          <w:tcPr>
            <w:tcW w:w="1392" w:type="dxa"/>
            <w:vAlign w:val="center"/>
          </w:tcPr>
          <w:p>
            <w:pPr>
              <w:pStyle w:val="259"/>
              <w:tabs>
                <w:tab w:val="left" w:pos="1260"/>
              </w:tabs>
              <w:spacing w:line="312" w:lineRule="auto"/>
              <w:jc w:val="center"/>
              <w:rPr>
                <w:rFonts w:asci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259"/>
              <w:tabs>
                <w:tab w:val="left" w:pos="1260"/>
              </w:tabs>
              <w:spacing w:line="312" w:lineRule="auto"/>
              <w:jc w:val="center"/>
              <w:rPr>
                <w:rFonts w:ascii="宋体" w:cs="宋体"/>
                <w:szCs w:val="21"/>
                <w:lang w:val="en-GB"/>
              </w:rPr>
            </w:pPr>
          </w:p>
        </w:tc>
        <w:tc>
          <w:tcPr>
            <w:tcW w:w="5576" w:type="dxa"/>
            <w:vAlign w:val="center"/>
          </w:tcPr>
          <w:p>
            <w:pPr>
              <w:pStyle w:val="259"/>
              <w:tabs>
                <w:tab w:val="left" w:pos="1260"/>
              </w:tabs>
              <w:spacing w:line="312" w:lineRule="auto"/>
              <w:jc w:val="center"/>
              <w:rPr>
                <w:rFonts w:ascii="宋体" w:cs="宋体"/>
                <w:szCs w:val="21"/>
                <w:lang w:val="en-GB"/>
              </w:rPr>
            </w:pPr>
          </w:p>
        </w:tc>
        <w:tc>
          <w:tcPr>
            <w:tcW w:w="1392" w:type="dxa"/>
          </w:tcPr>
          <w:p>
            <w:pPr>
              <w:pStyle w:val="259"/>
              <w:tabs>
                <w:tab w:val="left" w:pos="1260"/>
              </w:tabs>
              <w:spacing w:line="312" w:lineRule="auto"/>
              <w:jc w:val="center"/>
              <w:rPr>
                <w:rFonts w:ascii="宋体" w:cs="宋体"/>
                <w:szCs w:val="21"/>
                <w:lang w:val="en-GB"/>
              </w:rPr>
            </w:pPr>
          </w:p>
        </w:tc>
        <w:tc>
          <w:tcPr>
            <w:tcW w:w="1392" w:type="dxa"/>
            <w:vAlign w:val="center"/>
          </w:tcPr>
          <w:p>
            <w:pPr>
              <w:pStyle w:val="259"/>
              <w:tabs>
                <w:tab w:val="left" w:pos="1260"/>
              </w:tabs>
              <w:spacing w:line="312" w:lineRule="auto"/>
              <w:jc w:val="center"/>
              <w:rPr>
                <w:rFonts w:asci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259"/>
              <w:tabs>
                <w:tab w:val="left" w:pos="1260"/>
              </w:tabs>
              <w:spacing w:line="312" w:lineRule="auto"/>
              <w:jc w:val="center"/>
              <w:rPr>
                <w:rFonts w:ascii="宋体" w:cs="宋体"/>
                <w:szCs w:val="21"/>
                <w:lang w:val="en-GB"/>
              </w:rPr>
            </w:pPr>
          </w:p>
        </w:tc>
        <w:tc>
          <w:tcPr>
            <w:tcW w:w="5576" w:type="dxa"/>
            <w:vAlign w:val="center"/>
          </w:tcPr>
          <w:p>
            <w:pPr>
              <w:pStyle w:val="259"/>
              <w:tabs>
                <w:tab w:val="left" w:pos="1260"/>
              </w:tabs>
              <w:spacing w:line="312" w:lineRule="auto"/>
              <w:jc w:val="center"/>
              <w:rPr>
                <w:rFonts w:ascii="宋体" w:cs="宋体"/>
                <w:szCs w:val="21"/>
                <w:lang w:val="en-GB"/>
              </w:rPr>
            </w:pPr>
          </w:p>
        </w:tc>
        <w:tc>
          <w:tcPr>
            <w:tcW w:w="1392" w:type="dxa"/>
          </w:tcPr>
          <w:p>
            <w:pPr>
              <w:pStyle w:val="259"/>
              <w:tabs>
                <w:tab w:val="left" w:pos="1260"/>
              </w:tabs>
              <w:spacing w:line="312" w:lineRule="auto"/>
              <w:jc w:val="center"/>
              <w:rPr>
                <w:rFonts w:ascii="宋体" w:cs="宋体"/>
                <w:szCs w:val="21"/>
                <w:lang w:val="en-GB"/>
              </w:rPr>
            </w:pPr>
          </w:p>
        </w:tc>
        <w:tc>
          <w:tcPr>
            <w:tcW w:w="1392" w:type="dxa"/>
            <w:vAlign w:val="center"/>
          </w:tcPr>
          <w:p>
            <w:pPr>
              <w:pStyle w:val="259"/>
              <w:tabs>
                <w:tab w:val="left" w:pos="1260"/>
              </w:tabs>
              <w:spacing w:line="312" w:lineRule="auto"/>
              <w:jc w:val="center"/>
              <w:rPr>
                <w:rFonts w:asci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259"/>
              <w:tabs>
                <w:tab w:val="left" w:pos="1260"/>
              </w:tabs>
              <w:spacing w:line="312" w:lineRule="auto"/>
              <w:jc w:val="center"/>
              <w:rPr>
                <w:rFonts w:ascii="宋体" w:cs="宋体"/>
                <w:szCs w:val="21"/>
                <w:lang w:val="en-GB"/>
              </w:rPr>
            </w:pPr>
          </w:p>
        </w:tc>
        <w:tc>
          <w:tcPr>
            <w:tcW w:w="6968" w:type="dxa"/>
            <w:gridSpan w:val="2"/>
            <w:vAlign w:val="center"/>
          </w:tcPr>
          <w:p>
            <w:pPr>
              <w:pStyle w:val="259"/>
              <w:tabs>
                <w:tab w:val="left" w:pos="1260"/>
              </w:tabs>
              <w:spacing w:line="312" w:lineRule="auto"/>
              <w:jc w:val="center"/>
              <w:rPr>
                <w:rFonts w:ascii="宋体" w:cs="宋体"/>
                <w:szCs w:val="21"/>
                <w:lang w:val="en-GB"/>
              </w:rPr>
            </w:pPr>
            <w:r>
              <w:rPr>
                <w:rFonts w:hint="eastAsia" w:ascii="宋体" w:hAnsi="宋体" w:cs="宋体"/>
                <w:szCs w:val="21"/>
              </w:rPr>
              <w:t>监狱和戒毒企业产品</w:t>
            </w:r>
            <w:r>
              <w:rPr>
                <w:rFonts w:hint="eastAsia" w:ascii="宋体" w:hAnsi="宋体" w:cs="宋体"/>
                <w:szCs w:val="21"/>
                <w:lang w:val="en-GB"/>
              </w:rPr>
              <w:t>金额合计</w:t>
            </w:r>
          </w:p>
        </w:tc>
        <w:tc>
          <w:tcPr>
            <w:tcW w:w="1392" w:type="dxa"/>
            <w:vAlign w:val="center"/>
          </w:tcPr>
          <w:p>
            <w:pPr>
              <w:pStyle w:val="259"/>
              <w:tabs>
                <w:tab w:val="left" w:pos="1260"/>
              </w:tabs>
              <w:spacing w:line="312" w:lineRule="auto"/>
              <w:jc w:val="center"/>
              <w:rPr>
                <w:rFonts w:ascii="宋体" w:cs="宋体"/>
                <w:szCs w:val="21"/>
                <w:lang w:val="en-GB"/>
              </w:rPr>
            </w:pPr>
          </w:p>
        </w:tc>
      </w:tr>
    </w:tbl>
    <w:p>
      <w:pPr>
        <w:pStyle w:val="259"/>
        <w:spacing w:line="312" w:lineRule="auto"/>
        <w:ind w:left="718" w:hanging="718" w:hangingChars="342"/>
        <w:rPr>
          <w:rFonts w:ascii="宋体" w:cs="宋体"/>
          <w:szCs w:val="21"/>
          <w:lang w:val="en-GB"/>
        </w:rPr>
      </w:pPr>
      <w:r>
        <w:rPr>
          <w:rFonts w:hint="eastAsia" w:ascii="宋体" w:hAnsi="宋体" w:cs="宋体"/>
          <w:szCs w:val="21"/>
          <w:lang w:val="en-GB"/>
        </w:rPr>
        <w:t>填报要求：</w:t>
      </w:r>
    </w:p>
    <w:p>
      <w:pPr>
        <w:pStyle w:val="259"/>
        <w:widowControl/>
        <w:numPr>
          <w:ilvl w:val="1"/>
          <w:numId w:val="1"/>
        </w:numPr>
        <w:spacing w:line="312" w:lineRule="auto"/>
        <w:ind w:left="-27" w:right="84" w:rightChars="40"/>
        <w:jc w:val="left"/>
        <w:rPr>
          <w:rFonts w:ascii="宋体" w:cs="宋体"/>
          <w:szCs w:val="21"/>
          <w:lang w:val="en-GB"/>
        </w:rPr>
      </w:pPr>
      <w:r>
        <w:rPr>
          <w:rFonts w:hint="eastAsia" w:ascii="宋体" w:hAnsi="宋体" w:cs="宋体"/>
          <w:szCs w:val="21"/>
          <w:lang w:val="en-GB"/>
        </w:rPr>
        <w:t>本表的产品名称、规格型号和注册商标、金额要与《报价明细表》一致。</w:t>
      </w:r>
    </w:p>
    <w:p>
      <w:pPr>
        <w:pStyle w:val="259"/>
        <w:widowControl/>
        <w:spacing w:line="312" w:lineRule="auto"/>
        <w:ind w:left="540" w:right="84" w:rightChars="40"/>
        <w:jc w:val="left"/>
        <w:rPr>
          <w:rFonts w:ascii="宋体" w:cs="宋体"/>
          <w:szCs w:val="21"/>
          <w:lang w:val="en-GB"/>
        </w:rPr>
      </w:pPr>
      <w:r>
        <w:rPr>
          <w:rFonts w:ascii="宋体" w:hAnsi="宋体" w:cs="宋体"/>
          <w:szCs w:val="21"/>
        </w:rPr>
        <w:t>2.</w:t>
      </w:r>
      <w:r>
        <w:rPr>
          <w:rFonts w:hint="eastAsia" w:ascii="宋体" w:hAnsi="宋体" w:cs="宋体"/>
          <w:szCs w:val="21"/>
        </w:rPr>
        <w:t>监狱和戒毒企业投标且提供本企业制造的产品才能</w:t>
      </w:r>
      <w:r>
        <w:rPr>
          <w:rFonts w:hint="eastAsia" w:ascii="宋体" w:hAnsi="宋体" w:cs="宋体"/>
          <w:szCs w:val="21"/>
          <w:lang w:val="en-GB"/>
        </w:rPr>
        <w:t>享受商务报价里</w:t>
      </w:r>
      <w:r>
        <w:rPr>
          <w:rFonts w:hint="eastAsia" w:ascii="宋体" w:hAnsi="宋体" w:cs="宋体"/>
          <w:szCs w:val="21"/>
        </w:rPr>
        <w:t>监狱和戒毒企业</w:t>
      </w:r>
      <w:r>
        <w:rPr>
          <w:rFonts w:hint="eastAsia" w:ascii="宋体" w:hAnsi="宋体" w:cs="宋体"/>
          <w:szCs w:val="21"/>
          <w:lang w:val="en-GB"/>
        </w:rPr>
        <w:t>产品优惠政策。</w:t>
      </w:r>
    </w:p>
    <w:p>
      <w:pPr>
        <w:pStyle w:val="259"/>
        <w:widowControl/>
        <w:spacing w:line="312" w:lineRule="auto"/>
        <w:ind w:left="540" w:right="84" w:rightChars="40"/>
        <w:jc w:val="left"/>
        <w:rPr>
          <w:rFonts w:ascii="宋体" w:cs="宋体"/>
          <w:szCs w:val="21"/>
          <w:lang w:val="en-GB"/>
        </w:rPr>
      </w:pPr>
      <w:r>
        <w:rPr>
          <w:rFonts w:ascii="宋体" w:hAnsi="宋体" w:cs="宋体"/>
          <w:szCs w:val="21"/>
          <w:lang w:val="en-GB"/>
        </w:rPr>
        <w:t xml:space="preserve">3. </w:t>
      </w:r>
      <w:r>
        <w:rPr>
          <w:rFonts w:hint="eastAsia" w:ascii="宋体" w:hAnsi="宋体" w:cs="宋体"/>
          <w:szCs w:val="21"/>
          <w:lang w:val="en-GB"/>
        </w:rPr>
        <w:t>本表内容不填写将不能享受商务报价里</w:t>
      </w:r>
      <w:r>
        <w:rPr>
          <w:rFonts w:hint="eastAsia" w:ascii="宋体" w:hAnsi="宋体" w:cs="宋体"/>
          <w:szCs w:val="21"/>
        </w:rPr>
        <w:t>监狱和戒毒企业</w:t>
      </w:r>
      <w:r>
        <w:rPr>
          <w:rFonts w:hint="eastAsia" w:ascii="宋体" w:hAnsi="宋体" w:cs="宋体"/>
          <w:szCs w:val="21"/>
          <w:lang w:val="en-GB"/>
        </w:rPr>
        <w:t>产品优惠政策。</w:t>
      </w:r>
    </w:p>
    <w:p>
      <w:pPr>
        <w:spacing w:line="312" w:lineRule="auto"/>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p>
    <w:p>
      <w:pPr>
        <w:spacing w:line="312" w:lineRule="auto"/>
        <w:jc w:val="center"/>
        <w:rPr>
          <w:rFonts w:ascii="宋体" w:cs="宋体"/>
          <w:b/>
          <w:spacing w:val="6"/>
          <w:szCs w:val="21"/>
        </w:rPr>
      </w:pPr>
      <w:r>
        <w:rPr>
          <w:rFonts w:hint="eastAsia" w:ascii="宋体" w:hAnsi="宋体" w:cs="宋体"/>
          <w:b/>
          <w:spacing w:val="6"/>
          <w:szCs w:val="21"/>
          <w:lang w:eastAsia="zh-CN"/>
        </w:rPr>
        <w:t>附件</w:t>
      </w:r>
      <w:r>
        <w:rPr>
          <w:rFonts w:hint="eastAsia" w:ascii="宋体" w:hAnsi="宋体" w:cs="宋体"/>
          <w:b/>
          <w:spacing w:val="6"/>
          <w:szCs w:val="21"/>
          <w:lang w:val="en-US" w:eastAsia="zh-CN"/>
        </w:rPr>
        <w:t>4、</w:t>
      </w:r>
      <w:r>
        <w:rPr>
          <w:rFonts w:hint="eastAsia" w:ascii="宋体" w:hAnsi="宋体" w:cs="宋体"/>
          <w:b/>
          <w:spacing w:val="6"/>
          <w:szCs w:val="21"/>
        </w:rPr>
        <w:t>残疾人福利性单位声明函</w:t>
      </w:r>
    </w:p>
    <w:p>
      <w:pPr>
        <w:spacing w:line="312" w:lineRule="auto"/>
        <w:rPr>
          <w:rFonts w:ascii="宋体" w:cs="宋体"/>
          <w:b/>
          <w:spacing w:val="6"/>
          <w:szCs w:val="21"/>
        </w:rPr>
      </w:pPr>
    </w:p>
    <w:p>
      <w:pPr>
        <w:snapToGrid w:val="0"/>
        <w:spacing w:line="312"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 xml:space="preserve"> 141</w:t>
      </w:r>
      <w:r>
        <w:rPr>
          <w:rFonts w:hint="eastAsia" w:ascii="宋体" w:hAnsi="宋体" w:cs="宋体"/>
          <w:szCs w:val="21"/>
        </w:rPr>
        <w:t>号）的规定，本单位为符合条件的残疾人福利性单位，且本单位参加</w:t>
      </w:r>
      <w:r>
        <w:rPr>
          <w:rFonts w:ascii="宋体" w:hAnsi="宋体" w:cs="宋体"/>
          <w:szCs w:val="21"/>
        </w:rPr>
        <w:t>______</w:t>
      </w:r>
      <w:r>
        <w:rPr>
          <w:rFonts w:hint="eastAsia" w:ascii="宋体" w:hAnsi="宋体" w:cs="宋体"/>
          <w:szCs w:val="21"/>
        </w:rPr>
        <w:t>单位的</w:t>
      </w:r>
      <w:r>
        <w:rPr>
          <w:rFonts w:ascii="宋体" w:hAnsi="宋体" w:cs="宋体"/>
          <w:szCs w:val="21"/>
        </w:rPr>
        <w:t>______</w:t>
      </w:r>
      <w:r>
        <w:rPr>
          <w:rFonts w:hint="eastAsia" w:ascii="宋体" w:hAnsi="宋体" w:cs="宋体"/>
          <w:szCs w:val="21"/>
        </w:rPr>
        <w:t>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napToGrid w:val="0"/>
        <w:spacing w:line="312"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napToGrid w:val="0"/>
        <w:spacing w:line="312" w:lineRule="auto"/>
        <w:ind w:firstLine="420" w:firstLineChars="200"/>
        <w:rPr>
          <w:rFonts w:ascii="宋体" w:cs="宋体"/>
          <w:szCs w:val="21"/>
        </w:rPr>
      </w:pPr>
    </w:p>
    <w:p>
      <w:pPr>
        <w:spacing w:line="312" w:lineRule="auto"/>
        <w:ind w:firstLine="444" w:firstLineChars="200"/>
        <w:rPr>
          <w:rFonts w:ascii="宋体" w:cs="宋体"/>
          <w:spacing w:val="6"/>
          <w:szCs w:val="21"/>
        </w:rPr>
      </w:pPr>
    </w:p>
    <w:p>
      <w:pPr>
        <w:snapToGrid w:val="0"/>
        <w:spacing w:line="312" w:lineRule="auto"/>
        <w:ind w:firstLine="420" w:firstLineChars="200"/>
        <w:jc w:val="left"/>
        <w:rPr>
          <w:rFonts w:ascii="宋体" w:cs="宋体"/>
          <w:szCs w:val="21"/>
        </w:rPr>
      </w:pPr>
      <w:r>
        <w:rPr>
          <w:rFonts w:hint="eastAsia" w:ascii="宋体" w:hAnsi="宋体" w:cs="宋体"/>
          <w:szCs w:val="21"/>
        </w:rPr>
        <w:t>单位名称（盖章）：</w:t>
      </w:r>
    </w:p>
    <w:p>
      <w:pPr>
        <w:pStyle w:val="251"/>
        <w:spacing w:line="312" w:lineRule="auto"/>
        <w:ind w:firstLine="420" w:firstLineChars="200"/>
        <w:rPr>
          <w:rFonts w:ascii="宋体" w:eastAsia="宋体" w:cs="宋体"/>
          <w:sz w:val="21"/>
          <w:szCs w:val="21"/>
        </w:rPr>
      </w:pPr>
      <w:r>
        <w:rPr>
          <w:rFonts w:hint="eastAsia" w:ascii="宋体" w:eastAsia="宋体" w:cs="宋体"/>
          <w:sz w:val="21"/>
          <w:szCs w:val="21"/>
        </w:rPr>
        <w:t>日期：</w:t>
      </w: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szCs w:val="21"/>
        </w:rPr>
      </w:pPr>
    </w:p>
    <w:p>
      <w:pPr>
        <w:pStyle w:val="259"/>
        <w:spacing w:line="312" w:lineRule="auto"/>
        <w:jc w:val="center"/>
        <w:rPr>
          <w:rFonts w:ascii="宋体" w:cs="宋体"/>
          <w:b/>
          <w:szCs w:val="21"/>
          <w:lang w:val="en-GB"/>
        </w:rPr>
      </w:pPr>
      <w:r>
        <w:rPr>
          <w:rFonts w:hint="eastAsia" w:ascii="宋体" w:hAnsi="宋体" w:cs="宋体"/>
          <w:b/>
          <w:spacing w:val="6"/>
          <w:szCs w:val="21"/>
          <w:lang w:eastAsia="zh-CN"/>
        </w:rPr>
        <w:t>附件</w:t>
      </w:r>
      <w:r>
        <w:rPr>
          <w:rFonts w:hint="eastAsia" w:ascii="宋体" w:hAnsi="宋体" w:cs="宋体"/>
          <w:b/>
          <w:spacing w:val="6"/>
          <w:szCs w:val="21"/>
          <w:lang w:val="en-US" w:eastAsia="zh-CN"/>
        </w:rPr>
        <w:t>5、</w:t>
      </w:r>
      <w:r>
        <w:rPr>
          <w:rFonts w:hint="eastAsia" w:ascii="宋体" w:hAnsi="宋体" w:cs="宋体"/>
          <w:b/>
          <w:szCs w:val="21"/>
          <w:lang w:val="en-GB"/>
        </w:rPr>
        <w:t>产品适用</w:t>
      </w:r>
      <w:r>
        <w:rPr>
          <w:rFonts w:hint="eastAsia" w:ascii="宋体" w:hAnsi="宋体" w:cs="宋体"/>
          <w:b/>
          <w:spacing w:val="6"/>
          <w:szCs w:val="21"/>
        </w:rPr>
        <w:t>残疾人福利性单位</w:t>
      </w:r>
      <w:r>
        <w:rPr>
          <w:rFonts w:hint="eastAsia" w:ascii="宋体" w:hAnsi="宋体" w:cs="宋体"/>
          <w:b/>
          <w:szCs w:val="21"/>
          <w:lang w:val="en-GB"/>
        </w:rPr>
        <w:t>政策情况表</w:t>
      </w:r>
    </w:p>
    <w:p>
      <w:pPr>
        <w:pStyle w:val="259"/>
        <w:spacing w:line="312" w:lineRule="auto"/>
        <w:jc w:val="center"/>
        <w:rPr>
          <w:rFonts w:ascii="宋体" w:cs="宋体"/>
          <w:b/>
          <w:szCs w:val="21"/>
          <w:lang w:val="en-GB"/>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restart"/>
            <w:vAlign w:val="center"/>
          </w:tcPr>
          <w:p>
            <w:pPr>
              <w:pStyle w:val="259"/>
              <w:tabs>
                <w:tab w:val="left" w:pos="1260"/>
              </w:tabs>
              <w:spacing w:line="312" w:lineRule="auto"/>
              <w:jc w:val="center"/>
              <w:rPr>
                <w:rFonts w:ascii="宋体" w:cs="宋体"/>
                <w:szCs w:val="21"/>
                <w:lang w:val="en-GB"/>
              </w:rPr>
            </w:pPr>
            <w:r>
              <w:rPr>
                <w:rFonts w:hint="eastAsia" w:ascii="宋体" w:hAnsi="宋体" w:cs="宋体"/>
                <w:spacing w:val="6"/>
                <w:szCs w:val="21"/>
              </w:rPr>
              <w:t>残疾人福利性单位扶持政策</w:t>
            </w:r>
          </w:p>
        </w:tc>
        <w:tc>
          <w:tcPr>
            <w:tcW w:w="5576" w:type="dxa"/>
            <w:vAlign w:val="center"/>
          </w:tcPr>
          <w:p>
            <w:pPr>
              <w:pStyle w:val="259"/>
              <w:tabs>
                <w:tab w:val="left" w:pos="1260"/>
              </w:tabs>
              <w:spacing w:line="312" w:lineRule="auto"/>
              <w:jc w:val="center"/>
              <w:rPr>
                <w:rFonts w:ascii="宋体" w:cs="宋体"/>
                <w:szCs w:val="21"/>
                <w:lang w:val="en-GB"/>
              </w:rPr>
            </w:pPr>
            <w:r>
              <w:rPr>
                <w:rFonts w:hint="eastAsia" w:ascii="宋体" w:hAnsi="宋体" w:cs="宋体"/>
                <w:szCs w:val="21"/>
                <w:lang w:val="en-GB"/>
              </w:rPr>
              <w:t>产品名称（品牌、型号）</w:t>
            </w:r>
          </w:p>
        </w:tc>
        <w:tc>
          <w:tcPr>
            <w:tcW w:w="1392" w:type="dxa"/>
            <w:vAlign w:val="center"/>
          </w:tcPr>
          <w:p>
            <w:pPr>
              <w:pStyle w:val="259"/>
              <w:tabs>
                <w:tab w:val="left" w:pos="1260"/>
              </w:tabs>
              <w:spacing w:line="312" w:lineRule="auto"/>
              <w:jc w:val="center"/>
              <w:rPr>
                <w:rFonts w:ascii="宋体" w:cs="宋体"/>
                <w:szCs w:val="21"/>
                <w:lang w:val="en-GB"/>
              </w:rPr>
            </w:pPr>
            <w:r>
              <w:rPr>
                <w:rFonts w:hint="eastAsia" w:ascii="宋体" w:hAnsi="宋体" w:cs="宋体"/>
                <w:szCs w:val="21"/>
                <w:lang w:val="en-GB"/>
              </w:rPr>
              <w:t>数量</w:t>
            </w:r>
          </w:p>
        </w:tc>
        <w:tc>
          <w:tcPr>
            <w:tcW w:w="1392" w:type="dxa"/>
            <w:vAlign w:val="center"/>
          </w:tcPr>
          <w:p>
            <w:pPr>
              <w:pStyle w:val="259"/>
              <w:tabs>
                <w:tab w:val="left" w:pos="1260"/>
              </w:tabs>
              <w:spacing w:line="312" w:lineRule="auto"/>
              <w:jc w:val="center"/>
              <w:rPr>
                <w:rFonts w:ascii="宋体" w:cs="宋体"/>
                <w:szCs w:val="21"/>
                <w:lang w:val="en-GB"/>
              </w:rPr>
            </w:pPr>
            <w:r>
              <w:rPr>
                <w:rFonts w:hint="eastAsia" w:ascii="宋体" w:hAnsi="宋体" w:cs="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259"/>
              <w:tabs>
                <w:tab w:val="left" w:pos="1260"/>
              </w:tabs>
              <w:spacing w:line="312" w:lineRule="auto"/>
              <w:jc w:val="center"/>
              <w:rPr>
                <w:rFonts w:ascii="宋体" w:cs="宋体"/>
                <w:szCs w:val="21"/>
                <w:lang w:val="en-GB"/>
              </w:rPr>
            </w:pPr>
          </w:p>
        </w:tc>
        <w:tc>
          <w:tcPr>
            <w:tcW w:w="5576" w:type="dxa"/>
            <w:vAlign w:val="center"/>
          </w:tcPr>
          <w:p>
            <w:pPr>
              <w:pStyle w:val="259"/>
              <w:tabs>
                <w:tab w:val="left" w:pos="1260"/>
              </w:tabs>
              <w:spacing w:line="312" w:lineRule="auto"/>
              <w:jc w:val="center"/>
              <w:rPr>
                <w:rFonts w:ascii="宋体" w:cs="宋体"/>
                <w:szCs w:val="21"/>
                <w:lang w:val="en-GB"/>
              </w:rPr>
            </w:pPr>
          </w:p>
        </w:tc>
        <w:tc>
          <w:tcPr>
            <w:tcW w:w="1392" w:type="dxa"/>
          </w:tcPr>
          <w:p>
            <w:pPr>
              <w:pStyle w:val="259"/>
              <w:tabs>
                <w:tab w:val="left" w:pos="1260"/>
              </w:tabs>
              <w:spacing w:line="312" w:lineRule="auto"/>
              <w:jc w:val="center"/>
              <w:rPr>
                <w:rFonts w:ascii="宋体" w:cs="宋体"/>
                <w:szCs w:val="21"/>
                <w:lang w:val="en-GB"/>
              </w:rPr>
            </w:pPr>
          </w:p>
        </w:tc>
        <w:tc>
          <w:tcPr>
            <w:tcW w:w="1392" w:type="dxa"/>
            <w:vAlign w:val="center"/>
          </w:tcPr>
          <w:p>
            <w:pPr>
              <w:pStyle w:val="259"/>
              <w:tabs>
                <w:tab w:val="left" w:pos="1260"/>
              </w:tabs>
              <w:spacing w:line="312" w:lineRule="auto"/>
              <w:jc w:val="center"/>
              <w:rPr>
                <w:rFonts w:asci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259"/>
              <w:tabs>
                <w:tab w:val="left" w:pos="1260"/>
              </w:tabs>
              <w:spacing w:line="312" w:lineRule="auto"/>
              <w:jc w:val="center"/>
              <w:rPr>
                <w:rFonts w:ascii="宋体" w:cs="宋体"/>
                <w:szCs w:val="21"/>
                <w:lang w:val="en-GB"/>
              </w:rPr>
            </w:pPr>
          </w:p>
        </w:tc>
        <w:tc>
          <w:tcPr>
            <w:tcW w:w="5576" w:type="dxa"/>
            <w:vAlign w:val="center"/>
          </w:tcPr>
          <w:p>
            <w:pPr>
              <w:pStyle w:val="259"/>
              <w:tabs>
                <w:tab w:val="left" w:pos="1260"/>
              </w:tabs>
              <w:spacing w:line="312" w:lineRule="auto"/>
              <w:jc w:val="center"/>
              <w:rPr>
                <w:rFonts w:ascii="宋体" w:cs="宋体"/>
                <w:szCs w:val="21"/>
                <w:lang w:val="en-GB"/>
              </w:rPr>
            </w:pPr>
          </w:p>
        </w:tc>
        <w:tc>
          <w:tcPr>
            <w:tcW w:w="1392" w:type="dxa"/>
          </w:tcPr>
          <w:p>
            <w:pPr>
              <w:pStyle w:val="259"/>
              <w:tabs>
                <w:tab w:val="left" w:pos="1260"/>
              </w:tabs>
              <w:spacing w:line="312" w:lineRule="auto"/>
              <w:jc w:val="center"/>
              <w:rPr>
                <w:rFonts w:ascii="宋体" w:cs="宋体"/>
                <w:szCs w:val="21"/>
                <w:lang w:val="en-GB"/>
              </w:rPr>
            </w:pPr>
          </w:p>
        </w:tc>
        <w:tc>
          <w:tcPr>
            <w:tcW w:w="1392" w:type="dxa"/>
            <w:vAlign w:val="center"/>
          </w:tcPr>
          <w:p>
            <w:pPr>
              <w:pStyle w:val="259"/>
              <w:tabs>
                <w:tab w:val="left" w:pos="1260"/>
              </w:tabs>
              <w:spacing w:line="312" w:lineRule="auto"/>
              <w:jc w:val="center"/>
              <w:rPr>
                <w:rFonts w:asci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259"/>
              <w:tabs>
                <w:tab w:val="left" w:pos="1260"/>
              </w:tabs>
              <w:spacing w:line="312" w:lineRule="auto"/>
              <w:jc w:val="center"/>
              <w:rPr>
                <w:rFonts w:ascii="宋体" w:cs="宋体"/>
                <w:szCs w:val="21"/>
                <w:lang w:val="en-GB"/>
              </w:rPr>
            </w:pPr>
          </w:p>
        </w:tc>
        <w:tc>
          <w:tcPr>
            <w:tcW w:w="5576" w:type="dxa"/>
            <w:vAlign w:val="center"/>
          </w:tcPr>
          <w:p>
            <w:pPr>
              <w:pStyle w:val="259"/>
              <w:tabs>
                <w:tab w:val="left" w:pos="1260"/>
              </w:tabs>
              <w:spacing w:line="312" w:lineRule="auto"/>
              <w:jc w:val="center"/>
              <w:rPr>
                <w:rFonts w:ascii="宋体" w:cs="宋体"/>
                <w:szCs w:val="21"/>
                <w:lang w:val="en-GB"/>
              </w:rPr>
            </w:pPr>
          </w:p>
        </w:tc>
        <w:tc>
          <w:tcPr>
            <w:tcW w:w="1392" w:type="dxa"/>
          </w:tcPr>
          <w:p>
            <w:pPr>
              <w:pStyle w:val="259"/>
              <w:tabs>
                <w:tab w:val="left" w:pos="1260"/>
              </w:tabs>
              <w:spacing w:line="312" w:lineRule="auto"/>
              <w:jc w:val="center"/>
              <w:rPr>
                <w:rFonts w:ascii="宋体" w:cs="宋体"/>
                <w:szCs w:val="21"/>
                <w:lang w:val="en-GB"/>
              </w:rPr>
            </w:pPr>
          </w:p>
        </w:tc>
        <w:tc>
          <w:tcPr>
            <w:tcW w:w="1392" w:type="dxa"/>
            <w:vAlign w:val="center"/>
          </w:tcPr>
          <w:p>
            <w:pPr>
              <w:pStyle w:val="259"/>
              <w:tabs>
                <w:tab w:val="left" w:pos="1260"/>
              </w:tabs>
              <w:spacing w:line="312" w:lineRule="auto"/>
              <w:jc w:val="center"/>
              <w:rPr>
                <w:rFonts w:asci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259"/>
              <w:tabs>
                <w:tab w:val="left" w:pos="1260"/>
              </w:tabs>
              <w:spacing w:line="312" w:lineRule="auto"/>
              <w:jc w:val="center"/>
              <w:rPr>
                <w:rFonts w:ascii="宋体" w:cs="宋体"/>
                <w:szCs w:val="21"/>
                <w:lang w:val="en-GB"/>
              </w:rPr>
            </w:pPr>
          </w:p>
        </w:tc>
        <w:tc>
          <w:tcPr>
            <w:tcW w:w="6968" w:type="dxa"/>
            <w:gridSpan w:val="2"/>
            <w:vAlign w:val="center"/>
          </w:tcPr>
          <w:p>
            <w:pPr>
              <w:pStyle w:val="259"/>
              <w:tabs>
                <w:tab w:val="left" w:pos="1260"/>
              </w:tabs>
              <w:spacing w:line="312" w:lineRule="auto"/>
              <w:jc w:val="center"/>
              <w:rPr>
                <w:rFonts w:ascii="宋体" w:cs="宋体"/>
                <w:szCs w:val="21"/>
                <w:lang w:val="en-GB"/>
              </w:rPr>
            </w:pPr>
            <w:r>
              <w:rPr>
                <w:rFonts w:hint="eastAsia" w:ascii="宋体" w:hAnsi="宋体" w:cs="宋体"/>
                <w:spacing w:val="6"/>
                <w:szCs w:val="21"/>
              </w:rPr>
              <w:t>残疾人福利性单位</w:t>
            </w:r>
            <w:r>
              <w:rPr>
                <w:rFonts w:hint="eastAsia" w:ascii="宋体" w:hAnsi="宋体" w:cs="宋体"/>
                <w:szCs w:val="21"/>
              </w:rPr>
              <w:t>产品</w:t>
            </w:r>
            <w:r>
              <w:rPr>
                <w:rFonts w:hint="eastAsia" w:ascii="宋体" w:hAnsi="宋体" w:cs="宋体"/>
                <w:szCs w:val="21"/>
                <w:lang w:val="en-GB"/>
              </w:rPr>
              <w:t>金额合计</w:t>
            </w:r>
          </w:p>
        </w:tc>
        <w:tc>
          <w:tcPr>
            <w:tcW w:w="1392" w:type="dxa"/>
            <w:vAlign w:val="center"/>
          </w:tcPr>
          <w:p>
            <w:pPr>
              <w:pStyle w:val="259"/>
              <w:tabs>
                <w:tab w:val="left" w:pos="1260"/>
              </w:tabs>
              <w:spacing w:line="312" w:lineRule="auto"/>
              <w:jc w:val="center"/>
              <w:rPr>
                <w:rFonts w:ascii="宋体" w:cs="宋体"/>
                <w:szCs w:val="21"/>
                <w:lang w:val="en-GB"/>
              </w:rPr>
            </w:pPr>
          </w:p>
        </w:tc>
      </w:tr>
    </w:tbl>
    <w:p>
      <w:pPr>
        <w:pStyle w:val="259"/>
        <w:spacing w:line="312" w:lineRule="auto"/>
        <w:ind w:left="718" w:hanging="718" w:hangingChars="342"/>
        <w:rPr>
          <w:rFonts w:ascii="宋体" w:cs="宋体"/>
          <w:szCs w:val="21"/>
          <w:lang w:val="en-GB"/>
        </w:rPr>
      </w:pPr>
      <w:r>
        <w:rPr>
          <w:rFonts w:hint="eastAsia" w:ascii="宋体" w:hAnsi="宋体" w:cs="宋体"/>
          <w:szCs w:val="21"/>
          <w:lang w:val="en-GB"/>
        </w:rPr>
        <w:t>填报要求：</w:t>
      </w:r>
    </w:p>
    <w:p>
      <w:pPr>
        <w:pStyle w:val="259"/>
        <w:widowControl/>
        <w:spacing w:line="312" w:lineRule="auto"/>
        <w:ind w:right="84" w:rightChars="40"/>
        <w:jc w:val="left"/>
        <w:rPr>
          <w:rFonts w:ascii="宋体" w:cs="宋体"/>
          <w:szCs w:val="21"/>
          <w:lang w:val="en-GB"/>
        </w:rPr>
      </w:pPr>
      <w:r>
        <w:rPr>
          <w:rFonts w:ascii="宋体" w:hAnsi="宋体" w:cs="宋体"/>
          <w:szCs w:val="21"/>
          <w:lang w:val="en-GB"/>
        </w:rPr>
        <w:t>1.</w:t>
      </w:r>
      <w:r>
        <w:rPr>
          <w:rFonts w:hint="eastAsia" w:ascii="宋体" w:hAnsi="宋体" w:cs="宋体"/>
          <w:szCs w:val="21"/>
          <w:lang w:val="en-GB"/>
        </w:rPr>
        <w:t>本表的产品名称、规格型号和注册商标、金额要与《报价明细表》一致。</w:t>
      </w:r>
    </w:p>
    <w:p>
      <w:pPr>
        <w:pStyle w:val="259"/>
        <w:widowControl/>
        <w:spacing w:line="312" w:lineRule="auto"/>
        <w:ind w:right="84" w:rightChars="40"/>
        <w:jc w:val="left"/>
        <w:rPr>
          <w:rFonts w:ascii="宋体" w:cs="宋体"/>
          <w:szCs w:val="21"/>
          <w:lang w:val="en-GB"/>
        </w:rPr>
      </w:pPr>
      <w:r>
        <w:rPr>
          <w:rFonts w:ascii="宋体" w:hAnsi="宋体" w:cs="宋体"/>
          <w:szCs w:val="21"/>
          <w:lang w:val="en-GB"/>
        </w:rPr>
        <w:t>2.</w:t>
      </w:r>
      <w:r>
        <w:rPr>
          <w:rFonts w:hint="eastAsia" w:ascii="宋体" w:hAnsi="宋体" w:cs="宋体"/>
          <w:szCs w:val="21"/>
          <w:lang w:val="en-GB"/>
        </w:rPr>
        <w:t>本表内容不填写将不能享受商务报价里</w:t>
      </w:r>
      <w:r>
        <w:rPr>
          <w:rFonts w:hint="eastAsia" w:ascii="宋体" w:hAnsi="宋体" w:cs="宋体"/>
          <w:spacing w:val="6"/>
          <w:szCs w:val="21"/>
        </w:rPr>
        <w:t>残疾人福利性单位</w:t>
      </w:r>
      <w:r>
        <w:rPr>
          <w:rFonts w:hint="eastAsia" w:ascii="宋体" w:hAnsi="宋体" w:cs="宋体"/>
          <w:szCs w:val="21"/>
          <w:lang w:val="en-GB"/>
        </w:rPr>
        <w:t>产品优惠政策。</w:t>
      </w:r>
    </w:p>
    <w:p>
      <w:pPr>
        <w:spacing w:line="312" w:lineRule="auto"/>
        <w:jc w:val="left"/>
        <w:rPr>
          <w:rFonts w:ascii="宋体" w:cs="宋体"/>
          <w:szCs w:val="21"/>
        </w:rPr>
      </w:pPr>
    </w:p>
    <w:p>
      <w:pPr>
        <w:spacing w:line="312" w:lineRule="auto"/>
        <w:jc w:val="left"/>
        <w:rPr>
          <w:rFonts w:ascii="宋体" w:cs="宋体"/>
          <w:szCs w:val="21"/>
        </w:rPr>
      </w:pPr>
    </w:p>
    <w:p>
      <w:pPr>
        <w:spacing w:line="312" w:lineRule="auto"/>
        <w:jc w:val="left"/>
        <w:rPr>
          <w:rFonts w:ascii="宋体" w:cs="宋体"/>
          <w:szCs w:val="21"/>
        </w:rPr>
      </w:pPr>
    </w:p>
    <w:p>
      <w:pPr>
        <w:spacing w:line="312" w:lineRule="auto"/>
        <w:jc w:val="left"/>
        <w:rPr>
          <w:rFonts w:ascii="宋体" w:cs="宋体"/>
          <w:szCs w:val="21"/>
        </w:rPr>
      </w:pPr>
    </w:p>
    <w:p>
      <w:pPr>
        <w:spacing w:line="312" w:lineRule="auto"/>
        <w:jc w:val="left"/>
        <w:rPr>
          <w:rFonts w:ascii="宋体" w:cs="宋体"/>
          <w:szCs w:val="21"/>
        </w:rPr>
      </w:pPr>
    </w:p>
    <w:p>
      <w:pPr>
        <w:pStyle w:val="61"/>
        <w:ind w:firstLine="560"/>
        <w:rPr>
          <w:rFonts w:ascii="宋体" w:cs="宋体"/>
          <w:szCs w:val="21"/>
        </w:rPr>
      </w:pPr>
    </w:p>
    <w:p>
      <w:pPr>
        <w:pStyle w:val="61"/>
        <w:ind w:firstLine="560"/>
        <w:rPr>
          <w:rFonts w:ascii="宋体" w:cs="宋体"/>
          <w:szCs w:val="21"/>
        </w:rPr>
      </w:pPr>
    </w:p>
    <w:p>
      <w:pPr>
        <w:pStyle w:val="61"/>
        <w:ind w:firstLine="560"/>
        <w:rPr>
          <w:rFonts w:ascii="宋体" w:cs="宋体"/>
          <w:szCs w:val="21"/>
        </w:rPr>
      </w:pPr>
    </w:p>
    <w:p>
      <w:pPr>
        <w:pStyle w:val="61"/>
        <w:ind w:firstLine="560"/>
        <w:rPr>
          <w:rFonts w:ascii="宋体" w:cs="宋体"/>
          <w:szCs w:val="21"/>
        </w:rPr>
      </w:pPr>
    </w:p>
    <w:p>
      <w:pPr>
        <w:pStyle w:val="61"/>
        <w:ind w:firstLine="560"/>
        <w:rPr>
          <w:rFonts w:ascii="宋体" w:cs="宋体"/>
          <w:szCs w:val="21"/>
        </w:rPr>
      </w:pPr>
    </w:p>
    <w:p>
      <w:pPr>
        <w:pStyle w:val="61"/>
        <w:ind w:firstLine="560"/>
        <w:rPr>
          <w:rFonts w:ascii="宋体" w:cs="宋体"/>
          <w:szCs w:val="21"/>
        </w:rPr>
      </w:pPr>
    </w:p>
    <w:p>
      <w:pPr>
        <w:pStyle w:val="61"/>
        <w:ind w:firstLine="560"/>
        <w:rPr>
          <w:rFonts w:ascii="宋体" w:cs="宋体"/>
          <w:szCs w:val="21"/>
        </w:rPr>
      </w:pPr>
    </w:p>
    <w:p>
      <w:pPr>
        <w:pStyle w:val="61"/>
        <w:ind w:firstLine="560"/>
        <w:rPr>
          <w:rFonts w:ascii="宋体" w:cs="宋体"/>
          <w:szCs w:val="21"/>
        </w:rPr>
      </w:pPr>
    </w:p>
    <w:p>
      <w:pPr>
        <w:pStyle w:val="61"/>
        <w:ind w:firstLine="560"/>
        <w:rPr>
          <w:rFonts w:ascii="宋体" w:cs="宋体"/>
          <w:szCs w:val="21"/>
        </w:rPr>
      </w:pPr>
    </w:p>
    <w:p>
      <w:pPr>
        <w:pStyle w:val="61"/>
        <w:ind w:firstLine="560"/>
        <w:rPr>
          <w:rFonts w:ascii="宋体" w:cs="宋体"/>
          <w:szCs w:val="21"/>
        </w:rPr>
      </w:pPr>
    </w:p>
    <w:p>
      <w:pPr>
        <w:pStyle w:val="61"/>
        <w:ind w:firstLine="560"/>
        <w:rPr>
          <w:rFonts w:ascii="宋体" w:cs="宋体"/>
          <w:szCs w:val="21"/>
        </w:rPr>
      </w:pPr>
    </w:p>
    <w:p>
      <w:pPr>
        <w:pStyle w:val="61"/>
        <w:ind w:firstLine="0" w:firstLineChars="0"/>
        <w:rPr>
          <w:rFonts w:ascii="宋体" w:cs="宋体"/>
          <w:szCs w:val="21"/>
        </w:rPr>
      </w:pPr>
    </w:p>
    <w:p>
      <w:pPr>
        <w:pStyle w:val="61"/>
        <w:ind w:firstLine="0" w:firstLineChars="0"/>
        <w:rPr>
          <w:rFonts w:ascii="宋体" w:cs="宋体"/>
          <w:szCs w:val="21"/>
        </w:rPr>
      </w:pPr>
    </w:p>
    <w:p>
      <w:pPr>
        <w:spacing w:line="312" w:lineRule="auto"/>
        <w:jc w:val="left"/>
        <w:outlineLvl w:val="1"/>
        <w:rPr>
          <w:rFonts w:ascii="宋体" w:cs="宋体"/>
          <w:szCs w:val="21"/>
        </w:rPr>
      </w:pPr>
      <w:bookmarkStart w:id="159" w:name="_Toc5963"/>
      <w:r>
        <w:rPr>
          <w:rFonts w:hint="eastAsia" w:ascii="宋体" w:hAnsi="宋体" w:cs="宋体"/>
          <w:szCs w:val="21"/>
        </w:rPr>
        <w:t>二、节能、环保产品优先（强制）采购政策说明</w:t>
      </w:r>
      <w:bookmarkEnd w:id="159"/>
    </w:p>
    <w:p>
      <w:pPr>
        <w:spacing w:line="312" w:lineRule="auto"/>
        <w:jc w:val="left"/>
        <w:rPr>
          <w:rFonts w:ascii="宋体" w:cs="宋体"/>
          <w:szCs w:val="21"/>
        </w:rPr>
      </w:pPr>
      <w:r>
        <w:rPr>
          <w:rFonts w:ascii="宋体" w:hAnsi="宋体" w:cs="宋体"/>
          <w:szCs w:val="21"/>
        </w:rPr>
        <w:t>1</w:t>
      </w:r>
      <w:r>
        <w:rPr>
          <w:rFonts w:hint="eastAsia" w:ascii="宋体" w:hAnsi="宋体" w:cs="宋体"/>
          <w:szCs w:val="21"/>
        </w:rPr>
        <w:t>、政策依据</w:t>
      </w:r>
    </w:p>
    <w:p>
      <w:pPr>
        <w:spacing w:line="312" w:lineRule="auto"/>
        <w:jc w:val="left"/>
        <w:rPr>
          <w:rFonts w:ascii="宋体" w:cs="宋体"/>
          <w:szCs w:val="21"/>
        </w:rPr>
      </w:pPr>
      <w:r>
        <w:rPr>
          <w:rFonts w:hint="eastAsia" w:ascii="宋体" w:hAnsi="宋体" w:cs="宋体"/>
          <w:szCs w:val="21"/>
        </w:rPr>
        <w:t>（一）《国务院办公厅关于建立政府强制采购节能产品制度的通知》</w:t>
      </w:r>
      <w:r>
        <w:rPr>
          <w:rFonts w:ascii="宋体" w:hAnsi="宋体" w:cs="宋体"/>
          <w:szCs w:val="21"/>
        </w:rPr>
        <w:t>(</w:t>
      </w:r>
      <w:r>
        <w:rPr>
          <w:rFonts w:hint="eastAsia" w:ascii="宋体" w:hAnsi="宋体" w:cs="宋体"/>
          <w:szCs w:val="21"/>
        </w:rPr>
        <w:t>国办发</w:t>
      </w:r>
      <w:r>
        <w:rPr>
          <w:rFonts w:ascii="宋体" w:hAnsi="宋体" w:cs="宋体"/>
          <w:szCs w:val="21"/>
        </w:rPr>
        <w:t>[2007]51</w:t>
      </w:r>
      <w:r>
        <w:rPr>
          <w:rFonts w:hint="eastAsia" w:ascii="宋体" w:hAnsi="宋体" w:cs="宋体"/>
          <w:szCs w:val="21"/>
        </w:rPr>
        <w:t>号</w:t>
      </w:r>
      <w:r>
        <w:rPr>
          <w:rFonts w:ascii="宋体" w:hAnsi="宋体" w:cs="宋体"/>
          <w:szCs w:val="21"/>
        </w:rPr>
        <w:t>)</w:t>
      </w:r>
    </w:p>
    <w:p>
      <w:pPr>
        <w:spacing w:line="312" w:lineRule="auto"/>
        <w:jc w:val="left"/>
        <w:rPr>
          <w:rFonts w:ascii="宋体" w:cs="宋体"/>
          <w:szCs w:val="21"/>
        </w:rPr>
      </w:pPr>
      <w:r>
        <w:rPr>
          <w:rFonts w:hint="eastAsia" w:ascii="宋体" w:hAnsi="宋体" w:cs="宋体"/>
          <w:szCs w:val="21"/>
        </w:rPr>
        <w:t>（二）财政部、发展改革委发布的《节能产品政府采购实施意见》</w:t>
      </w:r>
      <w:r>
        <w:rPr>
          <w:rFonts w:ascii="宋体" w:hAnsi="宋体" w:cs="宋体"/>
          <w:szCs w:val="21"/>
        </w:rPr>
        <w:t>(</w:t>
      </w:r>
      <w:r>
        <w:rPr>
          <w:rFonts w:hint="eastAsia" w:ascii="宋体" w:hAnsi="宋体" w:cs="宋体"/>
          <w:szCs w:val="21"/>
        </w:rPr>
        <w:t>财库</w:t>
      </w:r>
      <w:r>
        <w:rPr>
          <w:rFonts w:ascii="宋体" w:hAnsi="宋体" w:cs="宋体"/>
          <w:szCs w:val="21"/>
        </w:rPr>
        <w:t>[2004]185</w:t>
      </w:r>
      <w:r>
        <w:rPr>
          <w:rFonts w:hint="eastAsia" w:ascii="宋体" w:hAnsi="宋体" w:cs="宋体"/>
          <w:szCs w:val="21"/>
        </w:rPr>
        <w:t>号</w:t>
      </w:r>
      <w:r>
        <w:rPr>
          <w:rFonts w:ascii="宋体" w:hAnsi="宋体" w:cs="宋体"/>
          <w:szCs w:val="21"/>
        </w:rPr>
        <w:t>)</w:t>
      </w:r>
    </w:p>
    <w:p>
      <w:pPr>
        <w:spacing w:line="312" w:lineRule="auto"/>
        <w:jc w:val="left"/>
        <w:rPr>
          <w:rFonts w:ascii="宋体" w:cs="宋体"/>
          <w:szCs w:val="21"/>
        </w:rPr>
      </w:pPr>
      <w:r>
        <w:rPr>
          <w:rFonts w:hint="eastAsia" w:ascii="宋体" w:hAnsi="宋体" w:cs="宋体"/>
          <w:szCs w:val="21"/>
        </w:rPr>
        <w:t>（三）财政部、原环保总局印发的《环境标志产品政府采购实施的意见》（财库</w:t>
      </w:r>
      <w:r>
        <w:rPr>
          <w:rFonts w:ascii="宋体" w:cs="宋体"/>
          <w:szCs w:val="21"/>
        </w:rPr>
        <w:t> </w:t>
      </w:r>
      <w:r>
        <w:rPr>
          <w:rFonts w:ascii="宋体" w:hAnsi="宋体" w:cs="宋体"/>
          <w:szCs w:val="21"/>
        </w:rPr>
        <w:t>[2006]90</w:t>
      </w:r>
      <w:r>
        <w:rPr>
          <w:rFonts w:hint="eastAsia" w:ascii="宋体" w:hAnsi="宋体" w:cs="宋体"/>
          <w:szCs w:val="21"/>
        </w:rPr>
        <w:t>号）</w:t>
      </w:r>
    </w:p>
    <w:p>
      <w:pPr>
        <w:spacing w:line="312" w:lineRule="auto"/>
        <w:rPr>
          <w:rFonts w:ascii="宋体" w:cs="宋体"/>
          <w:szCs w:val="21"/>
        </w:rPr>
      </w:pPr>
      <w:r>
        <w:rPr>
          <w:rFonts w:ascii="宋体" w:hAnsi="宋体" w:cs="宋体"/>
          <w:szCs w:val="21"/>
        </w:rPr>
        <w:t>2</w:t>
      </w:r>
      <w:r>
        <w:rPr>
          <w:rFonts w:hint="eastAsia" w:ascii="宋体" w:hAnsi="宋体" w:cs="宋体"/>
          <w:szCs w:val="21"/>
        </w:rPr>
        <w:t>、供应商投标货物属于节能、环保优先（强制）采购范围的，须提供相关证明材料，给予适当加分，但加分总值原则上不超过“价格分”的</w:t>
      </w:r>
      <w:r>
        <w:rPr>
          <w:rFonts w:ascii="宋体" w:hAnsi="宋体" w:cs="宋体"/>
          <w:szCs w:val="21"/>
        </w:rPr>
        <w:t>10%</w:t>
      </w:r>
      <w:r>
        <w:rPr>
          <w:rFonts w:hint="eastAsia" w:ascii="宋体" w:hAnsi="宋体" w:cs="宋体"/>
          <w:szCs w:val="21"/>
        </w:rPr>
        <w:t>为宜。</w:t>
      </w:r>
    </w:p>
    <w:p>
      <w:pPr>
        <w:spacing w:line="312" w:lineRule="auto"/>
        <w:rPr>
          <w:rFonts w:ascii="宋体" w:cs="宋体"/>
          <w:szCs w:val="21"/>
        </w:rPr>
      </w:pPr>
    </w:p>
    <w:p>
      <w:pPr>
        <w:pStyle w:val="251"/>
        <w:spacing w:line="312" w:lineRule="auto"/>
        <w:ind w:firstLine="0" w:firstLineChars="0"/>
        <w:jc w:val="center"/>
        <w:outlineLvl w:val="1"/>
        <w:rPr>
          <w:rFonts w:ascii="宋体" w:eastAsia="宋体" w:cs="宋体"/>
          <w:sz w:val="21"/>
          <w:szCs w:val="21"/>
        </w:rPr>
      </w:pPr>
      <w:bookmarkStart w:id="160" w:name="_Toc1031"/>
      <w:r>
        <w:rPr>
          <w:rFonts w:ascii="宋体" w:eastAsia="宋体" w:cs="宋体"/>
          <w:sz w:val="21"/>
          <w:szCs w:val="21"/>
        </w:rPr>
        <w:t>2</w:t>
      </w:r>
      <w:r>
        <w:rPr>
          <w:rFonts w:hint="eastAsia" w:ascii="宋体" w:eastAsia="宋体" w:cs="宋体"/>
          <w:sz w:val="21"/>
          <w:szCs w:val="21"/>
        </w:rPr>
        <w:t>节能环保产品清单</w:t>
      </w:r>
      <w:bookmarkEnd w:id="160"/>
    </w:p>
    <w:p>
      <w:pPr>
        <w:pStyle w:val="206"/>
        <w:keepNext w:val="0"/>
        <w:keepLines w:val="0"/>
        <w:spacing w:before="0" w:after="0" w:line="312" w:lineRule="auto"/>
        <w:jc w:val="both"/>
        <w:outlineLvl w:val="9"/>
        <w:rPr>
          <w:rFonts w:eastAsia="宋体" w:cs="宋体"/>
          <w:b w:val="0"/>
          <w:bCs w:val="0"/>
          <w:sz w:val="21"/>
          <w:szCs w:val="21"/>
        </w:rPr>
      </w:pPr>
      <w:bookmarkStart w:id="161" w:name="_Toc23709"/>
      <w:bookmarkStart w:id="162" w:name="_Toc4333"/>
      <w:r>
        <w:rPr>
          <w:rFonts w:hint="eastAsia" w:eastAsia="宋体" w:cs="宋体"/>
          <w:b w:val="0"/>
          <w:bCs w:val="0"/>
          <w:sz w:val="21"/>
          <w:szCs w:val="21"/>
        </w:rPr>
        <w:t>项目名称：</w:t>
      </w:r>
      <w:bookmarkEnd w:id="161"/>
      <w:bookmarkEnd w:id="162"/>
    </w:p>
    <w:p>
      <w:pPr>
        <w:pStyle w:val="206"/>
        <w:keepNext w:val="0"/>
        <w:keepLines w:val="0"/>
        <w:spacing w:before="0" w:after="0" w:line="312" w:lineRule="auto"/>
        <w:jc w:val="both"/>
        <w:outlineLvl w:val="9"/>
        <w:rPr>
          <w:rFonts w:eastAsia="宋体" w:cs="宋体"/>
          <w:sz w:val="21"/>
          <w:szCs w:val="21"/>
        </w:rPr>
      </w:pPr>
      <w:bookmarkStart w:id="163" w:name="_Toc17193"/>
      <w:bookmarkStart w:id="164" w:name="_Toc30918"/>
      <w:r>
        <w:rPr>
          <w:rFonts w:hint="eastAsia" w:eastAsia="宋体" w:cs="宋体"/>
          <w:b w:val="0"/>
          <w:bCs w:val="0"/>
          <w:sz w:val="21"/>
          <w:szCs w:val="21"/>
        </w:rPr>
        <w:t>项目编号：</w:t>
      </w:r>
      <w:bookmarkEnd w:id="163"/>
      <w:bookmarkEnd w:id="16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64"/>
        <w:gridCol w:w="3162"/>
        <w:gridCol w:w="2205"/>
        <w:gridCol w:w="108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9" w:type="dxa"/>
            <w:gridSpan w:val="6"/>
            <w:vAlign w:val="center"/>
          </w:tcPr>
          <w:p>
            <w:pPr>
              <w:spacing w:line="312" w:lineRule="auto"/>
              <w:rPr>
                <w:rFonts w:ascii="宋体" w:cs="宋体"/>
                <w:b/>
                <w:szCs w:val="21"/>
              </w:rPr>
            </w:pPr>
            <w:r>
              <w:rPr>
                <w:rFonts w:hint="eastAsia" w:ascii="宋体" w:hAnsi="宋体" w:cs="宋体"/>
                <w:b/>
                <w:szCs w:val="21"/>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ascii="宋体" w:cs="宋体"/>
                <w:szCs w:val="21"/>
              </w:rPr>
            </w:pPr>
            <w:r>
              <w:rPr>
                <w:rFonts w:hint="eastAsia" w:ascii="宋体" w:hAnsi="宋体" w:cs="宋体"/>
                <w:szCs w:val="21"/>
              </w:rPr>
              <w:t>序号</w:t>
            </w:r>
          </w:p>
        </w:tc>
        <w:tc>
          <w:tcPr>
            <w:tcW w:w="1164" w:type="dxa"/>
            <w:vAlign w:val="center"/>
          </w:tcPr>
          <w:p>
            <w:pPr>
              <w:spacing w:line="312" w:lineRule="auto"/>
              <w:jc w:val="center"/>
              <w:rPr>
                <w:rFonts w:ascii="宋体" w:cs="宋体"/>
                <w:szCs w:val="21"/>
              </w:rPr>
            </w:pPr>
            <w:r>
              <w:rPr>
                <w:rFonts w:hint="eastAsia" w:ascii="宋体" w:hAnsi="宋体" w:cs="宋体"/>
                <w:szCs w:val="21"/>
              </w:rPr>
              <w:t>品牌</w:t>
            </w:r>
          </w:p>
        </w:tc>
        <w:tc>
          <w:tcPr>
            <w:tcW w:w="3162" w:type="dxa"/>
            <w:vAlign w:val="center"/>
          </w:tcPr>
          <w:p>
            <w:pPr>
              <w:spacing w:line="312" w:lineRule="auto"/>
              <w:jc w:val="center"/>
              <w:rPr>
                <w:rFonts w:ascii="宋体" w:cs="宋体"/>
                <w:szCs w:val="21"/>
              </w:rPr>
            </w:pPr>
            <w:r>
              <w:rPr>
                <w:rFonts w:hint="eastAsia" w:ascii="宋体" w:hAnsi="宋体" w:cs="宋体"/>
                <w:szCs w:val="21"/>
              </w:rPr>
              <w:t>产品型号</w:t>
            </w:r>
          </w:p>
        </w:tc>
        <w:tc>
          <w:tcPr>
            <w:tcW w:w="2205" w:type="dxa"/>
            <w:vAlign w:val="center"/>
          </w:tcPr>
          <w:p>
            <w:pPr>
              <w:spacing w:line="312" w:lineRule="auto"/>
              <w:jc w:val="center"/>
              <w:rPr>
                <w:rFonts w:ascii="宋体" w:cs="宋体"/>
                <w:b/>
                <w:szCs w:val="21"/>
              </w:rPr>
            </w:pPr>
            <w:r>
              <w:rPr>
                <w:rFonts w:hint="eastAsia" w:ascii="宋体" w:hAnsi="宋体" w:cs="宋体"/>
                <w:b/>
                <w:bCs/>
                <w:szCs w:val="21"/>
              </w:rPr>
              <w:t>认证证书编号</w:t>
            </w:r>
          </w:p>
        </w:tc>
        <w:tc>
          <w:tcPr>
            <w:tcW w:w="1088" w:type="dxa"/>
            <w:vAlign w:val="center"/>
          </w:tcPr>
          <w:p>
            <w:pPr>
              <w:spacing w:line="312" w:lineRule="auto"/>
              <w:jc w:val="center"/>
              <w:rPr>
                <w:rFonts w:ascii="宋体" w:cs="宋体"/>
                <w:b/>
                <w:szCs w:val="21"/>
              </w:rPr>
            </w:pPr>
            <w:r>
              <w:rPr>
                <w:rFonts w:hint="eastAsia" w:ascii="宋体" w:hAnsi="宋体" w:cs="宋体"/>
                <w:b/>
                <w:szCs w:val="21"/>
              </w:rPr>
              <w:t>认证机构名称</w:t>
            </w:r>
          </w:p>
        </w:tc>
        <w:tc>
          <w:tcPr>
            <w:tcW w:w="804" w:type="dxa"/>
            <w:vAlign w:val="center"/>
          </w:tcPr>
          <w:p>
            <w:pPr>
              <w:spacing w:line="312"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ascii="宋体" w:cs="宋体"/>
                <w:szCs w:val="21"/>
              </w:rPr>
            </w:pPr>
            <w:r>
              <w:rPr>
                <w:rFonts w:ascii="宋体" w:hAnsi="宋体" w:cs="宋体"/>
                <w:szCs w:val="21"/>
              </w:rPr>
              <w:t>1</w:t>
            </w:r>
          </w:p>
        </w:tc>
        <w:tc>
          <w:tcPr>
            <w:tcW w:w="1164" w:type="dxa"/>
            <w:vAlign w:val="center"/>
          </w:tcPr>
          <w:p>
            <w:pPr>
              <w:spacing w:line="312" w:lineRule="auto"/>
              <w:jc w:val="center"/>
              <w:rPr>
                <w:rFonts w:ascii="宋体" w:cs="宋体"/>
                <w:szCs w:val="21"/>
              </w:rPr>
            </w:pPr>
          </w:p>
        </w:tc>
        <w:tc>
          <w:tcPr>
            <w:tcW w:w="3162" w:type="dxa"/>
            <w:vAlign w:val="center"/>
          </w:tcPr>
          <w:p>
            <w:pPr>
              <w:spacing w:line="312" w:lineRule="auto"/>
              <w:jc w:val="center"/>
              <w:rPr>
                <w:rFonts w:ascii="宋体" w:cs="宋体"/>
                <w:szCs w:val="21"/>
              </w:rPr>
            </w:pPr>
          </w:p>
        </w:tc>
        <w:tc>
          <w:tcPr>
            <w:tcW w:w="2205" w:type="dxa"/>
            <w:vAlign w:val="center"/>
          </w:tcPr>
          <w:p>
            <w:pPr>
              <w:spacing w:line="312" w:lineRule="auto"/>
              <w:jc w:val="center"/>
              <w:rPr>
                <w:rFonts w:ascii="宋体" w:cs="宋体"/>
                <w:bCs/>
                <w:szCs w:val="21"/>
              </w:rPr>
            </w:pPr>
          </w:p>
        </w:tc>
        <w:tc>
          <w:tcPr>
            <w:tcW w:w="1088" w:type="dxa"/>
            <w:vAlign w:val="center"/>
          </w:tcPr>
          <w:p>
            <w:pPr>
              <w:spacing w:line="312" w:lineRule="auto"/>
              <w:jc w:val="center"/>
              <w:rPr>
                <w:rFonts w:ascii="宋体" w:cs="宋体"/>
                <w:szCs w:val="21"/>
              </w:rPr>
            </w:pPr>
          </w:p>
        </w:tc>
        <w:tc>
          <w:tcPr>
            <w:tcW w:w="804" w:type="dxa"/>
            <w:vAlign w:val="center"/>
          </w:tcPr>
          <w:p>
            <w:pPr>
              <w:spacing w:line="312"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ascii="宋体" w:cs="宋体"/>
                <w:szCs w:val="21"/>
              </w:rPr>
            </w:pPr>
            <w:r>
              <w:rPr>
                <w:rFonts w:ascii="宋体" w:hAnsi="宋体" w:cs="宋体"/>
                <w:szCs w:val="21"/>
              </w:rPr>
              <w:t>2</w:t>
            </w:r>
          </w:p>
        </w:tc>
        <w:tc>
          <w:tcPr>
            <w:tcW w:w="1164" w:type="dxa"/>
            <w:vAlign w:val="center"/>
          </w:tcPr>
          <w:p>
            <w:pPr>
              <w:spacing w:line="312" w:lineRule="auto"/>
              <w:jc w:val="center"/>
              <w:rPr>
                <w:rFonts w:ascii="宋体" w:cs="宋体"/>
                <w:szCs w:val="21"/>
              </w:rPr>
            </w:pPr>
          </w:p>
        </w:tc>
        <w:tc>
          <w:tcPr>
            <w:tcW w:w="3162" w:type="dxa"/>
            <w:vAlign w:val="center"/>
          </w:tcPr>
          <w:p>
            <w:pPr>
              <w:spacing w:line="312" w:lineRule="auto"/>
              <w:jc w:val="center"/>
              <w:rPr>
                <w:rFonts w:ascii="宋体" w:cs="宋体"/>
                <w:szCs w:val="21"/>
              </w:rPr>
            </w:pPr>
          </w:p>
        </w:tc>
        <w:tc>
          <w:tcPr>
            <w:tcW w:w="2205" w:type="dxa"/>
            <w:vAlign w:val="center"/>
          </w:tcPr>
          <w:p>
            <w:pPr>
              <w:spacing w:line="312" w:lineRule="auto"/>
              <w:jc w:val="center"/>
              <w:rPr>
                <w:rFonts w:ascii="宋体" w:cs="宋体"/>
                <w:szCs w:val="21"/>
              </w:rPr>
            </w:pPr>
          </w:p>
        </w:tc>
        <w:tc>
          <w:tcPr>
            <w:tcW w:w="1088" w:type="dxa"/>
            <w:vAlign w:val="center"/>
          </w:tcPr>
          <w:p>
            <w:pPr>
              <w:spacing w:line="312" w:lineRule="auto"/>
              <w:jc w:val="center"/>
              <w:rPr>
                <w:rFonts w:ascii="宋体" w:cs="宋体"/>
                <w:szCs w:val="21"/>
              </w:rPr>
            </w:pPr>
          </w:p>
        </w:tc>
        <w:tc>
          <w:tcPr>
            <w:tcW w:w="804" w:type="dxa"/>
            <w:vAlign w:val="center"/>
          </w:tcPr>
          <w:p>
            <w:pPr>
              <w:spacing w:line="312"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ascii="宋体" w:cs="宋体"/>
                <w:szCs w:val="21"/>
              </w:rPr>
            </w:pPr>
            <w:r>
              <w:rPr>
                <w:rFonts w:hint="eastAsia" w:ascii="宋体" w:hAnsi="宋体" w:cs="宋体"/>
                <w:szCs w:val="21"/>
              </w:rPr>
              <w:t>…</w:t>
            </w:r>
          </w:p>
        </w:tc>
        <w:tc>
          <w:tcPr>
            <w:tcW w:w="1164" w:type="dxa"/>
            <w:vAlign w:val="center"/>
          </w:tcPr>
          <w:p>
            <w:pPr>
              <w:spacing w:line="312" w:lineRule="auto"/>
              <w:jc w:val="center"/>
              <w:rPr>
                <w:rFonts w:ascii="宋体" w:cs="宋体"/>
                <w:szCs w:val="21"/>
              </w:rPr>
            </w:pPr>
            <w:r>
              <w:rPr>
                <w:rFonts w:hint="eastAsia" w:ascii="宋体" w:hAnsi="宋体" w:cs="宋体"/>
                <w:szCs w:val="21"/>
              </w:rPr>
              <w:t>…</w:t>
            </w:r>
          </w:p>
        </w:tc>
        <w:tc>
          <w:tcPr>
            <w:tcW w:w="3162" w:type="dxa"/>
            <w:vAlign w:val="center"/>
          </w:tcPr>
          <w:p>
            <w:pPr>
              <w:spacing w:line="312" w:lineRule="auto"/>
              <w:jc w:val="center"/>
              <w:rPr>
                <w:rFonts w:ascii="宋体" w:cs="宋体"/>
                <w:szCs w:val="21"/>
              </w:rPr>
            </w:pPr>
          </w:p>
        </w:tc>
        <w:tc>
          <w:tcPr>
            <w:tcW w:w="2205" w:type="dxa"/>
            <w:vAlign w:val="center"/>
          </w:tcPr>
          <w:p>
            <w:pPr>
              <w:spacing w:line="312" w:lineRule="auto"/>
              <w:jc w:val="center"/>
              <w:rPr>
                <w:rFonts w:ascii="宋体" w:cs="宋体"/>
                <w:bCs/>
                <w:szCs w:val="21"/>
              </w:rPr>
            </w:pPr>
          </w:p>
        </w:tc>
        <w:tc>
          <w:tcPr>
            <w:tcW w:w="1088" w:type="dxa"/>
            <w:vAlign w:val="center"/>
          </w:tcPr>
          <w:p>
            <w:pPr>
              <w:spacing w:line="312" w:lineRule="auto"/>
              <w:jc w:val="center"/>
              <w:rPr>
                <w:rFonts w:ascii="宋体" w:cs="宋体"/>
                <w:szCs w:val="21"/>
              </w:rPr>
            </w:pPr>
          </w:p>
        </w:tc>
        <w:tc>
          <w:tcPr>
            <w:tcW w:w="804" w:type="dxa"/>
            <w:vAlign w:val="center"/>
          </w:tcPr>
          <w:p>
            <w:pPr>
              <w:spacing w:line="312"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9" w:type="dxa"/>
            <w:gridSpan w:val="6"/>
            <w:vAlign w:val="center"/>
          </w:tcPr>
          <w:p>
            <w:pPr>
              <w:spacing w:line="312" w:lineRule="auto"/>
              <w:rPr>
                <w:rFonts w:ascii="宋体" w:cs="宋体"/>
                <w:b/>
                <w:szCs w:val="21"/>
              </w:rPr>
            </w:pPr>
            <w:r>
              <w:rPr>
                <w:rFonts w:hint="eastAsia" w:ascii="宋体" w:hAnsi="宋体" w:cs="宋体"/>
                <w:b/>
                <w:szCs w:val="21"/>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ascii="宋体" w:cs="宋体"/>
                <w:szCs w:val="21"/>
              </w:rPr>
            </w:pPr>
            <w:r>
              <w:rPr>
                <w:rFonts w:hint="eastAsia" w:ascii="宋体" w:hAnsi="宋体" w:cs="宋体"/>
                <w:szCs w:val="21"/>
              </w:rPr>
              <w:t>序号</w:t>
            </w:r>
          </w:p>
        </w:tc>
        <w:tc>
          <w:tcPr>
            <w:tcW w:w="1164" w:type="dxa"/>
            <w:vAlign w:val="center"/>
          </w:tcPr>
          <w:p>
            <w:pPr>
              <w:spacing w:line="312" w:lineRule="auto"/>
              <w:jc w:val="center"/>
              <w:rPr>
                <w:rFonts w:ascii="宋体" w:cs="宋体"/>
                <w:szCs w:val="21"/>
              </w:rPr>
            </w:pPr>
            <w:r>
              <w:rPr>
                <w:rFonts w:hint="eastAsia" w:ascii="宋体" w:hAnsi="宋体" w:cs="宋体"/>
                <w:szCs w:val="21"/>
              </w:rPr>
              <w:t>品牌</w:t>
            </w:r>
          </w:p>
        </w:tc>
        <w:tc>
          <w:tcPr>
            <w:tcW w:w="3162" w:type="dxa"/>
            <w:vAlign w:val="center"/>
          </w:tcPr>
          <w:p>
            <w:pPr>
              <w:spacing w:line="312" w:lineRule="auto"/>
              <w:jc w:val="center"/>
              <w:rPr>
                <w:rFonts w:ascii="宋体" w:cs="宋体"/>
                <w:szCs w:val="21"/>
              </w:rPr>
            </w:pPr>
            <w:r>
              <w:rPr>
                <w:rFonts w:hint="eastAsia" w:ascii="宋体" w:hAnsi="宋体" w:cs="宋体"/>
                <w:szCs w:val="21"/>
              </w:rPr>
              <w:t>产品名称、规格型号</w:t>
            </w:r>
          </w:p>
        </w:tc>
        <w:tc>
          <w:tcPr>
            <w:tcW w:w="2205" w:type="dxa"/>
            <w:vAlign w:val="center"/>
          </w:tcPr>
          <w:p>
            <w:pPr>
              <w:spacing w:line="312" w:lineRule="auto"/>
              <w:jc w:val="center"/>
              <w:rPr>
                <w:rFonts w:ascii="宋体" w:cs="宋体"/>
                <w:b/>
                <w:szCs w:val="21"/>
              </w:rPr>
            </w:pPr>
            <w:r>
              <w:rPr>
                <w:rFonts w:hint="eastAsia" w:ascii="宋体" w:hAnsi="宋体" w:cs="宋体"/>
                <w:b/>
                <w:bCs/>
                <w:szCs w:val="21"/>
              </w:rPr>
              <w:t>认证证书编号</w:t>
            </w:r>
          </w:p>
        </w:tc>
        <w:tc>
          <w:tcPr>
            <w:tcW w:w="1088" w:type="dxa"/>
            <w:vAlign w:val="center"/>
          </w:tcPr>
          <w:p>
            <w:pPr>
              <w:spacing w:line="312" w:lineRule="auto"/>
              <w:jc w:val="center"/>
              <w:rPr>
                <w:rFonts w:ascii="宋体" w:cs="宋体"/>
                <w:b/>
                <w:szCs w:val="21"/>
              </w:rPr>
            </w:pPr>
            <w:r>
              <w:rPr>
                <w:rFonts w:hint="eastAsia" w:ascii="宋体" w:hAnsi="宋体" w:cs="宋体"/>
                <w:b/>
                <w:szCs w:val="21"/>
              </w:rPr>
              <w:t>认证机构名称</w:t>
            </w:r>
          </w:p>
        </w:tc>
        <w:tc>
          <w:tcPr>
            <w:tcW w:w="804" w:type="dxa"/>
            <w:vAlign w:val="center"/>
          </w:tcPr>
          <w:p>
            <w:pPr>
              <w:spacing w:line="312"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ascii="宋体" w:cs="宋体"/>
                <w:szCs w:val="21"/>
              </w:rPr>
            </w:pPr>
            <w:r>
              <w:rPr>
                <w:rFonts w:ascii="宋体" w:hAnsi="宋体" w:cs="宋体"/>
                <w:szCs w:val="21"/>
              </w:rPr>
              <w:t>1</w:t>
            </w:r>
          </w:p>
        </w:tc>
        <w:tc>
          <w:tcPr>
            <w:tcW w:w="1164" w:type="dxa"/>
            <w:vAlign w:val="center"/>
          </w:tcPr>
          <w:p>
            <w:pPr>
              <w:spacing w:line="312" w:lineRule="auto"/>
              <w:jc w:val="center"/>
              <w:rPr>
                <w:rFonts w:ascii="宋体" w:cs="宋体"/>
                <w:szCs w:val="21"/>
              </w:rPr>
            </w:pPr>
          </w:p>
        </w:tc>
        <w:tc>
          <w:tcPr>
            <w:tcW w:w="3162" w:type="dxa"/>
            <w:vAlign w:val="center"/>
          </w:tcPr>
          <w:p>
            <w:pPr>
              <w:spacing w:line="312" w:lineRule="auto"/>
              <w:jc w:val="center"/>
              <w:rPr>
                <w:rFonts w:ascii="宋体" w:cs="宋体"/>
                <w:szCs w:val="21"/>
              </w:rPr>
            </w:pPr>
          </w:p>
        </w:tc>
        <w:tc>
          <w:tcPr>
            <w:tcW w:w="2205" w:type="dxa"/>
            <w:vAlign w:val="center"/>
          </w:tcPr>
          <w:p>
            <w:pPr>
              <w:spacing w:line="312" w:lineRule="auto"/>
              <w:jc w:val="center"/>
              <w:rPr>
                <w:rFonts w:ascii="宋体" w:cs="宋体"/>
                <w:bCs/>
                <w:szCs w:val="21"/>
              </w:rPr>
            </w:pPr>
          </w:p>
        </w:tc>
        <w:tc>
          <w:tcPr>
            <w:tcW w:w="1088" w:type="dxa"/>
            <w:vAlign w:val="center"/>
          </w:tcPr>
          <w:p>
            <w:pPr>
              <w:spacing w:line="312" w:lineRule="auto"/>
              <w:jc w:val="center"/>
              <w:rPr>
                <w:rFonts w:ascii="宋体" w:cs="宋体"/>
                <w:szCs w:val="21"/>
              </w:rPr>
            </w:pPr>
          </w:p>
        </w:tc>
        <w:tc>
          <w:tcPr>
            <w:tcW w:w="804" w:type="dxa"/>
            <w:vAlign w:val="center"/>
          </w:tcPr>
          <w:p>
            <w:pPr>
              <w:spacing w:line="312"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ascii="宋体" w:cs="宋体"/>
                <w:szCs w:val="21"/>
              </w:rPr>
            </w:pPr>
            <w:r>
              <w:rPr>
                <w:rFonts w:ascii="宋体" w:hAnsi="宋体" w:cs="宋体"/>
                <w:szCs w:val="21"/>
              </w:rPr>
              <w:t>2</w:t>
            </w:r>
          </w:p>
        </w:tc>
        <w:tc>
          <w:tcPr>
            <w:tcW w:w="1164" w:type="dxa"/>
            <w:vAlign w:val="center"/>
          </w:tcPr>
          <w:p>
            <w:pPr>
              <w:spacing w:line="312" w:lineRule="auto"/>
              <w:jc w:val="center"/>
              <w:rPr>
                <w:rFonts w:ascii="宋体" w:cs="宋体"/>
                <w:szCs w:val="21"/>
              </w:rPr>
            </w:pPr>
          </w:p>
        </w:tc>
        <w:tc>
          <w:tcPr>
            <w:tcW w:w="3162" w:type="dxa"/>
            <w:vAlign w:val="center"/>
          </w:tcPr>
          <w:p>
            <w:pPr>
              <w:spacing w:line="312" w:lineRule="auto"/>
              <w:jc w:val="center"/>
              <w:rPr>
                <w:rFonts w:ascii="宋体" w:cs="宋体"/>
                <w:szCs w:val="21"/>
              </w:rPr>
            </w:pPr>
          </w:p>
        </w:tc>
        <w:tc>
          <w:tcPr>
            <w:tcW w:w="2205" w:type="dxa"/>
            <w:vAlign w:val="center"/>
          </w:tcPr>
          <w:p>
            <w:pPr>
              <w:spacing w:line="312" w:lineRule="auto"/>
              <w:jc w:val="center"/>
              <w:rPr>
                <w:rFonts w:ascii="宋体" w:cs="宋体"/>
                <w:bCs/>
                <w:szCs w:val="21"/>
              </w:rPr>
            </w:pPr>
          </w:p>
        </w:tc>
        <w:tc>
          <w:tcPr>
            <w:tcW w:w="1088" w:type="dxa"/>
            <w:vAlign w:val="center"/>
          </w:tcPr>
          <w:p>
            <w:pPr>
              <w:spacing w:line="312" w:lineRule="auto"/>
              <w:jc w:val="center"/>
              <w:rPr>
                <w:rFonts w:ascii="宋体" w:cs="宋体"/>
                <w:szCs w:val="21"/>
              </w:rPr>
            </w:pPr>
          </w:p>
        </w:tc>
        <w:tc>
          <w:tcPr>
            <w:tcW w:w="804" w:type="dxa"/>
            <w:vAlign w:val="center"/>
          </w:tcPr>
          <w:p>
            <w:pPr>
              <w:spacing w:line="312"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spacing w:line="312" w:lineRule="auto"/>
              <w:jc w:val="center"/>
              <w:rPr>
                <w:rFonts w:ascii="宋体" w:cs="宋体"/>
                <w:szCs w:val="21"/>
              </w:rPr>
            </w:pPr>
            <w:r>
              <w:rPr>
                <w:rFonts w:hint="eastAsia" w:ascii="宋体" w:hAnsi="宋体" w:cs="宋体"/>
                <w:szCs w:val="21"/>
              </w:rPr>
              <w:t>…</w:t>
            </w:r>
          </w:p>
        </w:tc>
        <w:tc>
          <w:tcPr>
            <w:tcW w:w="1164" w:type="dxa"/>
            <w:vAlign w:val="center"/>
          </w:tcPr>
          <w:p>
            <w:pPr>
              <w:spacing w:line="312" w:lineRule="auto"/>
              <w:jc w:val="center"/>
              <w:rPr>
                <w:rFonts w:ascii="宋体" w:cs="宋体"/>
                <w:szCs w:val="21"/>
              </w:rPr>
            </w:pPr>
            <w:r>
              <w:rPr>
                <w:rFonts w:hint="eastAsia" w:ascii="宋体" w:hAnsi="宋体" w:cs="宋体"/>
                <w:szCs w:val="21"/>
              </w:rPr>
              <w:t>…</w:t>
            </w:r>
          </w:p>
        </w:tc>
        <w:tc>
          <w:tcPr>
            <w:tcW w:w="3162" w:type="dxa"/>
            <w:vAlign w:val="center"/>
          </w:tcPr>
          <w:p>
            <w:pPr>
              <w:spacing w:line="312" w:lineRule="auto"/>
              <w:jc w:val="center"/>
              <w:rPr>
                <w:rFonts w:ascii="宋体" w:cs="宋体"/>
                <w:szCs w:val="21"/>
              </w:rPr>
            </w:pPr>
          </w:p>
        </w:tc>
        <w:tc>
          <w:tcPr>
            <w:tcW w:w="2205" w:type="dxa"/>
            <w:vAlign w:val="center"/>
          </w:tcPr>
          <w:p>
            <w:pPr>
              <w:spacing w:line="312" w:lineRule="auto"/>
              <w:jc w:val="center"/>
              <w:rPr>
                <w:rFonts w:ascii="宋体" w:cs="宋体"/>
                <w:bCs/>
                <w:szCs w:val="21"/>
              </w:rPr>
            </w:pPr>
          </w:p>
        </w:tc>
        <w:tc>
          <w:tcPr>
            <w:tcW w:w="1088" w:type="dxa"/>
            <w:vAlign w:val="center"/>
          </w:tcPr>
          <w:p>
            <w:pPr>
              <w:spacing w:line="312" w:lineRule="auto"/>
              <w:jc w:val="center"/>
              <w:rPr>
                <w:rFonts w:ascii="宋体" w:cs="宋体"/>
                <w:szCs w:val="21"/>
              </w:rPr>
            </w:pPr>
          </w:p>
        </w:tc>
        <w:tc>
          <w:tcPr>
            <w:tcW w:w="804" w:type="dxa"/>
            <w:vAlign w:val="center"/>
          </w:tcPr>
          <w:p>
            <w:pPr>
              <w:spacing w:line="312" w:lineRule="auto"/>
              <w:jc w:val="center"/>
              <w:rPr>
                <w:rFonts w:ascii="宋体" w:cs="宋体"/>
                <w:szCs w:val="21"/>
              </w:rPr>
            </w:pPr>
          </w:p>
        </w:tc>
      </w:tr>
    </w:tbl>
    <w:p>
      <w:pPr>
        <w:spacing w:line="312" w:lineRule="auto"/>
        <w:rPr>
          <w:rFonts w:ascii="宋体" w:cs="宋体"/>
          <w:b/>
          <w:szCs w:val="21"/>
        </w:rPr>
      </w:pPr>
      <w:r>
        <w:rPr>
          <w:rFonts w:hint="eastAsia" w:ascii="宋体" w:hAnsi="宋体" w:cs="宋体"/>
          <w:b/>
          <w:szCs w:val="21"/>
        </w:rPr>
        <w:t>注：</w:t>
      </w:r>
      <w:r>
        <w:rPr>
          <w:rFonts w:ascii="宋体" w:hAnsi="宋体" w:cs="宋体"/>
          <w:b/>
          <w:szCs w:val="21"/>
        </w:rPr>
        <w:t>1</w:t>
      </w:r>
      <w:r>
        <w:rPr>
          <w:rFonts w:hint="eastAsia" w:ascii="宋体" w:hAnsi="宋体" w:cs="宋体"/>
          <w:b/>
          <w:szCs w:val="21"/>
        </w:rPr>
        <w:t>、节能产品和环保产品需附上拟投的产品的认证证书（</w:t>
      </w:r>
      <w:r>
        <w:rPr>
          <w:rFonts w:hint="eastAsia" w:ascii="宋体" w:hAnsi="宋体" w:cs="宋体"/>
          <w:b/>
          <w:szCs w:val="21"/>
          <w:u w:val="single"/>
        </w:rPr>
        <w:t>以《市场监管总局关于发布参与实施政府采购节能产品、环境标志产品认证机构名录的公告》（</w:t>
      </w:r>
      <w:r>
        <w:rPr>
          <w:rFonts w:ascii="宋体" w:hAnsi="宋体" w:cs="宋体"/>
          <w:b/>
          <w:szCs w:val="21"/>
          <w:u w:val="single"/>
        </w:rPr>
        <w:t>2019</w:t>
      </w:r>
      <w:r>
        <w:rPr>
          <w:rFonts w:hint="eastAsia" w:ascii="宋体" w:hAnsi="宋体" w:cs="宋体"/>
          <w:b/>
          <w:szCs w:val="21"/>
          <w:u w:val="single"/>
        </w:rPr>
        <w:t>年第</w:t>
      </w:r>
      <w:r>
        <w:rPr>
          <w:rFonts w:ascii="宋体" w:hAnsi="宋体" w:cs="宋体"/>
          <w:b/>
          <w:szCs w:val="21"/>
          <w:u w:val="single"/>
        </w:rPr>
        <w:t>16</w:t>
      </w:r>
      <w:r>
        <w:rPr>
          <w:rFonts w:hint="eastAsia" w:ascii="宋体" w:hAnsi="宋体" w:cs="宋体"/>
          <w:b/>
          <w:szCs w:val="21"/>
          <w:u w:val="single"/>
        </w:rPr>
        <w:t>号）中所列认证机构出具</w:t>
      </w:r>
      <w:r>
        <w:rPr>
          <w:rFonts w:hint="eastAsia" w:ascii="宋体" w:hAnsi="宋体" w:cs="宋体"/>
          <w:b/>
          <w:szCs w:val="21"/>
        </w:rPr>
        <w:t>）或在中国政府采购网（</w:t>
      </w:r>
      <w:r>
        <w:rPr>
          <w:rFonts w:ascii="宋体" w:hAnsi="宋体" w:cs="宋体"/>
          <w:b/>
          <w:szCs w:val="21"/>
        </w:rPr>
        <w:t>http://www.ccgp.gov.cn/jnhb/jnhbqd/</w:t>
      </w:r>
      <w:r>
        <w:rPr>
          <w:rFonts w:hint="eastAsia" w:ascii="宋体" w:hAnsi="宋体" w:cs="宋体"/>
          <w:b/>
          <w:szCs w:val="21"/>
        </w:rPr>
        <w:t>）节能、环保清单查询结果截图；</w:t>
      </w:r>
    </w:p>
    <w:p>
      <w:pPr>
        <w:spacing w:line="312" w:lineRule="auto"/>
        <w:ind w:firstLine="422" w:firstLineChars="200"/>
        <w:rPr>
          <w:rFonts w:ascii="宋体" w:cs="宋体"/>
          <w:b/>
          <w:szCs w:val="21"/>
        </w:rPr>
      </w:pPr>
      <w:r>
        <w:rPr>
          <w:rFonts w:ascii="宋体" w:hAnsi="宋体" w:cs="宋体"/>
          <w:b/>
          <w:szCs w:val="21"/>
        </w:rPr>
        <w:t>2</w:t>
      </w:r>
      <w:r>
        <w:rPr>
          <w:rFonts w:hint="eastAsia" w:ascii="宋体" w:hAnsi="宋体" w:cs="宋体"/>
          <w:b/>
          <w:szCs w:val="21"/>
        </w:rPr>
        <w:t>、投标时未提供本表格及附件截图，环保产品不得分。</w:t>
      </w:r>
    </w:p>
    <w:p>
      <w:pPr>
        <w:spacing w:line="312" w:lineRule="auto"/>
        <w:rPr>
          <w:rFonts w:ascii="宋体" w:cs="宋体"/>
          <w:szCs w:val="21"/>
        </w:rPr>
      </w:pPr>
    </w:p>
    <w:sectPr>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DFD70000"/>
  </w:font>
  <w:font w:name="Book Antiqua">
    <w:altName w:val="Segoe Print"/>
    <w:panose1 w:val="0204060205030503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Univers">
    <w:altName w:val="Segoe Print"/>
    <w:panose1 w:val="020B0603020202030204"/>
    <w:charset w:val="00"/>
    <w:family w:val="swiss"/>
    <w:pitch w:val="default"/>
    <w:sig w:usb0="00000000"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FuturaA Bk BT">
    <w:altName w:val="Arial"/>
    <w:panose1 w:val="00000000000000000000"/>
    <w:charset w:val="00"/>
    <w:family w:val="swiss"/>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0" w:usb3="00000000" w:csb0="0002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Style w:val="69"/>
      </w:rPr>
    </w:pPr>
    <w:r>
      <w:rPr>
        <w:rFonts w:hint="eastAsia"/>
      </w:rPr>
      <w:t>第</w:t>
    </w:r>
    <w:r>
      <w:rPr>
        <w:rStyle w:val="69"/>
      </w:rPr>
      <w:fldChar w:fldCharType="begin"/>
    </w:r>
    <w:r>
      <w:rPr>
        <w:rStyle w:val="69"/>
      </w:rPr>
      <w:instrText xml:space="preserve"> PAGE </w:instrText>
    </w:r>
    <w:r>
      <w:rPr>
        <w:rStyle w:val="69"/>
      </w:rPr>
      <w:fldChar w:fldCharType="separate"/>
    </w:r>
    <w:r>
      <w:rPr>
        <w:rStyle w:val="69"/>
      </w:rPr>
      <w:t>16</w:t>
    </w:r>
    <w:r>
      <w:rPr>
        <w:rStyle w:val="69"/>
      </w:rPr>
      <w:fldChar w:fldCharType="end"/>
    </w:r>
    <w:r>
      <w:rPr>
        <w:rStyle w:val="69"/>
        <w:rFonts w:hint="eastAsia"/>
      </w:rPr>
      <w:t>页共</w:t>
    </w:r>
    <w:r>
      <w:rPr>
        <w:rStyle w:val="69"/>
      </w:rPr>
      <w:fldChar w:fldCharType="begin"/>
    </w:r>
    <w:r>
      <w:rPr>
        <w:rStyle w:val="69"/>
      </w:rPr>
      <w:instrText xml:space="preserve"> NUMPAGES </w:instrText>
    </w:r>
    <w:r>
      <w:rPr>
        <w:rStyle w:val="69"/>
      </w:rPr>
      <w:fldChar w:fldCharType="separate"/>
    </w:r>
    <w:r>
      <w:rPr>
        <w:rStyle w:val="69"/>
      </w:rPr>
      <w:t>47</w:t>
    </w:r>
    <w:r>
      <w:rPr>
        <w:rStyle w:val="69"/>
      </w:rPr>
      <w:fldChar w:fldCharType="end"/>
    </w:r>
    <w:r>
      <w:rPr>
        <w:rStyle w:val="69"/>
        <w:rFonts w:hint="eastAsia"/>
      </w:rPr>
      <w:t>页</w:t>
    </w:r>
  </w:p>
  <w:p>
    <w:pPr>
      <w:pStyle w:val="39"/>
      <w:pBdr>
        <w:top w:val="single" w:color="auto" w:sz="4" w:space="1"/>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Style w:val="69"/>
      </w:rPr>
    </w:pPr>
    <w:r>
      <w:rPr>
        <w:rFonts w:hint="eastAsia"/>
      </w:rPr>
      <w:t>第</w:t>
    </w:r>
    <w:r>
      <w:rPr>
        <w:rStyle w:val="69"/>
      </w:rPr>
      <w:fldChar w:fldCharType="begin"/>
    </w:r>
    <w:r>
      <w:rPr>
        <w:rStyle w:val="69"/>
      </w:rPr>
      <w:instrText xml:space="preserve"> PAGE </w:instrText>
    </w:r>
    <w:r>
      <w:rPr>
        <w:rStyle w:val="69"/>
      </w:rPr>
      <w:fldChar w:fldCharType="separate"/>
    </w:r>
    <w:r>
      <w:rPr>
        <w:rStyle w:val="69"/>
      </w:rPr>
      <w:t>29</w:t>
    </w:r>
    <w:r>
      <w:rPr>
        <w:rStyle w:val="69"/>
      </w:rPr>
      <w:fldChar w:fldCharType="end"/>
    </w:r>
    <w:r>
      <w:rPr>
        <w:rStyle w:val="69"/>
        <w:rFonts w:hint="eastAsia"/>
      </w:rPr>
      <w:t>页共</w:t>
    </w:r>
    <w:r>
      <w:rPr>
        <w:rStyle w:val="69"/>
      </w:rPr>
      <w:fldChar w:fldCharType="begin"/>
    </w:r>
    <w:r>
      <w:rPr>
        <w:rStyle w:val="69"/>
      </w:rPr>
      <w:instrText xml:space="preserve"> NUMPAGES </w:instrText>
    </w:r>
    <w:r>
      <w:rPr>
        <w:rStyle w:val="69"/>
      </w:rPr>
      <w:fldChar w:fldCharType="separate"/>
    </w:r>
    <w:r>
      <w:rPr>
        <w:rStyle w:val="69"/>
      </w:rPr>
      <w:t>47</w:t>
    </w:r>
    <w:r>
      <w:rPr>
        <w:rStyle w:val="69"/>
      </w:rPr>
      <w:fldChar w:fldCharType="end"/>
    </w:r>
    <w:r>
      <w:rPr>
        <w:rStyle w:val="69"/>
        <w:rFonts w:hint="eastAsia"/>
      </w:rPr>
      <w:t>页</w:t>
    </w:r>
  </w:p>
  <w:p>
    <w:pPr>
      <w:pStyle w:val="39"/>
      <w:pBdr>
        <w:top w:val="single" w:color="auto" w:sz="4"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9"/>
      </w:rPr>
    </w:pPr>
    <w:r>
      <w:rPr>
        <w:rStyle w:val="69"/>
      </w:rPr>
      <w:fldChar w:fldCharType="begin"/>
    </w:r>
    <w:r>
      <w:rPr>
        <w:rStyle w:val="69"/>
      </w:rPr>
      <w:instrText xml:space="preserve">PAGE  </w:instrText>
    </w:r>
    <w:r>
      <w:rPr>
        <w:rStyle w:val="69"/>
      </w:rPr>
      <w:fldChar w:fldCharType="separate"/>
    </w:r>
    <w:r>
      <w:rPr>
        <w:rStyle w:val="69"/>
      </w:rPr>
      <w:t>1</w:t>
    </w:r>
    <w:r>
      <w:rPr>
        <w:rStyle w:val="69"/>
      </w:rPr>
      <w:fldChar w:fldCharType="end"/>
    </w:r>
  </w:p>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9"/>
      </w:rPr>
    </w:pPr>
    <w:r>
      <w:rPr>
        <w:rStyle w:val="69"/>
      </w:rPr>
      <w:fldChar w:fldCharType="begin"/>
    </w:r>
    <w:r>
      <w:rPr>
        <w:rStyle w:val="69"/>
      </w:rPr>
      <w:instrText xml:space="preserve">PAGE  </w:instrText>
    </w:r>
    <w:r>
      <w:rPr>
        <w:rStyle w:val="69"/>
      </w:rPr>
      <w:fldChar w:fldCharType="separate"/>
    </w:r>
    <w:r>
      <w:rPr>
        <w:rStyle w:val="69"/>
      </w:rPr>
      <w:t>37</w:t>
    </w:r>
    <w:r>
      <w:rPr>
        <w:rStyle w:val="69"/>
      </w:rPr>
      <w:fldChar w:fldCharType="end"/>
    </w:r>
  </w:p>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single" w:color="auto" w:sz="4" w:space="1"/>
        <w:right w:val="none" w:color="auto" w:sz="0" w:space="0"/>
      </w:pBd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single" w:color="auto" w:sz="4" w:space="1"/>
        <w:right w:val="none" w:color="auto" w:sz="0" w:space="0"/>
      </w:pBd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none" w:color="auto" w:sz="0" w:space="0"/>
        <w:right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DF5A"/>
    <w:multiLevelType w:val="singleLevel"/>
    <w:tmpl w:val="CF09DF5A"/>
    <w:lvl w:ilvl="0" w:tentative="0">
      <w:start w:val="1"/>
      <w:numFmt w:val="decimal"/>
      <w:suff w:val="nothing"/>
      <w:lvlText w:val="（%1）"/>
      <w:lvlJc w:val="left"/>
    </w:lvl>
  </w:abstractNum>
  <w:abstractNum w:abstractNumId="1">
    <w:nsid w:val="0F541121"/>
    <w:multiLevelType w:val="singleLevel"/>
    <w:tmpl w:val="0F541121"/>
    <w:lvl w:ilvl="0" w:tentative="0">
      <w:start w:val="1"/>
      <w:numFmt w:val="chineseCounting"/>
      <w:suff w:val="nothing"/>
      <w:lvlText w:val="%1、"/>
      <w:lvlJc w:val="left"/>
      <w:rPr>
        <w:rFonts w:hint="eastAsia"/>
      </w:rPr>
    </w:lvl>
  </w:abstractNum>
  <w:abstractNum w:abstractNumId="2">
    <w:nsid w:val="1F4131A0"/>
    <w:multiLevelType w:val="multilevel"/>
    <w:tmpl w:val="1F4131A0"/>
    <w:lvl w:ilvl="0" w:tentative="0">
      <w:start w:val="1"/>
      <w:numFmt w:val="chineseCountingThousand"/>
      <w:suff w:val="space"/>
      <w:lvlText w:val="%1、"/>
      <w:lvlJc w:val="left"/>
      <w:pPr>
        <w:ind w:left="425" w:firstLine="142"/>
      </w:pPr>
      <w:rPr>
        <w:rFonts w:hint="eastAsia" w:cs="Times New Roman"/>
      </w:rPr>
    </w:lvl>
    <w:lvl w:ilvl="1" w:tentative="0">
      <w:start w:val="1"/>
      <w:numFmt w:val="decimal"/>
      <w:suff w:val="space"/>
      <w:lvlText w:val="%2."/>
      <w:lvlJc w:val="left"/>
      <w:pPr>
        <w:ind w:firstLine="567"/>
      </w:pPr>
      <w:rPr>
        <w:rFonts w:hint="eastAsia" w:cs="Times New Roman"/>
        <w:b w:val="0"/>
        <w:i w:val="0"/>
      </w:rPr>
    </w:lvl>
    <w:lvl w:ilvl="2" w:tentative="0">
      <w:start w:val="1"/>
      <w:numFmt w:val="decimal"/>
      <w:suff w:val="nothing"/>
      <w:lvlText w:val="%2.%3"/>
      <w:lvlJc w:val="left"/>
      <w:pPr>
        <w:ind w:firstLine="567"/>
      </w:pPr>
      <w:rPr>
        <w:rFonts w:hint="eastAsia" w:cs="Times New Roman"/>
        <w:b w:val="0"/>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78900824"/>
    <w:multiLevelType w:val="multilevel"/>
    <w:tmpl w:val="78900824"/>
    <w:lvl w:ilvl="0" w:tentative="0">
      <w:start w:val="1"/>
      <w:numFmt w:val="decimal"/>
      <w:lvlText w:val="%1"/>
      <w:lvlJc w:val="left"/>
      <w:pPr>
        <w:tabs>
          <w:tab w:val="left" w:pos="845"/>
        </w:tabs>
        <w:ind w:left="0" w:firstLine="567"/>
      </w:pPr>
      <w:rPr>
        <w:rFonts w:hint="eastAsia"/>
      </w:rPr>
    </w:lvl>
    <w:lvl w:ilvl="1" w:tentative="0">
      <w:start w:val="1"/>
      <w:numFmt w:val="decimal"/>
      <w:lvlText w:val="%1.%2"/>
      <w:lvlJc w:val="left"/>
      <w:pPr>
        <w:tabs>
          <w:tab w:val="left" w:pos="960"/>
        </w:tabs>
        <w:ind w:left="-27" w:firstLine="567"/>
      </w:pPr>
      <w:rPr>
        <w:rFonts w:hint="eastAsia" w:ascii="仿宋_GB2312" w:eastAsia="仿宋_GB2312"/>
        <w:b w:val="0"/>
        <w:i w:val="0"/>
      </w:rPr>
    </w:lvl>
    <w:lvl w:ilvl="2" w:tentative="0">
      <w:start w:val="1"/>
      <w:numFmt w:val="decimal"/>
      <w:lvlText w:val="%1.%2.%3"/>
      <w:lvlJc w:val="left"/>
      <w:pPr>
        <w:tabs>
          <w:tab w:val="left" w:pos="1129"/>
        </w:tabs>
        <w:ind w:left="1129" w:hanging="709"/>
      </w:pPr>
      <w:rPr>
        <w:rFonts w:hint="eastAsia"/>
      </w:rPr>
    </w:lvl>
    <w:lvl w:ilvl="3" w:tentative="0">
      <w:start w:val="1"/>
      <w:numFmt w:val="decimal"/>
      <w:lvlText w:val="%1.%2.%3.%4"/>
      <w:lvlJc w:val="left"/>
      <w:pPr>
        <w:tabs>
          <w:tab w:val="left" w:pos="1271"/>
        </w:tabs>
        <w:ind w:left="1271" w:hanging="85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FC"/>
    <w:rsid w:val="00001368"/>
    <w:rsid w:val="00003601"/>
    <w:rsid w:val="000054AD"/>
    <w:rsid w:val="00005D4A"/>
    <w:rsid w:val="00006B4E"/>
    <w:rsid w:val="00006DDD"/>
    <w:rsid w:val="00010879"/>
    <w:rsid w:val="00010D30"/>
    <w:rsid w:val="00011304"/>
    <w:rsid w:val="00011513"/>
    <w:rsid w:val="00012AEC"/>
    <w:rsid w:val="00012E6D"/>
    <w:rsid w:val="00012F08"/>
    <w:rsid w:val="000141D1"/>
    <w:rsid w:val="00016FE2"/>
    <w:rsid w:val="000170C8"/>
    <w:rsid w:val="000205B5"/>
    <w:rsid w:val="0002128C"/>
    <w:rsid w:val="000227A9"/>
    <w:rsid w:val="00023D7A"/>
    <w:rsid w:val="00024BCF"/>
    <w:rsid w:val="00024F21"/>
    <w:rsid w:val="000252FD"/>
    <w:rsid w:val="00025802"/>
    <w:rsid w:val="00030418"/>
    <w:rsid w:val="000305AD"/>
    <w:rsid w:val="0003300E"/>
    <w:rsid w:val="00033DA9"/>
    <w:rsid w:val="0003452C"/>
    <w:rsid w:val="00034868"/>
    <w:rsid w:val="00035C9C"/>
    <w:rsid w:val="0003664D"/>
    <w:rsid w:val="00036A54"/>
    <w:rsid w:val="00036E9B"/>
    <w:rsid w:val="000372E8"/>
    <w:rsid w:val="0003776A"/>
    <w:rsid w:val="00037DC5"/>
    <w:rsid w:val="00040A06"/>
    <w:rsid w:val="00040E34"/>
    <w:rsid w:val="00041574"/>
    <w:rsid w:val="00044EFC"/>
    <w:rsid w:val="00045A6F"/>
    <w:rsid w:val="00045B61"/>
    <w:rsid w:val="00045E9D"/>
    <w:rsid w:val="0004606F"/>
    <w:rsid w:val="00046E16"/>
    <w:rsid w:val="0004706F"/>
    <w:rsid w:val="00047BE9"/>
    <w:rsid w:val="00047EBD"/>
    <w:rsid w:val="000504C3"/>
    <w:rsid w:val="000523C3"/>
    <w:rsid w:val="00052ED3"/>
    <w:rsid w:val="000532FB"/>
    <w:rsid w:val="0005682D"/>
    <w:rsid w:val="0005708D"/>
    <w:rsid w:val="0005727F"/>
    <w:rsid w:val="00060C62"/>
    <w:rsid w:val="000611BF"/>
    <w:rsid w:val="0006128F"/>
    <w:rsid w:val="00062B10"/>
    <w:rsid w:val="000643EB"/>
    <w:rsid w:val="0006566F"/>
    <w:rsid w:val="00065CE3"/>
    <w:rsid w:val="0006667C"/>
    <w:rsid w:val="00066F33"/>
    <w:rsid w:val="00067526"/>
    <w:rsid w:val="000677B1"/>
    <w:rsid w:val="00070C10"/>
    <w:rsid w:val="00071707"/>
    <w:rsid w:val="00071829"/>
    <w:rsid w:val="000720A2"/>
    <w:rsid w:val="00073189"/>
    <w:rsid w:val="000734DB"/>
    <w:rsid w:val="00073511"/>
    <w:rsid w:val="0007419F"/>
    <w:rsid w:val="000747D9"/>
    <w:rsid w:val="00075C0A"/>
    <w:rsid w:val="00075D20"/>
    <w:rsid w:val="00076158"/>
    <w:rsid w:val="00080346"/>
    <w:rsid w:val="00080609"/>
    <w:rsid w:val="000808D4"/>
    <w:rsid w:val="000813FA"/>
    <w:rsid w:val="00081DB6"/>
    <w:rsid w:val="00082ECF"/>
    <w:rsid w:val="00083823"/>
    <w:rsid w:val="0008446F"/>
    <w:rsid w:val="00085B1A"/>
    <w:rsid w:val="00087119"/>
    <w:rsid w:val="0009020B"/>
    <w:rsid w:val="0009031B"/>
    <w:rsid w:val="00093407"/>
    <w:rsid w:val="00093559"/>
    <w:rsid w:val="00095637"/>
    <w:rsid w:val="00095DCD"/>
    <w:rsid w:val="00095EA6"/>
    <w:rsid w:val="0009714F"/>
    <w:rsid w:val="000A0B2B"/>
    <w:rsid w:val="000A1A2A"/>
    <w:rsid w:val="000A2B29"/>
    <w:rsid w:val="000A403E"/>
    <w:rsid w:val="000A5789"/>
    <w:rsid w:val="000A6ECD"/>
    <w:rsid w:val="000A7298"/>
    <w:rsid w:val="000B012E"/>
    <w:rsid w:val="000B0802"/>
    <w:rsid w:val="000B083C"/>
    <w:rsid w:val="000B118B"/>
    <w:rsid w:val="000B198C"/>
    <w:rsid w:val="000B238C"/>
    <w:rsid w:val="000B2E81"/>
    <w:rsid w:val="000B3B0A"/>
    <w:rsid w:val="000B4104"/>
    <w:rsid w:val="000B5EB6"/>
    <w:rsid w:val="000B5F3F"/>
    <w:rsid w:val="000B63D7"/>
    <w:rsid w:val="000B65FD"/>
    <w:rsid w:val="000B6632"/>
    <w:rsid w:val="000B6810"/>
    <w:rsid w:val="000C0104"/>
    <w:rsid w:val="000C0902"/>
    <w:rsid w:val="000C0F00"/>
    <w:rsid w:val="000C169E"/>
    <w:rsid w:val="000C36F5"/>
    <w:rsid w:val="000C3CAB"/>
    <w:rsid w:val="000C68CB"/>
    <w:rsid w:val="000C69BF"/>
    <w:rsid w:val="000C7F0D"/>
    <w:rsid w:val="000D0251"/>
    <w:rsid w:val="000D0375"/>
    <w:rsid w:val="000D03A1"/>
    <w:rsid w:val="000D0627"/>
    <w:rsid w:val="000D07C3"/>
    <w:rsid w:val="000D184A"/>
    <w:rsid w:val="000D28D5"/>
    <w:rsid w:val="000D3E84"/>
    <w:rsid w:val="000D4B1F"/>
    <w:rsid w:val="000D5134"/>
    <w:rsid w:val="000D55DC"/>
    <w:rsid w:val="000D63EE"/>
    <w:rsid w:val="000D64E1"/>
    <w:rsid w:val="000D72E2"/>
    <w:rsid w:val="000E12CA"/>
    <w:rsid w:val="000E5C5C"/>
    <w:rsid w:val="000E61C3"/>
    <w:rsid w:val="000E7E59"/>
    <w:rsid w:val="000E7EF6"/>
    <w:rsid w:val="000F02FF"/>
    <w:rsid w:val="000F032C"/>
    <w:rsid w:val="000F06A2"/>
    <w:rsid w:val="000F1C8B"/>
    <w:rsid w:val="000F326C"/>
    <w:rsid w:val="000F3D25"/>
    <w:rsid w:val="000F441D"/>
    <w:rsid w:val="000F4C40"/>
    <w:rsid w:val="000F6BE1"/>
    <w:rsid w:val="0010006B"/>
    <w:rsid w:val="001011F6"/>
    <w:rsid w:val="00102D4D"/>
    <w:rsid w:val="00103527"/>
    <w:rsid w:val="00103EF4"/>
    <w:rsid w:val="00105E66"/>
    <w:rsid w:val="00105EE8"/>
    <w:rsid w:val="001062FC"/>
    <w:rsid w:val="00107490"/>
    <w:rsid w:val="001076D4"/>
    <w:rsid w:val="00113366"/>
    <w:rsid w:val="001148E5"/>
    <w:rsid w:val="00117C63"/>
    <w:rsid w:val="00120B7A"/>
    <w:rsid w:val="00120EA3"/>
    <w:rsid w:val="00122505"/>
    <w:rsid w:val="00122756"/>
    <w:rsid w:val="00122D07"/>
    <w:rsid w:val="001241FA"/>
    <w:rsid w:val="001243E3"/>
    <w:rsid w:val="00124508"/>
    <w:rsid w:val="0012481E"/>
    <w:rsid w:val="00124E1B"/>
    <w:rsid w:val="00124F19"/>
    <w:rsid w:val="00125A04"/>
    <w:rsid w:val="00126E7A"/>
    <w:rsid w:val="00126F46"/>
    <w:rsid w:val="001273DF"/>
    <w:rsid w:val="00130C8C"/>
    <w:rsid w:val="00132831"/>
    <w:rsid w:val="001329BD"/>
    <w:rsid w:val="0013322F"/>
    <w:rsid w:val="00134495"/>
    <w:rsid w:val="00136D1C"/>
    <w:rsid w:val="00141659"/>
    <w:rsid w:val="001439A4"/>
    <w:rsid w:val="00143D8A"/>
    <w:rsid w:val="001445BC"/>
    <w:rsid w:val="0014479B"/>
    <w:rsid w:val="0014495D"/>
    <w:rsid w:val="00146B32"/>
    <w:rsid w:val="00147709"/>
    <w:rsid w:val="00150907"/>
    <w:rsid w:val="00151E87"/>
    <w:rsid w:val="00151F90"/>
    <w:rsid w:val="00152ED7"/>
    <w:rsid w:val="0015485B"/>
    <w:rsid w:val="001559E8"/>
    <w:rsid w:val="00155A2E"/>
    <w:rsid w:val="00156592"/>
    <w:rsid w:val="001574C8"/>
    <w:rsid w:val="00157E2C"/>
    <w:rsid w:val="00160B10"/>
    <w:rsid w:val="00160DB6"/>
    <w:rsid w:val="00160F51"/>
    <w:rsid w:val="00161146"/>
    <w:rsid w:val="0016316E"/>
    <w:rsid w:val="00163388"/>
    <w:rsid w:val="0016391E"/>
    <w:rsid w:val="00166F58"/>
    <w:rsid w:val="00167310"/>
    <w:rsid w:val="00170980"/>
    <w:rsid w:val="001712BD"/>
    <w:rsid w:val="00171C6A"/>
    <w:rsid w:val="00171CB5"/>
    <w:rsid w:val="001720C5"/>
    <w:rsid w:val="001728F6"/>
    <w:rsid w:val="00172A27"/>
    <w:rsid w:val="001736A4"/>
    <w:rsid w:val="001738F5"/>
    <w:rsid w:val="00173C6F"/>
    <w:rsid w:val="00176468"/>
    <w:rsid w:val="00176BD0"/>
    <w:rsid w:val="00180851"/>
    <w:rsid w:val="00180BBE"/>
    <w:rsid w:val="00181833"/>
    <w:rsid w:val="00181D3D"/>
    <w:rsid w:val="0018246D"/>
    <w:rsid w:val="00182D88"/>
    <w:rsid w:val="001848C9"/>
    <w:rsid w:val="00185249"/>
    <w:rsid w:val="00185912"/>
    <w:rsid w:val="001869E8"/>
    <w:rsid w:val="0018748C"/>
    <w:rsid w:val="00191176"/>
    <w:rsid w:val="00193769"/>
    <w:rsid w:val="001938CC"/>
    <w:rsid w:val="00193F73"/>
    <w:rsid w:val="00194C7B"/>
    <w:rsid w:val="00194D7C"/>
    <w:rsid w:val="00196D14"/>
    <w:rsid w:val="001978F2"/>
    <w:rsid w:val="00197BCA"/>
    <w:rsid w:val="00197BE6"/>
    <w:rsid w:val="00197D3F"/>
    <w:rsid w:val="001A0175"/>
    <w:rsid w:val="001A0FF0"/>
    <w:rsid w:val="001A2E25"/>
    <w:rsid w:val="001A396A"/>
    <w:rsid w:val="001A49FB"/>
    <w:rsid w:val="001A4D85"/>
    <w:rsid w:val="001A5B84"/>
    <w:rsid w:val="001A6292"/>
    <w:rsid w:val="001A6DAA"/>
    <w:rsid w:val="001B3AEC"/>
    <w:rsid w:val="001B3F56"/>
    <w:rsid w:val="001B4631"/>
    <w:rsid w:val="001B5982"/>
    <w:rsid w:val="001B62F9"/>
    <w:rsid w:val="001C0EE3"/>
    <w:rsid w:val="001C114E"/>
    <w:rsid w:val="001C22DA"/>
    <w:rsid w:val="001C2B04"/>
    <w:rsid w:val="001C562B"/>
    <w:rsid w:val="001C6217"/>
    <w:rsid w:val="001C64CD"/>
    <w:rsid w:val="001C6CE5"/>
    <w:rsid w:val="001D0B17"/>
    <w:rsid w:val="001D1B34"/>
    <w:rsid w:val="001D2438"/>
    <w:rsid w:val="001D2AF5"/>
    <w:rsid w:val="001D3743"/>
    <w:rsid w:val="001D420C"/>
    <w:rsid w:val="001D4215"/>
    <w:rsid w:val="001D4F84"/>
    <w:rsid w:val="001D5266"/>
    <w:rsid w:val="001D6343"/>
    <w:rsid w:val="001D678F"/>
    <w:rsid w:val="001D73D4"/>
    <w:rsid w:val="001D7DFD"/>
    <w:rsid w:val="001E2AC8"/>
    <w:rsid w:val="001E3FEB"/>
    <w:rsid w:val="001E413D"/>
    <w:rsid w:val="001E671D"/>
    <w:rsid w:val="001E6DEA"/>
    <w:rsid w:val="001E6FAA"/>
    <w:rsid w:val="001F0EDA"/>
    <w:rsid w:val="001F2338"/>
    <w:rsid w:val="001F2B7D"/>
    <w:rsid w:val="001F3258"/>
    <w:rsid w:val="001F3915"/>
    <w:rsid w:val="001F4D92"/>
    <w:rsid w:val="001F549F"/>
    <w:rsid w:val="001F5D25"/>
    <w:rsid w:val="001F6482"/>
    <w:rsid w:val="00200885"/>
    <w:rsid w:val="00200B91"/>
    <w:rsid w:val="0020367B"/>
    <w:rsid w:val="00203FAA"/>
    <w:rsid w:val="0020439D"/>
    <w:rsid w:val="00204AF9"/>
    <w:rsid w:val="00204F93"/>
    <w:rsid w:val="00205458"/>
    <w:rsid w:val="002103C8"/>
    <w:rsid w:val="00211648"/>
    <w:rsid w:val="00213B47"/>
    <w:rsid w:val="002152C4"/>
    <w:rsid w:val="00215AA7"/>
    <w:rsid w:val="0021696E"/>
    <w:rsid w:val="00217DEB"/>
    <w:rsid w:val="002220B0"/>
    <w:rsid w:val="002221F0"/>
    <w:rsid w:val="00224CDE"/>
    <w:rsid w:val="00226717"/>
    <w:rsid w:val="002272D2"/>
    <w:rsid w:val="002276AE"/>
    <w:rsid w:val="00227A3B"/>
    <w:rsid w:val="00232551"/>
    <w:rsid w:val="00234573"/>
    <w:rsid w:val="002348A3"/>
    <w:rsid w:val="0023589C"/>
    <w:rsid w:val="002359F1"/>
    <w:rsid w:val="00236F40"/>
    <w:rsid w:val="002374D5"/>
    <w:rsid w:val="002406B1"/>
    <w:rsid w:val="00240942"/>
    <w:rsid w:val="00240DFD"/>
    <w:rsid w:val="00240E80"/>
    <w:rsid w:val="00242C9A"/>
    <w:rsid w:val="00243EF9"/>
    <w:rsid w:val="00244220"/>
    <w:rsid w:val="00245284"/>
    <w:rsid w:val="00245DF8"/>
    <w:rsid w:val="00245ECC"/>
    <w:rsid w:val="00247559"/>
    <w:rsid w:val="00250056"/>
    <w:rsid w:val="0025052C"/>
    <w:rsid w:val="00250DB2"/>
    <w:rsid w:val="00250DCC"/>
    <w:rsid w:val="00254308"/>
    <w:rsid w:val="00254CDB"/>
    <w:rsid w:val="00255204"/>
    <w:rsid w:val="002554F3"/>
    <w:rsid w:val="00260B9D"/>
    <w:rsid w:val="00263028"/>
    <w:rsid w:val="0026303D"/>
    <w:rsid w:val="002641DB"/>
    <w:rsid w:val="002648E7"/>
    <w:rsid w:val="00265C1B"/>
    <w:rsid w:val="0027018D"/>
    <w:rsid w:val="00271BEF"/>
    <w:rsid w:val="002720FC"/>
    <w:rsid w:val="002736F3"/>
    <w:rsid w:val="00273D8B"/>
    <w:rsid w:val="00273F98"/>
    <w:rsid w:val="002745D5"/>
    <w:rsid w:val="00274D5D"/>
    <w:rsid w:val="00275FC8"/>
    <w:rsid w:val="0027683F"/>
    <w:rsid w:val="00276BC3"/>
    <w:rsid w:val="00277845"/>
    <w:rsid w:val="002779DD"/>
    <w:rsid w:val="00277A29"/>
    <w:rsid w:val="0028185B"/>
    <w:rsid w:val="002818B7"/>
    <w:rsid w:val="002821F0"/>
    <w:rsid w:val="002822CE"/>
    <w:rsid w:val="0028290C"/>
    <w:rsid w:val="0028384F"/>
    <w:rsid w:val="00284A17"/>
    <w:rsid w:val="00284C30"/>
    <w:rsid w:val="00285012"/>
    <w:rsid w:val="00286940"/>
    <w:rsid w:val="00286F22"/>
    <w:rsid w:val="0029097C"/>
    <w:rsid w:val="00290E97"/>
    <w:rsid w:val="002911D6"/>
    <w:rsid w:val="00296C91"/>
    <w:rsid w:val="00297364"/>
    <w:rsid w:val="002A0415"/>
    <w:rsid w:val="002A0756"/>
    <w:rsid w:val="002A1473"/>
    <w:rsid w:val="002A2F98"/>
    <w:rsid w:val="002A3D3F"/>
    <w:rsid w:val="002A454C"/>
    <w:rsid w:val="002A52D2"/>
    <w:rsid w:val="002A5D19"/>
    <w:rsid w:val="002B037E"/>
    <w:rsid w:val="002B19B9"/>
    <w:rsid w:val="002B1B2F"/>
    <w:rsid w:val="002B1ECB"/>
    <w:rsid w:val="002B2730"/>
    <w:rsid w:val="002B3DD9"/>
    <w:rsid w:val="002B4036"/>
    <w:rsid w:val="002B5B4F"/>
    <w:rsid w:val="002C08C8"/>
    <w:rsid w:val="002C22EC"/>
    <w:rsid w:val="002C26CE"/>
    <w:rsid w:val="002C2A05"/>
    <w:rsid w:val="002C2B78"/>
    <w:rsid w:val="002C321C"/>
    <w:rsid w:val="002C34AE"/>
    <w:rsid w:val="002C4265"/>
    <w:rsid w:val="002C4C5C"/>
    <w:rsid w:val="002C675F"/>
    <w:rsid w:val="002C76EA"/>
    <w:rsid w:val="002C772E"/>
    <w:rsid w:val="002C796F"/>
    <w:rsid w:val="002D0794"/>
    <w:rsid w:val="002D0D06"/>
    <w:rsid w:val="002D1D6A"/>
    <w:rsid w:val="002D2407"/>
    <w:rsid w:val="002D2A78"/>
    <w:rsid w:val="002D3CBC"/>
    <w:rsid w:val="002D4199"/>
    <w:rsid w:val="002D5774"/>
    <w:rsid w:val="002D64AB"/>
    <w:rsid w:val="002D75B8"/>
    <w:rsid w:val="002E0598"/>
    <w:rsid w:val="002E27B4"/>
    <w:rsid w:val="002E2A8C"/>
    <w:rsid w:val="002E3539"/>
    <w:rsid w:val="002E420A"/>
    <w:rsid w:val="002E433B"/>
    <w:rsid w:val="002E57F6"/>
    <w:rsid w:val="002E5BBB"/>
    <w:rsid w:val="002E650E"/>
    <w:rsid w:val="002E6F83"/>
    <w:rsid w:val="002F0489"/>
    <w:rsid w:val="002F182C"/>
    <w:rsid w:val="002F286E"/>
    <w:rsid w:val="002F390E"/>
    <w:rsid w:val="002F435F"/>
    <w:rsid w:val="002F55C3"/>
    <w:rsid w:val="002F64CE"/>
    <w:rsid w:val="002F66E2"/>
    <w:rsid w:val="003027DE"/>
    <w:rsid w:val="00303165"/>
    <w:rsid w:val="00303B8A"/>
    <w:rsid w:val="0030410F"/>
    <w:rsid w:val="00304DAB"/>
    <w:rsid w:val="00306149"/>
    <w:rsid w:val="003069EF"/>
    <w:rsid w:val="00307C81"/>
    <w:rsid w:val="003107ED"/>
    <w:rsid w:val="003156B6"/>
    <w:rsid w:val="003157E1"/>
    <w:rsid w:val="00316674"/>
    <w:rsid w:val="00320A65"/>
    <w:rsid w:val="003210AE"/>
    <w:rsid w:val="00321A27"/>
    <w:rsid w:val="00324D93"/>
    <w:rsid w:val="0032662E"/>
    <w:rsid w:val="003323DC"/>
    <w:rsid w:val="003326C7"/>
    <w:rsid w:val="00333063"/>
    <w:rsid w:val="003343CD"/>
    <w:rsid w:val="00336357"/>
    <w:rsid w:val="0033646D"/>
    <w:rsid w:val="00337297"/>
    <w:rsid w:val="00337851"/>
    <w:rsid w:val="0034020D"/>
    <w:rsid w:val="00340820"/>
    <w:rsid w:val="003420B1"/>
    <w:rsid w:val="00342602"/>
    <w:rsid w:val="00342CBB"/>
    <w:rsid w:val="003434B3"/>
    <w:rsid w:val="00344151"/>
    <w:rsid w:val="003445C4"/>
    <w:rsid w:val="00346A1F"/>
    <w:rsid w:val="00346D71"/>
    <w:rsid w:val="003506A5"/>
    <w:rsid w:val="00350885"/>
    <w:rsid w:val="0035188E"/>
    <w:rsid w:val="003518D9"/>
    <w:rsid w:val="00351B64"/>
    <w:rsid w:val="003520C6"/>
    <w:rsid w:val="00354624"/>
    <w:rsid w:val="003550F1"/>
    <w:rsid w:val="003565B6"/>
    <w:rsid w:val="00356BCD"/>
    <w:rsid w:val="0035763B"/>
    <w:rsid w:val="0036020D"/>
    <w:rsid w:val="00360A5B"/>
    <w:rsid w:val="00361D75"/>
    <w:rsid w:val="00362CBB"/>
    <w:rsid w:val="00363332"/>
    <w:rsid w:val="003647D3"/>
    <w:rsid w:val="00366617"/>
    <w:rsid w:val="00366A37"/>
    <w:rsid w:val="00367444"/>
    <w:rsid w:val="00370EE3"/>
    <w:rsid w:val="00371B75"/>
    <w:rsid w:val="00371FA9"/>
    <w:rsid w:val="0037468D"/>
    <w:rsid w:val="0037532F"/>
    <w:rsid w:val="00376283"/>
    <w:rsid w:val="00377045"/>
    <w:rsid w:val="003803E1"/>
    <w:rsid w:val="00380C99"/>
    <w:rsid w:val="00382C2A"/>
    <w:rsid w:val="00383994"/>
    <w:rsid w:val="0038468D"/>
    <w:rsid w:val="0038551D"/>
    <w:rsid w:val="00385574"/>
    <w:rsid w:val="003855CD"/>
    <w:rsid w:val="00386260"/>
    <w:rsid w:val="003865D8"/>
    <w:rsid w:val="00392968"/>
    <w:rsid w:val="00392D12"/>
    <w:rsid w:val="00392FAB"/>
    <w:rsid w:val="00393017"/>
    <w:rsid w:val="003939F6"/>
    <w:rsid w:val="00394131"/>
    <w:rsid w:val="003944CE"/>
    <w:rsid w:val="003960A0"/>
    <w:rsid w:val="00396AE9"/>
    <w:rsid w:val="00396CD1"/>
    <w:rsid w:val="003A1063"/>
    <w:rsid w:val="003A3CAA"/>
    <w:rsid w:val="003A4609"/>
    <w:rsid w:val="003A6996"/>
    <w:rsid w:val="003A6CE6"/>
    <w:rsid w:val="003A7AC6"/>
    <w:rsid w:val="003B03DF"/>
    <w:rsid w:val="003B09FA"/>
    <w:rsid w:val="003B149B"/>
    <w:rsid w:val="003B1B30"/>
    <w:rsid w:val="003B1C68"/>
    <w:rsid w:val="003B2458"/>
    <w:rsid w:val="003B36BC"/>
    <w:rsid w:val="003B39D3"/>
    <w:rsid w:val="003B4027"/>
    <w:rsid w:val="003B4973"/>
    <w:rsid w:val="003B4FE1"/>
    <w:rsid w:val="003B6688"/>
    <w:rsid w:val="003C0BBB"/>
    <w:rsid w:val="003C0C05"/>
    <w:rsid w:val="003C1B64"/>
    <w:rsid w:val="003C2220"/>
    <w:rsid w:val="003C3CF5"/>
    <w:rsid w:val="003C682E"/>
    <w:rsid w:val="003C6E56"/>
    <w:rsid w:val="003C7CB7"/>
    <w:rsid w:val="003D0635"/>
    <w:rsid w:val="003D1095"/>
    <w:rsid w:val="003D3A87"/>
    <w:rsid w:val="003D3BBB"/>
    <w:rsid w:val="003D4752"/>
    <w:rsid w:val="003D6027"/>
    <w:rsid w:val="003D6525"/>
    <w:rsid w:val="003D680B"/>
    <w:rsid w:val="003D702F"/>
    <w:rsid w:val="003E04E3"/>
    <w:rsid w:val="003E19E2"/>
    <w:rsid w:val="003E34E8"/>
    <w:rsid w:val="003E3C8B"/>
    <w:rsid w:val="003E542F"/>
    <w:rsid w:val="003E568D"/>
    <w:rsid w:val="003E56E5"/>
    <w:rsid w:val="003E61B4"/>
    <w:rsid w:val="003E6293"/>
    <w:rsid w:val="003E65F4"/>
    <w:rsid w:val="003E7345"/>
    <w:rsid w:val="003F069F"/>
    <w:rsid w:val="003F14F8"/>
    <w:rsid w:val="003F1775"/>
    <w:rsid w:val="003F22A9"/>
    <w:rsid w:val="003F3483"/>
    <w:rsid w:val="003F37FD"/>
    <w:rsid w:val="003F395C"/>
    <w:rsid w:val="003F3A15"/>
    <w:rsid w:val="003F3F06"/>
    <w:rsid w:val="003F48D7"/>
    <w:rsid w:val="003F5203"/>
    <w:rsid w:val="003F523C"/>
    <w:rsid w:val="003F53B2"/>
    <w:rsid w:val="003F56DC"/>
    <w:rsid w:val="003F5C04"/>
    <w:rsid w:val="0040059C"/>
    <w:rsid w:val="004012FE"/>
    <w:rsid w:val="00401573"/>
    <w:rsid w:val="0040175E"/>
    <w:rsid w:val="004020FF"/>
    <w:rsid w:val="004038BF"/>
    <w:rsid w:val="0040477B"/>
    <w:rsid w:val="00404BC3"/>
    <w:rsid w:val="004052CD"/>
    <w:rsid w:val="00405A5C"/>
    <w:rsid w:val="00405BD1"/>
    <w:rsid w:val="004062FB"/>
    <w:rsid w:val="004071F5"/>
    <w:rsid w:val="00407462"/>
    <w:rsid w:val="004078C1"/>
    <w:rsid w:val="00407A46"/>
    <w:rsid w:val="0041026B"/>
    <w:rsid w:val="004104BB"/>
    <w:rsid w:val="00410502"/>
    <w:rsid w:val="00410E7A"/>
    <w:rsid w:val="0041149D"/>
    <w:rsid w:val="00411713"/>
    <w:rsid w:val="00412572"/>
    <w:rsid w:val="00412965"/>
    <w:rsid w:val="004139DC"/>
    <w:rsid w:val="00414158"/>
    <w:rsid w:val="00415216"/>
    <w:rsid w:val="00415DAE"/>
    <w:rsid w:val="00420910"/>
    <w:rsid w:val="00420E8C"/>
    <w:rsid w:val="004215BD"/>
    <w:rsid w:val="00422A56"/>
    <w:rsid w:val="00423390"/>
    <w:rsid w:val="00423B7A"/>
    <w:rsid w:val="00424BCB"/>
    <w:rsid w:val="00425899"/>
    <w:rsid w:val="0042656D"/>
    <w:rsid w:val="004272B0"/>
    <w:rsid w:val="00427366"/>
    <w:rsid w:val="00430175"/>
    <w:rsid w:val="0043028A"/>
    <w:rsid w:val="004312AA"/>
    <w:rsid w:val="0043167D"/>
    <w:rsid w:val="00431871"/>
    <w:rsid w:val="00431DB1"/>
    <w:rsid w:val="00432DBF"/>
    <w:rsid w:val="00433838"/>
    <w:rsid w:val="004348A1"/>
    <w:rsid w:val="004350D7"/>
    <w:rsid w:val="0043610D"/>
    <w:rsid w:val="00436E52"/>
    <w:rsid w:val="004370F1"/>
    <w:rsid w:val="004371A3"/>
    <w:rsid w:val="00440502"/>
    <w:rsid w:val="00440FE1"/>
    <w:rsid w:val="00442EAF"/>
    <w:rsid w:val="00443149"/>
    <w:rsid w:val="00444723"/>
    <w:rsid w:val="004450C6"/>
    <w:rsid w:val="00445949"/>
    <w:rsid w:val="00445CE6"/>
    <w:rsid w:val="0044711E"/>
    <w:rsid w:val="004475DB"/>
    <w:rsid w:val="00447EC1"/>
    <w:rsid w:val="00450307"/>
    <w:rsid w:val="00451A57"/>
    <w:rsid w:val="00454FDA"/>
    <w:rsid w:val="00456C6F"/>
    <w:rsid w:val="004573C1"/>
    <w:rsid w:val="004573DA"/>
    <w:rsid w:val="00460F81"/>
    <w:rsid w:val="004616DB"/>
    <w:rsid w:val="004626A6"/>
    <w:rsid w:val="004626D9"/>
    <w:rsid w:val="0046301D"/>
    <w:rsid w:val="00463958"/>
    <w:rsid w:val="00463D24"/>
    <w:rsid w:val="00464CA0"/>
    <w:rsid w:val="004653D7"/>
    <w:rsid w:val="0046584B"/>
    <w:rsid w:val="00466DBD"/>
    <w:rsid w:val="004678B8"/>
    <w:rsid w:val="004706FE"/>
    <w:rsid w:val="00471A1B"/>
    <w:rsid w:val="00471D94"/>
    <w:rsid w:val="00472F89"/>
    <w:rsid w:val="00476823"/>
    <w:rsid w:val="004771EE"/>
    <w:rsid w:val="004772CD"/>
    <w:rsid w:val="004775F5"/>
    <w:rsid w:val="0048015E"/>
    <w:rsid w:val="00480F10"/>
    <w:rsid w:val="00481954"/>
    <w:rsid w:val="00481C5F"/>
    <w:rsid w:val="004829E4"/>
    <w:rsid w:val="004838BE"/>
    <w:rsid w:val="0048528A"/>
    <w:rsid w:val="00486895"/>
    <w:rsid w:val="00486CFF"/>
    <w:rsid w:val="00486D37"/>
    <w:rsid w:val="00487242"/>
    <w:rsid w:val="00490D3E"/>
    <w:rsid w:val="004918AF"/>
    <w:rsid w:val="00491AF4"/>
    <w:rsid w:val="004920FE"/>
    <w:rsid w:val="00492F6C"/>
    <w:rsid w:val="004937AB"/>
    <w:rsid w:val="0049490A"/>
    <w:rsid w:val="00495104"/>
    <w:rsid w:val="004954AC"/>
    <w:rsid w:val="0049624A"/>
    <w:rsid w:val="00496DBE"/>
    <w:rsid w:val="004A102A"/>
    <w:rsid w:val="004A1047"/>
    <w:rsid w:val="004A2393"/>
    <w:rsid w:val="004A374C"/>
    <w:rsid w:val="004A3FBF"/>
    <w:rsid w:val="004A4060"/>
    <w:rsid w:val="004A4462"/>
    <w:rsid w:val="004A471E"/>
    <w:rsid w:val="004A4877"/>
    <w:rsid w:val="004A4AC6"/>
    <w:rsid w:val="004B0D86"/>
    <w:rsid w:val="004B1732"/>
    <w:rsid w:val="004B1C43"/>
    <w:rsid w:val="004B20DA"/>
    <w:rsid w:val="004B2195"/>
    <w:rsid w:val="004B3079"/>
    <w:rsid w:val="004B3B2D"/>
    <w:rsid w:val="004B3F08"/>
    <w:rsid w:val="004B45F6"/>
    <w:rsid w:val="004B6C5E"/>
    <w:rsid w:val="004C19CA"/>
    <w:rsid w:val="004C3054"/>
    <w:rsid w:val="004C3970"/>
    <w:rsid w:val="004C3F61"/>
    <w:rsid w:val="004C4EB0"/>
    <w:rsid w:val="004C5079"/>
    <w:rsid w:val="004C50EB"/>
    <w:rsid w:val="004C7251"/>
    <w:rsid w:val="004D02A8"/>
    <w:rsid w:val="004D0840"/>
    <w:rsid w:val="004D08A4"/>
    <w:rsid w:val="004D27F7"/>
    <w:rsid w:val="004D2CF5"/>
    <w:rsid w:val="004D3350"/>
    <w:rsid w:val="004D372F"/>
    <w:rsid w:val="004D5143"/>
    <w:rsid w:val="004D64CB"/>
    <w:rsid w:val="004D78B1"/>
    <w:rsid w:val="004D7B43"/>
    <w:rsid w:val="004E1262"/>
    <w:rsid w:val="004E1D3F"/>
    <w:rsid w:val="004E4C97"/>
    <w:rsid w:val="004E51E9"/>
    <w:rsid w:val="004E6214"/>
    <w:rsid w:val="004E6AA7"/>
    <w:rsid w:val="004E6EC2"/>
    <w:rsid w:val="004E75F6"/>
    <w:rsid w:val="004F0318"/>
    <w:rsid w:val="004F0844"/>
    <w:rsid w:val="004F0A4D"/>
    <w:rsid w:val="004F1ABE"/>
    <w:rsid w:val="004F2355"/>
    <w:rsid w:val="004F243D"/>
    <w:rsid w:val="004F256F"/>
    <w:rsid w:val="004F2600"/>
    <w:rsid w:val="004F2CBF"/>
    <w:rsid w:val="004F2F2D"/>
    <w:rsid w:val="004F36C4"/>
    <w:rsid w:val="004F4E2E"/>
    <w:rsid w:val="004F62D9"/>
    <w:rsid w:val="004F742B"/>
    <w:rsid w:val="005015F3"/>
    <w:rsid w:val="00502182"/>
    <w:rsid w:val="00502A93"/>
    <w:rsid w:val="00503407"/>
    <w:rsid w:val="00503575"/>
    <w:rsid w:val="00503907"/>
    <w:rsid w:val="0050405D"/>
    <w:rsid w:val="0050426C"/>
    <w:rsid w:val="00504C12"/>
    <w:rsid w:val="00505AF7"/>
    <w:rsid w:val="00506FE6"/>
    <w:rsid w:val="00507222"/>
    <w:rsid w:val="00507945"/>
    <w:rsid w:val="00510240"/>
    <w:rsid w:val="005106F1"/>
    <w:rsid w:val="00510BA5"/>
    <w:rsid w:val="00511706"/>
    <w:rsid w:val="00512269"/>
    <w:rsid w:val="00512781"/>
    <w:rsid w:val="00514FD8"/>
    <w:rsid w:val="005178B5"/>
    <w:rsid w:val="005204DC"/>
    <w:rsid w:val="00520C01"/>
    <w:rsid w:val="005213A2"/>
    <w:rsid w:val="0052180B"/>
    <w:rsid w:val="00521C90"/>
    <w:rsid w:val="00521E1B"/>
    <w:rsid w:val="00522800"/>
    <w:rsid w:val="00522CA2"/>
    <w:rsid w:val="005232BC"/>
    <w:rsid w:val="00523334"/>
    <w:rsid w:val="00523D21"/>
    <w:rsid w:val="00524C40"/>
    <w:rsid w:val="00525FFE"/>
    <w:rsid w:val="00531868"/>
    <w:rsid w:val="00531D78"/>
    <w:rsid w:val="00533480"/>
    <w:rsid w:val="00534369"/>
    <w:rsid w:val="00534E87"/>
    <w:rsid w:val="00535260"/>
    <w:rsid w:val="00535323"/>
    <w:rsid w:val="00535BE4"/>
    <w:rsid w:val="00536B7D"/>
    <w:rsid w:val="005378E3"/>
    <w:rsid w:val="00540CCB"/>
    <w:rsid w:val="005445B8"/>
    <w:rsid w:val="00544D61"/>
    <w:rsid w:val="0054510A"/>
    <w:rsid w:val="00546D69"/>
    <w:rsid w:val="00547E82"/>
    <w:rsid w:val="00547FE8"/>
    <w:rsid w:val="0055039F"/>
    <w:rsid w:val="00550F09"/>
    <w:rsid w:val="00551170"/>
    <w:rsid w:val="0055150A"/>
    <w:rsid w:val="0055186B"/>
    <w:rsid w:val="0055189C"/>
    <w:rsid w:val="00552362"/>
    <w:rsid w:val="0055295F"/>
    <w:rsid w:val="005530D9"/>
    <w:rsid w:val="00554097"/>
    <w:rsid w:val="005555C7"/>
    <w:rsid w:val="00556209"/>
    <w:rsid w:val="00556C82"/>
    <w:rsid w:val="00557BE5"/>
    <w:rsid w:val="005601EA"/>
    <w:rsid w:val="00560782"/>
    <w:rsid w:val="00561736"/>
    <w:rsid w:val="00561AEA"/>
    <w:rsid w:val="00564340"/>
    <w:rsid w:val="005657B4"/>
    <w:rsid w:val="00565B0B"/>
    <w:rsid w:val="00565D5B"/>
    <w:rsid w:val="0056696E"/>
    <w:rsid w:val="00566973"/>
    <w:rsid w:val="00566AE0"/>
    <w:rsid w:val="00566ED9"/>
    <w:rsid w:val="0056757F"/>
    <w:rsid w:val="00570A35"/>
    <w:rsid w:val="00572579"/>
    <w:rsid w:val="00572D6F"/>
    <w:rsid w:val="00573BEA"/>
    <w:rsid w:val="00574E5F"/>
    <w:rsid w:val="00576F88"/>
    <w:rsid w:val="00580E94"/>
    <w:rsid w:val="00580F24"/>
    <w:rsid w:val="00581861"/>
    <w:rsid w:val="0058199B"/>
    <w:rsid w:val="00582B1B"/>
    <w:rsid w:val="005840BF"/>
    <w:rsid w:val="0058545F"/>
    <w:rsid w:val="0058586A"/>
    <w:rsid w:val="00586763"/>
    <w:rsid w:val="0058699C"/>
    <w:rsid w:val="00587C08"/>
    <w:rsid w:val="005901FB"/>
    <w:rsid w:val="005918C1"/>
    <w:rsid w:val="00592508"/>
    <w:rsid w:val="005930A5"/>
    <w:rsid w:val="0059540B"/>
    <w:rsid w:val="005955C0"/>
    <w:rsid w:val="0059694E"/>
    <w:rsid w:val="00596B96"/>
    <w:rsid w:val="00596C2F"/>
    <w:rsid w:val="005972FB"/>
    <w:rsid w:val="005A0C9C"/>
    <w:rsid w:val="005A2C4C"/>
    <w:rsid w:val="005A38C7"/>
    <w:rsid w:val="005A3DCE"/>
    <w:rsid w:val="005A3F76"/>
    <w:rsid w:val="005A5ABE"/>
    <w:rsid w:val="005A6357"/>
    <w:rsid w:val="005A658D"/>
    <w:rsid w:val="005A6E43"/>
    <w:rsid w:val="005A74A5"/>
    <w:rsid w:val="005A7F0A"/>
    <w:rsid w:val="005B1300"/>
    <w:rsid w:val="005B34BE"/>
    <w:rsid w:val="005B3559"/>
    <w:rsid w:val="005B45FB"/>
    <w:rsid w:val="005B48E4"/>
    <w:rsid w:val="005B5A3E"/>
    <w:rsid w:val="005B6A22"/>
    <w:rsid w:val="005B71C6"/>
    <w:rsid w:val="005C0A5F"/>
    <w:rsid w:val="005C0C5B"/>
    <w:rsid w:val="005C2C5E"/>
    <w:rsid w:val="005C2F7F"/>
    <w:rsid w:val="005C37E6"/>
    <w:rsid w:val="005C3FF7"/>
    <w:rsid w:val="005C7512"/>
    <w:rsid w:val="005C78CB"/>
    <w:rsid w:val="005D01C6"/>
    <w:rsid w:val="005D0329"/>
    <w:rsid w:val="005D0839"/>
    <w:rsid w:val="005D09D4"/>
    <w:rsid w:val="005D16A6"/>
    <w:rsid w:val="005D1E14"/>
    <w:rsid w:val="005D26C5"/>
    <w:rsid w:val="005D2B5A"/>
    <w:rsid w:val="005D354F"/>
    <w:rsid w:val="005D6A7D"/>
    <w:rsid w:val="005D72E3"/>
    <w:rsid w:val="005E05A1"/>
    <w:rsid w:val="005E13D4"/>
    <w:rsid w:val="005E1BCB"/>
    <w:rsid w:val="005E31CE"/>
    <w:rsid w:val="005E3B54"/>
    <w:rsid w:val="005E3C3F"/>
    <w:rsid w:val="005E4B9B"/>
    <w:rsid w:val="005E4DA7"/>
    <w:rsid w:val="005E4FD6"/>
    <w:rsid w:val="005E5317"/>
    <w:rsid w:val="005E6A83"/>
    <w:rsid w:val="005E72DE"/>
    <w:rsid w:val="005F199D"/>
    <w:rsid w:val="005F19E6"/>
    <w:rsid w:val="005F1AC8"/>
    <w:rsid w:val="005F233E"/>
    <w:rsid w:val="005F26EA"/>
    <w:rsid w:val="005F27C0"/>
    <w:rsid w:val="005F2CA9"/>
    <w:rsid w:val="005F3288"/>
    <w:rsid w:val="005F3D8C"/>
    <w:rsid w:val="005F50D5"/>
    <w:rsid w:val="005F6E63"/>
    <w:rsid w:val="005F70D0"/>
    <w:rsid w:val="005F78E3"/>
    <w:rsid w:val="005F7A95"/>
    <w:rsid w:val="006000D3"/>
    <w:rsid w:val="006004FE"/>
    <w:rsid w:val="00600E3D"/>
    <w:rsid w:val="00601294"/>
    <w:rsid w:val="00601E19"/>
    <w:rsid w:val="006035F2"/>
    <w:rsid w:val="00604097"/>
    <w:rsid w:val="0060425F"/>
    <w:rsid w:val="006045CD"/>
    <w:rsid w:val="00604B8C"/>
    <w:rsid w:val="00604DED"/>
    <w:rsid w:val="00605925"/>
    <w:rsid w:val="00606100"/>
    <w:rsid w:val="00606179"/>
    <w:rsid w:val="006106B6"/>
    <w:rsid w:val="00613835"/>
    <w:rsid w:val="0061390F"/>
    <w:rsid w:val="00613A79"/>
    <w:rsid w:val="006157D3"/>
    <w:rsid w:val="00615E39"/>
    <w:rsid w:val="00616408"/>
    <w:rsid w:val="00617473"/>
    <w:rsid w:val="006174DF"/>
    <w:rsid w:val="00620D28"/>
    <w:rsid w:val="0062116A"/>
    <w:rsid w:val="00622083"/>
    <w:rsid w:val="00622539"/>
    <w:rsid w:val="0062341C"/>
    <w:rsid w:val="0062386A"/>
    <w:rsid w:val="00624724"/>
    <w:rsid w:val="00624E37"/>
    <w:rsid w:val="00624E8A"/>
    <w:rsid w:val="00626076"/>
    <w:rsid w:val="00626DAA"/>
    <w:rsid w:val="006313B5"/>
    <w:rsid w:val="00631CA5"/>
    <w:rsid w:val="00635E56"/>
    <w:rsid w:val="006371FD"/>
    <w:rsid w:val="00637FB5"/>
    <w:rsid w:val="00640002"/>
    <w:rsid w:val="006407B1"/>
    <w:rsid w:val="00640943"/>
    <w:rsid w:val="006412DE"/>
    <w:rsid w:val="006427A6"/>
    <w:rsid w:val="00642BCE"/>
    <w:rsid w:val="00646783"/>
    <w:rsid w:val="00647F78"/>
    <w:rsid w:val="00650B77"/>
    <w:rsid w:val="006521E3"/>
    <w:rsid w:val="0065268F"/>
    <w:rsid w:val="00652ECC"/>
    <w:rsid w:val="006530C8"/>
    <w:rsid w:val="006531FE"/>
    <w:rsid w:val="0065350D"/>
    <w:rsid w:val="00653886"/>
    <w:rsid w:val="00655893"/>
    <w:rsid w:val="00655E2A"/>
    <w:rsid w:val="0065772B"/>
    <w:rsid w:val="00662666"/>
    <w:rsid w:val="006633DD"/>
    <w:rsid w:val="0066358D"/>
    <w:rsid w:val="00664444"/>
    <w:rsid w:val="00664DA8"/>
    <w:rsid w:val="00664EEF"/>
    <w:rsid w:val="00665D69"/>
    <w:rsid w:val="00670D0E"/>
    <w:rsid w:val="00673C66"/>
    <w:rsid w:val="006743B1"/>
    <w:rsid w:val="0067456C"/>
    <w:rsid w:val="00674D53"/>
    <w:rsid w:val="006752A4"/>
    <w:rsid w:val="006759D2"/>
    <w:rsid w:val="00675BBA"/>
    <w:rsid w:val="00676236"/>
    <w:rsid w:val="00676788"/>
    <w:rsid w:val="006769D6"/>
    <w:rsid w:val="00676E85"/>
    <w:rsid w:val="0067703D"/>
    <w:rsid w:val="00677352"/>
    <w:rsid w:val="0068032A"/>
    <w:rsid w:val="00680AA9"/>
    <w:rsid w:val="0068124E"/>
    <w:rsid w:val="00681DCD"/>
    <w:rsid w:val="00682136"/>
    <w:rsid w:val="00682BEF"/>
    <w:rsid w:val="00683E34"/>
    <w:rsid w:val="006844D6"/>
    <w:rsid w:val="00684A39"/>
    <w:rsid w:val="00686AE6"/>
    <w:rsid w:val="00690718"/>
    <w:rsid w:val="006912F3"/>
    <w:rsid w:val="00691953"/>
    <w:rsid w:val="00691AEA"/>
    <w:rsid w:val="006938CD"/>
    <w:rsid w:val="00693B4A"/>
    <w:rsid w:val="00693F10"/>
    <w:rsid w:val="006943F3"/>
    <w:rsid w:val="0069559D"/>
    <w:rsid w:val="00695D5C"/>
    <w:rsid w:val="00695E5A"/>
    <w:rsid w:val="00696700"/>
    <w:rsid w:val="00696793"/>
    <w:rsid w:val="00696CA7"/>
    <w:rsid w:val="006975CB"/>
    <w:rsid w:val="00697D9E"/>
    <w:rsid w:val="00697EB4"/>
    <w:rsid w:val="006A0370"/>
    <w:rsid w:val="006A0AFE"/>
    <w:rsid w:val="006A0D71"/>
    <w:rsid w:val="006A13B2"/>
    <w:rsid w:val="006A1C41"/>
    <w:rsid w:val="006A22EA"/>
    <w:rsid w:val="006A2AAF"/>
    <w:rsid w:val="006A2BC4"/>
    <w:rsid w:val="006A411D"/>
    <w:rsid w:val="006A4298"/>
    <w:rsid w:val="006A51D4"/>
    <w:rsid w:val="006A548E"/>
    <w:rsid w:val="006A5702"/>
    <w:rsid w:val="006A5F3B"/>
    <w:rsid w:val="006B0567"/>
    <w:rsid w:val="006B080E"/>
    <w:rsid w:val="006B2383"/>
    <w:rsid w:val="006B463B"/>
    <w:rsid w:val="006B4C5A"/>
    <w:rsid w:val="006B5301"/>
    <w:rsid w:val="006B5AFC"/>
    <w:rsid w:val="006B5D5F"/>
    <w:rsid w:val="006B7097"/>
    <w:rsid w:val="006B7D23"/>
    <w:rsid w:val="006C05C6"/>
    <w:rsid w:val="006C06EA"/>
    <w:rsid w:val="006C0D92"/>
    <w:rsid w:val="006C0E31"/>
    <w:rsid w:val="006C2026"/>
    <w:rsid w:val="006C20A7"/>
    <w:rsid w:val="006C2F47"/>
    <w:rsid w:val="006C4A90"/>
    <w:rsid w:val="006C64D3"/>
    <w:rsid w:val="006C72C2"/>
    <w:rsid w:val="006C7DA1"/>
    <w:rsid w:val="006D023B"/>
    <w:rsid w:val="006D0505"/>
    <w:rsid w:val="006D2EB7"/>
    <w:rsid w:val="006D325A"/>
    <w:rsid w:val="006D3D40"/>
    <w:rsid w:val="006D4754"/>
    <w:rsid w:val="006D51EE"/>
    <w:rsid w:val="006D5A67"/>
    <w:rsid w:val="006D6083"/>
    <w:rsid w:val="006D61C1"/>
    <w:rsid w:val="006E1860"/>
    <w:rsid w:val="006E2CD9"/>
    <w:rsid w:val="006E3859"/>
    <w:rsid w:val="006E4663"/>
    <w:rsid w:val="006E51A6"/>
    <w:rsid w:val="006E524C"/>
    <w:rsid w:val="006E70EE"/>
    <w:rsid w:val="006E7ECF"/>
    <w:rsid w:val="006F04D4"/>
    <w:rsid w:val="006F10D9"/>
    <w:rsid w:val="006F2064"/>
    <w:rsid w:val="006F20E5"/>
    <w:rsid w:val="006F2CB0"/>
    <w:rsid w:val="006F38AC"/>
    <w:rsid w:val="006F3DF7"/>
    <w:rsid w:val="00701673"/>
    <w:rsid w:val="00701AE0"/>
    <w:rsid w:val="00702714"/>
    <w:rsid w:val="00702CFF"/>
    <w:rsid w:val="00703298"/>
    <w:rsid w:val="00703344"/>
    <w:rsid w:val="007069F3"/>
    <w:rsid w:val="00706C65"/>
    <w:rsid w:val="00710119"/>
    <w:rsid w:val="00710A83"/>
    <w:rsid w:val="00711814"/>
    <w:rsid w:val="0071212C"/>
    <w:rsid w:val="00712ABC"/>
    <w:rsid w:val="00713305"/>
    <w:rsid w:val="007133A5"/>
    <w:rsid w:val="00713571"/>
    <w:rsid w:val="007168B6"/>
    <w:rsid w:val="0071724C"/>
    <w:rsid w:val="007179D0"/>
    <w:rsid w:val="007204A5"/>
    <w:rsid w:val="00720C0A"/>
    <w:rsid w:val="00721A7D"/>
    <w:rsid w:val="0072255B"/>
    <w:rsid w:val="0072279C"/>
    <w:rsid w:val="00723F4B"/>
    <w:rsid w:val="007251C2"/>
    <w:rsid w:val="00732480"/>
    <w:rsid w:val="007329FF"/>
    <w:rsid w:val="00732BA8"/>
    <w:rsid w:val="00733943"/>
    <w:rsid w:val="00733B64"/>
    <w:rsid w:val="00734662"/>
    <w:rsid w:val="007357AF"/>
    <w:rsid w:val="00735BE4"/>
    <w:rsid w:val="007365A2"/>
    <w:rsid w:val="0073675E"/>
    <w:rsid w:val="0073755E"/>
    <w:rsid w:val="007407C4"/>
    <w:rsid w:val="00743F16"/>
    <w:rsid w:val="0074466D"/>
    <w:rsid w:val="00744CEA"/>
    <w:rsid w:val="00747B72"/>
    <w:rsid w:val="00750134"/>
    <w:rsid w:val="007502F9"/>
    <w:rsid w:val="0075088B"/>
    <w:rsid w:val="00752149"/>
    <w:rsid w:val="00752661"/>
    <w:rsid w:val="00755B17"/>
    <w:rsid w:val="00755D2B"/>
    <w:rsid w:val="00756AD7"/>
    <w:rsid w:val="00756F42"/>
    <w:rsid w:val="00757CC8"/>
    <w:rsid w:val="007645F0"/>
    <w:rsid w:val="00764C62"/>
    <w:rsid w:val="00765022"/>
    <w:rsid w:val="007667B3"/>
    <w:rsid w:val="0076749F"/>
    <w:rsid w:val="007713DD"/>
    <w:rsid w:val="0077423A"/>
    <w:rsid w:val="0077432E"/>
    <w:rsid w:val="00774609"/>
    <w:rsid w:val="0077523A"/>
    <w:rsid w:val="007766B8"/>
    <w:rsid w:val="0077699D"/>
    <w:rsid w:val="00776A8C"/>
    <w:rsid w:val="00781FD1"/>
    <w:rsid w:val="00783505"/>
    <w:rsid w:val="00783F9B"/>
    <w:rsid w:val="00784478"/>
    <w:rsid w:val="00784A65"/>
    <w:rsid w:val="007866A3"/>
    <w:rsid w:val="00786B8E"/>
    <w:rsid w:val="0079069F"/>
    <w:rsid w:val="0079104B"/>
    <w:rsid w:val="0079189F"/>
    <w:rsid w:val="00791AD5"/>
    <w:rsid w:val="00792A8F"/>
    <w:rsid w:val="00792FB6"/>
    <w:rsid w:val="007937AE"/>
    <w:rsid w:val="00795957"/>
    <w:rsid w:val="00796FE9"/>
    <w:rsid w:val="007970DA"/>
    <w:rsid w:val="00797FD9"/>
    <w:rsid w:val="007A03AD"/>
    <w:rsid w:val="007A15D0"/>
    <w:rsid w:val="007A2AD2"/>
    <w:rsid w:val="007A426A"/>
    <w:rsid w:val="007A4479"/>
    <w:rsid w:val="007A465B"/>
    <w:rsid w:val="007A49A7"/>
    <w:rsid w:val="007A5912"/>
    <w:rsid w:val="007A5BCB"/>
    <w:rsid w:val="007B06B8"/>
    <w:rsid w:val="007B0800"/>
    <w:rsid w:val="007B0CAA"/>
    <w:rsid w:val="007B3918"/>
    <w:rsid w:val="007B3B06"/>
    <w:rsid w:val="007B44A9"/>
    <w:rsid w:val="007B518B"/>
    <w:rsid w:val="007C097F"/>
    <w:rsid w:val="007C14F1"/>
    <w:rsid w:val="007C14F7"/>
    <w:rsid w:val="007C1770"/>
    <w:rsid w:val="007C29E9"/>
    <w:rsid w:val="007C34FC"/>
    <w:rsid w:val="007C3DB7"/>
    <w:rsid w:val="007C55EE"/>
    <w:rsid w:val="007C5DDD"/>
    <w:rsid w:val="007C61E1"/>
    <w:rsid w:val="007C6517"/>
    <w:rsid w:val="007C75DB"/>
    <w:rsid w:val="007D082F"/>
    <w:rsid w:val="007D2A66"/>
    <w:rsid w:val="007D4AB8"/>
    <w:rsid w:val="007D5EB6"/>
    <w:rsid w:val="007D636D"/>
    <w:rsid w:val="007D709F"/>
    <w:rsid w:val="007E092A"/>
    <w:rsid w:val="007E1118"/>
    <w:rsid w:val="007E130C"/>
    <w:rsid w:val="007E1405"/>
    <w:rsid w:val="007E15D4"/>
    <w:rsid w:val="007E1702"/>
    <w:rsid w:val="007E184C"/>
    <w:rsid w:val="007E48B7"/>
    <w:rsid w:val="007E49A3"/>
    <w:rsid w:val="007E7D40"/>
    <w:rsid w:val="007F1AEE"/>
    <w:rsid w:val="007F39C2"/>
    <w:rsid w:val="007F4191"/>
    <w:rsid w:val="007F448A"/>
    <w:rsid w:val="007F4925"/>
    <w:rsid w:val="007F4D11"/>
    <w:rsid w:val="007F4EA2"/>
    <w:rsid w:val="007F5A30"/>
    <w:rsid w:val="007F67EF"/>
    <w:rsid w:val="007F7B28"/>
    <w:rsid w:val="00801641"/>
    <w:rsid w:val="008016F8"/>
    <w:rsid w:val="00801899"/>
    <w:rsid w:val="008027BB"/>
    <w:rsid w:val="0080304B"/>
    <w:rsid w:val="008044D4"/>
    <w:rsid w:val="008047CE"/>
    <w:rsid w:val="00806ED8"/>
    <w:rsid w:val="00810902"/>
    <w:rsid w:val="00810D9D"/>
    <w:rsid w:val="00811B5E"/>
    <w:rsid w:val="00811BD9"/>
    <w:rsid w:val="00811D91"/>
    <w:rsid w:val="00812042"/>
    <w:rsid w:val="0081230E"/>
    <w:rsid w:val="008159EB"/>
    <w:rsid w:val="00817FE3"/>
    <w:rsid w:val="00822FE5"/>
    <w:rsid w:val="00823B3B"/>
    <w:rsid w:val="00823C33"/>
    <w:rsid w:val="00824152"/>
    <w:rsid w:val="008244EC"/>
    <w:rsid w:val="00824953"/>
    <w:rsid w:val="008251E6"/>
    <w:rsid w:val="0082717D"/>
    <w:rsid w:val="008306AE"/>
    <w:rsid w:val="0083152F"/>
    <w:rsid w:val="008318C4"/>
    <w:rsid w:val="00832951"/>
    <w:rsid w:val="00833592"/>
    <w:rsid w:val="00834427"/>
    <w:rsid w:val="008346E2"/>
    <w:rsid w:val="008350C0"/>
    <w:rsid w:val="008352D3"/>
    <w:rsid w:val="008357E4"/>
    <w:rsid w:val="00836996"/>
    <w:rsid w:val="00837275"/>
    <w:rsid w:val="008412C2"/>
    <w:rsid w:val="008412D6"/>
    <w:rsid w:val="00841EC0"/>
    <w:rsid w:val="00842775"/>
    <w:rsid w:val="00842DF5"/>
    <w:rsid w:val="008442B7"/>
    <w:rsid w:val="0084499C"/>
    <w:rsid w:val="00845636"/>
    <w:rsid w:val="00845D38"/>
    <w:rsid w:val="0085018C"/>
    <w:rsid w:val="008508EC"/>
    <w:rsid w:val="00850B1C"/>
    <w:rsid w:val="00850CA2"/>
    <w:rsid w:val="00850DF4"/>
    <w:rsid w:val="00850E8A"/>
    <w:rsid w:val="00852292"/>
    <w:rsid w:val="00853568"/>
    <w:rsid w:val="00855012"/>
    <w:rsid w:val="00855302"/>
    <w:rsid w:val="008556B1"/>
    <w:rsid w:val="008579AE"/>
    <w:rsid w:val="00860373"/>
    <w:rsid w:val="008669E8"/>
    <w:rsid w:val="00866C7B"/>
    <w:rsid w:val="008708ED"/>
    <w:rsid w:val="00870C74"/>
    <w:rsid w:val="0087189A"/>
    <w:rsid w:val="00872601"/>
    <w:rsid w:val="0087307C"/>
    <w:rsid w:val="00873285"/>
    <w:rsid w:val="0087411E"/>
    <w:rsid w:val="008742B1"/>
    <w:rsid w:val="00874C85"/>
    <w:rsid w:val="008750DB"/>
    <w:rsid w:val="00875271"/>
    <w:rsid w:val="008755C8"/>
    <w:rsid w:val="00875949"/>
    <w:rsid w:val="00882452"/>
    <w:rsid w:val="0088361C"/>
    <w:rsid w:val="00883872"/>
    <w:rsid w:val="0088389A"/>
    <w:rsid w:val="00885AD4"/>
    <w:rsid w:val="00885D42"/>
    <w:rsid w:val="008904FA"/>
    <w:rsid w:val="008906E6"/>
    <w:rsid w:val="00890D52"/>
    <w:rsid w:val="00890F77"/>
    <w:rsid w:val="008915C9"/>
    <w:rsid w:val="0089318F"/>
    <w:rsid w:val="00893FDF"/>
    <w:rsid w:val="0089628E"/>
    <w:rsid w:val="00896F4C"/>
    <w:rsid w:val="00897368"/>
    <w:rsid w:val="008A0272"/>
    <w:rsid w:val="008A0B50"/>
    <w:rsid w:val="008A20C1"/>
    <w:rsid w:val="008A2244"/>
    <w:rsid w:val="008A287C"/>
    <w:rsid w:val="008A4072"/>
    <w:rsid w:val="008A41C3"/>
    <w:rsid w:val="008A4295"/>
    <w:rsid w:val="008A4CFC"/>
    <w:rsid w:val="008A52CE"/>
    <w:rsid w:val="008A560A"/>
    <w:rsid w:val="008A74B5"/>
    <w:rsid w:val="008B310A"/>
    <w:rsid w:val="008B32DC"/>
    <w:rsid w:val="008B3B3F"/>
    <w:rsid w:val="008B3C09"/>
    <w:rsid w:val="008B3D39"/>
    <w:rsid w:val="008B41F1"/>
    <w:rsid w:val="008B4AA9"/>
    <w:rsid w:val="008B4E91"/>
    <w:rsid w:val="008B4FCE"/>
    <w:rsid w:val="008B60B9"/>
    <w:rsid w:val="008B6129"/>
    <w:rsid w:val="008B64CC"/>
    <w:rsid w:val="008C09D3"/>
    <w:rsid w:val="008C1CBF"/>
    <w:rsid w:val="008C28D2"/>
    <w:rsid w:val="008C2AD8"/>
    <w:rsid w:val="008C2EB2"/>
    <w:rsid w:val="008C2F50"/>
    <w:rsid w:val="008C3B02"/>
    <w:rsid w:val="008C3C1B"/>
    <w:rsid w:val="008C59BF"/>
    <w:rsid w:val="008C6CAE"/>
    <w:rsid w:val="008C7316"/>
    <w:rsid w:val="008C7D3E"/>
    <w:rsid w:val="008D0EAA"/>
    <w:rsid w:val="008D0F3E"/>
    <w:rsid w:val="008D16FD"/>
    <w:rsid w:val="008D1CAE"/>
    <w:rsid w:val="008D221C"/>
    <w:rsid w:val="008D488C"/>
    <w:rsid w:val="008D5EBD"/>
    <w:rsid w:val="008D71D0"/>
    <w:rsid w:val="008E0282"/>
    <w:rsid w:val="008E09C5"/>
    <w:rsid w:val="008E0C61"/>
    <w:rsid w:val="008E0D61"/>
    <w:rsid w:val="008E433B"/>
    <w:rsid w:val="008E57A9"/>
    <w:rsid w:val="008E5875"/>
    <w:rsid w:val="008E6D76"/>
    <w:rsid w:val="008F0197"/>
    <w:rsid w:val="008F0617"/>
    <w:rsid w:val="008F299F"/>
    <w:rsid w:val="008F2E94"/>
    <w:rsid w:val="008F40B2"/>
    <w:rsid w:val="008F4E6D"/>
    <w:rsid w:val="008F670E"/>
    <w:rsid w:val="008F6AC9"/>
    <w:rsid w:val="008F6DAF"/>
    <w:rsid w:val="008F74C6"/>
    <w:rsid w:val="00901052"/>
    <w:rsid w:val="00901674"/>
    <w:rsid w:val="0090210B"/>
    <w:rsid w:val="009030EF"/>
    <w:rsid w:val="009033F0"/>
    <w:rsid w:val="0090497E"/>
    <w:rsid w:val="009070C1"/>
    <w:rsid w:val="00907FA7"/>
    <w:rsid w:val="009102C0"/>
    <w:rsid w:val="00911BBC"/>
    <w:rsid w:val="00912793"/>
    <w:rsid w:val="00914528"/>
    <w:rsid w:val="00914DB3"/>
    <w:rsid w:val="00916D24"/>
    <w:rsid w:val="009204BD"/>
    <w:rsid w:val="00920C1F"/>
    <w:rsid w:val="00922BC5"/>
    <w:rsid w:val="00922C60"/>
    <w:rsid w:val="00922E2C"/>
    <w:rsid w:val="009234FD"/>
    <w:rsid w:val="00923E5A"/>
    <w:rsid w:val="009243FB"/>
    <w:rsid w:val="00924CB5"/>
    <w:rsid w:val="00925227"/>
    <w:rsid w:val="009255E6"/>
    <w:rsid w:val="00926C9B"/>
    <w:rsid w:val="00927A89"/>
    <w:rsid w:val="009304D2"/>
    <w:rsid w:val="00930CD2"/>
    <w:rsid w:val="00932CE3"/>
    <w:rsid w:val="00932F03"/>
    <w:rsid w:val="00934005"/>
    <w:rsid w:val="0093495D"/>
    <w:rsid w:val="00935802"/>
    <w:rsid w:val="009360B3"/>
    <w:rsid w:val="0093668D"/>
    <w:rsid w:val="00937511"/>
    <w:rsid w:val="00937B48"/>
    <w:rsid w:val="009415AF"/>
    <w:rsid w:val="00943076"/>
    <w:rsid w:val="00944946"/>
    <w:rsid w:val="00944E54"/>
    <w:rsid w:val="00945B65"/>
    <w:rsid w:val="009468C1"/>
    <w:rsid w:val="00946A1B"/>
    <w:rsid w:val="00947602"/>
    <w:rsid w:val="00947F6C"/>
    <w:rsid w:val="00950857"/>
    <w:rsid w:val="00950DC6"/>
    <w:rsid w:val="00951045"/>
    <w:rsid w:val="00951ABA"/>
    <w:rsid w:val="0095246C"/>
    <w:rsid w:val="00952A01"/>
    <w:rsid w:val="00953AF8"/>
    <w:rsid w:val="00954D82"/>
    <w:rsid w:val="00954F46"/>
    <w:rsid w:val="00955062"/>
    <w:rsid w:val="00955B2E"/>
    <w:rsid w:val="0095631F"/>
    <w:rsid w:val="00956422"/>
    <w:rsid w:val="00956A53"/>
    <w:rsid w:val="00957245"/>
    <w:rsid w:val="00957A7D"/>
    <w:rsid w:val="00957DC1"/>
    <w:rsid w:val="0096023B"/>
    <w:rsid w:val="00961391"/>
    <w:rsid w:val="009631A3"/>
    <w:rsid w:val="009656CA"/>
    <w:rsid w:val="00965BEB"/>
    <w:rsid w:val="009666E5"/>
    <w:rsid w:val="009668FC"/>
    <w:rsid w:val="00966BB4"/>
    <w:rsid w:val="00967794"/>
    <w:rsid w:val="00967AB5"/>
    <w:rsid w:val="00967C1D"/>
    <w:rsid w:val="00970229"/>
    <w:rsid w:val="009703E8"/>
    <w:rsid w:val="00970A3B"/>
    <w:rsid w:val="00971AB3"/>
    <w:rsid w:val="00971D5C"/>
    <w:rsid w:val="009722D0"/>
    <w:rsid w:val="00972629"/>
    <w:rsid w:val="009731A4"/>
    <w:rsid w:val="00973629"/>
    <w:rsid w:val="00973887"/>
    <w:rsid w:val="00973B72"/>
    <w:rsid w:val="00974C2C"/>
    <w:rsid w:val="00974D13"/>
    <w:rsid w:val="00977270"/>
    <w:rsid w:val="00980F85"/>
    <w:rsid w:val="0098226D"/>
    <w:rsid w:val="009824CD"/>
    <w:rsid w:val="00984C43"/>
    <w:rsid w:val="009854ED"/>
    <w:rsid w:val="00985626"/>
    <w:rsid w:val="009861A1"/>
    <w:rsid w:val="00986E67"/>
    <w:rsid w:val="00986F03"/>
    <w:rsid w:val="00987B76"/>
    <w:rsid w:val="00990D5F"/>
    <w:rsid w:val="00994266"/>
    <w:rsid w:val="00994671"/>
    <w:rsid w:val="00994C51"/>
    <w:rsid w:val="0099758F"/>
    <w:rsid w:val="009A0E2E"/>
    <w:rsid w:val="009A0FDA"/>
    <w:rsid w:val="009A2755"/>
    <w:rsid w:val="009A3691"/>
    <w:rsid w:val="009A3A21"/>
    <w:rsid w:val="009A49E6"/>
    <w:rsid w:val="009A53BC"/>
    <w:rsid w:val="009A5F97"/>
    <w:rsid w:val="009A7CE3"/>
    <w:rsid w:val="009B0D0E"/>
    <w:rsid w:val="009B4C24"/>
    <w:rsid w:val="009B518F"/>
    <w:rsid w:val="009B52CE"/>
    <w:rsid w:val="009B554E"/>
    <w:rsid w:val="009B5894"/>
    <w:rsid w:val="009B61EB"/>
    <w:rsid w:val="009B65B9"/>
    <w:rsid w:val="009C13CC"/>
    <w:rsid w:val="009C3646"/>
    <w:rsid w:val="009C3716"/>
    <w:rsid w:val="009C460B"/>
    <w:rsid w:val="009C587C"/>
    <w:rsid w:val="009C61D7"/>
    <w:rsid w:val="009C76A4"/>
    <w:rsid w:val="009D06AB"/>
    <w:rsid w:val="009D11B2"/>
    <w:rsid w:val="009D1366"/>
    <w:rsid w:val="009D2520"/>
    <w:rsid w:val="009D37B8"/>
    <w:rsid w:val="009D3F55"/>
    <w:rsid w:val="009D587B"/>
    <w:rsid w:val="009D5C11"/>
    <w:rsid w:val="009D674C"/>
    <w:rsid w:val="009D675A"/>
    <w:rsid w:val="009D6FA6"/>
    <w:rsid w:val="009D6FB5"/>
    <w:rsid w:val="009D7847"/>
    <w:rsid w:val="009D7D5A"/>
    <w:rsid w:val="009E072F"/>
    <w:rsid w:val="009E07E3"/>
    <w:rsid w:val="009E1658"/>
    <w:rsid w:val="009E2007"/>
    <w:rsid w:val="009E3756"/>
    <w:rsid w:val="009E479E"/>
    <w:rsid w:val="009E60B9"/>
    <w:rsid w:val="009E63D6"/>
    <w:rsid w:val="009F064F"/>
    <w:rsid w:val="009F1D19"/>
    <w:rsid w:val="009F327C"/>
    <w:rsid w:val="009F3F49"/>
    <w:rsid w:val="009F478E"/>
    <w:rsid w:val="009F51B5"/>
    <w:rsid w:val="009F56D3"/>
    <w:rsid w:val="009F7539"/>
    <w:rsid w:val="00A0000A"/>
    <w:rsid w:val="00A0001A"/>
    <w:rsid w:val="00A00E82"/>
    <w:rsid w:val="00A0149C"/>
    <w:rsid w:val="00A025F9"/>
    <w:rsid w:val="00A02C42"/>
    <w:rsid w:val="00A02C63"/>
    <w:rsid w:val="00A03580"/>
    <w:rsid w:val="00A03C35"/>
    <w:rsid w:val="00A03EFB"/>
    <w:rsid w:val="00A06010"/>
    <w:rsid w:val="00A105B4"/>
    <w:rsid w:val="00A10944"/>
    <w:rsid w:val="00A1272B"/>
    <w:rsid w:val="00A128B5"/>
    <w:rsid w:val="00A1322E"/>
    <w:rsid w:val="00A13A33"/>
    <w:rsid w:val="00A13BAB"/>
    <w:rsid w:val="00A13D88"/>
    <w:rsid w:val="00A140D0"/>
    <w:rsid w:val="00A1428F"/>
    <w:rsid w:val="00A147C2"/>
    <w:rsid w:val="00A14CFA"/>
    <w:rsid w:val="00A150C2"/>
    <w:rsid w:val="00A15519"/>
    <w:rsid w:val="00A164C0"/>
    <w:rsid w:val="00A17029"/>
    <w:rsid w:val="00A172EE"/>
    <w:rsid w:val="00A176DE"/>
    <w:rsid w:val="00A202E1"/>
    <w:rsid w:val="00A21B21"/>
    <w:rsid w:val="00A23236"/>
    <w:rsid w:val="00A237B5"/>
    <w:rsid w:val="00A23EEC"/>
    <w:rsid w:val="00A240EC"/>
    <w:rsid w:val="00A24716"/>
    <w:rsid w:val="00A24D9E"/>
    <w:rsid w:val="00A26886"/>
    <w:rsid w:val="00A2730E"/>
    <w:rsid w:val="00A279AD"/>
    <w:rsid w:val="00A30409"/>
    <w:rsid w:val="00A3156B"/>
    <w:rsid w:val="00A31727"/>
    <w:rsid w:val="00A318D2"/>
    <w:rsid w:val="00A32C22"/>
    <w:rsid w:val="00A33168"/>
    <w:rsid w:val="00A34675"/>
    <w:rsid w:val="00A347C4"/>
    <w:rsid w:val="00A34A37"/>
    <w:rsid w:val="00A35E5D"/>
    <w:rsid w:val="00A35FF5"/>
    <w:rsid w:val="00A368AA"/>
    <w:rsid w:val="00A400DC"/>
    <w:rsid w:val="00A41CA1"/>
    <w:rsid w:val="00A42505"/>
    <w:rsid w:val="00A43E5B"/>
    <w:rsid w:val="00A44FFE"/>
    <w:rsid w:val="00A46979"/>
    <w:rsid w:val="00A46A5D"/>
    <w:rsid w:val="00A507D9"/>
    <w:rsid w:val="00A51648"/>
    <w:rsid w:val="00A53E79"/>
    <w:rsid w:val="00A54D48"/>
    <w:rsid w:val="00A54DAF"/>
    <w:rsid w:val="00A55037"/>
    <w:rsid w:val="00A5572F"/>
    <w:rsid w:val="00A56639"/>
    <w:rsid w:val="00A5737B"/>
    <w:rsid w:val="00A57498"/>
    <w:rsid w:val="00A57A95"/>
    <w:rsid w:val="00A60095"/>
    <w:rsid w:val="00A6013E"/>
    <w:rsid w:val="00A61E94"/>
    <w:rsid w:val="00A6242C"/>
    <w:rsid w:val="00A6298D"/>
    <w:rsid w:val="00A62CB1"/>
    <w:rsid w:val="00A62F09"/>
    <w:rsid w:val="00A63358"/>
    <w:rsid w:val="00A63386"/>
    <w:rsid w:val="00A643D7"/>
    <w:rsid w:val="00A657E8"/>
    <w:rsid w:val="00A70F85"/>
    <w:rsid w:val="00A711FF"/>
    <w:rsid w:val="00A71E64"/>
    <w:rsid w:val="00A73B34"/>
    <w:rsid w:val="00A74A0D"/>
    <w:rsid w:val="00A74E36"/>
    <w:rsid w:val="00A752B0"/>
    <w:rsid w:val="00A763E9"/>
    <w:rsid w:val="00A779D0"/>
    <w:rsid w:val="00A77D52"/>
    <w:rsid w:val="00A80636"/>
    <w:rsid w:val="00A80A17"/>
    <w:rsid w:val="00A80DBE"/>
    <w:rsid w:val="00A822EE"/>
    <w:rsid w:val="00A83693"/>
    <w:rsid w:val="00A8497C"/>
    <w:rsid w:val="00A86762"/>
    <w:rsid w:val="00A8752C"/>
    <w:rsid w:val="00A90125"/>
    <w:rsid w:val="00A902D2"/>
    <w:rsid w:val="00A906A0"/>
    <w:rsid w:val="00A92490"/>
    <w:rsid w:val="00A93BF8"/>
    <w:rsid w:val="00A94D39"/>
    <w:rsid w:val="00A95399"/>
    <w:rsid w:val="00A97B05"/>
    <w:rsid w:val="00AA08FD"/>
    <w:rsid w:val="00AA147B"/>
    <w:rsid w:val="00AA237A"/>
    <w:rsid w:val="00AA3479"/>
    <w:rsid w:val="00AA3638"/>
    <w:rsid w:val="00AA4BA0"/>
    <w:rsid w:val="00AA54A4"/>
    <w:rsid w:val="00AA5B61"/>
    <w:rsid w:val="00AA6AA1"/>
    <w:rsid w:val="00AB0426"/>
    <w:rsid w:val="00AB0AD5"/>
    <w:rsid w:val="00AB323A"/>
    <w:rsid w:val="00AB3AE9"/>
    <w:rsid w:val="00AB44CA"/>
    <w:rsid w:val="00AB4F10"/>
    <w:rsid w:val="00AB53C7"/>
    <w:rsid w:val="00AB7A94"/>
    <w:rsid w:val="00AC047E"/>
    <w:rsid w:val="00AC2547"/>
    <w:rsid w:val="00AC303E"/>
    <w:rsid w:val="00AC4144"/>
    <w:rsid w:val="00AC5015"/>
    <w:rsid w:val="00AC5544"/>
    <w:rsid w:val="00AC6DF1"/>
    <w:rsid w:val="00AC7365"/>
    <w:rsid w:val="00AD06C6"/>
    <w:rsid w:val="00AD0AFA"/>
    <w:rsid w:val="00AD1125"/>
    <w:rsid w:val="00AD1C5D"/>
    <w:rsid w:val="00AD20FD"/>
    <w:rsid w:val="00AD274E"/>
    <w:rsid w:val="00AD2808"/>
    <w:rsid w:val="00AD2AB0"/>
    <w:rsid w:val="00AD2CBF"/>
    <w:rsid w:val="00AD2FD2"/>
    <w:rsid w:val="00AD3A89"/>
    <w:rsid w:val="00AD3E0D"/>
    <w:rsid w:val="00AD5216"/>
    <w:rsid w:val="00AD5F4C"/>
    <w:rsid w:val="00AE0888"/>
    <w:rsid w:val="00AE0B45"/>
    <w:rsid w:val="00AE21E7"/>
    <w:rsid w:val="00AE2A2E"/>
    <w:rsid w:val="00AE4616"/>
    <w:rsid w:val="00AE4CC4"/>
    <w:rsid w:val="00AE4DBA"/>
    <w:rsid w:val="00AE66ED"/>
    <w:rsid w:val="00AF1ACA"/>
    <w:rsid w:val="00AF20F9"/>
    <w:rsid w:val="00AF2275"/>
    <w:rsid w:val="00AF3185"/>
    <w:rsid w:val="00AF3439"/>
    <w:rsid w:val="00AF3F19"/>
    <w:rsid w:val="00AF43E5"/>
    <w:rsid w:val="00AF4E69"/>
    <w:rsid w:val="00AF603A"/>
    <w:rsid w:val="00AF7107"/>
    <w:rsid w:val="00AF7D5A"/>
    <w:rsid w:val="00B00078"/>
    <w:rsid w:val="00B001D0"/>
    <w:rsid w:val="00B0128F"/>
    <w:rsid w:val="00B01EB2"/>
    <w:rsid w:val="00B01ED9"/>
    <w:rsid w:val="00B02E4A"/>
    <w:rsid w:val="00B0349D"/>
    <w:rsid w:val="00B03FD6"/>
    <w:rsid w:val="00B04593"/>
    <w:rsid w:val="00B04A89"/>
    <w:rsid w:val="00B053EC"/>
    <w:rsid w:val="00B059B8"/>
    <w:rsid w:val="00B0675E"/>
    <w:rsid w:val="00B07539"/>
    <w:rsid w:val="00B07B82"/>
    <w:rsid w:val="00B10F85"/>
    <w:rsid w:val="00B112D5"/>
    <w:rsid w:val="00B114A8"/>
    <w:rsid w:val="00B123BB"/>
    <w:rsid w:val="00B12A24"/>
    <w:rsid w:val="00B12DE7"/>
    <w:rsid w:val="00B137ED"/>
    <w:rsid w:val="00B14025"/>
    <w:rsid w:val="00B144C7"/>
    <w:rsid w:val="00B147D8"/>
    <w:rsid w:val="00B156EE"/>
    <w:rsid w:val="00B2144F"/>
    <w:rsid w:val="00B21EB2"/>
    <w:rsid w:val="00B220D9"/>
    <w:rsid w:val="00B22251"/>
    <w:rsid w:val="00B2232F"/>
    <w:rsid w:val="00B22987"/>
    <w:rsid w:val="00B22B04"/>
    <w:rsid w:val="00B22CE5"/>
    <w:rsid w:val="00B244A6"/>
    <w:rsid w:val="00B253A9"/>
    <w:rsid w:val="00B26B13"/>
    <w:rsid w:val="00B306AA"/>
    <w:rsid w:val="00B30E91"/>
    <w:rsid w:val="00B311F4"/>
    <w:rsid w:val="00B324AD"/>
    <w:rsid w:val="00B33244"/>
    <w:rsid w:val="00B33639"/>
    <w:rsid w:val="00B3385F"/>
    <w:rsid w:val="00B339FC"/>
    <w:rsid w:val="00B34E34"/>
    <w:rsid w:val="00B3553C"/>
    <w:rsid w:val="00B35599"/>
    <w:rsid w:val="00B35A27"/>
    <w:rsid w:val="00B35D95"/>
    <w:rsid w:val="00B35E2D"/>
    <w:rsid w:val="00B36290"/>
    <w:rsid w:val="00B367DE"/>
    <w:rsid w:val="00B36DF9"/>
    <w:rsid w:val="00B370B0"/>
    <w:rsid w:val="00B41FD3"/>
    <w:rsid w:val="00B423F0"/>
    <w:rsid w:val="00B42877"/>
    <w:rsid w:val="00B446D7"/>
    <w:rsid w:val="00B44AFA"/>
    <w:rsid w:val="00B45322"/>
    <w:rsid w:val="00B4599F"/>
    <w:rsid w:val="00B50C78"/>
    <w:rsid w:val="00B5138F"/>
    <w:rsid w:val="00B53282"/>
    <w:rsid w:val="00B532AA"/>
    <w:rsid w:val="00B55972"/>
    <w:rsid w:val="00B569B4"/>
    <w:rsid w:val="00B57385"/>
    <w:rsid w:val="00B60528"/>
    <w:rsid w:val="00B633C4"/>
    <w:rsid w:val="00B63885"/>
    <w:rsid w:val="00B63CB3"/>
    <w:rsid w:val="00B64A24"/>
    <w:rsid w:val="00B65C85"/>
    <w:rsid w:val="00B672EB"/>
    <w:rsid w:val="00B6739E"/>
    <w:rsid w:val="00B67CF6"/>
    <w:rsid w:val="00B70085"/>
    <w:rsid w:val="00B7126D"/>
    <w:rsid w:val="00B71545"/>
    <w:rsid w:val="00B717BE"/>
    <w:rsid w:val="00B717EB"/>
    <w:rsid w:val="00B72FB1"/>
    <w:rsid w:val="00B73634"/>
    <w:rsid w:val="00B7363F"/>
    <w:rsid w:val="00B73874"/>
    <w:rsid w:val="00B73BC9"/>
    <w:rsid w:val="00B77F03"/>
    <w:rsid w:val="00B81C1A"/>
    <w:rsid w:val="00B820F8"/>
    <w:rsid w:val="00B82A9C"/>
    <w:rsid w:val="00B82EF3"/>
    <w:rsid w:val="00B83302"/>
    <w:rsid w:val="00B83B63"/>
    <w:rsid w:val="00B84BE9"/>
    <w:rsid w:val="00B85C3D"/>
    <w:rsid w:val="00B86B12"/>
    <w:rsid w:val="00B86BFD"/>
    <w:rsid w:val="00B91CBD"/>
    <w:rsid w:val="00B91E78"/>
    <w:rsid w:val="00B926A6"/>
    <w:rsid w:val="00B92933"/>
    <w:rsid w:val="00B92EE8"/>
    <w:rsid w:val="00B931D0"/>
    <w:rsid w:val="00B944C4"/>
    <w:rsid w:val="00B958C7"/>
    <w:rsid w:val="00B963D1"/>
    <w:rsid w:val="00B967DA"/>
    <w:rsid w:val="00B96BCD"/>
    <w:rsid w:val="00B96DED"/>
    <w:rsid w:val="00B97547"/>
    <w:rsid w:val="00BA0009"/>
    <w:rsid w:val="00BA1504"/>
    <w:rsid w:val="00BA2205"/>
    <w:rsid w:val="00BA235C"/>
    <w:rsid w:val="00BA2C8A"/>
    <w:rsid w:val="00BA35A8"/>
    <w:rsid w:val="00BA4F0A"/>
    <w:rsid w:val="00BA4F13"/>
    <w:rsid w:val="00BA515C"/>
    <w:rsid w:val="00BA750F"/>
    <w:rsid w:val="00BA7D2B"/>
    <w:rsid w:val="00BB0A38"/>
    <w:rsid w:val="00BB184C"/>
    <w:rsid w:val="00BB1DB9"/>
    <w:rsid w:val="00BB21BD"/>
    <w:rsid w:val="00BB3409"/>
    <w:rsid w:val="00BB349E"/>
    <w:rsid w:val="00BB3874"/>
    <w:rsid w:val="00BB3C60"/>
    <w:rsid w:val="00BB3C6E"/>
    <w:rsid w:val="00BB4017"/>
    <w:rsid w:val="00BB58A2"/>
    <w:rsid w:val="00BB63E9"/>
    <w:rsid w:val="00BC0484"/>
    <w:rsid w:val="00BC1764"/>
    <w:rsid w:val="00BC1B99"/>
    <w:rsid w:val="00BC238C"/>
    <w:rsid w:val="00BC407C"/>
    <w:rsid w:val="00BC4179"/>
    <w:rsid w:val="00BC476E"/>
    <w:rsid w:val="00BC5FA8"/>
    <w:rsid w:val="00BD1423"/>
    <w:rsid w:val="00BD2449"/>
    <w:rsid w:val="00BD2FD3"/>
    <w:rsid w:val="00BD3ABA"/>
    <w:rsid w:val="00BD46FC"/>
    <w:rsid w:val="00BD5640"/>
    <w:rsid w:val="00BD5762"/>
    <w:rsid w:val="00BD5D12"/>
    <w:rsid w:val="00BD7A0F"/>
    <w:rsid w:val="00BD7B5F"/>
    <w:rsid w:val="00BE02CA"/>
    <w:rsid w:val="00BE05D1"/>
    <w:rsid w:val="00BE209D"/>
    <w:rsid w:val="00BE476F"/>
    <w:rsid w:val="00BE4F78"/>
    <w:rsid w:val="00BE51DB"/>
    <w:rsid w:val="00BE5578"/>
    <w:rsid w:val="00BE6705"/>
    <w:rsid w:val="00BE7522"/>
    <w:rsid w:val="00BE7DB5"/>
    <w:rsid w:val="00BF017F"/>
    <w:rsid w:val="00BF02D1"/>
    <w:rsid w:val="00BF124F"/>
    <w:rsid w:val="00BF127E"/>
    <w:rsid w:val="00BF194B"/>
    <w:rsid w:val="00BF29A1"/>
    <w:rsid w:val="00BF5F9B"/>
    <w:rsid w:val="00BF6C09"/>
    <w:rsid w:val="00C023C9"/>
    <w:rsid w:val="00C024E0"/>
    <w:rsid w:val="00C03E2C"/>
    <w:rsid w:val="00C0645F"/>
    <w:rsid w:val="00C110BD"/>
    <w:rsid w:val="00C1152B"/>
    <w:rsid w:val="00C11C0E"/>
    <w:rsid w:val="00C12ED8"/>
    <w:rsid w:val="00C134D4"/>
    <w:rsid w:val="00C148AD"/>
    <w:rsid w:val="00C14C03"/>
    <w:rsid w:val="00C14D07"/>
    <w:rsid w:val="00C15942"/>
    <w:rsid w:val="00C164F1"/>
    <w:rsid w:val="00C1782E"/>
    <w:rsid w:val="00C202CC"/>
    <w:rsid w:val="00C209B8"/>
    <w:rsid w:val="00C20A97"/>
    <w:rsid w:val="00C2259D"/>
    <w:rsid w:val="00C234FA"/>
    <w:rsid w:val="00C23A25"/>
    <w:rsid w:val="00C23BBD"/>
    <w:rsid w:val="00C24829"/>
    <w:rsid w:val="00C25150"/>
    <w:rsid w:val="00C27975"/>
    <w:rsid w:val="00C3007E"/>
    <w:rsid w:val="00C30180"/>
    <w:rsid w:val="00C30E90"/>
    <w:rsid w:val="00C32811"/>
    <w:rsid w:val="00C35F9D"/>
    <w:rsid w:val="00C361D1"/>
    <w:rsid w:val="00C37829"/>
    <w:rsid w:val="00C37A4A"/>
    <w:rsid w:val="00C41BBB"/>
    <w:rsid w:val="00C42876"/>
    <w:rsid w:val="00C44433"/>
    <w:rsid w:val="00C450FF"/>
    <w:rsid w:val="00C4567A"/>
    <w:rsid w:val="00C46D2D"/>
    <w:rsid w:val="00C4735F"/>
    <w:rsid w:val="00C50349"/>
    <w:rsid w:val="00C51077"/>
    <w:rsid w:val="00C510E2"/>
    <w:rsid w:val="00C512D8"/>
    <w:rsid w:val="00C52878"/>
    <w:rsid w:val="00C52B1D"/>
    <w:rsid w:val="00C5313B"/>
    <w:rsid w:val="00C55615"/>
    <w:rsid w:val="00C5600F"/>
    <w:rsid w:val="00C57480"/>
    <w:rsid w:val="00C57D39"/>
    <w:rsid w:val="00C60B53"/>
    <w:rsid w:val="00C623F7"/>
    <w:rsid w:val="00C62F05"/>
    <w:rsid w:val="00C64233"/>
    <w:rsid w:val="00C6428D"/>
    <w:rsid w:val="00C65BCA"/>
    <w:rsid w:val="00C66FA5"/>
    <w:rsid w:val="00C67CF1"/>
    <w:rsid w:val="00C67F4E"/>
    <w:rsid w:val="00C67F66"/>
    <w:rsid w:val="00C733F8"/>
    <w:rsid w:val="00C758EC"/>
    <w:rsid w:val="00C807F3"/>
    <w:rsid w:val="00C820A3"/>
    <w:rsid w:val="00C8489E"/>
    <w:rsid w:val="00C84AEF"/>
    <w:rsid w:val="00C87638"/>
    <w:rsid w:val="00C9000E"/>
    <w:rsid w:val="00C90821"/>
    <w:rsid w:val="00C91BA2"/>
    <w:rsid w:val="00C921F2"/>
    <w:rsid w:val="00C92833"/>
    <w:rsid w:val="00C94350"/>
    <w:rsid w:val="00CA0021"/>
    <w:rsid w:val="00CA0287"/>
    <w:rsid w:val="00CA069D"/>
    <w:rsid w:val="00CA1932"/>
    <w:rsid w:val="00CA2609"/>
    <w:rsid w:val="00CA3101"/>
    <w:rsid w:val="00CA336E"/>
    <w:rsid w:val="00CA45A8"/>
    <w:rsid w:val="00CA47F6"/>
    <w:rsid w:val="00CA4F91"/>
    <w:rsid w:val="00CA6115"/>
    <w:rsid w:val="00CA62C6"/>
    <w:rsid w:val="00CB0BD3"/>
    <w:rsid w:val="00CB0C3F"/>
    <w:rsid w:val="00CB1E94"/>
    <w:rsid w:val="00CB32E1"/>
    <w:rsid w:val="00CB3927"/>
    <w:rsid w:val="00CB4CDA"/>
    <w:rsid w:val="00CB531F"/>
    <w:rsid w:val="00CB6111"/>
    <w:rsid w:val="00CB6351"/>
    <w:rsid w:val="00CB6A05"/>
    <w:rsid w:val="00CB6FC8"/>
    <w:rsid w:val="00CC12C4"/>
    <w:rsid w:val="00CC16C1"/>
    <w:rsid w:val="00CC1E8E"/>
    <w:rsid w:val="00CC237B"/>
    <w:rsid w:val="00CC38FD"/>
    <w:rsid w:val="00CC3C2A"/>
    <w:rsid w:val="00CC7830"/>
    <w:rsid w:val="00CD019F"/>
    <w:rsid w:val="00CD1672"/>
    <w:rsid w:val="00CD2365"/>
    <w:rsid w:val="00CD3300"/>
    <w:rsid w:val="00CD33BA"/>
    <w:rsid w:val="00CD4ADD"/>
    <w:rsid w:val="00CD6AE7"/>
    <w:rsid w:val="00CD6B1E"/>
    <w:rsid w:val="00CD7303"/>
    <w:rsid w:val="00CD78A6"/>
    <w:rsid w:val="00CE069C"/>
    <w:rsid w:val="00CE08ED"/>
    <w:rsid w:val="00CE0F79"/>
    <w:rsid w:val="00CE366C"/>
    <w:rsid w:val="00CE5704"/>
    <w:rsid w:val="00CE5868"/>
    <w:rsid w:val="00CE6339"/>
    <w:rsid w:val="00CF1174"/>
    <w:rsid w:val="00CF1579"/>
    <w:rsid w:val="00CF1649"/>
    <w:rsid w:val="00CF3A32"/>
    <w:rsid w:val="00CF45E8"/>
    <w:rsid w:val="00CF54D5"/>
    <w:rsid w:val="00CF6961"/>
    <w:rsid w:val="00D001BC"/>
    <w:rsid w:val="00D00F96"/>
    <w:rsid w:val="00D01AF5"/>
    <w:rsid w:val="00D02BAE"/>
    <w:rsid w:val="00D02DB5"/>
    <w:rsid w:val="00D04F2E"/>
    <w:rsid w:val="00D061D4"/>
    <w:rsid w:val="00D071F2"/>
    <w:rsid w:val="00D07732"/>
    <w:rsid w:val="00D07B1F"/>
    <w:rsid w:val="00D07BA2"/>
    <w:rsid w:val="00D111D5"/>
    <w:rsid w:val="00D11C4A"/>
    <w:rsid w:val="00D11D06"/>
    <w:rsid w:val="00D12EDC"/>
    <w:rsid w:val="00D13434"/>
    <w:rsid w:val="00D13A6C"/>
    <w:rsid w:val="00D15C05"/>
    <w:rsid w:val="00D15E4B"/>
    <w:rsid w:val="00D17C88"/>
    <w:rsid w:val="00D20D77"/>
    <w:rsid w:val="00D211AA"/>
    <w:rsid w:val="00D213D0"/>
    <w:rsid w:val="00D22190"/>
    <w:rsid w:val="00D22AC7"/>
    <w:rsid w:val="00D22B35"/>
    <w:rsid w:val="00D23144"/>
    <w:rsid w:val="00D25079"/>
    <w:rsid w:val="00D2529B"/>
    <w:rsid w:val="00D25A39"/>
    <w:rsid w:val="00D25BD3"/>
    <w:rsid w:val="00D25CD5"/>
    <w:rsid w:val="00D27053"/>
    <w:rsid w:val="00D27FF9"/>
    <w:rsid w:val="00D311C1"/>
    <w:rsid w:val="00D31910"/>
    <w:rsid w:val="00D31AEC"/>
    <w:rsid w:val="00D324F5"/>
    <w:rsid w:val="00D3371D"/>
    <w:rsid w:val="00D339AD"/>
    <w:rsid w:val="00D339EF"/>
    <w:rsid w:val="00D35E5C"/>
    <w:rsid w:val="00D3620F"/>
    <w:rsid w:val="00D4025A"/>
    <w:rsid w:val="00D40643"/>
    <w:rsid w:val="00D40820"/>
    <w:rsid w:val="00D42639"/>
    <w:rsid w:val="00D429FE"/>
    <w:rsid w:val="00D436E5"/>
    <w:rsid w:val="00D43C6F"/>
    <w:rsid w:val="00D44C17"/>
    <w:rsid w:val="00D4509E"/>
    <w:rsid w:val="00D4530E"/>
    <w:rsid w:val="00D45380"/>
    <w:rsid w:val="00D506AD"/>
    <w:rsid w:val="00D50AEE"/>
    <w:rsid w:val="00D51C7F"/>
    <w:rsid w:val="00D52AE8"/>
    <w:rsid w:val="00D52F16"/>
    <w:rsid w:val="00D55991"/>
    <w:rsid w:val="00D607E3"/>
    <w:rsid w:val="00D60868"/>
    <w:rsid w:val="00D608A5"/>
    <w:rsid w:val="00D63AF4"/>
    <w:rsid w:val="00D64012"/>
    <w:rsid w:val="00D651BD"/>
    <w:rsid w:val="00D6539E"/>
    <w:rsid w:val="00D65746"/>
    <w:rsid w:val="00D6578B"/>
    <w:rsid w:val="00D713F7"/>
    <w:rsid w:val="00D71A85"/>
    <w:rsid w:val="00D71BE1"/>
    <w:rsid w:val="00D744D4"/>
    <w:rsid w:val="00D74743"/>
    <w:rsid w:val="00D74A54"/>
    <w:rsid w:val="00D75823"/>
    <w:rsid w:val="00D75A49"/>
    <w:rsid w:val="00D75CAD"/>
    <w:rsid w:val="00D764A5"/>
    <w:rsid w:val="00D7704C"/>
    <w:rsid w:val="00D77DDC"/>
    <w:rsid w:val="00D80153"/>
    <w:rsid w:val="00D801AD"/>
    <w:rsid w:val="00D84AE8"/>
    <w:rsid w:val="00D86002"/>
    <w:rsid w:val="00D867F5"/>
    <w:rsid w:val="00D86B98"/>
    <w:rsid w:val="00D911AF"/>
    <w:rsid w:val="00D9173E"/>
    <w:rsid w:val="00D922D4"/>
    <w:rsid w:val="00D93912"/>
    <w:rsid w:val="00D93E9A"/>
    <w:rsid w:val="00D93F0C"/>
    <w:rsid w:val="00D95EFE"/>
    <w:rsid w:val="00D97582"/>
    <w:rsid w:val="00D975EB"/>
    <w:rsid w:val="00D976F9"/>
    <w:rsid w:val="00DA3DDE"/>
    <w:rsid w:val="00DA5590"/>
    <w:rsid w:val="00DA5834"/>
    <w:rsid w:val="00DA6E1E"/>
    <w:rsid w:val="00DA7FD1"/>
    <w:rsid w:val="00DB18F4"/>
    <w:rsid w:val="00DB34F6"/>
    <w:rsid w:val="00DB39E4"/>
    <w:rsid w:val="00DB5BFA"/>
    <w:rsid w:val="00DB63DB"/>
    <w:rsid w:val="00DB6BE7"/>
    <w:rsid w:val="00DB6E15"/>
    <w:rsid w:val="00DB6FA9"/>
    <w:rsid w:val="00DB7DC3"/>
    <w:rsid w:val="00DC0998"/>
    <w:rsid w:val="00DC1177"/>
    <w:rsid w:val="00DC2106"/>
    <w:rsid w:val="00DC32E4"/>
    <w:rsid w:val="00DC3990"/>
    <w:rsid w:val="00DC4B86"/>
    <w:rsid w:val="00DC4D44"/>
    <w:rsid w:val="00DC5D31"/>
    <w:rsid w:val="00DC5F8A"/>
    <w:rsid w:val="00DC6AD7"/>
    <w:rsid w:val="00DC7F94"/>
    <w:rsid w:val="00DD019C"/>
    <w:rsid w:val="00DD02A6"/>
    <w:rsid w:val="00DD1C87"/>
    <w:rsid w:val="00DD27B5"/>
    <w:rsid w:val="00DD3FCE"/>
    <w:rsid w:val="00DD4135"/>
    <w:rsid w:val="00DD517B"/>
    <w:rsid w:val="00DD5763"/>
    <w:rsid w:val="00DD615D"/>
    <w:rsid w:val="00DD6B8A"/>
    <w:rsid w:val="00DD76A3"/>
    <w:rsid w:val="00DD7AC5"/>
    <w:rsid w:val="00DE00E8"/>
    <w:rsid w:val="00DE0E3F"/>
    <w:rsid w:val="00DE16DA"/>
    <w:rsid w:val="00DE191E"/>
    <w:rsid w:val="00DE1931"/>
    <w:rsid w:val="00DE3EBD"/>
    <w:rsid w:val="00DE43D9"/>
    <w:rsid w:val="00DE5A93"/>
    <w:rsid w:val="00DE675A"/>
    <w:rsid w:val="00DF1444"/>
    <w:rsid w:val="00DF175B"/>
    <w:rsid w:val="00DF1B80"/>
    <w:rsid w:val="00DF216C"/>
    <w:rsid w:val="00DF37CB"/>
    <w:rsid w:val="00DF42E8"/>
    <w:rsid w:val="00DF4CA8"/>
    <w:rsid w:val="00DF7821"/>
    <w:rsid w:val="00E004CC"/>
    <w:rsid w:val="00E00598"/>
    <w:rsid w:val="00E0225B"/>
    <w:rsid w:val="00E0272D"/>
    <w:rsid w:val="00E0275C"/>
    <w:rsid w:val="00E03038"/>
    <w:rsid w:val="00E03604"/>
    <w:rsid w:val="00E040DB"/>
    <w:rsid w:val="00E052DA"/>
    <w:rsid w:val="00E06C75"/>
    <w:rsid w:val="00E073D6"/>
    <w:rsid w:val="00E1174E"/>
    <w:rsid w:val="00E12825"/>
    <w:rsid w:val="00E12EC5"/>
    <w:rsid w:val="00E1362D"/>
    <w:rsid w:val="00E136C7"/>
    <w:rsid w:val="00E13834"/>
    <w:rsid w:val="00E13BC4"/>
    <w:rsid w:val="00E13E8E"/>
    <w:rsid w:val="00E140B6"/>
    <w:rsid w:val="00E140D8"/>
    <w:rsid w:val="00E14820"/>
    <w:rsid w:val="00E15FC9"/>
    <w:rsid w:val="00E16406"/>
    <w:rsid w:val="00E16C05"/>
    <w:rsid w:val="00E171BA"/>
    <w:rsid w:val="00E179A4"/>
    <w:rsid w:val="00E211D2"/>
    <w:rsid w:val="00E249F5"/>
    <w:rsid w:val="00E24FE2"/>
    <w:rsid w:val="00E25D5D"/>
    <w:rsid w:val="00E26A6D"/>
    <w:rsid w:val="00E26B0E"/>
    <w:rsid w:val="00E27098"/>
    <w:rsid w:val="00E319AD"/>
    <w:rsid w:val="00E32BAF"/>
    <w:rsid w:val="00E33C35"/>
    <w:rsid w:val="00E361F2"/>
    <w:rsid w:val="00E3625E"/>
    <w:rsid w:val="00E368B9"/>
    <w:rsid w:val="00E37351"/>
    <w:rsid w:val="00E40312"/>
    <w:rsid w:val="00E415FA"/>
    <w:rsid w:val="00E41CA8"/>
    <w:rsid w:val="00E42382"/>
    <w:rsid w:val="00E42932"/>
    <w:rsid w:val="00E43A8F"/>
    <w:rsid w:val="00E44E53"/>
    <w:rsid w:val="00E46833"/>
    <w:rsid w:val="00E5110A"/>
    <w:rsid w:val="00E51687"/>
    <w:rsid w:val="00E522E8"/>
    <w:rsid w:val="00E523DC"/>
    <w:rsid w:val="00E52AF8"/>
    <w:rsid w:val="00E52C03"/>
    <w:rsid w:val="00E52C89"/>
    <w:rsid w:val="00E53230"/>
    <w:rsid w:val="00E545BD"/>
    <w:rsid w:val="00E54F0E"/>
    <w:rsid w:val="00E550ED"/>
    <w:rsid w:val="00E5770F"/>
    <w:rsid w:val="00E578E0"/>
    <w:rsid w:val="00E601D8"/>
    <w:rsid w:val="00E6078B"/>
    <w:rsid w:val="00E612EF"/>
    <w:rsid w:val="00E61960"/>
    <w:rsid w:val="00E62133"/>
    <w:rsid w:val="00E637FD"/>
    <w:rsid w:val="00E63968"/>
    <w:rsid w:val="00E64021"/>
    <w:rsid w:val="00E64B68"/>
    <w:rsid w:val="00E64FFE"/>
    <w:rsid w:val="00E66DD5"/>
    <w:rsid w:val="00E67EF4"/>
    <w:rsid w:val="00E7046A"/>
    <w:rsid w:val="00E71A8D"/>
    <w:rsid w:val="00E724A3"/>
    <w:rsid w:val="00E744F2"/>
    <w:rsid w:val="00E74932"/>
    <w:rsid w:val="00E749FD"/>
    <w:rsid w:val="00E755C4"/>
    <w:rsid w:val="00E757A2"/>
    <w:rsid w:val="00E76EC1"/>
    <w:rsid w:val="00E77915"/>
    <w:rsid w:val="00E77FF3"/>
    <w:rsid w:val="00E81F1A"/>
    <w:rsid w:val="00E8206B"/>
    <w:rsid w:val="00E83D9C"/>
    <w:rsid w:val="00E83F1F"/>
    <w:rsid w:val="00E845C4"/>
    <w:rsid w:val="00E846E1"/>
    <w:rsid w:val="00E86432"/>
    <w:rsid w:val="00E86512"/>
    <w:rsid w:val="00E90231"/>
    <w:rsid w:val="00E90A60"/>
    <w:rsid w:val="00E9136D"/>
    <w:rsid w:val="00E93AFE"/>
    <w:rsid w:val="00E95348"/>
    <w:rsid w:val="00EA2565"/>
    <w:rsid w:val="00EA3D83"/>
    <w:rsid w:val="00EA6E04"/>
    <w:rsid w:val="00EA7C09"/>
    <w:rsid w:val="00EB0AED"/>
    <w:rsid w:val="00EB1C02"/>
    <w:rsid w:val="00EB1D6F"/>
    <w:rsid w:val="00EB3C27"/>
    <w:rsid w:val="00EB5790"/>
    <w:rsid w:val="00EB5A7D"/>
    <w:rsid w:val="00EB72B4"/>
    <w:rsid w:val="00EC0034"/>
    <w:rsid w:val="00EC0529"/>
    <w:rsid w:val="00EC0EDF"/>
    <w:rsid w:val="00EC1F24"/>
    <w:rsid w:val="00EC2624"/>
    <w:rsid w:val="00EC33B3"/>
    <w:rsid w:val="00EC3979"/>
    <w:rsid w:val="00EC6500"/>
    <w:rsid w:val="00EC69CC"/>
    <w:rsid w:val="00ED1066"/>
    <w:rsid w:val="00ED2EEF"/>
    <w:rsid w:val="00ED316F"/>
    <w:rsid w:val="00ED3307"/>
    <w:rsid w:val="00ED4DA9"/>
    <w:rsid w:val="00ED5557"/>
    <w:rsid w:val="00ED5613"/>
    <w:rsid w:val="00ED6038"/>
    <w:rsid w:val="00ED660C"/>
    <w:rsid w:val="00ED6759"/>
    <w:rsid w:val="00ED6959"/>
    <w:rsid w:val="00ED7C6A"/>
    <w:rsid w:val="00EE0A14"/>
    <w:rsid w:val="00EE156C"/>
    <w:rsid w:val="00EE1634"/>
    <w:rsid w:val="00EE20AC"/>
    <w:rsid w:val="00EE301D"/>
    <w:rsid w:val="00EE47AA"/>
    <w:rsid w:val="00EE4D89"/>
    <w:rsid w:val="00EE513C"/>
    <w:rsid w:val="00EE714B"/>
    <w:rsid w:val="00EE7223"/>
    <w:rsid w:val="00EE7DE4"/>
    <w:rsid w:val="00EF0399"/>
    <w:rsid w:val="00EF1848"/>
    <w:rsid w:val="00EF2ACC"/>
    <w:rsid w:val="00EF42D8"/>
    <w:rsid w:val="00EF4FA1"/>
    <w:rsid w:val="00EF52D7"/>
    <w:rsid w:val="00F02B86"/>
    <w:rsid w:val="00F02F5C"/>
    <w:rsid w:val="00F036D0"/>
    <w:rsid w:val="00F040DD"/>
    <w:rsid w:val="00F05379"/>
    <w:rsid w:val="00F058A9"/>
    <w:rsid w:val="00F062B5"/>
    <w:rsid w:val="00F0634B"/>
    <w:rsid w:val="00F07178"/>
    <w:rsid w:val="00F10040"/>
    <w:rsid w:val="00F1056A"/>
    <w:rsid w:val="00F108FD"/>
    <w:rsid w:val="00F10CDB"/>
    <w:rsid w:val="00F12F03"/>
    <w:rsid w:val="00F13E4A"/>
    <w:rsid w:val="00F14BD7"/>
    <w:rsid w:val="00F154AA"/>
    <w:rsid w:val="00F15566"/>
    <w:rsid w:val="00F160FD"/>
    <w:rsid w:val="00F17537"/>
    <w:rsid w:val="00F175EB"/>
    <w:rsid w:val="00F2117B"/>
    <w:rsid w:val="00F22522"/>
    <w:rsid w:val="00F230C9"/>
    <w:rsid w:val="00F23871"/>
    <w:rsid w:val="00F243E1"/>
    <w:rsid w:val="00F270EE"/>
    <w:rsid w:val="00F30014"/>
    <w:rsid w:val="00F301F6"/>
    <w:rsid w:val="00F3385F"/>
    <w:rsid w:val="00F3386F"/>
    <w:rsid w:val="00F33B60"/>
    <w:rsid w:val="00F347CA"/>
    <w:rsid w:val="00F35231"/>
    <w:rsid w:val="00F36345"/>
    <w:rsid w:val="00F36C4F"/>
    <w:rsid w:val="00F3785F"/>
    <w:rsid w:val="00F411F9"/>
    <w:rsid w:val="00F42EF8"/>
    <w:rsid w:val="00F43E61"/>
    <w:rsid w:val="00F44C8E"/>
    <w:rsid w:val="00F47FA4"/>
    <w:rsid w:val="00F53320"/>
    <w:rsid w:val="00F53E0A"/>
    <w:rsid w:val="00F5416B"/>
    <w:rsid w:val="00F56987"/>
    <w:rsid w:val="00F57635"/>
    <w:rsid w:val="00F5789B"/>
    <w:rsid w:val="00F61760"/>
    <w:rsid w:val="00F61D43"/>
    <w:rsid w:val="00F61F6B"/>
    <w:rsid w:val="00F65028"/>
    <w:rsid w:val="00F658AD"/>
    <w:rsid w:val="00F658F6"/>
    <w:rsid w:val="00F65AB9"/>
    <w:rsid w:val="00F65BC0"/>
    <w:rsid w:val="00F66C6B"/>
    <w:rsid w:val="00F67B9F"/>
    <w:rsid w:val="00F67E7A"/>
    <w:rsid w:val="00F7103B"/>
    <w:rsid w:val="00F7348B"/>
    <w:rsid w:val="00F735BA"/>
    <w:rsid w:val="00F7374E"/>
    <w:rsid w:val="00F74D92"/>
    <w:rsid w:val="00F7518B"/>
    <w:rsid w:val="00F7586C"/>
    <w:rsid w:val="00F762C0"/>
    <w:rsid w:val="00F7658A"/>
    <w:rsid w:val="00F7799C"/>
    <w:rsid w:val="00F800AA"/>
    <w:rsid w:val="00F80805"/>
    <w:rsid w:val="00F81AE9"/>
    <w:rsid w:val="00F82E67"/>
    <w:rsid w:val="00F841A0"/>
    <w:rsid w:val="00F84343"/>
    <w:rsid w:val="00F86016"/>
    <w:rsid w:val="00F9420E"/>
    <w:rsid w:val="00F94A06"/>
    <w:rsid w:val="00F95AAF"/>
    <w:rsid w:val="00F96592"/>
    <w:rsid w:val="00F96C0A"/>
    <w:rsid w:val="00F96CA8"/>
    <w:rsid w:val="00F97075"/>
    <w:rsid w:val="00FA0742"/>
    <w:rsid w:val="00FA07FF"/>
    <w:rsid w:val="00FA0999"/>
    <w:rsid w:val="00FA1E95"/>
    <w:rsid w:val="00FA300F"/>
    <w:rsid w:val="00FA399A"/>
    <w:rsid w:val="00FA3FA0"/>
    <w:rsid w:val="00FA582C"/>
    <w:rsid w:val="00FA58AF"/>
    <w:rsid w:val="00FA5B89"/>
    <w:rsid w:val="00FA6C63"/>
    <w:rsid w:val="00FA72E0"/>
    <w:rsid w:val="00FB143C"/>
    <w:rsid w:val="00FB2E16"/>
    <w:rsid w:val="00FB2E73"/>
    <w:rsid w:val="00FB373A"/>
    <w:rsid w:val="00FB3CA5"/>
    <w:rsid w:val="00FB50D0"/>
    <w:rsid w:val="00FB5EC1"/>
    <w:rsid w:val="00FB72DA"/>
    <w:rsid w:val="00FC03B4"/>
    <w:rsid w:val="00FC0DAF"/>
    <w:rsid w:val="00FC2124"/>
    <w:rsid w:val="00FC3388"/>
    <w:rsid w:val="00FC3E7E"/>
    <w:rsid w:val="00FC4598"/>
    <w:rsid w:val="00FC5650"/>
    <w:rsid w:val="00FC5CB0"/>
    <w:rsid w:val="00FC631A"/>
    <w:rsid w:val="00FC6DD6"/>
    <w:rsid w:val="00FC7AC4"/>
    <w:rsid w:val="00FD1C54"/>
    <w:rsid w:val="00FD1CEC"/>
    <w:rsid w:val="00FE175F"/>
    <w:rsid w:val="00FE24DC"/>
    <w:rsid w:val="00FE3A25"/>
    <w:rsid w:val="00FE3B46"/>
    <w:rsid w:val="00FE41B5"/>
    <w:rsid w:val="00FE43E7"/>
    <w:rsid w:val="00FE4B74"/>
    <w:rsid w:val="00FE51B2"/>
    <w:rsid w:val="00FE5A29"/>
    <w:rsid w:val="00FE5CC1"/>
    <w:rsid w:val="00FE6A47"/>
    <w:rsid w:val="00FE721C"/>
    <w:rsid w:val="00FF12A5"/>
    <w:rsid w:val="00FF14BC"/>
    <w:rsid w:val="00FF2D72"/>
    <w:rsid w:val="00FF4C01"/>
    <w:rsid w:val="00FF5ACB"/>
    <w:rsid w:val="00FF5C54"/>
    <w:rsid w:val="00FF5DC6"/>
    <w:rsid w:val="00FF75B6"/>
    <w:rsid w:val="01035114"/>
    <w:rsid w:val="017D7325"/>
    <w:rsid w:val="01F463D1"/>
    <w:rsid w:val="02696686"/>
    <w:rsid w:val="02890F30"/>
    <w:rsid w:val="02AC5550"/>
    <w:rsid w:val="02F425F6"/>
    <w:rsid w:val="03167F78"/>
    <w:rsid w:val="032B5ED4"/>
    <w:rsid w:val="033E42FE"/>
    <w:rsid w:val="035D42B9"/>
    <w:rsid w:val="0399517A"/>
    <w:rsid w:val="03EA3BA7"/>
    <w:rsid w:val="03EE0D22"/>
    <w:rsid w:val="04C52FC1"/>
    <w:rsid w:val="04D202D6"/>
    <w:rsid w:val="04D7609A"/>
    <w:rsid w:val="055C30CA"/>
    <w:rsid w:val="05824F6C"/>
    <w:rsid w:val="05931AE3"/>
    <w:rsid w:val="05CA0BCA"/>
    <w:rsid w:val="05DD3F53"/>
    <w:rsid w:val="065C2CA2"/>
    <w:rsid w:val="066A0A48"/>
    <w:rsid w:val="066B19A6"/>
    <w:rsid w:val="06A71CA7"/>
    <w:rsid w:val="072B3220"/>
    <w:rsid w:val="07546460"/>
    <w:rsid w:val="075D1E5B"/>
    <w:rsid w:val="0797289C"/>
    <w:rsid w:val="079A4856"/>
    <w:rsid w:val="07EC21A9"/>
    <w:rsid w:val="07F97493"/>
    <w:rsid w:val="0812619D"/>
    <w:rsid w:val="08131149"/>
    <w:rsid w:val="08250315"/>
    <w:rsid w:val="08375F0A"/>
    <w:rsid w:val="083F2214"/>
    <w:rsid w:val="0855570D"/>
    <w:rsid w:val="089D2AD2"/>
    <w:rsid w:val="08A04223"/>
    <w:rsid w:val="08A43438"/>
    <w:rsid w:val="08F46A07"/>
    <w:rsid w:val="092B4E52"/>
    <w:rsid w:val="0942710C"/>
    <w:rsid w:val="095C1841"/>
    <w:rsid w:val="098B0D4D"/>
    <w:rsid w:val="09D66FBC"/>
    <w:rsid w:val="09EB2E54"/>
    <w:rsid w:val="0A033F8A"/>
    <w:rsid w:val="0A3E2AFC"/>
    <w:rsid w:val="0A465F17"/>
    <w:rsid w:val="0A503A0E"/>
    <w:rsid w:val="0A733FD9"/>
    <w:rsid w:val="0A8F62C2"/>
    <w:rsid w:val="0AB44CE3"/>
    <w:rsid w:val="0AC44B02"/>
    <w:rsid w:val="0ADE085E"/>
    <w:rsid w:val="0B0F1874"/>
    <w:rsid w:val="0BA156F5"/>
    <w:rsid w:val="0BBB60C4"/>
    <w:rsid w:val="0BBE36AB"/>
    <w:rsid w:val="0BC9022C"/>
    <w:rsid w:val="0BDB0D7A"/>
    <w:rsid w:val="0C0A06C9"/>
    <w:rsid w:val="0C174DA4"/>
    <w:rsid w:val="0C455CCA"/>
    <w:rsid w:val="0CBA3692"/>
    <w:rsid w:val="0CBB1E18"/>
    <w:rsid w:val="0CF435EE"/>
    <w:rsid w:val="0CF56CAB"/>
    <w:rsid w:val="0D544AC1"/>
    <w:rsid w:val="0D856216"/>
    <w:rsid w:val="0D9014D0"/>
    <w:rsid w:val="0DAC7E3C"/>
    <w:rsid w:val="0DF26862"/>
    <w:rsid w:val="0DF76375"/>
    <w:rsid w:val="0E082738"/>
    <w:rsid w:val="0E12012F"/>
    <w:rsid w:val="0ECF1097"/>
    <w:rsid w:val="0EEB04DC"/>
    <w:rsid w:val="0EF30B5B"/>
    <w:rsid w:val="0F173301"/>
    <w:rsid w:val="0F3D4BD0"/>
    <w:rsid w:val="0F6C1EBF"/>
    <w:rsid w:val="0F935BF0"/>
    <w:rsid w:val="0FAB0A2F"/>
    <w:rsid w:val="0FAF7F73"/>
    <w:rsid w:val="0FF13329"/>
    <w:rsid w:val="101F6063"/>
    <w:rsid w:val="10624B7A"/>
    <w:rsid w:val="108A5FC1"/>
    <w:rsid w:val="10965523"/>
    <w:rsid w:val="10C5771A"/>
    <w:rsid w:val="10D3475D"/>
    <w:rsid w:val="10F63A7E"/>
    <w:rsid w:val="112073D6"/>
    <w:rsid w:val="11CE5B6F"/>
    <w:rsid w:val="120B7128"/>
    <w:rsid w:val="123D6D1B"/>
    <w:rsid w:val="1254618E"/>
    <w:rsid w:val="128854FA"/>
    <w:rsid w:val="12CE5C15"/>
    <w:rsid w:val="134308F5"/>
    <w:rsid w:val="135824B4"/>
    <w:rsid w:val="13660A98"/>
    <w:rsid w:val="13EB0CE3"/>
    <w:rsid w:val="141769DE"/>
    <w:rsid w:val="141B7A8C"/>
    <w:rsid w:val="142C6805"/>
    <w:rsid w:val="144E42E1"/>
    <w:rsid w:val="14541256"/>
    <w:rsid w:val="14D3153E"/>
    <w:rsid w:val="155408DE"/>
    <w:rsid w:val="156740AA"/>
    <w:rsid w:val="157E1308"/>
    <w:rsid w:val="159167CA"/>
    <w:rsid w:val="159B74EA"/>
    <w:rsid w:val="159C1F7A"/>
    <w:rsid w:val="15FF6CF8"/>
    <w:rsid w:val="16215B10"/>
    <w:rsid w:val="163067A1"/>
    <w:rsid w:val="167261A1"/>
    <w:rsid w:val="16825E4C"/>
    <w:rsid w:val="16B34B66"/>
    <w:rsid w:val="16C63DF6"/>
    <w:rsid w:val="16FD5513"/>
    <w:rsid w:val="170A5C04"/>
    <w:rsid w:val="172A654F"/>
    <w:rsid w:val="173C4E23"/>
    <w:rsid w:val="17772076"/>
    <w:rsid w:val="178D0BD0"/>
    <w:rsid w:val="1798027E"/>
    <w:rsid w:val="17A564B7"/>
    <w:rsid w:val="17B32350"/>
    <w:rsid w:val="17DA3D24"/>
    <w:rsid w:val="17E80419"/>
    <w:rsid w:val="17F04FAC"/>
    <w:rsid w:val="17FE46D8"/>
    <w:rsid w:val="18192C0A"/>
    <w:rsid w:val="185B261C"/>
    <w:rsid w:val="185C75E3"/>
    <w:rsid w:val="18B7329F"/>
    <w:rsid w:val="19006956"/>
    <w:rsid w:val="190E7782"/>
    <w:rsid w:val="191A5C0E"/>
    <w:rsid w:val="19774AF8"/>
    <w:rsid w:val="19830096"/>
    <w:rsid w:val="19AB6D1A"/>
    <w:rsid w:val="1A1C5CA1"/>
    <w:rsid w:val="1A56021C"/>
    <w:rsid w:val="1A8E7EE7"/>
    <w:rsid w:val="1B6264A2"/>
    <w:rsid w:val="1C8A1150"/>
    <w:rsid w:val="1CCD0F77"/>
    <w:rsid w:val="1CE650CF"/>
    <w:rsid w:val="1CFE0A56"/>
    <w:rsid w:val="1D76273A"/>
    <w:rsid w:val="1D9A6F3F"/>
    <w:rsid w:val="1DA61AC7"/>
    <w:rsid w:val="1DC64770"/>
    <w:rsid w:val="1DDE3820"/>
    <w:rsid w:val="1DE938D9"/>
    <w:rsid w:val="1DED6FFE"/>
    <w:rsid w:val="1E024EEC"/>
    <w:rsid w:val="1E194EC3"/>
    <w:rsid w:val="1E3F1AE8"/>
    <w:rsid w:val="1E404761"/>
    <w:rsid w:val="1E510DB5"/>
    <w:rsid w:val="1E582909"/>
    <w:rsid w:val="1EFC5F15"/>
    <w:rsid w:val="1F7F6833"/>
    <w:rsid w:val="1F833690"/>
    <w:rsid w:val="1F9C150D"/>
    <w:rsid w:val="1F9C1BEF"/>
    <w:rsid w:val="1FA05783"/>
    <w:rsid w:val="1FE12913"/>
    <w:rsid w:val="1FF8707D"/>
    <w:rsid w:val="201730F3"/>
    <w:rsid w:val="20241DA2"/>
    <w:rsid w:val="20566886"/>
    <w:rsid w:val="20B808BF"/>
    <w:rsid w:val="20D4449E"/>
    <w:rsid w:val="20FC3B35"/>
    <w:rsid w:val="212A1353"/>
    <w:rsid w:val="212A52BD"/>
    <w:rsid w:val="21335F7E"/>
    <w:rsid w:val="21BF740E"/>
    <w:rsid w:val="21C14723"/>
    <w:rsid w:val="21D312D8"/>
    <w:rsid w:val="221B6D63"/>
    <w:rsid w:val="223921BC"/>
    <w:rsid w:val="22746543"/>
    <w:rsid w:val="227D3A3E"/>
    <w:rsid w:val="22AA4804"/>
    <w:rsid w:val="22E45395"/>
    <w:rsid w:val="22EB7584"/>
    <w:rsid w:val="22F971EE"/>
    <w:rsid w:val="23127D1C"/>
    <w:rsid w:val="23992A7B"/>
    <w:rsid w:val="23A934DD"/>
    <w:rsid w:val="240A6937"/>
    <w:rsid w:val="24297DD4"/>
    <w:rsid w:val="242F4FD0"/>
    <w:rsid w:val="244965FB"/>
    <w:rsid w:val="244A56CD"/>
    <w:rsid w:val="24572687"/>
    <w:rsid w:val="247C767A"/>
    <w:rsid w:val="249814F0"/>
    <w:rsid w:val="24A45A25"/>
    <w:rsid w:val="24BA1E77"/>
    <w:rsid w:val="24CE0D41"/>
    <w:rsid w:val="24E74C56"/>
    <w:rsid w:val="251554AA"/>
    <w:rsid w:val="25397965"/>
    <w:rsid w:val="256C4ABB"/>
    <w:rsid w:val="258575A5"/>
    <w:rsid w:val="25C45066"/>
    <w:rsid w:val="25CB551C"/>
    <w:rsid w:val="260C4CFA"/>
    <w:rsid w:val="262F1AE3"/>
    <w:rsid w:val="264F1B66"/>
    <w:rsid w:val="265608C2"/>
    <w:rsid w:val="26B814AD"/>
    <w:rsid w:val="275977EF"/>
    <w:rsid w:val="278A13C7"/>
    <w:rsid w:val="27A63B9B"/>
    <w:rsid w:val="27A9375C"/>
    <w:rsid w:val="27C50AE5"/>
    <w:rsid w:val="27DE3798"/>
    <w:rsid w:val="27F6143A"/>
    <w:rsid w:val="281C606A"/>
    <w:rsid w:val="2863271A"/>
    <w:rsid w:val="28683891"/>
    <w:rsid w:val="2893559C"/>
    <w:rsid w:val="289B3B67"/>
    <w:rsid w:val="28A432CF"/>
    <w:rsid w:val="29022E19"/>
    <w:rsid w:val="29155BB2"/>
    <w:rsid w:val="29584C87"/>
    <w:rsid w:val="295C1713"/>
    <w:rsid w:val="29B621F8"/>
    <w:rsid w:val="29BE5D9B"/>
    <w:rsid w:val="2A2A71F3"/>
    <w:rsid w:val="2A433D98"/>
    <w:rsid w:val="2A44627F"/>
    <w:rsid w:val="2A491AD7"/>
    <w:rsid w:val="2A4C247C"/>
    <w:rsid w:val="2A65052E"/>
    <w:rsid w:val="2A6B1852"/>
    <w:rsid w:val="2A85125F"/>
    <w:rsid w:val="2ABA3BBE"/>
    <w:rsid w:val="2AED5C45"/>
    <w:rsid w:val="2B043517"/>
    <w:rsid w:val="2B583CE5"/>
    <w:rsid w:val="2B6E331E"/>
    <w:rsid w:val="2B72470A"/>
    <w:rsid w:val="2B7D1052"/>
    <w:rsid w:val="2B9D4BBF"/>
    <w:rsid w:val="2BA455EA"/>
    <w:rsid w:val="2BD72DDB"/>
    <w:rsid w:val="2BD83B9C"/>
    <w:rsid w:val="2BDF559E"/>
    <w:rsid w:val="2C193A45"/>
    <w:rsid w:val="2C533E4D"/>
    <w:rsid w:val="2CCE5607"/>
    <w:rsid w:val="2CE21F99"/>
    <w:rsid w:val="2CF93418"/>
    <w:rsid w:val="2D2E0E7C"/>
    <w:rsid w:val="2D476145"/>
    <w:rsid w:val="2D866342"/>
    <w:rsid w:val="2D973FB7"/>
    <w:rsid w:val="2DC50166"/>
    <w:rsid w:val="2DE20BEC"/>
    <w:rsid w:val="2E1E39F8"/>
    <w:rsid w:val="2E25046C"/>
    <w:rsid w:val="2E424611"/>
    <w:rsid w:val="2E8D4AA8"/>
    <w:rsid w:val="2E8E3841"/>
    <w:rsid w:val="2E903437"/>
    <w:rsid w:val="2EE0336C"/>
    <w:rsid w:val="2EFE6C5C"/>
    <w:rsid w:val="2FC009A4"/>
    <w:rsid w:val="2FE33A8C"/>
    <w:rsid w:val="2FE365ED"/>
    <w:rsid w:val="2FE71E32"/>
    <w:rsid w:val="2FEF43CC"/>
    <w:rsid w:val="301909C9"/>
    <w:rsid w:val="30350346"/>
    <w:rsid w:val="305D29A3"/>
    <w:rsid w:val="30661977"/>
    <w:rsid w:val="308532EC"/>
    <w:rsid w:val="30996166"/>
    <w:rsid w:val="30AF3461"/>
    <w:rsid w:val="30E77713"/>
    <w:rsid w:val="3126484F"/>
    <w:rsid w:val="31546C74"/>
    <w:rsid w:val="31890C2A"/>
    <w:rsid w:val="31AF5981"/>
    <w:rsid w:val="31FF1FE1"/>
    <w:rsid w:val="322F54C3"/>
    <w:rsid w:val="32881C21"/>
    <w:rsid w:val="32D9708B"/>
    <w:rsid w:val="32ED5F82"/>
    <w:rsid w:val="333941CB"/>
    <w:rsid w:val="334C4703"/>
    <w:rsid w:val="337201B3"/>
    <w:rsid w:val="33881406"/>
    <w:rsid w:val="339A70A2"/>
    <w:rsid w:val="33BB0269"/>
    <w:rsid w:val="33C8190D"/>
    <w:rsid w:val="34146E4E"/>
    <w:rsid w:val="34176CAD"/>
    <w:rsid w:val="342A7760"/>
    <w:rsid w:val="34442363"/>
    <w:rsid w:val="346E4C0C"/>
    <w:rsid w:val="347C67E3"/>
    <w:rsid w:val="348D4A4B"/>
    <w:rsid w:val="348E47B8"/>
    <w:rsid w:val="34C00754"/>
    <w:rsid w:val="34D04012"/>
    <w:rsid w:val="35471EE4"/>
    <w:rsid w:val="35583FC5"/>
    <w:rsid w:val="35611A97"/>
    <w:rsid w:val="35672250"/>
    <w:rsid w:val="357B3583"/>
    <w:rsid w:val="35BA4DEE"/>
    <w:rsid w:val="36082B92"/>
    <w:rsid w:val="36453D6B"/>
    <w:rsid w:val="364E7409"/>
    <w:rsid w:val="36A85CB2"/>
    <w:rsid w:val="36E50952"/>
    <w:rsid w:val="374C1C21"/>
    <w:rsid w:val="374E66A2"/>
    <w:rsid w:val="377A296F"/>
    <w:rsid w:val="377F5CC8"/>
    <w:rsid w:val="37AC5C5A"/>
    <w:rsid w:val="37C238AB"/>
    <w:rsid w:val="37E957F2"/>
    <w:rsid w:val="38681652"/>
    <w:rsid w:val="387331F6"/>
    <w:rsid w:val="38B14ADC"/>
    <w:rsid w:val="38B672F5"/>
    <w:rsid w:val="38BE496C"/>
    <w:rsid w:val="390C301A"/>
    <w:rsid w:val="393E6AE3"/>
    <w:rsid w:val="399E151B"/>
    <w:rsid w:val="39BA298C"/>
    <w:rsid w:val="39CC2F6A"/>
    <w:rsid w:val="39F27954"/>
    <w:rsid w:val="3A1E0228"/>
    <w:rsid w:val="3A2F7559"/>
    <w:rsid w:val="3A59458C"/>
    <w:rsid w:val="3A9F773A"/>
    <w:rsid w:val="3AD71C6D"/>
    <w:rsid w:val="3AF163E3"/>
    <w:rsid w:val="3B3E409C"/>
    <w:rsid w:val="3B962D0F"/>
    <w:rsid w:val="3BA47AB3"/>
    <w:rsid w:val="3BAD5846"/>
    <w:rsid w:val="3BB9623A"/>
    <w:rsid w:val="3C01349D"/>
    <w:rsid w:val="3C0E6F74"/>
    <w:rsid w:val="3C213446"/>
    <w:rsid w:val="3C3249E7"/>
    <w:rsid w:val="3C516B2F"/>
    <w:rsid w:val="3C9B4CB4"/>
    <w:rsid w:val="3CA42807"/>
    <w:rsid w:val="3CDE25CD"/>
    <w:rsid w:val="3CF50D47"/>
    <w:rsid w:val="3D3A3030"/>
    <w:rsid w:val="3D6A6D9C"/>
    <w:rsid w:val="3D6D5E0D"/>
    <w:rsid w:val="3DB667D6"/>
    <w:rsid w:val="3DC1153E"/>
    <w:rsid w:val="3DD10242"/>
    <w:rsid w:val="3E745DC8"/>
    <w:rsid w:val="3ECE3715"/>
    <w:rsid w:val="3EED26DE"/>
    <w:rsid w:val="3F4131F6"/>
    <w:rsid w:val="3F772FA4"/>
    <w:rsid w:val="3F7C786A"/>
    <w:rsid w:val="3F7F4698"/>
    <w:rsid w:val="400562A5"/>
    <w:rsid w:val="400A0504"/>
    <w:rsid w:val="400D4A98"/>
    <w:rsid w:val="401E2AE5"/>
    <w:rsid w:val="40266473"/>
    <w:rsid w:val="40340ECE"/>
    <w:rsid w:val="403F0FF2"/>
    <w:rsid w:val="406F715F"/>
    <w:rsid w:val="407D5D2C"/>
    <w:rsid w:val="409706A0"/>
    <w:rsid w:val="4103202F"/>
    <w:rsid w:val="41407DA8"/>
    <w:rsid w:val="4148332D"/>
    <w:rsid w:val="414C71BA"/>
    <w:rsid w:val="417E0DA7"/>
    <w:rsid w:val="419A6C0B"/>
    <w:rsid w:val="41E508F3"/>
    <w:rsid w:val="41ED5BD5"/>
    <w:rsid w:val="41F35DCF"/>
    <w:rsid w:val="421C498F"/>
    <w:rsid w:val="42307D55"/>
    <w:rsid w:val="424F22D5"/>
    <w:rsid w:val="427769B4"/>
    <w:rsid w:val="429717E7"/>
    <w:rsid w:val="42A3687C"/>
    <w:rsid w:val="42B03C23"/>
    <w:rsid w:val="42F12D54"/>
    <w:rsid w:val="432A183E"/>
    <w:rsid w:val="432C4009"/>
    <w:rsid w:val="43382ECA"/>
    <w:rsid w:val="433D32EF"/>
    <w:rsid w:val="434D5BC7"/>
    <w:rsid w:val="438E513E"/>
    <w:rsid w:val="43C06BF1"/>
    <w:rsid w:val="43C42C94"/>
    <w:rsid w:val="440012EA"/>
    <w:rsid w:val="44286C7F"/>
    <w:rsid w:val="442D22AB"/>
    <w:rsid w:val="446C38FC"/>
    <w:rsid w:val="44900654"/>
    <w:rsid w:val="44B11C19"/>
    <w:rsid w:val="44B948AE"/>
    <w:rsid w:val="44BB1893"/>
    <w:rsid w:val="44BC74E2"/>
    <w:rsid w:val="44DA3557"/>
    <w:rsid w:val="44E268F1"/>
    <w:rsid w:val="45306998"/>
    <w:rsid w:val="4557115C"/>
    <w:rsid w:val="45586247"/>
    <w:rsid w:val="457828B1"/>
    <w:rsid w:val="45D10DBF"/>
    <w:rsid w:val="45D307C7"/>
    <w:rsid w:val="465E6D38"/>
    <w:rsid w:val="46A02EF7"/>
    <w:rsid w:val="46C51A64"/>
    <w:rsid w:val="46C86AAD"/>
    <w:rsid w:val="470A2680"/>
    <w:rsid w:val="476120FF"/>
    <w:rsid w:val="47643EDB"/>
    <w:rsid w:val="4782501D"/>
    <w:rsid w:val="47903233"/>
    <w:rsid w:val="47CE40A0"/>
    <w:rsid w:val="47D01DBA"/>
    <w:rsid w:val="47DD5808"/>
    <w:rsid w:val="47EB21EF"/>
    <w:rsid w:val="47F83612"/>
    <w:rsid w:val="482240E7"/>
    <w:rsid w:val="48530BB3"/>
    <w:rsid w:val="48537D42"/>
    <w:rsid w:val="485F1A9F"/>
    <w:rsid w:val="486C174B"/>
    <w:rsid w:val="488E72FE"/>
    <w:rsid w:val="48934112"/>
    <w:rsid w:val="48B546BC"/>
    <w:rsid w:val="48B54B0F"/>
    <w:rsid w:val="48D268BE"/>
    <w:rsid w:val="48D95FCE"/>
    <w:rsid w:val="48EE37E2"/>
    <w:rsid w:val="492665C0"/>
    <w:rsid w:val="492935CB"/>
    <w:rsid w:val="49387A64"/>
    <w:rsid w:val="494A6EAE"/>
    <w:rsid w:val="49A1418D"/>
    <w:rsid w:val="49C60CDC"/>
    <w:rsid w:val="49CD385E"/>
    <w:rsid w:val="4A134472"/>
    <w:rsid w:val="4A1358E3"/>
    <w:rsid w:val="4A632A6C"/>
    <w:rsid w:val="4A6A71AC"/>
    <w:rsid w:val="4A714672"/>
    <w:rsid w:val="4A8742D6"/>
    <w:rsid w:val="4A9C77D7"/>
    <w:rsid w:val="4AAA3AAA"/>
    <w:rsid w:val="4AC347A2"/>
    <w:rsid w:val="4B8D1EEE"/>
    <w:rsid w:val="4B902C23"/>
    <w:rsid w:val="4B9E0508"/>
    <w:rsid w:val="4BA87757"/>
    <w:rsid w:val="4BB043CD"/>
    <w:rsid w:val="4BBA7B23"/>
    <w:rsid w:val="4BCE207D"/>
    <w:rsid w:val="4BF54A58"/>
    <w:rsid w:val="4C5E309C"/>
    <w:rsid w:val="4C862198"/>
    <w:rsid w:val="4CE12A16"/>
    <w:rsid w:val="4D0B2CCA"/>
    <w:rsid w:val="4D0C4559"/>
    <w:rsid w:val="4D233D70"/>
    <w:rsid w:val="4D673DA7"/>
    <w:rsid w:val="4D891C95"/>
    <w:rsid w:val="4DA02A18"/>
    <w:rsid w:val="4DA26046"/>
    <w:rsid w:val="4DB81776"/>
    <w:rsid w:val="4DCB7C79"/>
    <w:rsid w:val="4E5F258F"/>
    <w:rsid w:val="4E8B4764"/>
    <w:rsid w:val="4EA32E7B"/>
    <w:rsid w:val="4ED87E62"/>
    <w:rsid w:val="4EF72652"/>
    <w:rsid w:val="4F390218"/>
    <w:rsid w:val="4F3B59E2"/>
    <w:rsid w:val="503217D3"/>
    <w:rsid w:val="50B57E2A"/>
    <w:rsid w:val="50FD706C"/>
    <w:rsid w:val="5103587D"/>
    <w:rsid w:val="519E4458"/>
    <w:rsid w:val="519E66AB"/>
    <w:rsid w:val="51B75666"/>
    <w:rsid w:val="51D1790B"/>
    <w:rsid w:val="51F3079E"/>
    <w:rsid w:val="52506CF2"/>
    <w:rsid w:val="525D17C6"/>
    <w:rsid w:val="52A763F1"/>
    <w:rsid w:val="52E35B71"/>
    <w:rsid w:val="531B00A0"/>
    <w:rsid w:val="533A6716"/>
    <w:rsid w:val="533E6FB1"/>
    <w:rsid w:val="536F5698"/>
    <w:rsid w:val="53795F6D"/>
    <w:rsid w:val="53DC12CD"/>
    <w:rsid w:val="53E819C9"/>
    <w:rsid w:val="548D379F"/>
    <w:rsid w:val="549B5B04"/>
    <w:rsid w:val="552F2B31"/>
    <w:rsid w:val="55493E98"/>
    <w:rsid w:val="55494AFA"/>
    <w:rsid w:val="556865A8"/>
    <w:rsid w:val="558C0A43"/>
    <w:rsid w:val="56203052"/>
    <w:rsid w:val="562224FB"/>
    <w:rsid w:val="56D70F62"/>
    <w:rsid w:val="56EA11D0"/>
    <w:rsid w:val="57021A47"/>
    <w:rsid w:val="57433143"/>
    <w:rsid w:val="57502DEC"/>
    <w:rsid w:val="577225E2"/>
    <w:rsid w:val="57D528F4"/>
    <w:rsid w:val="580A7C82"/>
    <w:rsid w:val="58184C70"/>
    <w:rsid w:val="581D1583"/>
    <w:rsid w:val="584702FA"/>
    <w:rsid w:val="584C478D"/>
    <w:rsid w:val="5864770E"/>
    <w:rsid w:val="59272079"/>
    <w:rsid w:val="592A00B6"/>
    <w:rsid w:val="596B5D5C"/>
    <w:rsid w:val="59704BEA"/>
    <w:rsid w:val="59862BFE"/>
    <w:rsid w:val="598F05AD"/>
    <w:rsid w:val="59A07862"/>
    <w:rsid w:val="59AE41C2"/>
    <w:rsid w:val="59CA27DA"/>
    <w:rsid w:val="59DE1956"/>
    <w:rsid w:val="5A2C02BC"/>
    <w:rsid w:val="5A331774"/>
    <w:rsid w:val="5A9767EF"/>
    <w:rsid w:val="5AFD5E3D"/>
    <w:rsid w:val="5B057A27"/>
    <w:rsid w:val="5B0A7978"/>
    <w:rsid w:val="5B3B6A1F"/>
    <w:rsid w:val="5B51265B"/>
    <w:rsid w:val="5BA0020E"/>
    <w:rsid w:val="5BB37720"/>
    <w:rsid w:val="5BDC3BC6"/>
    <w:rsid w:val="5BE24581"/>
    <w:rsid w:val="5C1853FF"/>
    <w:rsid w:val="5C324EF1"/>
    <w:rsid w:val="5C3D0F59"/>
    <w:rsid w:val="5C635729"/>
    <w:rsid w:val="5C6917C1"/>
    <w:rsid w:val="5C6F2877"/>
    <w:rsid w:val="5C7701F2"/>
    <w:rsid w:val="5C8D3E8C"/>
    <w:rsid w:val="5CA85C5F"/>
    <w:rsid w:val="5CBD580C"/>
    <w:rsid w:val="5CBD6B2E"/>
    <w:rsid w:val="5CDB655F"/>
    <w:rsid w:val="5CE61D6D"/>
    <w:rsid w:val="5CFB383A"/>
    <w:rsid w:val="5D6973DF"/>
    <w:rsid w:val="5D724300"/>
    <w:rsid w:val="5DAF3F4F"/>
    <w:rsid w:val="5DCB439D"/>
    <w:rsid w:val="5DCE6E2D"/>
    <w:rsid w:val="5DF7266E"/>
    <w:rsid w:val="5E076E59"/>
    <w:rsid w:val="5E3829D2"/>
    <w:rsid w:val="5E3D15F6"/>
    <w:rsid w:val="5E5554F1"/>
    <w:rsid w:val="5E5D7B30"/>
    <w:rsid w:val="5E5E6BA5"/>
    <w:rsid w:val="5E6B469D"/>
    <w:rsid w:val="5E8C3067"/>
    <w:rsid w:val="5E9E7749"/>
    <w:rsid w:val="5ED10CE9"/>
    <w:rsid w:val="5F0C1442"/>
    <w:rsid w:val="5F223503"/>
    <w:rsid w:val="5F316973"/>
    <w:rsid w:val="5F324D4F"/>
    <w:rsid w:val="5F55141C"/>
    <w:rsid w:val="5F77297E"/>
    <w:rsid w:val="5F7D67CA"/>
    <w:rsid w:val="5F9F7887"/>
    <w:rsid w:val="5FA1547D"/>
    <w:rsid w:val="5FCA2B54"/>
    <w:rsid w:val="5FDB39F0"/>
    <w:rsid w:val="5FEB6F35"/>
    <w:rsid w:val="60310699"/>
    <w:rsid w:val="605B764C"/>
    <w:rsid w:val="6099430A"/>
    <w:rsid w:val="60BC4A7F"/>
    <w:rsid w:val="60C32982"/>
    <w:rsid w:val="60D212BE"/>
    <w:rsid w:val="61242B59"/>
    <w:rsid w:val="61543BA8"/>
    <w:rsid w:val="61E43583"/>
    <w:rsid w:val="62015C29"/>
    <w:rsid w:val="622D5C96"/>
    <w:rsid w:val="62301A36"/>
    <w:rsid w:val="624A448A"/>
    <w:rsid w:val="624C2627"/>
    <w:rsid w:val="62A75674"/>
    <w:rsid w:val="62C65B84"/>
    <w:rsid w:val="62DB7235"/>
    <w:rsid w:val="63243691"/>
    <w:rsid w:val="637E1FAE"/>
    <w:rsid w:val="63844884"/>
    <w:rsid w:val="63A66AD7"/>
    <w:rsid w:val="63A87B03"/>
    <w:rsid w:val="63DD5149"/>
    <w:rsid w:val="63F53434"/>
    <w:rsid w:val="64021797"/>
    <w:rsid w:val="640B3A4D"/>
    <w:rsid w:val="64103FC7"/>
    <w:rsid w:val="6458125A"/>
    <w:rsid w:val="6473726C"/>
    <w:rsid w:val="64754CF0"/>
    <w:rsid w:val="64D06498"/>
    <w:rsid w:val="64E13091"/>
    <w:rsid w:val="64F66859"/>
    <w:rsid w:val="64F858D6"/>
    <w:rsid w:val="65110C36"/>
    <w:rsid w:val="652825E2"/>
    <w:rsid w:val="653230EE"/>
    <w:rsid w:val="654D400E"/>
    <w:rsid w:val="65594A8A"/>
    <w:rsid w:val="659951CE"/>
    <w:rsid w:val="65BE36F7"/>
    <w:rsid w:val="65C532B1"/>
    <w:rsid w:val="65DC1914"/>
    <w:rsid w:val="65F000EE"/>
    <w:rsid w:val="661E1715"/>
    <w:rsid w:val="66335326"/>
    <w:rsid w:val="6676073F"/>
    <w:rsid w:val="66962BFE"/>
    <w:rsid w:val="66C76506"/>
    <w:rsid w:val="66EC270C"/>
    <w:rsid w:val="670838D4"/>
    <w:rsid w:val="671831CF"/>
    <w:rsid w:val="673B0824"/>
    <w:rsid w:val="67473DED"/>
    <w:rsid w:val="674978EA"/>
    <w:rsid w:val="67664105"/>
    <w:rsid w:val="67A65FE9"/>
    <w:rsid w:val="67A719EF"/>
    <w:rsid w:val="67BF2104"/>
    <w:rsid w:val="68027691"/>
    <w:rsid w:val="68472BCF"/>
    <w:rsid w:val="685533D9"/>
    <w:rsid w:val="685D49FF"/>
    <w:rsid w:val="68600BAD"/>
    <w:rsid w:val="686061E3"/>
    <w:rsid w:val="68F104D6"/>
    <w:rsid w:val="691941E3"/>
    <w:rsid w:val="69232A3F"/>
    <w:rsid w:val="694100F9"/>
    <w:rsid w:val="69436755"/>
    <w:rsid w:val="69A23333"/>
    <w:rsid w:val="69BA4495"/>
    <w:rsid w:val="6A0E2241"/>
    <w:rsid w:val="6A1A5857"/>
    <w:rsid w:val="6A51380B"/>
    <w:rsid w:val="6A731D0E"/>
    <w:rsid w:val="6A8838B7"/>
    <w:rsid w:val="6AAF001B"/>
    <w:rsid w:val="6AB527BB"/>
    <w:rsid w:val="6AEA18DF"/>
    <w:rsid w:val="6AF00355"/>
    <w:rsid w:val="6B802C8C"/>
    <w:rsid w:val="6C00161D"/>
    <w:rsid w:val="6C36609C"/>
    <w:rsid w:val="6C51354E"/>
    <w:rsid w:val="6C5478FE"/>
    <w:rsid w:val="6C63681E"/>
    <w:rsid w:val="6CBA34AF"/>
    <w:rsid w:val="6CEB006E"/>
    <w:rsid w:val="6CF3338D"/>
    <w:rsid w:val="6D362DAD"/>
    <w:rsid w:val="6D49593D"/>
    <w:rsid w:val="6D5F7308"/>
    <w:rsid w:val="6D9017A6"/>
    <w:rsid w:val="6DC74900"/>
    <w:rsid w:val="6DC95267"/>
    <w:rsid w:val="6E214365"/>
    <w:rsid w:val="6E332AE1"/>
    <w:rsid w:val="6E5A7180"/>
    <w:rsid w:val="6E853077"/>
    <w:rsid w:val="6E945AE6"/>
    <w:rsid w:val="6EC47BEA"/>
    <w:rsid w:val="6ED913E1"/>
    <w:rsid w:val="6F005ABC"/>
    <w:rsid w:val="6F0F5E08"/>
    <w:rsid w:val="6F524872"/>
    <w:rsid w:val="6F527054"/>
    <w:rsid w:val="6F645B98"/>
    <w:rsid w:val="6F6A2F56"/>
    <w:rsid w:val="6F8D29EC"/>
    <w:rsid w:val="6FD931AD"/>
    <w:rsid w:val="700F0216"/>
    <w:rsid w:val="701E32CF"/>
    <w:rsid w:val="70200439"/>
    <w:rsid w:val="70341CF9"/>
    <w:rsid w:val="70EE38C3"/>
    <w:rsid w:val="714838B7"/>
    <w:rsid w:val="716B7D82"/>
    <w:rsid w:val="717A2DDD"/>
    <w:rsid w:val="719F4943"/>
    <w:rsid w:val="71A20F21"/>
    <w:rsid w:val="71B717DA"/>
    <w:rsid w:val="71C73A20"/>
    <w:rsid w:val="71E63BF1"/>
    <w:rsid w:val="71F75BC3"/>
    <w:rsid w:val="71FE3566"/>
    <w:rsid w:val="72342933"/>
    <w:rsid w:val="72392051"/>
    <w:rsid w:val="72505D59"/>
    <w:rsid w:val="72531785"/>
    <w:rsid w:val="72D471D1"/>
    <w:rsid w:val="731D69A3"/>
    <w:rsid w:val="73507029"/>
    <w:rsid w:val="735B5C3E"/>
    <w:rsid w:val="73831EF0"/>
    <w:rsid w:val="73973B94"/>
    <w:rsid w:val="73DA7B66"/>
    <w:rsid w:val="73E2125B"/>
    <w:rsid w:val="73E93BF2"/>
    <w:rsid w:val="740B31E6"/>
    <w:rsid w:val="741004CE"/>
    <w:rsid w:val="741601C5"/>
    <w:rsid w:val="74463269"/>
    <w:rsid w:val="747570C8"/>
    <w:rsid w:val="74BE24C3"/>
    <w:rsid w:val="74F8441A"/>
    <w:rsid w:val="754328D2"/>
    <w:rsid w:val="755A70A8"/>
    <w:rsid w:val="757E6CA7"/>
    <w:rsid w:val="75932E95"/>
    <w:rsid w:val="75BF0108"/>
    <w:rsid w:val="75C25E07"/>
    <w:rsid w:val="75E8669D"/>
    <w:rsid w:val="75F47826"/>
    <w:rsid w:val="75F64152"/>
    <w:rsid w:val="766E599F"/>
    <w:rsid w:val="76746D51"/>
    <w:rsid w:val="76A550BF"/>
    <w:rsid w:val="76A81973"/>
    <w:rsid w:val="76B63658"/>
    <w:rsid w:val="76F978E8"/>
    <w:rsid w:val="76FC0F70"/>
    <w:rsid w:val="77082BBA"/>
    <w:rsid w:val="773B4CB9"/>
    <w:rsid w:val="778926A3"/>
    <w:rsid w:val="77A22FD3"/>
    <w:rsid w:val="77D21E55"/>
    <w:rsid w:val="77D42581"/>
    <w:rsid w:val="77FC3367"/>
    <w:rsid w:val="78006934"/>
    <w:rsid w:val="78337350"/>
    <w:rsid w:val="78343420"/>
    <w:rsid w:val="784E3B31"/>
    <w:rsid w:val="78C8197F"/>
    <w:rsid w:val="78CB5FA8"/>
    <w:rsid w:val="78F1786D"/>
    <w:rsid w:val="7905017B"/>
    <w:rsid w:val="793B379B"/>
    <w:rsid w:val="798F5D85"/>
    <w:rsid w:val="79F94127"/>
    <w:rsid w:val="7A197A02"/>
    <w:rsid w:val="7A311BE6"/>
    <w:rsid w:val="7A3B408F"/>
    <w:rsid w:val="7A61775E"/>
    <w:rsid w:val="7AC50BC7"/>
    <w:rsid w:val="7ACF0D1F"/>
    <w:rsid w:val="7B5C2A8A"/>
    <w:rsid w:val="7B6730A6"/>
    <w:rsid w:val="7BA41B49"/>
    <w:rsid w:val="7BE568CB"/>
    <w:rsid w:val="7C3E1ABB"/>
    <w:rsid w:val="7C647778"/>
    <w:rsid w:val="7C8368DA"/>
    <w:rsid w:val="7D3916D6"/>
    <w:rsid w:val="7D4F5290"/>
    <w:rsid w:val="7D61565C"/>
    <w:rsid w:val="7D6468B0"/>
    <w:rsid w:val="7D7B49FB"/>
    <w:rsid w:val="7D863449"/>
    <w:rsid w:val="7DB92DF3"/>
    <w:rsid w:val="7DD16F7C"/>
    <w:rsid w:val="7E4B3E2B"/>
    <w:rsid w:val="7EBA63F0"/>
    <w:rsid w:val="7EE20110"/>
    <w:rsid w:val="7F0212CB"/>
    <w:rsid w:val="7F192DDA"/>
    <w:rsid w:val="7F1B6A95"/>
    <w:rsid w:val="7F4330F4"/>
    <w:rsid w:val="7F5F5957"/>
    <w:rsid w:val="7F7D32FD"/>
    <w:rsid w:val="7F8C3E07"/>
    <w:rsid w:val="7FB74E6E"/>
    <w:rsid w:val="7FF1510A"/>
    <w:rsid w:val="7FF748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99"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99"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6"/>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7"/>
    <w:qFormat/>
    <w:uiPriority w:val="99"/>
    <w:pPr>
      <w:keepNext/>
      <w:keepLines/>
      <w:spacing w:before="260" w:after="260" w:line="416" w:lineRule="auto"/>
      <w:outlineLvl w:val="2"/>
    </w:pPr>
    <w:rPr>
      <w:b/>
      <w:bCs/>
      <w:sz w:val="32"/>
      <w:szCs w:val="32"/>
    </w:rPr>
  </w:style>
  <w:style w:type="paragraph" w:styleId="6">
    <w:name w:val="heading 4"/>
    <w:basedOn w:val="1"/>
    <w:next w:val="1"/>
    <w:link w:val="78"/>
    <w:qFormat/>
    <w:uiPriority w:val="99"/>
    <w:pPr>
      <w:keepNext/>
      <w:keepLines/>
      <w:spacing w:before="280" w:after="290" w:line="376" w:lineRule="auto"/>
      <w:ind w:left="420" w:hanging="420"/>
      <w:outlineLvl w:val="3"/>
    </w:pPr>
    <w:rPr>
      <w:rFonts w:ascii="Cambria" w:hAnsi="Cambria"/>
      <w:b/>
      <w:bCs/>
      <w:sz w:val="28"/>
      <w:szCs w:val="28"/>
    </w:rPr>
  </w:style>
  <w:style w:type="paragraph" w:styleId="7">
    <w:name w:val="heading 5"/>
    <w:basedOn w:val="1"/>
    <w:next w:val="1"/>
    <w:link w:val="79"/>
    <w:qFormat/>
    <w:uiPriority w:val="99"/>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8">
    <w:name w:val="heading 6"/>
    <w:basedOn w:val="1"/>
    <w:next w:val="1"/>
    <w:link w:val="80"/>
    <w:qFormat/>
    <w:uiPriority w:val="99"/>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9">
    <w:name w:val="heading 7"/>
    <w:basedOn w:val="1"/>
    <w:next w:val="1"/>
    <w:link w:val="81"/>
    <w:qFormat/>
    <w:uiPriority w:val="99"/>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10">
    <w:name w:val="heading 8"/>
    <w:basedOn w:val="1"/>
    <w:next w:val="1"/>
    <w:link w:val="82"/>
    <w:qFormat/>
    <w:uiPriority w:val="99"/>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1">
    <w:name w:val="heading 9"/>
    <w:basedOn w:val="1"/>
    <w:next w:val="1"/>
    <w:link w:val="83"/>
    <w:qFormat/>
    <w:uiPriority w:val="99"/>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6">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1260"/>
      <w:jc w:val="left"/>
    </w:pPr>
    <w:rPr>
      <w:rFonts w:ascii="仿宋_GB2312" w:eastAsia="仿宋_GB2312"/>
      <w:sz w:val="18"/>
      <w:szCs w:val="18"/>
    </w:rPr>
  </w:style>
  <w:style w:type="paragraph" w:styleId="14">
    <w:name w:val="index 8"/>
    <w:basedOn w:val="1"/>
    <w:next w:val="1"/>
    <w:qFormat/>
    <w:uiPriority w:val="99"/>
    <w:pPr>
      <w:widowControl/>
      <w:ind w:left="1920" w:hanging="240"/>
      <w:jc w:val="left"/>
    </w:pPr>
    <w:rPr>
      <w:rFonts w:ascii="仿宋_GB2312" w:eastAsia="仿宋_GB2312"/>
      <w:kern w:val="0"/>
      <w:sz w:val="24"/>
      <w:szCs w:val="28"/>
    </w:rPr>
  </w:style>
  <w:style w:type="paragraph" w:styleId="15">
    <w:name w:val="Normal Indent"/>
    <w:basedOn w:val="1"/>
    <w:link w:val="126"/>
    <w:qFormat/>
    <w:uiPriority w:val="99"/>
    <w:pPr>
      <w:widowControl/>
      <w:adjustRightInd w:val="0"/>
      <w:snapToGrid w:val="0"/>
      <w:spacing w:line="480" w:lineRule="exact"/>
      <w:ind w:firstLine="567"/>
    </w:pPr>
    <w:rPr>
      <w:rFonts w:ascii="宋体"/>
      <w:color w:val="000000"/>
      <w:kern w:val="28"/>
      <w:sz w:val="28"/>
    </w:rPr>
  </w:style>
  <w:style w:type="paragraph" w:styleId="16">
    <w:name w:val="caption"/>
    <w:basedOn w:val="1"/>
    <w:next w:val="1"/>
    <w:qFormat/>
    <w:uiPriority w:val="99"/>
    <w:pPr>
      <w:widowControl/>
      <w:spacing w:after="480"/>
      <w:jc w:val="left"/>
    </w:pPr>
    <w:rPr>
      <w:rFonts w:ascii="Calibri" w:hAnsi="Calibri"/>
      <w:b/>
      <w:bCs/>
      <w:color w:val="4F81BD"/>
      <w:kern w:val="0"/>
      <w:sz w:val="18"/>
      <w:szCs w:val="18"/>
      <w:lang w:eastAsia="en-US"/>
    </w:rPr>
  </w:style>
  <w:style w:type="paragraph" w:styleId="17">
    <w:name w:val="index 5"/>
    <w:basedOn w:val="1"/>
    <w:next w:val="1"/>
    <w:qFormat/>
    <w:uiPriority w:val="99"/>
    <w:pPr>
      <w:widowControl/>
      <w:ind w:left="1200" w:hanging="240"/>
      <w:jc w:val="left"/>
    </w:pPr>
    <w:rPr>
      <w:rFonts w:ascii="仿宋_GB2312" w:eastAsia="仿宋_GB2312"/>
      <w:kern w:val="0"/>
      <w:sz w:val="24"/>
      <w:szCs w:val="28"/>
    </w:rPr>
  </w:style>
  <w:style w:type="paragraph" w:styleId="18">
    <w:name w:val="List Bullet"/>
    <w:basedOn w:val="19"/>
    <w:qFormat/>
    <w:uiPriority w:val="99"/>
    <w:pPr>
      <w:widowControl/>
      <w:tabs>
        <w:tab w:val="left" w:pos="420"/>
        <w:tab w:val="left" w:pos="840"/>
      </w:tabs>
      <w:spacing w:line="360" w:lineRule="auto"/>
      <w:ind w:left="420" w:right="720" w:firstLine="0" w:firstLineChars="0"/>
      <w:jc w:val="left"/>
    </w:pPr>
    <w:rPr>
      <w:kern w:val="0"/>
      <w:sz w:val="24"/>
      <w:szCs w:val="20"/>
    </w:rPr>
  </w:style>
  <w:style w:type="paragraph" w:styleId="19">
    <w:name w:val="List"/>
    <w:basedOn w:val="1"/>
    <w:qFormat/>
    <w:uiPriority w:val="99"/>
    <w:pPr>
      <w:ind w:left="200" w:hanging="200" w:hangingChars="200"/>
    </w:pPr>
    <w:rPr>
      <w:rFonts w:ascii="仿宋_GB2312" w:eastAsia="仿宋_GB2312"/>
      <w:sz w:val="28"/>
      <w:szCs w:val="28"/>
    </w:rPr>
  </w:style>
  <w:style w:type="paragraph" w:styleId="20">
    <w:name w:val="Document Map"/>
    <w:basedOn w:val="1"/>
    <w:link w:val="86"/>
    <w:qFormat/>
    <w:uiPriority w:val="99"/>
    <w:pPr>
      <w:shd w:val="clear" w:color="auto" w:fill="000080"/>
    </w:pPr>
    <w:rPr>
      <w:kern w:val="0"/>
      <w:sz w:val="20"/>
      <w:szCs w:val="24"/>
      <w:shd w:val="clear" w:color="auto" w:fill="000080"/>
    </w:rPr>
  </w:style>
  <w:style w:type="paragraph" w:styleId="21">
    <w:name w:val="annotation text"/>
    <w:basedOn w:val="1"/>
    <w:link w:val="87"/>
    <w:qFormat/>
    <w:uiPriority w:val="99"/>
    <w:pPr>
      <w:jc w:val="left"/>
    </w:pPr>
    <w:rPr>
      <w:rFonts w:ascii="仿宋_GB2312" w:eastAsia="仿宋_GB2312"/>
      <w:sz w:val="28"/>
      <w:szCs w:val="28"/>
    </w:rPr>
  </w:style>
  <w:style w:type="paragraph" w:styleId="22">
    <w:name w:val="index 6"/>
    <w:basedOn w:val="1"/>
    <w:next w:val="1"/>
    <w:qFormat/>
    <w:uiPriority w:val="99"/>
    <w:pPr>
      <w:widowControl/>
      <w:ind w:left="1440" w:hanging="240"/>
      <w:jc w:val="left"/>
    </w:pPr>
    <w:rPr>
      <w:rFonts w:ascii="仿宋_GB2312" w:eastAsia="仿宋_GB2312"/>
      <w:kern w:val="0"/>
      <w:sz w:val="24"/>
      <w:szCs w:val="28"/>
    </w:rPr>
  </w:style>
  <w:style w:type="paragraph" w:styleId="23">
    <w:name w:val="Body Text 3"/>
    <w:basedOn w:val="1"/>
    <w:link w:val="88"/>
    <w:qFormat/>
    <w:uiPriority w:val="99"/>
    <w:rPr>
      <w:rFonts w:ascii="宋体" w:hAnsi="宋体"/>
      <w:b/>
      <w:bCs/>
      <w:sz w:val="24"/>
      <w:szCs w:val="24"/>
    </w:rPr>
  </w:style>
  <w:style w:type="paragraph" w:styleId="24">
    <w:name w:val="Body Text"/>
    <w:basedOn w:val="1"/>
    <w:next w:val="1"/>
    <w:link w:val="89"/>
    <w:qFormat/>
    <w:uiPriority w:val="99"/>
    <w:rPr>
      <w:rFonts w:eastAsia="黑体"/>
      <w:b/>
      <w:bCs/>
      <w:spacing w:val="20"/>
      <w:kern w:val="52"/>
      <w:sz w:val="56"/>
      <w:szCs w:val="24"/>
    </w:rPr>
  </w:style>
  <w:style w:type="paragraph" w:styleId="25">
    <w:name w:val="Body Text Indent"/>
    <w:basedOn w:val="1"/>
    <w:next w:val="1"/>
    <w:link w:val="84"/>
    <w:qFormat/>
    <w:uiPriority w:val="99"/>
    <w:pPr>
      <w:spacing w:line="360" w:lineRule="auto"/>
      <w:ind w:firstLine="435"/>
    </w:pPr>
    <w:rPr>
      <w:sz w:val="28"/>
      <w:szCs w:val="24"/>
    </w:rPr>
  </w:style>
  <w:style w:type="paragraph" w:styleId="26">
    <w:name w:val="List Number 3"/>
    <w:basedOn w:val="1"/>
    <w:qFormat/>
    <w:uiPriority w:val="99"/>
    <w:pPr>
      <w:tabs>
        <w:tab w:val="left" w:pos="1200"/>
      </w:tabs>
      <w:ind w:left="1200" w:hanging="360"/>
      <w:contextualSpacing/>
    </w:pPr>
    <w:rPr>
      <w:rFonts w:ascii="仿宋_GB2312" w:eastAsia="仿宋_GB2312"/>
      <w:sz w:val="28"/>
      <w:szCs w:val="28"/>
    </w:rPr>
  </w:style>
  <w:style w:type="paragraph" w:styleId="27">
    <w:name w:val="List 2"/>
    <w:basedOn w:val="19"/>
    <w:qFormat/>
    <w:uiPriority w:val="99"/>
    <w:pPr>
      <w:spacing w:after="120" w:line="400" w:lineRule="exact"/>
      <w:ind w:left="0" w:firstLine="0" w:firstLineChars="0"/>
    </w:pPr>
    <w:rPr>
      <w:sz w:val="24"/>
      <w:szCs w:val="20"/>
    </w:rPr>
  </w:style>
  <w:style w:type="paragraph" w:styleId="28">
    <w:name w:val="List Bullet 2"/>
    <w:basedOn w:val="1"/>
    <w:qFormat/>
    <w:uiPriority w:val="99"/>
    <w:pPr>
      <w:widowControl/>
      <w:tabs>
        <w:tab w:val="left" w:pos="1440"/>
      </w:tabs>
      <w:ind w:left="1440" w:hanging="720"/>
      <w:jc w:val="left"/>
    </w:pPr>
    <w:rPr>
      <w:rFonts w:ascii="Tahoma" w:hAnsi="Tahoma" w:eastAsia="仿宋_GB2312" w:cs="Tahoma"/>
      <w:kern w:val="0"/>
      <w:sz w:val="24"/>
      <w:szCs w:val="28"/>
      <w:lang w:eastAsia="en-US"/>
    </w:rPr>
  </w:style>
  <w:style w:type="paragraph" w:styleId="29">
    <w:name w:val="index 4"/>
    <w:basedOn w:val="1"/>
    <w:next w:val="1"/>
    <w:qFormat/>
    <w:uiPriority w:val="99"/>
    <w:pPr>
      <w:widowControl/>
      <w:ind w:left="960" w:hanging="240"/>
      <w:jc w:val="left"/>
    </w:pPr>
    <w:rPr>
      <w:rFonts w:ascii="仿宋_GB2312" w:eastAsia="仿宋_GB2312"/>
      <w:kern w:val="0"/>
      <w:sz w:val="24"/>
      <w:szCs w:val="28"/>
    </w:rPr>
  </w:style>
  <w:style w:type="paragraph" w:styleId="30">
    <w:name w:val="toc 5"/>
    <w:basedOn w:val="1"/>
    <w:next w:val="1"/>
    <w:qFormat/>
    <w:uiPriority w:val="99"/>
    <w:pPr>
      <w:ind w:left="840"/>
      <w:jc w:val="left"/>
    </w:pPr>
    <w:rPr>
      <w:rFonts w:ascii="仿宋_GB2312" w:eastAsia="仿宋_GB2312"/>
      <w:sz w:val="18"/>
      <w:szCs w:val="18"/>
    </w:rPr>
  </w:style>
  <w:style w:type="paragraph" w:styleId="31">
    <w:name w:val="toc 3"/>
    <w:basedOn w:val="1"/>
    <w:next w:val="1"/>
    <w:qFormat/>
    <w:uiPriority w:val="99"/>
    <w:pPr>
      <w:ind w:left="420"/>
      <w:jc w:val="left"/>
    </w:pPr>
    <w:rPr>
      <w:rFonts w:ascii="仿宋_GB2312" w:eastAsia="仿宋_GB2312"/>
      <w:i/>
      <w:iCs/>
      <w:sz w:val="20"/>
    </w:rPr>
  </w:style>
  <w:style w:type="paragraph" w:styleId="32">
    <w:name w:val="Plain Text"/>
    <w:basedOn w:val="1"/>
    <w:next w:val="1"/>
    <w:link w:val="90"/>
    <w:qFormat/>
    <w:uiPriority w:val="99"/>
    <w:rPr>
      <w:rFonts w:ascii="宋体" w:hAnsi="Courier New"/>
    </w:rPr>
  </w:style>
  <w:style w:type="paragraph" w:styleId="33">
    <w:name w:val="toc 8"/>
    <w:basedOn w:val="1"/>
    <w:next w:val="1"/>
    <w:qFormat/>
    <w:uiPriority w:val="99"/>
    <w:pPr>
      <w:ind w:left="1470"/>
      <w:jc w:val="left"/>
    </w:pPr>
    <w:rPr>
      <w:rFonts w:ascii="仿宋_GB2312" w:eastAsia="仿宋_GB2312"/>
      <w:sz w:val="18"/>
      <w:szCs w:val="18"/>
    </w:rPr>
  </w:style>
  <w:style w:type="paragraph" w:styleId="34">
    <w:name w:val="index 3"/>
    <w:basedOn w:val="1"/>
    <w:next w:val="1"/>
    <w:qFormat/>
    <w:uiPriority w:val="99"/>
    <w:pPr>
      <w:widowControl/>
      <w:ind w:left="720" w:hanging="240"/>
      <w:jc w:val="left"/>
    </w:pPr>
    <w:rPr>
      <w:rFonts w:ascii="仿宋_GB2312" w:eastAsia="仿宋_GB2312"/>
      <w:kern w:val="0"/>
      <w:sz w:val="24"/>
      <w:szCs w:val="28"/>
    </w:rPr>
  </w:style>
  <w:style w:type="paragraph" w:styleId="35">
    <w:name w:val="Date"/>
    <w:basedOn w:val="1"/>
    <w:next w:val="1"/>
    <w:link w:val="91"/>
    <w:qFormat/>
    <w:uiPriority w:val="99"/>
    <w:pPr>
      <w:ind w:left="100" w:leftChars="2500"/>
    </w:pPr>
  </w:style>
  <w:style w:type="paragraph" w:styleId="36">
    <w:name w:val="Body Text Indent 2"/>
    <w:basedOn w:val="1"/>
    <w:link w:val="92"/>
    <w:qFormat/>
    <w:uiPriority w:val="99"/>
    <w:pPr>
      <w:spacing w:line="432" w:lineRule="auto"/>
      <w:ind w:firstLine="480" w:firstLineChars="200"/>
    </w:pPr>
    <w:rPr>
      <w:sz w:val="24"/>
      <w:szCs w:val="21"/>
    </w:rPr>
  </w:style>
  <w:style w:type="paragraph" w:styleId="37">
    <w:name w:val="endnote text"/>
    <w:basedOn w:val="1"/>
    <w:link w:val="93"/>
    <w:qFormat/>
    <w:uiPriority w:val="99"/>
    <w:pPr>
      <w:snapToGrid w:val="0"/>
      <w:jc w:val="left"/>
    </w:pPr>
    <w:rPr>
      <w:rFonts w:ascii="仿宋_GB2312" w:eastAsia="仿宋_GB2312"/>
      <w:sz w:val="28"/>
      <w:szCs w:val="28"/>
    </w:rPr>
  </w:style>
  <w:style w:type="paragraph" w:styleId="38">
    <w:name w:val="Balloon Text"/>
    <w:basedOn w:val="1"/>
    <w:link w:val="94"/>
    <w:semiHidden/>
    <w:qFormat/>
    <w:uiPriority w:val="99"/>
    <w:rPr>
      <w:sz w:val="18"/>
      <w:szCs w:val="18"/>
    </w:rPr>
  </w:style>
  <w:style w:type="paragraph" w:styleId="39">
    <w:name w:val="footer"/>
    <w:basedOn w:val="1"/>
    <w:link w:val="95"/>
    <w:qFormat/>
    <w:uiPriority w:val="99"/>
    <w:pPr>
      <w:tabs>
        <w:tab w:val="center" w:pos="4153"/>
        <w:tab w:val="right" w:pos="8306"/>
      </w:tabs>
      <w:snapToGrid w:val="0"/>
      <w:jc w:val="left"/>
    </w:pPr>
    <w:rPr>
      <w:sz w:val="18"/>
      <w:szCs w:val="18"/>
    </w:rPr>
  </w:style>
  <w:style w:type="paragraph" w:styleId="40">
    <w:name w:val="header"/>
    <w:basedOn w:val="1"/>
    <w:link w:val="9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1">
    <w:name w:val="toc 1"/>
    <w:basedOn w:val="1"/>
    <w:next w:val="1"/>
    <w:qFormat/>
    <w:uiPriority w:val="99"/>
    <w:pPr>
      <w:spacing w:line="360" w:lineRule="auto"/>
    </w:pPr>
    <w:rPr>
      <w:rFonts w:eastAsia="仿宋_GB2312"/>
      <w:sz w:val="32"/>
    </w:rPr>
  </w:style>
  <w:style w:type="paragraph" w:styleId="42">
    <w:name w:val="toc 4"/>
    <w:basedOn w:val="1"/>
    <w:next w:val="1"/>
    <w:qFormat/>
    <w:uiPriority w:val="99"/>
    <w:pPr>
      <w:ind w:left="630"/>
      <w:jc w:val="left"/>
    </w:pPr>
    <w:rPr>
      <w:rFonts w:ascii="仿宋_GB2312" w:eastAsia="仿宋_GB2312"/>
      <w:sz w:val="18"/>
      <w:szCs w:val="18"/>
    </w:rPr>
  </w:style>
  <w:style w:type="paragraph" w:styleId="43">
    <w:name w:val="index heading"/>
    <w:basedOn w:val="1"/>
    <w:next w:val="44"/>
    <w:qFormat/>
    <w:uiPriority w:val="99"/>
    <w:pPr>
      <w:widowControl/>
      <w:jc w:val="left"/>
    </w:pPr>
    <w:rPr>
      <w:rFonts w:ascii="仿宋_GB2312" w:eastAsia="仿宋_GB2312"/>
      <w:kern w:val="0"/>
      <w:sz w:val="24"/>
      <w:szCs w:val="28"/>
    </w:rPr>
  </w:style>
  <w:style w:type="paragraph" w:styleId="44">
    <w:name w:val="index 1"/>
    <w:basedOn w:val="1"/>
    <w:next w:val="1"/>
    <w:qFormat/>
    <w:uiPriority w:val="99"/>
    <w:pPr>
      <w:widowControl/>
      <w:spacing w:line="360" w:lineRule="auto"/>
      <w:ind w:left="240" w:hanging="240"/>
      <w:jc w:val="left"/>
    </w:pPr>
    <w:rPr>
      <w:rFonts w:ascii="Arial" w:hAnsi="Arial" w:eastAsia="仿宋_GB2312" w:cs="Arial"/>
      <w:kern w:val="0"/>
      <w:sz w:val="28"/>
      <w:szCs w:val="21"/>
    </w:rPr>
  </w:style>
  <w:style w:type="paragraph" w:styleId="45">
    <w:name w:val="Subtitle"/>
    <w:basedOn w:val="1"/>
    <w:next w:val="1"/>
    <w:link w:val="97"/>
    <w:qFormat/>
    <w:uiPriority w:val="99"/>
    <w:pPr>
      <w:widowControl/>
      <w:spacing w:after="480" w:line="276" w:lineRule="auto"/>
      <w:jc w:val="left"/>
    </w:pPr>
    <w:rPr>
      <w:rFonts w:ascii="Cambria" w:hAnsi="Cambria"/>
      <w:i/>
      <w:iCs/>
      <w:color w:val="4F81BD"/>
      <w:spacing w:val="15"/>
      <w:kern w:val="0"/>
      <w:sz w:val="24"/>
      <w:szCs w:val="24"/>
      <w:lang w:eastAsia="en-US"/>
    </w:rPr>
  </w:style>
  <w:style w:type="paragraph" w:styleId="46">
    <w:name w:val="footnote text"/>
    <w:basedOn w:val="1"/>
    <w:link w:val="98"/>
    <w:qFormat/>
    <w:uiPriority w:val="99"/>
    <w:pPr>
      <w:snapToGrid w:val="0"/>
      <w:jc w:val="left"/>
    </w:pPr>
    <w:rPr>
      <w:rFonts w:ascii="仿宋_GB2312" w:eastAsia="仿宋_GB2312"/>
      <w:sz w:val="18"/>
      <w:szCs w:val="18"/>
    </w:rPr>
  </w:style>
  <w:style w:type="paragraph" w:styleId="47">
    <w:name w:val="toc 6"/>
    <w:basedOn w:val="1"/>
    <w:next w:val="1"/>
    <w:qFormat/>
    <w:uiPriority w:val="99"/>
    <w:pPr>
      <w:ind w:left="1050"/>
      <w:jc w:val="left"/>
    </w:pPr>
    <w:rPr>
      <w:rFonts w:ascii="仿宋_GB2312" w:eastAsia="仿宋_GB2312"/>
      <w:sz w:val="18"/>
      <w:szCs w:val="18"/>
    </w:rPr>
  </w:style>
  <w:style w:type="paragraph" w:styleId="48">
    <w:name w:val="Body Text Indent 3"/>
    <w:basedOn w:val="1"/>
    <w:link w:val="99"/>
    <w:qFormat/>
    <w:uiPriority w:val="99"/>
    <w:pPr>
      <w:spacing w:line="540" w:lineRule="exact"/>
      <w:ind w:left="479" w:leftChars="228"/>
    </w:pPr>
    <w:rPr>
      <w:rFonts w:ascii="隶书" w:hAnsi="宋体" w:eastAsia="隶书"/>
      <w:szCs w:val="24"/>
    </w:rPr>
  </w:style>
  <w:style w:type="paragraph" w:styleId="49">
    <w:name w:val="index 7"/>
    <w:basedOn w:val="1"/>
    <w:next w:val="1"/>
    <w:qFormat/>
    <w:uiPriority w:val="99"/>
    <w:pPr>
      <w:widowControl/>
      <w:ind w:left="1680" w:hanging="240"/>
      <w:jc w:val="left"/>
    </w:pPr>
    <w:rPr>
      <w:rFonts w:ascii="仿宋_GB2312" w:eastAsia="仿宋_GB2312"/>
      <w:kern w:val="0"/>
      <w:sz w:val="24"/>
      <w:szCs w:val="28"/>
    </w:rPr>
  </w:style>
  <w:style w:type="paragraph" w:styleId="50">
    <w:name w:val="index 9"/>
    <w:basedOn w:val="1"/>
    <w:next w:val="1"/>
    <w:qFormat/>
    <w:uiPriority w:val="99"/>
    <w:pPr>
      <w:widowControl/>
      <w:ind w:left="2160" w:hanging="240"/>
      <w:jc w:val="left"/>
    </w:pPr>
    <w:rPr>
      <w:rFonts w:ascii="仿宋_GB2312" w:eastAsia="仿宋_GB2312"/>
      <w:kern w:val="0"/>
      <w:sz w:val="24"/>
      <w:szCs w:val="28"/>
    </w:rPr>
  </w:style>
  <w:style w:type="paragraph" w:styleId="51">
    <w:name w:val="table of figures"/>
    <w:basedOn w:val="1"/>
    <w:next w:val="1"/>
    <w:qFormat/>
    <w:uiPriority w:val="99"/>
    <w:pPr>
      <w:widowControl/>
      <w:ind w:left="480" w:hanging="480"/>
      <w:jc w:val="left"/>
    </w:pPr>
    <w:rPr>
      <w:rFonts w:ascii="仿宋_GB2312" w:eastAsia="仿宋_GB2312"/>
      <w:kern w:val="0"/>
      <w:sz w:val="24"/>
      <w:szCs w:val="28"/>
    </w:rPr>
  </w:style>
  <w:style w:type="paragraph" w:styleId="52">
    <w:name w:val="toc 2"/>
    <w:basedOn w:val="1"/>
    <w:next w:val="1"/>
    <w:qFormat/>
    <w:uiPriority w:val="99"/>
    <w:pPr>
      <w:ind w:left="210"/>
      <w:jc w:val="left"/>
    </w:pPr>
    <w:rPr>
      <w:rFonts w:ascii="仿宋_GB2312" w:eastAsia="仿宋_GB2312"/>
      <w:smallCaps/>
      <w:sz w:val="20"/>
    </w:rPr>
  </w:style>
  <w:style w:type="paragraph" w:styleId="53">
    <w:name w:val="toc 9"/>
    <w:basedOn w:val="1"/>
    <w:next w:val="1"/>
    <w:qFormat/>
    <w:uiPriority w:val="99"/>
    <w:pPr>
      <w:ind w:left="1680"/>
      <w:jc w:val="left"/>
    </w:pPr>
    <w:rPr>
      <w:rFonts w:ascii="仿宋_GB2312" w:eastAsia="仿宋_GB2312"/>
      <w:sz w:val="18"/>
      <w:szCs w:val="18"/>
    </w:rPr>
  </w:style>
  <w:style w:type="paragraph" w:styleId="54">
    <w:name w:val="Body Text 2"/>
    <w:basedOn w:val="1"/>
    <w:link w:val="100"/>
    <w:qFormat/>
    <w:uiPriority w:val="99"/>
    <w:pPr>
      <w:spacing w:line="360" w:lineRule="auto"/>
    </w:pPr>
    <w:rPr>
      <w:sz w:val="24"/>
      <w:szCs w:val="24"/>
    </w:rPr>
  </w:style>
  <w:style w:type="paragraph" w:styleId="55">
    <w:name w:val="HTML Preformatted"/>
    <w:basedOn w:val="1"/>
    <w:link w:val="10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7">
    <w:name w:val="index 2"/>
    <w:basedOn w:val="1"/>
    <w:next w:val="1"/>
    <w:qFormat/>
    <w:uiPriority w:val="99"/>
    <w:pPr>
      <w:widowControl/>
      <w:ind w:left="480" w:hanging="240"/>
      <w:jc w:val="left"/>
    </w:pPr>
    <w:rPr>
      <w:rFonts w:ascii="仿宋_GB2312" w:eastAsia="仿宋_GB2312"/>
      <w:kern w:val="0"/>
      <w:sz w:val="24"/>
      <w:szCs w:val="28"/>
    </w:rPr>
  </w:style>
  <w:style w:type="paragraph" w:styleId="58">
    <w:name w:val="Title"/>
    <w:basedOn w:val="1"/>
    <w:next w:val="1"/>
    <w:link w:val="102"/>
    <w:qFormat/>
    <w:uiPriority w:val="99"/>
    <w:pPr>
      <w:jc w:val="center"/>
    </w:pPr>
    <w:rPr>
      <w:rFonts w:ascii="Arial" w:hAnsi="Arial"/>
      <w:b/>
      <w:kern w:val="0"/>
      <w:sz w:val="36"/>
      <w:lang w:eastAsia="en-US"/>
    </w:rPr>
  </w:style>
  <w:style w:type="paragraph" w:styleId="59">
    <w:name w:val="annotation subject"/>
    <w:basedOn w:val="21"/>
    <w:next w:val="21"/>
    <w:link w:val="103"/>
    <w:qFormat/>
    <w:uiPriority w:val="99"/>
    <w:rPr>
      <w:rFonts w:ascii="Times New Roman" w:eastAsia="宋体"/>
      <w:b/>
      <w:bCs/>
      <w:sz w:val="21"/>
      <w:szCs w:val="24"/>
    </w:rPr>
  </w:style>
  <w:style w:type="paragraph" w:styleId="60">
    <w:name w:val="Body Text First Indent"/>
    <w:basedOn w:val="24"/>
    <w:next w:val="1"/>
    <w:link w:val="104"/>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1">
    <w:name w:val="Body Text First Indent 2"/>
    <w:basedOn w:val="25"/>
    <w:next w:val="60"/>
    <w:link w:val="85"/>
    <w:qFormat/>
    <w:uiPriority w:val="99"/>
    <w:pPr>
      <w:ind w:firstLine="420" w:firstLineChars="200"/>
    </w:p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5">
    <w:name w:val="Table Classic 1"/>
    <w:basedOn w:val="62"/>
    <w:qFormat/>
    <w:uiPriority w:val="99"/>
    <w:pPr>
      <w:widowControl w:val="0"/>
      <w:jc w:val="both"/>
    </w:pPr>
    <w:rPr>
      <w:kern w:val="0"/>
      <w:sz w:val="20"/>
      <w:szCs w:val="20"/>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character" w:styleId="67">
    <w:name w:val="Strong"/>
    <w:basedOn w:val="66"/>
    <w:qFormat/>
    <w:uiPriority w:val="99"/>
    <w:rPr>
      <w:rFonts w:cs="Times New Roman"/>
      <w:b/>
    </w:rPr>
  </w:style>
  <w:style w:type="character" w:styleId="68">
    <w:name w:val="endnote reference"/>
    <w:basedOn w:val="66"/>
    <w:qFormat/>
    <w:uiPriority w:val="99"/>
    <w:rPr>
      <w:rFonts w:cs="Times New Roman"/>
      <w:vertAlign w:val="superscript"/>
    </w:rPr>
  </w:style>
  <w:style w:type="character" w:styleId="69">
    <w:name w:val="page number"/>
    <w:basedOn w:val="66"/>
    <w:qFormat/>
    <w:uiPriority w:val="99"/>
    <w:rPr>
      <w:rFonts w:cs="Times New Roman"/>
    </w:rPr>
  </w:style>
  <w:style w:type="character" w:styleId="70">
    <w:name w:val="FollowedHyperlink"/>
    <w:basedOn w:val="66"/>
    <w:qFormat/>
    <w:uiPriority w:val="99"/>
    <w:rPr>
      <w:rFonts w:cs="Times New Roman"/>
      <w:color w:val="800080"/>
      <w:u w:val="single"/>
    </w:rPr>
  </w:style>
  <w:style w:type="character" w:styleId="71">
    <w:name w:val="Emphasis"/>
    <w:basedOn w:val="66"/>
    <w:qFormat/>
    <w:uiPriority w:val="99"/>
    <w:rPr>
      <w:rFonts w:cs="Times New Roman"/>
      <w:color w:val="CC0000"/>
    </w:rPr>
  </w:style>
  <w:style w:type="character" w:styleId="72">
    <w:name w:val="Hyperlink"/>
    <w:basedOn w:val="66"/>
    <w:qFormat/>
    <w:uiPriority w:val="99"/>
    <w:rPr>
      <w:rFonts w:cs="Times New Roman"/>
      <w:color w:val="0000FF"/>
      <w:u w:val="single"/>
    </w:rPr>
  </w:style>
  <w:style w:type="character" w:styleId="73">
    <w:name w:val="annotation reference"/>
    <w:basedOn w:val="66"/>
    <w:qFormat/>
    <w:uiPriority w:val="99"/>
    <w:rPr>
      <w:rFonts w:cs="Times New Roman"/>
      <w:sz w:val="21"/>
    </w:rPr>
  </w:style>
  <w:style w:type="character" w:styleId="74">
    <w:name w:val="footnote reference"/>
    <w:basedOn w:val="66"/>
    <w:qFormat/>
    <w:uiPriority w:val="99"/>
    <w:rPr>
      <w:rFonts w:cs="Times New Roman"/>
      <w:vertAlign w:val="superscript"/>
    </w:rPr>
  </w:style>
  <w:style w:type="character" w:customStyle="1" w:styleId="75">
    <w:name w:val="标题 1 Char"/>
    <w:basedOn w:val="66"/>
    <w:link w:val="3"/>
    <w:qFormat/>
    <w:locked/>
    <w:uiPriority w:val="99"/>
    <w:rPr>
      <w:rFonts w:eastAsia="宋体"/>
      <w:b/>
      <w:kern w:val="44"/>
      <w:sz w:val="44"/>
      <w:lang w:val="en-US" w:eastAsia="zh-CN"/>
    </w:rPr>
  </w:style>
  <w:style w:type="character" w:customStyle="1" w:styleId="76">
    <w:name w:val="标题 2 Char1"/>
    <w:basedOn w:val="66"/>
    <w:link w:val="4"/>
    <w:qFormat/>
    <w:locked/>
    <w:uiPriority w:val="99"/>
    <w:rPr>
      <w:rFonts w:ascii="Arial" w:hAnsi="Arial" w:eastAsia="黑体"/>
      <w:b/>
      <w:kern w:val="2"/>
      <w:sz w:val="32"/>
      <w:lang w:val="en-US" w:eastAsia="zh-CN"/>
    </w:rPr>
  </w:style>
  <w:style w:type="character" w:customStyle="1" w:styleId="77">
    <w:name w:val="标题 3 Char"/>
    <w:basedOn w:val="66"/>
    <w:link w:val="5"/>
    <w:qFormat/>
    <w:locked/>
    <w:uiPriority w:val="99"/>
    <w:rPr>
      <w:rFonts w:eastAsia="宋体"/>
      <w:b/>
      <w:kern w:val="2"/>
      <w:sz w:val="32"/>
      <w:lang w:val="en-US" w:eastAsia="zh-CN"/>
    </w:rPr>
  </w:style>
  <w:style w:type="character" w:customStyle="1" w:styleId="78">
    <w:name w:val="标题 4 Char"/>
    <w:basedOn w:val="66"/>
    <w:link w:val="6"/>
    <w:qFormat/>
    <w:locked/>
    <w:uiPriority w:val="99"/>
    <w:rPr>
      <w:rFonts w:ascii="Cambria" w:hAnsi="Cambria"/>
      <w:b/>
      <w:kern w:val="2"/>
      <w:sz w:val="28"/>
    </w:rPr>
  </w:style>
  <w:style w:type="character" w:customStyle="1" w:styleId="79">
    <w:name w:val="标题 5 Char"/>
    <w:basedOn w:val="66"/>
    <w:link w:val="7"/>
    <w:qFormat/>
    <w:locked/>
    <w:uiPriority w:val="99"/>
    <w:rPr>
      <w:rFonts w:ascii="Arial" w:hAnsi="Arial" w:eastAsia="宋体"/>
      <w:kern w:val="2"/>
      <w:sz w:val="28"/>
      <w:lang w:val="en-US" w:eastAsia="zh-CN"/>
    </w:rPr>
  </w:style>
  <w:style w:type="character" w:customStyle="1" w:styleId="80">
    <w:name w:val="标题 6 Char"/>
    <w:basedOn w:val="66"/>
    <w:link w:val="8"/>
    <w:qFormat/>
    <w:locked/>
    <w:uiPriority w:val="99"/>
    <w:rPr>
      <w:rFonts w:ascii="Arial" w:hAnsi="Arial" w:eastAsia="仿宋_GB2312"/>
      <w:i/>
      <w:sz w:val="22"/>
      <w:lang w:val="en-US" w:eastAsia="zh-CN"/>
    </w:rPr>
  </w:style>
  <w:style w:type="character" w:customStyle="1" w:styleId="81">
    <w:name w:val="标题 7 Char"/>
    <w:basedOn w:val="66"/>
    <w:link w:val="9"/>
    <w:qFormat/>
    <w:locked/>
    <w:uiPriority w:val="99"/>
    <w:rPr>
      <w:rFonts w:ascii="Arial" w:hAnsi="Arial" w:eastAsia="宋体"/>
      <w:kern w:val="2"/>
      <w:sz w:val="28"/>
      <w:lang w:val="en-US" w:eastAsia="zh-CN"/>
    </w:rPr>
  </w:style>
  <w:style w:type="character" w:customStyle="1" w:styleId="82">
    <w:name w:val="标题 8 Char"/>
    <w:basedOn w:val="66"/>
    <w:link w:val="10"/>
    <w:qFormat/>
    <w:locked/>
    <w:uiPriority w:val="99"/>
    <w:rPr>
      <w:rFonts w:ascii="Arial" w:hAnsi="Arial" w:eastAsia="宋体"/>
      <w:i/>
      <w:kern w:val="2"/>
      <w:sz w:val="28"/>
      <w:lang w:val="en-US" w:eastAsia="zh-CN"/>
    </w:rPr>
  </w:style>
  <w:style w:type="character" w:customStyle="1" w:styleId="83">
    <w:name w:val="标题 9 Char"/>
    <w:basedOn w:val="66"/>
    <w:link w:val="11"/>
    <w:qFormat/>
    <w:locked/>
    <w:uiPriority w:val="99"/>
    <w:rPr>
      <w:rFonts w:ascii="Arial" w:hAnsi="Arial" w:eastAsia="宋体"/>
      <w:i/>
      <w:kern w:val="2"/>
      <w:sz w:val="28"/>
      <w:lang w:val="en-US" w:eastAsia="zh-CN"/>
    </w:rPr>
  </w:style>
  <w:style w:type="character" w:customStyle="1" w:styleId="84">
    <w:name w:val="正文文本缩进 Char2"/>
    <w:basedOn w:val="66"/>
    <w:link w:val="25"/>
    <w:qFormat/>
    <w:locked/>
    <w:uiPriority w:val="99"/>
    <w:rPr>
      <w:rFonts w:eastAsia="宋体"/>
      <w:kern w:val="2"/>
      <w:sz w:val="24"/>
      <w:lang w:val="en-US" w:eastAsia="zh-CN"/>
    </w:rPr>
  </w:style>
  <w:style w:type="character" w:customStyle="1" w:styleId="85">
    <w:name w:val="正文首行缩进 2 Char"/>
    <w:basedOn w:val="84"/>
    <w:link w:val="61"/>
    <w:semiHidden/>
    <w:qFormat/>
    <w:uiPriority w:val="99"/>
    <w:rPr>
      <w:rFonts w:eastAsia="宋体"/>
      <w:kern w:val="2"/>
      <w:sz w:val="24"/>
      <w:szCs w:val="20"/>
      <w:lang w:val="en-US" w:eastAsia="zh-CN"/>
    </w:rPr>
  </w:style>
  <w:style w:type="character" w:customStyle="1" w:styleId="86">
    <w:name w:val="文档结构图 Char"/>
    <w:basedOn w:val="66"/>
    <w:link w:val="20"/>
    <w:qFormat/>
    <w:locked/>
    <w:uiPriority w:val="99"/>
    <w:rPr>
      <w:rFonts w:eastAsia="宋体"/>
      <w:sz w:val="24"/>
      <w:shd w:val="clear" w:color="auto" w:fill="000080"/>
    </w:rPr>
  </w:style>
  <w:style w:type="character" w:customStyle="1" w:styleId="87">
    <w:name w:val="批注文字 Char1"/>
    <w:basedOn w:val="66"/>
    <w:link w:val="21"/>
    <w:qFormat/>
    <w:locked/>
    <w:uiPriority w:val="99"/>
    <w:rPr>
      <w:rFonts w:ascii="仿宋_GB2312" w:eastAsia="仿宋_GB2312"/>
      <w:kern w:val="2"/>
      <w:sz w:val="28"/>
      <w:lang w:val="en-US" w:eastAsia="zh-CN"/>
    </w:rPr>
  </w:style>
  <w:style w:type="character" w:customStyle="1" w:styleId="88">
    <w:name w:val="正文文本 3 Char"/>
    <w:basedOn w:val="66"/>
    <w:link w:val="23"/>
    <w:qFormat/>
    <w:locked/>
    <w:uiPriority w:val="99"/>
    <w:rPr>
      <w:rFonts w:ascii="宋体" w:hAnsi="宋体" w:eastAsia="宋体"/>
      <w:b/>
      <w:kern w:val="2"/>
      <w:sz w:val="24"/>
      <w:lang w:val="en-US" w:eastAsia="zh-CN"/>
    </w:rPr>
  </w:style>
  <w:style w:type="character" w:customStyle="1" w:styleId="89">
    <w:name w:val="正文文本 Char2"/>
    <w:basedOn w:val="66"/>
    <w:link w:val="24"/>
    <w:qFormat/>
    <w:locked/>
    <w:uiPriority w:val="99"/>
    <w:rPr>
      <w:rFonts w:eastAsia="黑体"/>
      <w:b/>
      <w:spacing w:val="20"/>
      <w:kern w:val="52"/>
      <w:sz w:val="24"/>
      <w:lang w:val="en-US" w:eastAsia="zh-CN"/>
    </w:rPr>
  </w:style>
  <w:style w:type="character" w:customStyle="1" w:styleId="90">
    <w:name w:val="纯文本 Char"/>
    <w:basedOn w:val="66"/>
    <w:link w:val="32"/>
    <w:qFormat/>
    <w:locked/>
    <w:uiPriority w:val="99"/>
    <w:rPr>
      <w:rFonts w:ascii="宋体" w:hAnsi="Courier New" w:eastAsia="宋体"/>
      <w:kern w:val="2"/>
      <w:sz w:val="21"/>
      <w:lang w:val="en-US" w:eastAsia="zh-CN"/>
    </w:rPr>
  </w:style>
  <w:style w:type="character" w:customStyle="1" w:styleId="91">
    <w:name w:val="日期 Char"/>
    <w:basedOn w:val="66"/>
    <w:link w:val="35"/>
    <w:qFormat/>
    <w:locked/>
    <w:uiPriority w:val="99"/>
    <w:rPr>
      <w:rFonts w:eastAsia="宋体"/>
      <w:kern w:val="2"/>
      <w:sz w:val="21"/>
      <w:lang w:val="en-US" w:eastAsia="zh-CN"/>
    </w:rPr>
  </w:style>
  <w:style w:type="character" w:customStyle="1" w:styleId="92">
    <w:name w:val="正文文本缩进 2 Char"/>
    <w:basedOn w:val="66"/>
    <w:link w:val="36"/>
    <w:semiHidden/>
    <w:qFormat/>
    <w:locked/>
    <w:uiPriority w:val="99"/>
    <w:rPr>
      <w:rFonts w:eastAsia="宋体"/>
      <w:kern w:val="2"/>
      <w:sz w:val="21"/>
      <w:lang w:val="en-US" w:eastAsia="zh-CN"/>
    </w:rPr>
  </w:style>
  <w:style w:type="character" w:customStyle="1" w:styleId="93">
    <w:name w:val="尾注文本 Char"/>
    <w:basedOn w:val="66"/>
    <w:link w:val="37"/>
    <w:qFormat/>
    <w:locked/>
    <w:uiPriority w:val="99"/>
    <w:rPr>
      <w:rFonts w:ascii="仿宋_GB2312" w:eastAsia="仿宋_GB2312"/>
      <w:kern w:val="2"/>
      <w:sz w:val="28"/>
      <w:lang w:val="en-US" w:eastAsia="zh-CN"/>
    </w:rPr>
  </w:style>
  <w:style w:type="character" w:customStyle="1" w:styleId="94">
    <w:name w:val="批注框文本 Char"/>
    <w:basedOn w:val="66"/>
    <w:link w:val="38"/>
    <w:semiHidden/>
    <w:qFormat/>
    <w:locked/>
    <w:uiPriority w:val="99"/>
    <w:rPr>
      <w:rFonts w:eastAsia="宋体"/>
      <w:kern w:val="2"/>
      <w:sz w:val="18"/>
      <w:lang w:val="en-US" w:eastAsia="zh-CN"/>
    </w:rPr>
  </w:style>
  <w:style w:type="character" w:customStyle="1" w:styleId="95">
    <w:name w:val="页脚 Char"/>
    <w:basedOn w:val="66"/>
    <w:link w:val="39"/>
    <w:qFormat/>
    <w:locked/>
    <w:uiPriority w:val="99"/>
    <w:rPr>
      <w:rFonts w:eastAsia="宋体"/>
      <w:kern w:val="2"/>
      <w:sz w:val="18"/>
      <w:lang w:val="en-US" w:eastAsia="zh-CN"/>
    </w:rPr>
  </w:style>
  <w:style w:type="character" w:customStyle="1" w:styleId="96">
    <w:name w:val="页眉 Char"/>
    <w:basedOn w:val="66"/>
    <w:link w:val="40"/>
    <w:qFormat/>
    <w:locked/>
    <w:uiPriority w:val="99"/>
    <w:rPr>
      <w:rFonts w:eastAsia="宋体"/>
      <w:kern w:val="2"/>
      <w:sz w:val="18"/>
      <w:lang w:val="en-US" w:eastAsia="zh-CN"/>
    </w:rPr>
  </w:style>
  <w:style w:type="character" w:customStyle="1" w:styleId="97">
    <w:name w:val="副标题 Char"/>
    <w:basedOn w:val="66"/>
    <w:link w:val="45"/>
    <w:qFormat/>
    <w:uiPriority w:val="11"/>
    <w:rPr>
      <w:rFonts w:asciiTheme="majorHAnsi" w:hAnsiTheme="majorHAnsi" w:cstheme="majorBidi"/>
      <w:b/>
      <w:bCs/>
      <w:kern w:val="28"/>
      <w:sz w:val="32"/>
      <w:szCs w:val="32"/>
    </w:rPr>
  </w:style>
  <w:style w:type="character" w:customStyle="1" w:styleId="98">
    <w:name w:val="脚注文本 Char"/>
    <w:basedOn w:val="66"/>
    <w:link w:val="46"/>
    <w:qFormat/>
    <w:locked/>
    <w:uiPriority w:val="99"/>
    <w:rPr>
      <w:rFonts w:ascii="仿宋_GB2312" w:eastAsia="仿宋_GB2312"/>
      <w:kern w:val="2"/>
      <w:sz w:val="18"/>
      <w:lang w:val="en-US" w:eastAsia="zh-CN"/>
    </w:rPr>
  </w:style>
  <w:style w:type="character" w:customStyle="1" w:styleId="99">
    <w:name w:val="正文文本缩进 3 Char"/>
    <w:basedOn w:val="66"/>
    <w:link w:val="48"/>
    <w:qFormat/>
    <w:locked/>
    <w:uiPriority w:val="99"/>
    <w:rPr>
      <w:rFonts w:ascii="隶书" w:hAnsi="宋体" w:eastAsia="隶书"/>
      <w:kern w:val="2"/>
      <w:sz w:val="24"/>
      <w:lang w:val="en-US" w:eastAsia="zh-CN"/>
    </w:rPr>
  </w:style>
  <w:style w:type="character" w:customStyle="1" w:styleId="100">
    <w:name w:val="正文文本 2 Char"/>
    <w:basedOn w:val="66"/>
    <w:link w:val="54"/>
    <w:qFormat/>
    <w:locked/>
    <w:uiPriority w:val="99"/>
    <w:rPr>
      <w:rFonts w:eastAsia="宋体"/>
      <w:kern w:val="2"/>
      <w:sz w:val="24"/>
      <w:lang w:val="en-US" w:eastAsia="zh-CN"/>
    </w:rPr>
  </w:style>
  <w:style w:type="character" w:customStyle="1" w:styleId="101">
    <w:name w:val="HTML 预设格式 Char"/>
    <w:basedOn w:val="66"/>
    <w:link w:val="55"/>
    <w:semiHidden/>
    <w:qFormat/>
    <w:uiPriority w:val="99"/>
    <w:rPr>
      <w:rFonts w:ascii="Courier New" w:hAnsi="Courier New" w:cs="Courier New"/>
      <w:sz w:val="20"/>
      <w:szCs w:val="20"/>
    </w:rPr>
  </w:style>
  <w:style w:type="character" w:customStyle="1" w:styleId="102">
    <w:name w:val="标题 Char"/>
    <w:basedOn w:val="66"/>
    <w:link w:val="58"/>
    <w:qFormat/>
    <w:locked/>
    <w:uiPriority w:val="99"/>
    <w:rPr>
      <w:rFonts w:ascii="Arial" w:hAnsi="Arial" w:eastAsia="宋体"/>
      <w:b/>
      <w:sz w:val="36"/>
      <w:lang w:eastAsia="en-US"/>
    </w:rPr>
  </w:style>
  <w:style w:type="character" w:customStyle="1" w:styleId="103">
    <w:name w:val="批注主题 Char"/>
    <w:basedOn w:val="87"/>
    <w:link w:val="59"/>
    <w:qFormat/>
    <w:locked/>
    <w:uiPriority w:val="99"/>
    <w:rPr>
      <w:rFonts w:ascii="仿宋_GB2312" w:eastAsia="宋体"/>
      <w:b/>
      <w:kern w:val="2"/>
      <w:sz w:val="24"/>
      <w:lang w:val="en-US" w:eastAsia="zh-CN"/>
    </w:rPr>
  </w:style>
  <w:style w:type="character" w:customStyle="1" w:styleId="104">
    <w:name w:val="正文首行缩进 Char"/>
    <w:basedOn w:val="89"/>
    <w:link w:val="60"/>
    <w:qFormat/>
    <w:locked/>
    <w:uiPriority w:val="99"/>
    <w:rPr>
      <w:rFonts w:ascii="Calibri" w:hAnsi="Calibri" w:eastAsia="楷体_GB2312"/>
      <w:spacing w:val="20"/>
      <w:kern w:val="52"/>
      <w:sz w:val="24"/>
      <w:lang w:val="en-US" w:eastAsia="zh-CN"/>
    </w:rPr>
  </w:style>
  <w:style w:type="paragraph" w:customStyle="1" w:styleId="105">
    <w:name w:val="[Normal]"/>
    <w:qFormat/>
    <w:uiPriority w:val="99"/>
    <w:rPr>
      <w:rFonts w:ascii="宋体" w:hAnsi="宋体" w:eastAsia="宋体" w:cs="Times New Roman"/>
      <w:kern w:val="0"/>
      <w:sz w:val="24"/>
      <w:szCs w:val="22"/>
      <w:lang w:val="zh-CN" w:eastAsia="zh-CN" w:bidi="ar-SA"/>
    </w:rPr>
  </w:style>
  <w:style w:type="character" w:customStyle="1" w:styleId="106">
    <w:name w:val="标题 2 Char"/>
    <w:qFormat/>
    <w:uiPriority w:val="99"/>
    <w:rPr>
      <w:rFonts w:ascii="宋体" w:hAnsi="宋体" w:eastAsia="黑体"/>
      <w:b/>
      <w:kern w:val="2"/>
      <w:sz w:val="32"/>
      <w:lang w:val="en-US" w:eastAsia="zh-CN"/>
    </w:rPr>
  </w:style>
  <w:style w:type="character" w:customStyle="1" w:styleId="107">
    <w:name w:val="正文首行缩进 Char1"/>
    <w:basedOn w:val="108"/>
    <w:semiHidden/>
    <w:qFormat/>
    <w:uiPriority w:val="99"/>
    <w:rPr>
      <w:rFonts w:ascii="仿宋_GB2312" w:hAnsi="Times New Roman" w:eastAsia="仿宋_GB2312" w:cs="Times New Roman"/>
      <w:sz w:val="28"/>
      <w:szCs w:val="28"/>
    </w:rPr>
  </w:style>
  <w:style w:type="character" w:customStyle="1" w:styleId="108">
    <w:name w:val="正文文本 Char"/>
    <w:qFormat/>
    <w:uiPriority w:val="99"/>
    <w:rPr>
      <w:rFonts w:ascii="仿宋_GB2312" w:hAnsi="Times New Roman" w:eastAsia="仿宋_GB2312"/>
      <w:sz w:val="28"/>
    </w:rPr>
  </w:style>
  <w:style w:type="character" w:customStyle="1" w:styleId="109">
    <w:name w:val="EmailStyle191"/>
    <w:semiHidden/>
    <w:qFormat/>
    <w:uiPriority w:val="99"/>
    <w:rPr>
      <w:rFonts w:ascii="Arial" w:hAnsi="Arial" w:eastAsia="宋体"/>
      <w:color w:val="000080"/>
      <w:sz w:val="20"/>
    </w:rPr>
  </w:style>
  <w:style w:type="character" w:customStyle="1" w:styleId="110">
    <w:name w:val="明显引用 Char"/>
    <w:link w:val="111"/>
    <w:qFormat/>
    <w:locked/>
    <w:uiPriority w:val="99"/>
    <w:rPr>
      <w:rFonts w:ascii="Calibri" w:hAnsi="Calibri" w:eastAsia="宋体"/>
      <w:b/>
      <w:i/>
      <w:color w:val="4F81BD"/>
      <w:sz w:val="22"/>
      <w:lang w:val="en-US" w:eastAsia="en-US"/>
    </w:rPr>
  </w:style>
  <w:style w:type="paragraph" w:styleId="111">
    <w:name w:val="Intense Quote"/>
    <w:basedOn w:val="1"/>
    <w:next w:val="1"/>
    <w:link w:val="110"/>
    <w:qFormat/>
    <w:uiPriority w:val="99"/>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rPr>
  </w:style>
  <w:style w:type="character" w:customStyle="1" w:styleId="112">
    <w:name w:val="Intense Quote Char1"/>
    <w:basedOn w:val="66"/>
    <w:qFormat/>
    <w:uiPriority w:val="30"/>
    <w:rPr>
      <w:b/>
      <w:bCs/>
      <w:i/>
      <w:iCs/>
      <w:color w:val="4F81BD" w:themeColor="accent1"/>
      <w:szCs w:val="20"/>
      <w14:textFill>
        <w14:solidFill>
          <w14:schemeClr w14:val="accent1"/>
        </w14:solidFill>
      </w14:textFill>
    </w:rPr>
  </w:style>
  <w:style w:type="character" w:customStyle="1" w:styleId="113">
    <w:name w:val="Heading 3 - old Char"/>
    <w:qFormat/>
    <w:uiPriority w:val="99"/>
    <w:rPr>
      <w:rFonts w:ascii="Calibri" w:hAnsi="Calibri"/>
      <w:b/>
      <w:kern w:val="2"/>
      <w:sz w:val="32"/>
    </w:rPr>
  </w:style>
  <w:style w:type="character" w:customStyle="1" w:styleId="114">
    <w:name w:val="普通文字 Char Char4"/>
    <w:qFormat/>
    <w:uiPriority w:val="99"/>
    <w:rPr>
      <w:rFonts w:ascii="宋体" w:hAnsi="Courier New" w:eastAsia="宋体"/>
      <w:sz w:val="21"/>
      <w:lang w:val="en-US" w:eastAsia="zh-CN"/>
    </w:rPr>
  </w:style>
  <w:style w:type="character" w:customStyle="1" w:styleId="115">
    <w:name w:val="Char Char14"/>
    <w:qFormat/>
    <w:uiPriority w:val="99"/>
    <w:rPr>
      <w:rFonts w:ascii="宋体" w:hAnsi="Courier New" w:eastAsia="宋体"/>
      <w:sz w:val="21"/>
      <w:lang w:val="en-US" w:eastAsia="zh-CN"/>
    </w:rPr>
  </w:style>
  <w:style w:type="character" w:customStyle="1" w:styleId="116">
    <w:name w:val="访问过的超链接1"/>
    <w:qFormat/>
    <w:uiPriority w:val="99"/>
    <w:rPr>
      <w:color w:val="800080"/>
      <w:u w:val="single"/>
    </w:rPr>
  </w:style>
  <w:style w:type="character" w:customStyle="1" w:styleId="117">
    <w:name w:val="large1"/>
    <w:qFormat/>
    <w:uiPriority w:val="99"/>
    <w:rPr>
      <w:rFonts w:ascii="宋体" w:hAnsi="宋体" w:eastAsia="宋体"/>
      <w:sz w:val="21"/>
    </w:rPr>
  </w:style>
  <w:style w:type="character" w:customStyle="1" w:styleId="118">
    <w:name w:val="不明显参考1"/>
    <w:qFormat/>
    <w:uiPriority w:val="99"/>
    <w:rPr>
      <w:smallCaps/>
      <w:color w:val="C0504D"/>
      <w:u w:val="single"/>
    </w:rPr>
  </w:style>
  <w:style w:type="character" w:customStyle="1" w:styleId="119">
    <w:name w:val="正文文本 3 Char1"/>
    <w:semiHidden/>
    <w:qFormat/>
    <w:uiPriority w:val="99"/>
    <w:rPr>
      <w:rFonts w:ascii="仿宋_GB2312" w:hAnsi="Times New Roman" w:eastAsia="仿宋_GB2312"/>
      <w:sz w:val="16"/>
    </w:rPr>
  </w:style>
  <w:style w:type="character" w:customStyle="1" w:styleId="120">
    <w:name w:val="style321"/>
    <w:qFormat/>
    <w:uiPriority w:val="99"/>
    <w:rPr>
      <w:b/>
      <w:color w:val="FF9900"/>
      <w:sz w:val="23"/>
    </w:rPr>
  </w:style>
  <w:style w:type="character" w:customStyle="1" w:styleId="121">
    <w:name w:val="标书正文格式 Char"/>
    <w:link w:val="122"/>
    <w:qFormat/>
    <w:locked/>
    <w:uiPriority w:val="99"/>
    <w:rPr>
      <w:rFonts w:ascii="楷体_GB2312" w:eastAsia="楷体_GB2312"/>
      <w:color w:val="000000"/>
      <w:kern w:val="2"/>
      <w:sz w:val="24"/>
      <w:lang w:val="en-US" w:eastAsia="zh-CN"/>
    </w:rPr>
  </w:style>
  <w:style w:type="paragraph" w:customStyle="1" w:styleId="122">
    <w:name w:val="标书正文格式"/>
    <w:link w:val="121"/>
    <w:qFormat/>
    <w:uiPriority w:val="99"/>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23">
    <w:name w:val="标题 3 Char Char"/>
    <w:qFormat/>
    <w:uiPriority w:val="99"/>
    <w:rPr>
      <w:rFonts w:ascii="宋体" w:hAnsi="宋体" w:eastAsia="宋体"/>
      <w:color w:val="666666"/>
      <w:kern w:val="2"/>
      <w:sz w:val="28"/>
      <w:lang w:val="en-US" w:eastAsia="zh-CN"/>
    </w:rPr>
  </w:style>
  <w:style w:type="character" w:customStyle="1" w:styleId="124">
    <w:name w:val="Char Char18"/>
    <w:qFormat/>
    <w:uiPriority w:val="99"/>
    <w:rPr>
      <w:rFonts w:ascii="Cambria" w:hAnsi="Cambria" w:eastAsia="宋体"/>
      <w:i/>
      <w:color w:val="404040"/>
      <w:sz w:val="20"/>
    </w:rPr>
  </w:style>
  <w:style w:type="character" w:customStyle="1" w:styleId="125">
    <w:name w:val="正文文本缩进 Char"/>
    <w:qFormat/>
    <w:uiPriority w:val="99"/>
    <w:rPr>
      <w:rFonts w:ascii="仿宋_GB2312" w:hAnsi="Times New Roman" w:eastAsia="仿宋_GB2312"/>
      <w:sz w:val="28"/>
    </w:rPr>
  </w:style>
  <w:style w:type="character" w:customStyle="1" w:styleId="126">
    <w:name w:val="正文缩进 Char"/>
    <w:link w:val="15"/>
    <w:qFormat/>
    <w:locked/>
    <w:uiPriority w:val="99"/>
    <w:rPr>
      <w:rFonts w:ascii="宋体" w:eastAsia="宋体"/>
      <w:snapToGrid w:val="0"/>
      <w:color w:val="000000"/>
      <w:kern w:val="28"/>
      <w:sz w:val="28"/>
      <w:lang w:val="en-US" w:eastAsia="zh-CN"/>
    </w:rPr>
  </w:style>
  <w:style w:type="character" w:customStyle="1" w:styleId="127">
    <w:name w:val="ca-3"/>
    <w:basedOn w:val="66"/>
    <w:qFormat/>
    <w:uiPriority w:val="99"/>
    <w:rPr>
      <w:rFonts w:cs="Times New Roman"/>
    </w:rPr>
  </w:style>
  <w:style w:type="character" w:customStyle="1" w:styleId="128">
    <w:name w:val="g1"/>
    <w:qFormat/>
    <w:uiPriority w:val="99"/>
    <w:rPr>
      <w:color w:val="008000"/>
    </w:rPr>
  </w:style>
  <w:style w:type="character" w:customStyle="1" w:styleId="129">
    <w:name w:val="www序号1) Char"/>
    <w:link w:val="130"/>
    <w:qFormat/>
    <w:locked/>
    <w:uiPriority w:val="99"/>
    <w:rPr>
      <w:rFonts w:eastAsia="宋体"/>
      <w:sz w:val="24"/>
    </w:rPr>
  </w:style>
  <w:style w:type="paragraph" w:customStyle="1" w:styleId="130">
    <w:name w:val="www序号1)"/>
    <w:basedOn w:val="1"/>
    <w:link w:val="129"/>
    <w:qFormat/>
    <w:uiPriority w:val="99"/>
    <w:pPr>
      <w:tabs>
        <w:tab w:val="left" w:pos="2160"/>
      </w:tabs>
      <w:ind w:left="2160" w:hanging="420"/>
    </w:pPr>
    <w:rPr>
      <w:kern w:val="0"/>
      <w:sz w:val="24"/>
      <w:szCs w:val="24"/>
    </w:rPr>
  </w:style>
  <w:style w:type="character" w:customStyle="1" w:styleId="131">
    <w:name w:val="EHPT Char4"/>
    <w:qFormat/>
    <w:uiPriority w:val="99"/>
    <w:rPr>
      <w:rFonts w:eastAsia="黑体"/>
      <w:b/>
      <w:spacing w:val="20"/>
      <w:kern w:val="52"/>
      <w:sz w:val="24"/>
      <w:lang w:val="en-US" w:eastAsia="zh-CN"/>
    </w:rPr>
  </w:style>
  <w:style w:type="character" w:customStyle="1" w:styleId="132">
    <w:name w:val="font21"/>
    <w:qFormat/>
    <w:uiPriority w:val="99"/>
    <w:rPr>
      <w:rFonts w:ascii="楷体_GB2312" w:eastAsia="楷体_GB2312"/>
      <w:color w:val="000000"/>
      <w:sz w:val="21"/>
      <w:u w:val="single"/>
    </w:rPr>
  </w:style>
  <w:style w:type="character" w:customStyle="1" w:styleId="133">
    <w:name w:val="标题 Char1"/>
    <w:qFormat/>
    <w:uiPriority w:val="99"/>
    <w:rPr>
      <w:rFonts w:ascii="Cambria" w:hAnsi="Cambria" w:eastAsia="宋体"/>
      <w:b/>
      <w:sz w:val="32"/>
    </w:rPr>
  </w:style>
  <w:style w:type="character" w:customStyle="1" w:styleId="134">
    <w:name w:val="font41"/>
    <w:basedOn w:val="66"/>
    <w:qFormat/>
    <w:uiPriority w:val="99"/>
    <w:rPr>
      <w:rFonts w:ascii="宋体" w:hAnsi="宋体" w:eastAsia="宋体" w:cs="宋体"/>
      <w:b/>
      <w:color w:val="000000"/>
      <w:sz w:val="28"/>
      <w:szCs w:val="28"/>
      <w:u w:val="none"/>
    </w:rPr>
  </w:style>
  <w:style w:type="character" w:customStyle="1" w:styleId="135">
    <w:name w:val="H5 Char"/>
    <w:qFormat/>
    <w:uiPriority w:val="99"/>
    <w:rPr>
      <w:rFonts w:ascii="Arial" w:hAnsi="Arial"/>
      <w:sz w:val="22"/>
    </w:rPr>
  </w:style>
  <w:style w:type="character" w:customStyle="1" w:styleId="136">
    <w:name w:val="引用 Char"/>
    <w:link w:val="137"/>
    <w:qFormat/>
    <w:locked/>
    <w:uiPriority w:val="99"/>
    <w:rPr>
      <w:rFonts w:ascii="Calibri" w:hAnsi="Calibri" w:eastAsia="宋体"/>
      <w:i/>
      <w:color w:val="000000"/>
      <w:sz w:val="22"/>
      <w:lang w:val="en-US" w:eastAsia="en-US"/>
    </w:rPr>
  </w:style>
  <w:style w:type="paragraph" w:styleId="137">
    <w:name w:val="Quote"/>
    <w:basedOn w:val="1"/>
    <w:next w:val="1"/>
    <w:link w:val="136"/>
    <w:qFormat/>
    <w:uiPriority w:val="99"/>
    <w:pPr>
      <w:widowControl/>
      <w:spacing w:after="480" w:line="276" w:lineRule="auto"/>
      <w:jc w:val="left"/>
    </w:pPr>
    <w:rPr>
      <w:rFonts w:ascii="Calibri" w:hAnsi="Calibri"/>
      <w:i/>
      <w:iCs/>
      <w:color w:val="000000"/>
      <w:kern w:val="0"/>
      <w:sz w:val="22"/>
      <w:szCs w:val="22"/>
      <w:lang w:eastAsia="en-US"/>
    </w:rPr>
  </w:style>
  <w:style w:type="character" w:customStyle="1" w:styleId="138">
    <w:name w:val="Quote Char1"/>
    <w:basedOn w:val="66"/>
    <w:qFormat/>
    <w:uiPriority w:val="29"/>
    <w:rPr>
      <w:i/>
      <w:iCs/>
      <w:color w:val="000000" w:themeColor="text1"/>
      <w:szCs w:val="20"/>
      <w14:textFill>
        <w14:solidFill>
          <w14:schemeClr w14:val="tx1"/>
        </w14:solidFill>
      </w14:textFill>
    </w:rPr>
  </w:style>
  <w:style w:type="character" w:customStyle="1" w:styleId="139">
    <w:name w:val="unnamed11"/>
    <w:qFormat/>
    <w:uiPriority w:val="99"/>
    <w:rPr>
      <w:sz w:val="18"/>
    </w:rPr>
  </w:style>
  <w:style w:type="character" w:customStyle="1" w:styleId="140">
    <w:name w:val="表格 Char Char"/>
    <w:link w:val="141"/>
    <w:qFormat/>
    <w:locked/>
    <w:uiPriority w:val="99"/>
    <w:rPr>
      <w:rFonts w:ascii="宋体" w:eastAsia="宋体"/>
    </w:rPr>
  </w:style>
  <w:style w:type="paragraph" w:customStyle="1" w:styleId="141">
    <w:name w:val="表格"/>
    <w:basedOn w:val="1"/>
    <w:link w:val="140"/>
    <w:qFormat/>
    <w:uiPriority w:val="99"/>
    <w:pPr>
      <w:snapToGrid w:val="0"/>
      <w:ind w:firstLine="42" w:firstLineChars="21"/>
    </w:pPr>
    <w:rPr>
      <w:rFonts w:ascii="宋体" w:hAnsi="宋体"/>
      <w:kern w:val="0"/>
      <w:sz w:val="20"/>
    </w:rPr>
  </w:style>
  <w:style w:type="character" w:customStyle="1" w:styleId="142">
    <w:name w:val="文字 Char"/>
    <w:link w:val="143"/>
    <w:qFormat/>
    <w:locked/>
    <w:uiPriority w:val="99"/>
    <w:rPr>
      <w:rFonts w:ascii="宋体" w:hAnsi="宋体" w:eastAsia="宋体"/>
      <w:sz w:val="28"/>
    </w:rPr>
  </w:style>
  <w:style w:type="paragraph" w:customStyle="1" w:styleId="143">
    <w:name w:val="文字"/>
    <w:basedOn w:val="1"/>
    <w:link w:val="142"/>
    <w:qFormat/>
    <w:uiPriority w:val="99"/>
    <w:pPr>
      <w:tabs>
        <w:tab w:val="left" w:pos="8520"/>
      </w:tabs>
      <w:spacing w:line="312" w:lineRule="auto"/>
      <w:ind w:right="-210" w:firstLine="556"/>
    </w:pPr>
    <w:rPr>
      <w:rFonts w:ascii="宋体" w:hAnsi="宋体"/>
      <w:kern w:val="0"/>
      <w:sz w:val="28"/>
    </w:rPr>
  </w:style>
  <w:style w:type="character" w:customStyle="1" w:styleId="144">
    <w:name w:val="日期 Char1"/>
    <w:semiHidden/>
    <w:qFormat/>
    <w:uiPriority w:val="99"/>
    <w:rPr>
      <w:rFonts w:ascii="仿宋_GB2312" w:hAnsi="Times New Roman" w:eastAsia="仿宋_GB2312"/>
      <w:sz w:val="28"/>
    </w:rPr>
  </w:style>
  <w:style w:type="character" w:customStyle="1" w:styleId="145">
    <w:name w:val="明显参考1"/>
    <w:qFormat/>
    <w:uiPriority w:val="99"/>
    <w:rPr>
      <w:b/>
      <w:smallCaps/>
      <w:color w:val="C0504D"/>
      <w:spacing w:val="5"/>
      <w:u w:val="single"/>
    </w:rPr>
  </w:style>
  <w:style w:type="character" w:customStyle="1" w:styleId="146">
    <w:name w:val="text9"/>
    <w:basedOn w:val="66"/>
    <w:qFormat/>
    <w:uiPriority w:val="99"/>
    <w:rPr>
      <w:rFonts w:cs="Times New Roman"/>
    </w:rPr>
  </w:style>
  <w:style w:type="character" w:customStyle="1" w:styleId="147">
    <w:name w:val="正文文本 Char1"/>
    <w:semiHidden/>
    <w:qFormat/>
    <w:uiPriority w:val="99"/>
    <w:rPr>
      <w:rFonts w:ascii="仿宋_GB2312" w:hAnsi="Times New Roman" w:eastAsia="仿宋_GB2312"/>
      <w:sz w:val="28"/>
    </w:rPr>
  </w:style>
  <w:style w:type="character" w:customStyle="1" w:styleId="148">
    <w:name w:val="正文（绿盟科技） Char Char"/>
    <w:link w:val="149"/>
    <w:qFormat/>
    <w:locked/>
    <w:uiPriority w:val="99"/>
    <w:rPr>
      <w:rFonts w:ascii="Arial" w:hAnsi="Arial"/>
      <w:sz w:val="21"/>
      <w:lang w:val="en-US" w:eastAsia="zh-CN"/>
    </w:rPr>
  </w:style>
  <w:style w:type="paragraph" w:customStyle="1" w:styleId="149">
    <w:name w:val="正文（绿盟科技）"/>
    <w:link w:val="148"/>
    <w:qFormat/>
    <w:uiPriority w:val="99"/>
    <w:pPr>
      <w:spacing w:line="300" w:lineRule="auto"/>
    </w:pPr>
    <w:rPr>
      <w:rFonts w:ascii="Arial" w:hAnsi="Arial" w:eastAsia="宋体" w:cs="Times New Roman"/>
      <w:kern w:val="0"/>
      <w:sz w:val="21"/>
      <w:szCs w:val="20"/>
      <w:lang w:val="en-US" w:eastAsia="zh-CN" w:bidi="ar-SA"/>
    </w:rPr>
  </w:style>
  <w:style w:type="character" w:customStyle="1" w:styleId="150">
    <w:name w:val="明显强调1"/>
    <w:qFormat/>
    <w:uiPriority w:val="99"/>
    <w:rPr>
      <w:b/>
      <w:i/>
      <w:color w:val="4F81BD"/>
    </w:rPr>
  </w:style>
  <w:style w:type="character" w:customStyle="1" w:styleId="151">
    <w:name w:val="EHPT Char"/>
    <w:qFormat/>
    <w:uiPriority w:val="99"/>
    <w:rPr>
      <w:rFonts w:ascii="Calibri" w:hAnsi="Calibri" w:eastAsia="宋体"/>
      <w:kern w:val="2"/>
      <w:sz w:val="22"/>
      <w:lang w:val="en-US" w:eastAsia="zh-CN"/>
    </w:rPr>
  </w:style>
  <w:style w:type="character" w:customStyle="1" w:styleId="152">
    <w:name w:val="ca-9"/>
    <w:basedOn w:val="66"/>
    <w:qFormat/>
    <w:uiPriority w:val="99"/>
    <w:rPr>
      <w:rFonts w:cs="Times New Roman"/>
    </w:rPr>
  </w:style>
  <w:style w:type="character" w:customStyle="1" w:styleId="153">
    <w:name w:val="Char Char20"/>
    <w:qFormat/>
    <w:uiPriority w:val="99"/>
    <w:rPr>
      <w:rFonts w:ascii="Cambria" w:hAnsi="Cambria" w:eastAsia="宋体"/>
      <w:i/>
      <w:color w:val="404040"/>
    </w:rPr>
  </w:style>
  <w:style w:type="character" w:customStyle="1" w:styleId="154">
    <w:name w:val="bulletintext1"/>
    <w:qFormat/>
    <w:uiPriority w:val="99"/>
    <w:rPr>
      <w:color w:val="000000"/>
      <w:sz w:val="18"/>
    </w:rPr>
  </w:style>
  <w:style w:type="character" w:customStyle="1" w:styleId="155">
    <w:name w:val="PI Char1"/>
    <w:qFormat/>
    <w:uiPriority w:val="99"/>
    <w:rPr>
      <w:rFonts w:ascii="仿宋_GB2312" w:eastAsia="仿宋_GB2312"/>
      <w:kern w:val="2"/>
      <w:sz w:val="28"/>
      <w:lang w:val="zh-CN" w:eastAsia="zh-CN"/>
    </w:rPr>
  </w:style>
  <w:style w:type="character" w:customStyle="1" w:styleId="156">
    <w:name w:val="正文文本缩进 Char1"/>
    <w:semiHidden/>
    <w:qFormat/>
    <w:uiPriority w:val="99"/>
    <w:rPr>
      <w:rFonts w:ascii="仿宋_GB2312" w:hAnsi="Times New Roman" w:eastAsia="仿宋_GB2312"/>
      <w:sz w:val="28"/>
    </w:rPr>
  </w:style>
  <w:style w:type="character" w:customStyle="1" w:styleId="157">
    <w:name w:val="h1 Char"/>
    <w:qFormat/>
    <w:uiPriority w:val="99"/>
    <w:rPr>
      <w:rFonts w:ascii="Calibri" w:hAnsi="Calibri"/>
      <w:b/>
      <w:kern w:val="44"/>
      <w:sz w:val="44"/>
    </w:rPr>
  </w:style>
  <w:style w:type="character" w:customStyle="1" w:styleId="158">
    <w:name w:val="Heading 2 Hidden Char1"/>
    <w:qFormat/>
    <w:uiPriority w:val="99"/>
    <w:rPr>
      <w:rFonts w:ascii="Arial" w:hAnsi="Arial" w:eastAsia="黑体"/>
      <w:b/>
      <w:kern w:val="2"/>
      <w:sz w:val="32"/>
    </w:rPr>
  </w:style>
  <w:style w:type="character" w:customStyle="1" w:styleId="159">
    <w:name w:val="H6 Char1"/>
    <w:qFormat/>
    <w:uiPriority w:val="99"/>
    <w:rPr>
      <w:rFonts w:ascii="Arial" w:hAnsi="Arial" w:eastAsia="宋体"/>
      <w:i/>
      <w:sz w:val="28"/>
    </w:rPr>
  </w:style>
  <w:style w:type="character" w:customStyle="1" w:styleId="160">
    <w:name w:val="Char Char4"/>
    <w:qFormat/>
    <w:uiPriority w:val="99"/>
    <w:rPr>
      <w:rFonts w:ascii="仿宋_GB2312" w:eastAsia="仿宋_GB2312"/>
      <w:kern w:val="2"/>
      <w:sz w:val="28"/>
      <w:lang w:val="zh-CN" w:eastAsia="zh-CN"/>
    </w:rPr>
  </w:style>
  <w:style w:type="character" w:customStyle="1" w:styleId="161">
    <w:name w:val="maincontenttable1"/>
    <w:qFormat/>
    <w:uiPriority w:val="99"/>
    <w:rPr>
      <w:sz w:val="18"/>
    </w:rPr>
  </w:style>
  <w:style w:type="character" w:customStyle="1" w:styleId="162">
    <w:name w:val="普通文字 Char Char6"/>
    <w:qFormat/>
    <w:uiPriority w:val="99"/>
    <w:rPr>
      <w:rFonts w:ascii="宋体" w:hAnsi="Courier New" w:eastAsia="仿宋_GB2312"/>
      <w:kern w:val="0"/>
      <w:sz w:val="20"/>
      <w:lang w:val="en-US" w:eastAsia="zh-CN"/>
    </w:rPr>
  </w:style>
  <w:style w:type="character" w:customStyle="1" w:styleId="163">
    <w:name w:val="Heading 2 Hidden Char2"/>
    <w:qFormat/>
    <w:uiPriority w:val="99"/>
    <w:rPr>
      <w:rFonts w:ascii="Cambria" w:hAnsi="Cambria" w:eastAsia="宋体"/>
      <w:b/>
      <w:color w:val="4F81BD"/>
      <w:sz w:val="26"/>
    </w:rPr>
  </w:style>
  <w:style w:type="character" w:customStyle="1" w:styleId="164">
    <w:name w:val="font11"/>
    <w:qFormat/>
    <w:uiPriority w:val="99"/>
    <w:rPr>
      <w:rFonts w:ascii="楷体_GB2312" w:eastAsia="楷体_GB2312"/>
      <w:color w:val="000000"/>
      <w:sz w:val="21"/>
      <w:u w:val="none"/>
    </w:rPr>
  </w:style>
  <w:style w:type="character" w:customStyle="1" w:styleId="165">
    <w:name w:val="批注主题 Char1"/>
    <w:semiHidden/>
    <w:qFormat/>
    <w:uiPriority w:val="99"/>
    <w:rPr>
      <w:rFonts w:ascii="仿宋_GB2312" w:eastAsia="仿宋_GB2312"/>
      <w:b/>
      <w:kern w:val="2"/>
      <w:sz w:val="28"/>
      <w:lang w:val="en-US" w:eastAsia="zh-CN"/>
    </w:rPr>
  </w:style>
  <w:style w:type="character" w:customStyle="1" w:styleId="166">
    <w:name w:val="页脚 Char1"/>
    <w:semiHidden/>
    <w:qFormat/>
    <w:uiPriority w:val="99"/>
    <w:rPr>
      <w:rFonts w:ascii="仿宋_GB2312" w:hAnsi="Times New Roman" w:eastAsia="仿宋_GB2312"/>
      <w:sz w:val="18"/>
    </w:rPr>
  </w:style>
  <w:style w:type="character" w:customStyle="1" w:styleId="167">
    <w:name w:val="apple-converted-space"/>
    <w:basedOn w:val="66"/>
    <w:qFormat/>
    <w:uiPriority w:val="99"/>
    <w:rPr>
      <w:rFonts w:cs="Times New Roman"/>
    </w:rPr>
  </w:style>
  <w:style w:type="character" w:customStyle="1" w:styleId="168">
    <w:name w:val="普通文字 Char Char8"/>
    <w:qFormat/>
    <w:uiPriority w:val="99"/>
    <w:rPr>
      <w:rFonts w:ascii="宋体" w:hAnsi="Courier New" w:eastAsia="宋体"/>
    </w:rPr>
  </w:style>
  <w:style w:type="character" w:customStyle="1" w:styleId="169">
    <w:name w:val="EHPT Char3"/>
    <w:qFormat/>
    <w:uiPriority w:val="99"/>
    <w:rPr>
      <w:rFonts w:ascii="Calibri" w:hAnsi="Calibri" w:eastAsia="宋体"/>
    </w:rPr>
  </w:style>
  <w:style w:type="character" w:customStyle="1" w:styleId="170">
    <w:name w:val="PI Char3"/>
    <w:qFormat/>
    <w:uiPriority w:val="99"/>
    <w:rPr>
      <w:rFonts w:ascii="仿宋_GB2312" w:eastAsia="仿宋_GB2312"/>
      <w:kern w:val="2"/>
      <w:sz w:val="28"/>
      <w:lang w:val="zh-CN"/>
    </w:rPr>
  </w:style>
  <w:style w:type="character" w:customStyle="1" w:styleId="171">
    <w:name w:val="番茄花园"/>
    <w:qFormat/>
    <w:uiPriority w:val="99"/>
    <w:rPr>
      <w:rFonts w:ascii="Arial" w:hAnsi="Arial" w:eastAsia="宋体"/>
      <w:color w:val="000080"/>
      <w:sz w:val="20"/>
    </w:rPr>
  </w:style>
  <w:style w:type="character" w:customStyle="1" w:styleId="172">
    <w:name w:val="bullet Char"/>
    <w:qFormat/>
    <w:uiPriority w:val="99"/>
    <w:rPr>
      <w:b/>
      <w:i/>
      <w:sz w:val="24"/>
    </w:rPr>
  </w:style>
  <w:style w:type="character" w:customStyle="1" w:styleId="173">
    <w:name w:val="PI Char"/>
    <w:qFormat/>
    <w:uiPriority w:val="99"/>
    <w:rPr>
      <w:rFonts w:ascii="仿宋_GB2312" w:eastAsia="仿宋_GB2312"/>
      <w:kern w:val="2"/>
      <w:sz w:val="28"/>
      <w:lang w:val="zh-CN" w:eastAsia="zh-CN"/>
    </w:rPr>
  </w:style>
  <w:style w:type="character" w:customStyle="1" w:styleId="174">
    <w:name w:val="font1"/>
    <w:qFormat/>
    <w:uiPriority w:val="99"/>
    <w:rPr>
      <w:color w:val="333333"/>
      <w:sz w:val="18"/>
      <w:u w:val="none"/>
    </w:rPr>
  </w:style>
  <w:style w:type="character" w:customStyle="1" w:styleId="175">
    <w:name w:val="文档结构图 Char1"/>
    <w:semiHidden/>
    <w:qFormat/>
    <w:uiPriority w:val="99"/>
    <w:rPr>
      <w:rFonts w:ascii="宋体" w:hAnsi="Times New Roman" w:eastAsia="宋体"/>
      <w:sz w:val="18"/>
    </w:rPr>
  </w:style>
  <w:style w:type="character" w:customStyle="1" w:styleId="176">
    <w:name w:val="bei2"/>
    <w:basedOn w:val="66"/>
    <w:qFormat/>
    <w:uiPriority w:val="99"/>
    <w:rPr>
      <w:rFonts w:cs="Times New Roman"/>
    </w:rPr>
  </w:style>
  <w:style w:type="character" w:customStyle="1" w:styleId="177">
    <w:name w:val="EHPT Char1"/>
    <w:qFormat/>
    <w:uiPriority w:val="99"/>
    <w:rPr>
      <w:rFonts w:ascii="Calibri" w:hAnsi="Calibri" w:eastAsia="宋体"/>
      <w:kern w:val="2"/>
      <w:sz w:val="22"/>
      <w:lang w:val="en-US" w:eastAsia="zh-CN"/>
    </w:rPr>
  </w:style>
  <w:style w:type="character" w:customStyle="1" w:styleId="178">
    <w:name w:val="EHPT Char2"/>
    <w:qFormat/>
    <w:uiPriority w:val="99"/>
    <w:rPr>
      <w:rFonts w:ascii="Calibri" w:hAnsi="Calibri"/>
      <w:kern w:val="2"/>
      <w:sz w:val="22"/>
    </w:rPr>
  </w:style>
  <w:style w:type="character" w:customStyle="1" w:styleId="179">
    <w:name w:val="Char Char19"/>
    <w:qFormat/>
    <w:uiPriority w:val="99"/>
    <w:rPr>
      <w:rFonts w:ascii="Cambria" w:hAnsi="Cambria" w:eastAsia="宋体"/>
      <w:color w:val="4F81BD"/>
      <w:sz w:val="20"/>
    </w:rPr>
  </w:style>
  <w:style w:type="character" w:customStyle="1" w:styleId="180">
    <w:name w:val="书籍标题1"/>
    <w:qFormat/>
    <w:uiPriority w:val="99"/>
    <w:rPr>
      <w:b/>
      <w:smallCaps/>
      <w:spacing w:val="5"/>
    </w:rPr>
  </w:style>
  <w:style w:type="character" w:customStyle="1" w:styleId="181">
    <w:name w:val="PI Char2"/>
    <w:qFormat/>
    <w:uiPriority w:val="99"/>
    <w:rPr>
      <w:rFonts w:ascii="仿宋_GB2312" w:eastAsia="仿宋_GB2312"/>
      <w:kern w:val="2"/>
      <w:sz w:val="28"/>
      <w:lang w:val="zh-CN" w:eastAsia="zh-CN"/>
    </w:rPr>
  </w:style>
  <w:style w:type="character" w:customStyle="1" w:styleId="182">
    <w:name w:val="ca-10"/>
    <w:basedOn w:val="66"/>
    <w:qFormat/>
    <w:uiPriority w:val="99"/>
    <w:rPr>
      <w:rFonts w:cs="Times New Roman"/>
    </w:rPr>
  </w:style>
  <w:style w:type="character" w:customStyle="1" w:styleId="183">
    <w:name w:val="正文文本 2 Char1"/>
    <w:semiHidden/>
    <w:qFormat/>
    <w:uiPriority w:val="99"/>
    <w:rPr>
      <w:rFonts w:ascii="仿宋_GB2312" w:hAnsi="Times New Roman" w:eastAsia="仿宋_GB2312"/>
      <w:sz w:val="28"/>
    </w:rPr>
  </w:style>
  <w:style w:type="character" w:customStyle="1" w:styleId="184">
    <w:name w:val="14normal1"/>
    <w:qFormat/>
    <w:uiPriority w:val="99"/>
    <w:rPr>
      <w:rFonts w:ascii="??" w:hAnsi="??"/>
      <w:color w:val="000000"/>
      <w:sz w:val="21"/>
    </w:rPr>
  </w:style>
  <w:style w:type="character" w:customStyle="1" w:styleId="185">
    <w:name w:val="正文文本缩进 3 Char1"/>
    <w:semiHidden/>
    <w:qFormat/>
    <w:uiPriority w:val="99"/>
    <w:rPr>
      <w:rFonts w:ascii="仿宋_GB2312" w:hAnsi="Times New Roman" w:eastAsia="仿宋_GB2312"/>
      <w:sz w:val="16"/>
    </w:rPr>
  </w:style>
  <w:style w:type="character" w:customStyle="1" w:styleId="186">
    <w:name w:val="纯文本 Char1"/>
    <w:semiHidden/>
    <w:qFormat/>
    <w:uiPriority w:val="99"/>
    <w:rPr>
      <w:rFonts w:ascii="宋体" w:hAnsi="Courier New" w:eastAsia="宋体"/>
      <w:sz w:val="21"/>
    </w:rPr>
  </w:style>
  <w:style w:type="character" w:customStyle="1" w:styleId="187">
    <w:name w:val="text1"/>
    <w:qFormat/>
    <w:uiPriority w:val="99"/>
    <w:rPr>
      <w:rFonts w:ascii="宋体" w:hAnsi="宋体" w:eastAsia="宋体"/>
      <w:color w:val="000099"/>
      <w:sz w:val="18"/>
    </w:rPr>
  </w:style>
  <w:style w:type="character" w:customStyle="1" w:styleId="188">
    <w:name w:val="表正文 Char"/>
    <w:qFormat/>
    <w:uiPriority w:val="99"/>
    <w:rPr>
      <w:rFonts w:ascii="仿宋_GB2312" w:eastAsia="仿宋_GB2312"/>
      <w:kern w:val="2"/>
      <w:sz w:val="28"/>
    </w:rPr>
  </w:style>
  <w:style w:type="character" w:customStyle="1" w:styleId="189">
    <w:name w:val="不明显强调1"/>
    <w:qFormat/>
    <w:uiPriority w:val="99"/>
    <w:rPr>
      <w:i/>
      <w:color w:val="808080"/>
    </w:rPr>
  </w:style>
  <w:style w:type="character" w:customStyle="1" w:styleId="190">
    <w:name w:val="批注文字 Char"/>
    <w:qFormat/>
    <w:uiPriority w:val="99"/>
    <w:rPr>
      <w:rFonts w:eastAsia="宋体"/>
      <w:kern w:val="2"/>
      <w:sz w:val="24"/>
      <w:lang w:val="en-US" w:eastAsia="zh-CN"/>
    </w:rPr>
  </w:style>
  <w:style w:type="character" w:customStyle="1" w:styleId="191">
    <w:name w:val="Char Char"/>
    <w:qFormat/>
    <w:uiPriority w:val="99"/>
    <w:rPr>
      <w:rFonts w:ascii="宋体" w:hAnsi="宋体" w:eastAsia="宋体"/>
      <w:sz w:val="24"/>
      <w:lang w:val="en-US" w:eastAsia="zh-CN"/>
    </w:rPr>
  </w:style>
  <w:style w:type="paragraph" w:customStyle="1" w:styleId="192">
    <w:name w:val="Char1 Char Char Char Char Char Char Char Char Char Char Char Char Char Char Char"/>
    <w:basedOn w:val="1"/>
    <w:qFormat/>
    <w:uiPriority w:val="99"/>
    <w:rPr>
      <w:szCs w:val="24"/>
    </w:rPr>
  </w:style>
  <w:style w:type="paragraph" w:customStyle="1" w:styleId="193">
    <w:name w:val="Body Text 31"/>
    <w:basedOn w:val="1"/>
    <w:qFormat/>
    <w:uiPriority w:val="99"/>
    <w:rPr>
      <w:rFonts w:ascii="宋体" w:hAnsi="宋体"/>
      <w:b/>
      <w:bCs/>
      <w:kern w:val="0"/>
      <w:sz w:val="24"/>
      <w:szCs w:val="24"/>
    </w:rPr>
  </w:style>
  <w:style w:type="paragraph" w:customStyle="1" w:styleId="194">
    <w:name w:val="RFI List 2"/>
    <w:basedOn w:val="195"/>
    <w:qFormat/>
    <w:uiPriority w:val="99"/>
    <w:pPr>
      <w:tabs>
        <w:tab w:val="left" w:pos="360"/>
        <w:tab w:val="left" w:pos="720"/>
        <w:tab w:val="left" w:pos="1800"/>
      </w:tabs>
    </w:pPr>
    <w:rPr>
      <w:rFonts w:eastAsia="宋体"/>
      <w:b w:val="0"/>
      <w:bCs/>
    </w:rPr>
  </w:style>
  <w:style w:type="paragraph" w:customStyle="1" w:styleId="195">
    <w:name w:val="RFI List 1"/>
    <w:basedOn w:val="196"/>
    <w:qFormat/>
    <w:uiPriority w:val="99"/>
    <w:pPr>
      <w:tabs>
        <w:tab w:val="left" w:pos="360"/>
        <w:tab w:val="left" w:pos="720"/>
        <w:tab w:val="left" w:pos="1800"/>
      </w:tabs>
      <w:spacing w:before="240" w:after="160"/>
      <w:ind w:left="720" w:hanging="720"/>
      <w:outlineLvl w:val="0"/>
    </w:pPr>
    <w:rPr>
      <w:b/>
      <w:color w:val="auto"/>
    </w:rPr>
  </w:style>
  <w:style w:type="paragraph" w:customStyle="1" w:styleId="196">
    <w:name w:val="RFI Heading 3rd Level"/>
    <w:basedOn w:val="1"/>
    <w:qFormat/>
    <w:uiPriority w:val="99"/>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197">
    <w:name w:val="Style Left:  0.81&quot; First line:  0&quot; Line spacing:  1.5 lines Char"/>
    <w:basedOn w:val="1"/>
    <w:qFormat/>
    <w:uiPriority w:val="99"/>
    <w:pPr>
      <w:widowControl/>
      <w:spacing w:line="360" w:lineRule="auto"/>
      <w:ind w:left="1152"/>
    </w:pPr>
    <w:rPr>
      <w:rFonts w:ascii="仿宋_GB2312" w:eastAsia="仿宋_GB2312"/>
      <w:kern w:val="0"/>
      <w:sz w:val="24"/>
      <w:lang w:eastAsia="en-US"/>
    </w:rPr>
  </w:style>
  <w:style w:type="paragraph" w:customStyle="1" w:styleId="198">
    <w:name w:val="Head1"/>
    <w:qFormat/>
    <w:uiPriority w:val="99"/>
    <w:pPr>
      <w:pBdr>
        <w:top w:val="single" w:color="auto" w:sz="6" w:space="1"/>
      </w:pBdr>
      <w:tabs>
        <w:tab w:val="left" w:pos="576"/>
      </w:tabs>
      <w:spacing w:before="28" w:after="28"/>
      <w:ind w:left="840" w:hanging="420"/>
      <w:outlineLvl w:val="1"/>
    </w:pPr>
    <w:rPr>
      <w:rFonts w:ascii="Arial" w:hAnsi="Arial" w:eastAsia="宋体" w:cs="Times New Roman"/>
      <w:b/>
      <w:kern w:val="0"/>
      <w:sz w:val="22"/>
      <w:szCs w:val="20"/>
      <w:lang w:val="en-US" w:eastAsia="en-US" w:bidi="ar-SA"/>
    </w:rPr>
  </w:style>
  <w:style w:type="paragraph" w:customStyle="1" w:styleId="199">
    <w:name w:val="Char"/>
    <w:basedOn w:val="1"/>
    <w:qFormat/>
    <w:uiPriority w:val="99"/>
    <w:rPr>
      <w:rFonts w:ascii="仿宋_GB2312" w:eastAsia="仿宋_GB2312"/>
      <w:sz w:val="28"/>
      <w:szCs w:val="28"/>
    </w:rPr>
  </w:style>
  <w:style w:type="paragraph" w:customStyle="1" w:styleId="200">
    <w:name w:val="Normal 0.51"/>
    <w:basedOn w:val="1"/>
    <w:qFormat/>
    <w:uiPriority w:val="99"/>
    <w:pPr>
      <w:keepNext/>
      <w:keepLines/>
      <w:widowControl/>
      <w:spacing w:before="180" w:after="120"/>
      <w:ind w:left="720"/>
    </w:pPr>
    <w:rPr>
      <w:rFonts w:ascii="仿宋_GB2312" w:eastAsia="仿宋_GB2312"/>
      <w:kern w:val="0"/>
      <w:sz w:val="24"/>
      <w:lang w:val="en-GB" w:eastAsia="en-US"/>
    </w:rPr>
  </w:style>
  <w:style w:type="paragraph" w:customStyle="1" w:styleId="201">
    <w:name w:val="RFI abc 1st Level"/>
    <w:basedOn w:val="1"/>
    <w:qFormat/>
    <w:uiPriority w:val="99"/>
    <w:pPr>
      <w:widowControl/>
      <w:tabs>
        <w:tab w:val="left" w:pos="360"/>
        <w:tab w:val="left" w:pos="1440"/>
      </w:tabs>
      <w:ind w:left="1440" w:hanging="245"/>
    </w:pPr>
    <w:rPr>
      <w:rFonts w:ascii="Arial (W1)" w:hAnsi="Arial (W1)" w:eastAsia="仿宋_GB2312"/>
      <w:kern w:val="0"/>
      <w:sz w:val="24"/>
      <w:szCs w:val="28"/>
      <w:lang w:val="en-GB" w:eastAsia="en-US"/>
    </w:rPr>
  </w:style>
  <w:style w:type="paragraph" w:customStyle="1" w:styleId="202">
    <w:name w:val="方案正文-样式 小四 行距: 1.5 倍行距"/>
    <w:basedOn w:val="1"/>
    <w:qFormat/>
    <w:uiPriority w:val="99"/>
    <w:pPr>
      <w:spacing w:line="360" w:lineRule="auto"/>
      <w:ind w:firstLine="480" w:firstLineChars="200"/>
    </w:pPr>
    <w:rPr>
      <w:rFonts w:ascii="仿宋_GB2312" w:eastAsia="仿宋_GB2312"/>
      <w:sz w:val="24"/>
      <w:szCs w:val="28"/>
    </w:rPr>
  </w:style>
  <w:style w:type="paragraph" w:customStyle="1" w:styleId="203">
    <w:name w:val="www正文"/>
    <w:basedOn w:val="1"/>
    <w:qFormat/>
    <w:uiPriority w:val="99"/>
    <w:pPr>
      <w:ind w:firstLine="480" w:firstLineChars="200"/>
    </w:pPr>
    <w:rPr>
      <w:rFonts w:ascii="仿宋_GB2312" w:eastAsia="仿宋_GB2312"/>
      <w:sz w:val="24"/>
      <w:szCs w:val="28"/>
    </w:rPr>
  </w:style>
  <w:style w:type="paragraph" w:customStyle="1" w:styleId="204">
    <w:name w:val="xl26"/>
    <w:basedOn w:val="1"/>
    <w:qFormat/>
    <w:uiPriority w:val="99"/>
    <w:pPr>
      <w:widowControl/>
      <w:spacing w:before="100" w:beforeAutospacing="1" w:after="100" w:afterAutospacing="1"/>
      <w:jc w:val="center"/>
    </w:pPr>
    <w:rPr>
      <w:rFonts w:ascii="仿宋_GB2312" w:hAnsi="宋体" w:eastAsia="仿宋_GB2312"/>
      <w:kern w:val="0"/>
      <w:sz w:val="24"/>
      <w:szCs w:val="28"/>
    </w:rPr>
  </w:style>
  <w:style w:type="paragraph" w:customStyle="1" w:styleId="205">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1"/>
    </w:rPr>
  </w:style>
  <w:style w:type="paragraph" w:customStyle="1" w:styleId="206">
    <w:name w:val="样式1"/>
    <w:basedOn w:val="4"/>
    <w:qFormat/>
    <w:uiPriority w:val="99"/>
    <w:pPr>
      <w:spacing w:line="415" w:lineRule="auto"/>
      <w:jc w:val="center"/>
    </w:pPr>
    <w:rPr>
      <w:rFonts w:ascii="宋体" w:hAnsi="宋体"/>
      <w:sz w:val="36"/>
      <w:szCs w:val="36"/>
    </w:rPr>
  </w:style>
  <w:style w:type="paragraph" w:customStyle="1" w:styleId="207">
    <w:name w:val="Level 6: (i)"/>
    <w:basedOn w:val="1"/>
    <w:qFormat/>
    <w:uiPriority w:val="99"/>
    <w:pPr>
      <w:widowControl/>
      <w:tabs>
        <w:tab w:val="left" w:pos="2160"/>
      </w:tabs>
      <w:spacing w:before="72" w:after="72"/>
      <w:ind w:left="3780" w:hanging="420"/>
      <w:outlineLvl w:val="8"/>
    </w:pPr>
    <w:rPr>
      <w:rFonts w:ascii="Arial" w:hAnsi="Arial" w:eastAsia="仿宋_GB2312"/>
      <w:kern w:val="0"/>
      <w:sz w:val="20"/>
      <w:lang w:eastAsia="en-US"/>
    </w:rPr>
  </w:style>
  <w:style w:type="paragraph" w:customStyle="1" w:styleId="208">
    <w:name w:val="Level 4: (i)"/>
    <w:basedOn w:val="1"/>
    <w:qFormat/>
    <w:uiPriority w:val="99"/>
    <w:pPr>
      <w:widowControl/>
      <w:tabs>
        <w:tab w:val="left" w:pos="1440"/>
      </w:tabs>
      <w:spacing w:before="72" w:after="72"/>
      <w:ind w:left="2940" w:hanging="420"/>
      <w:outlineLvl w:val="6"/>
    </w:pPr>
    <w:rPr>
      <w:rFonts w:ascii="Arial" w:hAnsi="Arial" w:eastAsia="仿宋_GB2312"/>
      <w:kern w:val="0"/>
      <w:sz w:val="20"/>
      <w:lang w:eastAsia="en-US"/>
    </w:rPr>
  </w:style>
  <w:style w:type="paragraph" w:customStyle="1" w:styleId="209">
    <w:name w:val="Body Text First Indent1"/>
    <w:basedOn w:val="24"/>
    <w:qFormat/>
    <w:uiPriority w:val="99"/>
    <w:pPr>
      <w:spacing w:after="120"/>
      <w:ind w:firstLine="420" w:firstLineChars="100"/>
    </w:pPr>
    <w:rPr>
      <w:rFonts w:ascii="Calibri" w:hAnsi="Calibri" w:eastAsia="宋体"/>
      <w:b w:val="0"/>
      <w:bCs w:val="0"/>
      <w:spacing w:val="0"/>
      <w:kern w:val="0"/>
      <w:sz w:val="24"/>
    </w:rPr>
  </w:style>
  <w:style w:type="paragraph" w:customStyle="1" w:styleId="210">
    <w:name w:val="标题 3.5"/>
    <w:basedOn w:val="5"/>
    <w:qFormat/>
    <w:uiPriority w:val="99"/>
    <w:pPr>
      <w:keepNext w:val="0"/>
      <w:keepLines w:val="0"/>
      <w:spacing w:before="0" w:after="0" w:line="600" w:lineRule="exact"/>
      <w:outlineLvl w:val="9"/>
    </w:pPr>
    <w:rPr>
      <w:rFonts w:ascii="仿宋_GB2312" w:eastAsia="仿宋_GB2312"/>
      <w:b w:val="0"/>
      <w:bCs w:val="0"/>
      <w:sz w:val="31"/>
      <w:szCs w:val="24"/>
    </w:rPr>
  </w:style>
  <w:style w:type="paragraph" w:customStyle="1" w:styleId="211">
    <w:name w:val="正文段"/>
    <w:basedOn w:val="1"/>
    <w:qFormat/>
    <w:uiPriority w:val="99"/>
    <w:pPr>
      <w:widowControl/>
      <w:snapToGrid w:val="0"/>
      <w:spacing w:afterLines="50"/>
      <w:ind w:firstLine="200" w:firstLineChars="200"/>
    </w:pPr>
    <w:rPr>
      <w:kern w:val="0"/>
      <w:sz w:val="24"/>
    </w:rPr>
  </w:style>
  <w:style w:type="paragraph" w:customStyle="1" w:styleId="212">
    <w:name w:val="Level 5: (1)"/>
    <w:basedOn w:val="1"/>
    <w:qFormat/>
    <w:uiPriority w:val="99"/>
    <w:pPr>
      <w:widowControl/>
      <w:tabs>
        <w:tab w:val="left" w:pos="1800"/>
      </w:tabs>
      <w:spacing w:before="72" w:after="72"/>
      <w:ind w:left="3360" w:hanging="420"/>
      <w:outlineLvl w:val="7"/>
    </w:pPr>
    <w:rPr>
      <w:rFonts w:ascii="Arial" w:hAnsi="Arial" w:eastAsia="仿宋_GB2312"/>
      <w:kern w:val="0"/>
      <w:sz w:val="20"/>
      <w:lang w:eastAsia="en-US"/>
    </w:rPr>
  </w:style>
  <w:style w:type="paragraph" w:customStyle="1" w:styleId="213">
    <w:name w:val="PDGInstructions"/>
    <w:basedOn w:val="1"/>
    <w:qFormat/>
    <w:uiPriority w:val="99"/>
    <w:pPr>
      <w:widowControl/>
      <w:spacing w:before="60" w:after="60"/>
      <w:ind w:right="360"/>
      <w:jc w:val="left"/>
    </w:pPr>
    <w:rPr>
      <w:rFonts w:ascii="Garamond" w:hAnsi="Garamond"/>
      <w:color w:val="FF0000"/>
      <w:kern w:val="0"/>
      <w:sz w:val="24"/>
      <w:lang w:eastAsia="en-US"/>
    </w:rPr>
  </w:style>
  <w:style w:type="paragraph" w:customStyle="1" w:styleId="214">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215">
    <w:name w:val="Default Text:1"/>
    <w:basedOn w:val="1"/>
    <w:qFormat/>
    <w:uiPriority w:val="99"/>
    <w:pPr>
      <w:widowControl/>
      <w:jc w:val="left"/>
    </w:pPr>
    <w:rPr>
      <w:rFonts w:ascii="Tahoma" w:hAnsi="Tahoma" w:eastAsia="仿宋_GB2312" w:cs="Tahoma"/>
      <w:kern w:val="0"/>
      <w:sz w:val="24"/>
      <w:szCs w:val="28"/>
      <w:lang w:eastAsia="en-US"/>
    </w:rPr>
  </w:style>
  <w:style w:type="paragraph" w:customStyle="1" w:styleId="216">
    <w:name w:val="Table Text"/>
    <w:basedOn w:val="1"/>
    <w:qFormat/>
    <w:uiPriority w:val="99"/>
    <w:pPr>
      <w:widowControl/>
      <w:spacing w:before="60" w:after="60"/>
      <w:jc w:val="left"/>
    </w:pPr>
    <w:rPr>
      <w:kern w:val="0"/>
      <w:szCs w:val="24"/>
    </w:rPr>
  </w:style>
  <w:style w:type="paragraph" w:customStyle="1" w:styleId="217">
    <w:name w:val="Char2"/>
    <w:basedOn w:val="1"/>
    <w:qFormat/>
    <w:uiPriority w:val="99"/>
    <w:rPr>
      <w:rFonts w:ascii="仿宋_GB2312" w:eastAsia="仿宋_GB2312"/>
      <w:b/>
      <w:sz w:val="32"/>
      <w:szCs w:val="32"/>
    </w:rPr>
  </w:style>
  <w:style w:type="paragraph" w:customStyle="1" w:styleId="218">
    <w:name w:val="批注框文本1"/>
    <w:basedOn w:val="1"/>
    <w:qFormat/>
    <w:uiPriority w:val="99"/>
    <w:pPr>
      <w:widowControl/>
      <w:spacing w:before="120" w:line="360" w:lineRule="auto"/>
      <w:jc w:val="left"/>
    </w:pPr>
    <w:rPr>
      <w:rFonts w:ascii="Tahoma" w:hAnsi="Tahoma" w:eastAsia="仿宋_GB2312" w:cs="Tahoma"/>
      <w:kern w:val="0"/>
      <w:sz w:val="16"/>
      <w:szCs w:val="16"/>
      <w:lang w:val="en-GB" w:eastAsia="en-US"/>
    </w:rPr>
  </w:style>
  <w:style w:type="paragraph" w:customStyle="1" w:styleId="219">
    <w:name w:val="Content Bullet"/>
    <w:basedOn w:val="1"/>
    <w:qFormat/>
    <w:uiPriority w:val="99"/>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20">
    <w:name w:val="1.1.1.1Heading3"/>
    <w:basedOn w:val="5"/>
    <w:qFormat/>
    <w:uiPriority w:val="99"/>
    <w:pPr>
      <w:keepLines w:val="0"/>
      <w:widowControl/>
      <w:tabs>
        <w:tab w:val="left" w:pos="2292"/>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221">
    <w:name w:val="Tabletext"/>
    <w:basedOn w:val="1"/>
    <w:qFormat/>
    <w:uiPriority w:val="99"/>
    <w:pPr>
      <w:keepLines/>
      <w:spacing w:after="120" w:line="240" w:lineRule="atLeast"/>
      <w:jc w:val="left"/>
    </w:pPr>
    <w:rPr>
      <w:rFonts w:ascii="仿宋_GB2312" w:eastAsia="仿宋_GB2312"/>
      <w:kern w:val="0"/>
      <w:sz w:val="24"/>
      <w:lang w:eastAsia="en-US"/>
    </w:rPr>
  </w:style>
  <w:style w:type="paragraph" w:customStyle="1" w:styleId="222">
    <w:name w:val="Style Heading 3 + Line spacing:  1.5 lines"/>
    <w:basedOn w:val="5"/>
    <w:qFormat/>
    <w:uiPriority w:val="99"/>
    <w:pPr>
      <w:keepLines w:val="0"/>
      <w:widowControl/>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223">
    <w:name w:val="Level 2: 1."/>
    <w:qFormat/>
    <w:uiPriority w:val="99"/>
    <w:pPr>
      <w:tabs>
        <w:tab w:val="left" w:pos="720"/>
      </w:tabs>
      <w:spacing w:before="72" w:after="72"/>
      <w:ind w:left="2100" w:hanging="420"/>
      <w:jc w:val="both"/>
      <w:outlineLvl w:val="4"/>
    </w:pPr>
    <w:rPr>
      <w:rFonts w:ascii="Arial" w:hAnsi="Arial" w:eastAsia="宋体" w:cs="Times New Roman"/>
      <w:kern w:val="0"/>
      <w:sz w:val="20"/>
      <w:szCs w:val="20"/>
      <w:lang w:val="en-US" w:eastAsia="en-US" w:bidi="ar-SA"/>
    </w:rPr>
  </w:style>
  <w:style w:type="paragraph" w:customStyle="1" w:styleId="224">
    <w:name w:val="Document Map1"/>
    <w:basedOn w:val="1"/>
    <w:qFormat/>
    <w:uiPriority w:val="99"/>
    <w:rPr>
      <w:rFonts w:ascii="宋体"/>
      <w:kern w:val="0"/>
      <w:sz w:val="18"/>
      <w:szCs w:val="18"/>
    </w:rPr>
  </w:style>
  <w:style w:type="paragraph" w:customStyle="1" w:styleId="225">
    <w:name w:val="样式 样式1 + 加粗 行距: 固定值 20 磅"/>
    <w:basedOn w:val="206"/>
    <w:qFormat/>
    <w:uiPriority w:val="99"/>
    <w:pPr>
      <w:keepNext w:val="0"/>
      <w:keepLines w:val="0"/>
      <w:adjustRightInd w:val="0"/>
      <w:spacing w:before="0" w:after="0" w:line="400" w:lineRule="exact"/>
      <w:jc w:val="both"/>
      <w:textAlignment w:val="baseline"/>
    </w:pPr>
    <w:rPr>
      <w:rFonts w:eastAsia="宋体"/>
      <w:kern w:val="0"/>
      <w:sz w:val="21"/>
      <w:szCs w:val="20"/>
    </w:rPr>
  </w:style>
  <w:style w:type="paragraph" w:customStyle="1" w:styleId="226">
    <w:name w:val="Proposals body"/>
    <w:basedOn w:val="1"/>
    <w:next w:val="1"/>
    <w:qFormat/>
    <w:uiPriority w:val="99"/>
    <w:pPr>
      <w:widowControl/>
      <w:spacing w:line="360" w:lineRule="auto"/>
      <w:jc w:val="left"/>
    </w:pPr>
    <w:rPr>
      <w:rFonts w:ascii="宋体" w:eastAsia="仿宋_GB2312"/>
      <w:color w:val="000000"/>
      <w:kern w:val="0"/>
      <w:sz w:val="24"/>
    </w:rPr>
  </w:style>
  <w:style w:type="paragraph" w:customStyle="1" w:styleId="227">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228">
    <w:name w:val="Default Text"/>
    <w:basedOn w:val="1"/>
    <w:qFormat/>
    <w:uiPriority w:val="99"/>
    <w:pPr>
      <w:widowControl/>
      <w:jc w:val="left"/>
    </w:pPr>
    <w:rPr>
      <w:rFonts w:ascii="Tahoma" w:hAnsi="Tahoma" w:eastAsia="仿宋_GB2312" w:cs="Tahoma"/>
      <w:kern w:val="0"/>
      <w:sz w:val="24"/>
      <w:szCs w:val="28"/>
      <w:lang w:eastAsia="en-US"/>
    </w:rPr>
  </w:style>
  <w:style w:type="paragraph" w:customStyle="1" w:styleId="229">
    <w:name w:val="p18"/>
    <w:basedOn w:val="1"/>
    <w:qFormat/>
    <w:uiPriority w:val="99"/>
    <w:pPr>
      <w:widowControl/>
      <w:spacing w:before="156" w:after="156" w:line="400" w:lineRule="atLeast"/>
    </w:pPr>
    <w:rPr>
      <w:rFonts w:ascii="宋体" w:hAnsi="宋体" w:cs="宋体"/>
      <w:kern w:val="0"/>
      <w:sz w:val="24"/>
      <w:szCs w:val="24"/>
    </w:rPr>
  </w:style>
  <w:style w:type="paragraph" w:customStyle="1" w:styleId="230">
    <w:name w:val="列表内容"/>
    <w:basedOn w:val="1"/>
    <w:next w:val="1"/>
    <w:qFormat/>
    <w:uiPriority w:val="99"/>
    <w:pPr>
      <w:widowControl/>
      <w:tabs>
        <w:tab w:val="left" w:pos="840"/>
      </w:tabs>
      <w:ind w:left="420" w:hanging="420"/>
      <w:jc w:val="left"/>
    </w:pPr>
    <w:rPr>
      <w:rFonts w:ascii="仿宋_GB2312" w:eastAsia="仿宋_GB2312"/>
      <w:kern w:val="0"/>
      <w:sz w:val="18"/>
      <w:szCs w:val="28"/>
    </w:rPr>
  </w:style>
  <w:style w:type="paragraph" w:customStyle="1" w:styleId="231">
    <w:name w:val="正文（缩进）"/>
    <w:basedOn w:val="1"/>
    <w:qFormat/>
    <w:uiPriority w:val="99"/>
    <w:pPr>
      <w:spacing w:beforeLines="50" w:afterLines="50" w:line="360" w:lineRule="auto"/>
      <w:ind w:firstLine="480" w:firstLineChars="200"/>
    </w:pPr>
    <w:rPr>
      <w:rFonts w:ascii="仿宋_GB2312" w:eastAsia="仿宋_GB2312"/>
      <w:sz w:val="24"/>
      <w:szCs w:val="28"/>
    </w:rPr>
  </w:style>
  <w:style w:type="paragraph" w:customStyle="1" w:styleId="232">
    <w:name w:val="Char1 Char Char Char Char Char Char"/>
    <w:basedOn w:val="1"/>
    <w:qFormat/>
    <w:uiPriority w:val="99"/>
    <w:pPr>
      <w:adjustRightInd w:val="0"/>
    </w:pPr>
    <w:rPr>
      <w:rFonts w:ascii="Tahoma" w:hAnsi="Tahoma"/>
      <w:sz w:val="24"/>
    </w:rPr>
  </w:style>
  <w:style w:type="paragraph" w:customStyle="1" w:styleId="233">
    <w:name w:val="列出段落1"/>
    <w:basedOn w:val="1"/>
    <w:qFormat/>
    <w:uiPriority w:val="99"/>
    <w:pPr>
      <w:ind w:firstLine="420" w:firstLineChars="200"/>
    </w:pPr>
    <w:rPr>
      <w:szCs w:val="24"/>
    </w:rPr>
  </w:style>
  <w:style w:type="paragraph" w:customStyle="1" w:styleId="234">
    <w:name w:val="RFI Heading 2nd Level Char"/>
    <w:basedOn w:val="1"/>
    <w:qFormat/>
    <w:uiPriority w:val="99"/>
    <w:pPr>
      <w:widowControl/>
      <w:tabs>
        <w:tab w:val="left" w:pos="1152"/>
      </w:tabs>
      <w:spacing w:before="240" w:after="240"/>
      <w:ind w:left="1152" w:hanging="1152"/>
      <w:jc w:val="left"/>
      <w:outlineLvl w:val="1"/>
    </w:pPr>
    <w:rPr>
      <w:rFonts w:ascii="Arial (W1)" w:hAnsi="Arial (W1)"/>
      <w:b/>
      <w:bCs/>
      <w:color w:val="3366FF"/>
      <w:kern w:val="0"/>
      <w:sz w:val="24"/>
      <w:szCs w:val="28"/>
      <w:lang w:val="en-GB" w:eastAsia="en-US"/>
    </w:rPr>
  </w:style>
  <w:style w:type="paragraph" w:customStyle="1" w:styleId="235">
    <w:name w:val="水印"/>
    <w:basedOn w:val="1"/>
    <w:qFormat/>
    <w:uiPriority w:val="99"/>
    <w:pPr>
      <w:adjustRightInd w:val="0"/>
      <w:spacing w:line="240" w:lineRule="atLeast"/>
      <w:textAlignment w:val="baseline"/>
    </w:pPr>
    <w:rPr>
      <w:rFonts w:ascii="仿宋_GB2312" w:eastAsia="仿宋_GB2312"/>
      <w:kern w:val="0"/>
      <w:sz w:val="28"/>
    </w:rPr>
  </w:style>
  <w:style w:type="paragraph" w:styleId="236">
    <w:name w:val="List Paragraph"/>
    <w:basedOn w:val="1"/>
    <w:qFormat/>
    <w:uiPriority w:val="99"/>
    <w:pPr>
      <w:ind w:firstLine="420" w:firstLineChars="200"/>
    </w:pPr>
    <w:rPr>
      <w:rFonts w:ascii="Calibri" w:hAnsi="Calibri" w:eastAsia="仿宋_GB2312"/>
      <w:sz w:val="28"/>
      <w:szCs w:val="22"/>
    </w:rPr>
  </w:style>
  <w:style w:type="paragraph" w:customStyle="1" w:styleId="237">
    <w:name w:val="小四缩进"/>
    <w:basedOn w:val="1"/>
    <w:qFormat/>
    <w:uiPriority w:val="99"/>
    <w:pPr>
      <w:spacing w:line="360" w:lineRule="auto"/>
      <w:ind w:firstLine="480" w:firstLineChars="200"/>
    </w:pPr>
    <w:rPr>
      <w:sz w:val="24"/>
      <w:szCs w:val="24"/>
    </w:rPr>
  </w:style>
  <w:style w:type="paragraph" w:customStyle="1" w:styleId="238">
    <w:name w:val="Char11"/>
    <w:basedOn w:val="1"/>
    <w:qFormat/>
    <w:uiPriority w:val="99"/>
    <w:rPr>
      <w:rFonts w:ascii="仿宋_GB2312" w:eastAsia="仿宋_GB2312"/>
      <w:b/>
      <w:sz w:val="32"/>
      <w:szCs w:val="32"/>
    </w:rPr>
  </w:style>
  <w:style w:type="paragraph" w:customStyle="1" w:styleId="239">
    <w:name w:val="Level 1: a."/>
    <w:qFormat/>
    <w:uiPriority w:val="99"/>
    <w:pPr>
      <w:tabs>
        <w:tab w:val="left" w:pos="360"/>
      </w:tabs>
      <w:spacing w:before="72" w:after="72"/>
      <w:ind w:left="1680" w:hanging="420"/>
      <w:jc w:val="both"/>
      <w:outlineLvl w:val="3"/>
    </w:pPr>
    <w:rPr>
      <w:rFonts w:ascii="Arial" w:hAnsi="Arial" w:eastAsia="宋体" w:cs="Times New Roman"/>
      <w:kern w:val="0"/>
      <w:sz w:val="20"/>
      <w:szCs w:val="20"/>
      <w:lang w:val="en-US" w:eastAsia="en-US" w:bidi="ar-SA"/>
    </w:rPr>
  </w:style>
  <w:style w:type="paragraph" w:customStyle="1" w:styleId="240">
    <w:name w:val="小条目 Char Char"/>
    <w:basedOn w:val="1"/>
    <w:qFormat/>
    <w:uiPriority w:val="99"/>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241">
    <w:name w:val="标题四正文"/>
    <w:basedOn w:val="1"/>
    <w:qFormat/>
    <w:uiPriority w:val="99"/>
    <w:pPr>
      <w:snapToGrid w:val="0"/>
      <w:spacing w:line="360" w:lineRule="auto"/>
      <w:ind w:firstLine="480" w:firstLineChars="200"/>
      <w:jc w:val="left"/>
    </w:pPr>
    <w:rPr>
      <w:rFonts w:ascii="宋体" w:hAnsi="宋体"/>
      <w:kern w:val="0"/>
      <w:sz w:val="24"/>
      <w:szCs w:val="24"/>
    </w:rPr>
  </w:style>
  <w:style w:type="paragraph" w:customStyle="1" w:styleId="242">
    <w:name w:val="Reset levels"/>
    <w:basedOn w:val="1"/>
    <w:qFormat/>
    <w:uiPriority w:val="99"/>
    <w:pPr>
      <w:widowControl/>
      <w:ind w:left="420" w:hanging="420"/>
      <w:jc w:val="left"/>
    </w:pPr>
    <w:rPr>
      <w:rFonts w:ascii="Arial" w:hAnsi="Arial" w:eastAsia="仿宋_GB2312"/>
      <w:b/>
      <w:kern w:val="0"/>
      <w:sz w:val="24"/>
      <w:lang w:eastAsia="en-US"/>
    </w:rPr>
  </w:style>
  <w:style w:type="paragraph" w:customStyle="1" w:styleId="243">
    <w:name w:val="Style Heading 3 + 11 pt Line spacing:  1.5 lines"/>
    <w:basedOn w:val="5"/>
    <w:qFormat/>
    <w:uiPriority w:val="99"/>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244">
    <w:name w:val="paragraphindent"/>
    <w:basedOn w:val="1"/>
    <w:qFormat/>
    <w:uiPriority w:val="99"/>
    <w:pPr>
      <w:widowControl/>
      <w:spacing w:before="68" w:after="68"/>
      <w:jc w:val="left"/>
    </w:pPr>
    <w:rPr>
      <w:rFonts w:ascii="宋体" w:hAnsi="宋体" w:cs="宋体"/>
      <w:kern w:val="0"/>
      <w:sz w:val="24"/>
      <w:szCs w:val="24"/>
    </w:rPr>
  </w:style>
  <w:style w:type="paragraph" w:customStyle="1" w:styleId="245">
    <w:name w:val="无间隔1"/>
    <w:basedOn w:val="1"/>
    <w:qFormat/>
    <w:uiPriority w:val="99"/>
    <w:pPr>
      <w:widowControl/>
      <w:jc w:val="left"/>
    </w:pPr>
    <w:rPr>
      <w:rFonts w:ascii="Calibri" w:hAnsi="Calibri"/>
      <w:kern w:val="0"/>
      <w:sz w:val="20"/>
      <w:lang w:eastAsia="en-US"/>
    </w:rPr>
  </w:style>
  <w:style w:type="paragraph" w:customStyle="1" w:styleId="246">
    <w:name w:val="p0"/>
    <w:basedOn w:val="1"/>
    <w:qFormat/>
    <w:uiPriority w:val="99"/>
    <w:pPr>
      <w:widowControl/>
    </w:pPr>
    <w:rPr>
      <w:rFonts w:ascii="仿宋_GB2312" w:hAnsi="宋体" w:eastAsia="仿宋_GB2312" w:cs="宋体"/>
      <w:kern w:val="0"/>
      <w:sz w:val="28"/>
      <w:szCs w:val="28"/>
    </w:rPr>
  </w:style>
  <w:style w:type="paragraph" w:customStyle="1" w:styleId="247">
    <w:name w:val="Head2"/>
    <w:qFormat/>
    <w:uiPriority w:val="99"/>
    <w:pPr>
      <w:tabs>
        <w:tab w:val="left" w:pos="576"/>
      </w:tabs>
      <w:spacing w:before="28" w:after="28"/>
      <w:ind w:left="1260" w:hanging="420"/>
      <w:outlineLvl w:val="2"/>
    </w:pPr>
    <w:rPr>
      <w:rFonts w:ascii="Arial" w:hAnsi="Arial" w:eastAsia="宋体" w:cs="Times New Roman"/>
      <w:b/>
      <w:kern w:val="0"/>
      <w:sz w:val="20"/>
      <w:szCs w:val="20"/>
      <w:lang w:val="en-US" w:eastAsia="en-US" w:bidi="ar-SA"/>
    </w:rPr>
  </w:style>
  <w:style w:type="paragraph" w:customStyle="1" w:styleId="248">
    <w:name w:val="xl48"/>
    <w:basedOn w:val="1"/>
    <w:qFormat/>
    <w:uiPriority w:val="99"/>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kern w:val="0"/>
      <w:sz w:val="24"/>
      <w:szCs w:val="28"/>
    </w:rPr>
  </w:style>
  <w:style w:type="paragraph" w:customStyle="1" w:styleId="249">
    <w:name w:val="RFI text from 2nd Level"/>
    <w:basedOn w:val="196"/>
    <w:qFormat/>
    <w:uiPriority w:val="99"/>
    <w:pPr>
      <w:tabs>
        <w:tab w:val="left" w:pos="360"/>
      </w:tabs>
      <w:ind w:left="720"/>
    </w:pPr>
    <w:rPr>
      <w:b/>
      <w:bCs/>
      <w:color w:val="auto"/>
    </w:rPr>
  </w:style>
  <w:style w:type="paragraph" w:customStyle="1" w:styleId="250">
    <w:name w:val="正文缩进4格"/>
    <w:basedOn w:val="251"/>
    <w:qFormat/>
    <w:uiPriority w:val="99"/>
    <w:pPr>
      <w:ind w:left="651" w:leftChars="310" w:firstLine="608" w:firstLineChars="196"/>
    </w:pPr>
    <w:rPr>
      <w:color w:val="000000"/>
    </w:rPr>
  </w:style>
  <w:style w:type="paragraph" w:customStyle="1" w:styleId="251">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252">
    <w:name w:val="tabletextchar"/>
    <w:basedOn w:val="1"/>
    <w:qFormat/>
    <w:uiPriority w:val="99"/>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53">
    <w:name w:val="标题2正文 Char"/>
    <w:basedOn w:val="1"/>
    <w:qFormat/>
    <w:uiPriority w:val="99"/>
    <w:pPr>
      <w:snapToGrid w:val="0"/>
      <w:spacing w:line="360" w:lineRule="auto"/>
      <w:ind w:firstLine="480" w:firstLineChars="200"/>
    </w:pPr>
    <w:rPr>
      <w:sz w:val="24"/>
      <w:szCs w:val="24"/>
    </w:rPr>
  </w:style>
  <w:style w:type="paragraph" w:customStyle="1" w:styleId="254">
    <w:name w:val="正文无缩进"/>
    <w:basedOn w:val="251"/>
    <w:qFormat/>
    <w:uiPriority w:val="99"/>
    <w:pPr>
      <w:ind w:firstLine="0" w:firstLineChars="0"/>
    </w:pPr>
  </w:style>
  <w:style w:type="paragraph" w:customStyle="1" w:styleId="255">
    <w:name w:val="标题3"/>
    <w:basedOn w:val="1"/>
    <w:next w:val="1"/>
    <w:qFormat/>
    <w:uiPriority w:val="99"/>
    <w:pPr>
      <w:keepNext/>
      <w:keepLines/>
      <w:spacing w:beforeLines="50" w:afterLines="50" w:line="360" w:lineRule="auto"/>
      <w:outlineLvl w:val="2"/>
    </w:pPr>
    <w:rPr>
      <w:rFonts w:ascii="仿宋_GB2312" w:eastAsia="仿宋_GB2312"/>
      <w:b/>
      <w:sz w:val="28"/>
      <w:szCs w:val="28"/>
    </w:rPr>
  </w:style>
  <w:style w:type="paragraph" w:customStyle="1" w:styleId="256">
    <w:name w:val="日期右"/>
    <w:basedOn w:val="35"/>
    <w:qFormat/>
    <w:uiPriority w:val="99"/>
    <w:pPr>
      <w:spacing w:line="600" w:lineRule="exact"/>
      <w:ind w:left="0" w:leftChars="0"/>
      <w:jc w:val="right"/>
    </w:pPr>
    <w:rPr>
      <w:rFonts w:ascii="Calibri" w:hAnsi="Calibri" w:eastAsia="仿宋_GB2312"/>
      <w:sz w:val="31"/>
      <w:szCs w:val="24"/>
    </w:rPr>
  </w:style>
  <w:style w:type="paragraph" w:customStyle="1" w:styleId="257">
    <w:name w:val="Bullet 1"/>
    <w:basedOn w:val="1"/>
    <w:qFormat/>
    <w:uiPriority w:val="99"/>
    <w:pPr>
      <w:widowControl/>
      <w:jc w:val="left"/>
    </w:pPr>
    <w:rPr>
      <w:rFonts w:ascii="Tahoma" w:hAnsi="Tahoma" w:eastAsia="仿宋_GB2312" w:cs="Tahoma"/>
      <w:kern w:val="0"/>
      <w:sz w:val="24"/>
      <w:szCs w:val="28"/>
      <w:lang w:eastAsia="en-US"/>
    </w:rPr>
  </w:style>
  <w:style w:type="paragraph" w:customStyle="1" w:styleId="258">
    <w:name w:val="标题3正文"/>
    <w:basedOn w:val="1"/>
    <w:qFormat/>
    <w:uiPriority w:val="99"/>
    <w:pPr>
      <w:snapToGrid w:val="0"/>
      <w:spacing w:line="360" w:lineRule="auto"/>
      <w:ind w:firstLine="480" w:firstLineChars="200"/>
    </w:pPr>
    <w:rPr>
      <w:sz w:val="24"/>
      <w:szCs w:val="24"/>
    </w:rPr>
  </w:style>
  <w:style w:type="paragraph" w:customStyle="1" w:styleId="25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RFI text from 3rd Level"/>
    <w:basedOn w:val="249"/>
    <w:qFormat/>
    <w:uiPriority w:val="99"/>
    <w:pPr>
      <w:tabs>
        <w:tab w:val="left" w:pos="1080"/>
        <w:tab w:val="clear" w:pos="360"/>
      </w:tabs>
    </w:pPr>
    <w:rPr>
      <w:b w:val="0"/>
      <w:lang w:eastAsia="zh-CN"/>
    </w:rPr>
  </w:style>
  <w:style w:type="paragraph" w:customStyle="1" w:styleId="261">
    <w:name w:val="默认段落字体 Para Char"/>
    <w:basedOn w:val="1"/>
    <w:qFormat/>
    <w:uiPriority w:val="99"/>
    <w:pPr>
      <w:spacing w:line="360" w:lineRule="auto"/>
      <w:ind w:firstLine="200" w:firstLineChars="200"/>
    </w:pPr>
    <w:rPr>
      <w:rFonts w:ascii="宋体" w:hAnsi="宋体" w:eastAsia="仿宋_GB2312" w:cs="宋体"/>
      <w:sz w:val="24"/>
      <w:szCs w:val="28"/>
    </w:rPr>
  </w:style>
  <w:style w:type="paragraph" w:customStyle="1" w:styleId="262">
    <w:name w:val="Normal Indent1"/>
    <w:basedOn w:val="1"/>
    <w:qFormat/>
    <w:uiPriority w:val="99"/>
    <w:pPr>
      <w:ind w:firstLine="420"/>
    </w:pPr>
    <w:rPr>
      <w:rFonts w:ascii="Calibri" w:hAnsi="Calibri"/>
      <w:kern w:val="0"/>
      <w:sz w:val="20"/>
    </w:rPr>
  </w:style>
  <w:style w:type="paragraph" w:customStyle="1" w:styleId="263">
    <w:name w:val="RFI Heading 4th Level"/>
    <w:basedOn w:val="196"/>
    <w:qFormat/>
    <w:uiPriority w:val="99"/>
    <w:pPr>
      <w:tabs>
        <w:tab w:val="left" w:pos="1152"/>
        <w:tab w:val="clear" w:pos="720"/>
      </w:tabs>
      <w:spacing w:before="240" w:after="160"/>
      <w:ind w:left="1152" w:hanging="1152"/>
      <w:jc w:val="both"/>
      <w:outlineLvl w:val="2"/>
    </w:pPr>
    <w:rPr>
      <w:rFonts w:eastAsia="宋体"/>
      <w:bCs/>
      <w:color w:val="auto"/>
    </w:rPr>
  </w:style>
  <w:style w:type="paragraph" w:customStyle="1" w:styleId="264">
    <w:name w:val="kp"/>
    <w:basedOn w:val="1"/>
    <w:qFormat/>
    <w:uiPriority w:val="99"/>
    <w:pPr>
      <w:autoSpaceDE w:val="0"/>
      <w:autoSpaceDN w:val="0"/>
      <w:adjustRightInd w:val="0"/>
      <w:spacing w:line="600" w:lineRule="exact"/>
      <w:ind w:firstLine="560"/>
    </w:pPr>
    <w:rPr>
      <w:rFonts w:ascii="仿宋_GB2312" w:eastAsia="仿宋_GB2312"/>
      <w:sz w:val="28"/>
      <w:szCs w:val="28"/>
      <w:lang w:val="zh-CN"/>
    </w:rPr>
  </w:style>
  <w:style w:type="paragraph" w:customStyle="1" w:styleId="265">
    <w:name w:val="Char Char2 Char Char"/>
    <w:basedOn w:val="20"/>
    <w:qFormat/>
    <w:uiPriority w:val="99"/>
    <w:pPr>
      <w:spacing w:line="436" w:lineRule="exact"/>
    </w:pPr>
    <w:rPr>
      <w:rFonts w:ascii="Tahoma" w:hAnsi="Tahoma"/>
      <w:kern w:val="2"/>
      <w:sz w:val="24"/>
      <w:szCs w:val="20"/>
      <w:shd w:val="clear" w:color="auto" w:fill="auto"/>
    </w:rPr>
  </w:style>
  <w:style w:type="paragraph" w:customStyle="1" w:styleId="266">
    <w:name w:val="Char1 Char Char Char"/>
    <w:basedOn w:val="1"/>
    <w:qFormat/>
    <w:uiPriority w:val="99"/>
    <w:pPr>
      <w:ind w:left="420" w:hanging="420"/>
    </w:pPr>
    <w:rPr>
      <w:rFonts w:ascii="仿宋_GB2312" w:eastAsia="仿宋_GB2312"/>
      <w:sz w:val="24"/>
      <w:szCs w:val="28"/>
    </w:rPr>
  </w:style>
  <w:style w:type="paragraph" w:customStyle="1" w:styleId="267">
    <w:name w:val="正文文本 21"/>
    <w:basedOn w:val="1"/>
    <w:qFormat/>
    <w:uiPriority w:val="99"/>
    <w:pPr>
      <w:adjustRightInd w:val="0"/>
      <w:spacing w:line="300" w:lineRule="auto"/>
      <w:jc w:val="center"/>
    </w:pPr>
    <w:rPr>
      <w:rFonts w:ascii="宋体" w:hAnsi="宋体"/>
      <w:sz w:val="24"/>
    </w:rPr>
  </w:style>
  <w:style w:type="paragraph" w:customStyle="1" w:styleId="268">
    <w:name w:val="WPSOffice手动目录 1"/>
    <w:qFormat/>
    <w:uiPriority w:val="99"/>
    <w:rPr>
      <w:rFonts w:ascii="Times New Roman" w:hAnsi="Times New Roman" w:eastAsia="宋体" w:cs="Times New Roman"/>
      <w:kern w:val="0"/>
      <w:sz w:val="20"/>
      <w:szCs w:val="20"/>
      <w:lang w:val="en-US" w:eastAsia="zh-CN" w:bidi="ar-SA"/>
    </w:rPr>
  </w:style>
  <w:style w:type="paragraph" w:styleId="269">
    <w:name w:val="No Spacing"/>
    <w:qFormat/>
    <w:uiPriority w:val="99"/>
    <w:rPr>
      <w:rFonts w:ascii="Times New Roman" w:hAnsi="Times New Roman" w:eastAsia="宋体" w:cs="Times New Roman"/>
      <w:kern w:val="0"/>
      <w:sz w:val="22"/>
      <w:szCs w:val="22"/>
      <w:lang w:val="en-US" w:eastAsia="en-US" w:bidi="ar-SA"/>
    </w:rPr>
  </w:style>
  <w:style w:type="paragraph" w:customStyle="1" w:styleId="270">
    <w:name w:val="Body"/>
    <w:qFormat/>
    <w:uiPriority w:val="99"/>
    <w:pPr>
      <w:spacing w:before="130" w:after="130" w:line="260" w:lineRule="exact"/>
    </w:pPr>
    <w:rPr>
      <w:rFonts w:ascii="Univers" w:hAnsi="Univers" w:eastAsia="宋体" w:cs="Times New Roman"/>
      <w:color w:val="000000"/>
      <w:kern w:val="0"/>
      <w:sz w:val="22"/>
      <w:szCs w:val="20"/>
      <w:lang w:val="en-US" w:eastAsia="en-US" w:bidi="ar-SA"/>
    </w:rPr>
  </w:style>
  <w:style w:type="paragraph" w:customStyle="1" w:styleId="271">
    <w:name w:val="Char Char Char Char Char Char Char Char1 Char"/>
    <w:basedOn w:val="1"/>
    <w:qFormat/>
    <w:uiPriority w:val="99"/>
    <w:rPr>
      <w:rFonts w:ascii="仿宋_GB2312" w:eastAsia="仿宋_GB2312"/>
      <w:sz w:val="28"/>
    </w:rPr>
  </w:style>
  <w:style w:type="paragraph" w:customStyle="1" w:styleId="272">
    <w:name w:val="1 Char Char Char Char"/>
    <w:basedOn w:val="1"/>
    <w:qFormat/>
    <w:uiPriority w:val="99"/>
    <w:rPr>
      <w:rFonts w:ascii="Tahoma" w:hAnsi="Tahoma"/>
      <w:sz w:val="24"/>
    </w:rPr>
  </w:style>
  <w:style w:type="paragraph" w:customStyle="1" w:styleId="273">
    <w:name w:val="Style Body Text Indent 2 + 11 pt Line spacing:  1.5 lines"/>
    <w:basedOn w:val="36"/>
    <w:qFormat/>
    <w:uiPriority w:val="99"/>
    <w:pPr>
      <w:widowControl/>
      <w:tabs>
        <w:tab w:val="left" w:pos="900"/>
      </w:tabs>
      <w:spacing w:line="360" w:lineRule="auto"/>
      <w:ind w:firstLine="0" w:firstLineChars="0"/>
    </w:pPr>
    <w:rPr>
      <w:rFonts w:ascii="宋体" w:hAnsi="宋体"/>
      <w:kern w:val="0"/>
      <w:sz w:val="22"/>
      <w:szCs w:val="20"/>
      <w:lang w:val="en-GB"/>
    </w:rPr>
  </w:style>
  <w:style w:type="paragraph" w:customStyle="1" w:styleId="274">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75">
    <w:name w:val="简单回函地址"/>
    <w:basedOn w:val="1"/>
    <w:qFormat/>
    <w:uiPriority w:val="99"/>
    <w:rPr>
      <w:rFonts w:ascii="宋体" w:hAnsi="宋体" w:eastAsia="仿宋_GB2312"/>
      <w:color w:val="000000"/>
      <w:sz w:val="28"/>
      <w:szCs w:val="21"/>
    </w:rPr>
  </w:style>
  <w:style w:type="paragraph" w:customStyle="1" w:styleId="276">
    <w:name w:val="xl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77">
    <w:name w:val="Char Char Char Char Char Char Char Char1 Char1"/>
    <w:basedOn w:val="1"/>
    <w:qFormat/>
    <w:uiPriority w:val="99"/>
    <w:rPr>
      <w:rFonts w:ascii="仿宋_GB2312" w:eastAsia="仿宋_GB2312"/>
      <w:sz w:val="28"/>
    </w:rPr>
  </w:style>
  <w:style w:type="paragraph" w:customStyle="1" w:styleId="278">
    <w:name w:val="Char Char Char Char"/>
    <w:basedOn w:val="1"/>
    <w:qFormat/>
    <w:uiPriority w:val="99"/>
    <w:pPr>
      <w:widowControl/>
      <w:spacing w:line="400" w:lineRule="exact"/>
      <w:jc w:val="center"/>
    </w:pPr>
    <w:rPr>
      <w:rFonts w:ascii="Verdana" w:hAnsi="Verdana" w:eastAsia="仿宋_GB2312"/>
      <w:kern w:val="0"/>
      <w:sz w:val="28"/>
      <w:lang w:eastAsia="en-US"/>
    </w:rPr>
  </w:style>
  <w:style w:type="paragraph" w:customStyle="1" w:styleId="279">
    <w:name w:val="RFI Heading 1st Level"/>
    <w:basedOn w:val="1"/>
    <w:qFormat/>
    <w:uiPriority w:val="99"/>
    <w:pPr>
      <w:widowControl/>
      <w:spacing w:before="120" w:after="240"/>
      <w:jc w:val="left"/>
    </w:pPr>
    <w:rPr>
      <w:rFonts w:ascii="Arial (W1)" w:hAnsi="Arial (W1)" w:eastAsia="仿宋_GB2312"/>
      <w:b/>
      <w:bCs/>
      <w:color w:val="0000FF"/>
      <w:kern w:val="0"/>
      <w:sz w:val="32"/>
      <w:szCs w:val="28"/>
      <w:lang w:val="en-GB"/>
    </w:rPr>
  </w:style>
  <w:style w:type="paragraph" w:customStyle="1" w:styleId="280">
    <w:name w:val="Char1"/>
    <w:basedOn w:val="1"/>
    <w:qFormat/>
    <w:uiPriority w:val="99"/>
    <w:rPr>
      <w:rFonts w:ascii="Tahoma" w:hAnsi="Tahoma" w:eastAsia="仿宋_GB2312"/>
      <w:sz w:val="24"/>
    </w:rPr>
  </w:style>
  <w:style w:type="paragraph" w:customStyle="1" w:styleId="281">
    <w:name w:val="1.1.1Head2"/>
    <w:qFormat/>
    <w:uiPriority w:val="99"/>
    <w:pPr>
      <w:tabs>
        <w:tab w:val="left" w:pos="1680"/>
        <w:tab w:val="left" w:pos="2880"/>
      </w:tabs>
      <w:spacing w:before="28" w:after="28"/>
      <w:ind w:left="1680" w:hanging="420"/>
      <w:outlineLvl w:val="2"/>
    </w:pPr>
    <w:rPr>
      <w:rFonts w:ascii="Arial" w:hAnsi="Arial" w:eastAsia="宋体" w:cs="Times New Roman"/>
      <w:b/>
      <w:kern w:val="0"/>
      <w:sz w:val="20"/>
      <w:szCs w:val="20"/>
      <w:lang w:val="en-US" w:eastAsia="en-US" w:bidi="ar-SA"/>
    </w:rPr>
  </w:style>
  <w:style w:type="paragraph" w:customStyle="1" w:styleId="282">
    <w:name w:val="Level 3: (a)"/>
    <w:basedOn w:val="1"/>
    <w:qFormat/>
    <w:uiPriority w:val="99"/>
    <w:pPr>
      <w:widowControl/>
      <w:tabs>
        <w:tab w:val="left" w:pos="1080"/>
      </w:tabs>
      <w:spacing w:before="72" w:after="72"/>
      <w:ind w:left="2520" w:hanging="420"/>
      <w:outlineLvl w:val="5"/>
    </w:pPr>
    <w:rPr>
      <w:rFonts w:ascii="Arial" w:hAnsi="Arial" w:eastAsia="仿宋_GB2312"/>
      <w:kern w:val="0"/>
      <w:sz w:val="20"/>
      <w:lang w:eastAsia="en-US"/>
    </w:rPr>
  </w:style>
  <w:style w:type="paragraph" w:customStyle="1" w:styleId="283">
    <w:name w:val="正文缩进6格"/>
    <w:basedOn w:val="250"/>
    <w:qFormat/>
    <w:uiPriority w:val="99"/>
    <w:pPr>
      <w:ind w:left="1758" w:leftChars="854"/>
    </w:pPr>
  </w:style>
  <w:style w:type="paragraph" w:customStyle="1" w:styleId="284">
    <w:name w:val="Char Char Char Char Char Char Char Char Char Char"/>
    <w:basedOn w:val="1"/>
    <w:qFormat/>
    <w:uiPriority w:val="99"/>
    <w:rPr>
      <w:rFonts w:ascii="Tahoma" w:hAnsi="Tahoma"/>
      <w:sz w:val="24"/>
    </w:rPr>
  </w:style>
  <w:style w:type="paragraph" w:customStyle="1" w:styleId="285">
    <w:name w:val="Char12"/>
    <w:basedOn w:val="1"/>
    <w:qFormat/>
    <w:uiPriority w:val="99"/>
    <w:rPr>
      <w:rFonts w:ascii="仿宋_GB2312" w:eastAsia="仿宋_GB2312"/>
      <w:b/>
      <w:sz w:val="32"/>
      <w:szCs w:val="32"/>
    </w:rPr>
  </w:style>
  <w:style w:type="paragraph" w:customStyle="1" w:styleId="286">
    <w:name w:val="标题2正文"/>
    <w:basedOn w:val="1"/>
    <w:qFormat/>
    <w:uiPriority w:val="99"/>
    <w:pPr>
      <w:snapToGrid w:val="0"/>
      <w:spacing w:line="360" w:lineRule="auto"/>
      <w:ind w:firstLine="480" w:firstLineChars="200"/>
    </w:pPr>
    <w:rPr>
      <w:sz w:val="24"/>
      <w:szCs w:val="24"/>
    </w:rPr>
  </w:style>
  <w:style w:type="paragraph" w:customStyle="1" w:styleId="287">
    <w:name w:val="List Paragraph1"/>
    <w:basedOn w:val="1"/>
    <w:qFormat/>
    <w:uiPriority w:val="99"/>
    <w:pPr>
      <w:ind w:firstLine="420" w:firstLineChars="200"/>
    </w:pPr>
    <w:rPr>
      <w:rFonts w:ascii="Calibri" w:hAnsi="Calibri" w:cs="Calibri"/>
      <w:szCs w:val="21"/>
    </w:rPr>
  </w:style>
  <w:style w:type="paragraph" w:customStyle="1" w:styleId="288">
    <w:name w:val="kx"/>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89">
    <w:name w:val="Char21"/>
    <w:basedOn w:val="1"/>
    <w:qFormat/>
    <w:uiPriority w:val="99"/>
    <w:rPr>
      <w:rFonts w:ascii="仿宋_GB2312" w:eastAsia="仿宋_GB2312"/>
      <w:b/>
      <w:sz w:val="32"/>
      <w:szCs w:val="32"/>
    </w:rPr>
  </w:style>
  <w:style w:type="paragraph" w:customStyle="1" w:styleId="290">
    <w:name w:val="1.1 Header2"/>
    <w:basedOn w:val="1"/>
    <w:qFormat/>
    <w:uiPriority w:val="99"/>
    <w:pPr>
      <w:widowControl/>
      <w:jc w:val="left"/>
    </w:pPr>
    <w:rPr>
      <w:rFonts w:ascii="宋体" w:hAnsi="宋体" w:eastAsia="仿宋_GB2312"/>
      <w:color w:val="000000"/>
      <w:kern w:val="0"/>
      <w:sz w:val="24"/>
      <w:szCs w:val="21"/>
    </w:rPr>
  </w:style>
  <w:style w:type="paragraph" w:customStyle="1" w:styleId="291">
    <w:name w:val="金保标题正文"/>
    <w:qFormat/>
    <w:uiPriority w:val="99"/>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292">
    <w:name w:val="项目1"/>
    <w:basedOn w:val="15"/>
    <w:next w:val="15"/>
    <w:qFormat/>
    <w:uiPriority w:val="99"/>
    <w:pPr>
      <w:widowControl w:val="0"/>
      <w:adjustRightInd/>
      <w:snapToGrid/>
      <w:spacing w:beforeLines="50" w:afterLines="50" w:line="360" w:lineRule="auto"/>
      <w:ind w:left="-4" w:leftChars="-2" w:firstLine="468" w:firstLineChars="195"/>
      <w:jc w:val="left"/>
    </w:pPr>
    <w:rPr>
      <w:rFonts w:hAnsi="宋体" w:eastAsia="仿宋_GB2312"/>
      <w:bCs/>
      <w:color w:val="auto"/>
      <w:kern w:val="2"/>
      <w:sz w:val="24"/>
      <w:szCs w:val="24"/>
    </w:rPr>
  </w:style>
  <w:style w:type="paragraph" w:customStyle="1" w:styleId="293">
    <w:name w:val="文档正文"/>
    <w:basedOn w:val="1"/>
    <w:qFormat/>
    <w:uiPriority w:val="99"/>
    <w:rPr>
      <w:rFonts w:ascii="Arial" w:hAnsi="Arial" w:eastAsia="仿宋_GB2312" w:cs="Arial"/>
      <w:bCs/>
      <w:sz w:val="24"/>
      <w:szCs w:val="28"/>
    </w:rPr>
  </w:style>
  <w:style w:type="paragraph" w:customStyle="1" w:styleId="294">
    <w:name w:val="RFI Heading 2nd Level"/>
    <w:basedOn w:val="1"/>
    <w:qFormat/>
    <w:uiPriority w:val="99"/>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95">
    <w:name w:val="条目2"/>
    <w:basedOn w:val="32"/>
    <w:qFormat/>
    <w:uiPriority w:val="99"/>
    <w:pPr>
      <w:tabs>
        <w:tab w:val="left" w:pos="420"/>
      </w:tabs>
      <w:spacing w:line="360" w:lineRule="auto"/>
      <w:ind w:left="420" w:hanging="420"/>
    </w:pPr>
    <w:rPr>
      <w:rFonts w:cs="Courier New"/>
      <w:color w:val="000000"/>
      <w:sz w:val="24"/>
      <w:szCs w:val="21"/>
    </w:rPr>
  </w:style>
  <w:style w:type="paragraph" w:customStyle="1" w:styleId="296">
    <w:name w:val="Achievement"/>
    <w:basedOn w:val="24"/>
    <w:qFormat/>
    <w:uiPriority w:val="99"/>
    <w:pPr>
      <w:widowControl/>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297">
    <w:name w:val="规范正文"/>
    <w:basedOn w:val="1"/>
    <w:qFormat/>
    <w:uiPriority w:val="99"/>
    <w:pPr>
      <w:adjustRightInd w:val="0"/>
      <w:spacing w:line="360" w:lineRule="auto"/>
      <w:ind w:left="480"/>
      <w:textAlignment w:val="baseline"/>
    </w:pPr>
    <w:rPr>
      <w:rFonts w:ascii="仿宋_GB2312" w:eastAsia="仿宋_GB2312"/>
      <w:kern w:val="0"/>
      <w:sz w:val="24"/>
    </w:rPr>
  </w:style>
  <w:style w:type="paragraph" w:customStyle="1" w:styleId="298">
    <w:name w:val="RFI Bullet 1st Level"/>
    <w:basedOn w:val="1"/>
    <w:qFormat/>
    <w:uiPriority w:val="99"/>
    <w:pPr>
      <w:widowControl/>
      <w:spacing w:before="60" w:after="60"/>
      <w:ind w:left="1440" w:hanging="360"/>
    </w:pPr>
    <w:rPr>
      <w:rFonts w:ascii="Arial (W1)" w:hAnsi="Arial (W1)" w:eastAsia="仿宋_GB2312"/>
      <w:kern w:val="0"/>
      <w:sz w:val="24"/>
      <w:szCs w:val="28"/>
      <w:lang w:val="en-GB" w:eastAsia="en-US"/>
    </w:rPr>
  </w:style>
  <w:style w:type="paragraph" w:customStyle="1" w:styleId="299">
    <w:name w:val="BodyText"/>
    <w:basedOn w:val="1"/>
    <w:qFormat/>
    <w:uiPriority w:val="99"/>
    <w:pPr>
      <w:widowControl/>
      <w:spacing w:after="120"/>
      <w:jc w:val="left"/>
    </w:pPr>
    <w:rPr>
      <w:rFonts w:ascii="FuturaA Bk BT" w:hAnsi="FuturaA Bk BT" w:eastAsia="仿宋_GB2312"/>
      <w:kern w:val="0"/>
      <w:sz w:val="20"/>
    </w:rPr>
  </w:style>
  <w:style w:type="paragraph" w:customStyle="1" w:styleId="300">
    <w:name w:val="项目符号2"/>
    <w:basedOn w:val="1"/>
    <w:qFormat/>
    <w:uiPriority w:val="99"/>
    <w:pPr>
      <w:tabs>
        <w:tab w:val="left" w:pos="2591"/>
      </w:tabs>
      <w:snapToGrid w:val="0"/>
      <w:spacing w:line="300" w:lineRule="auto"/>
      <w:ind w:left="2155" w:hanging="284"/>
    </w:pPr>
    <w:rPr>
      <w:rFonts w:ascii="宋体" w:eastAsia="仿宋_GB2312"/>
      <w:sz w:val="24"/>
    </w:rPr>
  </w:style>
  <w:style w:type="paragraph" w:customStyle="1" w:styleId="301">
    <w:name w:val="Char1 Char Char Char1"/>
    <w:basedOn w:val="1"/>
    <w:qFormat/>
    <w:uiPriority w:val="99"/>
    <w:pPr>
      <w:ind w:left="420" w:hanging="420"/>
    </w:pPr>
    <w:rPr>
      <w:rFonts w:ascii="仿宋_GB2312" w:eastAsia="仿宋_GB2312"/>
      <w:sz w:val="24"/>
      <w:szCs w:val="28"/>
    </w:rPr>
  </w:style>
  <w:style w:type="paragraph" w:customStyle="1" w:styleId="302">
    <w:name w:val="Normal 1.0"/>
    <w:basedOn w:val="1"/>
    <w:qFormat/>
    <w:uiPriority w:val="99"/>
    <w:pPr>
      <w:keepLines/>
      <w:widowControl/>
      <w:spacing w:before="180" w:after="120"/>
      <w:ind w:left="1440"/>
    </w:pPr>
    <w:rPr>
      <w:rFonts w:ascii="仿宋_GB2312" w:eastAsia="仿宋_GB2312"/>
      <w:kern w:val="0"/>
      <w:sz w:val="24"/>
      <w:szCs w:val="28"/>
      <w:lang w:val="en-GB" w:eastAsia="en-US"/>
    </w:rPr>
  </w:style>
  <w:style w:type="paragraph" w:customStyle="1" w:styleId="303">
    <w:name w:val="标题 3.1"/>
    <w:basedOn w:val="5"/>
    <w:qFormat/>
    <w:uiPriority w:val="99"/>
    <w:pPr>
      <w:tabs>
        <w:tab w:val="left" w:pos="5614"/>
      </w:tabs>
      <w:spacing w:line="600" w:lineRule="exact"/>
    </w:pPr>
    <w:rPr>
      <w:rFonts w:ascii="仿宋_GB2312"/>
      <w:sz w:val="36"/>
    </w:rPr>
  </w:style>
  <w:style w:type="paragraph" w:customStyle="1" w:styleId="304">
    <w:name w:val="p2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5">
    <w:name w:val="图"/>
    <w:basedOn w:val="1"/>
    <w:qFormat/>
    <w:uiPriority w:val="99"/>
    <w:pPr>
      <w:keepNext/>
      <w:adjustRightInd w:val="0"/>
      <w:spacing w:before="60" w:after="60" w:line="300" w:lineRule="auto"/>
      <w:jc w:val="center"/>
      <w:textAlignment w:val="center"/>
    </w:pPr>
    <w:rPr>
      <w:rFonts w:ascii="仿宋_GB2312" w:eastAsia="仿宋_GB2312"/>
      <w:spacing w:val="20"/>
      <w:kern w:val="0"/>
      <w:sz w:val="24"/>
    </w:rPr>
  </w:style>
  <w:style w:type="paragraph" w:customStyle="1" w:styleId="306">
    <w:name w:val="项目"/>
    <w:basedOn w:val="24"/>
    <w:next w:val="24"/>
    <w:qFormat/>
    <w:uiPriority w:val="99"/>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307">
    <w:name w:val="Char Char1 Char Char"/>
    <w:basedOn w:val="1"/>
    <w:semiHidden/>
    <w:qFormat/>
    <w:uiPriority w:val="99"/>
    <w:rPr>
      <w:rFonts w:ascii="仿宋_GB2312" w:eastAsia="仿宋_GB2312"/>
      <w:sz w:val="28"/>
      <w:szCs w:val="28"/>
    </w:rPr>
  </w:style>
  <w:style w:type="paragraph" w:customStyle="1" w:styleId="308">
    <w:name w:val="Char Char Char1 Char"/>
    <w:basedOn w:val="1"/>
    <w:qFormat/>
    <w:uiPriority w:val="99"/>
  </w:style>
  <w:style w:type="paragraph" w:customStyle="1" w:styleId="309">
    <w:name w:val="正文文本缩进1"/>
    <w:basedOn w:val="1"/>
    <w:qFormat/>
    <w:uiPriority w:val="99"/>
    <w:pPr>
      <w:spacing w:after="120"/>
      <w:ind w:left="420" w:leftChars="200"/>
    </w:pPr>
    <w:rPr>
      <w:sz w:val="24"/>
    </w:rPr>
  </w:style>
  <w:style w:type="paragraph" w:customStyle="1" w:styleId="310">
    <w:name w:val="内文1"/>
    <w:qFormat/>
    <w:uiPriority w:val="99"/>
    <w:pPr>
      <w:spacing w:line="420" w:lineRule="exact"/>
      <w:ind w:firstLine="200" w:firstLineChars="200"/>
      <w:jc w:val="both"/>
    </w:pPr>
    <w:rPr>
      <w:rFonts w:ascii="仿宋_GB2312" w:hAnsi="宋体" w:eastAsia="仿宋_GB2312" w:cs="Times New Roman"/>
      <w:kern w:val="0"/>
      <w:sz w:val="24"/>
      <w:szCs w:val="21"/>
      <w:lang w:val="en-US" w:eastAsia="zh-CN" w:bidi="ar-SA"/>
    </w:rPr>
  </w:style>
  <w:style w:type="paragraph" w:customStyle="1" w:styleId="311">
    <w:name w:val="正文2"/>
    <w:basedOn w:val="1"/>
    <w:qFormat/>
    <w:uiPriority w:val="99"/>
    <w:pPr>
      <w:spacing w:before="156" w:line="360" w:lineRule="auto"/>
      <w:ind w:firstLine="510" w:firstLineChars="200"/>
    </w:pPr>
    <w:rPr>
      <w:rFonts w:ascii="Calibri" w:hAnsi="Calibri"/>
      <w:sz w:val="24"/>
    </w:rPr>
  </w:style>
  <w:style w:type="paragraph" w:customStyle="1" w:styleId="312">
    <w:name w:val="正文 A"/>
    <w:qFormat/>
    <w:uiPriority w:val="99"/>
    <w:pPr>
      <w:spacing w:after="160" w:line="259" w:lineRule="auto"/>
    </w:pPr>
    <w:rPr>
      <w:rFonts w:ascii="Times New Roman" w:hAnsi="Times New Roman" w:eastAsia="ヒラギノ角ゴ Pro W3" w:cs="Times New Roman"/>
      <w:color w:val="000000"/>
      <w:kern w:val="0"/>
      <w:sz w:val="24"/>
      <w:szCs w:val="20"/>
      <w:lang w:val="en-US" w:eastAsia="zh-CN" w:bidi="ar-SA"/>
    </w:rPr>
  </w:style>
  <w:style w:type="paragraph" w:customStyle="1" w:styleId="313">
    <w:name w:val="表"/>
    <w:basedOn w:val="1"/>
    <w:qFormat/>
    <w:uiPriority w:val="0"/>
    <w:pPr>
      <w:adjustRightInd w:val="0"/>
      <w:jc w:val="left"/>
    </w:pPr>
    <w:rPr>
      <w:rFonts w:ascii="宋体" w:hAnsi="宋体"/>
      <w:szCs w:val="22"/>
    </w:rPr>
  </w:style>
  <w:style w:type="character" w:customStyle="1" w:styleId="314">
    <w:name w:val="NormalCharacter"/>
    <w:qFormat/>
    <w:uiPriority w:val="0"/>
  </w:style>
  <w:style w:type="paragraph" w:customStyle="1" w:styleId="315">
    <w:name w:val="179"/>
    <w:basedOn w:val="1"/>
    <w:qFormat/>
    <w:uiPriority w:val="0"/>
    <w:pPr>
      <w:widowControl/>
      <w:ind w:firstLine="420" w:firstLineChars="200"/>
      <w:textAlignment w:val="baseline"/>
    </w:pPr>
    <w:rPr>
      <w:rFonts w:eastAsia="仿宋_GB2312" w:cs="Times New Roman"/>
      <w:sz w:val="28"/>
      <w:szCs w:val="22"/>
    </w:rPr>
  </w:style>
  <w:style w:type="paragraph" w:customStyle="1" w:styleId="316">
    <w:name w:val="Table Paragraph"/>
    <w:basedOn w:val="1"/>
    <w:qFormat/>
    <w:uiPriority w:val="1"/>
  </w:style>
  <w:style w:type="character" w:customStyle="1" w:styleId="317">
    <w:name w:val="font71"/>
    <w:qFormat/>
    <w:uiPriority w:val="0"/>
    <w:rPr>
      <w:rFonts w:ascii="微软雅黑" w:hAnsi="微软雅黑" w:eastAsia="微软雅黑" w:cs="微软雅黑"/>
      <w:color w:val="auto"/>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47</Pages>
  <Words>4623</Words>
  <Characters>26354</Characters>
  <Lines>219</Lines>
  <Paragraphs>61</Paragraphs>
  <TotalTime>37</TotalTime>
  <ScaleCrop>false</ScaleCrop>
  <LinksUpToDate>false</LinksUpToDate>
  <CharactersWithSpaces>30916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2021-02-18T04:43:00Z</dcterms:created>
  <dc:creator>W</dc:creator>
  <cp:lastModifiedBy>成套工程吴世胜</cp:lastModifiedBy>
  <cp:lastPrinted>2021-10-29T04:54:00Z</cp:lastPrinted>
  <dcterms:modified xsi:type="dcterms:W3CDTF">2021-11-05T02:16:57Z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1C9B530546ED4B939DC4C1D2AC312C94</vt:lpwstr>
  </property>
</Properties>
</file>