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lang w:eastAsia="zh-CN"/>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8"/>
          <w:szCs w:val="48"/>
        </w:rPr>
      </w:pPr>
    </w:p>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仙居县人民医院</w:t>
      </w:r>
      <w:r>
        <w:rPr>
          <w:rFonts w:hint="eastAsia" w:ascii="仿宋" w:hAnsi="仿宋" w:eastAsia="仿宋" w:cs="仿宋"/>
          <w:b/>
          <w:bCs/>
          <w:sz w:val="44"/>
          <w:szCs w:val="44"/>
          <w:lang w:val="en-US" w:eastAsia="zh-CN"/>
        </w:rPr>
        <w:t>下各院区</w:t>
      </w:r>
      <w:r>
        <w:rPr>
          <w:rFonts w:hint="eastAsia" w:ascii="仿宋" w:hAnsi="仿宋" w:eastAsia="仿宋" w:cs="仿宋"/>
          <w:b/>
          <w:bCs/>
          <w:sz w:val="44"/>
          <w:szCs w:val="44"/>
          <w:lang w:eastAsia="zh-CN"/>
        </w:rPr>
        <w:t>磁共振</w:t>
      </w:r>
    </w:p>
    <w:p>
      <w:pPr>
        <w:adjustRightInd/>
        <w:spacing w:line="360" w:lineRule="auto"/>
        <w:jc w:val="center"/>
        <w:rPr>
          <w:rFonts w:ascii="仿宋" w:hAnsi="仿宋" w:eastAsia="仿宋" w:cs="仿宋"/>
          <w:b/>
          <w:bCs/>
          <w:sz w:val="48"/>
          <w:szCs w:val="48"/>
        </w:rPr>
      </w:pPr>
      <w:r>
        <w:rPr>
          <w:rFonts w:hint="eastAsia" w:ascii="仿宋" w:hAnsi="仿宋" w:eastAsia="仿宋" w:cs="仿宋"/>
          <w:b/>
          <w:bCs/>
          <w:sz w:val="44"/>
          <w:szCs w:val="44"/>
        </w:rPr>
        <w:t>采购项目</w:t>
      </w:r>
      <w:r>
        <w:rPr>
          <w:rFonts w:hint="eastAsia" w:ascii="仿宋" w:hAnsi="仿宋" w:eastAsia="仿宋" w:cs="仿宋"/>
          <w:b/>
          <w:bCs/>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ZJWS2022-XJXG01</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spacing w:line="360" w:lineRule="auto"/>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仙居县人民医院</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采购代理机构：浙江五石中正工程咨询有限公司</w:t>
      </w:r>
    </w:p>
    <w:p>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二〇二二年</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二十九</w:t>
      </w:r>
      <w:r>
        <w:rPr>
          <w:rFonts w:hint="eastAsia" w:ascii="仿宋" w:hAnsi="仿宋" w:eastAsia="仿宋" w:cs="仿宋"/>
          <w:bCs/>
          <w:color w:val="auto"/>
          <w:sz w:val="32"/>
          <w:szCs w:val="32"/>
        </w:rPr>
        <w:t>日</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36"/>
          <w:szCs w:val="36"/>
        </w:rPr>
      </w:pPr>
      <w:r>
        <w:rPr>
          <w:rFonts w:hint="eastAsia" w:ascii="仿宋" w:hAnsi="仿宋" w:eastAsia="仿宋" w:cs="仿宋"/>
          <w:b/>
          <w:sz w:val="36"/>
          <w:szCs w:val="36"/>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sdt>
      <w:sdtPr>
        <w:rPr>
          <w:rFonts w:hint="eastAsia" w:ascii="仿宋" w:hAnsi="仿宋" w:eastAsia="仿宋" w:cs="仿宋"/>
          <w:sz w:val="32"/>
          <w:szCs w:val="32"/>
        </w:rPr>
        <w:id w:val="147479995"/>
        <w15:color w:val="DBDBDB"/>
        <w:docPartObj>
          <w:docPartGallery w:val="Table of Contents"/>
          <w:docPartUnique/>
        </w:docPartObj>
      </w:sdtPr>
      <w:sdtEndPr>
        <w:rPr>
          <w:rFonts w:hint="eastAsia" w:ascii="仿宋" w:hAnsi="仿宋" w:eastAsia="仿宋" w:cs="仿宋"/>
          <w:sz w:val="32"/>
          <w:szCs w:val="32"/>
        </w:rPr>
      </w:sdtEndPr>
      <w:sdtContent>
        <w:p>
          <w:pPr>
            <w:jc w:val="center"/>
            <w:rPr>
              <w:rFonts w:ascii="仿宋" w:hAnsi="仿宋" w:eastAsia="仿宋" w:cs="仿宋"/>
              <w:sz w:val="32"/>
              <w:szCs w:val="32"/>
            </w:rPr>
          </w:pPr>
          <w:bookmarkStart w:id="1" w:name="_Hlt91233176"/>
          <w:bookmarkEnd w:id="1"/>
          <w:bookmarkStart w:id="2" w:name="_Toc91899869"/>
        </w:p>
        <w:p>
          <w:pPr>
            <w:pStyle w:val="961"/>
            <w:tabs>
              <w:tab w:val="right" w:leader="dot" w:pos="9070"/>
            </w:tabs>
            <w:spacing w:line="360" w:lineRule="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fldChar w:fldCharType="begin"/>
          </w:r>
          <w:r>
            <w:instrText xml:space="preserve"> HYPERLINK \l "_Toc1753" </w:instrText>
          </w:r>
          <w:r>
            <w:fldChar w:fldCharType="separate"/>
          </w:r>
          <w:r>
            <w:rPr>
              <w:rFonts w:hint="eastAsia" w:ascii="仿宋" w:hAnsi="仿宋" w:eastAsia="仿宋" w:cs="仿宋"/>
              <w:sz w:val="32"/>
              <w:szCs w:val="32"/>
            </w:rPr>
            <w:t>第一部分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_Toc1753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"_Toc11466" </w:instrText>
          </w:r>
          <w:r>
            <w:fldChar w:fldCharType="separate"/>
          </w:r>
          <w:r>
            <w:rPr>
              <w:rFonts w:hint="eastAsia" w:ascii="仿宋" w:hAnsi="仿宋" w:eastAsia="仿宋" w:cs="仿宋"/>
              <w:sz w:val="32"/>
              <w:szCs w:val="32"/>
            </w:rPr>
            <w:t>第二部分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_Toc11466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"_Toc27567" </w:instrText>
          </w:r>
          <w:r>
            <w:fldChar w:fldCharType="separate"/>
          </w:r>
          <w:r>
            <w:rPr>
              <w:rFonts w:hint="eastAsia" w:ascii="仿宋" w:hAnsi="仿宋" w:eastAsia="仿宋" w:cs="仿宋"/>
              <w:sz w:val="32"/>
              <w:szCs w:val="32"/>
            </w:rPr>
            <w:t>第三部分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_Toc27567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"_Toc18186" </w:instrText>
          </w:r>
          <w:r>
            <w:fldChar w:fldCharType="separate"/>
          </w:r>
          <w:r>
            <w:rPr>
              <w:rFonts w:hint="eastAsia" w:ascii="仿宋" w:hAnsi="仿宋" w:eastAsia="仿宋" w:cs="仿宋"/>
              <w:sz w:val="32"/>
              <w:szCs w:val="32"/>
            </w:rPr>
            <w:t>第四部分 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_Toc18186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"_Toc19672" </w:instrText>
          </w:r>
          <w:r>
            <w:fldChar w:fldCharType="separate"/>
          </w:r>
          <w:r>
            <w:rPr>
              <w:rFonts w:hint="eastAsia" w:ascii="仿宋" w:hAnsi="仿宋" w:eastAsia="仿宋" w:cs="仿宋"/>
              <w:sz w:val="32"/>
              <w:szCs w:val="32"/>
            </w:rPr>
            <w:t>第五部分 拟签订的合同文本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_Toc19672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"_Toc7454" </w:instrText>
          </w:r>
          <w:r>
            <w:fldChar w:fldCharType="separate"/>
          </w:r>
          <w:r>
            <w:rPr>
              <w:rFonts w:hint="eastAsia" w:ascii="仿宋" w:hAnsi="仿宋" w:eastAsia="仿宋" w:cs="仿宋"/>
              <w:sz w:val="32"/>
              <w:szCs w:val="32"/>
            </w:rPr>
            <w:t>第六部分 应提交的有关格式范例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_Toc7454 \h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line="360" w:lineRule="auto"/>
            <w:ind w:firstLine="732" w:firstLineChars="229"/>
            <w:rPr>
              <w:rFonts w:ascii="仿宋" w:hAnsi="仿宋" w:eastAsia="仿宋" w:cs="仿宋"/>
              <w:sz w:val="32"/>
              <w:szCs w:val="32"/>
            </w:rPr>
          </w:pPr>
          <w:r>
            <w:rPr>
              <w:rFonts w:hint="eastAsia" w:ascii="仿宋" w:hAnsi="仿宋" w:eastAsia="仿宋" w:cs="仿宋"/>
              <w:sz w:val="32"/>
              <w:szCs w:val="32"/>
            </w:rPr>
            <w:fldChar w:fldCharType="end"/>
          </w:r>
        </w:p>
      </w:sdtContent>
    </w:sdt>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_Toc1753"/>
      <w:bookmarkStart w:id="9" w:name="第二部分"/>
      <w:bookmarkStart w:id="10" w:name="_Toc91899870"/>
      <w:bookmarkStart w:id="11" w:name="_Toc91899871"/>
      <w:r>
        <w:rPr>
          <w:rFonts w:hint="eastAsia" w:ascii="仿宋" w:hAnsi="仿宋" w:eastAsia="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w:t>
      </w:r>
      <w:r>
        <w:rPr>
          <w:rFonts w:hint="eastAsia" w:ascii="仿宋" w:hAnsi="仿宋" w:eastAsia="仿宋" w:cs="仿宋"/>
          <w:sz w:val="24"/>
          <w:u w:val="single"/>
          <w:lang w:eastAsia="zh-CN"/>
        </w:rPr>
        <w:t>仙居县人民医院磁共振</w:t>
      </w:r>
      <w:r>
        <w:rPr>
          <w:rFonts w:hint="eastAsia" w:ascii="仿宋" w:hAnsi="仿宋" w:eastAsia="仿宋" w:cs="仿宋"/>
          <w:sz w:val="24"/>
          <w:u w:val="single"/>
        </w:rPr>
        <w:t>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u w:val="single"/>
          <w:lang w:eastAsia="zh-CN"/>
        </w:rPr>
        <w:t>2022年10月21日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w:t>
      </w:r>
      <w:r>
        <w:rPr>
          <w:rFonts w:hint="eastAsia" w:ascii="仿宋" w:hAnsi="仿宋" w:eastAsia="仿宋" w:cs="仿宋"/>
          <w:sz w:val="24"/>
          <w:lang w:eastAsia="zh-CN"/>
        </w:rPr>
        <w:t>ZJWS2022-XJXG01</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w:t>
      </w:r>
      <w:r>
        <w:rPr>
          <w:rFonts w:hint="eastAsia" w:ascii="仿宋" w:hAnsi="仿宋" w:eastAsia="仿宋" w:cs="仿宋"/>
          <w:sz w:val="24"/>
          <w:lang w:eastAsia="zh-CN"/>
        </w:rPr>
        <w:t>磁共振</w:t>
      </w:r>
      <w:r>
        <w:rPr>
          <w:rFonts w:hint="eastAsia" w:ascii="仿宋" w:hAnsi="仿宋" w:eastAsia="仿宋" w:cs="仿宋"/>
          <w:sz w:val="24"/>
        </w:rPr>
        <w:t>采购项目）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sz w:val="24"/>
          <w:lang w:eastAsia="zh-CN"/>
        </w:rPr>
        <w:t>8000000.00</w:t>
      </w:r>
      <w:r>
        <w:rPr>
          <w:rFonts w:hint="eastAsia" w:ascii="仿宋" w:hAnsi="仿宋" w:eastAsia="仿宋" w:cs="仿宋"/>
          <w:sz w:val="24"/>
        </w:rPr>
        <w:t xml:space="preserve"> </w:t>
      </w:r>
    </w:p>
    <w:p>
      <w:pPr>
        <w:spacing w:line="360" w:lineRule="auto"/>
        <w:ind w:firstLine="480"/>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sz w:val="24"/>
          <w:lang w:eastAsia="zh-CN"/>
        </w:rPr>
        <w:t>8000000.00</w:t>
      </w:r>
      <w:r>
        <w:rPr>
          <w:rFonts w:hint="eastAsia" w:ascii="仿宋" w:hAnsi="仿宋" w:eastAsia="仿宋" w:cs="仿宋"/>
          <w:sz w:val="24"/>
        </w:rPr>
        <w:t xml:space="preserve">  </w:t>
      </w:r>
    </w:p>
    <w:p>
      <w:pPr>
        <w:pStyle w:val="7"/>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主要内容：</w:t>
      </w:r>
      <w:r>
        <w:rPr>
          <w:rFonts w:hint="eastAsia" w:ascii="仿宋" w:hAnsi="仿宋" w:eastAsia="仿宋" w:cs="仿宋"/>
          <w:color w:val="auto"/>
          <w:sz w:val="24"/>
          <w:lang w:eastAsia="zh-CN"/>
        </w:rPr>
        <w:t>磁共振</w:t>
      </w:r>
      <w:r>
        <w:rPr>
          <w:rFonts w:hint="eastAsia" w:ascii="仿宋" w:hAnsi="仿宋" w:eastAsia="仿宋" w:cs="仿宋"/>
          <w:color w:val="auto"/>
          <w:sz w:val="24"/>
          <w:lang w:val="en-US" w:eastAsia="zh-CN"/>
        </w:rPr>
        <w:t>一套</w:t>
      </w:r>
      <w:r>
        <w:rPr>
          <w:rFonts w:hint="eastAsia" w:ascii="仿宋" w:hAnsi="仿宋" w:eastAsia="仿宋" w:cs="仿宋"/>
          <w:bCs/>
          <w:snapToGrid/>
          <w:color w:val="auto"/>
          <w:kern w:val="2"/>
          <w:sz w:val="24"/>
          <w:szCs w:val="24"/>
        </w:rPr>
        <w:t>。</w:t>
      </w:r>
    </w:p>
    <w:p>
      <w:pPr>
        <w:pStyle w:val="7"/>
        <w:spacing w:line="360" w:lineRule="auto"/>
        <w:ind w:firstLine="480"/>
        <w:rPr>
          <w:rFonts w:hint="eastAsia" w:ascii="仿宋" w:hAnsi="仿宋" w:eastAsia="仿宋" w:cs="仿宋"/>
          <w:b/>
          <w:snapToGrid/>
          <w:color w:val="auto"/>
          <w:kern w:val="2"/>
          <w:sz w:val="24"/>
          <w:szCs w:val="24"/>
          <w:lang w:val="en-US" w:eastAsia="zh-CN" w:bidi="ar-SA"/>
        </w:rPr>
      </w:pPr>
      <w:r>
        <w:rPr>
          <w:rFonts w:hint="eastAsia" w:ascii="仿宋" w:hAnsi="仿宋" w:eastAsia="仿宋" w:cs="仿宋"/>
          <w:b/>
          <w:snapToGrid/>
          <w:color w:val="auto"/>
          <w:kern w:val="2"/>
          <w:sz w:val="24"/>
          <w:szCs w:val="24"/>
          <w:lang w:val="en-US" w:eastAsia="zh-CN" w:bidi="ar-SA"/>
        </w:rPr>
        <w:t>交货期：</w:t>
      </w:r>
      <w:r>
        <w:rPr>
          <w:rFonts w:hint="eastAsia" w:ascii="仿宋" w:hAnsi="仿宋" w:eastAsia="仿宋" w:cs="仿宋"/>
          <w:b w:val="0"/>
          <w:bCs/>
          <w:snapToGrid/>
          <w:color w:val="auto"/>
          <w:kern w:val="2"/>
          <w:sz w:val="24"/>
          <w:szCs w:val="24"/>
          <w:lang w:val="en-US" w:eastAsia="zh-CN" w:bidi="ar-SA"/>
        </w:rPr>
        <w:t>接到采购方通知后一个月内</w:t>
      </w:r>
    </w:p>
    <w:p>
      <w:pPr>
        <w:pStyle w:val="7"/>
        <w:spacing w:line="360" w:lineRule="auto"/>
        <w:ind w:firstLine="480"/>
        <w:rPr>
          <w:rFonts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lang w:val="en-US" w:eastAsia="zh-CN" w:bidi="ar-SA"/>
        </w:rPr>
      </w:pPr>
      <w:r>
        <w:rPr>
          <w:rFonts w:hint="eastAsia" w:ascii="仿宋" w:hAnsi="仿宋" w:eastAsia="仿宋" w:cs="仿宋"/>
          <w:snapToGrid w:val="0"/>
          <w:color w:val="auto"/>
          <w:kern w:val="28"/>
          <w:sz w:val="24"/>
          <w:szCs w:val="20"/>
          <w:lang w:val="en-US" w:eastAsia="zh-CN" w:bidi="ar-SA"/>
        </w:rPr>
        <w:t xml:space="preserve">    2.落实政府采购政策需满足的资格要求：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u w:val="single"/>
        </w:rPr>
      </w:pPr>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15260493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numPr>
          <w:ilvl w:val="0"/>
          <w:numId w:val="1"/>
        </w:num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本项目的特定资格要求：</w:t>
      </w:r>
      <w:r>
        <w:rPr>
          <w:rFonts w:hint="eastAsia" w:ascii="仿宋" w:hAnsi="仿宋" w:eastAsia="仿宋" w:cs="仿宋"/>
          <w:sz w:val="24"/>
          <w:lang w:val="en-US" w:eastAsia="zh-CN"/>
        </w:rPr>
        <w:t>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lang w:eastAsia="zh-CN"/>
        </w:rPr>
        <w:t>2022年10月21日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lang w:eastAsia="zh-CN"/>
        </w:rPr>
        <w:t>2022年10月21日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lang w:eastAsia="zh-CN"/>
        </w:rPr>
        <w:t>2022年10月21日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lang w:val="en-US" w:eastAsia="zh-CN"/>
        </w:rPr>
        <w:t>七</w:t>
      </w:r>
      <w:r>
        <w:rPr>
          <w:rFonts w:hint="eastAsia" w:ascii="仿宋" w:hAnsi="仿宋" w:eastAsia="仿宋" w:cs="仿宋"/>
          <w:b/>
          <w:sz w:val="24"/>
        </w:rPr>
        <w:t>、对本次采购提出询问、质疑、投诉，请按以下方式联系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sz w:val="24"/>
          <w:lang w:eastAsia="zh-CN"/>
        </w:rPr>
        <w:t>仙居县人民医院</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仙居县城北东路53号</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传  真</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项目联系人（询问）：应林斌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项目联系方式（询问）：0576-87617084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吴永伟</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质疑联系方式：0576</w:t>
      </w:r>
      <w:r>
        <w:rPr>
          <w:rFonts w:hint="eastAsia" w:ascii="仿宋" w:hAnsi="仿宋" w:eastAsia="仿宋" w:cs="仿宋"/>
          <w:sz w:val="24"/>
          <w:lang w:val="en-US" w:eastAsia="zh-CN"/>
        </w:rPr>
        <w:t>-</w:t>
      </w:r>
      <w:r>
        <w:rPr>
          <w:rFonts w:hint="eastAsia" w:ascii="仿宋" w:hAnsi="仿宋" w:eastAsia="仿宋" w:cs="仿宋"/>
          <w:sz w:val="24"/>
        </w:rPr>
        <w:t xml:space="preserve">87617085     </w:t>
      </w:r>
    </w:p>
    <w:p>
      <w:pPr>
        <w:spacing w:line="360" w:lineRule="auto"/>
        <w:ind w:firstLine="480"/>
        <w:rPr>
          <w:rFonts w:ascii="仿宋" w:hAnsi="仿宋" w:eastAsia="仿宋" w:cs="仿宋"/>
          <w:sz w:val="24"/>
        </w:rPr>
      </w:pPr>
      <w:r>
        <w:rPr>
          <w:rFonts w:hint="eastAsia" w:ascii="仿宋" w:hAnsi="仿宋" w:eastAsia="仿宋" w:cs="仿宋"/>
          <w:sz w:val="24"/>
        </w:rPr>
        <w:t xml:space="preserve">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    称：浙江五石中正工程咨询有限公司</w:t>
      </w:r>
    </w:p>
    <w:p>
      <w:pPr>
        <w:spacing w:line="360" w:lineRule="auto"/>
        <w:ind w:firstLine="480"/>
        <w:rPr>
          <w:rFonts w:ascii="仿宋" w:hAnsi="仿宋" w:eastAsia="仿宋" w:cs="仿宋"/>
          <w:sz w:val="24"/>
        </w:rPr>
      </w:pPr>
      <w:r>
        <w:rPr>
          <w:rFonts w:hint="eastAsia" w:ascii="仿宋" w:hAnsi="仿宋" w:eastAsia="仿宋" w:cs="仿宋"/>
          <w:sz w:val="24"/>
        </w:rPr>
        <w:t xml:space="preserve">地    址：杭州市拱墅区白石路318号中国人力资源产业园北楼512室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bCs/>
          <w:kern w:val="0"/>
          <w:sz w:val="24"/>
          <w:lang w:val="en-US" w:eastAsia="zh-CN"/>
        </w:rPr>
        <w:t>曾凯辉</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w:t>
      </w:r>
      <w:r>
        <w:rPr>
          <w:rFonts w:hint="eastAsia" w:ascii="仿宋" w:hAnsi="仿宋" w:eastAsia="仿宋" w:cs="仿宋"/>
          <w:bCs/>
          <w:kern w:val="0"/>
          <w:sz w:val="24"/>
        </w:rPr>
        <w:t>853</w:t>
      </w:r>
      <w:r>
        <w:rPr>
          <w:rFonts w:hint="eastAsia" w:ascii="仿宋" w:hAnsi="仿宋" w:eastAsia="仿宋" w:cs="仿宋"/>
          <w:bCs/>
          <w:kern w:val="0"/>
          <w:sz w:val="24"/>
          <w:lang w:val="en-US" w:eastAsia="zh-CN"/>
        </w:rPr>
        <w:t>40710</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周景霞</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bCs/>
          <w:kern w:val="0"/>
          <w:sz w:val="24"/>
        </w:rPr>
        <w:t>853</w:t>
      </w:r>
      <w:r>
        <w:rPr>
          <w:rFonts w:hint="eastAsia" w:ascii="仿宋" w:hAnsi="仿宋" w:eastAsia="仿宋" w:cs="仿宋"/>
          <w:bCs/>
          <w:kern w:val="0"/>
          <w:sz w:val="24"/>
          <w:lang w:val="en-US" w:eastAsia="zh-CN"/>
        </w:rPr>
        <w:t>73019</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称：仙居县财政局政府采购监管科</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址：浙江省台州市仙居县环城南路500号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联系人：陈女士、郑女士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监督投诉电话：0576-87720209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CA问题联系电话（人工）：汇信CA 400-888-4636；天谷CA 400-087-8198。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bookmarkStart w:id="12" w:name="_Toc11466"/>
      <w:r>
        <w:rPr>
          <w:rFonts w:hint="eastAsia" w:ascii="仿宋" w:hAnsi="仿宋" w:eastAsia="仿宋" w:cs="仿宋"/>
          <w:b/>
          <w:sz w:val="36"/>
          <w:szCs w:val="20"/>
        </w:rPr>
        <w:t>第二部分</w:t>
      </w:r>
      <w:bookmarkEnd w:id="9"/>
      <w:r>
        <w:rPr>
          <w:rFonts w:hint="eastAsia" w:ascii="仿宋" w:hAnsi="仿宋" w:eastAsia="仿宋" w:cs="仿宋"/>
          <w:b/>
          <w:sz w:val="36"/>
          <w:szCs w:val="20"/>
        </w:rPr>
        <w:t xml:space="preserve"> 投标人须知</w:t>
      </w:r>
      <w:bookmarkEnd w:id="10"/>
      <w:bookmarkEnd w:id="12"/>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83"/>
        <w:gridCol w:w="360"/>
        <w:gridCol w:w="4835"/>
        <w:gridCol w:w="1436"/>
        <w:gridCol w:w="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gridSpan w:val="2"/>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4329"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1</w:t>
            </w:r>
          </w:p>
        </w:tc>
        <w:tc>
          <w:tcPr>
            <w:tcW w:w="1843" w:type="dxa"/>
            <w:gridSpan w:val="2"/>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gridSpan w:val="2"/>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461" w:hRule="atLeast"/>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gridSpan w:val="2"/>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271" w:type="dxa"/>
            <w:gridSpan w:val="2"/>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gridSpan w:val="2"/>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271" w:type="dxa"/>
            <w:gridSpan w:val="2"/>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gridSpan w:val="2"/>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7"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ind w:firstLine="240" w:firstLineChars="100"/>
              <w:rPr>
                <w:rFonts w:ascii="仿宋" w:hAnsi="仿宋" w:eastAsia="仿宋" w:cs="仿宋"/>
                <w:sz w:val="24"/>
              </w:rPr>
            </w:pP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5</w:t>
            </w:r>
          </w:p>
        </w:tc>
        <w:tc>
          <w:tcPr>
            <w:tcW w:w="1843" w:type="dxa"/>
            <w:gridSpan w:val="2"/>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 xml:space="preserve"> 7</w:t>
            </w:r>
          </w:p>
        </w:tc>
        <w:tc>
          <w:tcPr>
            <w:tcW w:w="184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1872786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lang w:eastAsia="zh-CN"/>
              </w:rPr>
              <w:t>磁共振</w:t>
            </w:r>
            <w:r>
              <w:rPr>
                <w:rFonts w:hint="eastAsia" w:ascii="仿宋" w:hAnsi="仿宋" w:eastAsia="仿宋" w:cs="仿宋"/>
                <w:sz w:val="24"/>
              </w:rPr>
              <w:t>。</w:t>
            </w:r>
          </w:p>
          <w:p>
            <w:pPr>
              <w:spacing w:line="360" w:lineRule="auto"/>
              <w:rPr>
                <w:rFonts w:ascii="仿宋" w:hAnsi="仿宋" w:eastAsia="仿宋" w:cs="仿宋"/>
                <w:sz w:val="24"/>
              </w:rPr>
            </w:pPr>
            <w:sdt>
              <w:sdtPr>
                <w:rPr>
                  <w:rFonts w:hint="eastAsia" w:ascii="仿宋" w:hAnsi="仿宋" w:eastAsia="仿宋" w:cs="仿宋"/>
                  <w:kern w:val="0"/>
                  <w:sz w:val="24"/>
                </w:rPr>
                <w:id w:val="47488555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磁共振</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144" w:hRule="atLeast"/>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gridSpan w:val="2"/>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为支持和促进中小企业发展，进一步发挥政府采购政策功能，凡已在浙江政府采购网网上注册入库，并取得政府采购合同的中小企业供应商，均可申请政府采购信用融资。供应商若有融资意向，详见《政府采购支持中小企业信用融资相关事项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144" w:hRule="atLeast"/>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gridSpan w:val="2"/>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184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信用信息</w:t>
            </w:r>
            <w:r>
              <w:rPr>
                <w:rFonts w:hint="eastAsia" w:ascii="仿宋" w:hAnsi="仿宋" w:eastAsia="仿宋" w:cs="仿宋"/>
                <w:sz w:val="24"/>
                <w:szCs w:val="24"/>
                <w:lang w:val="en-US" w:eastAsia="zh-CN"/>
              </w:rPr>
              <w:t>查询</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bCs/>
                <w:kern w:val="10"/>
                <w:sz w:val="24"/>
                <w:szCs w:val="24"/>
              </w:rPr>
            </w:pPr>
            <w:r>
              <w:rPr>
                <w:rFonts w:hint="eastAsia" w:ascii="仿宋" w:hAnsi="仿宋" w:eastAsia="仿宋" w:cs="仿宋"/>
                <w:b/>
                <w:bCs/>
                <w:kern w:val="10"/>
                <w:sz w:val="24"/>
                <w:szCs w:val="24"/>
              </w:rPr>
              <w:t>投标人信用信息事项：</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1、信用信息查询渠道及截止时间：项目评审组织人员将通过“信用中国”网站(www.creditchina.gov.cn)、中国政府采购网(www.ccgp.gov.cn)渠道查询投标人投标截止时间前的信用记录。</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2、信用信息查询记录和证据留存的具体方式：项目评审组织人员现场查询投标人的信用记录，查询结果经确认后与采购文件一起存档。</w:t>
            </w:r>
          </w:p>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3、信用信息的使用规则：经查询列入失信被执行人名单、重大税收违法案件当事人名单、政府采购严重违法失信行为记录名单的投标人的投标文件将被拒绝。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734"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13</w:t>
            </w:r>
          </w:p>
        </w:tc>
        <w:tc>
          <w:tcPr>
            <w:tcW w:w="184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杭州市拱墅区白石路318号中国人力资源产业园北楼512室 </w:t>
            </w:r>
            <w:r>
              <w:rPr>
                <w:rFonts w:hint="eastAsia" w:ascii="仿宋" w:hAnsi="仿宋" w:eastAsia="仿宋" w:cs="仿宋"/>
                <w:kern w:val="28"/>
                <w:sz w:val="24"/>
                <w:szCs w:val="24"/>
              </w:rPr>
              <w:t>；备份投标文件签收人员联系电话：</w:t>
            </w:r>
            <w:r>
              <w:rPr>
                <w:rFonts w:hint="eastAsia" w:ascii="仿宋" w:hAnsi="仿宋" w:eastAsia="仿宋" w:cs="仿宋"/>
                <w:kern w:val="28"/>
                <w:sz w:val="24"/>
                <w:szCs w:val="24"/>
                <w:lang w:val="en-US" w:eastAsia="zh-CN"/>
              </w:rPr>
              <w:t>曾凯辉</w:t>
            </w:r>
            <w:r>
              <w:rPr>
                <w:rFonts w:hint="eastAsia" w:ascii="仿宋" w:hAnsi="仿宋" w:eastAsia="仿宋" w:cs="仿宋"/>
                <w:sz w:val="24"/>
                <w:u w:val="single"/>
                <w:lang w:val="en-US" w:eastAsia="zh-CN"/>
              </w:rPr>
              <w:t>18867802550</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4546" w:hRule="atLeast"/>
        </w:trPr>
        <w:tc>
          <w:tcPr>
            <w:tcW w:w="629" w:type="dxa"/>
            <w:tcBorders>
              <w:top w:val="single" w:color="auto" w:sz="4" w:space="0"/>
              <w:left w:val="single" w:color="000000" w:sz="8" w:space="0"/>
              <w:right w:val="single" w:color="000000" w:sz="2" w:space="0"/>
            </w:tcBorders>
            <w:vAlign w:val="center"/>
          </w:tcPr>
          <w:p>
            <w:pPr>
              <w:keepNext w:val="0"/>
              <w:keepLines w:val="0"/>
              <w:pageBreakBefore w:val="0"/>
              <w:kinsoku/>
              <w:wordWrap/>
              <w:overflowPunct/>
              <w:topLinePunct w:val="0"/>
              <w:bidi w:val="0"/>
              <w:snapToGrid w:val="0"/>
              <w:spacing w:line="240" w:lineRule="auto"/>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1843" w:type="dxa"/>
            <w:gridSpan w:val="2"/>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271" w:type="dxa"/>
            <w:gridSpan w:val="2"/>
            <w:tcBorders>
              <w:top w:val="single" w:color="000000" w:sz="8" w:space="0"/>
              <w:left w:val="single" w:color="000000" w:sz="2" w:space="0"/>
              <w:bottom w:val="single" w:color="000000" w:sz="8" w:space="0"/>
              <w:right w:val="single" w:color="000000" w:sz="8" w:space="0"/>
            </w:tcBorders>
            <w:vAlign w:val="center"/>
          </w:tcPr>
          <w:p>
            <w:pPr>
              <w:pStyle w:val="6"/>
              <w:keepNext w:val="0"/>
              <w:keepLines w:val="0"/>
              <w:widowControl/>
              <w:shd w:val="clear" w:color="auto" w:fill="FFFFFF"/>
              <w:spacing w:before="0" w:after="0" w:line="495" w:lineRule="atLeast"/>
              <w:ind w:left="0" w:firstLine="0"/>
              <w:rPr>
                <w:rFonts w:ascii="仿宋" w:hAnsi="仿宋" w:eastAsia="仿宋" w:cs="仿宋"/>
                <w:b w:val="0"/>
                <w:bCs w:val="0"/>
                <w:snapToGrid w:val="0"/>
                <w:kern w:val="28"/>
                <w:sz w:val="24"/>
                <w:szCs w:val="24"/>
                <w:lang w:val="zh-TW" w:eastAsia="zh-TW"/>
              </w:rPr>
            </w:pPr>
            <w:r>
              <w:rPr>
                <w:rFonts w:hint="eastAsia" w:ascii="仿宋" w:hAnsi="仿宋" w:eastAsia="仿宋" w:cs="仿宋"/>
                <w:snapToGrid w:val="0"/>
                <w:kern w:val="28"/>
                <w:sz w:val="24"/>
                <w:szCs w:val="24"/>
              </w:rPr>
              <w:t>收取标准：</w:t>
            </w:r>
            <w:r>
              <w:rPr>
                <w:rFonts w:hint="eastAsia" w:ascii="仿宋" w:hAnsi="仿宋" w:eastAsia="仿宋" w:cs="仿宋"/>
                <w:b w:val="0"/>
                <w:bCs w:val="0"/>
                <w:snapToGrid w:val="0"/>
                <w:kern w:val="28"/>
                <w:sz w:val="24"/>
                <w:szCs w:val="24"/>
                <w:lang w:val="en-US" w:eastAsia="zh-CN" w:bidi="ar-SA"/>
              </w:rPr>
              <w:t>本项目代理服务费按国家计委计价格[2002]1980号文件标准六折收取</w:t>
            </w:r>
            <w:r>
              <w:rPr>
                <w:rFonts w:hint="eastAsia" w:ascii="仿宋" w:hAnsi="仿宋" w:eastAsia="仿宋" w:cs="仿宋"/>
                <w:b w:val="0"/>
                <w:bCs w:val="0"/>
                <w:snapToGrid w:val="0"/>
                <w:kern w:val="28"/>
                <w:sz w:val="24"/>
                <w:szCs w:val="24"/>
                <w:lang w:val="zh-TW" w:eastAsia="zh-TW" w:bidi="ar-SA"/>
              </w:rPr>
              <w:t>。</w:t>
            </w:r>
          </w:p>
          <w:p>
            <w:pPr>
              <w:pStyle w:val="782"/>
              <w:widowControl w:val="0"/>
              <w:spacing w:line="460" w:lineRule="exact"/>
              <w:rPr>
                <w:rFonts w:ascii="仿宋" w:hAnsi="仿宋" w:eastAsia="仿宋" w:cs="仿宋"/>
                <w:snapToGrid w:val="0"/>
                <w:kern w:val="28"/>
                <w:sz w:val="24"/>
                <w:szCs w:val="24"/>
              </w:rPr>
            </w:pPr>
            <w:r>
              <w:rPr>
                <w:rFonts w:hint="eastAsia" w:ascii="仿宋" w:hAnsi="仿宋" w:eastAsia="仿宋" w:cs="仿宋"/>
                <w:b/>
                <w:bCs/>
                <w:snapToGrid w:val="0"/>
                <w:kern w:val="28"/>
                <w:sz w:val="24"/>
                <w:szCs w:val="24"/>
              </w:rPr>
              <w:t>收取方式：</w:t>
            </w:r>
            <w:r>
              <w:rPr>
                <w:rFonts w:hint="eastAsia" w:ascii="仿宋" w:hAnsi="仿宋" w:eastAsia="仿宋" w:cs="仿宋"/>
                <w:snapToGrid w:val="0"/>
                <w:kern w:val="28"/>
                <w:sz w:val="24"/>
                <w:szCs w:val="24"/>
              </w:rPr>
              <w:t>本项目的代理费由中标人支付。在中标结果公告发出后15个工作日内由中标人一次性向采购代理机构付清。账户信息如下：</w:t>
            </w:r>
          </w:p>
          <w:p>
            <w:pPr>
              <w:pStyle w:val="3"/>
              <w:ind w:firstLine="0" w:firstLineChars="0"/>
              <w:rPr>
                <w:rFonts w:ascii="仿宋" w:hAnsi="仿宋" w:eastAsia="仿宋" w:cs="仿宋"/>
                <w:snapToGrid w:val="0"/>
                <w:kern w:val="28"/>
              </w:rPr>
            </w:pPr>
            <w:r>
              <w:rPr>
                <w:rFonts w:hint="eastAsia" w:ascii="仿宋" w:hAnsi="仿宋" w:eastAsia="仿宋" w:cs="仿宋"/>
                <w:snapToGrid w:val="0"/>
                <w:kern w:val="28"/>
              </w:rPr>
              <w:t>公司名称：浙江五石中正工程咨询有限公司</w:t>
            </w:r>
          </w:p>
          <w:p>
            <w:pPr>
              <w:pStyle w:val="3"/>
              <w:ind w:firstLine="0" w:firstLineChars="0"/>
              <w:rPr>
                <w:rFonts w:ascii="仿宋" w:hAnsi="仿宋" w:eastAsia="仿宋" w:cs="仿宋"/>
                <w:snapToGrid w:val="0"/>
                <w:kern w:val="28"/>
              </w:rPr>
            </w:pPr>
            <w:r>
              <w:rPr>
                <w:rFonts w:hint="eastAsia" w:ascii="仿宋" w:hAnsi="仿宋" w:eastAsia="仿宋" w:cs="仿宋"/>
                <w:snapToGrid w:val="0"/>
                <w:kern w:val="28"/>
              </w:rPr>
              <w:t>开户行：中国工商银行杭州潮王路支行</w:t>
            </w:r>
          </w:p>
          <w:p>
            <w:pPr>
              <w:pStyle w:val="3"/>
              <w:ind w:firstLine="0" w:firstLineChars="0"/>
              <w:rPr>
                <w:rFonts w:ascii="仿宋" w:hAnsi="仿宋" w:eastAsia="仿宋" w:cs="仿宋"/>
                <w:snapToGrid w:val="0"/>
                <w:kern w:val="28"/>
              </w:rPr>
            </w:pPr>
            <w:r>
              <w:rPr>
                <w:rFonts w:hint="eastAsia" w:ascii="仿宋" w:hAnsi="仿宋" w:eastAsia="仿宋" w:cs="仿宋"/>
                <w:snapToGrid w:val="0"/>
                <w:kern w:val="28"/>
              </w:rPr>
              <w:t>银行账号： 1202003209900014176</w:t>
            </w:r>
          </w:p>
          <w:p>
            <w:pPr>
              <w:pStyle w:val="3"/>
              <w:ind w:firstLine="0" w:firstLineChars="0"/>
              <w:rPr>
                <w:rFonts w:ascii="仿宋" w:hAnsi="仿宋" w:eastAsia="仿宋" w:cs="仿宋"/>
                <w:snapToGrid w:val="0"/>
                <w:kern w:val="28"/>
                <w:sz w:val="24"/>
              </w:rPr>
            </w:pPr>
            <w:r>
              <w:rPr>
                <w:rFonts w:hint="eastAsia" w:ascii="仿宋" w:hAnsi="仿宋" w:eastAsia="仿宋" w:cs="仿宋"/>
                <w:snapToGrid w:val="0"/>
                <w:kern w:val="28"/>
              </w:rPr>
              <w:t>行号：10233100032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1" w:type="dxa"/>
          <w:trHeight w:val="5221" w:hRule="atLeast"/>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ind w:left="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政采贷</w:t>
            </w:r>
          </w:p>
        </w:tc>
        <w:tc>
          <w:tcPr>
            <w:tcW w:w="6631" w:type="dxa"/>
            <w:gridSpan w:val="3"/>
            <w:tcBorders>
              <w:top w:val="single" w:color="auto" w:sz="4" w:space="0"/>
              <w:left w:val="single" w:color="auto" w:sz="4" w:space="0"/>
              <w:bottom w:val="single" w:color="auto" w:sz="4" w:space="0"/>
              <w:right w:val="single" w:color="auto" w:sz="4" w:space="0"/>
            </w:tcBorders>
            <w:noWrap w:val="0"/>
            <w:vAlign w:val="center"/>
          </w:tcPr>
          <w:tbl>
            <w:tblPr>
              <w:tblStyle w:val="62"/>
              <w:tblW w:w="6236" w:type="dxa"/>
              <w:tblInd w:w="-2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0" w:type="dxa"/>
                <w:bottom w:w="0" w:type="dxa"/>
                <w:right w:w="0" w:type="dxa"/>
              </w:tblCellMar>
            </w:tblPr>
            <w:tblGrid>
              <w:gridCol w:w="2215"/>
              <w:gridCol w:w="1574"/>
              <w:gridCol w:w="244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01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银行名称</w:t>
                  </w:r>
                </w:p>
              </w:tc>
              <w:tc>
                <w:tcPr>
                  <w:tcW w:w="14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22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联系方式</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01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中国工商银行</w:t>
                  </w:r>
                </w:p>
              </w:tc>
              <w:tc>
                <w:tcPr>
                  <w:tcW w:w="14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陈盈</w:t>
                  </w:r>
                </w:p>
              </w:tc>
              <w:tc>
                <w:tcPr>
                  <w:tcW w:w="222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13967614344</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01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浙江泰隆商业银行</w:t>
                  </w:r>
                </w:p>
              </w:tc>
              <w:tc>
                <w:tcPr>
                  <w:tcW w:w="14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陈超</w:t>
                  </w:r>
                </w:p>
              </w:tc>
              <w:tc>
                <w:tcPr>
                  <w:tcW w:w="222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17858683697</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01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浙江民泰商业银行</w:t>
                  </w:r>
                </w:p>
              </w:tc>
              <w:tc>
                <w:tcPr>
                  <w:tcW w:w="14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朱祖优</w:t>
                  </w:r>
                </w:p>
              </w:tc>
              <w:tc>
                <w:tcPr>
                  <w:tcW w:w="222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13858602876</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01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中国建设银行</w:t>
                  </w:r>
                </w:p>
              </w:tc>
              <w:tc>
                <w:tcPr>
                  <w:tcW w:w="14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徐旭霞</w:t>
                  </w:r>
                </w:p>
              </w:tc>
              <w:tc>
                <w:tcPr>
                  <w:tcW w:w="222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15988932355</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01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中国邮政储蓄银行</w:t>
                  </w:r>
                </w:p>
              </w:tc>
              <w:tc>
                <w:tcPr>
                  <w:tcW w:w="14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赵红芳</w:t>
                  </w:r>
                </w:p>
              </w:tc>
              <w:tc>
                <w:tcPr>
                  <w:tcW w:w="222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18968556112</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01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农村商业银行</w:t>
                  </w:r>
                </w:p>
              </w:tc>
              <w:tc>
                <w:tcPr>
                  <w:tcW w:w="14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叶斌昇</w:t>
                  </w:r>
                </w:p>
              </w:tc>
              <w:tc>
                <w:tcPr>
                  <w:tcW w:w="222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13806593583</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01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中国农业银行</w:t>
                  </w:r>
                </w:p>
              </w:tc>
              <w:tc>
                <w:tcPr>
                  <w:tcW w:w="14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娄志伟</w:t>
                  </w:r>
                </w:p>
              </w:tc>
              <w:tc>
                <w:tcPr>
                  <w:tcW w:w="222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13958514828</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01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台州银行</w:t>
                  </w:r>
                </w:p>
              </w:tc>
              <w:tc>
                <w:tcPr>
                  <w:tcW w:w="14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朱翔</w:t>
                  </w:r>
                </w:p>
              </w:tc>
              <w:tc>
                <w:tcPr>
                  <w:tcW w:w="222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13819660917</w:t>
                  </w:r>
                </w:p>
              </w:tc>
            </w:tr>
          </w:tbl>
          <w:p>
            <w:pPr>
              <w:keepNext w:val="0"/>
              <w:keepLines w:val="0"/>
              <w:pageBreakBefore w:val="0"/>
              <w:kinsoku/>
              <w:wordWrap/>
              <w:overflowPunct/>
              <w:topLinePunct w:val="0"/>
              <w:autoSpaceDE w:val="0"/>
              <w:autoSpaceDN w:val="0"/>
              <w:bidi w:val="0"/>
              <w:snapToGrid w:val="0"/>
              <w:spacing w:line="240" w:lineRule="auto"/>
              <w:ind w:left="0" w:firstLine="0" w:firstLineChars="0"/>
              <w:textAlignment w:val="bottom"/>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629" w:type="dxa"/>
            <w:vMerge w:val="restart"/>
            <w:noWrap w:val="0"/>
            <w:vAlign w:val="center"/>
          </w:tcPr>
          <w:p>
            <w:pPr>
              <w:spacing w:line="288" w:lineRule="auto"/>
              <w:jc w:val="center"/>
              <w:rPr>
                <w:rFonts w:hint="default" w:ascii="仿宋" w:hAnsi="仿宋" w:eastAsia="仿宋" w:cs="仿宋"/>
                <w:sz w:val="24"/>
                <w:szCs w:val="24"/>
                <w:lang w:val="en-US" w:eastAsia="zh-CN"/>
              </w:rPr>
            </w:pPr>
          </w:p>
        </w:tc>
        <w:tc>
          <w:tcPr>
            <w:tcW w:w="1483" w:type="dxa"/>
            <w:noWrap w:val="0"/>
            <w:vAlign w:val="center"/>
          </w:tcPr>
          <w:p>
            <w:pPr>
              <w:autoSpaceDE w:val="0"/>
              <w:autoSpaceDN w:val="0"/>
              <w:spacing w:line="288" w:lineRule="auto"/>
              <w:jc w:val="center"/>
              <w:textAlignment w:val="bottom"/>
              <w:rPr>
                <w:rFonts w:hint="eastAsia" w:ascii="仿宋" w:hAnsi="仿宋" w:eastAsia="仿宋" w:cs="仿宋"/>
                <w:b/>
                <w:bCs/>
                <w:sz w:val="24"/>
                <w:szCs w:val="24"/>
              </w:rPr>
            </w:pPr>
            <w:r>
              <w:rPr>
                <w:rFonts w:hint="eastAsia" w:ascii="仿宋" w:hAnsi="仿宋" w:eastAsia="仿宋" w:cs="仿宋"/>
                <w:b/>
                <w:bCs/>
                <w:sz w:val="24"/>
                <w:szCs w:val="24"/>
              </w:rPr>
              <w:t>金融机构名称及意愿承担保函（保单）种类</w:t>
            </w:r>
          </w:p>
        </w:tc>
        <w:tc>
          <w:tcPr>
            <w:tcW w:w="5195" w:type="dxa"/>
            <w:gridSpan w:val="2"/>
            <w:noWrap w:val="0"/>
            <w:vAlign w:val="center"/>
          </w:tcPr>
          <w:p>
            <w:pPr>
              <w:autoSpaceDE w:val="0"/>
              <w:autoSpaceDN w:val="0"/>
              <w:spacing w:line="288" w:lineRule="auto"/>
              <w:jc w:val="center"/>
              <w:textAlignment w:val="bottom"/>
              <w:rPr>
                <w:rFonts w:hint="eastAsia" w:ascii="仿宋" w:hAnsi="仿宋" w:eastAsia="仿宋" w:cs="仿宋"/>
                <w:b/>
                <w:bCs/>
                <w:sz w:val="24"/>
                <w:szCs w:val="24"/>
              </w:rPr>
            </w:pPr>
            <w:r>
              <w:rPr>
                <w:rFonts w:hint="eastAsia" w:ascii="仿宋" w:hAnsi="仿宋" w:eastAsia="仿宋" w:cs="仿宋"/>
                <w:b/>
                <w:bCs/>
                <w:sz w:val="24"/>
                <w:szCs w:val="24"/>
              </w:rPr>
              <w:t>保函（保单）收费情况</w:t>
            </w:r>
          </w:p>
        </w:tc>
        <w:tc>
          <w:tcPr>
            <w:tcW w:w="1436" w:type="dxa"/>
            <w:noWrap w:val="0"/>
            <w:vAlign w:val="center"/>
          </w:tcPr>
          <w:p>
            <w:pPr>
              <w:autoSpaceDE w:val="0"/>
              <w:autoSpaceDN w:val="0"/>
              <w:spacing w:line="288" w:lineRule="auto"/>
              <w:jc w:val="center"/>
              <w:textAlignment w:val="bottom"/>
              <w:rPr>
                <w:rFonts w:hint="eastAsia" w:ascii="仿宋" w:hAnsi="仿宋" w:eastAsia="仿宋" w:cs="仿宋"/>
                <w:b/>
                <w:bCs/>
                <w:sz w:val="24"/>
                <w:szCs w:val="24"/>
              </w:rPr>
            </w:pPr>
            <w:r>
              <w:rPr>
                <w:rFonts w:hint="eastAsia" w:ascii="仿宋" w:hAnsi="仿宋" w:eastAsia="仿宋" w:cs="仿宋"/>
                <w:b/>
                <w:bCs/>
                <w:sz w:val="24"/>
                <w:szCs w:val="24"/>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629" w:type="dxa"/>
            <w:vMerge w:val="continue"/>
            <w:noWrap w:val="0"/>
            <w:vAlign w:val="center"/>
          </w:tcPr>
          <w:p>
            <w:pPr>
              <w:autoSpaceDE w:val="0"/>
              <w:autoSpaceDN w:val="0"/>
              <w:spacing w:line="288" w:lineRule="auto"/>
              <w:textAlignment w:val="bottom"/>
              <w:rPr>
                <w:rFonts w:hint="eastAsia" w:ascii="仿宋" w:hAnsi="仿宋" w:eastAsia="仿宋" w:cs="仿宋"/>
                <w:kern w:val="2"/>
                <w:sz w:val="24"/>
                <w:szCs w:val="24"/>
                <w:lang w:val="en-US" w:eastAsia="zh-CN" w:bidi="ar-SA"/>
              </w:rPr>
            </w:pPr>
          </w:p>
        </w:tc>
        <w:tc>
          <w:tcPr>
            <w:tcW w:w="1483" w:type="dxa"/>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机构名称：中国工商银行股份有限公司仙居支行</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履约保函： 是</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预付款保函： 是</w:t>
            </w:r>
          </w:p>
          <w:p>
            <w:pPr>
              <w:autoSpaceDE w:val="0"/>
              <w:autoSpaceDN w:val="0"/>
              <w:spacing w:line="288" w:lineRule="auto"/>
              <w:textAlignment w:val="bottom"/>
              <w:rPr>
                <w:rFonts w:hint="eastAsia" w:ascii="仿宋" w:hAnsi="仿宋" w:eastAsia="仿宋" w:cs="仿宋"/>
                <w:sz w:val="24"/>
                <w:szCs w:val="24"/>
              </w:rPr>
            </w:pPr>
          </w:p>
        </w:tc>
        <w:tc>
          <w:tcPr>
            <w:tcW w:w="5195" w:type="dxa"/>
            <w:gridSpan w:val="2"/>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对外保函服务</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1.开立及展期费担保费率：</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（1)融资性保函：期限在一年（含）以内，客户按担保额度0.05-0.25%/月计收。最小计费周期为实际月（按实际发生天数，从保函生效之日至失效日计算，30天为1月），期限不足1月的按1个月计收。最低500元／季。</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（2)非融资性保函：期限在一年（含）以内，客户按0.027-0.167%/月计收。最小计费周期为实际月（按实际发生天数，从保函生效之日至失效日计算，30天为1月），期限不足1月的按1个月计收。最低500元／季。</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如企业划型为小微企业的，以上手续费全免。</w:t>
            </w:r>
          </w:p>
        </w:tc>
        <w:tc>
          <w:tcPr>
            <w:tcW w:w="1436" w:type="dxa"/>
            <w:noWrap w:val="0"/>
            <w:vAlign w:val="center"/>
          </w:tcPr>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陈盈13967614344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629" w:type="dxa"/>
            <w:vMerge w:val="restart"/>
            <w:noWrap w:val="0"/>
            <w:vAlign w:val="center"/>
          </w:tcPr>
          <w:p>
            <w:pPr>
              <w:autoSpaceDE w:val="0"/>
              <w:autoSpaceDN w:val="0"/>
              <w:spacing w:line="288" w:lineRule="auto"/>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483" w:type="dxa"/>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机构名称：浙江泰隆商业银行台州仙居支行</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履约保函：是</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预付款保函：是</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备注：我行目前只有线下模式</w:t>
            </w:r>
          </w:p>
        </w:tc>
        <w:tc>
          <w:tcPr>
            <w:tcW w:w="5195" w:type="dxa"/>
            <w:gridSpan w:val="2"/>
            <w:noWrap w:val="0"/>
            <w:vAlign w:val="top"/>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根据保证金比例不同，参照下述费率计收：</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全额保证金，500一年；</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保证金比例50%以下，保函敞口金额的1.25‰/季，最低500元/季；</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保证金比例50%（含）以上，保函敞口金额的1‰/季，最低500元/季。</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涉及保函增额，增额部分参照开立保函收费标准另行收费，延期修改按照300/次的标准另行收费；</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按年收费项目不足一年按一年计收，超过一年三十天按照两年计收（从保函开立之日起390天（含）为一个年度三十天）</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按季收费项目不足一季按一季度计收，超过一季度十天的按两季度计收（从保函开立之日起100天（含）为一个季度十天）</w:t>
            </w:r>
          </w:p>
        </w:tc>
        <w:tc>
          <w:tcPr>
            <w:tcW w:w="1436" w:type="dxa"/>
            <w:noWrap w:val="0"/>
            <w:vAlign w:val="center"/>
          </w:tcPr>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银行联系人：</w:t>
            </w:r>
          </w:p>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陈超17858683697</w:t>
            </w:r>
          </w:p>
          <w:p>
            <w:pPr>
              <w:autoSpaceDE w:val="0"/>
              <w:autoSpaceDN w:val="0"/>
              <w:spacing w:line="288" w:lineRule="auto"/>
              <w:jc w:val="left"/>
              <w:textAlignment w:val="bottom"/>
              <w:rPr>
                <w:rFonts w:hint="eastAsia" w:ascii="仿宋" w:hAnsi="仿宋" w:eastAsia="仿宋" w:cs="仿宋"/>
                <w:sz w:val="24"/>
                <w:szCs w:val="24"/>
              </w:rPr>
            </w:pPr>
          </w:p>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具体保函业务办理</w:t>
            </w:r>
          </w:p>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客户经理：</w:t>
            </w:r>
          </w:p>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王英17858683702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629" w:type="dxa"/>
            <w:vMerge w:val="continue"/>
            <w:noWrap w:val="0"/>
            <w:vAlign w:val="center"/>
          </w:tcPr>
          <w:p>
            <w:pPr>
              <w:autoSpaceDE w:val="0"/>
              <w:autoSpaceDN w:val="0"/>
              <w:spacing w:line="288" w:lineRule="auto"/>
              <w:textAlignment w:val="bottom"/>
              <w:rPr>
                <w:rFonts w:hint="eastAsia" w:ascii="仿宋" w:hAnsi="仿宋" w:eastAsia="仿宋" w:cs="仿宋"/>
                <w:sz w:val="24"/>
                <w:szCs w:val="24"/>
              </w:rPr>
            </w:pPr>
          </w:p>
        </w:tc>
        <w:tc>
          <w:tcPr>
            <w:tcW w:w="1483" w:type="dxa"/>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机构名称：仙居农商银行</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履约保函：是</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预付款保函：是</w:t>
            </w:r>
          </w:p>
        </w:tc>
        <w:tc>
          <w:tcPr>
            <w:tcW w:w="5195" w:type="dxa"/>
            <w:gridSpan w:val="2"/>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合同（质量）履约按履约保证金年费率万分之五，在出具保函前一次性收取。</w:t>
            </w:r>
          </w:p>
        </w:tc>
        <w:tc>
          <w:tcPr>
            <w:tcW w:w="1436" w:type="dxa"/>
            <w:noWrap w:val="0"/>
            <w:vAlign w:val="center"/>
          </w:tcPr>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李杭13586233529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629" w:type="dxa"/>
            <w:vMerge w:val="continue"/>
            <w:noWrap w:val="0"/>
            <w:vAlign w:val="center"/>
          </w:tcPr>
          <w:p>
            <w:pPr>
              <w:autoSpaceDE w:val="0"/>
              <w:autoSpaceDN w:val="0"/>
              <w:spacing w:line="288" w:lineRule="auto"/>
              <w:textAlignment w:val="bottom"/>
              <w:rPr>
                <w:rFonts w:hint="eastAsia" w:ascii="仿宋" w:hAnsi="仿宋" w:eastAsia="仿宋" w:cs="仿宋"/>
                <w:sz w:val="24"/>
                <w:szCs w:val="24"/>
              </w:rPr>
            </w:pPr>
          </w:p>
        </w:tc>
        <w:tc>
          <w:tcPr>
            <w:tcW w:w="1483" w:type="dxa"/>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机构名称：仙居中国银行</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履约保函：是</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预付款保函：是</w:t>
            </w:r>
          </w:p>
        </w:tc>
        <w:tc>
          <w:tcPr>
            <w:tcW w:w="5195" w:type="dxa"/>
            <w:gridSpan w:val="2"/>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合同（质量）履约按履约保证金年费率1%（1.5%），每单保函最低保险费为500元。</w:t>
            </w:r>
          </w:p>
        </w:tc>
        <w:tc>
          <w:tcPr>
            <w:tcW w:w="1457" w:type="dxa"/>
            <w:gridSpan w:val="2"/>
            <w:noWrap w:val="0"/>
            <w:vAlign w:val="center"/>
          </w:tcPr>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张弥0576-87796908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629" w:type="dxa"/>
            <w:vMerge w:val="continue"/>
            <w:noWrap w:val="0"/>
            <w:vAlign w:val="center"/>
          </w:tcPr>
          <w:p>
            <w:pPr>
              <w:autoSpaceDE w:val="0"/>
              <w:autoSpaceDN w:val="0"/>
              <w:spacing w:line="288" w:lineRule="auto"/>
              <w:textAlignment w:val="bottom"/>
              <w:rPr>
                <w:rFonts w:hint="eastAsia" w:ascii="仿宋" w:hAnsi="仿宋" w:eastAsia="仿宋" w:cs="仿宋"/>
                <w:sz w:val="24"/>
                <w:szCs w:val="24"/>
              </w:rPr>
            </w:pPr>
          </w:p>
        </w:tc>
        <w:tc>
          <w:tcPr>
            <w:tcW w:w="1483" w:type="dxa"/>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机构名称：中国人民财产保险股份有限公司仙居支公司</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履约保险：是</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预付款保函：是</w:t>
            </w:r>
          </w:p>
        </w:tc>
        <w:tc>
          <w:tcPr>
            <w:tcW w:w="5195" w:type="dxa"/>
            <w:gridSpan w:val="2"/>
            <w:noWrap w:val="0"/>
            <w:vAlign w:val="top"/>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建设工程合同款支付保证保险，年费率1.2%，每单最低保险费为1000元。</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建设工程预付款保证保险，年费率0.6%，每单最低保险费为1000元。</w:t>
            </w:r>
          </w:p>
        </w:tc>
        <w:tc>
          <w:tcPr>
            <w:tcW w:w="1457" w:type="dxa"/>
            <w:gridSpan w:val="2"/>
            <w:noWrap w:val="0"/>
            <w:vAlign w:val="center"/>
          </w:tcPr>
          <w:p>
            <w:pPr>
              <w:autoSpaceDE w:val="0"/>
              <w:autoSpaceDN w:val="0"/>
              <w:spacing w:line="288" w:lineRule="auto"/>
              <w:jc w:val="left"/>
              <w:textAlignment w:val="bottom"/>
              <w:rPr>
                <w:rFonts w:hint="eastAsia" w:ascii="仿宋" w:hAnsi="仿宋" w:eastAsia="仿宋" w:cs="仿宋"/>
                <w:sz w:val="24"/>
                <w:szCs w:val="24"/>
              </w:rPr>
            </w:pPr>
          </w:p>
          <w:p>
            <w:pPr>
              <w:autoSpaceDE w:val="0"/>
              <w:autoSpaceDN w:val="0"/>
              <w:spacing w:line="288" w:lineRule="auto"/>
              <w:jc w:val="left"/>
              <w:textAlignment w:val="bottom"/>
              <w:rPr>
                <w:rFonts w:hint="eastAsia" w:ascii="仿宋" w:hAnsi="仿宋" w:eastAsia="仿宋" w:cs="仿宋"/>
                <w:sz w:val="24"/>
                <w:szCs w:val="24"/>
              </w:rPr>
            </w:pPr>
          </w:p>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王巧红13968483573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629" w:type="dxa"/>
            <w:vMerge w:val="continue"/>
            <w:noWrap w:val="0"/>
            <w:vAlign w:val="center"/>
          </w:tcPr>
          <w:p>
            <w:pPr>
              <w:autoSpaceDE w:val="0"/>
              <w:autoSpaceDN w:val="0"/>
              <w:spacing w:line="288" w:lineRule="auto"/>
              <w:textAlignment w:val="bottom"/>
              <w:rPr>
                <w:rFonts w:hint="eastAsia" w:ascii="仿宋" w:hAnsi="仿宋" w:eastAsia="仿宋" w:cs="仿宋"/>
                <w:sz w:val="24"/>
                <w:szCs w:val="24"/>
              </w:rPr>
            </w:pPr>
          </w:p>
        </w:tc>
        <w:tc>
          <w:tcPr>
            <w:tcW w:w="1483" w:type="dxa"/>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机构名称：中国大地财产保险股份有限公司仙居支公司</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履约保函：是</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预付款保函：否</w:t>
            </w:r>
          </w:p>
        </w:tc>
        <w:tc>
          <w:tcPr>
            <w:tcW w:w="5195" w:type="dxa"/>
            <w:gridSpan w:val="2"/>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合同（质量）履约按履约保证金年费率最低0.5%，每单保函最低保险费为1000元。</w:t>
            </w:r>
          </w:p>
        </w:tc>
        <w:tc>
          <w:tcPr>
            <w:tcW w:w="1457" w:type="dxa"/>
            <w:gridSpan w:val="2"/>
            <w:noWrap w:val="0"/>
            <w:vAlign w:val="center"/>
          </w:tcPr>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吴琼17858699170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629" w:type="dxa"/>
            <w:vMerge w:val="continue"/>
            <w:noWrap w:val="0"/>
            <w:vAlign w:val="center"/>
          </w:tcPr>
          <w:p>
            <w:pPr>
              <w:autoSpaceDE w:val="0"/>
              <w:autoSpaceDN w:val="0"/>
              <w:spacing w:line="288" w:lineRule="auto"/>
              <w:textAlignment w:val="bottom"/>
              <w:rPr>
                <w:rFonts w:hint="eastAsia" w:ascii="仿宋" w:hAnsi="仿宋" w:eastAsia="仿宋" w:cs="仿宋"/>
                <w:sz w:val="24"/>
                <w:szCs w:val="24"/>
              </w:rPr>
            </w:pPr>
          </w:p>
        </w:tc>
        <w:tc>
          <w:tcPr>
            <w:tcW w:w="1483" w:type="dxa"/>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机构名称：天安财产保险股份有限公司台州中心支公司仙居县营销服务部</w:t>
            </w:r>
            <w:r>
              <w:rPr>
                <w:rFonts w:hint="eastAsia" w:ascii="仿宋" w:hAnsi="仿宋" w:eastAsia="仿宋" w:cs="仿宋"/>
                <w:sz w:val="24"/>
                <w:szCs w:val="24"/>
              </w:rPr>
              <w:br w:type="textWrapping"/>
            </w:r>
            <w:r>
              <w:rPr>
                <w:rFonts w:hint="eastAsia" w:ascii="仿宋" w:hAnsi="仿宋" w:eastAsia="仿宋" w:cs="仿宋"/>
                <w:sz w:val="24"/>
                <w:szCs w:val="24"/>
              </w:rPr>
              <w:t>履约保函：否</w:t>
            </w:r>
            <w:r>
              <w:rPr>
                <w:rFonts w:hint="eastAsia" w:ascii="仿宋" w:hAnsi="仿宋" w:eastAsia="仿宋" w:cs="仿宋"/>
                <w:sz w:val="24"/>
                <w:szCs w:val="24"/>
              </w:rPr>
              <w:br w:type="textWrapping"/>
            </w:r>
            <w:r>
              <w:rPr>
                <w:rFonts w:hint="eastAsia" w:ascii="仿宋" w:hAnsi="仿宋" w:eastAsia="仿宋" w:cs="仿宋"/>
                <w:sz w:val="24"/>
                <w:szCs w:val="24"/>
              </w:rPr>
              <w:t>预付款保函：是</w:t>
            </w:r>
          </w:p>
        </w:tc>
        <w:tc>
          <w:tcPr>
            <w:tcW w:w="5195" w:type="dxa"/>
            <w:gridSpan w:val="2"/>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预付款保函：按预付款金额投保，年费率为1%-2%，每单保函最低保险费为500元；保险期限最长不超过5年。</w:t>
            </w:r>
          </w:p>
        </w:tc>
        <w:tc>
          <w:tcPr>
            <w:tcW w:w="1457" w:type="dxa"/>
            <w:gridSpan w:val="2"/>
            <w:noWrap w:val="0"/>
            <w:vAlign w:val="center"/>
          </w:tcPr>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陶正鹏13858613668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629" w:type="dxa"/>
            <w:vMerge w:val="continue"/>
            <w:noWrap w:val="0"/>
            <w:vAlign w:val="center"/>
          </w:tcPr>
          <w:p>
            <w:pPr>
              <w:autoSpaceDE w:val="0"/>
              <w:autoSpaceDN w:val="0"/>
              <w:spacing w:line="288" w:lineRule="auto"/>
              <w:textAlignment w:val="bottom"/>
              <w:rPr>
                <w:rFonts w:hint="eastAsia" w:ascii="仿宋" w:hAnsi="仿宋" w:eastAsia="仿宋" w:cs="仿宋"/>
                <w:sz w:val="24"/>
                <w:szCs w:val="24"/>
              </w:rPr>
            </w:pPr>
          </w:p>
        </w:tc>
        <w:tc>
          <w:tcPr>
            <w:tcW w:w="1483" w:type="dxa"/>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机构名称：仙居县台融融资担保有限公司</w:t>
            </w:r>
          </w:p>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履约保函：是</w:t>
            </w:r>
          </w:p>
        </w:tc>
        <w:tc>
          <w:tcPr>
            <w:tcW w:w="5195" w:type="dxa"/>
            <w:gridSpan w:val="2"/>
            <w:noWrap w:val="0"/>
            <w:vAlign w:val="center"/>
          </w:tcPr>
          <w:p>
            <w:pPr>
              <w:autoSpaceDE w:val="0"/>
              <w:autoSpaceDN w:val="0"/>
              <w:spacing w:line="288" w:lineRule="auto"/>
              <w:textAlignment w:val="bottom"/>
              <w:rPr>
                <w:rFonts w:hint="eastAsia" w:ascii="仿宋" w:hAnsi="仿宋" w:eastAsia="仿宋" w:cs="仿宋"/>
                <w:sz w:val="24"/>
                <w:szCs w:val="24"/>
              </w:rPr>
            </w:pPr>
            <w:r>
              <w:rPr>
                <w:rFonts w:hint="eastAsia" w:ascii="仿宋" w:hAnsi="仿宋" w:eastAsia="仿宋" w:cs="仿宋"/>
                <w:sz w:val="24"/>
                <w:szCs w:val="24"/>
              </w:rPr>
              <w:t>合同（质量）履约按履约保证金年费率0.2%，每单保函最低保险费为800元。</w:t>
            </w:r>
          </w:p>
        </w:tc>
        <w:tc>
          <w:tcPr>
            <w:tcW w:w="1457" w:type="dxa"/>
            <w:gridSpan w:val="2"/>
            <w:noWrap w:val="0"/>
            <w:vAlign w:val="center"/>
          </w:tcPr>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郭鹏飞13819645716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629" w:type="dxa"/>
            <w:noWrap w:val="0"/>
            <w:vAlign w:val="center"/>
          </w:tcPr>
          <w:p>
            <w:pPr>
              <w:spacing w:line="288" w:lineRule="auto"/>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8135" w:type="dxa"/>
            <w:gridSpan w:val="5"/>
            <w:noWrap w:val="0"/>
            <w:vAlign w:val="center"/>
          </w:tcPr>
          <w:p>
            <w:pPr>
              <w:autoSpaceDE w:val="0"/>
              <w:autoSpaceDN w:val="0"/>
              <w:spacing w:line="288"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解释：本</w:t>
            </w:r>
            <w:r>
              <w:rPr>
                <w:rFonts w:hint="eastAsia" w:ascii="仿宋" w:hAnsi="仿宋" w:eastAsia="仿宋" w:cs="仿宋"/>
                <w:sz w:val="24"/>
                <w:szCs w:val="24"/>
                <w:lang w:val="en-US" w:eastAsia="zh-CN"/>
              </w:rPr>
              <w:t>招标</w:t>
            </w:r>
            <w:r>
              <w:rPr>
                <w:rFonts w:hint="eastAsia" w:ascii="仿宋" w:hAnsi="仿宋" w:eastAsia="仿宋" w:cs="仿宋"/>
                <w:sz w:val="24"/>
                <w:szCs w:val="24"/>
              </w:rPr>
              <w:t>文件的解释权属于</w:t>
            </w:r>
            <w:r>
              <w:rPr>
                <w:rFonts w:hint="eastAsia" w:ascii="仿宋" w:hAnsi="仿宋" w:eastAsia="仿宋" w:cs="仿宋"/>
                <w:spacing w:val="-6"/>
                <w:sz w:val="24"/>
                <w:szCs w:val="24"/>
              </w:rPr>
              <w:t>采购代理机构</w:t>
            </w:r>
            <w:r>
              <w:rPr>
                <w:rFonts w:hint="eastAsia" w:ascii="仿宋" w:hAnsi="仿宋" w:eastAsia="仿宋" w:cs="仿宋"/>
                <w:sz w:val="24"/>
                <w:szCs w:val="24"/>
              </w:rPr>
              <w:t>。</w:t>
            </w:r>
          </w:p>
        </w:tc>
      </w:tr>
    </w:tbl>
    <w:p>
      <w:pPr>
        <w:snapToGrid w:val="0"/>
        <w:spacing w:line="360" w:lineRule="auto"/>
        <w:jc w:val="center"/>
        <w:rPr>
          <w:rFonts w:ascii="仿宋" w:hAnsi="仿宋" w:eastAsia="仿宋" w:cs="仿宋"/>
          <w:b/>
          <w:sz w:val="32"/>
          <w:szCs w:val="20"/>
        </w:rPr>
      </w:pPr>
    </w:p>
    <w:bookmarkEnd w:id="11"/>
    <w:p>
      <w:pPr>
        <w:adjustRightInd/>
        <w:spacing w:line="360" w:lineRule="auto"/>
        <w:ind w:firstLine="3845" w:firstLineChars="1197"/>
        <w:outlineLvl w:val="0"/>
        <w:rPr>
          <w:rFonts w:ascii="仿宋" w:hAnsi="仿宋" w:eastAsia="仿宋" w:cs="仿宋"/>
          <w:b/>
          <w:sz w:val="32"/>
          <w:szCs w:val="20"/>
        </w:rPr>
      </w:pPr>
      <w:bookmarkStart w:id="13" w:name="_Toc27344"/>
      <w:bookmarkStart w:id="14" w:name="_Toc164416483"/>
      <w:bookmarkStart w:id="15" w:name="第三部分"/>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outlineLvl w:val="0"/>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pStyle w:val="79"/>
        <w:rPr>
          <w:rFonts w:hint="eastAsia"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bookmarkEnd w:id="13"/>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w:t>
      </w:r>
      <w:bookmarkStart w:id="16" w:name="_Toc13028"/>
      <w:r>
        <w:rPr>
          <w:rFonts w:hint="eastAsia" w:ascii="仿宋" w:hAnsi="仿宋" w:eastAsia="仿宋" w:cs="仿宋"/>
          <w:b/>
          <w:sz w:val="24"/>
        </w:rPr>
        <w:t>2.定义</w:t>
      </w:r>
      <w:bookmarkEnd w:id="16"/>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sz w:val="24"/>
          <w:lang w:eastAsia="zh-CN"/>
        </w:rPr>
        <w:t>。</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130"/>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w:t>
      </w:r>
      <w:bookmarkStart w:id="17" w:name="_Toc24357"/>
      <w:r>
        <w:rPr>
          <w:rFonts w:hint="eastAsia" w:ascii="仿宋" w:hAnsi="仿宋" w:eastAsia="仿宋" w:cs="仿宋"/>
          <w:b/>
          <w:sz w:val="32"/>
          <w:szCs w:val="20"/>
        </w:rPr>
        <w:t>二、招标文件的构成、澄清、修改</w:t>
      </w:r>
      <w:bookmarkEnd w:id="17"/>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0"/>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0"/>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bookmarkStart w:id="18" w:name="_Toc27670"/>
      <w:r>
        <w:rPr>
          <w:rFonts w:hint="eastAsia" w:ascii="仿宋" w:hAnsi="仿宋" w:eastAsia="仿宋" w:cs="仿宋"/>
          <w:b/>
          <w:sz w:val="30"/>
          <w:szCs w:val="20"/>
        </w:rPr>
        <w:t>三、投标</w:t>
      </w:r>
      <w:bookmarkEnd w:id="18"/>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0"/>
        <w:snapToGrid w:val="0"/>
        <w:spacing w:before="0"/>
        <w:ind w:firstLine="0" w:firstLineChars="0"/>
        <w:outlineLvl w:val="0"/>
        <w:rPr>
          <w:rFonts w:ascii="仿宋" w:hAnsi="仿宋" w:eastAsia="仿宋" w:cs="仿宋"/>
          <w:b/>
          <w:szCs w:val="24"/>
        </w:rPr>
      </w:pPr>
      <w:bookmarkStart w:id="19" w:name="_Toc29331"/>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bookmarkEnd w:id="19"/>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0"/>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0"/>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3"/>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0"/>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仿宋" w:hAnsi="仿宋" w:eastAsia="仿宋" w:cs="仿宋"/>
          <w:b/>
          <w:sz w:val="32"/>
        </w:rPr>
      </w:pPr>
    </w:p>
    <w:p>
      <w:pPr>
        <w:pStyle w:val="13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0"/>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0"/>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20" w:name="_Toc28639"/>
      <w:r>
        <w:rPr>
          <w:rFonts w:hint="eastAsia" w:ascii="仿宋" w:hAnsi="仿宋" w:eastAsia="仿宋" w:cs="仿宋"/>
          <w:b/>
          <w:sz w:val="36"/>
          <w:szCs w:val="36"/>
        </w:rPr>
        <w:t>五、评标</w:t>
      </w:r>
      <w:bookmarkEnd w:id="20"/>
    </w:p>
    <w:p>
      <w:pPr>
        <w:spacing w:line="360" w:lineRule="auto"/>
        <w:rPr>
          <w:rFonts w:ascii="仿宋" w:hAnsi="仿宋" w:eastAsia="仿宋" w:cs="仿宋"/>
          <w:b/>
          <w:sz w:val="24"/>
        </w:rPr>
      </w:pPr>
      <w:bookmarkStart w:id="2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bookmarkStart w:id="22" w:name="_Toc15261"/>
      <w:r>
        <w:rPr>
          <w:rFonts w:hint="eastAsia" w:ascii="仿宋" w:hAnsi="仿宋" w:eastAsia="仿宋" w:cs="仿宋"/>
          <w:b/>
          <w:sz w:val="36"/>
          <w:szCs w:val="36"/>
        </w:rPr>
        <w:t>六、定 标</w:t>
      </w:r>
      <w:bookmarkEnd w:id="22"/>
    </w:p>
    <w:p>
      <w:pPr>
        <w:pStyle w:val="3"/>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0"/>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0"/>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3"/>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3"/>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3"/>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eastAsia="仿宋" w:cs="仿宋"/>
          <w:sz w:val="24"/>
          <w:lang w:eastAsia="zh-CN"/>
        </w:rPr>
        <w:t>1%</w:t>
      </w:r>
      <w:r>
        <w:rPr>
          <w:rFonts w:hint="eastAsia" w:ascii="仿宋" w:hAnsi="仿宋" w:eastAsia="仿宋" w:cs="仿宋"/>
          <w:sz w:val="24"/>
        </w:rPr>
        <w:t>。鼓励和支持供应商以银行、保险公司出具的保函形式提供履约保证金。</w:t>
      </w:r>
      <w:r>
        <w:rPr>
          <w:rFonts w:hint="eastAsia" w:ascii="仿宋" w:hAnsi="仿宋" w:eastAsia="仿宋" w:cs="仿宋"/>
          <w:b/>
          <w:sz w:val="24"/>
        </w:rPr>
        <w:t>采购人不得拒收履约保函。</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0"/>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0"/>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0"/>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0"/>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0"/>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0"/>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3"/>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3" w:name="_Hlt68072990"/>
      <w:bookmarkEnd w:id="23"/>
      <w:bookmarkStart w:id="24" w:name="_Hlt75236290"/>
      <w:bookmarkEnd w:id="24"/>
      <w:bookmarkStart w:id="25" w:name="_Hlt74729768"/>
      <w:bookmarkEnd w:id="25"/>
      <w:bookmarkStart w:id="26" w:name="_Hlt75236101"/>
      <w:bookmarkEnd w:id="26"/>
      <w:bookmarkStart w:id="27" w:name="_Hlt74714665"/>
      <w:bookmarkEnd w:id="27"/>
      <w:bookmarkStart w:id="28" w:name="_Hlt68073093"/>
      <w:bookmarkEnd w:id="28"/>
      <w:bookmarkStart w:id="29" w:name="_Hlt68072998"/>
      <w:bookmarkEnd w:id="29"/>
      <w:bookmarkStart w:id="30" w:name="_Hlt75236011"/>
      <w:bookmarkEnd w:id="30"/>
      <w:bookmarkStart w:id="31" w:name="_Hlt74730295"/>
      <w:bookmarkEnd w:id="31"/>
      <w:bookmarkStart w:id="32" w:name="_Hlt68057669"/>
      <w:bookmarkEnd w:id="32"/>
      <w:bookmarkStart w:id="33" w:name="_Hlt74707468"/>
      <w:bookmarkEnd w:id="33"/>
      <w:bookmarkStart w:id="34" w:name="_Hlt68403820"/>
      <w:bookmarkEnd w:id="34"/>
    </w:p>
    <w:bookmarkEnd w:id="14"/>
    <w:bookmarkEnd w:id="15"/>
    <w:p>
      <w:pPr>
        <w:numPr>
          <w:ilvl w:val="0"/>
          <w:numId w:val="2"/>
        </w:numPr>
        <w:spacing w:line="360" w:lineRule="auto"/>
        <w:jc w:val="center"/>
        <w:outlineLvl w:val="0"/>
        <w:rPr>
          <w:rFonts w:hint="eastAsia" w:ascii="仿宋" w:hAnsi="仿宋" w:eastAsia="仿宋" w:cs="仿宋"/>
          <w:b/>
          <w:sz w:val="36"/>
          <w:szCs w:val="36"/>
        </w:rPr>
      </w:pPr>
      <w:bookmarkStart w:id="35" w:name="_Toc27567"/>
      <w:bookmarkStart w:id="36" w:name="第四部分"/>
      <w:r>
        <w:rPr>
          <w:rFonts w:hint="eastAsia" w:ascii="仿宋" w:hAnsi="仿宋" w:eastAsia="仿宋" w:cs="仿宋"/>
          <w:b/>
          <w:sz w:val="36"/>
          <w:szCs w:val="36"/>
        </w:rPr>
        <w:t xml:space="preserve">  采购需求</w:t>
      </w:r>
      <w:bookmarkEnd w:id="35"/>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属于实质性要求条款的，请用符号“▲”标明，否则属于非实质性要求。</w:t>
      </w:r>
    </w:p>
    <w:p>
      <w:pPr>
        <w:numPr>
          <w:ilvl w:val="0"/>
          <w:numId w:val="3"/>
        </w:numPr>
        <w:adjustRightInd/>
        <w:spacing w:line="360" w:lineRule="auto"/>
        <w:jc w:val="center"/>
        <w:rPr>
          <w:rFonts w:hint="eastAsia" w:ascii="仿宋" w:hAnsi="仿宋" w:eastAsia="仿宋" w:cs="宋体"/>
          <w:b/>
          <w:color w:val="000000"/>
          <w:sz w:val="24"/>
        </w:rPr>
      </w:pPr>
      <w:r>
        <w:rPr>
          <w:rFonts w:hint="eastAsia" w:ascii="仿宋" w:hAnsi="仿宋" w:eastAsia="仿宋" w:cs="宋体"/>
          <w:b/>
          <w:color w:val="000000"/>
          <w:sz w:val="24"/>
        </w:rPr>
        <w:t>招标一览表</w:t>
      </w:r>
    </w:p>
    <w:tbl>
      <w:tblPr>
        <w:tblStyle w:val="62"/>
        <w:tblW w:w="5089" w:type="pct"/>
        <w:jc w:val="center"/>
        <w:tblLayout w:type="autofit"/>
        <w:tblCellMar>
          <w:top w:w="0" w:type="dxa"/>
          <w:left w:w="0" w:type="dxa"/>
          <w:bottom w:w="0" w:type="dxa"/>
          <w:right w:w="0" w:type="dxa"/>
        </w:tblCellMar>
      </w:tblPr>
      <w:tblGrid>
        <w:gridCol w:w="784"/>
        <w:gridCol w:w="2393"/>
        <w:gridCol w:w="1936"/>
        <w:gridCol w:w="809"/>
        <w:gridCol w:w="883"/>
        <w:gridCol w:w="1652"/>
      </w:tblGrid>
      <w:tr>
        <w:tblPrEx>
          <w:tblCellMar>
            <w:top w:w="0" w:type="dxa"/>
            <w:left w:w="0" w:type="dxa"/>
            <w:bottom w:w="0" w:type="dxa"/>
            <w:right w:w="0" w:type="dxa"/>
          </w:tblCellMar>
        </w:tblPrEx>
        <w:trPr>
          <w:cantSplit/>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000000"/>
                <w:sz w:val="24"/>
                <w:lang w:eastAsia="zh-CN"/>
              </w:rPr>
            </w:pPr>
            <w:r>
              <w:rPr>
                <w:rFonts w:hint="eastAsia" w:ascii="仿宋" w:hAnsi="仿宋" w:eastAsia="仿宋" w:cs="宋体"/>
                <w:bCs/>
                <w:color w:val="000000"/>
                <w:sz w:val="24"/>
                <w:lang w:val="en-US" w:eastAsia="zh-CN"/>
              </w:rPr>
              <w:t>序号</w:t>
            </w:r>
          </w:p>
        </w:tc>
        <w:tc>
          <w:tcPr>
            <w:tcW w:w="141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000000"/>
                <w:sz w:val="24"/>
              </w:rPr>
            </w:pPr>
            <w:r>
              <w:rPr>
                <w:rFonts w:hint="eastAsia" w:ascii="仿宋" w:hAnsi="仿宋" w:eastAsia="仿宋" w:cs="宋体"/>
                <w:bCs/>
                <w:color w:val="000000"/>
                <w:sz w:val="24"/>
              </w:rPr>
              <w:t>名称</w:t>
            </w:r>
          </w:p>
        </w:tc>
        <w:tc>
          <w:tcPr>
            <w:tcW w:w="11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宋体"/>
                <w:bCs/>
                <w:color w:val="000000"/>
                <w:sz w:val="24"/>
                <w:lang w:val="en-US" w:eastAsia="zh-CN"/>
              </w:rPr>
            </w:pPr>
            <w:r>
              <w:rPr>
                <w:rFonts w:hint="eastAsia" w:ascii="仿宋" w:hAnsi="仿宋" w:eastAsia="仿宋" w:cs="宋体"/>
                <w:bCs/>
                <w:color w:val="000000"/>
                <w:sz w:val="24"/>
                <w:lang w:val="en-US" w:eastAsia="zh-CN"/>
              </w:rPr>
              <w:t>预算金额（万元）</w:t>
            </w:r>
          </w:p>
        </w:tc>
        <w:tc>
          <w:tcPr>
            <w:tcW w:w="47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bCs/>
                <w:sz w:val="24"/>
              </w:rPr>
            </w:pPr>
            <w:r>
              <w:rPr>
                <w:rFonts w:hint="eastAsia" w:ascii="仿宋" w:hAnsi="仿宋" w:eastAsia="仿宋" w:cs="仿宋"/>
                <w:bCs/>
                <w:sz w:val="24"/>
              </w:rPr>
              <w:t>单位</w:t>
            </w:r>
          </w:p>
        </w:tc>
        <w:tc>
          <w:tcPr>
            <w:tcW w:w="52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97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CellMar>
            <w:top w:w="0" w:type="dxa"/>
            <w:left w:w="0" w:type="dxa"/>
            <w:bottom w:w="0" w:type="dxa"/>
            <w:right w:w="0" w:type="dxa"/>
          </w:tblCellMar>
        </w:tblPrEx>
        <w:trPr>
          <w:cantSplit/>
          <w:trHeight w:val="561" w:hRule="atLeast"/>
          <w:jc w:val="center"/>
        </w:trPr>
        <w:tc>
          <w:tcPr>
            <w:tcW w:w="46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宋体"/>
                <w:bCs/>
                <w:color w:val="auto"/>
                <w:sz w:val="24"/>
                <w:lang w:val="en-US" w:eastAsia="zh-CN"/>
              </w:rPr>
            </w:pPr>
            <w:r>
              <w:rPr>
                <w:rFonts w:hint="eastAsia" w:ascii="仿宋" w:hAnsi="仿宋" w:eastAsia="仿宋" w:cs="宋体"/>
                <w:bCs/>
                <w:color w:val="auto"/>
                <w:sz w:val="24"/>
              </w:rPr>
              <w:t>1</w:t>
            </w:r>
          </w:p>
        </w:tc>
        <w:tc>
          <w:tcPr>
            <w:tcW w:w="141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auto"/>
                <w:sz w:val="24"/>
                <w:lang w:eastAsia="zh-CN"/>
              </w:rPr>
            </w:pPr>
            <w:r>
              <w:rPr>
                <w:rFonts w:hint="eastAsia" w:ascii="仿宋" w:hAnsi="仿宋" w:eastAsia="仿宋" w:cs="宋体"/>
                <w:bCs/>
                <w:color w:val="auto"/>
                <w:sz w:val="24"/>
                <w:lang w:eastAsia="zh-CN"/>
              </w:rPr>
              <w:t>磁共振</w:t>
            </w:r>
            <w:r>
              <w:rPr>
                <w:rFonts w:hint="eastAsia" w:ascii="仿宋" w:hAnsi="仿宋" w:eastAsia="仿宋" w:cs="宋体"/>
                <w:bCs/>
                <w:color w:val="auto"/>
                <w:sz w:val="24"/>
                <w:lang w:eastAsia="zh-CN"/>
              </w:rPr>
              <w:tab/>
            </w:r>
          </w:p>
        </w:tc>
        <w:tc>
          <w:tcPr>
            <w:tcW w:w="114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800</w:t>
            </w:r>
          </w:p>
        </w:tc>
        <w:tc>
          <w:tcPr>
            <w:tcW w:w="47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套</w:t>
            </w:r>
          </w:p>
        </w:tc>
        <w:tc>
          <w:tcPr>
            <w:tcW w:w="52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仿宋"/>
                <w:color w:val="auto"/>
                <w:sz w:val="24"/>
                <w:u w:val="none"/>
                <w:lang w:val="en-US" w:eastAsia="zh-CN"/>
              </w:rPr>
            </w:pPr>
            <w:r>
              <w:rPr>
                <w:rFonts w:hint="eastAsia" w:ascii="仿宋" w:hAnsi="仿宋" w:eastAsia="仿宋" w:cs="仿宋"/>
                <w:color w:val="auto"/>
                <w:sz w:val="24"/>
                <w:u w:val="none"/>
                <w:lang w:val="en-US" w:eastAsia="zh-CN"/>
              </w:rPr>
              <w:t>1</w:t>
            </w:r>
          </w:p>
        </w:tc>
        <w:tc>
          <w:tcPr>
            <w:tcW w:w="97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仿宋"/>
                <w:color w:val="auto"/>
                <w:sz w:val="24"/>
                <w:lang w:val="en-US" w:eastAsia="zh-CN"/>
              </w:rPr>
            </w:pPr>
          </w:p>
        </w:tc>
      </w:tr>
    </w:tbl>
    <w:p>
      <w:pPr>
        <w:snapToGrid w:val="0"/>
        <w:spacing w:before="120" w:beforeLines="50" w:after="120" w:afterLines="50"/>
        <w:jc w:val="left"/>
        <w:outlineLvl w:val="1"/>
        <w:rPr>
          <w:rFonts w:hint="eastAsia"/>
          <w:color w:val="auto"/>
        </w:rPr>
      </w:pPr>
      <w:r>
        <w:rPr>
          <w:rFonts w:hint="eastAsia" w:ascii="仿宋" w:hAnsi="仿宋" w:eastAsia="仿宋"/>
          <w:b/>
          <w:color w:val="auto"/>
          <w:sz w:val="24"/>
          <w:lang w:val="en-US" w:eastAsia="zh-CN"/>
        </w:rPr>
        <w:t>二</w:t>
      </w:r>
      <w:r>
        <w:rPr>
          <w:rFonts w:hint="eastAsia" w:ascii="仿宋" w:hAnsi="仿宋" w:eastAsia="仿宋"/>
          <w:b/>
          <w:color w:val="auto"/>
          <w:sz w:val="24"/>
        </w:rPr>
        <w:t>、商务要求</w:t>
      </w:r>
    </w:p>
    <w:tbl>
      <w:tblPr>
        <w:tblStyle w:val="62"/>
        <w:tblW w:w="846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75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auto"/>
                <w:sz w:val="24"/>
              </w:rPr>
            </w:pPr>
            <w:r>
              <w:rPr>
                <w:rFonts w:hint="eastAsia" w:ascii="仿宋" w:hAnsi="仿宋" w:eastAsia="仿宋" w:cs="宋体"/>
                <w:bCs/>
                <w:color w:val="auto"/>
                <w:kern w:val="0"/>
                <w:sz w:val="24"/>
              </w:rPr>
              <w:t>1</w:t>
            </w:r>
          </w:p>
        </w:tc>
        <w:tc>
          <w:tcPr>
            <w:tcW w:w="7531" w:type="dxa"/>
            <w:vAlign w:val="center"/>
          </w:tcPr>
          <w:p>
            <w:pPr>
              <w:widowControl/>
              <w:rPr>
                <w:rFonts w:ascii="仿宋" w:hAnsi="仿宋" w:eastAsia="仿宋" w:cs="宋体"/>
                <w:color w:val="auto"/>
                <w:sz w:val="24"/>
              </w:rPr>
            </w:pPr>
            <w:r>
              <w:rPr>
                <w:rFonts w:hint="eastAsia" w:ascii="仿宋" w:hAnsi="仿宋" w:eastAsia="仿宋" w:cs="宋体"/>
                <w:bCs/>
                <w:color w:val="auto"/>
                <w:kern w:val="0"/>
                <w:sz w:val="24"/>
              </w:rPr>
              <w:t>保修≥</w:t>
            </w:r>
            <w:r>
              <w:rPr>
                <w:rFonts w:hint="eastAsia" w:ascii="仿宋" w:hAnsi="仿宋" w:eastAsia="仿宋" w:cs="宋体"/>
                <w:bCs/>
                <w:color w:val="auto"/>
                <w:kern w:val="0"/>
                <w:sz w:val="24"/>
                <w:lang w:val="en-US" w:eastAsia="zh-CN"/>
              </w:rPr>
              <w:t>1</w:t>
            </w:r>
            <w:r>
              <w:rPr>
                <w:rFonts w:hint="eastAsia" w:ascii="仿宋" w:hAnsi="仿宋" w:eastAsia="仿宋" w:cs="宋体"/>
                <w:bCs/>
                <w:color w:val="auto"/>
                <w:kern w:val="0"/>
                <w:sz w:val="24"/>
              </w:rPr>
              <w:t>年，提供整机原厂免费保修，</w:t>
            </w:r>
            <w:r>
              <w:rPr>
                <w:rFonts w:hint="eastAsia" w:ascii="仿宋" w:hAnsi="仿宋" w:eastAsia="仿宋"/>
                <w:color w:val="auto"/>
                <w:sz w:val="24"/>
              </w:rPr>
              <w:t>保修期内乙方负责对其提供的设备进行免费的维修。</w:t>
            </w:r>
            <w:r>
              <w:rPr>
                <w:rFonts w:hint="eastAsia" w:ascii="仿宋" w:hAnsi="仿宋" w:eastAsia="仿宋" w:cs="宋体"/>
                <w:bCs/>
                <w:color w:val="auto"/>
                <w:kern w:val="0"/>
                <w:sz w:val="24"/>
              </w:rPr>
              <w:t>投标人须提供原厂商售后服务承诺书。保质期内因设备本身缺陷造成各种故障应由卖方免费技术服务和维修。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auto"/>
                <w:sz w:val="24"/>
              </w:rPr>
            </w:pPr>
            <w:r>
              <w:rPr>
                <w:rFonts w:hint="eastAsia" w:ascii="仿宋" w:hAnsi="仿宋" w:eastAsia="仿宋" w:cs="宋体"/>
                <w:bCs/>
                <w:color w:val="auto"/>
                <w:kern w:val="0"/>
                <w:sz w:val="24"/>
              </w:rPr>
              <w:t>2</w:t>
            </w:r>
          </w:p>
        </w:tc>
        <w:tc>
          <w:tcPr>
            <w:tcW w:w="7531" w:type="dxa"/>
            <w:vAlign w:val="center"/>
          </w:tcPr>
          <w:p>
            <w:pPr>
              <w:widowControl/>
              <w:rPr>
                <w:rFonts w:ascii="仿宋" w:hAnsi="仿宋" w:eastAsia="仿宋" w:cs="宋体"/>
                <w:color w:val="auto"/>
                <w:sz w:val="24"/>
              </w:rPr>
            </w:pPr>
            <w:r>
              <w:rPr>
                <w:rFonts w:hint="eastAsia" w:ascii="仿宋" w:hAnsi="仿宋" w:eastAsia="仿宋" w:cs="宋体"/>
                <w:bCs/>
                <w:color w:val="auto"/>
                <w:kern w:val="0"/>
                <w:sz w:val="24"/>
              </w:rPr>
              <w:t>投标时提供耗材和易损件的最优惠单独报价清单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auto"/>
                <w:sz w:val="24"/>
              </w:rPr>
            </w:pPr>
            <w:r>
              <w:rPr>
                <w:rFonts w:hint="eastAsia" w:ascii="仿宋" w:hAnsi="仿宋" w:eastAsia="仿宋"/>
                <w:color w:val="auto"/>
                <w:sz w:val="24"/>
              </w:rPr>
              <w:t>3</w:t>
            </w:r>
          </w:p>
        </w:tc>
        <w:tc>
          <w:tcPr>
            <w:tcW w:w="7531" w:type="dxa"/>
          </w:tcPr>
          <w:p>
            <w:pPr>
              <w:widowControl/>
              <w:rPr>
                <w:rFonts w:ascii="仿宋" w:hAnsi="仿宋" w:eastAsia="仿宋" w:cs="宋体"/>
                <w:color w:val="auto"/>
                <w:sz w:val="24"/>
              </w:rPr>
            </w:pPr>
            <w:r>
              <w:rPr>
                <w:rFonts w:hint="eastAsia" w:ascii="仿宋" w:hAnsi="仿宋" w:eastAsia="仿宋" w:cs="宋体"/>
                <w:bCs/>
                <w:color w:val="auto"/>
                <w:kern w:val="0"/>
                <w:sz w:val="24"/>
              </w:rPr>
              <w:t>付款条件：</w:t>
            </w:r>
            <w:r>
              <w:rPr>
                <w:rFonts w:hint="eastAsia" w:ascii="仿宋" w:hAnsi="仿宋" w:eastAsia="仿宋" w:cs="宋体"/>
                <w:bCs/>
                <w:color w:val="auto"/>
                <w:kern w:val="0"/>
                <w:sz w:val="24"/>
                <w:lang w:val="en-US" w:eastAsia="zh-CN"/>
              </w:rPr>
              <w:t>合同签订后七个工作日内支付合同预付款40%，设备安装调试完成验收合格后七个工作日付清余款。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rPr>
              <w:t>4</w:t>
            </w:r>
          </w:p>
        </w:tc>
        <w:tc>
          <w:tcPr>
            <w:tcW w:w="7531" w:type="dxa"/>
            <w:vAlign w:val="top"/>
          </w:tcPr>
          <w:p>
            <w:pPr>
              <w:widowControl/>
              <w:rPr>
                <w:rFonts w:hint="default" w:ascii="仿宋" w:hAnsi="仿宋" w:eastAsia="仿宋" w:cs="宋体"/>
                <w:bCs/>
                <w:color w:val="auto"/>
                <w:kern w:val="0"/>
                <w:sz w:val="24"/>
                <w:szCs w:val="24"/>
                <w:lang w:val="en-US" w:eastAsia="zh-CN" w:bidi="ar-SA"/>
              </w:rPr>
            </w:pPr>
            <w:r>
              <w:rPr>
                <w:rFonts w:hint="eastAsia" w:ascii="仿宋" w:hAnsi="仿宋" w:eastAsia="仿宋" w:cs="宋体"/>
                <w:bCs/>
                <w:color w:val="auto"/>
                <w:kern w:val="0"/>
                <w:sz w:val="24"/>
              </w:rPr>
              <w:t>交货期：</w:t>
            </w:r>
            <w:r>
              <w:rPr>
                <w:rFonts w:hint="eastAsia" w:ascii="仿宋" w:hAnsi="仿宋" w:eastAsia="仿宋" w:cs="宋体"/>
                <w:bCs/>
                <w:color w:val="auto"/>
                <w:kern w:val="0"/>
                <w:sz w:val="24"/>
                <w:lang w:eastAsia="zh-CN"/>
              </w:rPr>
              <w:t>接到采购方通知后一个月内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Times New Roman"/>
                <w:color w:val="auto"/>
                <w:kern w:val="2"/>
                <w:sz w:val="24"/>
                <w:szCs w:val="24"/>
                <w:lang w:val="en-US" w:eastAsia="zh-CN" w:bidi="ar-SA"/>
              </w:rPr>
            </w:pPr>
            <w:r>
              <w:rPr>
                <w:rFonts w:hint="eastAsia" w:ascii="仿宋" w:hAnsi="仿宋" w:eastAsia="仿宋"/>
                <w:color w:val="auto"/>
                <w:sz w:val="24"/>
              </w:rPr>
              <w:t>5</w:t>
            </w:r>
          </w:p>
        </w:tc>
        <w:tc>
          <w:tcPr>
            <w:tcW w:w="7531" w:type="dxa"/>
            <w:vAlign w:val="center"/>
          </w:tcPr>
          <w:p>
            <w:pPr>
              <w:widowControl/>
              <w:rPr>
                <w:rFonts w:hint="eastAsia" w:ascii="仿宋" w:hAnsi="仿宋" w:eastAsia="仿宋" w:cs="宋体"/>
                <w:bCs/>
                <w:color w:val="auto"/>
                <w:kern w:val="0"/>
                <w:sz w:val="24"/>
                <w:szCs w:val="24"/>
                <w:lang w:val="en-US" w:eastAsia="zh-CN" w:bidi="ar-SA"/>
              </w:rPr>
            </w:pPr>
            <w:r>
              <w:rPr>
                <w:rFonts w:hint="eastAsia" w:ascii="仿宋" w:hAnsi="仿宋" w:eastAsia="仿宋" w:cs="宋体"/>
                <w:bCs/>
                <w:color w:val="auto"/>
                <w:kern w:val="0"/>
                <w:sz w:val="24"/>
              </w:rPr>
              <w:t>技术支持：中标商应提供免费软件升级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Times New Roman"/>
                <w:color w:val="auto"/>
                <w:kern w:val="2"/>
                <w:sz w:val="24"/>
                <w:szCs w:val="24"/>
                <w:lang w:val="en-US" w:eastAsia="zh-CN" w:bidi="ar-SA"/>
              </w:rPr>
            </w:pPr>
            <w:r>
              <w:rPr>
                <w:rFonts w:hint="eastAsia" w:ascii="仿宋" w:hAnsi="仿宋" w:eastAsia="仿宋"/>
                <w:color w:val="auto"/>
                <w:sz w:val="24"/>
              </w:rPr>
              <w:t>6</w:t>
            </w:r>
          </w:p>
        </w:tc>
        <w:tc>
          <w:tcPr>
            <w:tcW w:w="7531" w:type="dxa"/>
            <w:vAlign w:val="center"/>
          </w:tcPr>
          <w:p>
            <w:pPr>
              <w:widowControl/>
              <w:rPr>
                <w:rFonts w:ascii="仿宋" w:hAnsi="仿宋" w:eastAsia="仿宋" w:cs="宋体"/>
                <w:bCs/>
                <w:color w:val="auto"/>
                <w:kern w:val="0"/>
                <w:sz w:val="24"/>
                <w:szCs w:val="24"/>
                <w:lang w:val="en-US" w:eastAsia="zh-CN" w:bidi="ar-SA"/>
              </w:rPr>
            </w:pPr>
            <w:r>
              <w:rPr>
                <w:rFonts w:hint="eastAsia" w:ascii="仿宋" w:hAnsi="仿宋" w:eastAsia="仿宋" w:cs="宋体"/>
                <w:bCs/>
                <w:color w:val="auto"/>
                <w:kern w:val="0"/>
                <w:sz w:val="24"/>
              </w:rPr>
              <w:t>随机资料：提供全套用于安装、操作、维护技术文件，提供使用说明书，维修保养说明书，提供软件操作手册，提供电子版说明书。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933" w:type="dxa"/>
            <w:vAlign w:val="center"/>
          </w:tcPr>
          <w:p>
            <w:pPr>
              <w:widowControl/>
              <w:jc w:val="center"/>
              <w:rPr>
                <w:rFonts w:ascii="仿宋" w:hAnsi="仿宋" w:eastAsia="仿宋" w:cs="Times New Roman"/>
                <w:color w:val="auto"/>
                <w:kern w:val="2"/>
                <w:sz w:val="24"/>
                <w:szCs w:val="24"/>
                <w:lang w:val="en-US" w:eastAsia="zh-CN" w:bidi="ar-SA"/>
              </w:rPr>
            </w:pPr>
            <w:r>
              <w:rPr>
                <w:rFonts w:hint="eastAsia" w:ascii="仿宋" w:hAnsi="仿宋" w:eastAsia="仿宋"/>
                <w:color w:val="auto"/>
                <w:sz w:val="24"/>
              </w:rPr>
              <w:t>7</w:t>
            </w:r>
          </w:p>
        </w:tc>
        <w:tc>
          <w:tcPr>
            <w:tcW w:w="7531" w:type="dxa"/>
            <w:vAlign w:val="center"/>
          </w:tcPr>
          <w:p>
            <w:pPr>
              <w:widowControl/>
              <w:rPr>
                <w:rFonts w:ascii="仿宋" w:hAnsi="仿宋" w:eastAsia="仿宋" w:cs="宋体"/>
                <w:bCs/>
                <w:color w:val="auto"/>
                <w:kern w:val="0"/>
                <w:sz w:val="24"/>
                <w:szCs w:val="24"/>
                <w:lang w:val="en-US" w:eastAsia="zh-CN" w:bidi="ar-SA"/>
              </w:rPr>
            </w:pPr>
            <w:r>
              <w:rPr>
                <w:rFonts w:hint="eastAsia" w:ascii="仿宋" w:hAnsi="仿宋" w:eastAsia="仿宋" w:cs="宋体"/>
                <w:bCs/>
                <w:color w:val="auto"/>
                <w:kern w:val="0"/>
                <w:sz w:val="24"/>
              </w:rPr>
              <w:t>售后服务：1、保修期内的维护保养次数：每年不少于</w:t>
            </w:r>
            <w:r>
              <w:rPr>
                <w:rFonts w:hint="eastAsia" w:ascii="仿宋" w:hAnsi="仿宋" w:eastAsia="仿宋" w:cs="宋体"/>
                <w:bCs/>
                <w:color w:val="auto"/>
                <w:kern w:val="0"/>
                <w:sz w:val="24"/>
                <w:lang w:val="en-US" w:eastAsia="zh-CN"/>
              </w:rPr>
              <w:t>2</w:t>
            </w:r>
            <w:r>
              <w:rPr>
                <w:rFonts w:hint="eastAsia" w:ascii="仿宋" w:hAnsi="仿宋" w:eastAsia="仿宋" w:cs="宋体"/>
                <w:bCs/>
                <w:color w:val="auto"/>
                <w:kern w:val="0"/>
                <w:sz w:val="24"/>
              </w:rPr>
              <w:t>次；</w:t>
            </w:r>
            <w:r>
              <w:rPr>
                <w:rFonts w:hint="eastAsia" w:ascii="仿宋" w:hAnsi="仿宋" w:eastAsia="仿宋" w:cs="宋体"/>
                <w:bCs/>
                <w:color w:val="auto"/>
                <w:kern w:val="0"/>
                <w:sz w:val="24"/>
                <w:lang w:val="en-US" w:eastAsia="zh-CN"/>
              </w:rPr>
              <w:t>2</w:t>
            </w:r>
            <w:r>
              <w:rPr>
                <w:rFonts w:hint="eastAsia" w:ascii="仿宋" w:hAnsi="仿宋" w:eastAsia="仿宋" w:cs="宋体"/>
                <w:bCs/>
                <w:color w:val="auto"/>
                <w:kern w:val="0"/>
                <w:sz w:val="24"/>
              </w:rPr>
              <w:t>、零配件供应≥</w:t>
            </w:r>
            <w:r>
              <w:rPr>
                <w:rFonts w:hint="eastAsia" w:ascii="仿宋" w:hAnsi="仿宋" w:eastAsia="仿宋" w:cs="宋体"/>
                <w:bCs/>
                <w:color w:val="auto"/>
                <w:kern w:val="0"/>
                <w:sz w:val="24"/>
                <w:lang w:val="en-US" w:eastAsia="zh-CN"/>
              </w:rPr>
              <w:t>5</w:t>
            </w:r>
            <w:r>
              <w:rPr>
                <w:rFonts w:hint="eastAsia" w:ascii="仿宋" w:hAnsi="仿宋" w:eastAsia="仿宋" w:cs="宋体"/>
                <w:bCs/>
                <w:color w:val="auto"/>
                <w:kern w:val="0"/>
                <w:sz w:val="24"/>
              </w:rPr>
              <w:t>年；</w:t>
            </w:r>
            <w:r>
              <w:rPr>
                <w:rFonts w:hint="eastAsia" w:ascii="仿宋" w:hAnsi="仿宋" w:eastAsia="仿宋" w:cs="宋体"/>
                <w:bCs/>
                <w:color w:val="auto"/>
                <w:kern w:val="0"/>
                <w:sz w:val="24"/>
                <w:lang w:val="en-US" w:eastAsia="zh-CN"/>
              </w:rPr>
              <w:t>3</w:t>
            </w:r>
            <w:r>
              <w:rPr>
                <w:rFonts w:hint="eastAsia" w:ascii="仿宋" w:hAnsi="仿宋" w:eastAsia="仿宋" w:cs="宋体"/>
                <w:bCs/>
                <w:color w:val="auto"/>
                <w:kern w:val="0"/>
                <w:sz w:val="24"/>
              </w:rPr>
              <w:t>、在设备整个使用期内，卖方应确保设备的正常使用。</w:t>
            </w:r>
            <w:r>
              <w:rPr>
                <w:rFonts w:hint="eastAsia" w:ascii="仿宋" w:hAnsi="仿宋" w:eastAsia="仿宋" w:cs="宋体"/>
                <w:bCs/>
                <w:color w:val="auto"/>
                <w:kern w:val="0"/>
                <w:sz w:val="24"/>
                <w:lang w:val="en-US" w:eastAsia="zh-CN"/>
              </w:rPr>
              <w:t>4</w:t>
            </w:r>
            <w:r>
              <w:rPr>
                <w:rFonts w:hint="eastAsia" w:ascii="仿宋" w:hAnsi="仿宋" w:eastAsia="仿宋" w:cs="宋体"/>
                <w:bCs/>
                <w:color w:val="auto"/>
                <w:kern w:val="0"/>
                <w:sz w:val="24"/>
              </w:rPr>
              <w:t>、投标人应在投标文件中应详细说明其服务计划及收费标准，提供维修点的分布情况，及配件供应情况。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Times New Roman"/>
                <w:color w:val="auto"/>
                <w:kern w:val="2"/>
                <w:sz w:val="24"/>
                <w:szCs w:val="24"/>
                <w:lang w:val="en-US" w:eastAsia="zh-CN" w:bidi="ar-SA"/>
              </w:rPr>
            </w:pPr>
            <w:r>
              <w:rPr>
                <w:rFonts w:hint="eastAsia" w:ascii="仿宋" w:hAnsi="仿宋" w:eastAsia="仿宋"/>
                <w:color w:val="auto"/>
                <w:sz w:val="24"/>
              </w:rPr>
              <w:t>8</w:t>
            </w:r>
          </w:p>
        </w:tc>
        <w:tc>
          <w:tcPr>
            <w:tcW w:w="7531" w:type="dxa"/>
            <w:vAlign w:val="center"/>
          </w:tcPr>
          <w:p>
            <w:pPr>
              <w:widowControl/>
              <w:rPr>
                <w:rFonts w:ascii="仿宋" w:hAnsi="仿宋" w:eastAsia="仿宋" w:cs="宋体"/>
                <w:color w:val="auto"/>
                <w:kern w:val="2"/>
                <w:sz w:val="24"/>
                <w:szCs w:val="24"/>
                <w:lang w:val="en-US" w:eastAsia="zh-CN" w:bidi="ar-SA"/>
              </w:rPr>
            </w:pPr>
            <w:r>
              <w:rPr>
                <w:rFonts w:hint="eastAsia" w:ascii="仿宋" w:hAnsi="仿宋" w:eastAsia="仿宋" w:cs="宋体"/>
                <w:bCs/>
                <w:color w:val="auto"/>
                <w:kern w:val="0"/>
                <w:sz w:val="24"/>
              </w:rPr>
              <w:t>中标方提供符合临床需求的操作使用培训和维修维护培训，费用含在投标价格内。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Times New Roman"/>
                <w:kern w:val="2"/>
                <w:sz w:val="24"/>
                <w:szCs w:val="24"/>
                <w:lang w:val="en-US" w:eastAsia="zh-CN" w:bidi="ar-SA"/>
              </w:rPr>
            </w:pPr>
            <w:r>
              <w:rPr>
                <w:rFonts w:hint="eastAsia" w:ascii="仿宋" w:hAnsi="仿宋" w:eastAsia="仿宋"/>
                <w:sz w:val="24"/>
              </w:rPr>
              <w:t>9</w:t>
            </w:r>
          </w:p>
        </w:tc>
        <w:tc>
          <w:tcPr>
            <w:tcW w:w="7531" w:type="dxa"/>
            <w:vAlign w:val="center"/>
          </w:tcPr>
          <w:p>
            <w:pPr>
              <w:widowControl/>
              <w:rPr>
                <w:rFonts w:ascii="仿宋" w:hAnsi="仿宋" w:eastAsia="仿宋" w:cs="宋体"/>
                <w:bCs/>
                <w:kern w:val="0"/>
                <w:sz w:val="24"/>
                <w:szCs w:val="24"/>
                <w:lang w:val="en-US" w:eastAsia="zh-CN" w:bidi="ar-SA"/>
              </w:rPr>
            </w:pPr>
            <w:r>
              <w:rPr>
                <w:rFonts w:hint="eastAsia" w:ascii="仿宋" w:hAnsi="仿宋" w:eastAsia="仿宋"/>
                <w:sz w:val="24"/>
              </w:rPr>
              <w:t>验收：1、</w:t>
            </w:r>
            <w:r>
              <w:rPr>
                <w:rFonts w:ascii="仿宋" w:hAnsi="仿宋" w:eastAsia="仿宋"/>
                <w:sz w:val="24"/>
              </w:rPr>
              <w:t>供货方应提供设备的有效检验文件，经买方认可后，与设备性能指标、合同内容一起作为设备验收标准。买方对设备验收合格后，双方共同签署验收</w:t>
            </w:r>
            <w:r>
              <w:rPr>
                <w:rFonts w:hint="eastAsia" w:ascii="仿宋" w:hAnsi="仿宋" w:eastAsia="仿宋"/>
                <w:sz w:val="24"/>
              </w:rPr>
              <w:t>单</w:t>
            </w:r>
            <w:r>
              <w:rPr>
                <w:rFonts w:ascii="仿宋" w:hAnsi="仿宋" w:eastAsia="仿宋"/>
                <w:sz w:val="24"/>
              </w:rPr>
              <w:t>。验收中发现设备达不到验收标准或合同规定的性能指标，卖方必须更换设备。并且赔偿由此给用户造成的损失</w:t>
            </w:r>
            <w:r>
              <w:rPr>
                <w:rFonts w:hint="eastAsia" w:ascii="仿宋" w:hAnsi="仿宋" w:eastAsia="仿宋"/>
                <w:sz w:val="24"/>
              </w:rPr>
              <w:t>。2、</w:t>
            </w:r>
            <w:r>
              <w:rPr>
                <w:rFonts w:ascii="仿宋" w:hAnsi="仿宋" w:eastAsia="仿宋"/>
                <w:sz w:val="24"/>
              </w:rPr>
              <w:t>验收费用由产品投标人负担。</w:t>
            </w:r>
          </w:p>
        </w:tc>
      </w:tr>
    </w:tbl>
    <w:p>
      <w:pPr>
        <w:snapToGrid w:val="0"/>
        <w:spacing w:before="120" w:beforeLines="50" w:after="120" w:afterLines="50"/>
        <w:jc w:val="left"/>
        <w:outlineLvl w:val="1"/>
        <w:rPr>
          <w:rFonts w:hint="eastAsia" w:ascii="仿宋" w:hAnsi="仿宋" w:eastAsia="仿宋" w:cs="Times New Roman"/>
          <w:b/>
          <w:color w:val="auto"/>
          <w:sz w:val="24"/>
          <w:lang w:val="en-US" w:eastAsia="zh-CN"/>
        </w:rPr>
      </w:pPr>
    </w:p>
    <w:p>
      <w:pPr>
        <w:snapToGrid w:val="0"/>
        <w:spacing w:before="120" w:beforeLines="50" w:after="120" w:afterLines="50"/>
        <w:jc w:val="left"/>
        <w:outlineLvl w:val="1"/>
        <w:rPr>
          <w:rFonts w:hint="eastAsia" w:ascii="仿宋" w:hAnsi="仿宋" w:eastAsia="仿宋" w:cs="Times New Roman"/>
          <w:b/>
          <w:color w:val="auto"/>
          <w:sz w:val="24"/>
          <w:lang w:val="en-US" w:eastAsia="zh-CN"/>
        </w:rPr>
      </w:pPr>
      <w:r>
        <w:rPr>
          <w:rFonts w:hint="eastAsia" w:ascii="仿宋" w:hAnsi="仿宋" w:eastAsia="仿宋" w:cs="Times New Roman"/>
          <w:b/>
          <w:color w:val="auto"/>
          <w:sz w:val="24"/>
          <w:lang w:val="en-US" w:eastAsia="zh-CN"/>
        </w:rPr>
        <w:t>三：技术要求</w:t>
      </w:r>
    </w:p>
    <w:tbl>
      <w:tblPr>
        <w:tblStyle w:val="62"/>
        <w:tblW w:w="846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90"/>
        <w:gridCol w:w="70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序号</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招标要求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一</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总体要求：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1.1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投标机型为各公司最新高档超导磁共振机型。各个厂家均提供光纤数字化平台的产品。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二</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核磁共振仪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磁体系统：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▲2.1.1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磁场强度＜1.5T，＞1.3T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★2.1.2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 xml:space="preserve">为了提升患者体验感，磁体长度（不含外壳）≤155cm；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★2.1.3</w:t>
            </w:r>
          </w:p>
        </w:tc>
        <w:tc>
          <w:tcPr>
            <w:tcW w:w="7074" w:type="dxa"/>
            <w:vAlign w:val="center"/>
          </w:tcPr>
          <w:p>
            <w:pPr>
              <w:widowControl/>
              <w:jc w:val="left"/>
              <w:rPr>
                <w:rFonts w:hint="eastAsia" w:ascii="仿宋" w:hAnsi="仿宋" w:eastAsia="仿宋"/>
                <w:sz w:val="24"/>
              </w:rPr>
            </w:pPr>
            <w:r>
              <w:rPr>
                <w:rFonts w:hint="eastAsia" w:ascii="仿宋" w:hAnsi="仿宋" w:eastAsia="仿宋"/>
                <w:sz w:val="24"/>
              </w:rPr>
              <w:t>磁场均匀度，典型值，V－RMS测量法：提供datasheet证明</w:t>
            </w:r>
          </w:p>
          <w:p>
            <w:pPr>
              <w:widowControl/>
              <w:jc w:val="left"/>
              <w:rPr>
                <w:rFonts w:hint="eastAsia" w:ascii="仿宋" w:hAnsi="仿宋" w:eastAsia="仿宋"/>
                <w:sz w:val="24"/>
              </w:rPr>
            </w:pPr>
            <w:r>
              <w:rPr>
                <w:rFonts w:hint="eastAsia" w:ascii="仿宋" w:hAnsi="仿宋" w:eastAsia="仿宋"/>
                <w:sz w:val="24"/>
              </w:rPr>
              <w:t>10 cm DSV≤0.002ppm；</w:t>
            </w:r>
          </w:p>
          <w:p>
            <w:pPr>
              <w:widowControl/>
              <w:jc w:val="left"/>
              <w:rPr>
                <w:rFonts w:hint="eastAsia" w:ascii="仿宋" w:hAnsi="仿宋" w:eastAsia="仿宋"/>
                <w:sz w:val="24"/>
              </w:rPr>
            </w:pPr>
            <w:r>
              <w:rPr>
                <w:rFonts w:hint="eastAsia" w:ascii="仿宋" w:hAnsi="仿宋" w:eastAsia="仿宋"/>
                <w:sz w:val="24"/>
              </w:rPr>
              <w:t>20 cm DSV≤0.01ppm；</w:t>
            </w:r>
          </w:p>
          <w:p>
            <w:pPr>
              <w:widowControl/>
              <w:jc w:val="left"/>
              <w:rPr>
                <w:rFonts w:hint="eastAsia" w:ascii="仿宋" w:hAnsi="仿宋" w:eastAsia="仿宋"/>
                <w:sz w:val="24"/>
              </w:rPr>
            </w:pPr>
            <w:r>
              <w:rPr>
                <w:rFonts w:hint="eastAsia" w:ascii="仿宋" w:hAnsi="仿宋" w:eastAsia="仿宋"/>
                <w:sz w:val="24"/>
              </w:rPr>
              <w:t>30 cm DSV≤0.04ppm；</w:t>
            </w:r>
          </w:p>
          <w:p>
            <w:pPr>
              <w:widowControl/>
              <w:jc w:val="left"/>
              <w:rPr>
                <w:rFonts w:hint="eastAsia" w:ascii="仿宋" w:hAnsi="仿宋" w:eastAsia="仿宋"/>
                <w:sz w:val="24"/>
                <w:lang w:val="en-US" w:eastAsia="zh-CN"/>
              </w:rPr>
            </w:pPr>
            <w:r>
              <w:rPr>
                <w:rFonts w:hint="eastAsia" w:ascii="仿宋" w:hAnsi="仿宋" w:eastAsia="仿宋"/>
                <w:sz w:val="24"/>
              </w:rPr>
              <w:t>40 cm DSV≤0.40ppm；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2.1.4</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具备高阶匀场；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2.1.5</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磁场稳定度≤0.1ppm/h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2.1.6</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磁体重量（含液氦）≥4000kg；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2.1.7</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液氦容积≥1350L。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梯度系统：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2.2.1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梯度线圈冷却方式：水冷或风冷；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2.2.2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最大单轴梯度场强度（单轴非有效值）≥33mT/m；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2.2.3</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最大切换率（单轴非有效值）≥120T/m/s。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射频系统：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射频发射功率≤18KW；</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独立射频接收通道数≥16；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2.3.3.1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原厂头颈联合线圈≥16单元（非组合）；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2.3.3.2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 xml:space="preserve">原厂体部线圈≥6单元；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★2.3.3.3</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原厂脊柱线圈≥20单元（非组合）；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2.3.3.4</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原厂柔性线圈≥4单元，至少提供两套；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2.3.3.5</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膝关节专用线圈≥10单元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2.3.3.6</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乳腺专用线圈≥8单元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2.3.3.7</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具备一体化线圈技术，多线圈组合技术，满足≥4组线圈可同时组合使用，说明组合方式；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2.3.3.8</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线圈接口≥6个，必须可同时接驳使用，提供设备图片证明及操作界面证明；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2.3.3.9</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线圈柜≥1个；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计算机：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CPU主频≥3.0GHz；</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处理器位数≥64位；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2.4.3</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主内存≥32GB；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2.4.4</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硬盘容量≥500GB；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2.4.5</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显示器图像分辨率≥1280×1024；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2.4.6</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显示器大小及规格≥19英寸，专业级彩色LCD显示器；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2.4.7</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控制重建计算机CPU主频:8核心至强处理器或更高性能处理器；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2.4.8</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控制重建计算机内存容量≥32GB；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2.4.9</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图像重建速度(幅/秒)≥50000幅/秒；提供datasheet证明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2.4.10</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同步扫描重建功能：扫描,采集,重建时可同时进行阅片,后处理,照相和存盘功能；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2.5</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后处理接口：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2.5.1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提供软件控制照相技术；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2.5.2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提供DICOM 3.0接口及与PACS网络连接功能（包括打印，传输，接收，查询,Worklist ,MPPS等功能）；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2.5.3</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提供标准激光相机数字接口。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2.6</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扫描参数：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2.6.1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X轴最大FOV≥500mm；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2.6.2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Y轴最大FOV≥500mm；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2.6.3</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Z轴最大FOV≥500mm；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2.6.4</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最小FOV≤5mm；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★2.6.5</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最薄2D层厚≤0.1mm；提供datasheet证明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2.6.6</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最薄3D层厚≤0.05mm；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扫描技术与序列：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提供自旋回波序列（FSE）；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提供2D/3D快速自旋回波；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提供组织弛豫时间测量自选回波序列；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2.7.1.3</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提供可选择角度的自旋回波序列；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2.7.1.4</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提供单回波、双回波、多回波技术；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2.7.1.5</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提供单次激发快速自选回波序列；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2.7.1.6</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提供脂肪抑制技术；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2.7.1.7</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提供水抑制技术；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2.7.1.8</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提供反转恢复（IR）；</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2.7.1.9</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提供常规反转恢复序列；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2.7.1.10</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提供快速自由水抑制序列（FLAIR）；</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2.7.1.11</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提供快速自由水抑制序列T1W成像技术；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2.7.1.12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提供快速自由水抑制序列T2W成像技术；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2.7.1.13</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提供快速反转恢复序列（脂肪、水抑制）；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2.7.1.14</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提供短TI反转回波水脂分离成像；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2.7.1.15</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提供真实影像反转恢复序列（灰白质强对比成像）；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2.7.2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提供梯度回波(2D/3D)；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2.7.2.1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提供多层面梯度回波；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2.7.2.2</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提供2D/3D去除剩余磁化梯度回波技术；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2.7.2.3</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提供2D/3D利用剩余磁化梯度回波技术；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2.7.2.4</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提供重T2加权高对比序列；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2.7.2.5</w:t>
            </w:r>
          </w:p>
        </w:tc>
        <w:tc>
          <w:tcPr>
            <w:tcW w:w="7074"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提供3D梯度回波技术；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2.7.2.6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提供快速稳态进动梯度回波；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2.7.2.7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提供超快速场回波序列；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2.7.2.8</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提供三维成像技术；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提供平面回波成像技术（EPI）；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2.7.3.1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提供单次激发平面回波成像技术；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2.7.3.2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提供自旋回波EPI；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2.7.3.3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提供梯度回波EPI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2.7.3.4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提供反转EPI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提供神经系统成像技术；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2.7.4.1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提供高分辨解剖成像；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2.7.4.2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提供全脊髓成像；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2.7.4.3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提供全脊髓成像；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提供血管成像技术；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2.7.5.1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提供时飞法技术(2D/3D)；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2.7.5.2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提供流入法采集技术（2D/3D）；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2.7.5.3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提供连续多层3D时飞法技术；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提供伪影消除技术；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2.7.6.1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提供流体补偿；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2.7.6.2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提供呼吸补偿；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2.7.6.3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提供流动校正梯度波形技术；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2.7.6.4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提供区域饱和技术；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2.7.6.5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提供卷积伪影去除技术；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2.7.6.6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提供运动伪影消除技术；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2.7.6.7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提供图像滤波增强技术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2.7.6.8</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提供K空间降噪技术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2.7.6.9</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提供环形伪影抑制技术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提供节时技术；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2.7.7.1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提供半扫描技术；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2.7.7.2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提供全方向部分编码采集技术；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2.7.7.3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提供矩形视野采集技术；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2.7.7.4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提供并行采集加速技术（SENSE等）；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2.7.7.5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提供部分回波采集；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提供弥散成像技术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提供ADC成像；；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2.7.7.8</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提供各向同性采集；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2.7.7.9</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提供各向异性采集；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2.7.7.10</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提供ADC值测量；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2.7.7.11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提供ADC-map；</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2.7.7.12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提供自动采集处理；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2.7.7.13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提供单次激发EPI；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2.7.7.14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提供弥散成像；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2.7.7.15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提供自动生成ADC图；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2.7.7.16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提供可选优化B值；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2.7.7.17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提供弥散张量成像DTI；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提供其他成像技术；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提供短TR TE快速成像功能；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提供三维定位系统；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提供放射状片层定位技术；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提供扫描暂停；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提供可变带宽技术；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提供预扫描技术；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提供信噪比显示功能；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2.7.8.8</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提供图像变形校正技术；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2.7.8.9</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提供实时交互式成像功能；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2.7.8.10</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提供磁共振实时定位；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提供磁共振实时交互式参数改变；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提供高分辨成像检查；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提供组合扫描功能；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提供水饱和技术；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提供预饱和技术；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提供饱和带数目；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提供平行饱和带；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2.7.8.18</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提供伴随饱和带；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2.7.8.19</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提供脂肪饱和技术；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2.7.8.20</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提供信号平均技术，包含内模式和外模式；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提供频率编码方向扩大采集；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提供相位编码方向扩大采集；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提供偏中心扫描技术；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提供可变K空间填写方式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提供K空间快速采集；；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提供线圈灵敏度校正技术；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提供肝脏动态增强技术；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2.7.8.28</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提供图像亮度均一化校正技术；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2.7.8.29</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提供自动中心扫描技术；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2.7.8.30</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提供图像重建技术；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2.7.8.31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提供图像插值放大技术；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2.7.9</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提供高级临床应用软件包；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2.7.9.1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提供神经成像软件包；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2.7.9.2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提供体部系统软件包；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2.7.9.3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提供骨关节成像软件包；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2.7.9.4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提供肿瘤成像软件包；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2.7.9.5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提供乳腺成像软件包；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2.7.9.6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提供血管成像软件包；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2.7.9.7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提供心脏成像软件包；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2.7.10</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提供高级扫描应用软件及后处理；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2.7.10.1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提供一键式智能扫描平台（含头、脊柱智能扫描，自动出定位相）；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提供脑灌注成像技术；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提供高级弥散张量成像技术；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提供脑功能成像技术；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提供单体素波谱成像技术；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提供磁化率加权成像技术；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提供去金属伪影成像技术；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2.7.10.8</w:t>
            </w:r>
          </w:p>
        </w:tc>
        <w:tc>
          <w:tcPr>
            <w:tcW w:w="7074" w:type="dxa"/>
            <w:vAlign w:val="top"/>
          </w:tcPr>
          <w:p>
            <w:pPr>
              <w:widowControl/>
              <w:jc w:val="left"/>
              <w:rPr>
                <w:rFonts w:hint="default" w:ascii="仿宋" w:hAnsi="仿宋" w:eastAsia="仿宋"/>
                <w:sz w:val="24"/>
                <w:lang w:val="en-US" w:eastAsia="zh-CN"/>
              </w:rPr>
            </w:pPr>
            <w:r>
              <w:rPr>
                <w:rFonts w:hint="eastAsia" w:ascii="仿宋" w:hAnsi="仿宋" w:eastAsia="仿宋"/>
                <w:sz w:val="24"/>
              </w:rPr>
              <w:t xml:space="preserve">提供运动伪影校正技术；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2.7.10.9</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提供脂肪定量技术；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2.7.10.10</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提供水脂分离成像技术；；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2.7.10.11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提供3D ASL；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2.7.10.12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提供智能检查技术；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2.7.10.13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提供头部智能检查；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2.7.10.14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提供脊柱智能检查；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top"/>
          </w:tcPr>
          <w:p>
            <w:pPr>
              <w:widowControl/>
              <w:jc w:val="center"/>
              <w:rPr>
                <w:rFonts w:hint="eastAsia" w:ascii="仿宋" w:hAnsi="仿宋" w:eastAsia="仿宋"/>
                <w:sz w:val="24"/>
                <w:lang w:val="en-US" w:eastAsia="zh-CN"/>
              </w:rPr>
            </w:pPr>
            <w:r>
              <w:rPr>
                <w:rFonts w:hint="eastAsia" w:ascii="仿宋" w:hAnsi="仿宋" w:eastAsia="仿宋"/>
                <w:sz w:val="24"/>
              </w:rPr>
              <w:t>2.7.10.15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提供多协议智能规划；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★2.7.10.16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提供压缩感知或以该技术为核心的技术，满足≤2s-3s/期相的高时间分辨率，需提供可满足诊断的腹部多期动态增强图像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2.7.10.17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提供等体素薄层高清采集技术，提供（CUBE、VISTA、SPACE等类似技术，提供序列名称及证明图像）；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2.7.10.18</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提供一键式智能扫描平台（含头、脊柱等智能扫描，自动出定位相），提供技术平台名称及操作界面截图；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2.7.10.19</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提供腹部增强扫描多对比技术，单次扫描同时生成水相、脂相、同相、反相图像。提供扫描技术名称和图像证明。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病人检查环境：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提供可升降扫描床；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扫描床最大承重≥200KG；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扫描床长度≥260cm；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2.8.4</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单次进床最大扫描范围≥150cm；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2.8.5</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扫描床最低高度≤52cm；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2.8.6</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扫描床水平进床最大速度≥10cm/sec；</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2.8.7</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提供双向病人通话系统；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2.8.8</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提供防磁耳机；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2.8.9</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提供可调试病人通风系统；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2.8.10</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提供可调试磁孔内病人照明系统；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2.8.11</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提供病人双向通话麦克风及扩音器系统；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2.8.12</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提供病人监视系统；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2.8.13</w:t>
            </w:r>
          </w:p>
        </w:tc>
        <w:tc>
          <w:tcPr>
            <w:tcW w:w="7074" w:type="dxa"/>
            <w:vAlign w:val="center"/>
          </w:tcPr>
          <w:p>
            <w:pPr>
              <w:widowControl/>
              <w:jc w:val="left"/>
              <w:rPr>
                <w:rFonts w:hint="default" w:ascii="仿宋" w:hAnsi="仿宋" w:eastAsia="仿宋"/>
                <w:sz w:val="24"/>
                <w:lang w:val="en-US" w:eastAsia="zh-CN"/>
              </w:rPr>
            </w:pPr>
            <w:r>
              <w:rPr>
                <w:rFonts w:hint="eastAsia" w:ascii="仿宋" w:hAnsi="仿宋" w:eastAsia="仿宋"/>
                <w:sz w:val="24"/>
              </w:rPr>
              <w:t>提供磁体旁直接启动扫描功能；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2.8.14</w:t>
            </w:r>
          </w:p>
        </w:tc>
        <w:tc>
          <w:tcPr>
            <w:tcW w:w="7074" w:type="dxa"/>
            <w:vAlign w:val="top"/>
          </w:tcPr>
          <w:p>
            <w:pPr>
              <w:widowControl/>
              <w:jc w:val="left"/>
              <w:rPr>
                <w:rFonts w:hint="default" w:ascii="仿宋" w:hAnsi="仿宋" w:eastAsia="仿宋"/>
                <w:sz w:val="24"/>
                <w:lang w:val="en-US" w:eastAsia="zh-CN"/>
              </w:rPr>
            </w:pPr>
            <w:r>
              <w:rPr>
                <w:rFonts w:hint="eastAsia" w:ascii="仿宋" w:hAnsi="仿宋" w:eastAsia="仿宋"/>
                <w:sz w:val="24"/>
              </w:rPr>
              <w:t>提供患者紧急呼叫装置；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2.8.15</w:t>
            </w:r>
          </w:p>
        </w:tc>
        <w:tc>
          <w:tcPr>
            <w:tcW w:w="7074" w:type="dxa"/>
            <w:vAlign w:val="top"/>
          </w:tcPr>
          <w:p>
            <w:pPr>
              <w:widowControl/>
              <w:jc w:val="left"/>
              <w:rPr>
                <w:rFonts w:hint="default" w:ascii="仿宋" w:hAnsi="仿宋" w:eastAsia="仿宋"/>
                <w:sz w:val="24"/>
                <w:lang w:val="en-US" w:eastAsia="zh-CN"/>
              </w:rPr>
            </w:pPr>
            <w:r>
              <w:rPr>
                <w:rFonts w:hint="eastAsia" w:ascii="仿宋" w:hAnsi="仿宋" w:eastAsia="仿宋"/>
                <w:sz w:val="24"/>
              </w:rPr>
              <w:t>提供扫描中可自动控制检查床移动；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2.8.16</w:t>
            </w:r>
          </w:p>
        </w:tc>
        <w:tc>
          <w:tcPr>
            <w:tcW w:w="7074" w:type="dxa"/>
            <w:vAlign w:val="top"/>
          </w:tcPr>
          <w:p>
            <w:pPr>
              <w:widowControl/>
              <w:jc w:val="left"/>
              <w:rPr>
                <w:rFonts w:hint="default" w:ascii="仿宋" w:hAnsi="仿宋" w:eastAsia="仿宋"/>
                <w:sz w:val="24"/>
                <w:lang w:val="en-US" w:eastAsia="zh-CN"/>
              </w:rPr>
            </w:pPr>
            <w:r>
              <w:rPr>
                <w:rFonts w:hint="eastAsia" w:ascii="仿宋" w:hAnsi="仿宋" w:eastAsia="仿宋"/>
                <w:sz w:val="24"/>
              </w:rPr>
              <w:t>提供扫描控制，可在扫描间启动和停止扫描；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2.8.17</w:t>
            </w:r>
          </w:p>
        </w:tc>
        <w:tc>
          <w:tcPr>
            <w:tcW w:w="7074" w:type="dxa"/>
            <w:vAlign w:val="top"/>
          </w:tcPr>
          <w:p>
            <w:pPr>
              <w:widowControl/>
              <w:jc w:val="left"/>
              <w:rPr>
                <w:rFonts w:hint="default" w:ascii="仿宋" w:hAnsi="仿宋" w:eastAsia="仿宋"/>
                <w:sz w:val="24"/>
                <w:lang w:val="en-US" w:eastAsia="zh-CN"/>
              </w:rPr>
            </w:pPr>
            <w:r>
              <w:rPr>
                <w:rFonts w:hint="eastAsia" w:ascii="仿宋" w:hAnsi="仿宋" w:eastAsia="仿宋"/>
                <w:sz w:val="24"/>
              </w:rPr>
              <w:t>提供扫描操作台上配备MR控制盒（主要功能包括：对讲系统，开启和停止扫描以及一键出床，音乐播放功能，系统开机&amp;关机操作）；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90" w:type="dxa"/>
            <w:vAlign w:val="center"/>
          </w:tcPr>
          <w:p>
            <w:pPr>
              <w:widowControl/>
              <w:jc w:val="center"/>
              <w:rPr>
                <w:rFonts w:hint="eastAsia" w:ascii="仿宋" w:hAnsi="仿宋" w:eastAsia="仿宋"/>
                <w:sz w:val="24"/>
                <w:lang w:val="en-US" w:eastAsia="zh-CN"/>
              </w:rPr>
            </w:pPr>
            <w:r>
              <w:rPr>
                <w:rFonts w:hint="eastAsia" w:ascii="仿宋" w:hAnsi="仿宋" w:eastAsia="仿宋"/>
                <w:sz w:val="24"/>
              </w:rPr>
              <w:t>2.8.18</w:t>
            </w:r>
          </w:p>
        </w:tc>
        <w:tc>
          <w:tcPr>
            <w:tcW w:w="7074" w:type="dxa"/>
            <w:vAlign w:val="top"/>
          </w:tcPr>
          <w:p>
            <w:pPr>
              <w:widowControl/>
              <w:jc w:val="left"/>
              <w:rPr>
                <w:rFonts w:hint="eastAsia" w:ascii="仿宋" w:hAnsi="仿宋" w:eastAsia="仿宋"/>
                <w:sz w:val="24"/>
                <w:lang w:val="en-US" w:eastAsia="zh-CN"/>
              </w:rPr>
            </w:pPr>
            <w:r>
              <w:rPr>
                <w:rFonts w:hint="eastAsia" w:ascii="仿宋" w:hAnsi="仿宋" w:eastAsia="仿宋"/>
                <w:sz w:val="24"/>
              </w:rPr>
              <w:t>提供脚踏开关（在手推进行造影剂注射时，如灌注或动态增强扫描，可以在推注射器的同时用脚踏开关启动扫描）</w:t>
            </w:r>
            <w:r>
              <w:rPr>
                <w:rFonts w:hint="eastAsia" w:ascii="仿宋" w:hAnsi="仿宋" w:eastAsia="仿宋"/>
                <w:sz w:val="24"/>
                <w:lang w:eastAsia="zh-CN"/>
              </w:rPr>
              <w:t>。</w:t>
            </w:r>
          </w:p>
        </w:tc>
      </w:tr>
    </w:tbl>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24"/>
        </w:rPr>
        <w:br w:type="page"/>
      </w:r>
      <w:bookmarkStart w:id="37" w:name="_Toc18186"/>
      <w:r>
        <w:rPr>
          <w:rFonts w:hint="eastAsia" w:ascii="仿宋" w:hAnsi="仿宋" w:eastAsia="仿宋" w:cs="仿宋"/>
          <w:b/>
          <w:sz w:val="36"/>
          <w:szCs w:val="36"/>
        </w:rPr>
        <w:t xml:space="preserve">第四部分   </w:t>
      </w:r>
      <w:bookmarkStart w:id="38" w:name="_Toc184308086"/>
      <w:bookmarkEnd w:id="38"/>
      <w:bookmarkStart w:id="39" w:name="_Toc184310288"/>
      <w:bookmarkEnd w:id="39"/>
      <w:bookmarkStart w:id="40" w:name="_Toc184308070"/>
      <w:bookmarkEnd w:id="40"/>
      <w:bookmarkStart w:id="41" w:name="_Toc184310280"/>
      <w:bookmarkEnd w:id="41"/>
      <w:bookmarkStart w:id="42" w:name="_Toc184310341"/>
      <w:bookmarkEnd w:id="42"/>
      <w:bookmarkStart w:id="43" w:name="_Toc184312071"/>
      <w:bookmarkEnd w:id="43"/>
      <w:bookmarkStart w:id="44" w:name="_Toc184308045"/>
      <w:bookmarkEnd w:id="44"/>
      <w:bookmarkStart w:id="45" w:name="_Toc184308065"/>
      <w:bookmarkEnd w:id="45"/>
      <w:bookmarkStart w:id="46" w:name="_Toc184313310"/>
      <w:bookmarkEnd w:id="46"/>
      <w:bookmarkStart w:id="47" w:name="_Toc184312124"/>
      <w:bookmarkEnd w:id="47"/>
      <w:bookmarkStart w:id="48" w:name="_Toc184308087"/>
      <w:bookmarkEnd w:id="48"/>
      <w:bookmarkStart w:id="49" w:name="_Toc184314420"/>
      <w:bookmarkEnd w:id="49"/>
      <w:bookmarkStart w:id="50" w:name="_Toc184308040"/>
      <w:bookmarkEnd w:id="50"/>
      <w:bookmarkStart w:id="51" w:name="_Toc184314478"/>
      <w:bookmarkEnd w:id="51"/>
      <w:bookmarkStart w:id="52" w:name="_Toc184312132"/>
      <w:bookmarkEnd w:id="52"/>
      <w:bookmarkStart w:id="53" w:name="_Toc184313294"/>
      <w:bookmarkEnd w:id="53"/>
      <w:bookmarkStart w:id="54" w:name="_Toc184310323"/>
      <w:bookmarkEnd w:id="54"/>
      <w:bookmarkStart w:id="55" w:name="_Toc184312081"/>
      <w:bookmarkEnd w:id="55"/>
      <w:bookmarkStart w:id="56" w:name="_Toc184314424"/>
      <w:bookmarkEnd w:id="56"/>
      <w:bookmarkStart w:id="57" w:name="_Toc184310283"/>
      <w:bookmarkEnd w:id="57"/>
      <w:bookmarkStart w:id="58" w:name="_Toc184314431"/>
      <w:bookmarkEnd w:id="58"/>
      <w:bookmarkStart w:id="59" w:name="_Toc184313297"/>
      <w:bookmarkEnd w:id="59"/>
      <w:bookmarkStart w:id="60" w:name="_Toc184312095"/>
      <w:bookmarkEnd w:id="60"/>
      <w:bookmarkStart w:id="61" w:name="_Toc184312079"/>
      <w:bookmarkEnd w:id="61"/>
      <w:bookmarkStart w:id="62" w:name="_Toc184308041"/>
      <w:bookmarkEnd w:id="62"/>
      <w:bookmarkStart w:id="63" w:name="_Toc184314461"/>
      <w:bookmarkEnd w:id="63"/>
      <w:bookmarkStart w:id="64" w:name="_Toc184314437"/>
      <w:bookmarkEnd w:id="64"/>
      <w:bookmarkStart w:id="65" w:name="_Toc184308044"/>
      <w:bookmarkEnd w:id="65"/>
      <w:bookmarkStart w:id="66" w:name="_Toc184308069"/>
      <w:bookmarkEnd w:id="66"/>
      <w:bookmarkStart w:id="67" w:name="_Toc184312089"/>
      <w:bookmarkEnd w:id="67"/>
      <w:bookmarkStart w:id="68" w:name="_Toc184310339"/>
      <w:bookmarkEnd w:id="68"/>
      <w:bookmarkStart w:id="69" w:name="_Toc184313245"/>
      <w:bookmarkEnd w:id="69"/>
      <w:bookmarkStart w:id="70" w:name="_Toc184312090"/>
      <w:bookmarkEnd w:id="70"/>
      <w:bookmarkStart w:id="71" w:name="_Toc184310303"/>
      <w:bookmarkEnd w:id="71"/>
      <w:bookmarkStart w:id="72" w:name="_Toc184312104"/>
      <w:bookmarkEnd w:id="72"/>
      <w:bookmarkStart w:id="73" w:name="_Toc184312094"/>
      <w:bookmarkEnd w:id="73"/>
      <w:bookmarkStart w:id="74" w:name="_Toc184312137"/>
      <w:bookmarkEnd w:id="74"/>
      <w:bookmarkStart w:id="75" w:name="_Toc184312127"/>
      <w:bookmarkEnd w:id="75"/>
      <w:bookmarkStart w:id="76" w:name="_Toc184312106"/>
      <w:bookmarkEnd w:id="76"/>
      <w:bookmarkStart w:id="77" w:name="_Toc184310340"/>
      <w:bookmarkEnd w:id="77"/>
      <w:bookmarkStart w:id="78" w:name="_Toc184312131"/>
      <w:bookmarkEnd w:id="78"/>
      <w:bookmarkStart w:id="79" w:name="_Toc184314470"/>
      <w:bookmarkEnd w:id="79"/>
      <w:bookmarkStart w:id="80" w:name="_Toc184308061"/>
      <w:bookmarkEnd w:id="80"/>
      <w:bookmarkStart w:id="81" w:name="_Toc184310316"/>
      <w:bookmarkEnd w:id="81"/>
      <w:bookmarkStart w:id="82" w:name="_Toc184308051"/>
      <w:bookmarkEnd w:id="82"/>
      <w:bookmarkStart w:id="83" w:name="_Toc184310326"/>
      <w:bookmarkEnd w:id="83"/>
      <w:bookmarkStart w:id="84" w:name="_Toc184314453"/>
      <w:bookmarkEnd w:id="84"/>
      <w:bookmarkStart w:id="85" w:name="_Toc184312116"/>
      <w:bookmarkEnd w:id="85"/>
      <w:bookmarkStart w:id="86" w:name="_Toc184310344"/>
      <w:bookmarkEnd w:id="86"/>
      <w:bookmarkStart w:id="87" w:name="_Toc184310325"/>
      <w:bookmarkEnd w:id="87"/>
      <w:bookmarkStart w:id="88" w:name="_Toc184310299"/>
      <w:bookmarkEnd w:id="88"/>
      <w:bookmarkStart w:id="89" w:name="_Toc184308063"/>
      <w:bookmarkEnd w:id="89"/>
      <w:bookmarkStart w:id="90" w:name="_Toc184314419"/>
      <w:bookmarkEnd w:id="90"/>
      <w:bookmarkStart w:id="91" w:name="_Toc184313277"/>
      <w:bookmarkEnd w:id="91"/>
      <w:bookmarkStart w:id="92" w:name="_Toc184313300"/>
      <w:bookmarkEnd w:id="92"/>
      <w:bookmarkStart w:id="93" w:name="_Toc184314438"/>
      <w:bookmarkEnd w:id="93"/>
      <w:bookmarkStart w:id="94" w:name="_Toc184313249"/>
      <w:bookmarkEnd w:id="94"/>
      <w:bookmarkStart w:id="95" w:name="_Toc184312103"/>
      <w:bookmarkEnd w:id="95"/>
      <w:bookmarkStart w:id="96" w:name="_Toc184313238"/>
      <w:bookmarkEnd w:id="96"/>
      <w:bookmarkStart w:id="97" w:name="_Toc184308066"/>
      <w:bookmarkEnd w:id="97"/>
      <w:bookmarkStart w:id="98" w:name="_Toc184312101"/>
      <w:bookmarkEnd w:id="98"/>
      <w:bookmarkStart w:id="99" w:name="_Toc184313267"/>
      <w:bookmarkEnd w:id="99"/>
      <w:bookmarkStart w:id="100" w:name="_Toc184313275"/>
      <w:bookmarkEnd w:id="100"/>
      <w:bookmarkStart w:id="101" w:name="_Toc184308049"/>
      <w:bookmarkEnd w:id="101"/>
      <w:bookmarkStart w:id="102" w:name="_Toc184310275"/>
      <w:bookmarkEnd w:id="102"/>
      <w:bookmarkStart w:id="103" w:name="_Toc184308079"/>
      <w:bookmarkEnd w:id="103"/>
      <w:bookmarkStart w:id="104" w:name="_Toc184312086"/>
      <w:bookmarkEnd w:id="104"/>
      <w:bookmarkStart w:id="105" w:name="_Toc184313280"/>
      <w:bookmarkEnd w:id="105"/>
      <w:bookmarkStart w:id="106" w:name="_Toc184314426"/>
      <w:bookmarkEnd w:id="106"/>
      <w:bookmarkStart w:id="107" w:name="_Toc184312082"/>
      <w:bookmarkEnd w:id="107"/>
      <w:bookmarkStart w:id="108" w:name="_Toc184314421"/>
      <w:bookmarkEnd w:id="108"/>
      <w:bookmarkStart w:id="109" w:name="_Toc184314415"/>
      <w:bookmarkEnd w:id="109"/>
      <w:bookmarkStart w:id="110" w:name="_Toc184310337"/>
      <w:bookmarkEnd w:id="110"/>
      <w:bookmarkStart w:id="111" w:name="_Toc184312102"/>
      <w:bookmarkEnd w:id="111"/>
      <w:bookmarkStart w:id="112" w:name="_Toc184312069"/>
      <w:bookmarkEnd w:id="112"/>
      <w:bookmarkStart w:id="113" w:name="_Toc184310330"/>
      <w:bookmarkEnd w:id="113"/>
      <w:bookmarkStart w:id="114" w:name="_Toc184310295"/>
      <w:bookmarkEnd w:id="114"/>
      <w:bookmarkStart w:id="115" w:name="_Toc184308042"/>
      <w:bookmarkEnd w:id="115"/>
      <w:bookmarkStart w:id="116" w:name="_Toc184314417"/>
      <w:bookmarkEnd w:id="116"/>
      <w:bookmarkStart w:id="117" w:name="_Toc184308095"/>
      <w:bookmarkEnd w:id="117"/>
      <w:bookmarkStart w:id="118" w:name="_Toc184313273"/>
      <w:bookmarkEnd w:id="118"/>
      <w:bookmarkStart w:id="119" w:name="_Toc184310298"/>
      <w:bookmarkEnd w:id="119"/>
      <w:bookmarkStart w:id="120" w:name="_Toc184312098"/>
      <w:bookmarkEnd w:id="120"/>
      <w:bookmarkStart w:id="121" w:name="_Toc184308037"/>
      <w:bookmarkEnd w:id="121"/>
      <w:bookmarkStart w:id="122" w:name="_Toc184312070"/>
      <w:bookmarkEnd w:id="122"/>
      <w:bookmarkStart w:id="123" w:name="_Toc184308083"/>
      <w:bookmarkEnd w:id="123"/>
      <w:bookmarkStart w:id="124" w:name="_Toc184310313"/>
      <w:bookmarkEnd w:id="124"/>
      <w:bookmarkStart w:id="125" w:name="_Toc184313302"/>
      <w:bookmarkEnd w:id="125"/>
      <w:bookmarkStart w:id="126" w:name="_Toc184312099"/>
      <w:bookmarkEnd w:id="126"/>
      <w:bookmarkStart w:id="127" w:name="_Toc184308062"/>
      <w:bookmarkEnd w:id="127"/>
      <w:bookmarkStart w:id="128" w:name="_Toc184314456"/>
      <w:bookmarkEnd w:id="128"/>
      <w:bookmarkStart w:id="129" w:name="_Toc184310276"/>
      <w:bookmarkEnd w:id="129"/>
      <w:bookmarkStart w:id="130" w:name="_Toc184310305"/>
      <w:bookmarkEnd w:id="130"/>
      <w:bookmarkStart w:id="131" w:name="_Toc184313266"/>
      <w:bookmarkEnd w:id="131"/>
      <w:bookmarkStart w:id="132" w:name="_Toc184313240"/>
      <w:bookmarkEnd w:id="132"/>
      <w:bookmarkStart w:id="133" w:name="_Toc184310327"/>
      <w:bookmarkEnd w:id="133"/>
      <w:bookmarkStart w:id="134" w:name="_Toc184314455"/>
      <w:bookmarkEnd w:id="134"/>
      <w:bookmarkStart w:id="135" w:name="_Toc184313288"/>
      <w:bookmarkEnd w:id="135"/>
      <w:bookmarkStart w:id="136" w:name="_Toc184312118"/>
      <w:bookmarkEnd w:id="136"/>
      <w:bookmarkStart w:id="137" w:name="_Toc184313309"/>
      <w:bookmarkEnd w:id="137"/>
      <w:bookmarkStart w:id="138" w:name="_Toc184314457"/>
      <w:bookmarkEnd w:id="138"/>
      <w:bookmarkStart w:id="139" w:name="_Toc184313282"/>
      <w:bookmarkEnd w:id="139"/>
      <w:bookmarkStart w:id="140" w:name="_Toc184314429"/>
      <w:bookmarkEnd w:id="140"/>
      <w:bookmarkStart w:id="141" w:name="_Toc184314454"/>
      <w:bookmarkEnd w:id="141"/>
      <w:bookmarkStart w:id="142" w:name="_Toc184314430"/>
      <w:bookmarkEnd w:id="142"/>
      <w:bookmarkStart w:id="143" w:name="_Toc184308092"/>
      <w:bookmarkEnd w:id="143"/>
      <w:bookmarkStart w:id="144" w:name="_Toc184308091"/>
      <w:bookmarkEnd w:id="144"/>
      <w:bookmarkStart w:id="145" w:name="_Toc184310274"/>
      <w:bookmarkEnd w:id="145"/>
      <w:bookmarkStart w:id="146" w:name="_Toc184314434"/>
      <w:bookmarkEnd w:id="146"/>
      <w:bookmarkStart w:id="147" w:name="_Toc184312076"/>
      <w:bookmarkEnd w:id="147"/>
      <w:bookmarkStart w:id="148" w:name="_Toc184312122"/>
      <w:bookmarkEnd w:id="148"/>
      <w:bookmarkStart w:id="149" w:name="_Toc184308056"/>
      <w:bookmarkEnd w:id="149"/>
      <w:bookmarkStart w:id="150" w:name="_Toc184314477"/>
      <w:bookmarkEnd w:id="150"/>
      <w:bookmarkStart w:id="151" w:name="_Toc184314475"/>
      <w:bookmarkEnd w:id="151"/>
      <w:bookmarkStart w:id="152" w:name="_Toc184314423"/>
      <w:bookmarkEnd w:id="152"/>
      <w:bookmarkStart w:id="153" w:name="_Toc184314439"/>
      <w:bookmarkEnd w:id="153"/>
      <w:bookmarkStart w:id="154" w:name="_Toc184313279"/>
      <w:bookmarkEnd w:id="154"/>
      <w:bookmarkStart w:id="155" w:name="_Toc184313306"/>
      <w:bookmarkEnd w:id="155"/>
      <w:bookmarkStart w:id="156" w:name="_Toc184313265"/>
      <w:bookmarkEnd w:id="156"/>
      <w:bookmarkStart w:id="157" w:name="_Toc184308067"/>
      <w:bookmarkEnd w:id="157"/>
      <w:bookmarkStart w:id="158" w:name="_Toc184314440"/>
      <w:bookmarkEnd w:id="158"/>
      <w:bookmarkStart w:id="159" w:name="_Toc184314462"/>
      <w:bookmarkEnd w:id="159"/>
      <w:bookmarkStart w:id="160" w:name="_Toc184310329"/>
      <w:bookmarkEnd w:id="160"/>
      <w:bookmarkStart w:id="161" w:name="_Toc184314479"/>
      <w:bookmarkEnd w:id="161"/>
      <w:bookmarkStart w:id="162" w:name="_Toc184314412"/>
      <w:bookmarkEnd w:id="162"/>
      <w:bookmarkStart w:id="163" w:name="_Toc184313250"/>
      <w:bookmarkEnd w:id="163"/>
      <w:bookmarkStart w:id="164" w:name="_Toc184312120"/>
      <w:bookmarkEnd w:id="164"/>
      <w:bookmarkStart w:id="165" w:name="_Toc184313278"/>
      <w:bookmarkEnd w:id="165"/>
      <w:bookmarkStart w:id="166" w:name="_Toc184312088"/>
      <w:bookmarkEnd w:id="166"/>
      <w:bookmarkStart w:id="167" w:name="_Toc184313243"/>
      <w:bookmarkEnd w:id="167"/>
      <w:bookmarkStart w:id="168" w:name="_Toc184313291"/>
      <w:bookmarkEnd w:id="168"/>
      <w:bookmarkStart w:id="169" w:name="_Toc184308074"/>
      <w:bookmarkEnd w:id="169"/>
      <w:bookmarkStart w:id="170" w:name="_Toc184313305"/>
      <w:bookmarkEnd w:id="170"/>
      <w:bookmarkStart w:id="171" w:name="_Toc184308103"/>
      <w:bookmarkEnd w:id="171"/>
      <w:bookmarkStart w:id="172" w:name="_Toc184308084"/>
      <w:bookmarkEnd w:id="172"/>
      <w:bookmarkStart w:id="173" w:name="_Toc184312121"/>
      <w:bookmarkEnd w:id="173"/>
      <w:bookmarkStart w:id="174" w:name="_Toc184310300"/>
      <w:bookmarkEnd w:id="174"/>
      <w:bookmarkStart w:id="175" w:name="_Toc184313260"/>
      <w:bookmarkEnd w:id="175"/>
      <w:bookmarkStart w:id="176" w:name="_Toc184308106"/>
      <w:bookmarkEnd w:id="176"/>
      <w:bookmarkStart w:id="177" w:name="_Toc184308064"/>
      <w:bookmarkEnd w:id="177"/>
      <w:bookmarkStart w:id="178" w:name="_Toc184310277"/>
      <w:bookmarkEnd w:id="178"/>
      <w:bookmarkStart w:id="179" w:name="_Toc184310279"/>
      <w:bookmarkEnd w:id="179"/>
      <w:bookmarkStart w:id="180" w:name="_Toc184312128"/>
      <w:bookmarkEnd w:id="180"/>
      <w:bookmarkStart w:id="181" w:name="_Toc184314465"/>
      <w:bookmarkEnd w:id="181"/>
      <w:bookmarkStart w:id="182" w:name="_Toc184308073"/>
      <w:bookmarkEnd w:id="182"/>
      <w:bookmarkStart w:id="183" w:name="_Toc184308099"/>
      <w:bookmarkEnd w:id="183"/>
      <w:bookmarkStart w:id="184" w:name="_Toc184313244"/>
      <w:bookmarkEnd w:id="184"/>
      <w:bookmarkStart w:id="185" w:name="_Toc184308076"/>
      <w:bookmarkEnd w:id="185"/>
      <w:bookmarkStart w:id="186" w:name="_Toc184313292"/>
      <w:bookmarkEnd w:id="186"/>
      <w:bookmarkStart w:id="187" w:name="_Toc184312133"/>
      <w:bookmarkEnd w:id="187"/>
      <w:bookmarkStart w:id="188" w:name="_Toc184314463"/>
      <w:bookmarkEnd w:id="188"/>
      <w:bookmarkStart w:id="189" w:name="_Toc184310322"/>
      <w:bookmarkEnd w:id="189"/>
      <w:bookmarkStart w:id="190" w:name="_Toc184312119"/>
      <w:bookmarkEnd w:id="190"/>
      <w:bookmarkStart w:id="191" w:name="_Toc184310315"/>
      <w:bookmarkEnd w:id="191"/>
      <w:bookmarkStart w:id="192" w:name="_Toc184310343"/>
      <w:bookmarkEnd w:id="192"/>
      <w:bookmarkStart w:id="193" w:name="_Toc184312113"/>
      <w:bookmarkEnd w:id="193"/>
      <w:bookmarkStart w:id="194" w:name="_Toc184308093"/>
      <w:bookmarkEnd w:id="194"/>
      <w:bookmarkStart w:id="195" w:name="_Toc184314446"/>
      <w:bookmarkEnd w:id="195"/>
      <w:bookmarkStart w:id="196" w:name="_Toc184313281"/>
      <w:bookmarkEnd w:id="196"/>
      <w:bookmarkStart w:id="197" w:name="_Toc184308075"/>
      <w:bookmarkEnd w:id="197"/>
      <w:bookmarkStart w:id="198" w:name="_Toc184308094"/>
      <w:bookmarkEnd w:id="198"/>
      <w:bookmarkStart w:id="199" w:name="_Toc184314427"/>
      <w:bookmarkEnd w:id="199"/>
      <w:bookmarkStart w:id="200" w:name="_Toc184308080"/>
      <w:bookmarkEnd w:id="200"/>
      <w:bookmarkStart w:id="201" w:name="_Toc184308085"/>
      <w:bookmarkEnd w:id="201"/>
      <w:bookmarkStart w:id="202" w:name="_Toc184308088"/>
      <w:bookmarkEnd w:id="202"/>
      <w:bookmarkStart w:id="203" w:name="_Toc184312074"/>
      <w:bookmarkEnd w:id="203"/>
      <w:bookmarkStart w:id="204" w:name="_Toc184310334"/>
      <w:bookmarkEnd w:id="204"/>
      <w:bookmarkStart w:id="205" w:name="_Toc184308048"/>
      <w:bookmarkEnd w:id="205"/>
      <w:bookmarkStart w:id="206" w:name="_Toc184308043"/>
      <w:bookmarkEnd w:id="206"/>
      <w:bookmarkStart w:id="207" w:name="_Toc184313301"/>
      <w:bookmarkEnd w:id="207"/>
      <w:bookmarkStart w:id="208" w:name="_Toc184308046"/>
      <w:bookmarkEnd w:id="208"/>
      <w:bookmarkStart w:id="209" w:name="_Toc184313274"/>
      <w:bookmarkEnd w:id="209"/>
      <w:bookmarkStart w:id="210" w:name="_Toc184310292"/>
      <w:bookmarkEnd w:id="210"/>
      <w:bookmarkStart w:id="211" w:name="_Toc184312111"/>
      <w:bookmarkEnd w:id="211"/>
      <w:bookmarkStart w:id="212" w:name="_Toc184314452"/>
      <w:bookmarkEnd w:id="212"/>
      <w:bookmarkStart w:id="213" w:name="_Toc184314467"/>
      <w:bookmarkEnd w:id="213"/>
      <w:bookmarkStart w:id="214" w:name="_Toc184308072"/>
      <w:bookmarkEnd w:id="214"/>
      <w:bookmarkStart w:id="215" w:name="_Toc184313270"/>
      <w:bookmarkEnd w:id="215"/>
      <w:bookmarkStart w:id="216" w:name="_Toc184312138"/>
      <w:bookmarkEnd w:id="216"/>
      <w:bookmarkStart w:id="217" w:name="_Toc184313286"/>
      <w:bookmarkEnd w:id="217"/>
      <w:bookmarkStart w:id="218" w:name="_Toc184314472"/>
      <w:bookmarkEnd w:id="218"/>
      <w:bookmarkStart w:id="219" w:name="_Toc184313263"/>
      <w:bookmarkEnd w:id="219"/>
      <w:bookmarkStart w:id="220" w:name="_Toc184312123"/>
      <w:bookmarkEnd w:id="220"/>
      <w:bookmarkStart w:id="221" w:name="_Toc184310309"/>
      <w:bookmarkEnd w:id="221"/>
      <w:bookmarkStart w:id="222" w:name="_Toc184308096"/>
      <w:bookmarkEnd w:id="222"/>
      <w:bookmarkStart w:id="223" w:name="_Toc184310284"/>
      <w:bookmarkEnd w:id="223"/>
      <w:bookmarkStart w:id="224" w:name="_Toc184314468"/>
      <w:bookmarkEnd w:id="224"/>
      <w:bookmarkStart w:id="225" w:name="_Toc184314442"/>
      <w:bookmarkEnd w:id="225"/>
      <w:bookmarkStart w:id="226" w:name="_Toc184312068"/>
      <w:bookmarkEnd w:id="226"/>
      <w:bookmarkStart w:id="227" w:name="_Toc184312129"/>
      <w:bookmarkEnd w:id="227"/>
      <w:bookmarkStart w:id="228" w:name="_Toc184312067"/>
      <w:bookmarkEnd w:id="228"/>
      <w:bookmarkStart w:id="229" w:name="_Toc184314422"/>
      <w:bookmarkEnd w:id="229"/>
      <w:bookmarkStart w:id="230" w:name="_Toc184313308"/>
      <w:bookmarkEnd w:id="230"/>
      <w:bookmarkStart w:id="231" w:name="_Toc184308057"/>
      <w:bookmarkEnd w:id="231"/>
      <w:bookmarkStart w:id="232" w:name="_Toc184313284"/>
      <w:bookmarkEnd w:id="232"/>
      <w:bookmarkStart w:id="233" w:name="_Toc184312135"/>
      <w:bookmarkEnd w:id="233"/>
      <w:bookmarkStart w:id="234" w:name="_Toc184312073"/>
      <w:bookmarkEnd w:id="234"/>
      <w:bookmarkStart w:id="235" w:name="_Toc184312108"/>
      <w:bookmarkEnd w:id="235"/>
      <w:bookmarkStart w:id="236" w:name="_Toc184308059"/>
      <w:bookmarkEnd w:id="236"/>
      <w:bookmarkStart w:id="237" w:name="_Toc184314413"/>
      <w:bookmarkEnd w:id="237"/>
      <w:bookmarkStart w:id="238" w:name="_Toc184314418"/>
      <w:bookmarkEnd w:id="238"/>
      <w:bookmarkStart w:id="239" w:name="_Toc184312085"/>
      <w:bookmarkEnd w:id="239"/>
      <w:bookmarkStart w:id="240" w:name="_Toc184310296"/>
      <w:bookmarkEnd w:id="240"/>
      <w:bookmarkStart w:id="241" w:name="_Toc184312136"/>
      <w:bookmarkEnd w:id="241"/>
      <w:bookmarkStart w:id="242" w:name="_Toc184313254"/>
      <w:bookmarkEnd w:id="242"/>
      <w:bookmarkStart w:id="243" w:name="_Toc184312100"/>
      <w:bookmarkEnd w:id="243"/>
      <w:bookmarkStart w:id="244" w:name="_Toc184312077"/>
      <w:bookmarkEnd w:id="244"/>
      <w:bookmarkStart w:id="245" w:name="_Toc184310273"/>
      <w:bookmarkEnd w:id="245"/>
      <w:bookmarkStart w:id="246" w:name="_Toc184310272"/>
      <w:bookmarkEnd w:id="246"/>
      <w:bookmarkStart w:id="247" w:name="_Toc184310335"/>
      <w:bookmarkEnd w:id="247"/>
      <w:bookmarkStart w:id="248" w:name="_Toc184314481"/>
      <w:bookmarkEnd w:id="248"/>
      <w:bookmarkStart w:id="249" w:name="_Toc184312087"/>
      <w:bookmarkEnd w:id="249"/>
      <w:bookmarkStart w:id="250" w:name="_Toc184310320"/>
      <w:bookmarkEnd w:id="250"/>
      <w:bookmarkStart w:id="251" w:name="_Toc184314474"/>
      <w:bookmarkEnd w:id="251"/>
      <w:bookmarkStart w:id="252" w:name="_Toc184308104"/>
      <w:bookmarkEnd w:id="252"/>
      <w:bookmarkStart w:id="253" w:name="_Toc184314433"/>
      <w:bookmarkEnd w:id="253"/>
      <w:bookmarkStart w:id="254" w:name="_Toc184312105"/>
      <w:bookmarkEnd w:id="254"/>
      <w:bookmarkStart w:id="255" w:name="_Toc184308107"/>
      <w:bookmarkEnd w:id="255"/>
      <w:bookmarkStart w:id="256" w:name="_Toc184310304"/>
      <w:bookmarkEnd w:id="256"/>
      <w:bookmarkStart w:id="257" w:name="_Toc184310317"/>
      <w:bookmarkEnd w:id="257"/>
      <w:bookmarkStart w:id="258" w:name="_Toc184312125"/>
      <w:bookmarkEnd w:id="258"/>
      <w:bookmarkStart w:id="259" w:name="_Toc184314464"/>
      <w:bookmarkEnd w:id="259"/>
      <w:bookmarkStart w:id="260" w:name="_Toc184310318"/>
      <w:bookmarkEnd w:id="260"/>
      <w:bookmarkStart w:id="261" w:name="_Toc184314425"/>
      <w:bookmarkEnd w:id="261"/>
      <w:bookmarkStart w:id="262" w:name="_Toc184313255"/>
      <w:bookmarkEnd w:id="262"/>
      <w:bookmarkStart w:id="263" w:name="_Toc184313298"/>
      <w:bookmarkEnd w:id="263"/>
      <w:bookmarkStart w:id="264" w:name="_Toc184308089"/>
      <w:bookmarkEnd w:id="264"/>
      <w:bookmarkStart w:id="265" w:name="_Toc184310338"/>
      <w:bookmarkEnd w:id="265"/>
      <w:bookmarkStart w:id="266" w:name="_Toc184308090"/>
      <w:bookmarkEnd w:id="266"/>
      <w:bookmarkStart w:id="267" w:name="_Toc184314435"/>
      <w:bookmarkEnd w:id="267"/>
      <w:bookmarkStart w:id="268" w:name="_Toc184308036"/>
      <w:bookmarkEnd w:id="268"/>
      <w:bookmarkStart w:id="269" w:name="_Toc184312130"/>
      <w:bookmarkEnd w:id="269"/>
      <w:bookmarkStart w:id="270" w:name="_Toc184310294"/>
      <w:bookmarkEnd w:id="270"/>
      <w:bookmarkStart w:id="271" w:name="_Toc184313303"/>
      <w:bookmarkEnd w:id="271"/>
      <w:bookmarkStart w:id="272" w:name="_Toc184314445"/>
      <w:bookmarkEnd w:id="272"/>
      <w:bookmarkStart w:id="273" w:name="_Toc184310342"/>
      <w:bookmarkEnd w:id="273"/>
      <w:bookmarkStart w:id="274" w:name="_Toc184313253"/>
      <w:bookmarkEnd w:id="274"/>
      <w:bookmarkStart w:id="275" w:name="_Toc184313239"/>
      <w:bookmarkEnd w:id="275"/>
      <w:bookmarkStart w:id="276" w:name="_Toc184313299"/>
      <w:bookmarkEnd w:id="276"/>
      <w:bookmarkStart w:id="277" w:name="_Toc184313272"/>
      <w:bookmarkEnd w:id="277"/>
      <w:bookmarkStart w:id="278" w:name="_Toc184313285"/>
      <w:bookmarkEnd w:id="278"/>
      <w:bookmarkStart w:id="279" w:name="_Toc184314432"/>
      <w:bookmarkEnd w:id="279"/>
      <w:bookmarkStart w:id="280" w:name="_Toc184313241"/>
      <w:bookmarkEnd w:id="280"/>
      <w:bookmarkStart w:id="281" w:name="_Toc184313242"/>
      <w:bookmarkEnd w:id="281"/>
      <w:bookmarkStart w:id="282" w:name="_Toc184308078"/>
      <w:bookmarkEnd w:id="282"/>
      <w:bookmarkStart w:id="283" w:name="_Toc184310310"/>
      <w:bookmarkEnd w:id="283"/>
      <w:bookmarkStart w:id="284" w:name="_Toc184314460"/>
      <w:bookmarkEnd w:id="284"/>
      <w:bookmarkStart w:id="285" w:name="_Toc184314480"/>
      <w:bookmarkEnd w:id="285"/>
      <w:bookmarkStart w:id="286" w:name="_Toc184314466"/>
      <w:bookmarkEnd w:id="286"/>
      <w:bookmarkStart w:id="287" w:name="_Toc184313289"/>
      <w:bookmarkEnd w:id="287"/>
      <w:bookmarkStart w:id="288" w:name="_Toc184313246"/>
      <w:bookmarkEnd w:id="288"/>
      <w:bookmarkStart w:id="289" w:name="_Toc184308081"/>
      <w:bookmarkEnd w:id="289"/>
      <w:bookmarkStart w:id="290" w:name="_Toc184313295"/>
      <w:bookmarkEnd w:id="290"/>
      <w:bookmarkStart w:id="291" w:name="_Toc184312092"/>
      <w:bookmarkEnd w:id="291"/>
      <w:bookmarkStart w:id="292" w:name="_Toc184314414"/>
      <w:bookmarkEnd w:id="292"/>
      <w:bookmarkStart w:id="293" w:name="_Toc184312093"/>
      <w:bookmarkEnd w:id="293"/>
      <w:bookmarkStart w:id="294" w:name="_Toc184314450"/>
      <w:bookmarkEnd w:id="294"/>
      <w:bookmarkStart w:id="295" w:name="_Toc184308097"/>
      <w:bookmarkEnd w:id="295"/>
      <w:bookmarkStart w:id="296" w:name="_Toc184308068"/>
      <w:bookmarkEnd w:id="296"/>
      <w:bookmarkStart w:id="297" w:name="_Toc184308053"/>
      <w:bookmarkEnd w:id="297"/>
      <w:bookmarkStart w:id="298" w:name="_Toc184308050"/>
      <w:bookmarkEnd w:id="298"/>
      <w:bookmarkStart w:id="299" w:name="_Toc184314482"/>
      <w:bookmarkEnd w:id="299"/>
      <w:bookmarkStart w:id="300" w:name="_Toc184313293"/>
      <w:bookmarkEnd w:id="300"/>
      <w:bookmarkStart w:id="301" w:name="_Toc184308058"/>
      <w:bookmarkEnd w:id="301"/>
      <w:bookmarkStart w:id="302" w:name="_Toc184314447"/>
      <w:bookmarkEnd w:id="302"/>
      <w:bookmarkStart w:id="303" w:name="_Toc184313304"/>
      <w:bookmarkEnd w:id="303"/>
      <w:bookmarkStart w:id="304" w:name="_Toc184312072"/>
      <w:bookmarkEnd w:id="304"/>
      <w:bookmarkStart w:id="305" w:name="_Toc184308060"/>
      <w:bookmarkEnd w:id="305"/>
      <w:bookmarkStart w:id="306" w:name="_Toc184310314"/>
      <w:bookmarkEnd w:id="306"/>
      <w:bookmarkStart w:id="307" w:name="_Toc184310282"/>
      <w:bookmarkEnd w:id="307"/>
      <w:bookmarkStart w:id="308" w:name="_Toc184310312"/>
      <w:bookmarkEnd w:id="308"/>
      <w:bookmarkStart w:id="309" w:name="_Toc184310301"/>
      <w:bookmarkEnd w:id="309"/>
      <w:bookmarkStart w:id="310" w:name="_Toc184308047"/>
      <w:bookmarkEnd w:id="310"/>
      <w:bookmarkStart w:id="311" w:name="_Toc184313290"/>
      <w:bookmarkEnd w:id="311"/>
      <w:bookmarkStart w:id="312" w:name="_Toc184310319"/>
      <w:bookmarkEnd w:id="312"/>
      <w:bookmarkStart w:id="313" w:name="_Toc184313287"/>
      <w:bookmarkEnd w:id="313"/>
      <w:bookmarkStart w:id="314" w:name="_Toc184312078"/>
      <w:bookmarkEnd w:id="314"/>
      <w:bookmarkStart w:id="315" w:name="_Toc184310281"/>
      <w:bookmarkEnd w:id="315"/>
      <w:bookmarkStart w:id="316" w:name="_Toc184308100"/>
      <w:bookmarkEnd w:id="316"/>
      <w:bookmarkStart w:id="317" w:name="_Toc184313247"/>
      <w:bookmarkEnd w:id="317"/>
      <w:bookmarkStart w:id="318" w:name="_Toc184314451"/>
      <w:bookmarkEnd w:id="318"/>
      <w:bookmarkStart w:id="319" w:name="_Toc184314458"/>
      <w:bookmarkEnd w:id="319"/>
      <w:bookmarkStart w:id="320" w:name="_Toc184310308"/>
      <w:bookmarkEnd w:id="320"/>
      <w:bookmarkStart w:id="321" w:name="_Toc184312091"/>
      <w:bookmarkEnd w:id="321"/>
      <w:bookmarkStart w:id="322" w:name="_Toc184310287"/>
      <w:bookmarkEnd w:id="322"/>
      <w:bookmarkStart w:id="323" w:name="_Toc184314428"/>
      <w:bookmarkEnd w:id="323"/>
      <w:bookmarkStart w:id="324" w:name="_Toc184312126"/>
      <w:bookmarkEnd w:id="324"/>
      <w:bookmarkStart w:id="325" w:name="_Toc184313248"/>
      <w:bookmarkEnd w:id="325"/>
      <w:bookmarkStart w:id="326" w:name="_Toc184312080"/>
      <w:bookmarkEnd w:id="326"/>
      <w:bookmarkStart w:id="327" w:name="_Toc184313251"/>
      <w:bookmarkEnd w:id="327"/>
      <w:bookmarkStart w:id="328" w:name="_Toc184308077"/>
      <w:bookmarkEnd w:id="328"/>
      <w:bookmarkStart w:id="329" w:name="_Toc184308055"/>
      <w:bookmarkEnd w:id="329"/>
      <w:bookmarkStart w:id="330" w:name="_Toc184308105"/>
      <w:bookmarkEnd w:id="330"/>
      <w:bookmarkStart w:id="331" w:name="_Toc184310333"/>
      <w:bookmarkEnd w:id="331"/>
      <w:bookmarkStart w:id="332" w:name="_Toc184310278"/>
      <w:bookmarkEnd w:id="332"/>
      <w:bookmarkStart w:id="333" w:name="_Toc184313252"/>
      <w:bookmarkEnd w:id="333"/>
      <w:bookmarkStart w:id="334" w:name="_Toc184310285"/>
      <w:bookmarkEnd w:id="334"/>
      <w:bookmarkStart w:id="335" w:name="_Toc184312112"/>
      <w:bookmarkEnd w:id="335"/>
      <w:bookmarkStart w:id="336" w:name="_Toc184314411"/>
      <w:bookmarkEnd w:id="336"/>
      <w:bookmarkStart w:id="337" w:name="_Toc184310289"/>
      <w:bookmarkEnd w:id="337"/>
      <w:bookmarkStart w:id="338" w:name="_Toc184308071"/>
      <w:bookmarkEnd w:id="338"/>
      <w:bookmarkStart w:id="339" w:name="_Toc184313258"/>
      <w:bookmarkEnd w:id="339"/>
      <w:bookmarkStart w:id="340" w:name="_Toc184314476"/>
      <w:bookmarkEnd w:id="340"/>
      <w:bookmarkStart w:id="341" w:name="_Toc184314416"/>
      <w:bookmarkEnd w:id="341"/>
      <w:bookmarkStart w:id="342" w:name="_Toc184312096"/>
      <w:bookmarkEnd w:id="342"/>
      <w:bookmarkStart w:id="343" w:name="_Toc184313256"/>
      <w:bookmarkEnd w:id="343"/>
      <w:bookmarkStart w:id="344" w:name="_Toc184312109"/>
      <w:bookmarkEnd w:id="344"/>
      <w:bookmarkStart w:id="345" w:name="_Toc184314436"/>
      <w:bookmarkEnd w:id="345"/>
      <w:bookmarkStart w:id="346" w:name="_Toc184312134"/>
      <w:bookmarkEnd w:id="346"/>
      <w:bookmarkStart w:id="347" w:name="_Toc184310286"/>
      <w:bookmarkEnd w:id="347"/>
      <w:bookmarkStart w:id="348" w:name="_Toc184314444"/>
      <w:bookmarkEnd w:id="348"/>
      <w:bookmarkStart w:id="349" w:name="_Toc184312114"/>
      <w:bookmarkEnd w:id="349"/>
      <w:bookmarkStart w:id="350" w:name="_Toc184308039"/>
      <w:bookmarkEnd w:id="350"/>
      <w:bookmarkStart w:id="351" w:name="_Toc184313262"/>
      <w:bookmarkEnd w:id="351"/>
      <w:bookmarkStart w:id="352" w:name="_Toc184308101"/>
      <w:bookmarkEnd w:id="352"/>
      <w:bookmarkStart w:id="353" w:name="_Toc184310306"/>
      <w:bookmarkEnd w:id="353"/>
      <w:bookmarkStart w:id="354" w:name="_Toc184313307"/>
      <w:bookmarkEnd w:id="354"/>
      <w:bookmarkStart w:id="355" w:name="_Toc184313276"/>
      <w:bookmarkEnd w:id="355"/>
      <w:bookmarkStart w:id="356" w:name="_Toc184310307"/>
      <w:bookmarkEnd w:id="356"/>
      <w:bookmarkStart w:id="357" w:name="_Toc184314448"/>
      <w:bookmarkEnd w:id="357"/>
      <w:bookmarkStart w:id="358" w:name="_Toc184310290"/>
      <w:bookmarkEnd w:id="358"/>
      <w:bookmarkStart w:id="359" w:name="_Toc184308082"/>
      <w:bookmarkEnd w:id="359"/>
      <w:bookmarkStart w:id="360" w:name="_Toc184314459"/>
      <w:bookmarkEnd w:id="360"/>
      <w:bookmarkStart w:id="361" w:name="_Toc184310336"/>
      <w:bookmarkEnd w:id="361"/>
      <w:bookmarkStart w:id="362" w:name="_Toc184314471"/>
      <w:bookmarkEnd w:id="362"/>
      <w:bookmarkStart w:id="363" w:name="_Toc184310311"/>
      <w:bookmarkEnd w:id="363"/>
      <w:bookmarkStart w:id="364" w:name="_Toc184310293"/>
      <w:bookmarkEnd w:id="364"/>
      <w:bookmarkStart w:id="365" w:name="_Toc184312117"/>
      <w:bookmarkEnd w:id="365"/>
      <w:bookmarkStart w:id="366" w:name="_Toc184312075"/>
      <w:bookmarkEnd w:id="366"/>
      <w:bookmarkStart w:id="367" w:name="_Toc184312107"/>
      <w:bookmarkEnd w:id="367"/>
      <w:bookmarkStart w:id="368" w:name="_Toc184312110"/>
      <w:bookmarkEnd w:id="368"/>
      <w:bookmarkStart w:id="369" w:name="_Toc184310331"/>
      <w:bookmarkEnd w:id="369"/>
      <w:bookmarkStart w:id="370" w:name="_Toc184313264"/>
      <w:bookmarkEnd w:id="370"/>
      <w:bookmarkStart w:id="371" w:name="_Toc184313271"/>
      <w:bookmarkEnd w:id="371"/>
      <w:bookmarkStart w:id="372" w:name="_Toc184310332"/>
      <w:bookmarkEnd w:id="372"/>
      <w:bookmarkStart w:id="373" w:name="_Toc184312139"/>
      <w:bookmarkEnd w:id="373"/>
      <w:bookmarkStart w:id="374" w:name="_Toc184312115"/>
      <w:bookmarkEnd w:id="374"/>
      <w:bookmarkStart w:id="375" w:name="_Toc184308102"/>
      <w:bookmarkEnd w:id="375"/>
      <w:bookmarkStart w:id="376" w:name="_Toc184308052"/>
      <w:bookmarkEnd w:id="376"/>
      <w:bookmarkStart w:id="377" w:name="_Toc184314443"/>
      <w:bookmarkEnd w:id="377"/>
      <w:bookmarkStart w:id="378" w:name="_Toc184308098"/>
      <w:bookmarkEnd w:id="378"/>
      <w:bookmarkStart w:id="379" w:name="_Toc184313269"/>
      <w:bookmarkEnd w:id="379"/>
      <w:bookmarkStart w:id="380" w:name="_Toc184312084"/>
      <w:bookmarkEnd w:id="380"/>
      <w:bookmarkStart w:id="381" w:name="_Toc184314449"/>
      <w:bookmarkEnd w:id="381"/>
      <w:bookmarkStart w:id="382" w:name="_Toc184313257"/>
      <w:bookmarkEnd w:id="382"/>
      <w:bookmarkStart w:id="383" w:name="_Toc184313259"/>
      <w:bookmarkEnd w:id="383"/>
      <w:bookmarkStart w:id="384" w:name="_Toc184314473"/>
      <w:bookmarkEnd w:id="384"/>
      <w:bookmarkStart w:id="385" w:name="_Toc184313268"/>
      <w:bookmarkEnd w:id="385"/>
      <w:bookmarkStart w:id="386" w:name="_Toc184308054"/>
      <w:bookmarkEnd w:id="386"/>
      <w:bookmarkStart w:id="387" w:name="_Toc184310291"/>
      <w:bookmarkEnd w:id="387"/>
      <w:bookmarkStart w:id="388" w:name="_Toc184310297"/>
      <w:bookmarkEnd w:id="388"/>
      <w:bookmarkStart w:id="389" w:name="_Toc184308108"/>
      <w:bookmarkEnd w:id="389"/>
      <w:bookmarkStart w:id="390" w:name="_Toc184314469"/>
      <w:bookmarkEnd w:id="390"/>
      <w:bookmarkStart w:id="391" w:name="_Toc184313296"/>
      <w:bookmarkEnd w:id="391"/>
      <w:bookmarkStart w:id="392" w:name="_Toc184313261"/>
      <w:bookmarkEnd w:id="392"/>
      <w:bookmarkStart w:id="393" w:name="_Toc184314441"/>
      <w:bookmarkEnd w:id="393"/>
      <w:bookmarkStart w:id="394" w:name="_Toc184310328"/>
      <w:bookmarkEnd w:id="394"/>
      <w:bookmarkStart w:id="395" w:name="_Toc184310324"/>
      <w:bookmarkEnd w:id="395"/>
      <w:bookmarkStart w:id="396" w:name="_Toc184310321"/>
      <w:bookmarkEnd w:id="396"/>
      <w:bookmarkStart w:id="397" w:name="_Toc184312083"/>
      <w:bookmarkEnd w:id="397"/>
      <w:bookmarkStart w:id="398" w:name="_Toc184314410"/>
      <w:bookmarkEnd w:id="398"/>
      <w:bookmarkStart w:id="399" w:name="_Toc184313283"/>
      <w:bookmarkEnd w:id="399"/>
      <w:bookmarkStart w:id="400" w:name="_Toc184308038"/>
      <w:bookmarkEnd w:id="400"/>
      <w:bookmarkStart w:id="401" w:name="_Toc184312097"/>
      <w:bookmarkEnd w:id="401"/>
      <w:bookmarkStart w:id="402" w:name="_Toc184310302"/>
      <w:bookmarkEnd w:id="402"/>
      <w:r>
        <w:rPr>
          <w:rFonts w:hint="eastAsia" w:ascii="仿宋" w:hAnsi="仿宋" w:eastAsia="仿宋" w:cs="仿宋"/>
          <w:b/>
          <w:sz w:val="36"/>
          <w:szCs w:val="36"/>
        </w:rPr>
        <w:t>评标办法</w:t>
      </w:r>
      <w:bookmarkEnd w:id="37"/>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444"/>
        <w:gridCol w:w="671"/>
        <w:gridCol w:w="930"/>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 w:type="dxa"/>
            <w:noWrap w:val="0"/>
            <w:vAlign w:val="center"/>
          </w:tcPr>
          <w:p>
            <w:pPr>
              <w:adjustRightInd/>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序号</w:t>
            </w:r>
          </w:p>
        </w:tc>
        <w:tc>
          <w:tcPr>
            <w:tcW w:w="1444" w:type="dxa"/>
            <w:noWrap w:val="0"/>
            <w:vAlign w:val="center"/>
          </w:tcPr>
          <w:p>
            <w:pPr>
              <w:adjustRightInd/>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评标项目</w:t>
            </w:r>
          </w:p>
        </w:tc>
        <w:tc>
          <w:tcPr>
            <w:tcW w:w="671" w:type="dxa"/>
            <w:noWrap w:val="0"/>
            <w:vAlign w:val="center"/>
          </w:tcPr>
          <w:p>
            <w:pPr>
              <w:adjustRightInd/>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分值</w:t>
            </w:r>
          </w:p>
        </w:tc>
        <w:tc>
          <w:tcPr>
            <w:tcW w:w="5857" w:type="dxa"/>
            <w:gridSpan w:val="2"/>
            <w:noWrap w:val="0"/>
            <w:vAlign w:val="center"/>
          </w:tcPr>
          <w:p>
            <w:pPr>
              <w:adjustRightInd/>
              <w:spacing w:line="360" w:lineRule="auto"/>
              <w:ind w:firstLine="470" w:firstLineChars="196"/>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 w:type="dxa"/>
            <w:noWrap w:val="0"/>
            <w:vAlign w:val="center"/>
          </w:tcPr>
          <w:p>
            <w:pPr>
              <w:spacing w:line="360" w:lineRule="auto"/>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1444" w:type="dxa"/>
            <w:noWrap w:val="0"/>
            <w:vAlign w:val="center"/>
          </w:tcPr>
          <w:p>
            <w:pP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对招标文件技术要求的响应程度</w:t>
            </w:r>
          </w:p>
        </w:tc>
        <w:tc>
          <w:tcPr>
            <w:tcW w:w="671" w:type="dxa"/>
            <w:noWrap w:val="0"/>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40分</w:t>
            </w:r>
          </w:p>
        </w:tc>
        <w:tc>
          <w:tcPr>
            <w:tcW w:w="5857" w:type="dxa"/>
            <w:gridSpan w:val="2"/>
            <w:noWrap w:val="0"/>
            <w:vAlign w:val="top"/>
          </w:tcPr>
          <w:p>
            <w:pPr>
              <w:numPr>
                <w:ilvl w:val="0"/>
                <w:numId w:val="4"/>
              </w:numPr>
              <w:spacing w:line="360" w:lineRule="auto"/>
              <w:rPr>
                <w:rFonts w:hint="eastAsia" w:ascii="仿宋" w:hAnsi="仿宋" w:eastAsia="仿宋" w:cs="仿宋"/>
                <w:color w:val="000000"/>
                <w:sz w:val="24"/>
              </w:rPr>
            </w:pPr>
            <w:r>
              <w:rPr>
                <w:rFonts w:hint="eastAsia" w:ascii="仿宋" w:hAnsi="仿宋" w:eastAsia="仿宋" w:cs="仿宋"/>
                <w:color w:val="000000"/>
                <w:sz w:val="24"/>
              </w:rPr>
              <w:t>投标设备技术参数完全满足招标文件技术要求得40分。</w:t>
            </w:r>
          </w:p>
          <w:p>
            <w:pPr>
              <w:numPr>
                <w:ilvl w:val="0"/>
                <w:numId w:val="4"/>
              </w:numPr>
              <w:spacing w:line="360" w:lineRule="auto"/>
              <w:rPr>
                <w:rFonts w:hint="eastAsia" w:ascii="仿宋" w:hAnsi="仿宋" w:eastAsia="仿宋" w:cs="仿宋"/>
                <w:color w:val="000000"/>
                <w:sz w:val="24"/>
              </w:rPr>
            </w:pPr>
            <w:r>
              <w:rPr>
                <w:rFonts w:hint="eastAsia" w:ascii="仿宋" w:hAnsi="仿宋" w:eastAsia="仿宋" w:cs="仿宋"/>
                <w:color w:val="000000"/>
                <w:sz w:val="24"/>
              </w:rPr>
              <w:t>带“★”号参数为重要参数，必须提供相关证明材料，无证明材料的视为不符合，带“★”号的技术参数每一项不符合的则扣5分。</w:t>
            </w:r>
          </w:p>
          <w:p>
            <w:pPr>
              <w:numPr>
                <w:ilvl w:val="0"/>
                <w:numId w:val="4"/>
              </w:numPr>
              <w:spacing w:line="360" w:lineRule="auto"/>
              <w:rPr>
                <w:rFonts w:hint="eastAsia" w:ascii="仿宋" w:hAnsi="仿宋" w:eastAsia="仿宋" w:cs="仿宋"/>
                <w:color w:val="000000"/>
                <w:sz w:val="24"/>
              </w:rPr>
            </w:pPr>
            <w:r>
              <w:rPr>
                <w:rFonts w:hint="eastAsia" w:ascii="仿宋" w:hAnsi="仿宋" w:eastAsia="仿宋" w:cs="仿宋"/>
                <w:color w:val="000000"/>
                <w:sz w:val="24"/>
              </w:rPr>
              <w:t>其它一般参数，每一项不符合的则扣2分。</w:t>
            </w:r>
          </w:p>
          <w:p>
            <w:pPr>
              <w:numPr>
                <w:ilvl w:val="0"/>
                <w:numId w:val="4"/>
              </w:numPr>
              <w:spacing w:line="360" w:lineRule="auto"/>
              <w:rPr>
                <w:rFonts w:hint="eastAsia" w:ascii="仿宋" w:hAnsi="仿宋" w:eastAsia="仿宋" w:cs="仿宋"/>
                <w:color w:val="000000"/>
                <w:sz w:val="24"/>
              </w:rPr>
            </w:pPr>
            <w:r>
              <w:rPr>
                <w:rFonts w:hint="eastAsia" w:ascii="仿宋" w:hAnsi="仿宋" w:eastAsia="仿宋" w:cs="仿宋"/>
                <w:color w:val="000000"/>
                <w:sz w:val="24"/>
              </w:rPr>
              <w:t>技术分直至扣完为止。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 w:type="dxa"/>
            <w:noWrap w:val="0"/>
            <w:vAlign w:val="center"/>
          </w:tcPr>
          <w:p>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444"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安装组织方案</w:t>
            </w:r>
          </w:p>
        </w:tc>
        <w:tc>
          <w:tcPr>
            <w:tcW w:w="671" w:type="dxa"/>
            <w:noWrap w:val="0"/>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5857" w:type="dxa"/>
            <w:gridSpan w:val="2"/>
            <w:noWrap w:val="0"/>
            <w:vAlign w:val="center"/>
          </w:tcPr>
          <w:p>
            <w:pPr>
              <w:spacing w:line="360" w:lineRule="auto"/>
              <w:rPr>
                <w:rFonts w:hint="eastAsia" w:ascii="仿宋" w:hAnsi="仿宋" w:eastAsia="仿宋" w:cs="仿宋"/>
                <w:color w:val="FF0000"/>
                <w:sz w:val="24"/>
                <w:lang w:eastAsia="zh-CN"/>
              </w:rPr>
            </w:pPr>
            <w:r>
              <w:rPr>
                <w:rFonts w:hint="eastAsia" w:ascii="仿宋" w:hAnsi="仿宋" w:eastAsia="仿宋" w:cs="仿宋"/>
                <w:kern w:val="0"/>
                <w:sz w:val="24"/>
                <w:lang w:val="en-US" w:eastAsia="zh-CN"/>
              </w:rPr>
              <w:t>根据投标人对本项目提供的安装组织方案，</w:t>
            </w:r>
            <w:r>
              <w:rPr>
                <w:rFonts w:hint="eastAsia" w:ascii="仿宋" w:hAnsi="仿宋" w:eastAsia="仿宋" w:cs="仿宋"/>
                <w:kern w:val="0"/>
                <w:sz w:val="24"/>
                <w:lang w:eastAsia="zh-CN"/>
              </w:rPr>
              <w:t>包括对场地环境的了解、人员的安排、时间进度的规划，对设备的调试进度安排，调试的步骤、措施，问题的解决方案等</w:t>
            </w:r>
            <w:r>
              <w:rPr>
                <w:rFonts w:hint="eastAsia" w:ascii="仿宋" w:hAnsi="仿宋" w:eastAsia="仿宋" w:cs="仿宋"/>
                <w:kern w:val="0"/>
                <w:sz w:val="24"/>
                <w:lang w:val="en-US" w:eastAsia="zh-CN"/>
              </w:rPr>
              <w:t>情况综合打分。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29" w:type="dxa"/>
            <w:noWrap w:val="0"/>
            <w:vAlign w:val="center"/>
          </w:tcPr>
          <w:p>
            <w:pPr>
              <w:spacing w:line="360" w:lineRule="auto"/>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1444" w:type="dxa"/>
            <w:noWrap w:val="0"/>
            <w:vAlign w:val="center"/>
          </w:tcPr>
          <w:p>
            <w:pP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质量保证措施</w:t>
            </w:r>
          </w:p>
        </w:tc>
        <w:tc>
          <w:tcPr>
            <w:tcW w:w="671" w:type="dxa"/>
            <w:noWrap w:val="0"/>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tc>
        <w:tc>
          <w:tcPr>
            <w:tcW w:w="5857" w:type="dxa"/>
            <w:gridSpan w:val="2"/>
            <w:noWrap w:val="0"/>
            <w:vAlign w:val="center"/>
          </w:tcPr>
          <w:p>
            <w:pPr>
              <w:spacing w:line="360" w:lineRule="auto"/>
              <w:rPr>
                <w:rFonts w:hint="eastAsia" w:ascii="仿宋" w:hAnsi="仿宋" w:eastAsia="仿宋" w:cs="仿宋"/>
                <w:color w:val="000000"/>
                <w:sz w:val="24"/>
                <w:lang w:eastAsia="zh-CN"/>
              </w:rPr>
            </w:pPr>
            <w:bookmarkStart w:id="403" w:name="_Toc28628"/>
            <w:bookmarkStart w:id="404" w:name="_Toc8634"/>
            <w:r>
              <w:rPr>
                <w:rFonts w:hint="eastAsia" w:ascii="仿宋" w:hAnsi="仿宋" w:eastAsia="仿宋" w:cs="仿宋"/>
                <w:kern w:val="0"/>
                <w:sz w:val="24"/>
              </w:rPr>
              <w:t>根据投标人针对本项目实施方案的科学性、全面性，确保供货、运输、验收进度等情况及项目实施人员配置情况综合打分</w:t>
            </w:r>
            <w:bookmarkEnd w:id="403"/>
            <w:bookmarkEnd w:id="404"/>
            <w:r>
              <w:rPr>
                <w:rFonts w:hint="eastAsia" w:ascii="仿宋" w:hAnsi="仿宋" w:eastAsia="仿宋" w:cs="仿宋"/>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29" w:type="dxa"/>
            <w:noWrap w:val="0"/>
            <w:vAlign w:val="center"/>
          </w:tcPr>
          <w:p>
            <w:pPr>
              <w:spacing w:line="360" w:lineRule="auto"/>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1444" w:type="dxa"/>
            <w:noWrap w:val="0"/>
            <w:vAlign w:val="center"/>
          </w:tcPr>
          <w:p>
            <w:pP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培训服务方案</w:t>
            </w:r>
          </w:p>
        </w:tc>
        <w:tc>
          <w:tcPr>
            <w:tcW w:w="671" w:type="dxa"/>
            <w:noWrap w:val="0"/>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tc>
        <w:tc>
          <w:tcPr>
            <w:tcW w:w="5857" w:type="dxa"/>
            <w:gridSpan w:val="2"/>
            <w:noWrap w:val="0"/>
            <w:vAlign w:val="center"/>
          </w:tcPr>
          <w:p>
            <w:pPr>
              <w:spacing w:line="360" w:lineRule="auto"/>
              <w:rPr>
                <w:rFonts w:hint="eastAsia" w:ascii="仿宋" w:hAnsi="仿宋" w:eastAsia="仿宋" w:cs="仿宋"/>
                <w:color w:val="000000"/>
                <w:sz w:val="24"/>
              </w:rPr>
            </w:pPr>
            <w:r>
              <w:rPr>
                <w:rFonts w:hint="eastAsia" w:ascii="仿宋" w:hAnsi="仿宋" w:eastAsia="仿宋" w:cs="仿宋"/>
                <w:color w:val="000000"/>
                <w:sz w:val="24"/>
              </w:rPr>
              <w:t>对投标人所提供的培训计划或培训方案的详尽程度、人员安排、培训周期等因素打分。进行综合比较、评价：由评委比较后</w:t>
            </w:r>
            <w:r>
              <w:rPr>
                <w:rFonts w:hint="eastAsia" w:ascii="仿宋" w:hAnsi="仿宋" w:eastAsia="仿宋" w:cs="仿宋"/>
                <w:color w:val="000000"/>
                <w:sz w:val="24"/>
                <w:lang w:val="en-US" w:eastAsia="zh-CN"/>
              </w:rPr>
              <w:t>综合</w:t>
            </w:r>
            <w:r>
              <w:rPr>
                <w:rFonts w:hint="eastAsia" w:ascii="仿宋" w:hAnsi="仿宋" w:eastAsia="仿宋" w:cs="仿宋"/>
                <w:color w:val="00000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 w:type="dxa"/>
            <w:noWrap w:val="0"/>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444" w:type="dxa"/>
            <w:noWrap w:val="0"/>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售后服务</w:t>
            </w:r>
          </w:p>
        </w:tc>
        <w:tc>
          <w:tcPr>
            <w:tcW w:w="671" w:type="dxa"/>
            <w:noWrap w:val="0"/>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5857" w:type="dxa"/>
            <w:gridSpan w:val="2"/>
            <w:noWrap w:val="0"/>
            <w:vAlign w:val="center"/>
          </w:tcPr>
          <w:p>
            <w:pPr>
              <w:spacing w:line="360" w:lineRule="auto"/>
              <w:rPr>
                <w:rFonts w:hint="default" w:ascii="仿宋" w:hAnsi="仿宋" w:eastAsia="仿宋" w:cs="仿宋"/>
                <w:color w:val="auto"/>
                <w:sz w:val="24"/>
                <w:lang w:val="en-US" w:eastAsia="zh-CN"/>
              </w:rPr>
            </w:pPr>
            <w:r>
              <w:rPr>
                <w:rFonts w:hint="eastAsia" w:ascii="仿宋" w:hAnsi="仿宋" w:eastAsia="仿宋" w:cs="仿宋"/>
                <w:color w:val="000000"/>
                <w:sz w:val="24"/>
              </w:rPr>
              <w:t>对投标人</w:t>
            </w:r>
            <w:r>
              <w:rPr>
                <w:rFonts w:hint="eastAsia" w:ascii="仿宋" w:hAnsi="仿宋" w:eastAsia="仿宋" w:cs="仿宋"/>
                <w:color w:val="000000"/>
                <w:sz w:val="24"/>
                <w:lang w:val="en-US" w:eastAsia="zh-CN"/>
              </w:rPr>
              <w:t>提供的</w:t>
            </w:r>
            <w:r>
              <w:rPr>
                <w:rFonts w:hint="eastAsia" w:ascii="仿宋" w:hAnsi="仿宋" w:eastAsia="仿宋" w:cs="仿宋"/>
                <w:color w:val="auto"/>
                <w:kern w:val="0"/>
                <w:sz w:val="24"/>
              </w:rPr>
              <w:t>售后服务方案，包括但不限于服务响应时间、故障解决方案，响应时间，解决方案</w:t>
            </w:r>
            <w:r>
              <w:rPr>
                <w:rFonts w:hint="eastAsia" w:ascii="仿宋" w:hAnsi="仿宋" w:eastAsia="仿宋" w:cs="仿宋"/>
                <w:color w:val="auto"/>
                <w:kern w:val="0"/>
                <w:sz w:val="24"/>
                <w:lang w:val="en-US" w:eastAsia="zh-CN"/>
              </w:rPr>
              <w:t>等进行综合打分。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 w:type="dxa"/>
            <w:vMerge w:val="restart"/>
            <w:noWrap w:val="0"/>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6</w:t>
            </w:r>
          </w:p>
        </w:tc>
        <w:tc>
          <w:tcPr>
            <w:tcW w:w="1444" w:type="dxa"/>
            <w:vMerge w:val="restart"/>
            <w:noWrap w:val="0"/>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随机资料和备品备件</w:t>
            </w:r>
          </w:p>
        </w:tc>
        <w:tc>
          <w:tcPr>
            <w:tcW w:w="671" w:type="dxa"/>
            <w:noWrap w:val="0"/>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2分</w:t>
            </w:r>
          </w:p>
        </w:tc>
        <w:tc>
          <w:tcPr>
            <w:tcW w:w="5857" w:type="dxa"/>
            <w:gridSpan w:val="2"/>
            <w:noWrap w:val="0"/>
            <w:vAlign w:val="center"/>
          </w:tcPr>
          <w:p>
            <w:pPr>
              <w:spacing w:line="360" w:lineRule="auto"/>
              <w:rPr>
                <w:rFonts w:hint="eastAsia" w:ascii="仿宋" w:hAnsi="仿宋" w:eastAsia="仿宋" w:cs="仿宋"/>
                <w:color w:val="000000"/>
                <w:sz w:val="24"/>
                <w:lang w:eastAsia="zh-CN"/>
              </w:rPr>
            </w:pPr>
            <w:r>
              <w:rPr>
                <w:rFonts w:hint="eastAsia" w:ascii="仿宋" w:hAnsi="仿宋" w:eastAsia="仿宋" w:cs="仿宋"/>
                <w:kern w:val="0"/>
                <w:sz w:val="24"/>
              </w:rPr>
              <w:t>根据投标人提供的</w:t>
            </w:r>
            <w:r>
              <w:rPr>
                <w:rFonts w:hint="eastAsia" w:ascii="仿宋" w:hAnsi="仿宋" w:eastAsia="仿宋" w:cs="仿宋"/>
                <w:kern w:val="0"/>
                <w:sz w:val="24"/>
                <w:lang w:val="zh-CN"/>
              </w:rPr>
              <w:t>附件及随机资料</w:t>
            </w:r>
            <w:r>
              <w:rPr>
                <w:rFonts w:hint="eastAsia" w:ascii="仿宋" w:hAnsi="仿宋" w:eastAsia="仿宋" w:cs="仿宋"/>
                <w:kern w:val="0"/>
                <w:sz w:val="24"/>
                <w:lang w:val="en-US" w:eastAsia="zh-CN"/>
              </w:rPr>
              <w:t>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 w:type="dxa"/>
            <w:vMerge w:val="continue"/>
            <w:noWrap w:val="0"/>
            <w:vAlign w:val="center"/>
          </w:tcPr>
          <w:p>
            <w:pPr>
              <w:spacing w:line="360" w:lineRule="auto"/>
              <w:jc w:val="center"/>
              <w:rPr>
                <w:rFonts w:hint="default" w:ascii="仿宋" w:hAnsi="仿宋" w:eastAsia="仿宋" w:cs="仿宋"/>
                <w:color w:val="auto"/>
                <w:kern w:val="2"/>
                <w:sz w:val="24"/>
                <w:szCs w:val="24"/>
                <w:lang w:val="en-US" w:eastAsia="zh-CN" w:bidi="ar-SA"/>
              </w:rPr>
            </w:pPr>
          </w:p>
        </w:tc>
        <w:tc>
          <w:tcPr>
            <w:tcW w:w="1444" w:type="dxa"/>
            <w:vMerge w:val="continue"/>
            <w:noWrap w:val="0"/>
            <w:vAlign w:val="center"/>
          </w:tcPr>
          <w:p>
            <w:pPr>
              <w:spacing w:line="360" w:lineRule="auto"/>
              <w:jc w:val="center"/>
              <w:rPr>
                <w:rFonts w:hint="eastAsia" w:ascii="仿宋" w:hAnsi="仿宋" w:eastAsia="仿宋" w:cs="仿宋"/>
                <w:color w:val="auto"/>
                <w:sz w:val="24"/>
                <w:lang w:val="en-US" w:eastAsia="zh-CN"/>
              </w:rPr>
            </w:pPr>
          </w:p>
        </w:tc>
        <w:tc>
          <w:tcPr>
            <w:tcW w:w="671" w:type="dxa"/>
            <w:noWrap w:val="0"/>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2分</w:t>
            </w:r>
          </w:p>
        </w:tc>
        <w:tc>
          <w:tcPr>
            <w:tcW w:w="5857" w:type="dxa"/>
            <w:gridSpan w:val="2"/>
            <w:noWrap w:val="0"/>
            <w:vAlign w:val="center"/>
          </w:tcPr>
          <w:p>
            <w:p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根据投标人针对本项目备品备件储备情况综合打分。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 w:type="dxa"/>
            <w:noWrap w:val="0"/>
            <w:vAlign w:val="center"/>
          </w:tcPr>
          <w:p>
            <w:pPr>
              <w:spacing w:line="360" w:lineRule="auto"/>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lang w:val="en-US" w:eastAsia="zh-CN"/>
              </w:rPr>
              <w:t>7</w:t>
            </w:r>
          </w:p>
        </w:tc>
        <w:tc>
          <w:tcPr>
            <w:tcW w:w="1444" w:type="dxa"/>
            <w:noWrap w:val="0"/>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优惠条件</w:t>
            </w:r>
          </w:p>
        </w:tc>
        <w:tc>
          <w:tcPr>
            <w:tcW w:w="671" w:type="dxa"/>
            <w:noWrap w:val="0"/>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2分</w:t>
            </w:r>
          </w:p>
        </w:tc>
        <w:tc>
          <w:tcPr>
            <w:tcW w:w="5857" w:type="dxa"/>
            <w:gridSpan w:val="2"/>
            <w:noWrap w:val="0"/>
            <w:vAlign w:val="center"/>
          </w:tcPr>
          <w:p>
            <w:pPr>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质保期在满足采购文件的基础上每增加1年加1分，最多加2分。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29" w:type="dxa"/>
            <w:noWrap w:val="0"/>
            <w:vAlign w:val="center"/>
          </w:tcPr>
          <w:p>
            <w:pPr>
              <w:spacing w:line="360" w:lineRule="auto"/>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8</w:t>
            </w:r>
          </w:p>
        </w:tc>
        <w:tc>
          <w:tcPr>
            <w:tcW w:w="1444" w:type="dxa"/>
            <w:noWrap w:val="0"/>
            <w:vAlign w:val="center"/>
          </w:tcPr>
          <w:p>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rPr>
              <w:t>业绩</w:t>
            </w:r>
          </w:p>
        </w:tc>
        <w:tc>
          <w:tcPr>
            <w:tcW w:w="671" w:type="dxa"/>
            <w:noWrap w:val="0"/>
            <w:vAlign w:val="center"/>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分</w:t>
            </w:r>
          </w:p>
        </w:tc>
        <w:tc>
          <w:tcPr>
            <w:tcW w:w="5857" w:type="dxa"/>
            <w:gridSpan w:val="2"/>
            <w:noWrap w:val="0"/>
            <w:vAlign w:val="center"/>
          </w:tcPr>
          <w:p>
            <w:pPr>
              <w:spacing w:line="360" w:lineRule="auto"/>
              <w:jc w:val="left"/>
              <w:rPr>
                <w:rFonts w:hint="eastAsia" w:ascii="仿宋" w:hAnsi="仿宋" w:eastAsia="仿宋" w:cs="仿宋"/>
                <w:kern w:val="0"/>
                <w:sz w:val="24"/>
              </w:rPr>
            </w:pPr>
            <w:r>
              <w:rPr>
                <w:rFonts w:hint="eastAsia" w:ascii="仿宋" w:hAnsi="仿宋" w:eastAsia="仿宋" w:cs="仿宋"/>
                <w:kern w:val="0"/>
                <w:sz w:val="24"/>
              </w:rPr>
              <w:t>评委对本次同型号设备自2019年1月1日起（以合同签定时间为准）与不同的最终用户签订的销售合同评分，每提供一个合同复印件得1分，最高3分。（须提供合同复印件及中标通知书复印件）。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 w:type="dxa"/>
            <w:noWrap w:val="0"/>
            <w:vAlign w:val="center"/>
          </w:tcPr>
          <w:p>
            <w:pPr>
              <w:spacing w:line="360" w:lineRule="auto"/>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1444" w:type="dxa"/>
            <w:noWrap w:val="0"/>
            <w:vAlign w:val="center"/>
          </w:tcPr>
          <w:p>
            <w:pPr>
              <w:adjustRightInd/>
              <w:spacing w:line="360" w:lineRule="auto"/>
              <w:jc w:val="center"/>
              <w:rPr>
                <w:rStyle w:val="70"/>
                <w:rFonts w:hint="eastAsia" w:ascii="仿宋" w:hAnsi="仿宋" w:eastAsia="仿宋" w:cs="仿宋"/>
                <w:b w:val="0"/>
                <w:bCs w:val="0"/>
                <w:color w:val="000000"/>
                <w:sz w:val="24"/>
              </w:rPr>
            </w:pPr>
            <w:r>
              <w:rPr>
                <w:rFonts w:hint="eastAsia" w:ascii="仿宋" w:hAnsi="仿宋" w:eastAsia="仿宋" w:cs="仿宋"/>
                <w:kern w:val="0"/>
                <w:sz w:val="24"/>
              </w:rPr>
              <w:t>政策条件</w:t>
            </w:r>
          </w:p>
        </w:tc>
        <w:tc>
          <w:tcPr>
            <w:tcW w:w="671" w:type="dxa"/>
            <w:noWrap w:val="0"/>
            <w:vAlign w:val="center"/>
          </w:tcPr>
          <w:p>
            <w:pPr>
              <w:spacing w:line="360" w:lineRule="auto"/>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1分</w:t>
            </w:r>
          </w:p>
        </w:tc>
        <w:tc>
          <w:tcPr>
            <w:tcW w:w="5857" w:type="dxa"/>
            <w:gridSpan w:val="2"/>
            <w:noWrap w:val="0"/>
            <w:vAlign w:val="center"/>
          </w:tcPr>
          <w:p>
            <w:pPr>
              <w:spacing w:line="360" w:lineRule="auto"/>
              <w:rPr>
                <w:rFonts w:hint="eastAsia" w:ascii="仿宋" w:hAnsi="仿宋" w:eastAsia="仿宋" w:cs="仿宋"/>
                <w:color w:val="000000"/>
                <w:sz w:val="24"/>
              </w:rPr>
            </w:pPr>
            <w:r>
              <w:rPr>
                <w:rFonts w:hint="eastAsia" w:ascii="仿宋" w:hAnsi="仿宋" w:eastAsia="仿宋" w:cs="仿宋"/>
                <w:kern w:val="0"/>
                <w:sz w:val="24"/>
                <w:lang w:val="zh-CN"/>
              </w:rPr>
              <w:t>对所投产品是否取得有效的政府采购节能产品、环境标志产品认证证书的情况进行评价给分（已列入强制要求的除外）。所投产品取得节能产品认证证书的，得</w:t>
            </w:r>
            <w:r>
              <w:rPr>
                <w:rFonts w:hint="eastAsia" w:ascii="仿宋" w:hAnsi="仿宋" w:eastAsia="仿宋" w:cs="仿宋"/>
                <w:kern w:val="0"/>
                <w:sz w:val="24"/>
                <w:lang w:val="en-US" w:eastAsia="zh-CN"/>
              </w:rPr>
              <w:t>0.5</w:t>
            </w:r>
            <w:r>
              <w:rPr>
                <w:rFonts w:hint="eastAsia" w:ascii="仿宋" w:hAnsi="仿宋" w:eastAsia="仿宋" w:cs="仿宋"/>
                <w:kern w:val="0"/>
                <w:sz w:val="24"/>
                <w:lang w:val="zh-CN"/>
              </w:rPr>
              <w:t>分；所投产品取得环境标志产品的，得</w:t>
            </w:r>
            <w:r>
              <w:rPr>
                <w:rFonts w:hint="eastAsia" w:ascii="仿宋" w:hAnsi="仿宋" w:eastAsia="仿宋" w:cs="仿宋"/>
                <w:kern w:val="0"/>
                <w:sz w:val="24"/>
                <w:lang w:val="en-US" w:eastAsia="zh-CN"/>
              </w:rPr>
              <w:t>0.5</w:t>
            </w:r>
            <w:r>
              <w:rPr>
                <w:rFonts w:hint="eastAsia" w:ascii="仿宋" w:hAnsi="仿宋" w:eastAsia="仿宋" w:cs="仿宋"/>
                <w:kern w:val="0"/>
                <w:sz w:val="24"/>
                <w:lang w:val="zh-CN"/>
              </w:rPr>
              <w:t>分。证明材料：提供国家确定的认证机构出具的、处于有效期之内的节能产品、环境标志产品认证证书复印件。（</w:t>
            </w:r>
            <w:r>
              <w:rPr>
                <w:rFonts w:hint="eastAsia" w:ascii="仿宋" w:hAnsi="仿宋" w:eastAsia="仿宋" w:cs="仿宋"/>
                <w:kern w:val="0"/>
                <w:sz w:val="24"/>
              </w:rPr>
              <w:t>0-</w:t>
            </w:r>
            <w:r>
              <w:rPr>
                <w:rFonts w:hint="eastAsia" w:ascii="仿宋" w:hAnsi="仿宋" w:eastAsia="仿宋" w:cs="仿宋"/>
                <w:kern w:val="0"/>
                <w:sz w:val="24"/>
                <w:lang w:val="en-US" w:eastAsia="zh-CN"/>
              </w:rPr>
              <w:t>1分</w:t>
            </w:r>
            <w:r>
              <w:rPr>
                <w:rFonts w:hint="eastAsia" w:ascii="仿宋" w:hAnsi="仿宋" w:eastAsia="仿宋" w:cs="仿宋"/>
                <w:kern w:val="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74" w:type="dxa"/>
            <w:gridSpan w:val="4"/>
            <w:noWrap w:val="0"/>
            <w:vAlign w:val="center"/>
          </w:tcPr>
          <w:p>
            <w:pPr>
              <w:spacing w:line="360" w:lineRule="auto"/>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商务技术总分</w:t>
            </w:r>
          </w:p>
        </w:tc>
        <w:tc>
          <w:tcPr>
            <w:tcW w:w="4927" w:type="dxa"/>
            <w:noWrap w:val="0"/>
            <w:vAlign w:val="center"/>
          </w:tcPr>
          <w:p>
            <w:pPr>
              <w:spacing w:line="360" w:lineRule="auto"/>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70分</w:t>
            </w:r>
          </w:p>
        </w:tc>
      </w:tr>
    </w:tbl>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价格分（30分）</w:t>
      </w:r>
    </w:p>
    <w:p>
      <w:pPr>
        <w:adjustRightInd/>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1.价格分采用低价优先法计算，即满足招标文件要求且投标价格最低的投标报价为评标基准价，其他投标人的价格分按照下列公式计算：</w:t>
      </w:r>
    </w:p>
    <w:p>
      <w:pPr>
        <w:adjustRightInd/>
        <w:spacing w:line="360" w:lineRule="auto"/>
        <w:ind w:firstLine="470" w:firstLineChars="196"/>
      </w:pPr>
      <w:r>
        <w:rPr>
          <w:rFonts w:hint="eastAsia" w:ascii="仿宋" w:hAnsi="仿宋" w:eastAsia="仿宋" w:cs="仿宋"/>
          <w:kern w:val="0"/>
          <w:sz w:val="24"/>
        </w:rPr>
        <w:t>价格分=（评标基准价/投标报价）×30%×100</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bookmarkStart w:id="405" w:name="_Toc3730"/>
      <w:r>
        <w:rPr>
          <w:rFonts w:hint="eastAsia" w:ascii="仿宋" w:hAnsi="仿宋" w:eastAsia="仿宋" w:cs="仿宋"/>
          <w:b/>
          <w:sz w:val="36"/>
          <w:szCs w:val="36"/>
        </w:rPr>
        <w:t>三、评标程序</w:t>
      </w:r>
      <w:bookmarkEnd w:id="405"/>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0"/>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20</w:t>
      </w:r>
      <w:r>
        <w:rPr>
          <w:rFonts w:hint="eastAsia" w:ascii="仿宋" w:hAnsi="仿宋" w:eastAsia="仿宋" w:cs="仿宋"/>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0"/>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3"/>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3"/>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3"/>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3"/>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3"/>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3"/>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3"/>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3"/>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3"/>
        <w:snapToGrid w:val="0"/>
        <w:spacing w:line="360" w:lineRule="auto"/>
        <w:ind w:firstLine="0" w:firstLineChars="0"/>
        <w:rPr>
          <w:rFonts w:ascii="仿宋" w:hAnsi="仿宋" w:eastAsia="仿宋" w:cs="仿宋"/>
        </w:rPr>
      </w:pPr>
    </w:p>
    <w:bookmarkEnd w:id="36"/>
    <w:p>
      <w:pPr>
        <w:spacing w:line="360" w:lineRule="auto"/>
        <w:ind w:left="720" w:leftChars="343" w:firstLine="1084" w:firstLineChars="300"/>
        <w:rPr>
          <w:rFonts w:ascii="仿宋" w:hAnsi="仿宋" w:eastAsia="仿宋" w:cs="仿宋"/>
          <w:b/>
          <w:sz w:val="36"/>
          <w:szCs w:val="36"/>
        </w:rPr>
      </w:pPr>
      <w:bookmarkStart w:id="406" w:name="第五部分"/>
      <w:bookmarkStart w:id="407" w:name="_Toc86217003"/>
    </w:p>
    <w:p>
      <w:pPr>
        <w:pStyle w:val="79"/>
        <w:rPr>
          <w:rFonts w:ascii="仿宋" w:hAnsi="仿宋" w:eastAsia="仿宋" w:cs="仿宋"/>
          <w:b/>
          <w:sz w:val="36"/>
          <w:szCs w:val="36"/>
        </w:rPr>
      </w:pPr>
    </w:p>
    <w:p>
      <w:pPr>
        <w:pStyle w:val="79"/>
        <w:rPr>
          <w:rFonts w:ascii="仿宋" w:hAnsi="仿宋" w:eastAsia="仿宋" w:cs="仿宋"/>
          <w:b/>
          <w:sz w:val="36"/>
          <w:szCs w:val="36"/>
        </w:rPr>
      </w:pPr>
    </w:p>
    <w:p>
      <w:pPr>
        <w:pStyle w:val="79"/>
        <w:rPr>
          <w:rFonts w:ascii="仿宋" w:hAnsi="仿宋" w:eastAsia="仿宋" w:cs="仿宋"/>
          <w:b/>
          <w:sz w:val="36"/>
          <w:szCs w:val="36"/>
        </w:rPr>
      </w:pPr>
    </w:p>
    <w:p>
      <w:pPr>
        <w:pStyle w:val="79"/>
        <w:rPr>
          <w:rFonts w:ascii="仿宋" w:hAnsi="仿宋" w:eastAsia="仿宋" w:cs="仿宋"/>
          <w:b/>
          <w:sz w:val="36"/>
          <w:szCs w:val="36"/>
        </w:rPr>
      </w:pPr>
    </w:p>
    <w:p>
      <w:pPr>
        <w:pStyle w:val="79"/>
        <w:rPr>
          <w:rFonts w:ascii="仿宋" w:hAnsi="仿宋" w:eastAsia="仿宋" w:cs="仿宋"/>
          <w:b/>
          <w:sz w:val="36"/>
          <w:szCs w:val="36"/>
        </w:rPr>
      </w:pPr>
    </w:p>
    <w:p>
      <w:pPr>
        <w:spacing w:line="360" w:lineRule="auto"/>
        <w:ind w:left="720" w:leftChars="343" w:firstLine="1084" w:firstLineChars="30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rPr>
          <w:rFonts w:hint="eastAsia" w:ascii="仿宋" w:hAnsi="仿宋" w:eastAsia="仿宋" w:cs="仿宋"/>
          <w:b/>
          <w:sz w:val="36"/>
          <w:szCs w:val="36"/>
        </w:rPr>
      </w:pPr>
    </w:p>
    <w:p>
      <w:pPr>
        <w:spacing w:line="360" w:lineRule="auto"/>
        <w:ind w:left="720" w:leftChars="343" w:firstLine="1084" w:firstLineChars="300"/>
        <w:rPr>
          <w:rFonts w:hint="eastAsia" w:ascii="仿宋" w:hAnsi="仿宋" w:eastAsia="仿宋" w:cs="仿宋"/>
          <w:b/>
          <w:sz w:val="36"/>
          <w:szCs w:val="36"/>
        </w:rPr>
      </w:pPr>
    </w:p>
    <w:p>
      <w:pPr>
        <w:spacing w:line="360" w:lineRule="auto"/>
        <w:ind w:left="720" w:leftChars="343" w:firstLine="1084" w:firstLineChars="300"/>
        <w:rPr>
          <w:rFonts w:hint="eastAsia" w:ascii="仿宋" w:hAnsi="仿宋" w:eastAsia="仿宋" w:cs="仿宋"/>
          <w:b/>
          <w:sz w:val="36"/>
          <w:szCs w:val="36"/>
        </w:rPr>
      </w:pPr>
    </w:p>
    <w:p>
      <w:pPr>
        <w:spacing w:line="360" w:lineRule="auto"/>
        <w:ind w:left="720" w:leftChars="343" w:firstLine="1084" w:firstLineChars="300"/>
        <w:rPr>
          <w:rFonts w:hint="eastAsia" w:ascii="仿宋" w:hAnsi="仿宋" w:eastAsia="仿宋" w:cs="仿宋"/>
          <w:b/>
          <w:sz w:val="36"/>
          <w:szCs w:val="36"/>
        </w:rPr>
      </w:pPr>
    </w:p>
    <w:p>
      <w:pPr>
        <w:spacing w:line="360" w:lineRule="auto"/>
        <w:ind w:left="720" w:leftChars="343" w:firstLine="1084" w:firstLineChars="300"/>
        <w:rPr>
          <w:rFonts w:hint="eastAsia" w:ascii="仿宋" w:hAnsi="仿宋" w:eastAsia="仿宋" w:cs="仿宋"/>
          <w:b/>
          <w:sz w:val="36"/>
          <w:szCs w:val="36"/>
        </w:rPr>
      </w:pPr>
      <w:r>
        <w:rPr>
          <w:rFonts w:hint="eastAsia" w:ascii="仿宋" w:hAnsi="仿宋" w:eastAsia="仿宋" w:cs="仿宋"/>
          <w:b/>
          <w:sz w:val="36"/>
          <w:szCs w:val="36"/>
        </w:rPr>
        <w:t xml:space="preserve">  </w:t>
      </w:r>
    </w:p>
    <w:p>
      <w:pPr>
        <w:pStyle w:val="79"/>
        <w:rPr>
          <w:rFonts w:hint="eastAsia" w:ascii="仿宋" w:hAnsi="仿宋" w:eastAsia="仿宋" w:cs="仿宋"/>
          <w:b/>
          <w:sz w:val="36"/>
          <w:szCs w:val="36"/>
        </w:rPr>
      </w:pPr>
    </w:p>
    <w:p>
      <w:pPr>
        <w:pStyle w:val="79"/>
        <w:rPr>
          <w:rFonts w:hint="eastAsia"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bookmarkStart w:id="408" w:name="_Toc19672"/>
      <w:r>
        <w:rPr>
          <w:rFonts w:hint="eastAsia" w:ascii="仿宋" w:hAnsi="仿宋" w:eastAsia="仿宋" w:cs="仿宋"/>
          <w:b/>
          <w:sz w:val="36"/>
          <w:szCs w:val="36"/>
        </w:rPr>
        <w:t>第五部分 拟签订的合同文本</w:t>
      </w:r>
      <w:bookmarkEnd w:id="408"/>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ascii="仿宋" w:hAnsi="仿宋" w:eastAsia="仿宋" w:cs="仿宋"/>
          <w:color w:val="auto"/>
        </w:rPr>
      </w:pPr>
      <w:r>
        <w:rPr>
          <w:rFonts w:hint="eastAsia" w:ascii="仿宋" w:hAnsi="仿宋" w:eastAsia="仿宋" w:cs="仿宋"/>
          <w:b/>
          <w:color w:val="auto"/>
          <w:sz w:val="36"/>
          <w:szCs w:val="36"/>
        </w:rPr>
        <w:t>（货物类）</w:t>
      </w:r>
    </w:p>
    <w:p>
      <w:pPr>
        <w:pStyle w:val="700"/>
        <w:rPr>
          <w:rFonts w:ascii="仿宋" w:hAnsi="仿宋" w:eastAsia="仿宋" w:cs="仿宋"/>
          <w:color w:val="auto"/>
          <w:szCs w:val="24"/>
        </w:rPr>
      </w:pPr>
    </w:p>
    <w:p>
      <w:pPr>
        <w:pStyle w:val="700"/>
        <w:jc w:val="center"/>
        <w:rPr>
          <w:rFonts w:ascii="仿宋" w:hAnsi="仿宋" w:eastAsia="仿宋" w:cs="仿宋"/>
          <w:color w:val="auto"/>
          <w:szCs w:val="24"/>
        </w:rPr>
      </w:pPr>
    </w:p>
    <w:p>
      <w:pPr>
        <w:pStyle w:val="700"/>
        <w:ind w:firstLine="2843" w:firstLineChars="1180"/>
        <w:rPr>
          <w:rFonts w:ascii="仿宋" w:hAnsi="仿宋" w:eastAsia="仿宋" w:cs="仿宋"/>
          <w:b/>
          <w:color w:val="auto"/>
          <w:szCs w:val="24"/>
        </w:rPr>
      </w:pPr>
      <w:r>
        <w:rPr>
          <w:rFonts w:hint="eastAsia" w:ascii="仿宋" w:hAnsi="仿宋" w:eastAsia="仿宋" w:cs="仿宋"/>
          <w:b/>
          <w:color w:val="auto"/>
          <w:szCs w:val="24"/>
        </w:rPr>
        <w:t>第一部分 合同书</w:t>
      </w:r>
    </w:p>
    <w:p>
      <w:pPr>
        <w:pStyle w:val="700"/>
        <w:rPr>
          <w:rFonts w:ascii="仿宋" w:hAnsi="仿宋" w:eastAsia="仿宋" w:cs="仿宋"/>
          <w:color w:val="auto"/>
          <w:szCs w:val="24"/>
        </w:rPr>
      </w:pPr>
    </w:p>
    <w:p>
      <w:pPr>
        <w:pStyle w:val="700"/>
        <w:rPr>
          <w:rFonts w:ascii="仿宋" w:hAnsi="仿宋" w:eastAsia="仿宋" w:cs="仿宋"/>
          <w:color w:val="auto"/>
          <w:szCs w:val="24"/>
        </w:rPr>
      </w:pP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7"/>
        <w:spacing w:before="120" w:line="22" w:lineRule="atLeast"/>
        <w:rPr>
          <w:rFonts w:ascii="仿宋" w:hAnsi="仿宋" w:eastAsia="仿宋" w:cs="仿宋"/>
          <w:color w:val="auto"/>
          <w:szCs w:val="24"/>
        </w:rPr>
      </w:pPr>
    </w:p>
    <w:p>
      <w:pPr>
        <w:pStyle w:val="597"/>
        <w:spacing w:before="120" w:line="22" w:lineRule="atLeast"/>
        <w:rPr>
          <w:rFonts w:ascii="仿宋" w:hAnsi="仿宋" w:eastAsia="仿宋" w:cs="仿宋"/>
          <w:color w:val="auto"/>
          <w:szCs w:val="24"/>
        </w:rPr>
      </w:pPr>
    </w:p>
    <w:p>
      <w:pPr>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ascii="仿宋" w:hAnsi="仿宋" w:eastAsia="仿宋" w:cs="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ascii="仿宋" w:hAnsi="仿宋" w:eastAsia="仿宋" w:cs="仿宋"/>
          <w:b/>
          <w:color w:val="auto"/>
          <w:sz w:val="24"/>
        </w:rPr>
      </w:pPr>
      <w:bookmarkStart w:id="409" w:name="_Toc6366"/>
      <w:bookmarkStart w:id="410" w:name="_Toc3029"/>
      <w:bookmarkStart w:id="411" w:name="_Toc2232"/>
      <w:bookmarkStart w:id="412" w:name="_Toc24059"/>
      <w:r>
        <w:rPr>
          <w:rFonts w:hint="eastAsia" w:ascii="仿宋" w:hAnsi="仿宋" w:eastAsia="仿宋" w:cs="仿宋"/>
          <w:b/>
          <w:color w:val="auto"/>
          <w:sz w:val="24"/>
        </w:rPr>
        <w:t>1.1 合同组成部分</w:t>
      </w:r>
      <w:bookmarkEnd w:id="409"/>
      <w:bookmarkEnd w:id="410"/>
      <w:bookmarkEnd w:id="411"/>
      <w:bookmarkEnd w:id="41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ascii="仿宋" w:hAnsi="仿宋" w:eastAsia="仿宋" w:cs="仿宋"/>
          <w:b/>
          <w:color w:val="auto"/>
          <w:sz w:val="24"/>
        </w:rPr>
      </w:pPr>
      <w:bookmarkStart w:id="413" w:name="_Toc21295"/>
      <w:bookmarkStart w:id="414" w:name="_Toc27126"/>
      <w:bookmarkStart w:id="415" w:name="_Toc8758"/>
      <w:bookmarkStart w:id="416" w:name="_Toc24300"/>
      <w:r>
        <w:rPr>
          <w:rFonts w:hint="eastAsia" w:ascii="仿宋" w:hAnsi="仿宋" w:eastAsia="仿宋" w:cs="仿宋"/>
          <w:b/>
          <w:color w:val="auto"/>
          <w:sz w:val="24"/>
        </w:rPr>
        <w:t>1.2 货物</w:t>
      </w:r>
      <w:bookmarkEnd w:id="413"/>
      <w:bookmarkEnd w:id="414"/>
      <w:bookmarkEnd w:id="415"/>
      <w:bookmarkEnd w:id="416"/>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17" w:name="_Toc30757"/>
      <w:bookmarkStart w:id="418" w:name="_Toc21631"/>
      <w:bookmarkStart w:id="419" w:name="_Toc21551"/>
      <w:bookmarkStart w:id="420" w:name="_Toc23292"/>
      <w:r>
        <w:rPr>
          <w:rFonts w:hint="eastAsia" w:ascii="仿宋" w:hAnsi="仿宋" w:eastAsia="仿宋" w:cs="仿宋"/>
          <w:b/>
          <w:color w:val="auto"/>
          <w:sz w:val="24"/>
        </w:rPr>
        <w:t>1.3 价款</w:t>
      </w:r>
      <w:bookmarkEnd w:id="417"/>
      <w:bookmarkEnd w:id="418"/>
      <w:bookmarkEnd w:id="419"/>
      <w:bookmarkEnd w:id="42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r>
    </w:tbl>
    <w:p>
      <w:pPr>
        <w:spacing w:line="560" w:lineRule="exact"/>
        <w:ind w:firstLine="482" w:firstLineChars="200"/>
        <w:outlineLvl w:val="0"/>
        <w:rPr>
          <w:rFonts w:ascii="仿宋" w:hAnsi="仿宋" w:eastAsia="仿宋" w:cs="仿宋"/>
          <w:b/>
          <w:color w:val="auto"/>
          <w:sz w:val="24"/>
        </w:rPr>
      </w:pPr>
      <w:bookmarkStart w:id="421" w:name="_Toc22618"/>
      <w:bookmarkStart w:id="422" w:name="_Toc1814"/>
      <w:bookmarkStart w:id="423" w:name="_Toc10340"/>
      <w:bookmarkStart w:id="424" w:name="_Toc12774"/>
      <w:r>
        <w:rPr>
          <w:rFonts w:hint="eastAsia" w:ascii="仿宋" w:hAnsi="仿宋" w:eastAsia="仿宋" w:cs="仿宋"/>
          <w:b/>
          <w:color w:val="auto"/>
          <w:sz w:val="24"/>
        </w:rPr>
        <w:t>1.4 付款</w:t>
      </w:r>
      <w:bookmarkEnd w:id="421"/>
      <w:bookmarkEnd w:id="422"/>
      <w:bookmarkEnd w:id="423"/>
      <w:r>
        <w:rPr>
          <w:rFonts w:hint="eastAsia" w:ascii="仿宋" w:hAnsi="仿宋" w:eastAsia="仿宋" w:cs="仿宋"/>
          <w:b/>
          <w:color w:val="auto"/>
          <w:sz w:val="24"/>
        </w:rPr>
        <w:t>方式、时间和条件</w:t>
      </w:r>
      <w:bookmarkEnd w:id="424"/>
    </w:p>
    <w:p>
      <w:pPr>
        <w:pStyle w:val="957"/>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color w:val="auto"/>
          <w:sz w:val="24"/>
        </w:rPr>
      </w:pPr>
      <w:bookmarkStart w:id="425" w:name="_Toc23973"/>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bookmarkEnd w:id="425"/>
    </w:p>
    <w:p>
      <w:pPr>
        <w:spacing w:line="560" w:lineRule="exact"/>
        <w:ind w:firstLine="482" w:firstLineChars="200"/>
        <w:outlineLvl w:val="0"/>
        <w:rPr>
          <w:rFonts w:ascii="仿宋" w:hAnsi="仿宋" w:eastAsia="仿宋" w:cs="仿宋"/>
          <w:b/>
          <w:color w:val="auto"/>
          <w:sz w:val="24"/>
        </w:rPr>
      </w:pPr>
      <w:bookmarkStart w:id="426" w:name="_Toc29639"/>
      <w:bookmarkStart w:id="427" w:name="_Toc19304"/>
      <w:bookmarkStart w:id="428" w:name="_Toc32071"/>
      <w:bookmarkStart w:id="429" w:name="_Toc2846"/>
      <w:r>
        <w:rPr>
          <w:rFonts w:hint="eastAsia" w:ascii="仿宋" w:hAnsi="仿宋" w:eastAsia="仿宋" w:cs="仿宋"/>
          <w:b/>
          <w:color w:val="auto"/>
          <w:sz w:val="24"/>
        </w:rPr>
        <w:t>1.5 货物交付期限、地点和方式</w:t>
      </w:r>
      <w:bookmarkEnd w:id="426"/>
      <w:bookmarkEnd w:id="427"/>
      <w:bookmarkEnd w:id="428"/>
      <w:bookmarkEnd w:id="429"/>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30" w:name="_Toc19554"/>
      <w:bookmarkStart w:id="431" w:name="_Toc18286"/>
      <w:bookmarkStart w:id="432" w:name="_Toc27250"/>
      <w:bookmarkStart w:id="433" w:name="_Toc21423"/>
      <w:r>
        <w:rPr>
          <w:rFonts w:hint="eastAsia" w:ascii="仿宋" w:hAnsi="仿宋" w:eastAsia="仿宋" w:cs="仿宋"/>
          <w:b/>
          <w:color w:val="auto"/>
          <w:sz w:val="24"/>
        </w:rPr>
        <w:t>1.6 违约责任</w:t>
      </w:r>
      <w:bookmarkEnd w:id="430"/>
      <w:bookmarkEnd w:id="431"/>
      <w:bookmarkEnd w:id="432"/>
      <w:bookmarkEnd w:id="43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ascii="仿宋" w:hAnsi="仿宋" w:eastAsia="仿宋" w:cs="仿宋"/>
          <w:b/>
          <w:color w:val="auto"/>
          <w:sz w:val="24"/>
        </w:rPr>
      </w:pPr>
      <w:bookmarkStart w:id="434" w:name="_Toc16021"/>
      <w:bookmarkStart w:id="435" w:name="_Toc15583"/>
      <w:bookmarkStart w:id="436" w:name="_Toc28375"/>
      <w:bookmarkStart w:id="437" w:name="_Toc16643"/>
      <w:r>
        <w:rPr>
          <w:rFonts w:hint="eastAsia" w:ascii="仿宋" w:hAnsi="仿宋" w:eastAsia="仿宋" w:cs="仿宋"/>
          <w:b/>
          <w:color w:val="auto"/>
          <w:sz w:val="24"/>
        </w:rPr>
        <w:t>1.7 合同争议的解决</w:t>
      </w:r>
      <w:bookmarkEnd w:id="434"/>
      <w:bookmarkEnd w:id="435"/>
      <w:bookmarkEnd w:id="436"/>
      <w:bookmarkEnd w:id="437"/>
    </w:p>
    <w:p>
      <w:pPr>
        <w:spacing w:line="560" w:lineRule="exact"/>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560" w:lineRule="exact"/>
        <w:ind w:left="-420" w:leftChars="-200" w:right="-420" w:rightChars="-200" w:firstLine="600" w:firstLineChars="250"/>
        <w:rPr>
          <w:rFonts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ascii="仿宋" w:hAnsi="仿宋" w:eastAsia="仿宋" w:cs="仿宋"/>
          <w:b/>
          <w:color w:val="auto"/>
          <w:sz w:val="24"/>
        </w:rPr>
      </w:pPr>
      <w:bookmarkStart w:id="438" w:name="_Toc11173"/>
      <w:bookmarkStart w:id="439" w:name="_Toc7245"/>
      <w:bookmarkStart w:id="440" w:name="_Toc15322"/>
      <w:bookmarkStart w:id="441" w:name="_Toc7832"/>
      <w:r>
        <w:rPr>
          <w:rFonts w:hint="eastAsia" w:ascii="仿宋" w:hAnsi="仿宋" w:eastAsia="仿宋" w:cs="仿宋"/>
          <w:b/>
          <w:color w:val="auto"/>
          <w:sz w:val="24"/>
        </w:rPr>
        <w:t>1.8 合同生效</w:t>
      </w:r>
      <w:bookmarkEnd w:id="438"/>
      <w:bookmarkEnd w:id="439"/>
      <w:bookmarkEnd w:id="440"/>
      <w:bookmarkEnd w:id="441"/>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autoSpaceDE w:val="0"/>
        <w:autoSpaceDN w:val="0"/>
        <w:spacing w:line="560" w:lineRule="exact"/>
        <w:rPr>
          <w:rFonts w:ascii="仿宋" w:hAnsi="仿宋" w:eastAsia="仿宋" w:cs="仿宋"/>
          <w:color w:val="auto"/>
          <w:sz w:val="24"/>
          <w:lang w:val="zh-CN"/>
        </w:rPr>
      </w:pP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ascii="仿宋" w:hAnsi="仿宋" w:eastAsia="仿宋" w:cs="仿宋"/>
          <w:b/>
          <w:color w:val="auto"/>
          <w:sz w:val="24"/>
        </w:rPr>
      </w:pPr>
      <w:bookmarkStart w:id="442" w:name="_Toc331685783"/>
    </w:p>
    <w:p>
      <w:pPr>
        <w:pStyle w:val="700"/>
        <w:spacing w:line="560" w:lineRule="exact"/>
        <w:ind w:firstLine="482"/>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bookmarkEnd w:id="442"/>
    </w:p>
    <w:p>
      <w:pPr>
        <w:spacing w:line="560" w:lineRule="exact"/>
        <w:ind w:firstLine="482" w:firstLineChars="200"/>
        <w:outlineLvl w:val="0"/>
        <w:rPr>
          <w:rFonts w:ascii="仿宋" w:hAnsi="仿宋" w:eastAsia="仿宋" w:cs="仿宋"/>
          <w:b/>
          <w:color w:val="auto"/>
          <w:sz w:val="24"/>
        </w:rPr>
      </w:pPr>
      <w:bookmarkStart w:id="443" w:name="_Ref467378463"/>
      <w:bookmarkStart w:id="444" w:name="_Ref467378404"/>
      <w:bookmarkStart w:id="445" w:name="_Toc28763"/>
      <w:bookmarkStart w:id="446" w:name="_Toc279701240"/>
      <w:bookmarkStart w:id="447" w:name="_Ref467378499"/>
      <w:bookmarkStart w:id="448" w:name="_Toc19614"/>
      <w:bookmarkStart w:id="449" w:name="_Ref467379094"/>
      <w:bookmarkStart w:id="450" w:name="_Ref467379214"/>
      <w:bookmarkStart w:id="451" w:name="_Toc16917"/>
      <w:bookmarkStart w:id="452" w:name="_Ref467379225"/>
      <w:bookmarkStart w:id="453" w:name="_Ref467379205"/>
      <w:bookmarkStart w:id="454" w:name="_Ref467379109"/>
      <w:bookmarkStart w:id="455" w:name="_Toc28428"/>
      <w:bookmarkStart w:id="456" w:name="_Ref467379101"/>
      <w:bookmarkStart w:id="457" w:name="_Toc487900349"/>
      <w:bookmarkStart w:id="458" w:name="_Toc259093669"/>
      <w:bookmarkStart w:id="459" w:name="_Ref467379195"/>
      <w:r>
        <w:rPr>
          <w:rFonts w:hint="eastAsia" w:ascii="仿宋" w:hAnsi="仿宋" w:eastAsia="仿宋" w:cs="仿宋"/>
          <w:b/>
          <w:color w:val="auto"/>
          <w:sz w:val="24"/>
        </w:rPr>
        <w:t>2.1 定义</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color w:val="auto"/>
          <w:sz w:val="24"/>
        </w:rPr>
      </w:pPr>
      <w:bookmarkStart w:id="460" w:name="_Ref467378840"/>
      <w:r>
        <w:rPr>
          <w:rFonts w:hint="eastAsia" w:ascii="仿宋" w:hAnsi="仿宋" w:eastAsia="仿宋" w:cs="仿宋"/>
          <w:color w:val="auto"/>
          <w:sz w:val="24"/>
        </w:rPr>
        <w:t>2.1.4 “甲方”系指与中标供应商签署合同的采购人</w:t>
      </w:r>
      <w:bookmarkEnd w:id="460"/>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bookmarkStart w:id="461" w:name="_Ref467379400"/>
      <w:r>
        <w:rPr>
          <w:rFonts w:hint="eastAsia" w:ascii="仿宋" w:hAnsi="仿宋" w:eastAsia="仿宋" w:cs="仿宋"/>
          <w:color w:val="auto"/>
          <w:sz w:val="24"/>
        </w:rPr>
        <w:t>2.1.5 “乙方”系指根据合同约定交付货物的中标供应商</w:t>
      </w:r>
      <w:bookmarkEnd w:id="461"/>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bookmarkStart w:id="462" w:name="_Ref467379436"/>
      <w:r>
        <w:rPr>
          <w:rFonts w:hint="eastAsia" w:ascii="仿宋" w:hAnsi="仿宋" w:eastAsia="仿宋" w:cs="仿宋"/>
          <w:color w:val="auto"/>
          <w:sz w:val="24"/>
        </w:rPr>
        <w:t>2.1.6 “现场”系指合同约定货物将要运至或者安装的地点。</w:t>
      </w:r>
      <w:bookmarkEnd w:id="462"/>
    </w:p>
    <w:p>
      <w:pPr>
        <w:spacing w:line="560" w:lineRule="exact"/>
        <w:ind w:firstLine="482" w:firstLineChars="200"/>
        <w:outlineLvl w:val="0"/>
        <w:rPr>
          <w:rFonts w:ascii="仿宋" w:hAnsi="仿宋" w:eastAsia="仿宋" w:cs="仿宋"/>
          <w:b/>
          <w:color w:val="auto"/>
          <w:sz w:val="24"/>
        </w:rPr>
      </w:pPr>
      <w:bookmarkStart w:id="463" w:name="_Toc279701241"/>
      <w:bookmarkStart w:id="464" w:name="_Toc259093670"/>
      <w:bookmarkStart w:id="465" w:name="_Toc487900350"/>
      <w:bookmarkStart w:id="466" w:name="_Toc13336"/>
      <w:bookmarkStart w:id="467" w:name="_Toc32504"/>
      <w:bookmarkStart w:id="468" w:name="_Toc27635"/>
      <w:bookmarkStart w:id="469" w:name="_Toc10631"/>
      <w:r>
        <w:rPr>
          <w:rFonts w:hint="eastAsia" w:ascii="仿宋" w:hAnsi="仿宋" w:eastAsia="仿宋" w:cs="仿宋"/>
          <w:b/>
          <w:color w:val="auto"/>
          <w:sz w:val="24"/>
        </w:rPr>
        <w:t>2.2 技术规范</w:t>
      </w:r>
      <w:bookmarkEnd w:id="463"/>
      <w:bookmarkEnd w:id="464"/>
      <w:bookmarkEnd w:id="465"/>
      <w:bookmarkEnd w:id="466"/>
      <w:bookmarkEnd w:id="467"/>
      <w:bookmarkEnd w:id="468"/>
      <w:bookmarkEnd w:id="46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rPr>
      </w:pPr>
      <w:bookmarkStart w:id="470" w:name="_Toc259093671"/>
      <w:bookmarkStart w:id="471" w:name="_Toc9829"/>
      <w:bookmarkStart w:id="472" w:name="_Toc487900351"/>
      <w:bookmarkStart w:id="473" w:name="_Toc279701242"/>
      <w:bookmarkStart w:id="474" w:name="_Toc31634"/>
      <w:bookmarkStart w:id="475" w:name="_Toc65"/>
      <w:bookmarkStart w:id="476" w:name="_Toc27853"/>
      <w:r>
        <w:rPr>
          <w:rFonts w:hint="eastAsia" w:ascii="仿宋" w:hAnsi="仿宋" w:eastAsia="仿宋" w:cs="仿宋"/>
          <w:b/>
          <w:color w:val="auto"/>
          <w:sz w:val="24"/>
        </w:rPr>
        <w:t>2.3 知识产权</w:t>
      </w:r>
      <w:bookmarkEnd w:id="470"/>
      <w:bookmarkEnd w:id="471"/>
      <w:bookmarkEnd w:id="472"/>
      <w:bookmarkEnd w:id="473"/>
      <w:bookmarkEnd w:id="474"/>
      <w:bookmarkEnd w:id="475"/>
      <w:bookmarkEnd w:id="47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77" w:name="_Toc4194"/>
      <w:bookmarkStart w:id="478" w:name="_Toc11932"/>
      <w:bookmarkStart w:id="479" w:name="_Toc3199"/>
      <w:bookmarkStart w:id="480" w:name="_Toc29149"/>
      <w:r>
        <w:rPr>
          <w:rFonts w:hint="eastAsia" w:ascii="仿宋" w:hAnsi="仿宋" w:eastAsia="仿宋" w:cs="仿宋"/>
          <w:b/>
          <w:color w:val="auto"/>
          <w:sz w:val="24"/>
        </w:rPr>
        <w:t>2.4 包装和装运</w:t>
      </w:r>
      <w:bookmarkEnd w:id="477"/>
      <w:bookmarkEnd w:id="478"/>
      <w:bookmarkEnd w:id="479"/>
      <w:bookmarkEnd w:id="48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81" w:name="_Toc279701245"/>
      <w:bookmarkStart w:id="482" w:name="_Ref467379527"/>
      <w:bookmarkStart w:id="483" w:name="_Ref467378591"/>
      <w:bookmarkStart w:id="484" w:name="_Ref467378541"/>
      <w:bookmarkStart w:id="485" w:name="_Toc487900354"/>
      <w:bookmarkStart w:id="486" w:name="_Ref467379542"/>
      <w:bookmarkStart w:id="487" w:name="_Toc259093674"/>
      <w:bookmarkStart w:id="488" w:name="_Ref467379536"/>
      <w:bookmarkStart w:id="489" w:name="_Toc30272"/>
      <w:bookmarkStart w:id="490" w:name="_Toc19074"/>
      <w:bookmarkStart w:id="491" w:name="_Toc26182"/>
      <w:bookmarkStart w:id="492" w:name="_Toc3506"/>
      <w:r>
        <w:rPr>
          <w:rFonts w:hint="eastAsia" w:ascii="仿宋" w:hAnsi="仿宋" w:eastAsia="仿宋" w:cs="仿宋"/>
          <w:b/>
          <w:color w:val="auto"/>
          <w:sz w:val="24"/>
        </w:rPr>
        <w:t>2.</w:t>
      </w:r>
      <w:bookmarkEnd w:id="481"/>
      <w:bookmarkEnd w:id="482"/>
      <w:bookmarkEnd w:id="483"/>
      <w:bookmarkEnd w:id="484"/>
      <w:bookmarkEnd w:id="485"/>
      <w:bookmarkEnd w:id="486"/>
      <w:bookmarkEnd w:id="487"/>
      <w:bookmarkEnd w:id="488"/>
      <w:r>
        <w:rPr>
          <w:rFonts w:hint="eastAsia" w:ascii="仿宋" w:hAnsi="仿宋" w:eastAsia="仿宋" w:cs="仿宋"/>
          <w:b/>
          <w:color w:val="auto"/>
          <w:sz w:val="24"/>
        </w:rPr>
        <w:t>5 履约检查和问题反馈</w:t>
      </w:r>
      <w:bookmarkEnd w:id="489"/>
      <w:bookmarkEnd w:id="490"/>
      <w:bookmarkEnd w:id="491"/>
      <w:bookmarkEnd w:id="492"/>
    </w:p>
    <w:p>
      <w:pPr>
        <w:spacing w:line="560" w:lineRule="exact"/>
        <w:ind w:firstLine="480" w:firstLineChars="200"/>
        <w:rPr>
          <w:rFonts w:ascii="仿宋" w:hAnsi="仿宋" w:eastAsia="仿宋" w:cs="仿宋"/>
          <w:color w:val="auto"/>
          <w:sz w:val="24"/>
        </w:rPr>
      </w:pPr>
      <w:bookmarkStart w:id="493" w:name="_Ref467379657"/>
      <w:r>
        <w:rPr>
          <w:rFonts w:hint="eastAsia" w:ascii="仿宋" w:hAnsi="仿宋" w:eastAsia="仿宋" w:cs="仿宋"/>
          <w:color w:val="auto"/>
          <w:sz w:val="24"/>
        </w:rPr>
        <w:t>2.5.1</w:t>
      </w:r>
      <w:bookmarkEnd w:id="493"/>
      <w:bookmarkStart w:id="494" w:name="_Toc186431854"/>
      <w:bookmarkStart w:id="495" w:name="_Ref467379793"/>
      <w:bookmarkStart w:id="496" w:name="_Toc487900357"/>
      <w:bookmarkStart w:id="497" w:name="_Toc279701247"/>
      <w:bookmarkStart w:id="498" w:name="_Ref467379807"/>
      <w:bookmarkStart w:id="499" w:name="_Toc259093676"/>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94"/>
      <w:bookmarkStart w:id="500" w:name="_Toc186431855"/>
      <w:r>
        <w:rPr>
          <w:rFonts w:hint="eastAsia" w:ascii="仿宋" w:hAnsi="仿宋" w:eastAsia="仿宋" w:cs="仿宋"/>
          <w:color w:val="auto"/>
          <w:sz w:val="24"/>
        </w:rPr>
        <w:t>。</w:t>
      </w:r>
    </w:p>
    <w:bookmarkEnd w:id="495"/>
    <w:bookmarkEnd w:id="496"/>
    <w:bookmarkEnd w:id="497"/>
    <w:bookmarkEnd w:id="498"/>
    <w:bookmarkEnd w:id="499"/>
    <w:bookmarkEnd w:id="500"/>
    <w:p>
      <w:pPr>
        <w:spacing w:line="560" w:lineRule="exact"/>
        <w:ind w:firstLine="482" w:firstLineChars="200"/>
        <w:outlineLvl w:val="0"/>
        <w:rPr>
          <w:rFonts w:ascii="仿宋" w:hAnsi="仿宋" w:eastAsia="仿宋" w:cs="仿宋"/>
          <w:b/>
          <w:color w:val="auto"/>
          <w:sz w:val="24"/>
        </w:rPr>
      </w:pPr>
      <w:bookmarkStart w:id="501" w:name="_Ref467379923"/>
      <w:bookmarkStart w:id="502" w:name="_Ref467379852"/>
      <w:bookmarkStart w:id="503" w:name="_Toc487900358"/>
      <w:bookmarkStart w:id="504" w:name="_Toc259093677"/>
      <w:bookmarkStart w:id="505" w:name="_Toc279701248"/>
      <w:bookmarkStart w:id="506" w:name="_Ref467379863"/>
      <w:bookmarkStart w:id="507" w:name="_Toc21188"/>
      <w:bookmarkStart w:id="508" w:name="_Toc774"/>
      <w:bookmarkStart w:id="509" w:name="_Toc3225"/>
      <w:bookmarkStart w:id="510" w:name="_Toc16110"/>
      <w:r>
        <w:rPr>
          <w:rFonts w:hint="eastAsia" w:ascii="仿宋" w:hAnsi="仿宋" w:eastAsia="仿宋" w:cs="仿宋"/>
          <w:b/>
          <w:color w:val="auto"/>
          <w:sz w:val="24"/>
        </w:rPr>
        <w:t>2.6 技术资料</w:t>
      </w:r>
      <w:bookmarkEnd w:id="501"/>
      <w:bookmarkEnd w:id="502"/>
      <w:bookmarkEnd w:id="503"/>
      <w:bookmarkEnd w:id="504"/>
      <w:bookmarkEnd w:id="505"/>
      <w:bookmarkEnd w:id="506"/>
      <w:r>
        <w:rPr>
          <w:rFonts w:hint="eastAsia" w:ascii="仿宋" w:hAnsi="仿宋" w:eastAsia="仿宋" w:cs="仿宋"/>
          <w:b/>
          <w:color w:val="auto"/>
          <w:sz w:val="24"/>
        </w:rPr>
        <w:t>和保密义务</w:t>
      </w:r>
      <w:bookmarkEnd w:id="507"/>
      <w:bookmarkEnd w:id="508"/>
      <w:bookmarkEnd w:id="509"/>
      <w:bookmarkEnd w:id="51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rPr>
      </w:pPr>
      <w:bookmarkStart w:id="511" w:name="_Toc7860"/>
      <w:bookmarkStart w:id="512" w:name="_Toc14905"/>
      <w:r>
        <w:rPr>
          <w:rFonts w:hint="eastAsia" w:ascii="仿宋" w:hAnsi="仿宋" w:eastAsia="仿宋" w:cs="仿宋"/>
          <w:b/>
          <w:color w:val="auto"/>
          <w:sz w:val="24"/>
        </w:rPr>
        <w:t>2.7 质量保证</w:t>
      </w:r>
      <w:bookmarkEnd w:id="511"/>
      <w:bookmarkEnd w:id="51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rPr>
      </w:pPr>
      <w:bookmarkStart w:id="513" w:name="_Toc28105"/>
      <w:bookmarkStart w:id="514" w:name="_Toc17244"/>
      <w:bookmarkStart w:id="515" w:name="_Toc259093681"/>
      <w:bookmarkStart w:id="516" w:name="_Toc279701252"/>
      <w:bookmarkStart w:id="517" w:name="_Toc487900362"/>
      <w:r>
        <w:rPr>
          <w:rFonts w:hint="eastAsia" w:ascii="仿宋" w:hAnsi="仿宋" w:eastAsia="仿宋" w:cs="仿宋"/>
          <w:b/>
          <w:color w:val="auto"/>
          <w:sz w:val="24"/>
        </w:rPr>
        <w:t>2.8 货物的风险负担</w:t>
      </w:r>
      <w:bookmarkEnd w:id="513"/>
      <w:bookmarkEnd w:id="514"/>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518" w:name="_Toc14055"/>
      <w:bookmarkStart w:id="519" w:name="_Toc11130"/>
      <w:r>
        <w:rPr>
          <w:rFonts w:hint="eastAsia" w:ascii="仿宋" w:hAnsi="仿宋" w:eastAsia="仿宋" w:cs="仿宋"/>
          <w:b/>
          <w:color w:val="auto"/>
          <w:sz w:val="24"/>
        </w:rPr>
        <w:t>2.9 延迟交货</w:t>
      </w:r>
      <w:bookmarkEnd w:id="515"/>
      <w:bookmarkEnd w:id="516"/>
      <w:bookmarkEnd w:id="517"/>
      <w:bookmarkEnd w:id="518"/>
      <w:bookmarkEnd w:id="51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color w:val="auto"/>
          <w:sz w:val="24"/>
        </w:rPr>
      </w:pPr>
      <w:bookmarkStart w:id="520" w:name="_Toc7502"/>
      <w:bookmarkStart w:id="521" w:name="_Toc26295"/>
      <w:bookmarkStart w:id="522" w:name="_Ref467378121"/>
      <w:bookmarkStart w:id="523" w:name="_Toc279701254"/>
      <w:bookmarkStart w:id="524" w:name="_Toc487900364"/>
      <w:bookmarkStart w:id="525" w:name="_Toc259093683"/>
      <w:r>
        <w:rPr>
          <w:rFonts w:hint="eastAsia" w:ascii="仿宋" w:hAnsi="仿宋" w:eastAsia="仿宋" w:cs="仿宋"/>
          <w:b/>
          <w:color w:val="auto"/>
          <w:sz w:val="24"/>
        </w:rPr>
        <w:t>2.10 合同变更</w:t>
      </w:r>
      <w:bookmarkEnd w:id="520"/>
      <w:bookmarkEnd w:id="52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526" w:name="_Toc279701259"/>
      <w:bookmarkStart w:id="527" w:name="_Toc487900369"/>
      <w:bookmarkStart w:id="528" w:name="_Toc259093688"/>
    </w:p>
    <w:p>
      <w:pPr>
        <w:spacing w:line="560" w:lineRule="exact"/>
        <w:ind w:firstLine="482" w:firstLineChars="200"/>
        <w:outlineLvl w:val="0"/>
        <w:rPr>
          <w:rFonts w:ascii="仿宋" w:hAnsi="仿宋" w:eastAsia="仿宋" w:cs="仿宋"/>
          <w:b/>
          <w:color w:val="auto"/>
          <w:sz w:val="24"/>
        </w:rPr>
      </w:pPr>
      <w:bookmarkStart w:id="529" w:name="_Toc22955"/>
      <w:bookmarkStart w:id="530" w:name="_Toc15237"/>
      <w:bookmarkStart w:id="531" w:name="_Toc10366"/>
      <w:bookmarkStart w:id="532" w:name="_Toc8134"/>
      <w:r>
        <w:rPr>
          <w:rFonts w:hint="eastAsia" w:ascii="仿宋" w:hAnsi="仿宋" w:eastAsia="仿宋" w:cs="仿宋"/>
          <w:b/>
          <w:color w:val="auto"/>
          <w:sz w:val="24"/>
        </w:rPr>
        <w:t>2.11 合同转让</w:t>
      </w:r>
      <w:bookmarkEnd w:id="526"/>
      <w:bookmarkEnd w:id="527"/>
      <w:bookmarkEnd w:id="528"/>
      <w:r>
        <w:rPr>
          <w:rFonts w:hint="eastAsia" w:ascii="仿宋" w:hAnsi="仿宋" w:eastAsia="仿宋" w:cs="仿宋"/>
          <w:b/>
          <w:color w:val="auto"/>
          <w:sz w:val="24"/>
        </w:rPr>
        <w:t>和分包</w:t>
      </w:r>
      <w:bookmarkEnd w:id="529"/>
      <w:bookmarkEnd w:id="530"/>
      <w:bookmarkEnd w:id="531"/>
      <w:bookmarkEnd w:id="53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color w:val="auto"/>
          <w:sz w:val="24"/>
        </w:rPr>
      </w:pPr>
      <w:bookmarkStart w:id="533" w:name="_Toc13566"/>
      <w:bookmarkStart w:id="534" w:name="_Toc14066"/>
      <w:bookmarkStart w:id="535" w:name="_Toc7479"/>
      <w:bookmarkStart w:id="536" w:name="_Toc16508"/>
      <w:r>
        <w:rPr>
          <w:rFonts w:hint="eastAsia" w:ascii="仿宋" w:hAnsi="仿宋" w:eastAsia="仿宋" w:cs="仿宋"/>
          <w:b/>
          <w:color w:val="auto"/>
          <w:sz w:val="24"/>
        </w:rPr>
        <w:t>2.12 不可抗力</w:t>
      </w:r>
      <w:bookmarkEnd w:id="533"/>
      <w:bookmarkEnd w:id="534"/>
      <w:bookmarkEnd w:id="535"/>
      <w:bookmarkEnd w:id="53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rPr>
      </w:pPr>
      <w:bookmarkStart w:id="537" w:name="_Toc30676"/>
      <w:bookmarkStart w:id="538" w:name="_Toc689"/>
      <w:bookmarkStart w:id="539" w:name="_Toc12342"/>
      <w:bookmarkStart w:id="540" w:name="_Toc487900365"/>
      <w:bookmarkStart w:id="541" w:name="_Toc6969"/>
      <w:bookmarkStart w:id="542" w:name="_Toc259093684"/>
      <w:bookmarkStart w:id="543" w:name="_Toc279701255"/>
      <w:r>
        <w:rPr>
          <w:rFonts w:hint="eastAsia" w:ascii="仿宋" w:hAnsi="仿宋" w:eastAsia="仿宋" w:cs="仿宋"/>
          <w:b/>
          <w:color w:val="auto"/>
          <w:sz w:val="24"/>
        </w:rPr>
        <w:t>2.13 税费</w:t>
      </w:r>
      <w:bookmarkEnd w:id="537"/>
      <w:bookmarkEnd w:id="538"/>
      <w:bookmarkEnd w:id="539"/>
      <w:bookmarkEnd w:id="540"/>
      <w:bookmarkEnd w:id="541"/>
      <w:bookmarkEnd w:id="542"/>
      <w:bookmarkEnd w:id="54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ascii="仿宋" w:hAnsi="仿宋" w:eastAsia="仿宋" w:cs="仿宋"/>
          <w:b/>
          <w:color w:val="auto"/>
          <w:sz w:val="24"/>
        </w:rPr>
      </w:pPr>
      <w:bookmarkStart w:id="544" w:name="_Toc7102"/>
      <w:bookmarkStart w:id="545" w:name="_Toc16959"/>
      <w:bookmarkStart w:id="546" w:name="_Toc279701258"/>
      <w:bookmarkStart w:id="547" w:name="_Toc1459"/>
      <w:bookmarkStart w:id="548" w:name="_Toc8298"/>
      <w:bookmarkStart w:id="549" w:name="_Toc259093687"/>
      <w:bookmarkStart w:id="550" w:name="_Toc487900368"/>
      <w:r>
        <w:rPr>
          <w:rFonts w:hint="eastAsia" w:ascii="仿宋" w:hAnsi="仿宋" w:eastAsia="仿宋" w:cs="仿宋"/>
          <w:b/>
          <w:color w:val="auto"/>
          <w:sz w:val="24"/>
        </w:rPr>
        <w:t>2.14乙方破产</w:t>
      </w:r>
      <w:bookmarkEnd w:id="544"/>
      <w:bookmarkEnd w:id="545"/>
      <w:bookmarkEnd w:id="546"/>
      <w:bookmarkEnd w:id="547"/>
      <w:bookmarkEnd w:id="548"/>
      <w:bookmarkEnd w:id="549"/>
      <w:bookmarkEnd w:id="55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rPr>
      </w:pPr>
      <w:bookmarkStart w:id="551" w:name="_Toc15387"/>
      <w:bookmarkStart w:id="552" w:name="_Toc29333"/>
      <w:bookmarkStart w:id="553" w:name="_Toc2169"/>
      <w:bookmarkStart w:id="554" w:name="_Toc6134"/>
      <w:r>
        <w:rPr>
          <w:rFonts w:hint="eastAsia" w:ascii="仿宋" w:hAnsi="仿宋" w:eastAsia="仿宋" w:cs="仿宋"/>
          <w:b/>
          <w:color w:val="auto"/>
          <w:sz w:val="24"/>
        </w:rPr>
        <w:t>2.15 合同中止、终止</w:t>
      </w:r>
      <w:bookmarkEnd w:id="551"/>
      <w:bookmarkEnd w:id="552"/>
      <w:bookmarkEnd w:id="553"/>
      <w:bookmarkEnd w:id="55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555" w:name="_Toc1125"/>
      <w:bookmarkStart w:id="556" w:name="_Toc14563"/>
      <w:bookmarkStart w:id="557" w:name="_Toc6596"/>
      <w:bookmarkStart w:id="558" w:name="_Toc10851"/>
      <w:r>
        <w:rPr>
          <w:rFonts w:hint="eastAsia" w:ascii="仿宋" w:hAnsi="仿宋" w:eastAsia="仿宋" w:cs="仿宋"/>
          <w:b/>
          <w:color w:val="auto"/>
          <w:sz w:val="24"/>
        </w:rPr>
        <w:t>2.16检验和验收</w:t>
      </w:r>
      <w:bookmarkEnd w:id="555"/>
      <w:bookmarkEnd w:id="556"/>
      <w:bookmarkEnd w:id="557"/>
      <w:bookmarkEnd w:id="558"/>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522"/>
    <w:bookmarkEnd w:id="523"/>
    <w:bookmarkEnd w:id="524"/>
    <w:bookmarkEnd w:id="525"/>
    <w:p>
      <w:pPr>
        <w:spacing w:line="560" w:lineRule="exact"/>
        <w:ind w:firstLine="482" w:firstLineChars="200"/>
        <w:outlineLvl w:val="0"/>
        <w:rPr>
          <w:rFonts w:ascii="仿宋" w:hAnsi="仿宋" w:eastAsia="仿宋" w:cs="仿宋"/>
          <w:b/>
          <w:color w:val="auto"/>
          <w:sz w:val="24"/>
        </w:rPr>
      </w:pPr>
      <w:bookmarkStart w:id="559" w:name="_Toc279701261"/>
      <w:bookmarkStart w:id="560" w:name="_Toc487900371"/>
      <w:bookmarkStart w:id="561" w:name="_Toc259093690"/>
      <w:bookmarkStart w:id="562" w:name="_Toc19604"/>
      <w:bookmarkStart w:id="563" w:name="_Toc27172"/>
      <w:bookmarkStart w:id="564" w:name="_Toc11284"/>
      <w:bookmarkStart w:id="565" w:name="_Toc25182"/>
      <w:r>
        <w:rPr>
          <w:rFonts w:hint="eastAsia" w:ascii="仿宋" w:hAnsi="仿宋" w:eastAsia="仿宋" w:cs="仿宋"/>
          <w:b/>
          <w:color w:val="auto"/>
          <w:sz w:val="24"/>
        </w:rPr>
        <w:t>2.17 通知</w:t>
      </w:r>
      <w:bookmarkEnd w:id="559"/>
      <w:bookmarkEnd w:id="560"/>
      <w:bookmarkEnd w:id="561"/>
      <w:r>
        <w:rPr>
          <w:rFonts w:hint="eastAsia" w:ascii="仿宋" w:hAnsi="仿宋" w:eastAsia="仿宋" w:cs="仿宋"/>
          <w:b/>
          <w:color w:val="auto"/>
          <w:sz w:val="24"/>
        </w:rPr>
        <w:t>和送达</w:t>
      </w:r>
      <w:bookmarkEnd w:id="562"/>
      <w:bookmarkEnd w:id="563"/>
      <w:bookmarkEnd w:id="564"/>
      <w:bookmarkEnd w:id="565"/>
    </w:p>
    <w:p>
      <w:pPr>
        <w:spacing w:line="560" w:lineRule="exact"/>
        <w:ind w:firstLine="480" w:firstLineChars="200"/>
        <w:rPr>
          <w:rFonts w:ascii="仿宋" w:hAnsi="仿宋" w:eastAsia="仿宋" w:cs="仿宋"/>
          <w:color w:val="auto"/>
          <w:sz w:val="24"/>
        </w:rPr>
      </w:pPr>
      <w:bookmarkStart w:id="566" w:name="_Toc3135"/>
      <w:bookmarkStart w:id="567" w:name="_Toc6698"/>
      <w:bookmarkStart w:id="568" w:name="_Toc259093691"/>
      <w:bookmarkStart w:id="569" w:name="_Toc279701262"/>
      <w:bookmarkStart w:id="570" w:name="_Toc487900372"/>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66"/>
      <w:bookmarkEnd w:id="567"/>
    </w:p>
    <w:p>
      <w:pPr>
        <w:spacing w:line="560" w:lineRule="exact"/>
        <w:ind w:firstLine="480" w:firstLineChars="200"/>
        <w:rPr>
          <w:rFonts w:ascii="仿宋" w:hAnsi="仿宋" w:eastAsia="仿宋" w:cs="仿宋"/>
          <w:color w:val="auto"/>
          <w:sz w:val="24"/>
        </w:rPr>
      </w:pPr>
      <w:bookmarkStart w:id="571" w:name="_Toc23128"/>
      <w:bookmarkStart w:id="572" w:name="_Toc23294"/>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71"/>
      <w:bookmarkEnd w:id="572"/>
    </w:p>
    <w:p>
      <w:pPr>
        <w:spacing w:line="560" w:lineRule="exact"/>
        <w:ind w:firstLine="482" w:firstLineChars="200"/>
        <w:outlineLvl w:val="0"/>
        <w:rPr>
          <w:rFonts w:ascii="仿宋" w:hAnsi="仿宋" w:eastAsia="仿宋" w:cs="仿宋"/>
          <w:b/>
          <w:color w:val="auto"/>
          <w:sz w:val="24"/>
        </w:rPr>
      </w:pPr>
      <w:bookmarkStart w:id="573" w:name="_Toc3542"/>
      <w:bookmarkStart w:id="574" w:name="_Toc18540"/>
      <w:bookmarkStart w:id="575" w:name="_Toc4355"/>
      <w:bookmarkStart w:id="576" w:name="_Toc30599"/>
      <w:r>
        <w:rPr>
          <w:rFonts w:hint="eastAsia" w:ascii="仿宋" w:hAnsi="仿宋" w:eastAsia="仿宋" w:cs="仿宋"/>
          <w:b/>
          <w:color w:val="auto"/>
          <w:sz w:val="24"/>
        </w:rPr>
        <w:t>2.18 计量单位</w:t>
      </w:r>
      <w:bookmarkEnd w:id="568"/>
      <w:bookmarkEnd w:id="569"/>
      <w:bookmarkEnd w:id="570"/>
      <w:bookmarkEnd w:id="573"/>
      <w:bookmarkEnd w:id="574"/>
      <w:bookmarkEnd w:id="575"/>
      <w:bookmarkEnd w:id="57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color w:val="auto"/>
          <w:sz w:val="24"/>
        </w:rPr>
      </w:pPr>
      <w:bookmarkStart w:id="577" w:name="_Toc279701263"/>
      <w:bookmarkStart w:id="578" w:name="_Toc12773"/>
      <w:bookmarkStart w:id="579" w:name="_Toc18567"/>
      <w:bookmarkStart w:id="580" w:name="_Toc259093692"/>
      <w:bookmarkStart w:id="581" w:name="_Toc16270"/>
      <w:bookmarkStart w:id="582" w:name="_Toc10330"/>
      <w:bookmarkStart w:id="583" w:name="_Toc487900373"/>
      <w:r>
        <w:rPr>
          <w:rFonts w:hint="eastAsia" w:ascii="仿宋" w:hAnsi="仿宋" w:eastAsia="仿宋" w:cs="仿宋"/>
          <w:b/>
          <w:color w:val="auto"/>
          <w:sz w:val="24"/>
        </w:rPr>
        <w:t>2.19 合同使用的文字和适用的法律</w:t>
      </w:r>
      <w:bookmarkEnd w:id="577"/>
      <w:bookmarkEnd w:id="578"/>
      <w:bookmarkEnd w:id="579"/>
      <w:bookmarkEnd w:id="580"/>
      <w:bookmarkEnd w:id="581"/>
      <w:bookmarkEnd w:id="582"/>
      <w:bookmarkEnd w:id="58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outlineLvl w:val="0"/>
        <w:rPr>
          <w:rFonts w:ascii="仿宋" w:hAnsi="仿宋" w:eastAsia="仿宋" w:cs="仿宋"/>
          <w:b/>
          <w:color w:val="auto"/>
          <w:sz w:val="24"/>
        </w:rPr>
      </w:pPr>
      <w:bookmarkStart w:id="584" w:name="_Toc279701264"/>
      <w:bookmarkStart w:id="585" w:name="_Toc12004"/>
      <w:bookmarkStart w:id="586" w:name="_Toc259093693"/>
      <w:bookmarkStart w:id="587" w:name="_Toc3148"/>
      <w:bookmarkStart w:id="588" w:name="_Toc16673"/>
      <w:bookmarkStart w:id="589" w:name="_Toc17131"/>
      <w:bookmarkStart w:id="590" w:name="_Toc487900374"/>
      <w:r>
        <w:rPr>
          <w:rFonts w:hint="eastAsia" w:ascii="仿宋" w:hAnsi="仿宋" w:eastAsia="仿宋" w:cs="仿宋"/>
          <w:b/>
          <w:color w:val="auto"/>
          <w:sz w:val="24"/>
        </w:rPr>
        <w:t>2.20 履约保证金</w:t>
      </w:r>
      <w:bookmarkEnd w:id="584"/>
      <w:bookmarkEnd w:id="585"/>
      <w:bookmarkEnd w:id="586"/>
      <w:bookmarkEnd w:id="587"/>
      <w:bookmarkEnd w:id="588"/>
      <w:bookmarkEnd w:id="589"/>
    </w:p>
    <w:p>
      <w:pPr>
        <w:pStyle w:val="957"/>
        <w:spacing w:before="0" w:beforeAutospacing="0" w:after="0" w:afterAutospacing="0" w:line="360" w:lineRule="auto"/>
        <w:ind w:firstLine="420"/>
        <w:rPr>
          <w:rFonts w:ascii="仿宋" w:hAnsi="仿宋" w:eastAsia="仿宋" w:cs="仿宋"/>
          <w:color w:val="auto"/>
        </w:rPr>
      </w:pPr>
      <w:r>
        <w:rPr>
          <w:rFonts w:hint="eastAsia" w:ascii="仿宋" w:hAnsi="仿宋" w:eastAsia="仿宋" w:cs="仿宋"/>
          <w:color w:val="auto"/>
        </w:rPr>
        <w:t>2.20.1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w:t>
      </w:r>
      <w:r>
        <w:rPr>
          <w:rFonts w:hint="eastAsia" w:ascii="仿宋" w:hAnsi="仿宋" w:eastAsia="仿宋" w:cs="仿宋"/>
          <w:color w:val="auto"/>
          <w:lang w:eastAsia="zh-CN"/>
        </w:rPr>
        <w:t>1%</w:t>
      </w:r>
      <w:r>
        <w:rPr>
          <w:rFonts w:hint="eastAsia" w:ascii="仿宋" w:hAnsi="仿宋" w:eastAsia="仿宋" w:cs="仿宋"/>
          <w:color w:val="auto"/>
        </w:rPr>
        <w:t>的履约保证金；鼓励和支持乙方以银行、保险公司出具的保函形式提供履约保证。</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2.20.2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color w:val="auto"/>
        </w:rPr>
      </w:pPr>
      <w:r>
        <w:rPr>
          <w:rFonts w:hint="eastAsia" w:ascii="仿宋" w:hAnsi="仿宋" w:eastAsia="仿宋" w:cs="仿宋"/>
          <w:color w:val="auto"/>
          <w:sz w:val="24"/>
        </w:rPr>
        <w:t>2.20.</w:t>
      </w:r>
      <w:r>
        <w:rPr>
          <w:rFonts w:hint="eastAsia" w:ascii="仿宋" w:hAnsi="仿宋" w:eastAsia="仿宋" w:cs="仿宋"/>
          <w:color w:val="auto"/>
          <w:sz w:val="24"/>
          <w:lang w:val="en-US" w:eastAsia="zh-CN"/>
        </w:rPr>
        <w:t>4</w:t>
      </w:r>
      <w:r>
        <w:rPr>
          <w:rFonts w:hint="eastAsia" w:ascii="仿宋" w:hAnsi="仿宋" w:eastAsia="仿宋" w:cs="仿宋"/>
          <w:color w:val="auto"/>
          <w:sz w:val="24"/>
        </w:rPr>
        <w:t>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2.21对于因甲方原因导致变更、中止或者终止政府采购合同的，甲方应当依照合同约定对供应商受到的损失予以赔偿或者补偿。</w:t>
      </w:r>
    </w:p>
    <w:bookmarkEnd w:id="590"/>
    <w:p>
      <w:pPr>
        <w:spacing w:line="560" w:lineRule="exact"/>
        <w:ind w:firstLine="482" w:firstLineChars="200"/>
        <w:outlineLvl w:val="0"/>
        <w:rPr>
          <w:rFonts w:ascii="仿宋" w:hAnsi="仿宋" w:eastAsia="仿宋" w:cs="仿宋"/>
          <w:b/>
          <w:color w:val="auto"/>
          <w:sz w:val="24"/>
        </w:rPr>
      </w:pPr>
      <w:bookmarkStart w:id="591" w:name="_Toc25210"/>
      <w:bookmarkStart w:id="592" w:name="_Toc14001"/>
      <w:bookmarkStart w:id="593" w:name="_Toc19890"/>
      <w:bookmarkStart w:id="594" w:name="_Toc6885"/>
      <w:r>
        <w:rPr>
          <w:rFonts w:hint="eastAsia" w:ascii="仿宋" w:hAnsi="仿宋" w:eastAsia="仿宋" w:cs="仿宋"/>
          <w:b/>
          <w:color w:val="auto"/>
          <w:sz w:val="24"/>
        </w:rPr>
        <w:t>2.22合同份数</w:t>
      </w:r>
      <w:bookmarkEnd w:id="591"/>
      <w:bookmarkEnd w:id="592"/>
      <w:bookmarkEnd w:id="593"/>
      <w:bookmarkEnd w:id="59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pStyle w:val="700"/>
        <w:spacing w:line="560" w:lineRule="exact"/>
        <w:jc w:val="center"/>
        <w:rPr>
          <w:rFonts w:ascii="仿宋" w:hAnsi="仿宋" w:eastAsia="仿宋" w:cs="仿宋"/>
          <w:b/>
          <w:color w:val="auto"/>
          <w:szCs w:val="24"/>
        </w:rPr>
      </w:pPr>
      <w:r>
        <w:rPr>
          <w:rFonts w:hint="eastAsia" w:ascii="仿宋" w:hAnsi="仿宋" w:eastAsia="仿宋" w:cs="仿宋"/>
          <w:color w:val="auto"/>
          <w:kern w:val="0"/>
          <w:szCs w:val="24"/>
        </w:rPr>
        <w:br w:type="page"/>
      </w:r>
      <w:bookmarkStart w:id="595" w:name="_Toc331685784"/>
      <w:r>
        <w:rPr>
          <w:rFonts w:hint="eastAsia" w:ascii="仿宋" w:hAnsi="仿宋" w:eastAsia="仿宋" w:cs="仿宋"/>
          <w:b/>
          <w:color w:val="auto"/>
          <w:szCs w:val="24"/>
        </w:rPr>
        <w:t xml:space="preserve"> </w:t>
      </w:r>
      <w:bookmarkEnd w:id="595"/>
      <w:r>
        <w:rPr>
          <w:rFonts w:hint="eastAsia" w:ascii="仿宋" w:hAnsi="仿宋" w:eastAsia="仿宋" w:cs="仿宋"/>
          <w:b/>
          <w:color w:val="auto"/>
          <w:szCs w:val="24"/>
        </w:rPr>
        <w:t>第三部分  合同专用条款</w:t>
      </w:r>
    </w:p>
    <w:p>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33" w:type="pct"/>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1.4.4</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资金支付的方式、时间和条件：</w:t>
            </w:r>
            <w:r>
              <w:rPr>
                <w:rFonts w:hint="eastAsia" w:ascii="仿宋" w:hAnsi="仿宋" w:eastAsia="仿宋" w:cs="宋体"/>
                <w:bCs/>
                <w:color w:val="auto"/>
                <w:kern w:val="0"/>
                <w:sz w:val="24"/>
                <w:lang w:eastAsia="zh-CN"/>
              </w:rPr>
              <w:t>合同签订后支付合同预付款40%，余款在设备验收合格</w:t>
            </w:r>
            <w:r>
              <w:rPr>
                <w:rFonts w:hint="eastAsia" w:ascii="仿宋" w:hAnsi="仿宋" w:eastAsia="仿宋" w:cs="宋体"/>
                <w:bCs/>
                <w:color w:val="auto"/>
                <w:kern w:val="0"/>
                <w:sz w:val="24"/>
                <w:lang w:val="en-US" w:eastAsia="zh-CN"/>
              </w:rPr>
              <w:t>七个工作日</w:t>
            </w:r>
            <w:r>
              <w:rPr>
                <w:rFonts w:hint="eastAsia" w:ascii="仿宋" w:hAnsi="仿宋" w:eastAsia="仿宋" w:cs="宋体"/>
                <w:bCs/>
                <w:color w:val="auto"/>
                <w:kern w:val="0"/>
                <w:sz w:val="24"/>
                <w:lang w:eastAsia="zh-CN"/>
              </w:rPr>
              <w:t>付清</w:t>
            </w:r>
            <w:bookmarkStart w:id="620" w:name="_GoBack"/>
            <w:bookmarkEnd w:id="620"/>
            <w:r>
              <w:rPr>
                <w:rFonts w:hint="eastAsia" w:ascii="仿宋" w:hAnsi="仿宋" w:eastAsia="仿宋" w:cs="宋体"/>
                <w:bCs/>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1.5.1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交付期限：</w:t>
            </w:r>
            <w:r>
              <w:rPr>
                <w:rFonts w:hint="eastAsia" w:ascii="仿宋" w:hAnsi="仿宋" w:eastAsia="仿宋" w:cs="仿宋"/>
                <w:color w:val="auto"/>
                <w:sz w:val="24"/>
                <w:u w:val="single"/>
                <w:lang w:eastAsia="zh-CN"/>
              </w:rPr>
              <w:t>接到采购方通知后一个月内</w:t>
            </w:r>
            <w:r>
              <w:rPr>
                <w:rFonts w:hint="eastAsia" w:ascii="仿宋" w:hAnsi="仿宋" w:eastAsia="仿宋" w:cs="仿宋"/>
                <w:color w:val="auto"/>
                <w:sz w:val="24"/>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1.5.2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交付地点：</w:t>
            </w:r>
            <w:r>
              <w:rPr>
                <w:rFonts w:hint="eastAsia" w:ascii="仿宋" w:hAnsi="仿宋" w:eastAsia="仿宋" w:cs="仿宋"/>
                <w:color w:val="auto"/>
                <w:sz w:val="24"/>
                <w:u w:val="single"/>
                <w:lang w:eastAsia="zh-CN"/>
              </w:rPr>
              <w:t>仙居县人民医院</w:t>
            </w:r>
            <w:r>
              <w:rPr>
                <w:rFonts w:hint="eastAsia" w:ascii="仿宋" w:hAnsi="仿宋" w:eastAsia="仿宋" w:cs="仿宋"/>
                <w:color w:val="auto"/>
                <w:sz w:val="24"/>
                <w:u w:val="single"/>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1.5.3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交付方式：</w:t>
            </w:r>
            <w:r>
              <w:rPr>
                <w:rFonts w:hint="eastAsia" w:ascii="仿宋" w:hAnsi="仿宋" w:eastAsia="仿宋" w:cs="仿宋"/>
                <w:color w:val="auto"/>
                <w:sz w:val="24"/>
                <w:u w:val="single"/>
              </w:rPr>
              <w:t>送货上门。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1.6.7</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同政府采购合同参考范本规定1.6.7。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合同争议的解决：本合同履行过程中发生的任何争议，双方当事人均可通过和解或者调解解决；不愿和解、调解或者和解、调解不成的，可以选择以下第</w:t>
            </w:r>
            <w:r>
              <w:rPr>
                <w:rFonts w:hint="eastAsia" w:ascii="仿宋" w:hAnsi="仿宋" w:eastAsia="仿宋" w:cs="仿宋"/>
                <w:color w:val="auto"/>
                <w:sz w:val="24"/>
                <w:u w:val="single"/>
              </w:rPr>
              <w:t>1.7.1</w:t>
            </w:r>
            <w:r>
              <w:rPr>
                <w:rFonts w:hint="eastAsia" w:ascii="仿宋" w:hAnsi="仿宋" w:eastAsia="仿宋" w:cs="仿宋"/>
                <w:color w:val="auto"/>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1.7.1</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将争议提交</w:t>
            </w:r>
            <w:r>
              <w:rPr>
                <w:rFonts w:hint="eastAsia" w:ascii="仿宋" w:hAnsi="仿宋" w:eastAsia="仿宋" w:cs="仿宋"/>
                <w:color w:val="auto"/>
                <w:sz w:val="24"/>
                <w:u w:val="single"/>
                <w:lang w:val="en-US" w:eastAsia="zh-CN"/>
              </w:rPr>
              <w:t>嘉兴市</w:t>
            </w:r>
            <w:r>
              <w:rPr>
                <w:rFonts w:hint="eastAsia" w:ascii="仿宋" w:hAnsi="仿宋" w:eastAsia="仿宋" w:cs="仿宋"/>
                <w:color w:val="auto"/>
                <w:sz w:val="24"/>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2.3.2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具有知识产权的计算机软件等货物的知识产权归属，</w:t>
            </w:r>
            <w:r>
              <w:rPr>
                <w:rFonts w:hint="eastAsia" w:ascii="仿宋" w:hAnsi="仿宋" w:eastAsia="仿宋" w:cs="仿宋"/>
                <w:color w:val="auto"/>
                <w:sz w:val="24"/>
                <w:u w:val="single"/>
              </w:rPr>
              <w:t>归甲方所有</w:t>
            </w: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2.4.1</w:t>
            </w:r>
          </w:p>
        </w:tc>
        <w:tc>
          <w:tcPr>
            <w:tcW w:w="4533" w:type="pct"/>
            <w:vAlign w:val="center"/>
          </w:tcPr>
          <w:p>
            <w:pPr>
              <w:spacing w:line="360" w:lineRule="auto"/>
              <w:ind w:right="-420" w:rightChars="-200"/>
              <w:rPr>
                <w:rFonts w:ascii="仿宋" w:hAnsi="仿宋" w:eastAsia="仿宋" w:cs="仿宋"/>
                <w:color w:val="auto"/>
                <w:sz w:val="24"/>
              </w:rPr>
            </w:pPr>
            <w:r>
              <w:rPr>
                <w:rFonts w:hint="eastAsia" w:ascii="仿宋" w:hAnsi="仿宋" w:eastAsia="仿宋" w:cs="仿宋"/>
                <w:color w:val="auto"/>
                <w:sz w:val="24"/>
              </w:rPr>
              <w:t>同合同一般条款规定2.4.1。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2.4.2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装运货物的要求和通知：</w:t>
            </w:r>
            <w:r>
              <w:rPr>
                <w:rFonts w:hint="eastAsia" w:ascii="仿宋" w:hAnsi="仿宋" w:eastAsia="仿宋" w:cs="仿宋"/>
                <w:color w:val="auto"/>
                <w:sz w:val="24"/>
                <w:u w:val="single"/>
              </w:rPr>
              <w:t>同国际贸易通用装运货物的要求和通知。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2.8 </w:t>
            </w:r>
          </w:p>
        </w:tc>
        <w:tc>
          <w:tcPr>
            <w:tcW w:w="4533" w:type="pct"/>
          </w:tcPr>
          <w:p>
            <w:pPr>
              <w:spacing w:line="360" w:lineRule="auto"/>
              <w:rPr>
                <w:rFonts w:ascii="仿宋" w:hAnsi="仿宋" w:eastAsia="仿宋" w:cs="仿宋"/>
                <w:color w:val="auto"/>
                <w:sz w:val="24"/>
              </w:rPr>
            </w:pPr>
            <w:r>
              <w:rPr>
                <w:rFonts w:hint="eastAsia" w:ascii="仿宋" w:hAnsi="仿宋" w:eastAsia="仿宋" w:cs="仿宋"/>
                <w:color w:val="auto"/>
                <w:sz w:val="24"/>
              </w:rPr>
              <w:t>货物或者在途货物或者交付给第一承运人后的货物毁损、灭失的风险负担由</w:t>
            </w:r>
            <w:r>
              <w:rPr>
                <w:rFonts w:hint="eastAsia" w:ascii="仿宋" w:hAnsi="仿宋" w:eastAsia="仿宋" w:cs="仿宋"/>
                <w:color w:val="auto"/>
                <w:sz w:val="24"/>
                <w:u w:val="single"/>
              </w:rPr>
              <w:t>乙方</w:t>
            </w:r>
            <w:r>
              <w:rPr>
                <w:rFonts w:hint="eastAsia" w:ascii="仿宋" w:hAnsi="仿宋" w:eastAsia="仿宋" w:cs="仿宋"/>
                <w:color w:val="auto"/>
                <w:sz w:val="24"/>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2.12.3</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因不可抗力致使合同有变更必要的，双方当事人应在</w:t>
            </w:r>
            <w:r>
              <w:rPr>
                <w:rFonts w:hint="eastAsia" w:ascii="仿宋" w:hAnsi="仿宋" w:eastAsia="仿宋" w:cs="仿宋"/>
                <w:color w:val="auto"/>
                <w:sz w:val="24"/>
                <w:u w:val="single"/>
              </w:rPr>
              <w:t>受不可抗力影响后14个自然日</w:t>
            </w:r>
            <w:r>
              <w:rPr>
                <w:rFonts w:hint="eastAsia" w:ascii="仿宋" w:hAnsi="仿宋" w:eastAsia="仿宋" w:cs="仿宋"/>
                <w:color w:val="auto"/>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2.12.4</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受不可抗力影响的一方在不可抗力发生后，应在</w:t>
            </w:r>
            <w:r>
              <w:rPr>
                <w:rFonts w:hint="eastAsia" w:ascii="仿宋" w:hAnsi="仿宋" w:eastAsia="仿宋" w:cs="仿宋"/>
                <w:color w:val="auto"/>
                <w:sz w:val="24"/>
                <w:u w:val="single"/>
              </w:rPr>
              <w:t>受不可抗力影响后3个自然日</w:t>
            </w:r>
            <w:r>
              <w:rPr>
                <w:rFonts w:hint="eastAsia" w:ascii="仿宋" w:hAnsi="仿宋" w:eastAsia="仿宋" w:cs="仿宋"/>
                <w:color w:val="auto"/>
                <w:sz w:val="24"/>
              </w:rPr>
              <w:t>内以书面形式通知对方当事人，并在</w:t>
            </w:r>
            <w:r>
              <w:rPr>
                <w:rFonts w:hint="eastAsia" w:ascii="仿宋" w:hAnsi="仿宋" w:eastAsia="仿宋" w:cs="仿宋"/>
                <w:color w:val="auto"/>
                <w:sz w:val="24"/>
                <w:u w:val="single"/>
              </w:rPr>
              <w:t>受不可抗力影响后7个自然日</w:t>
            </w:r>
            <w:r>
              <w:rPr>
                <w:rFonts w:hint="eastAsia" w:ascii="仿宋" w:hAnsi="仿宋" w:eastAsia="仿宋" w:cs="仿宋"/>
                <w:color w:val="auto"/>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2.16.1</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货物交付前，乙方应对货物的质量、数量等方面进行详细、全面的检验，并向甲方出具证明货物符合合同约定的文件；货物交付时，乙方在</w:t>
            </w:r>
            <w:r>
              <w:rPr>
                <w:rFonts w:hint="eastAsia" w:ascii="仿宋" w:hAnsi="仿宋" w:eastAsia="仿宋" w:cs="仿宋"/>
                <w:color w:val="auto"/>
                <w:sz w:val="24"/>
                <w:u w:val="single"/>
              </w:rPr>
              <w:t>接甲方通知后7个自然日</w:t>
            </w:r>
            <w:r>
              <w:rPr>
                <w:rFonts w:hint="eastAsia" w:ascii="仿宋" w:hAnsi="仿宋" w:eastAsia="仿宋" w:cs="仿宋"/>
                <w:color w:val="auto"/>
                <w:sz w:val="24"/>
              </w:rPr>
              <w:t>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2.16.3</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检验和验收标准、程序等具体内容以及前述验收书的效力：</w:t>
            </w:r>
            <w:r>
              <w:rPr>
                <w:rFonts w:hint="eastAsia" w:ascii="仿宋" w:hAnsi="仿宋" w:eastAsia="仿宋" w:cs="仿宋"/>
                <w:color w:val="auto"/>
                <w:sz w:val="24"/>
                <w:u w:val="single"/>
              </w:rPr>
              <w:t>检验验收标准同国家药监局关于印发医疗器械检验工作规范的通知（国药监科外〔2019〕41号）的相关规定，出具验收书后双方当事人不得再对验收内容提出异议。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仿宋"/>
                <w:color w:val="auto"/>
                <w:sz w:val="24"/>
              </w:rPr>
            </w:pPr>
            <w:r>
              <w:rPr>
                <w:rFonts w:hint="eastAsia" w:ascii="仿宋" w:hAnsi="仿宋" w:eastAsia="仿宋" w:cs="仿宋"/>
                <w:color w:val="auto"/>
                <w:sz w:val="24"/>
              </w:rPr>
              <w:t>2.20.1</w:t>
            </w:r>
          </w:p>
        </w:tc>
        <w:tc>
          <w:tcPr>
            <w:tcW w:w="4533" w:type="pct"/>
          </w:tcPr>
          <w:p>
            <w:pPr>
              <w:spacing w:line="360" w:lineRule="auto"/>
              <w:rPr>
                <w:rFonts w:ascii="仿宋" w:hAnsi="仿宋" w:eastAsia="仿宋" w:cs="仿宋"/>
                <w:color w:val="auto"/>
                <w:sz w:val="24"/>
              </w:rPr>
            </w:pPr>
            <w:r>
              <w:rPr>
                <w:rFonts w:hint="eastAsia" w:ascii="仿宋" w:hAnsi="仿宋" w:eastAsia="仿宋" w:cs="仿宋"/>
                <w:color w:val="auto"/>
                <w:sz w:val="24"/>
              </w:rPr>
              <w:t>履约保证金：</w:t>
            </w:r>
            <w:r>
              <w:rPr>
                <w:rFonts w:hint="eastAsia" w:ascii="仿宋" w:hAnsi="仿宋" w:eastAsia="仿宋" w:cs="仿宋"/>
                <w:color w:val="auto"/>
                <w:sz w:val="24"/>
                <w:u w:val="single"/>
                <w:lang w:val="en-US" w:eastAsia="zh-CN"/>
              </w:rPr>
              <w:t>无（不超过合同金额的1%）</w:t>
            </w:r>
            <w:r>
              <w:rPr>
                <w:rFonts w:hint="eastAsia" w:ascii="仿宋" w:hAnsi="仿宋" w:eastAsia="仿宋" w:cs="仿宋"/>
                <w:color w:val="auto"/>
                <w:sz w:val="24"/>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2.20.2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履约保证金在</w:t>
            </w:r>
            <w:r>
              <w:rPr>
                <w:rFonts w:hint="eastAsia" w:ascii="仿宋" w:hAnsi="仿宋" w:eastAsia="仿宋" w:cs="仿宋"/>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5</w:t>
            </w:r>
            <w:r>
              <w:rPr>
                <w:rFonts w:hint="eastAsia" w:ascii="仿宋" w:hAnsi="仿宋" w:eastAsia="仿宋" w:cs="仿宋"/>
                <w:color w:val="auto"/>
                <w:sz w:val="24"/>
              </w:rPr>
              <w:t>个工作日内，按</w:t>
            </w:r>
            <w:r>
              <w:rPr>
                <w:rFonts w:hint="eastAsia" w:ascii="仿宋" w:hAnsi="仿宋" w:eastAsia="仿宋" w:cs="仿宋"/>
                <w:color w:val="auto"/>
                <w:sz w:val="24"/>
                <w:u w:val="single"/>
              </w:rPr>
              <w:t>合同专用条款</w:t>
            </w:r>
            <w:r>
              <w:rPr>
                <w:rFonts w:hint="eastAsia" w:ascii="仿宋" w:hAnsi="仿宋" w:eastAsia="仿宋" w:cs="仿宋"/>
                <w:color w:val="auto"/>
                <w:sz w:val="24"/>
              </w:rPr>
              <w:t xml:space="preserve">约定的方式将履约保证金退还乙方，逾期退还的，乙方可要求甲方支付违约金，违约金按每迟延退还一日的应退还而未退还金额的  </w:t>
            </w:r>
            <w:r>
              <w:rPr>
                <w:rFonts w:hint="eastAsia" w:ascii="仿宋" w:hAnsi="仿宋" w:eastAsia="仿宋" w:cs="仿宋"/>
                <w:color w:val="auto"/>
                <w:sz w:val="24"/>
                <w:u w:val="single"/>
              </w:rPr>
              <w:t>0.05%</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20%</w:t>
            </w:r>
            <w:r>
              <w:rPr>
                <w:rFonts w:hint="eastAsia" w:ascii="仿宋" w:hAnsi="仿宋" w:eastAsia="仿宋" w:cs="仿宋"/>
                <w:color w:val="auto"/>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bookmarkStart w:id="596" w:name="_Toc27975"/>
            <w:r>
              <w:rPr>
                <w:rFonts w:hint="eastAsia" w:ascii="仿宋" w:hAnsi="仿宋" w:eastAsia="仿宋" w:cs="仿宋"/>
                <w:color w:val="auto"/>
                <w:sz w:val="24"/>
              </w:rPr>
              <w:t>2.22</w:t>
            </w:r>
            <w:bookmarkEnd w:id="596"/>
            <w:r>
              <w:rPr>
                <w:rFonts w:hint="eastAsia" w:ascii="仿宋" w:hAnsi="仿宋" w:eastAsia="仿宋" w:cs="仿宋"/>
                <w:color w:val="auto"/>
                <w:sz w:val="24"/>
              </w:rPr>
              <w:t xml:space="preserve">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合同份数</w:t>
            </w:r>
            <w:r>
              <w:rPr>
                <w:rFonts w:hint="eastAsia" w:ascii="仿宋" w:hAnsi="仿宋" w:eastAsia="仿宋" w:cs="仿宋"/>
                <w:color w:val="auto"/>
                <w:sz w:val="24"/>
                <w:u w:val="single"/>
              </w:rPr>
              <w:t>一式肆份</w:t>
            </w:r>
            <w:r>
              <w:rPr>
                <w:rFonts w:hint="eastAsia" w:ascii="仿宋" w:hAnsi="仿宋" w:eastAsia="仿宋" w:cs="仿宋"/>
                <w:color w:val="auto"/>
                <w:sz w:val="24"/>
              </w:rPr>
              <w:t>，每份均具有同等法律效力。</w:t>
            </w:r>
          </w:p>
        </w:tc>
      </w:tr>
    </w:tbl>
    <w:p>
      <w:pPr>
        <w:spacing w:line="360" w:lineRule="auto"/>
        <w:ind w:left="-420" w:leftChars="-200" w:right="-420" w:rightChars="-200" w:firstLine="480" w:firstLineChars="200"/>
        <w:rPr>
          <w:rFonts w:ascii="仿宋" w:hAnsi="仿宋" w:eastAsia="仿宋" w:cs="仿宋"/>
          <w:color w:val="auto"/>
          <w:sz w:val="24"/>
        </w:rPr>
      </w:pPr>
    </w:p>
    <w:p>
      <w:pPr>
        <w:spacing w:line="360" w:lineRule="auto"/>
        <w:ind w:left="-420" w:leftChars="-200" w:right="-420" w:rightChars="-200"/>
        <w:rPr>
          <w:rFonts w:ascii="仿宋" w:hAnsi="仿宋" w:eastAsia="仿宋" w:cs="仿宋"/>
          <w:color w:val="auto"/>
          <w:sz w:val="24"/>
        </w:rPr>
      </w:pPr>
    </w:p>
    <w:p>
      <w:pPr>
        <w:spacing w:line="360" w:lineRule="auto"/>
        <w:ind w:left="-420" w:leftChars="-200" w:right="-420" w:rightChars="-200" w:firstLine="480" w:firstLineChars="200"/>
        <w:jc w:val="center"/>
        <w:rPr>
          <w:rFonts w:ascii="仿宋" w:hAnsi="仿宋" w:eastAsia="仿宋" w:cs="仿宋"/>
          <w:color w:val="auto"/>
          <w:sz w:val="24"/>
        </w:rPr>
      </w:pPr>
    </w:p>
    <w:p>
      <w:pPr>
        <w:spacing w:line="360" w:lineRule="auto"/>
        <w:ind w:left="-420" w:leftChars="-200" w:right="-420" w:rightChars="-200" w:firstLine="480" w:firstLineChars="200"/>
        <w:jc w:val="center"/>
        <w:rPr>
          <w:rFonts w:ascii="仿宋" w:hAnsi="仿宋" w:eastAsia="仿宋" w:cs="仿宋"/>
          <w:color w:val="auto"/>
          <w:sz w:val="24"/>
        </w:rPr>
      </w:pPr>
    </w:p>
    <w:p>
      <w:pPr>
        <w:pStyle w:val="7"/>
        <w:rPr>
          <w:rFonts w:ascii="仿宋" w:hAnsi="仿宋" w:eastAsia="仿宋" w:cs="仿宋"/>
          <w:color w:val="auto"/>
          <w:sz w:val="24"/>
        </w:rPr>
      </w:pPr>
    </w:p>
    <w:p>
      <w:pPr>
        <w:pStyle w:val="3"/>
        <w:rPr>
          <w:rFonts w:ascii="仿宋" w:hAnsi="仿宋" w:eastAsia="仿宋" w:cs="仿宋"/>
          <w:color w:val="auto"/>
        </w:rPr>
      </w:pPr>
    </w:p>
    <w:p>
      <w:pPr>
        <w:rPr>
          <w:rFonts w:ascii="仿宋" w:hAnsi="仿宋" w:eastAsia="仿宋" w:cs="仿宋"/>
          <w:color w:val="auto"/>
          <w:sz w:val="24"/>
        </w:rPr>
      </w:pPr>
    </w:p>
    <w:p>
      <w:pPr>
        <w:pStyle w:val="7"/>
        <w:rPr>
          <w:rFonts w:ascii="仿宋" w:hAnsi="仿宋" w:eastAsia="仿宋" w:cs="仿宋"/>
          <w:color w:val="auto"/>
          <w:sz w:val="24"/>
        </w:rPr>
      </w:pPr>
    </w:p>
    <w:p>
      <w:pPr>
        <w:pStyle w:val="3"/>
        <w:rPr>
          <w:rFonts w:ascii="仿宋" w:hAnsi="仿宋" w:eastAsia="仿宋" w:cs="仿宋"/>
          <w:color w:val="auto"/>
        </w:rPr>
      </w:pPr>
    </w:p>
    <w:p>
      <w:pPr>
        <w:rPr>
          <w:rFonts w:ascii="仿宋" w:hAnsi="仿宋" w:eastAsia="仿宋" w:cs="仿宋"/>
          <w:color w:val="auto"/>
          <w:sz w:val="24"/>
        </w:rPr>
      </w:pPr>
    </w:p>
    <w:p>
      <w:pPr>
        <w:pStyle w:val="7"/>
        <w:rPr>
          <w:rFonts w:ascii="仿宋" w:hAnsi="仿宋" w:eastAsia="仿宋" w:cs="仿宋"/>
          <w:color w:val="auto"/>
          <w:sz w:val="24"/>
        </w:rPr>
      </w:pPr>
    </w:p>
    <w:p>
      <w:pPr>
        <w:pStyle w:val="3"/>
        <w:rPr>
          <w:rFonts w:ascii="仿宋" w:hAnsi="仿宋" w:eastAsia="仿宋" w:cs="仿宋"/>
          <w:color w:val="auto"/>
        </w:rPr>
      </w:pPr>
    </w:p>
    <w:p>
      <w:pPr>
        <w:rPr>
          <w:rFonts w:ascii="仿宋" w:hAnsi="仿宋" w:eastAsia="仿宋" w:cs="仿宋"/>
          <w:color w:val="auto"/>
          <w:sz w:val="24"/>
        </w:rPr>
      </w:pPr>
    </w:p>
    <w:p>
      <w:pPr>
        <w:pStyle w:val="7"/>
        <w:rPr>
          <w:rFonts w:ascii="仿宋" w:hAnsi="仿宋" w:eastAsia="仿宋" w:cs="仿宋"/>
          <w:sz w:val="24"/>
        </w:rPr>
      </w:pPr>
    </w:p>
    <w:p>
      <w:pPr>
        <w:pStyle w:val="3"/>
        <w:rPr>
          <w:rFonts w:ascii="仿宋" w:hAnsi="仿宋" w:eastAsia="仿宋" w:cs="仿宋"/>
        </w:rPr>
      </w:pPr>
    </w:p>
    <w:p>
      <w:pPr>
        <w:rPr>
          <w:rFonts w:ascii="仿宋" w:hAnsi="仿宋" w:eastAsia="仿宋" w:cs="仿宋"/>
          <w:sz w:val="24"/>
        </w:rPr>
      </w:pPr>
    </w:p>
    <w:p>
      <w:pPr>
        <w:pStyle w:val="79"/>
      </w:pPr>
    </w:p>
    <w:p>
      <w:pPr>
        <w:pStyle w:val="7"/>
        <w:rPr>
          <w:rFonts w:ascii="仿宋" w:hAnsi="仿宋" w:eastAsia="仿宋" w:cs="仿宋"/>
        </w:rPr>
      </w:pPr>
    </w:p>
    <w:p>
      <w:pPr>
        <w:spacing w:line="360" w:lineRule="auto"/>
        <w:ind w:left="720" w:firstLine="723" w:firstLineChars="200"/>
        <w:outlineLvl w:val="0"/>
        <w:rPr>
          <w:rFonts w:ascii="仿宋" w:hAnsi="仿宋" w:eastAsia="仿宋" w:cs="仿宋"/>
          <w:b/>
          <w:sz w:val="36"/>
          <w:szCs w:val="20"/>
        </w:rPr>
      </w:pPr>
      <w:bookmarkStart w:id="597" w:name="_Toc7454"/>
      <w:r>
        <w:rPr>
          <w:rFonts w:hint="eastAsia" w:ascii="仿宋" w:hAnsi="仿宋" w:eastAsia="仿宋" w:cs="仿宋"/>
          <w:b/>
          <w:sz w:val="36"/>
          <w:szCs w:val="20"/>
        </w:rPr>
        <w:t>第六部分</w:t>
      </w:r>
      <w:bookmarkEnd w:id="406"/>
      <w:r>
        <w:rPr>
          <w:rFonts w:hint="eastAsia" w:ascii="仿宋" w:hAnsi="仿宋" w:eastAsia="仿宋" w:cs="仿宋"/>
          <w:b/>
          <w:sz w:val="36"/>
          <w:szCs w:val="20"/>
        </w:rPr>
        <w:t xml:space="preserve"> </w:t>
      </w:r>
      <w:bookmarkEnd w:id="407"/>
      <w:r>
        <w:rPr>
          <w:rFonts w:hint="eastAsia" w:ascii="仿宋" w:hAnsi="仿宋" w:eastAsia="仿宋" w:cs="仿宋"/>
          <w:b/>
          <w:sz w:val="36"/>
          <w:szCs w:val="20"/>
        </w:rPr>
        <w:t>应提交的有关格式范例</w:t>
      </w:r>
      <w:bookmarkEnd w:id="597"/>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bookmarkStart w:id="598" w:name="_Toc14033"/>
      <w:r>
        <w:rPr>
          <w:rFonts w:hint="eastAsia" w:ascii="仿宋" w:hAnsi="仿宋" w:eastAsia="仿宋" w:cs="仿宋"/>
          <w:b/>
          <w:kern w:val="0"/>
          <w:sz w:val="36"/>
          <w:szCs w:val="36"/>
        </w:rPr>
        <w:t>资格文件部分</w:t>
      </w:r>
      <w:bookmarkEnd w:id="598"/>
    </w:p>
    <w:p>
      <w:pPr>
        <w:spacing w:line="360" w:lineRule="auto"/>
        <w:jc w:val="center"/>
        <w:outlineLvl w:val="0"/>
        <w:rPr>
          <w:rFonts w:ascii="仿宋" w:hAnsi="仿宋" w:eastAsia="仿宋" w:cs="仿宋"/>
          <w:b/>
          <w:kern w:val="0"/>
          <w:sz w:val="36"/>
          <w:szCs w:val="36"/>
        </w:rPr>
      </w:pPr>
      <w:bookmarkStart w:id="599" w:name="_Toc24642"/>
      <w:r>
        <w:rPr>
          <w:rFonts w:hint="eastAsia" w:ascii="仿宋" w:hAnsi="仿宋" w:eastAsia="仿宋" w:cs="仿宋"/>
          <w:b/>
          <w:kern w:val="0"/>
          <w:sz w:val="36"/>
          <w:szCs w:val="36"/>
        </w:rPr>
        <w:t>目录</w:t>
      </w:r>
      <w:bookmarkEnd w:id="599"/>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pacing w:line="360" w:lineRule="auto"/>
        <w:ind w:right="420" w:firstLine="3614" w:firstLineChars="1000"/>
        <w:outlineLvl w:val="0"/>
        <w:rPr>
          <w:rFonts w:ascii="仿宋" w:hAnsi="仿宋" w:eastAsia="仿宋" w:cs="仿宋"/>
          <w:b/>
          <w:kern w:val="0"/>
          <w:sz w:val="36"/>
          <w:szCs w:val="36"/>
        </w:rPr>
      </w:pPr>
      <w:bookmarkStart w:id="600" w:name="_Toc27069"/>
      <w:r>
        <w:rPr>
          <w:rFonts w:hint="eastAsia" w:ascii="仿宋" w:hAnsi="仿宋" w:eastAsia="仿宋" w:cs="仿宋"/>
          <w:b/>
          <w:kern w:val="0"/>
          <w:sz w:val="36"/>
          <w:szCs w:val="36"/>
        </w:rPr>
        <w:t>商务技术文件部分</w:t>
      </w:r>
      <w:bookmarkEnd w:id="600"/>
    </w:p>
    <w:p>
      <w:pPr>
        <w:spacing w:line="360" w:lineRule="auto"/>
        <w:jc w:val="center"/>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bookmarkStart w:id="601" w:name="_Toc16278"/>
      <w:r>
        <w:rPr>
          <w:rFonts w:hint="eastAsia" w:ascii="仿宋" w:hAnsi="仿宋" w:eastAsia="仿宋" w:cs="仿宋"/>
          <w:b/>
          <w:kern w:val="0"/>
          <w:sz w:val="28"/>
          <w:szCs w:val="28"/>
        </w:rPr>
        <w:t>目录</w:t>
      </w:r>
      <w:bookmarkEnd w:id="601"/>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rPr>
          <w:rFonts w:ascii="仿宋" w:hAnsi="仿宋" w:eastAsia="仿宋" w:cs="仿宋"/>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bookmarkStart w:id="602" w:name="_Toc7202"/>
      <w:r>
        <w:rPr>
          <w:rFonts w:hint="eastAsia" w:ascii="仿宋" w:hAnsi="仿宋" w:eastAsia="仿宋" w:cs="仿宋"/>
          <w:b/>
          <w:kern w:val="0"/>
          <w:sz w:val="32"/>
          <w:szCs w:val="32"/>
        </w:rPr>
        <w:t>一、投标</w:t>
      </w:r>
      <w:r>
        <w:rPr>
          <w:rFonts w:hint="eastAsia" w:ascii="仿宋" w:hAnsi="仿宋" w:eastAsia="仿宋" w:cs="仿宋"/>
          <w:b/>
          <w:sz w:val="32"/>
          <w:szCs w:val="32"/>
        </w:rPr>
        <w:t>函</w:t>
      </w:r>
      <w:bookmarkEnd w:id="602"/>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8"/>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8"/>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5"/>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bookmarkStart w:id="603" w:name="_Toc3432"/>
      <w:r>
        <w:rPr>
          <w:rFonts w:hint="eastAsia" w:ascii="仿宋" w:hAnsi="仿宋" w:eastAsia="仿宋" w:cs="仿宋"/>
          <w:b/>
          <w:kern w:val="0"/>
          <w:sz w:val="36"/>
          <w:szCs w:val="36"/>
        </w:rPr>
        <w:t>报价文件部分</w:t>
      </w:r>
      <w:bookmarkEnd w:id="603"/>
    </w:p>
    <w:p>
      <w:pPr>
        <w:spacing w:line="360" w:lineRule="auto"/>
        <w:jc w:val="center"/>
        <w:outlineLvl w:val="0"/>
        <w:rPr>
          <w:rFonts w:ascii="仿宋" w:hAnsi="仿宋" w:eastAsia="仿宋" w:cs="仿宋"/>
          <w:b/>
          <w:kern w:val="0"/>
          <w:sz w:val="36"/>
          <w:szCs w:val="36"/>
        </w:rPr>
      </w:pPr>
      <w:bookmarkStart w:id="604" w:name="_Toc321"/>
      <w:r>
        <w:rPr>
          <w:rFonts w:hint="eastAsia" w:ascii="仿宋" w:hAnsi="仿宋" w:eastAsia="仿宋" w:cs="仿宋"/>
          <w:b/>
          <w:kern w:val="0"/>
          <w:sz w:val="36"/>
          <w:szCs w:val="36"/>
        </w:rPr>
        <w:t>目录</w:t>
      </w:r>
      <w:bookmarkEnd w:id="604"/>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bookmarkStart w:id="605" w:name="_Toc31079"/>
      <w:r>
        <w:rPr>
          <w:rFonts w:hint="eastAsia" w:ascii="仿宋" w:hAnsi="仿宋" w:eastAsia="仿宋" w:cs="仿宋"/>
          <w:kern w:val="2"/>
          <w:sz w:val="32"/>
          <w:szCs w:val="32"/>
        </w:rPr>
        <w:t>一、开标一览表（报价表）</w:t>
      </w:r>
      <w:bookmarkEnd w:id="605"/>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sz w:val="32"/>
          <w:szCs w:val="32"/>
        </w:rPr>
      </w:pPr>
      <w:bookmarkStart w:id="606" w:name="_Toc21974"/>
      <w:r>
        <w:rPr>
          <w:rFonts w:hint="eastAsia" w:ascii="仿宋" w:hAnsi="仿宋" w:eastAsia="仿宋" w:cs="仿宋"/>
          <w:kern w:val="2"/>
          <w:sz w:val="32"/>
          <w:szCs w:val="32"/>
        </w:rPr>
        <w:t>二、</w:t>
      </w:r>
      <w:r>
        <w:rPr>
          <w:rFonts w:hint="eastAsia" w:ascii="仿宋" w:hAnsi="仿宋" w:eastAsia="仿宋" w:cs="仿宋"/>
          <w:sz w:val="32"/>
          <w:szCs w:val="32"/>
        </w:rPr>
        <w:t>中小企业声明函</w:t>
      </w:r>
      <w:bookmarkEnd w:id="606"/>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607" w:name="_Toc465665161"/>
      <w:bookmarkStart w:id="608" w:name="_Toc29202"/>
      <w:r>
        <w:rPr>
          <w:rFonts w:hint="eastAsia" w:ascii="仿宋" w:hAnsi="仿宋" w:eastAsia="仿宋" w:cs="仿宋"/>
        </w:rPr>
        <w:t>附件</w:t>
      </w:r>
      <w:bookmarkEnd w:id="607"/>
      <w:bookmarkEnd w:id="608"/>
    </w:p>
    <w:p>
      <w:pPr>
        <w:spacing w:line="360" w:lineRule="auto"/>
        <w:outlineLvl w:val="0"/>
        <w:rPr>
          <w:rFonts w:ascii="仿宋" w:hAnsi="仿宋" w:eastAsia="仿宋" w:cs="仿宋"/>
          <w:b/>
          <w:spacing w:val="6"/>
          <w:sz w:val="32"/>
          <w:szCs w:val="32"/>
        </w:rPr>
      </w:pPr>
      <w:bookmarkStart w:id="609" w:name="_Toc18484"/>
      <w:r>
        <w:rPr>
          <w:rFonts w:hint="eastAsia" w:ascii="仿宋" w:hAnsi="仿宋" w:eastAsia="仿宋" w:cs="仿宋"/>
          <w:b/>
          <w:spacing w:val="6"/>
          <w:sz w:val="32"/>
          <w:szCs w:val="32"/>
        </w:rPr>
        <w:t>附件1：</w:t>
      </w:r>
      <w:bookmarkEnd w:id="609"/>
    </w:p>
    <w:p>
      <w:pPr>
        <w:spacing w:line="360" w:lineRule="auto"/>
        <w:jc w:val="center"/>
        <w:rPr>
          <w:rFonts w:ascii="仿宋" w:hAnsi="仿宋" w:eastAsia="仿宋" w:cs="仿宋"/>
          <w:b/>
          <w:spacing w:val="6"/>
          <w:sz w:val="32"/>
          <w:szCs w:val="32"/>
        </w:rPr>
      </w:pPr>
      <w:bookmarkStart w:id="610" w:name="OLE_LINK14"/>
      <w:bookmarkStart w:id="611" w:name="OLE_LINK13"/>
      <w:r>
        <w:rPr>
          <w:rFonts w:hint="eastAsia" w:ascii="仿宋" w:hAnsi="仿宋" w:eastAsia="仿宋" w:cs="仿宋"/>
          <w:b/>
          <w:spacing w:val="6"/>
          <w:sz w:val="32"/>
          <w:szCs w:val="32"/>
        </w:rPr>
        <w:t>残疾人福利性单位声明函</w:t>
      </w:r>
    </w:p>
    <w:bookmarkEnd w:id="610"/>
    <w:bookmarkEnd w:id="611"/>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outlineLvl w:val="0"/>
        <w:rPr>
          <w:rFonts w:ascii="仿宋" w:hAnsi="仿宋" w:eastAsia="仿宋" w:cs="仿宋"/>
          <w:b/>
          <w:spacing w:val="6"/>
          <w:sz w:val="32"/>
          <w:szCs w:val="32"/>
        </w:rPr>
      </w:pPr>
      <w:bookmarkStart w:id="612" w:name="_Toc18175"/>
      <w:r>
        <w:rPr>
          <w:rFonts w:hint="eastAsia" w:ascii="仿宋" w:hAnsi="仿宋" w:eastAsia="仿宋" w:cs="仿宋"/>
          <w:b/>
          <w:spacing w:val="6"/>
          <w:sz w:val="32"/>
          <w:szCs w:val="32"/>
        </w:rPr>
        <w:t>附件2：质疑函范本及制作说明</w:t>
      </w:r>
      <w:bookmarkEnd w:id="612"/>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outlineLvl w:val="0"/>
        <w:rPr>
          <w:rFonts w:ascii="仿宋" w:hAnsi="仿宋" w:eastAsia="仿宋" w:cs="仿宋"/>
          <w:b/>
          <w:spacing w:val="6"/>
          <w:sz w:val="32"/>
          <w:szCs w:val="32"/>
        </w:rPr>
      </w:pPr>
      <w:bookmarkStart w:id="613" w:name="_Toc504"/>
      <w:r>
        <w:rPr>
          <w:rFonts w:hint="eastAsia" w:ascii="仿宋" w:hAnsi="仿宋" w:eastAsia="仿宋" w:cs="仿宋"/>
          <w:b/>
          <w:spacing w:val="6"/>
          <w:sz w:val="32"/>
          <w:szCs w:val="32"/>
        </w:rPr>
        <w:t>附件3：投诉书范本及制作说明</w:t>
      </w:r>
      <w:bookmarkEnd w:id="613"/>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outlineLvl w:val="0"/>
        <w:rPr>
          <w:rFonts w:ascii="仿宋" w:hAnsi="仿宋" w:eastAsia="仿宋" w:cs="仿宋"/>
          <w:b/>
          <w:bCs/>
          <w:sz w:val="32"/>
          <w:szCs w:val="32"/>
        </w:rPr>
      </w:pPr>
      <w:bookmarkStart w:id="614" w:name="_Toc14895"/>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bookmarkEnd w:id="614"/>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outlineLvl w:val="0"/>
        <w:rPr>
          <w:rFonts w:ascii="仿宋" w:hAnsi="仿宋" w:eastAsia="仿宋" w:cs="仿宋"/>
          <w:b/>
          <w:bCs/>
          <w:sz w:val="32"/>
          <w:szCs w:val="32"/>
        </w:rPr>
      </w:pPr>
      <w:bookmarkStart w:id="615" w:name="_Toc26771"/>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bookmarkEnd w:id="615"/>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仿宋" w:eastAsia="仿宋" w:cs="仿宋"/>
          <w:lang w:val="en-US"/>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16" w:name="_Toc36110187"/>
    <w:bookmarkStart w:id="617" w:name="_Toc91899912"/>
    <w:bookmarkStart w:id="618" w:name="_Toc131845147"/>
    <w:bookmarkStart w:id="619" w:name="_Toc164085800"/>
    <w:r>
      <w:rPr>
        <w:rFonts w:hint="eastAsia" w:ascii="仿宋_GB2312" w:eastAsia="仿宋_GB2312"/>
        <w:kern w:val="0"/>
        <w:szCs w:val="21"/>
      </w:rPr>
      <w:t xml:space="preserve"> 页</w:t>
    </w:r>
    <w:bookmarkEnd w:id="616"/>
    <w:bookmarkEnd w:id="617"/>
    <w:bookmarkEnd w:id="618"/>
    <w:bookmarkEnd w:id="6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012DF"/>
    <w:multiLevelType w:val="singleLevel"/>
    <w:tmpl w:val="A13012DF"/>
    <w:lvl w:ilvl="0" w:tentative="0">
      <w:start w:val="3"/>
      <w:numFmt w:val="decimal"/>
      <w:lvlText w:val="%1."/>
      <w:lvlJc w:val="left"/>
      <w:pPr>
        <w:tabs>
          <w:tab w:val="left" w:pos="312"/>
        </w:tabs>
      </w:pPr>
    </w:lvl>
  </w:abstractNum>
  <w:abstractNum w:abstractNumId="1">
    <w:nsid w:val="EFFB5C99"/>
    <w:multiLevelType w:val="singleLevel"/>
    <w:tmpl w:val="EFFB5C99"/>
    <w:lvl w:ilvl="0" w:tentative="0">
      <w:start w:val="3"/>
      <w:numFmt w:val="chineseCounting"/>
      <w:suff w:val="space"/>
      <w:lvlText w:val="第%1部分"/>
      <w:lvlJc w:val="left"/>
      <w:rPr>
        <w:rFonts w:hint="eastAsia"/>
      </w:rPr>
    </w:lvl>
  </w:abstractNum>
  <w:abstractNum w:abstractNumId="2">
    <w:nsid w:val="0000000D"/>
    <w:multiLevelType w:val="multilevel"/>
    <w:tmpl w:val="0000000D"/>
    <w:lvl w:ilvl="0" w:tentative="0">
      <w:start w:val="1"/>
      <w:numFmt w:val="decimal"/>
      <w:suff w:val="nothing"/>
      <w:lvlText w:val="%1."/>
      <w:lvlJc w:val="left"/>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5559833E"/>
    <w:multiLevelType w:val="singleLevel"/>
    <w:tmpl w:val="5559833E"/>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YTk0NDNhY2VmMDlmMDRkYjNiZTdmYTI5ODQw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7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CCC"/>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4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E58"/>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30"/>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22"/>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96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8E1"/>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61"/>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32"/>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73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1F"/>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266"/>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6D"/>
    <w:rsid w:val="008B67E6"/>
    <w:rsid w:val="008B69B8"/>
    <w:rsid w:val="008B7042"/>
    <w:rsid w:val="008B770C"/>
    <w:rsid w:val="008C0325"/>
    <w:rsid w:val="008C094A"/>
    <w:rsid w:val="008C1570"/>
    <w:rsid w:val="008C1792"/>
    <w:rsid w:val="008C17B2"/>
    <w:rsid w:val="008C1E3E"/>
    <w:rsid w:val="008C2059"/>
    <w:rsid w:val="008C21D0"/>
    <w:rsid w:val="008C2DBC"/>
    <w:rsid w:val="008C388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5AB"/>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B8B"/>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13"/>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E2E"/>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F41C6"/>
    <w:rsid w:val="019F7441"/>
    <w:rsid w:val="01B37585"/>
    <w:rsid w:val="01D55165"/>
    <w:rsid w:val="01DF6BF8"/>
    <w:rsid w:val="01EC2C57"/>
    <w:rsid w:val="024B77F6"/>
    <w:rsid w:val="026B2E25"/>
    <w:rsid w:val="02824D4D"/>
    <w:rsid w:val="02DC4B10"/>
    <w:rsid w:val="02DD76CE"/>
    <w:rsid w:val="02F36323"/>
    <w:rsid w:val="02F5619C"/>
    <w:rsid w:val="0326446A"/>
    <w:rsid w:val="032D5555"/>
    <w:rsid w:val="0332416A"/>
    <w:rsid w:val="0332416B"/>
    <w:rsid w:val="036634D2"/>
    <w:rsid w:val="03B9554C"/>
    <w:rsid w:val="03DD35E4"/>
    <w:rsid w:val="04076900"/>
    <w:rsid w:val="041A5A3B"/>
    <w:rsid w:val="042311BA"/>
    <w:rsid w:val="042B157A"/>
    <w:rsid w:val="048F763B"/>
    <w:rsid w:val="049F330E"/>
    <w:rsid w:val="04AA775C"/>
    <w:rsid w:val="04AF1889"/>
    <w:rsid w:val="04F66F48"/>
    <w:rsid w:val="05190533"/>
    <w:rsid w:val="05251E14"/>
    <w:rsid w:val="052A737E"/>
    <w:rsid w:val="05A16594"/>
    <w:rsid w:val="05A7762D"/>
    <w:rsid w:val="060E5941"/>
    <w:rsid w:val="06110FAF"/>
    <w:rsid w:val="06493CA7"/>
    <w:rsid w:val="065A6178"/>
    <w:rsid w:val="066F1CF3"/>
    <w:rsid w:val="068E6895"/>
    <w:rsid w:val="06930BB8"/>
    <w:rsid w:val="07245D42"/>
    <w:rsid w:val="07264C62"/>
    <w:rsid w:val="074652AB"/>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624AA"/>
    <w:rsid w:val="09772C16"/>
    <w:rsid w:val="098353B5"/>
    <w:rsid w:val="09A92330"/>
    <w:rsid w:val="09B06B87"/>
    <w:rsid w:val="09C13146"/>
    <w:rsid w:val="09E04166"/>
    <w:rsid w:val="0A1C0718"/>
    <w:rsid w:val="0A3E7710"/>
    <w:rsid w:val="0A5B7E63"/>
    <w:rsid w:val="0A892BC9"/>
    <w:rsid w:val="0AA374A5"/>
    <w:rsid w:val="0AAB7649"/>
    <w:rsid w:val="0ABC5606"/>
    <w:rsid w:val="0B135A1B"/>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79459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71A72"/>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47617"/>
    <w:rsid w:val="172F2D79"/>
    <w:rsid w:val="17557BEF"/>
    <w:rsid w:val="17D349C1"/>
    <w:rsid w:val="1830729E"/>
    <w:rsid w:val="186A7F89"/>
    <w:rsid w:val="1870062C"/>
    <w:rsid w:val="18817102"/>
    <w:rsid w:val="18830A15"/>
    <w:rsid w:val="18852B28"/>
    <w:rsid w:val="188B5321"/>
    <w:rsid w:val="1921268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A741A3"/>
    <w:rsid w:val="1EB7330C"/>
    <w:rsid w:val="1EC34AFA"/>
    <w:rsid w:val="1EDD790F"/>
    <w:rsid w:val="1F0A0FF3"/>
    <w:rsid w:val="1F5771FF"/>
    <w:rsid w:val="1FE868A9"/>
    <w:rsid w:val="20034907"/>
    <w:rsid w:val="20173E4B"/>
    <w:rsid w:val="204E48BC"/>
    <w:rsid w:val="208921B3"/>
    <w:rsid w:val="20973DEB"/>
    <w:rsid w:val="20B26522"/>
    <w:rsid w:val="20B44310"/>
    <w:rsid w:val="211116EB"/>
    <w:rsid w:val="213D7CA0"/>
    <w:rsid w:val="216133FC"/>
    <w:rsid w:val="21A62862"/>
    <w:rsid w:val="21D56769"/>
    <w:rsid w:val="21E52EF3"/>
    <w:rsid w:val="21FB5D7B"/>
    <w:rsid w:val="220B1C3D"/>
    <w:rsid w:val="221D1D20"/>
    <w:rsid w:val="22334A87"/>
    <w:rsid w:val="224D50E6"/>
    <w:rsid w:val="22BE6801"/>
    <w:rsid w:val="233500BF"/>
    <w:rsid w:val="23377FF7"/>
    <w:rsid w:val="236B425F"/>
    <w:rsid w:val="23836192"/>
    <w:rsid w:val="23901F29"/>
    <w:rsid w:val="239C0061"/>
    <w:rsid w:val="23A108FB"/>
    <w:rsid w:val="23B908A4"/>
    <w:rsid w:val="23E95BEF"/>
    <w:rsid w:val="23EC603C"/>
    <w:rsid w:val="23FD0064"/>
    <w:rsid w:val="245375B0"/>
    <w:rsid w:val="24642C0A"/>
    <w:rsid w:val="24B22173"/>
    <w:rsid w:val="24B95AD9"/>
    <w:rsid w:val="24BE24DA"/>
    <w:rsid w:val="24CF5825"/>
    <w:rsid w:val="24D663E6"/>
    <w:rsid w:val="24D77F2B"/>
    <w:rsid w:val="250F62DF"/>
    <w:rsid w:val="258B00E2"/>
    <w:rsid w:val="25906F37"/>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A0429"/>
    <w:rsid w:val="2A1C7367"/>
    <w:rsid w:val="2A2815FA"/>
    <w:rsid w:val="2A6D6092"/>
    <w:rsid w:val="2A7426B7"/>
    <w:rsid w:val="2A7D76B4"/>
    <w:rsid w:val="2B437463"/>
    <w:rsid w:val="2B7807EE"/>
    <w:rsid w:val="2BBF00EC"/>
    <w:rsid w:val="2BC37CFD"/>
    <w:rsid w:val="2BD5237F"/>
    <w:rsid w:val="2BE536CE"/>
    <w:rsid w:val="2BE758D9"/>
    <w:rsid w:val="2C09049E"/>
    <w:rsid w:val="2C0A653C"/>
    <w:rsid w:val="2C191F85"/>
    <w:rsid w:val="2CE82D6F"/>
    <w:rsid w:val="2D343236"/>
    <w:rsid w:val="2D7E0F72"/>
    <w:rsid w:val="2DD15014"/>
    <w:rsid w:val="2DF72DE4"/>
    <w:rsid w:val="2E0220AF"/>
    <w:rsid w:val="2E4B082A"/>
    <w:rsid w:val="2E5D4E86"/>
    <w:rsid w:val="2E5D790B"/>
    <w:rsid w:val="2E6F6CD1"/>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72259C"/>
    <w:rsid w:val="358D5588"/>
    <w:rsid w:val="363A3B40"/>
    <w:rsid w:val="365302AE"/>
    <w:rsid w:val="36607A0A"/>
    <w:rsid w:val="36666747"/>
    <w:rsid w:val="366E227C"/>
    <w:rsid w:val="366F2E0D"/>
    <w:rsid w:val="367B6A5C"/>
    <w:rsid w:val="36A74ADA"/>
    <w:rsid w:val="36AD60D5"/>
    <w:rsid w:val="36B224F9"/>
    <w:rsid w:val="36EC0CC9"/>
    <w:rsid w:val="373F410B"/>
    <w:rsid w:val="37EE7094"/>
    <w:rsid w:val="38296C89"/>
    <w:rsid w:val="383002EB"/>
    <w:rsid w:val="38586797"/>
    <w:rsid w:val="38BC0149"/>
    <w:rsid w:val="38CF2505"/>
    <w:rsid w:val="38D87D1C"/>
    <w:rsid w:val="39636459"/>
    <w:rsid w:val="396B7F6C"/>
    <w:rsid w:val="39B417A9"/>
    <w:rsid w:val="39C17FF3"/>
    <w:rsid w:val="39FC5695"/>
    <w:rsid w:val="3A006D8E"/>
    <w:rsid w:val="3A3651E5"/>
    <w:rsid w:val="3A3C272F"/>
    <w:rsid w:val="3A744481"/>
    <w:rsid w:val="3A8C7BEF"/>
    <w:rsid w:val="3A906246"/>
    <w:rsid w:val="3AA91A8A"/>
    <w:rsid w:val="3B2349B7"/>
    <w:rsid w:val="3B616CFF"/>
    <w:rsid w:val="3B6259F6"/>
    <w:rsid w:val="3B976654"/>
    <w:rsid w:val="3BC01EFC"/>
    <w:rsid w:val="3BCA786A"/>
    <w:rsid w:val="3BD31E2F"/>
    <w:rsid w:val="3BF15831"/>
    <w:rsid w:val="3C105946"/>
    <w:rsid w:val="3C471448"/>
    <w:rsid w:val="3C5F759A"/>
    <w:rsid w:val="3C6C525A"/>
    <w:rsid w:val="3C716317"/>
    <w:rsid w:val="3CCE23CB"/>
    <w:rsid w:val="3CD17D17"/>
    <w:rsid w:val="3CF94A87"/>
    <w:rsid w:val="3D0B7464"/>
    <w:rsid w:val="3D3C7F39"/>
    <w:rsid w:val="3D440F09"/>
    <w:rsid w:val="3D4504A0"/>
    <w:rsid w:val="3D671F5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C64970"/>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84643"/>
    <w:rsid w:val="434B790E"/>
    <w:rsid w:val="4360274F"/>
    <w:rsid w:val="43977AB6"/>
    <w:rsid w:val="43A3342B"/>
    <w:rsid w:val="43C77C27"/>
    <w:rsid w:val="43DE09EE"/>
    <w:rsid w:val="44002FAD"/>
    <w:rsid w:val="44097921"/>
    <w:rsid w:val="444C27E0"/>
    <w:rsid w:val="449101DD"/>
    <w:rsid w:val="44DE1391"/>
    <w:rsid w:val="44E6505F"/>
    <w:rsid w:val="451B225C"/>
    <w:rsid w:val="452410C9"/>
    <w:rsid w:val="45317DFB"/>
    <w:rsid w:val="456D3CE4"/>
    <w:rsid w:val="4579042C"/>
    <w:rsid w:val="457F0571"/>
    <w:rsid w:val="45851176"/>
    <w:rsid w:val="45C63B94"/>
    <w:rsid w:val="460E7DA5"/>
    <w:rsid w:val="462339FE"/>
    <w:rsid w:val="46422483"/>
    <w:rsid w:val="4659254A"/>
    <w:rsid w:val="465B0637"/>
    <w:rsid w:val="465E3F0D"/>
    <w:rsid w:val="466A16E6"/>
    <w:rsid w:val="46893F2B"/>
    <w:rsid w:val="46C4686E"/>
    <w:rsid w:val="46FE3529"/>
    <w:rsid w:val="471322F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F22B2"/>
    <w:rsid w:val="49B64211"/>
    <w:rsid w:val="49F6167F"/>
    <w:rsid w:val="4A064FA0"/>
    <w:rsid w:val="4A16615C"/>
    <w:rsid w:val="4A4424D7"/>
    <w:rsid w:val="4A511D5F"/>
    <w:rsid w:val="4A93705B"/>
    <w:rsid w:val="4AB82D0F"/>
    <w:rsid w:val="4AD452EB"/>
    <w:rsid w:val="4AEB7664"/>
    <w:rsid w:val="4AFD7C19"/>
    <w:rsid w:val="4B0567D1"/>
    <w:rsid w:val="4B236AAE"/>
    <w:rsid w:val="4B707271"/>
    <w:rsid w:val="4B9739F7"/>
    <w:rsid w:val="4BEE2503"/>
    <w:rsid w:val="4C245A30"/>
    <w:rsid w:val="4CA23692"/>
    <w:rsid w:val="4CB6685F"/>
    <w:rsid w:val="4CC367FE"/>
    <w:rsid w:val="4D077F3C"/>
    <w:rsid w:val="4D123355"/>
    <w:rsid w:val="4D2A3B31"/>
    <w:rsid w:val="4D312C52"/>
    <w:rsid w:val="4D905305"/>
    <w:rsid w:val="4D964A72"/>
    <w:rsid w:val="4D9C1254"/>
    <w:rsid w:val="4E0D4CCB"/>
    <w:rsid w:val="4E793892"/>
    <w:rsid w:val="4E800872"/>
    <w:rsid w:val="4EC569ED"/>
    <w:rsid w:val="4ED50EA1"/>
    <w:rsid w:val="4EEC050C"/>
    <w:rsid w:val="4F104EC3"/>
    <w:rsid w:val="4F47354A"/>
    <w:rsid w:val="4F911C54"/>
    <w:rsid w:val="4FE625E0"/>
    <w:rsid w:val="5015416C"/>
    <w:rsid w:val="5021480F"/>
    <w:rsid w:val="50962ECB"/>
    <w:rsid w:val="50A42E38"/>
    <w:rsid w:val="50A4577F"/>
    <w:rsid w:val="50B73D1F"/>
    <w:rsid w:val="50BD5BC9"/>
    <w:rsid w:val="50C11EEE"/>
    <w:rsid w:val="50E97CFC"/>
    <w:rsid w:val="50FA4028"/>
    <w:rsid w:val="510D65B7"/>
    <w:rsid w:val="51102CD9"/>
    <w:rsid w:val="511157AB"/>
    <w:rsid w:val="5142540C"/>
    <w:rsid w:val="517035B4"/>
    <w:rsid w:val="518832C8"/>
    <w:rsid w:val="51A0432A"/>
    <w:rsid w:val="51A86090"/>
    <w:rsid w:val="51B7396D"/>
    <w:rsid w:val="51E47E44"/>
    <w:rsid w:val="522E4CC3"/>
    <w:rsid w:val="5244713B"/>
    <w:rsid w:val="52615633"/>
    <w:rsid w:val="52631EF1"/>
    <w:rsid w:val="52977FD4"/>
    <w:rsid w:val="52A25790"/>
    <w:rsid w:val="52A96B6F"/>
    <w:rsid w:val="52B45975"/>
    <w:rsid w:val="52D94AA4"/>
    <w:rsid w:val="52EA3A62"/>
    <w:rsid w:val="52F50BB8"/>
    <w:rsid w:val="53097272"/>
    <w:rsid w:val="53544462"/>
    <w:rsid w:val="5397158E"/>
    <w:rsid w:val="54013861"/>
    <w:rsid w:val="541C6223"/>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126C1"/>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0C0514"/>
    <w:rsid w:val="5A2A7C7B"/>
    <w:rsid w:val="5A3E2560"/>
    <w:rsid w:val="5A5D3B6E"/>
    <w:rsid w:val="5A637A76"/>
    <w:rsid w:val="5A676398"/>
    <w:rsid w:val="5A6D33BA"/>
    <w:rsid w:val="5A792B1F"/>
    <w:rsid w:val="5A874767"/>
    <w:rsid w:val="5AAD6F28"/>
    <w:rsid w:val="5AD63A24"/>
    <w:rsid w:val="5AD703CB"/>
    <w:rsid w:val="5B2E1A1D"/>
    <w:rsid w:val="5B843A1C"/>
    <w:rsid w:val="5B873E3F"/>
    <w:rsid w:val="5BDC060A"/>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21BFB"/>
    <w:rsid w:val="5E4A7017"/>
    <w:rsid w:val="5E552BBA"/>
    <w:rsid w:val="5E611C10"/>
    <w:rsid w:val="5EAD56FC"/>
    <w:rsid w:val="5EFC7377"/>
    <w:rsid w:val="5F06174D"/>
    <w:rsid w:val="5F3A3602"/>
    <w:rsid w:val="5F6277C6"/>
    <w:rsid w:val="5F6D0B1D"/>
    <w:rsid w:val="5F8D0B82"/>
    <w:rsid w:val="5F9A025F"/>
    <w:rsid w:val="5FCC5339"/>
    <w:rsid w:val="5FE34A5B"/>
    <w:rsid w:val="5FFE1E36"/>
    <w:rsid w:val="60232584"/>
    <w:rsid w:val="607330CE"/>
    <w:rsid w:val="60825176"/>
    <w:rsid w:val="609F2AC4"/>
    <w:rsid w:val="60FA2EE8"/>
    <w:rsid w:val="61054A27"/>
    <w:rsid w:val="610A52BC"/>
    <w:rsid w:val="611D2366"/>
    <w:rsid w:val="61307BCC"/>
    <w:rsid w:val="61421856"/>
    <w:rsid w:val="615227C4"/>
    <w:rsid w:val="61654E3F"/>
    <w:rsid w:val="6182292A"/>
    <w:rsid w:val="619F7F92"/>
    <w:rsid w:val="61F94C26"/>
    <w:rsid w:val="62000E56"/>
    <w:rsid w:val="620D3302"/>
    <w:rsid w:val="621F3A75"/>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261F6"/>
    <w:rsid w:val="662E75B1"/>
    <w:rsid w:val="66342C2E"/>
    <w:rsid w:val="663E784C"/>
    <w:rsid w:val="668B6A45"/>
    <w:rsid w:val="672F3F24"/>
    <w:rsid w:val="673E055F"/>
    <w:rsid w:val="67551CE3"/>
    <w:rsid w:val="67A22552"/>
    <w:rsid w:val="67B22DCC"/>
    <w:rsid w:val="67BE71AA"/>
    <w:rsid w:val="67D90273"/>
    <w:rsid w:val="67DE5875"/>
    <w:rsid w:val="67E55852"/>
    <w:rsid w:val="67E70A99"/>
    <w:rsid w:val="67EB1AB4"/>
    <w:rsid w:val="67FA1285"/>
    <w:rsid w:val="68551F4F"/>
    <w:rsid w:val="68724A70"/>
    <w:rsid w:val="687C10C9"/>
    <w:rsid w:val="68840C16"/>
    <w:rsid w:val="68876EFB"/>
    <w:rsid w:val="68884654"/>
    <w:rsid w:val="689279BC"/>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5A4F5D"/>
    <w:rsid w:val="6C8C67B7"/>
    <w:rsid w:val="6C9D744C"/>
    <w:rsid w:val="6D167928"/>
    <w:rsid w:val="6D26299B"/>
    <w:rsid w:val="6D4772EC"/>
    <w:rsid w:val="6D4F56B2"/>
    <w:rsid w:val="6D9078AF"/>
    <w:rsid w:val="6DAA3FEF"/>
    <w:rsid w:val="6DC0172B"/>
    <w:rsid w:val="6DCB690C"/>
    <w:rsid w:val="6DD41A5B"/>
    <w:rsid w:val="6DF43C2E"/>
    <w:rsid w:val="6DF51CA3"/>
    <w:rsid w:val="6E8335BD"/>
    <w:rsid w:val="6E8E12EF"/>
    <w:rsid w:val="6E972936"/>
    <w:rsid w:val="6ED446C5"/>
    <w:rsid w:val="6F2A7D94"/>
    <w:rsid w:val="6F5F5F6E"/>
    <w:rsid w:val="6F817129"/>
    <w:rsid w:val="6F8331F1"/>
    <w:rsid w:val="6FA60AC4"/>
    <w:rsid w:val="6FAE1A09"/>
    <w:rsid w:val="6FD75BF8"/>
    <w:rsid w:val="707723D0"/>
    <w:rsid w:val="70F5661B"/>
    <w:rsid w:val="71360107"/>
    <w:rsid w:val="713B688E"/>
    <w:rsid w:val="717162BA"/>
    <w:rsid w:val="71D43752"/>
    <w:rsid w:val="71F1796A"/>
    <w:rsid w:val="72154626"/>
    <w:rsid w:val="72262B5D"/>
    <w:rsid w:val="72283FF7"/>
    <w:rsid w:val="722E7212"/>
    <w:rsid w:val="723A0474"/>
    <w:rsid w:val="725923E4"/>
    <w:rsid w:val="72864BF7"/>
    <w:rsid w:val="729023FC"/>
    <w:rsid w:val="72E128E9"/>
    <w:rsid w:val="72FD17B8"/>
    <w:rsid w:val="73C0646E"/>
    <w:rsid w:val="742222F5"/>
    <w:rsid w:val="74476126"/>
    <w:rsid w:val="74706664"/>
    <w:rsid w:val="747F3682"/>
    <w:rsid w:val="749C4185"/>
    <w:rsid w:val="75067759"/>
    <w:rsid w:val="752E6DCD"/>
    <w:rsid w:val="7551380D"/>
    <w:rsid w:val="75600BE5"/>
    <w:rsid w:val="7564475C"/>
    <w:rsid w:val="7583797F"/>
    <w:rsid w:val="75C056AE"/>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C1324"/>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9D4A25"/>
    <w:rsid w:val="7AA72953"/>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8432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0"/>
    <w:qFormat/>
    <w:uiPriority w:val="0"/>
    <w:pPr>
      <w:adjustRightInd/>
      <w:spacing w:after="120" w:line="240" w:lineRule="auto"/>
      <w:ind w:left="420" w:leftChars="200" w:firstLine="210"/>
    </w:pPr>
    <w:rPr>
      <w:sz w:val="21"/>
    </w:rPr>
  </w:style>
  <w:style w:type="paragraph" w:styleId="3">
    <w:name w:val="Body Text Indent"/>
    <w:basedOn w:val="1"/>
    <w:next w:val="2"/>
    <w:link w:val="263"/>
    <w:qFormat/>
    <w:uiPriority w:val="0"/>
    <w:pPr>
      <w:spacing w:line="480" w:lineRule="exact"/>
      <w:ind w:firstLine="480" w:firstLineChars="200"/>
    </w:pPr>
    <w:rPr>
      <w:rFonts w:ascii="宋体" w:hAnsi="宋体"/>
      <w:sz w:val="24"/>
    </w:rPr>
  </w:style>
  <w:style w:type="paragraph" w:styleId="7">
    <w:name w:val="Normal Indent"/>
    <w:basedOn w:val="1"/>
    <w:next w:val="3"/>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9"/>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首行缩进"/>
    <w:basedOn w:val="1"/>
    <w:qFormat/>
    <w:uiPriority w:val="0"/>
    <w:pPr>
      <w:spacing w:line="360" w:lineRule="auto"/>
      <w:ind w:firstLine="480" w:firstLineChars="200"/>
    </w:pPr>
    <w:rPr>
      <w:rFonts w:ascii="宋体"/>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0"/>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WPSOffice手动目录 1"/>
    <w:qFormat/>
    <w:uiPriority w:val="0"/>
    <w:rPr>
      <w:rFonts w:ascii="Times New Roman" w:hAnsi="Times New Roman" w:eastAsia="宋体" w:cs="Times New Roman"/>
      <w:lang w:val="en-US" w:eastAsia="zh-CN" w:bidi="ar-SA"/>
    </w:rPr>
  </w:style>
  <w:style w:type="character" w:customStyle="1" w:styleId="962">
    <w:name w:val="mark"/>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36168</Words>
  <Characters>39719</Characters>
  <Lines>322</Lines>
  <Paragraphs>90</Paragraphs>
  <TotalTime>1</TotalTime>
  <ScaleCrop>false</ScaleCrop>
  <LinksUpToDate>false</LinksUpToDate>
  <CharactersWithSpaces>45553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zkh</cp:lastModifiedBy>
  <cp:lastPrinted>2021-12-27T03:06:00Z</cp:lastPrinted>
  <dcterms:modified xsi:type="dcterms:W3CDTF">2022-09-30T09:03:16Z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65152E1DA6C142F59D1AEC1A8D4BF068</vt:lpwstr>
  </property>
</Properties>
</file>